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ascii="宋体" w:eastAsia="宋体" w:cs="宋体"/>
          <w:b/>
          <w:bCs/>
          <w:sz w:val="48"/>
          <w:szCs w:val="48"/>
        </w:rPr>
      </w:pPr>
    </w:p>
    <w:p>
      <w:pPr>
        <w:spacing w:line="360" w:lineRule="auto"/>
        <w:jc w:val="center"/>
        <w:rPr>
          <w:rFonts w:ascii="宋体" w:eastAsia="宋体" w:cs="宋体"/>
          <w:b/>
          <w:bCs/>
          <w:color w:val="auto"/>
          <w:sz w:val="48"/>
          <w:szCs w:val="48"/>
          <w:highlight w:val="none"/>
        </w:rPr>
      </w:pPr>
      <w:r>
        <w:rPr>
          <w:rFonts w:hint="eastAsia" w:ascii="宋体" w:eastAsia="宋体" w:cs="宋体"/>
          <w:b/>
          <w:bCs/>
          <w:color w:val="auto"/>
          <w:sz w:val="48"/>
          <w:szCs w:val="48"/>
          <w:highlight w:val="none"/>
        </w:rPr>
        <w:t>增城国家级开发区中新园区基础设施配套中新下沉式再生水厂项目施工图审查</w:t>
      </w:r>
    </w:p>
    <w:p>
      <w:pPr>
        <w:jc w:val="center"/>
        <w:rPr>
          <w:rFonts w:ascii="宋体" w:eastAsia="宋体" w:cs="宋体"/>
          <w:color w:val="auto"/>
          <w:sz w:val="36"/>
          <w:szCs w:val="36"/>
          <w:highlight w:val="none"/>
        </w:rPr>
      </w:pPr>
    </w:p>
    <w:p>
      <w:pPr>
        <w:jc w:val="center"/>
        <w:rPr>
          <w:rFonts w:ascii="宋体" w:eastAsia="宋体" w:cs="宋体"/>
          <w:color w:val="auto"/>
          <w:sz w:val="36"/>
          <w:szCs w:val="36"/>
          <w:highlight w:val="none"/>
        </w:rPr>
      </w:pPr>
      <w:r>
        <w:rPr>
          <w:rFonts w:hint="eastAsia" w:ascii="宋体" w:eastAsia="宋体" w:cs="宋体"/>
          <w:color w:val="auto"/>
          <w:sz w:val="36"/>
          <w:szCs w:val="36"/>
          <w:highlight w:val="none"/>
        </w:rPr>
        <w:t>（招标编号：</w:t>
      </w:r>
      <w:r>
        <w:rPr>
          <w:rFonts w:hint="eastAsia" w:ascii="宋体" w:eastAsia="宋体" w:cs="宋体"/>
          <w:color w:val="auto"/>
          <w:sz w:val="36"/>
          <w:szCs w:val="36"/>
          <w:highlight w:val="none"/>
          <w:u w:val="single"/>
        </w:rPr>
        <w:t xml:space="preserve"> </w:t>
      </w:r>
      <w:r>
        <w:rPr>
          <w:rFonts w:hint="eastAsia"/>
          <w:color w:val="auto"/>
          <w:sz w:val="32"/>
          <w:szCs w:val="32"/>
          <w:highlight w:val="none"/>
          <w:u w:val="single"/>
        </w:rPr>
        <w:t xml:space="preserve">JG2022-      </w:t>
      </w:r>
      <w:r>
        <w:rPr>
          <w:rFonts w:hint="eastAsia" w:ascii="宋体" w:eastAsia="宋体" w:cs="宋体"/>
          <w:color w:val="auto"/>
          <w:sz w:val="36"/>
          <w:szCs w:val="36"/>
          <w:highlight w:val="none"/>
        </w:rPr>
        <w:t>）</w:t>
      </w:r>
    </w:p>
    <w:p>
      <w:pPr>
        <w:spacing w:line="400" w:lineRule="exact"/>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sz w:val="28"/>
          <w:szCs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jc w:val="center"/>
        <w:rPr>
          <w:rFonts w:ascii="宋体" w:eastAsia="宋体" w:cs="宋体"/>
          <w:color w:val="auto"/>
          <w:sz w:val="84"/>
          <w:szCs w:val="84"/>
          <w:highlight w:val="none"/>
        </w:rPr>
      </w:pPr>
      <w:r>
        <w:rPr>
          <w:rFonts w:hint="eastAsia" w:ascii="宋体" w:eastAsia="宋体" w:cs="宋体"/>
          <w:color w:val="auto"/>
          <w:sz w:val="84"/>
          <w:szCs w:val="84"/>
          <w:highlight w:val="none"/>
        </w:rPr>
        <w:t>招标文件</w:t>
      </w: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spacing w:line="480" w:lineRule="auto"/>
        <w:ind w:firstLine="1205" w:firstLineChars="400"/>
        <w:rPr>
          <w:rFonts w:ascii="宋体" w:eastAsia="宋体" w:cs="宋体"/>
          <w:b/>
          <w:color w:val="auto"/>
          <w:sz w:val="30"/>
          <w:szCs w:val="30"/>
          <w:highlight w:val="none"/>
          <w:lang w:val="zh-CN"/>
        </w:rPr>
      </w:pPr>
      <w:r>
        <w:rPr>
          <w:rFonts w:hint="eastAsia" w:ascii="宋体" w:eastAsia="宋体" w:cs="宋体"/>
          <w:b/>
          <w:color w:val="auto"/>
          <w:sz w:val="30"/>
          <w:szCs w:val="30"/>
          <w:highlight w:val="none"/>
        </w:rPr>
        <w:t>招标人：</w:t>
      </w:r>
      <w:r>
        <w:rPr>
          <w:rFonts w:hint="eastAsia" w:ascii="宋体" w:eastAsia="宋体" w:cs="宋体"/>
          <w:b/>
          <w:color w:val="auto"/>
          <w:sz w:val="30"/>
          <w:szCs w:val="30"/>
          <w:highlight w:val="none"/>
          <w:lang w:val="zh-CN"/>
        </w:rPr>
        <w:t>广州市增城区水务建设管理所</w:t>
      </w:r>
    </w:p>
    <w:p>
      <w:pPr>
        <w:spacing w:line="480" w:lineRule="auto"/>
        <w:ind w:firstLine="1205" w:firstLineChars="400"/>
        <w:rPr>
          <w:rFonts w:ascii="宋体" w:eastAsia="宋体" w:cs="宋体"/>
          <w:b/>
          <w:color w:val="auto"/>
          <w:sz w:val="30"/>
          <w:szCs w:val="30"/>
          <w:highlight w:val="none"/>
          <w:lang w:val="zh-CN"/>
        </w:rPr>
      </w:pPr>
      <w:r>
        <w:rPr>
          <w:rFonts w:hint="eastAsia" w:ascii="宋体" w:eastAsia="宋体" w:cs="宋体"/>
          <w:b/>
          <w:color w:val="auto"/>
          <w:sz w:val="30"/>
          <w:szCs w:val="30"/>
          <w:highlight w:val="none"/>
          <w:lang w:val="zh-CN"/>
        </w:rPr>
        <w:t>招标代理机构：广州高新工程顾问有限公司</w:t>
      </w:r>
    </w:p>
    <w:p>
      <w:pPr>
        <w:spacing w:line="480" w:lineRule="auto"/>
        <w:ind w:firstLine="1205" w:firstLineChars="400"/>
        <w:rPr>
          <w:rFonts w:ascii="宋体" w:eastAsia="宋体" w:cs="宋体"/>
          <w:b/>
          <w:color w:val="auto"/>
          <w:sz w:val="30"/>
          <w:szCs w:val="30"/>
          <w:highlight w:val="none"/>
        </w:rPr>
      </w:pPr>
      <w:r>
        <w:rPr>
          <w:rFonts w:hint="eastAsia" w:ascii="宋体" w:eastAsia="宋体" w:cs="宋体"/>
          <w:b/>
          <w:color w:val="auto"/>
          <w:sz w:val="30"/>
          <w:szCs w:val="30"/>
          <w:highlight w:val="none"/>
        </w:rPr>
        <w:t xml:space="preserve">日期：2022年10月  </w:t>
      </w:r>
    </w:p>
    <w:p>
      <w:pPr>
        <w:jc w:val="center"/>
        <w:rPr>
          <w:rFonts w:ascii="宋体" w:eastAsia="宋体" w:cs="宋体"/>
          <w:b/>
          <w:color w:val="auto"/>
          <w:sz w:val="32"/>
          <w:szCs w:val="24"/>
          <w:highlight w:val="none"/>
          <w:lang w:val="zh-CN"/>
        </w:rPr>
        <w:sectPr>
          <w:type w:val="nextColumn"/>
          <w:pgSz w:w="11907" w:h="16840"/>
          <w:pgMar w:top="1440" w:right="1514" w:bottom="1440" w:left="1514" w:header="720" w:footer="720" w:gutter="0"/>
          <w:pgNumType w:start="1"/>
          <w:cols w:space="0" w:num="1"/>
          <w:docGrid w:linePitch="285" w:charSpace="0"/>
        </w:sectPr>
      </w:pPr>
      <w:bookmarkStart w:id="0" w:name="_Toc144974479"/>
      <w:bookmarkStart w:id="1" w:name="_Toc152042287"/>
      <w:bookmarkStart w:id="2" w:name="_Toc152045511"/>
    </w:p>
    <w:p>
      <w:pPr>
        <w:jc w:val="center"/>
        <w:rPr>
          <w:rFonts w:ascii="宋体" w:eastAsia="宋体" w:cs="宋体"/>
          <w:b/>
          <w:color w:val="auto"/>
          <w:sz w:val="24"/>
          <w:szCs w:val="24"/>
          <w:highlight w:val="none"/>
        </w:rPr>
      </w:pPr>
      <w:r>
        <w:rPr>
          <w:rFonts w:hint="eastAsia" w:ascii="宋体" w:eastAsia="宋体" w:cs="宋体"/>
          <w:b/>
          <w:color w:val="auto"/>
          <w:sz w:val="32"/>
          <w:szCs w:val="24"/>
          <w:highlight w:val="none"/>
          <w:lang w:val="zh-CN"/>
        </w:rPr>
        <w:t>目  录</w:t>
      </w:r>
    </w:p>
    <w:p>
      <w:pPr>
        <w:rPr>
          <w:rFonts w:ascii="宋体" w:eastAsia="宋体"/>
          <w:color w:val="auto"/>
          <w:highlight w:val="none"/>
        </w:rPr>
      </w:pPr>
    </w:p>
    <w:p>
      <w:pPr>
        <w:pStyle w:val="30"/>
        <w:tabs>
          <w:tab w:val="right" w:leader="dot" w:pos="8879"/>
        </w:tabs>
        <w:snapToGrid w:val="0"/>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TOC \o "1-3" \h \z \u </w:instrText>
      </w:r>
      <w:r>
        <w:rPr>
          <w:rFonts w:hint="eastAsia" w:asciiTheme="minorEastAsia" w:hAnsiTheme="minorEastAsia" w:eastAsiaTheme="minorEastAsia" w:cstheme="minorEastAsia"/>
          <w:color w:val="auto"/>
          <w:sz w:val="24"/>
          <w:szCs w:val="24"/>
          <w:highlight w:val="none"/>
        </w:rPr>
        <w:fldChar w:fldCharType="separate"/>
      </w:r>
      <w:r>
        <w:rPr>
          <w:color w:val="auto"/>
          <w:highlight w:val="none"/>
        </w:rPr>
        <w:fldChar w:fldCharType="begin"/>
      </w:r>
      <w:r>
        <w:rPr>
          <w:color w:val="auto"/>
          <w:highlight w:val="none"/>
        </w:rPr>
        <w:instrText xml:space="preserve"> HYPERLINK \l "_Toc23270"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第一卷</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_Toc23270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30"/>
        <w:tabs>
          <w:tab w:val="right" w:leader="dot" w:pos="8879"/>
        </w:tabs>
        <w:snapToGrid w:val="0"/>
        <w:spacing w:line="360" w:lineRule="auto"/>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"_Toc29166"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第一章招标公告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_Toc29166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30"/>
        <w:tabs>
          <w:tab w:val="right" w:leader="dot" w:pos="8879"/>
        </w:tabs>
        <w:snapToGrid w:val="0"/>
        <w:spacing w:line="360" w:lineRule="auto"/>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"_Toc14609"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第二章投标人须知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_Toc14609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30"/>
        <w:tabs>
          <w:tab w:val="right" w:leader="dot" w:pos="8879"/>
        </w:tabs>
        <w:snapToGrid w:val="0"/>
        <w:spacing w:line="360" w:lineRule="auto"/>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"_Toc17234" </w:instrText>
      </w:r>
      <w:r>
        <w:rPr>
          <w:color w:val="auto"/>
          <w:highlight w:val="none"/>
        </w:rPr>
        <w:fldChar w:fldCharType="separate"/>
      </w:r>
      <w:r>
        <w:rPr>
          <w:rFonts w:hint="eastAsia" w:asciiTheme="minorEastAsia" w:hAnsiTheme="minorEastAsia" w:eastAsiaTheme="minorEastAsia" w:cstheme="minorEastAsia"/>
          <w:color w:val="auto"/>
          <w:kern w:val="44"/>
          <w:sz w:val="24"/>
          <w:szCs w:val="24"/>
          <w:highlight w:val="none"/>
        </w:rPr>
        <w:t>第三章 评标办法（综合评标法）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_Toc17234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30"/>
        <w:tabs>
          <w:tab w:val="right" w:leader="dot" w:pos="8879"/>
        </w:tabs>
        <w:snapToGrid w:val="0"/>
        <w:spacing w:line="360" w:lineRule="auto"/>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"_Toc14405"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第四章 合同条款及格式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_Toc14405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39</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30"/>
        <w:tabs>
          <w:tab w:val="right" w:leader="dot" w:pos="8879"/>
        </w:tabs>
        <w:snapToGrid w:val="0"/>
        <w:spacing w:line="360" w:lineRule="auto"/>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"_Toc2222"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第二卷</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_Toc2222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47</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30"/>
        <w:tabs>
          <w:tab w:val="right" w:leader="dot" w:pos="8879"/>
        </w:tabs>
        <w:snapToGrid w:val="0"/>
        <w:spacing w:line="360" w:lineRule="auto"/>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"_Toc17299"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第五章委托人要求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_Toc17299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47</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30"/>
        <w:tabs>
          <w:tab w:val="right" w:leader="dot" w:pos="8879"/>
        </w:tabs>
        <w:snapToGrid w:val="0"/>
        <w:spacing w:line="360" w:lineRule="auto"/>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"_Toc27768"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第三卷</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_Toc27768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49</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30"/>
        <w:tabs>
          <w:tab w:val="right" w:leader="dot" w:pos="8879"/>
        </w:tabs>
        <w:snapToGrid w:val="0"/>
        <w:spacing w:line="360" w:lineRule="auto"/>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"_Toc2877"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第六章投标文件格式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_Toc2877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49</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30"/>
        <w:tabs>
          <w:tab w:val="right" w:leader="dot" w:pos="8879"/>
        </w:tabs>
        <w:snapToGrid w:val="0"/>
        <w:spacing w:line="360" w:lineRule="auto"/>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"_Toc22180" </w:instrText>
      </w:r>
      <w:r>
        <w:rPr>
          <w:color w:val="auto"/>
          <w:highlight w:val="none"/>
        </w:rPr>
        <w:fldChar w:fldCharType="separate"/>
      </w:r>
      <w:r>
        <w:rPr>
          <w:rFonts w:hint="eastAsia" w:asciiTheme="minorEastAsia" w:hAnsiTheme="minorEastAsia" w:eastAsiaTheme="minorEastAsia" w:cstheme="minorEastAsia"/>
          <w:color w:val="auto"/>
          <w:kern w:val="44"/>
          <w:sz w:val="24"/>
          <w:szCs w:val="24"/>
          <w:highlight w:val="none"/>
        </w:rPr>
        <w:t>第七章 否决性条款汇总</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_Toc22180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30"/>
        <w:tabs>
          <w:tab w:val="right" w:leader="dot" w:pos="8879"/>
        </w:tabs>
        <w:snapToGrid w:val="0"/>
        <w:spacing w:line="360" w:lineRule="auto"/>
        <w:jc w:val="left"/>
        <w:rPr>
          <w:rFonts w:asciiTheme="minorEastAsia" w:hAnsiTheme="minorEastAsia" w:eastAsiaTheme="minorEastAsia" w:cstheme="minorEastAsia"/>
          <w:color w:val="auto"/>
          <w:sz w:val="28"/>
          <w:szCs w:val="28"/>
          <w:highlight w:val="none"/>
        </w:rPr>
        <w:sectPr>
          <w:footerReference r:id="rId3" w:type="default"/>
          <w:pgSz w:w="11907" w:h="16840"/>
          <w:pgMar w:top="1440" w:right="1514" w:bottom="1440" w:left="1514" w:header="720" w:footer="720" w:gutter="0"/>
          <w:pgNumType w:start="1"/>
          <w:cols w:space="0" w:num="1"/>
          <w:docGrid w:linePitch="285" w:charSpace="0"/>
        </w:sectPr>
      </w:pPr>
      <w:r>
        <w:rPr>
          <w:rFonts w:hint="eastAsia" w:asciiTheme="minorEastAsia" w:hAnsiTheme="minorEastAsia" w:eastAsiaTheme="minorEastAsia" w:cstheme="minorEastAsia"/>
          <w:color w:val="auto"/>
          <w:sz w:val="24"/>
          <w:szCs w:val="24"/>
          <w:highlight w:val="none"/>
        </w:rPr>
        <w:fldChar w:fldCharType="end"/>
      </w:r>
    </w:p>
    <w:p>
      <w:pPr>
        <w:pStyle w:val="3"/>
        <w:keepNext w:val="0"/>
        <w:keepLines w:val="0"/>
        <w:spacing w:line="240" w:lineRule="auto"/>
        <w:jc w:val="center"/>
        <w:rPr>
          <w:rFonts w:ascii="宋体" w:cs="宋体"/>
          <w:color w:val="auto"/>
          <w:highlight w:val="none"/>
        </w:rPr>
      </w:pPr>
      <w:bookmarkStart w:id="3" w:name="_Toc511557024"/>
    </w:p>
    <w:p>
      <w:pPr>
        <w:pStyle w:val="3"/>
        <w:keepNext w:val="0"/>
        <w:keepLines w:val="0"/>
        <w:spacing w:line="240" w:lineRule="auto"/>
        <w:jc w:val="center"/>
        <w:rPr>
          <w:rFonts w:ascii="宋体" w:cs="宋体"/>
          <w:color w:val="auto"/>
          <w:highlight w:val="none"/>
        </w:rPr>
      </w:pPr>
    </w:p>
    <w:p>
      <w:pPr>
        <w:pStyle w:val="3"/>
        <w:keepNext w:val="0"/>
        <w:keepLines w:val="0"/>
        <w:spacing w:line="240" w:lineRule="auto"/>
        <w:jc w:val="center"/>
        <w:rPr>
          <w:rFonts w:ascii="宋体" w:cs="宋体"/>
          <w:color w:val="auto"/>
          <w:highlight w:val="none"/>
        </w:rPr>
      </w:pPr>
    </w:p>
    <w:p>
      <w:pPr>
        <w:pStyle w:val="3"/>
        <w:keepNext w:val="0"/>
        <w:keepLines w:val="0"/>
        <w:spacing w:line="240" w:lineRule="auto"/>
        <w:jc w:val="center"/>
        <w:rPr>
          <w:rFonts w:ascii="宋体" w:cs="宋体"/>
          <w:color w:val="auto"/>
          <w:highlight w:val="none"/>
        </w:rPr>
      </w:pPr>
    </w:p>
    <w:p>
      <w:pPr>
        <w:pStyle w:val="3"/>
        <w:keepNext w:val="0"/>
        <w:keepLines w:val="0"/>
        <w:spacing w:line="240" w:lineRule="auto"/>
        <w:jc w:val="center"/>
        <w:rPr>
          <w:rFonts w:ascii="宋体" w:cs="宋体"/>
          <w:color w:val="auto"/>
          <w:highlight w:val="none"/>
        </w:rPr>
      </w:pPr>
    </w:p>
    <w:p>
      <w:pPr>
        <w:pStyle w:val="3"/>
        <w:keepNext w:val="0"/>
        <w:keepLines w:val="0"/>
        <w:spacing w:line="240" w:lineRule="auto"/>
        <w:jc w:val="center"/>
        <w:rPr>
          <w:rFonts w:ascii="宋体" w:cs="宋体"/>
          <w:color w:val="auto"/>
          <w:highlight w:val="none"/>
        </w:rPr>
      </w:pPr>
    </w:p>
    <w:p>
      <w:pPr>
        <w:pStyle w:val="3"/>
        <w:keepNext w:val="0"/>
        <w:keepLines w:val="0"/>
        <w:spacing w:line="240" w:lineRule="auto"/>
        <w:jc w:val="center"/>
        <w:rPr>
          <w:rFonts w:ascii="宋体" w:cs="宋体"/>
          <w:color w:val="auto"/>
          <w:highlight w:val="none"/>
        </w:rPr>
      </w:pPr>
      <w:bookmarkStart w:id="4" w:name="_Toc23270"/>
      <w:r>
        <w:rPr>
          <w:rFonts w:hint="eastAsia" w:ascii="宋体" w:cs="宋体"/>
          <w:color w:val="auto"/>
          <w:highlight w:val="none"/>
        </w:rPr>
        <w:t>第</w:t>
      </w:r>
      <w:bookmarkEnd w:id="0"/>
      <w:bookmarkEnd w:id="1"/>
      <w:bookmarkEnd w:id="2"/>
      <w:bookmarkEnd w:id="3"/>
      <w:r>
        <w:rPr>
          <w:rFonts w:hint="eastAsia" w:ascii="宋体" w:cs="宋体"/>
          <w:color w:val="auto"/>
          <w:highlight w:val="none"/>
        </w:rPr>
        <w:t>一卷</w:t>
      </w:r>
      <w:bookmarkEnd w:id="4"/>
    </w:p>
    <w:p>
      <w:pPr>
        <w:pStyle w:val="3"/>
        <w:keepNext w:val="0"/>
        <w:keepLines w:val="0"/>
        <w:spacing w:line="240" w:lineRule="auto"/>
        <w:jc w:val="center"/>
        <w:rPr>
          <w:rFonts w:ascii="宋体" w:cs="宋体"/>
          <w:color w:val="auto"/>
          <w:highlight w:val="none"/>
        </w:rPr>
      </w:pPr>
      <w:bookmarkStart w:id="5" w:name="_Toc29166"/>
      <w:r>
        <w:rPr>
          <w:rFonts w:hint="eastAsia" w:ascii="宋体" w:cs="宋体"/>
          <w:color w:val="auto"/>
          <w:highlight w:val="none"/>
        </w:rPr>
        <w:t>第一章招标公告</w:t>
      </w:r>
      <w:bookmarkEnd w:id="5"/>
    </w:p>
    <w:p>
      <w:pPr>
        <w:jc w:val="center"/>
        <w:rPr>
          <w:rFonts w:ascii="宋体" w:eastAsia="宋体" w:cs="宋体"/>
          <w:b/>
          <w:color w:val="auto"/>
          <w:kern w:val="44"/>
          <w:sz w:val="44"/>
          <w:szCs w:val="20"/>
          <w:highlight w:val="none"/>
        </w:rPr>
      </w:pPr>
      <w:r>
        <w:rPr>
          <w:rFonts w:hint="eastAsia" w:ascii="宋体" w:eastAsia="宋体" w:cs="宋体"/>
          <w:b/>
          <w:color w:val="auto"/>
          <w:kern w:val="44"/>
          <w:sz w:val="44"/>
          <w:szCs w:val="20"/>
          <w:highlight w:val="none"/>
        </w:rPr>
        <w:br w:type="page"/>
      </w:r>
    </w:p>
    <w:p>
      <w:pPr>
        <w:spacing w:line="360" w:lineRule="auto"/>
        <w:jc w:val="center"/>
        <w:rPr>
          <w:rFonts w:eastAsia="黑体"/>
          <w:color w:val="auto"/>
          <w:sz w:val="28"/>
          <w:highlight w:val="none"/>
        </w:rPr>
      </w:pPr>
      <w:r>
        <w:rPr>
          <w:rFonts w:hint="eastAsia" w:eastAsia="黑体"/>
          <w:color w:val="auto"/>
          <w:sz w:val="36"/>
          <w:szCs w:val="36"/>
          <w:highlight w:val="none"/>
          <w:u w:val="single"/>
        </w:rPr>
        <w:t>增城国家级开发区中新园区基础设施配套中新下沉式再生水厂项目施工图审查</w:t>
      </w:r>
      <w:r>
        <w:rPr>
          <w:rFonts w:hint="eastAsia" w:eastAsia="黑体"/>
          <w:color w:val="auto"/>
          <w:sz w:val="36"/>
          <w:szCs w:val="36"/>
          <w:highlight w:val="none"/>
        </w:rPr>
        <w:t>招标公告</w:t>
      </w:r>
    </w:p>
    <w:p>
      <w:pPr>
        <w:numPr>
          <w:ilvl w:val="0"/>
          <w:numId w:val="1"/>
        </w:numPr>
        <w:tabs>
          <w:tab w:val="left" w:pos="360"/>
          <w:tab w:val="left" w:pos="760"/>
        </w:tabs>
        <w:snapToGrid w:val="0"/>
        <w:spacing w:beforeLines="0" w:afterLines="0" w:line="348" w:lineRule="auto"/>
        <w:rPr>
          <w:rFonts w:ascii="宋体" w:hAnsi="宋体" w:eastAsia="宋体" w:cs="宋体"/>
          <w:b/>
          <w:color w:val="auto"/>
          <w:sz w:val="32"/>
          <w:szCs w:val="24"/>
          <w:highlight w:val="none"/>
        </w:rPr>
      </w:pPr>
      <w:r>
        <w:rPr>
          <w:rFonts w:hint="eastAsia" w:ascii="宋体" w:hAnsi="宋体" w:eastAsia="宋体" w:cs="宋体"/>
          <w:b/>
          <w:color w:val="auto"/>
          <w:sz w:val="32"/>
          <w:szCs w:val="24"/>
          <w:highlight w:val="none"/>
        </w:rPr>
        <w:t>招标条件</w:t>
      </w:r>
    </w:p>
    <w:p>
      <w:pPr>
        <w:adjustRightInd w:val="0"/>
        <w:snapToGrid w:val="0"/>
        <w:spacing w:beforeLines="0" w:afterLines="0" w:line="34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highlight w:val="none"/>
          <w:u w:val="single"/>
        </w:rPr>
        <w:t>增城国家级开发区中新园区基础设施配套中新下沉式再生水厂项目施工图审查</w:t>
      </w:r>
      <w:r>
        <w:rPr>
          <w:rFonts w:hint="eastAsia" w:ascii="宋体" w:hAnsi="宋体" w:eastAsia="宋体" w:cs="宋体"/>
          <w:color w:val="auto"/>
          <w:sz w:val="24"/>
          <w:szCs w:val="24"/>
          <w:highlight w:val="none"/>
        </w:rPr>
        <w:t>已由</w:t>
      </w:r>
      <w:r>
        <w:rPr>
          <w:rFonts w:hint="eastAsia" w:ascii="宋体" w:hAnsi="宋体" w:eastAsia="宋体"/>
          <w:color w:val="auto"/>
          <w:sz w:val="24"/>
          <w:highlight w:val="none"/>
          <w:u w:val="single"/>
        </w:rPr>
        <w:t>《广州市增城区水务局关于增城国家级开发区中新园区基础设施配套中新下沉式再生水厂项目初步设计及概算的批复》（穗增水排水[2022]35号）</w:t>
      </w:r>
      <w:r>
        <w:rPr>
          <w:rFonts w:hint="eastAsia" w:ascii="宋体" w:hAnsi="宋体" w:eastAsia="宋体" w:cs="宋体"/>
          <w:color w:val="auto"/>
          <w:sz w:val="24"/>
          <w:szCs w:val="24"/>
          <w:highlight w:val="none"/>
        </w:rPr>
        <w:t>批准建设，建设资金为</w:t>
      </w:r>
      <w:r>
        <w:rPr>
          <w:rFonts w:hint="eastAsia" w:ascii="宋体" w:hAnsi="宋体" w:eastAsia="宋体" w:cs="宋体"/>
          <w:color w:val="auto"/>
          <w:sz w:val="24"/>
          <w:szCs w:val="24"/>
          <w:highlight w:val="none"/>
          <w:u w:val="single"/>
        </w:rPr>
        <w:t>由广州市增城排水有限公司注资</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highlight w:val="none"/>
          <w:u w:val="single"/>
        </w:rPr>
        <w:t>广州市增城区水务建设管理所</w:t>
      </w:r>
      <w:r>
        <w:rPr>
          <w:rFonts w:hint="eastAsia" w:ascii="宋体" w:hAnsi="宋体" w:eastAsia="宋体" w:cs="宋体"/>
          <w:color w:val="auto"/>
          <w:sz w:val="24"/>
          <w:szCs w:val="24"/>
          <w:highlight w:val="none"/>
        </w:rPr>
        <w:t>，项目已具备招标条件，现对该项目的施工图审查进行公开招标。</w:t>
      </w:r>
    </w:p>
    <w:p>
      <w:pPr>
        <w:numPr>
          <w:ilvl w:val="0"/>
          <w:numId w:val="2"/>
        </w:numPr>
        <w:tabs>
          <w:tab w:val="left" w:pos="360"/>
        </w:tabs>
        <w:snapToGrid w:val="0"/>
        <w:spacing w:beforeLines="0" w:afterLines="0" w:line="348" w:lineRule="auto"/>
        <w:rPr>
          <w:rFonts w:ascii="宋体" w:hAnsi="宋体" w:eastAsia="宋体" w:cs="宋体"/>
          <w:b/>
          <w:color w:val="auto"/>
          <w:sz w:val="32"/>
          <w:szCs w:val="24"/>
          <w:highlight w:val="none"/>
        </w:rPr>
      </w:pPr>
      <w:r>
        <w:rPr>
          <w:rFonts w:hint="eastAsia" w:ascii="宋体" w:hAnsi="宋体" w:eastAsia="宋体" w:cs="宋体"/>
          <w:b/>
          <w:color w:val="auto"/>
          <w:sz w:val="32"/>
          <w:szCs w:val="24"/>
          <w:highlight w:val="none"/>
        </w:rPr>
        <w:t>项目概况与招标范围</w:t>
      </w:r>
    </w:p>
    <w:p>
      <w:pPr>
        <w:adjustRightInd w:val="0"/>
        <w:snapToGrid w:val="0"/>
        <w:spacing w:beforeLines="0" w:afterLines="0" w:line="348"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 项目名称：</w:t>
      </w:r>
      <w:r>
        <w:rPr>
          <w:rFonts w:hint="eastAsia" w:ascii="宋体" w:hAnsi="宋体" w:eastAsia="宋体" w:cs="宋体"/>
          <w:color w:val="auto"/>
          <w:sz w:val="24"/>
          <w:highlight w:val="none"/>
          <w:u w:val="single"/>
        </w:rPr>
        <w:t>增城国家级开发区中新园区基础设施配套中新下沉式再生水厂项目施工图审查</w:t>
      </w:r>
    </w:p>
    <w:p>
      <w:pPr>
        <w:adjustRightInd w:val="0"/>
        <w:snapToGrid w:val="0"/>
        <w:spacing w:beforeLines="0" w:afterLines="0" w:line="348"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szCs w:val="24"/>
          <w:highlight w:val="none"/>
        </w:rPr>
        <w:t>2.2 建设地点：</w:t>
      </w:r>
      <w:r>
        <w:rPr>
          <w:rFonts w:hint="eastAsia" w:ascii="宋体" w:hAnsi="宋体" w:eastAsia="宋体" w:cs="宋体"/>
          <w:color w:val="auto"/>
          <w:sz w:val="24"/>
          <w:szCs w:val="24"/>
          <w:highlight w:val="none"/>
          <w:u w:val="single"/>
          <w:lang w:bidi="ar"/>
        </w:rPr>
        <w:t>广州市增城区中新镇</w:t>
      </w:r>
      <w:r>
        <w:rPr>
          <w:rFonts w:hint="eastAsia" w:ascii="宋体" w:hAnsi="宋体" w:eastAsia="宋体" w:cs="宋体"/>
          <w:color w:val="auto"/>
          <w:sz w:val="24"/>
          <w:highlight w:val="none"/>
          <w:u w:val="single"/>
        </w:rPr>
        <w:t>。</w:t>
      </w:r>
    </w:p>
    <w:p>
      <w:pPr>
        <w:snapToGrid w:val="0"/>
        <w:spacing w:beforeLines="0" w:afterLines="0" w:line="348" w:lineRule="auto"/>
        <w:ind w:firstLine="480" w:firstLineChars="200"/>
        <w:rPr>
          <w:rFonts w:ascii="宋体" w:hAnsi="宋体" w:eastAsia="宋体" w:cs="宋体"/>
          <w:color w:val="auto"/>
          <w:highlight w:val="none"/>
        </w:rPr>
      </w:pPr>
      <w:r>
        <w:rPr>
          <w:rFonts w:hint="eastAsia" w:ascii="宋体" w:hAnsi="宋体" w:eastAsia="宋体" w:cs="宋体"/>
          <w:color w:val="auto"/>
          <w:sz w:val="24"/>
          <w:szCs w:val="24"/>
          <w:highlight w:val="none"/>
        </w:rPr>
        <w:t>2.3项目规模：</w:t>
      </w:r>
      <w:r>
        <w:rPr>
          <w:rFonts w:hint="eastAsia" w:ascii="宋体" w:hAnsi="宋体" w:eastAsia="宋体" w:cs="宋体"/>
          <w:color w:val="auto"/>
          <w:sz w:val="24"/>
          <w:szCs w:val="24"/>
          <w:highlight w:val="none"/>
          <w:u w:val="single"/>
        </w:rPr>
        <w:t>(一)新建一座下沉式再生水厂,总污水处理规模20万m³/d,其中一期建设规模为10万m³/d (土建一次性建成，其中预处理土建按20万m³/d，近期设备安装5万m³/d)，采用全地下式布置形式，厂区地面新建综合楼及市政公园。(二)配套建设DN1000-DN1200污水压力管道3.9公里，DN1200-DN1500污水重力管道0.9公里，DN500-DN600 再生水压力管道2.6公里。(三)配套建设一座污水提升泵站，土建规模7.5万m³/d,近期设备安装4.0万m³/d。本项目工程总概算投资为</w:t>
      </w:r>
      <w:r>
        <w:rPr>
          <w:rFonts w:hint="eastAsia" w:ascii="宋体" w:hAnsi="宋体" w:eastAsia="宋体" w:cs="宋体"/>
          <w:color w:val="auto"/>
          <w:sz w:val="24"/>
          <w:szCs w:val="24"/>
          <w:highlight w:val="none"/>
          <w:u w:val="single"/>
          <w:lang w:eastAsia="zh-CN"/>
        </w:rPr>
        <w:t>88800.37</w:t>
      </w:r>
      <w:r>
        <w:rPr>
          <w:rFonts w:hint="eastAsia" w:ascii="宋体" w:hAnsi="宋体" w:eastAsia="宋体" w:cs="宋体"/>
          <w:color w:val="auto"/>
          <w:sz w:val="24"/>
          <w:szCs w:val="24"/>
          <w:highlight w:val="none"/>
          <w:u w:val="single"/>
        </w:rPr>
        <w:t xml:space="preserve"> 万元，建安费约</w:t>
      </w:r>
      <w:r>
        <w:rPr>
          <w:rFonts w:hint="eastAsia" w:ascii="宋体" w:hAnsi="宋体" w:eastAsia="宋体" w:cs="宋体"/>
          <w:color w:val="auto"/>
          <w:sz w:val="24"/>
          <w:szCs w:val="24"/>
          <w:highlight w:val="none"/>
          <w:u w:val="single"/>
          <w:lang w:eastAsia="zh-CN"/>
        </w:rPr>
        <w:t>63209.72</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highlight w:val="none"/>
          <w:u w:val="single"/>
        </w:rPr>
        <w:t>。</w:t>
      </w:r>
    </w:p>
    <w:p>
      <w:pPr>
        <w:adjustRightInd w:val="0"/>
        <w:snapToGrid w:val="0"/>
        <w:spacing w:beforeLines="0" w:afterLines="0" w:line="348"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2.4最高投标限价：</w:t>
      </w:r>
      <w:r>
        <w:rPr>
          <w:rFonts w:hint="eastAsia" w:ascii="宋体" w:hAnsi="宋体" w:eastAsia="宋体" w:cs="宋体"/>
          <w:color w:val="auto"/>
          <w:sz w:val="24"/>
          <w:szCs w:val="24"/>
          <w:highlight w:val="none"/>
          <w:u w:val="single"/>
          <w:lang w:eastAsia="zh-CN"/>
        </w:rPr>
        <w:t xml:space="preserve">1704750.95 </w:t>
      </w:r>
      <w:r>
        <w:rPr>
          <w:rFonts w:hint="eastAsia" w:ascii="宋体" w:hAnsi="宋体" w:eastAsia="宋体" w:cs="宋体"/>
          <w:color w:val="auto"/>
          <w:sz w:val="24"/>
          <w:szCs w:val="24"/>
          <w:highlight w:val="none"/>
        </w:rPr>
        <w:t>元。</w:t>
      </w:r>
    </w:p>
    <w:p>
      <w:pPr>
        <w:snapToGrid w:val="0"/>
        <w:spacing w:beforeLines="0" w:afterLines="0" w:line="348"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2.5 标段划分：</w:t>
      </w:r>
      <w:r>
        <w:rPr>
          <w:rFonts w:hint="eastAsia" w:ascii="宋体" w:hAnsi="宋体" w:eastAsia="宋体" w:cs="宋体"/>
          <w:color w:val="auto"/>
          <w:sz w:val="24"/>
          <w:szCs w:val="24"/>
          <w:highlight w:val="none"/>
          <w:u w:val="single"/>
        </w:rPr>
        <w:t>本项目只划分为一个标段。</w:t>
      </w:r>
    </w:p>
    <w:p>
      <w:pPr>
        <w:snapToGrid w:val="0"/>
        <w:spacing w:beforeLines="0" w:afterLines="0" w:line="348"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2.6 招标范围：</w:t>
      </w:r>
      <w:r>
        <w:rPr>
          <w:rFonts w:hint="eastAsia" w:ascii="宋体" w:hAnsi="宋体" w:eastAsia="宋体" w:cs="宋体"/>
          <w:color w:val="auto"/>
          <w:sz w:val="24"/>
          <w:szCs w:val="24"/>
          <w:highlight w:val="none"/>
          <w:u w:val="single"/>
        </w:rPr>
        <w:t>根据国家、广东省、广州市关于施工图审查的有关要求，开展施工图设计审查工作，审查范围包括工程范围内的所有勘察设计文件，包括施工图设计各阶段、各专业的设计文件、技术文件（含勘察文件）等文件的审查，出具符合要求的施工图设计文件审查报告，在项目实施过程中，建设单位有权对施工图审查范围进行适当调整（增加或减少），并在规定时间内配合甲方报送建设行政主管部门备案并</w:t>
      </w:r>
      <w:r>
        <w:rPr>
          <w:rFonts w:hint="eastAsia" w:ascii="宋体" w:hAnsi="宋体" w:eastAsia="宋体" w:cs="宋体"/>
          <w:color w:val="auto"/>
          <w:sz w:val="24"/>
          <w:szCs w:val="24"/>
          <w:highlight w:val="none"/>
          <w:u w:val="single"/>
        </w:rPr>
        <w:t>获得施工图审查合格证。</w:t>
      </w:r>
    </w:p>
    <w:p>
      <w:pPr>
        <w:snapToGrid w:val="0"/>
        <w:spacing w:beforeLines="0" w:afterLines="0" w:line="348"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施工图审查主要内容（包括但不限于）：</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（1）有关施工图设计文件（包括目录、图纸、施工验收标准、签署、出图章等）完整性和深度的审核； </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（2）有关设计依据（包括工程地质勘察报告）、采用的设计规范、标准的完整性和准确性的审核；</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（3）有关使用功能、安全可靠和质量要求是否得到满足，是否符合批准的初步设计，是否达到国家有关规定的设计深度的审核；</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（4）应对计算书进行审核：主要是计算原则、模型、程序、公式、参数的选用是否合适，是否符合规范要求，输入数据是否准确；</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（5）施工图审查中需对勘察大纲、各专业设计图纸进行必要的会审，重点审查各专业设计之间的衔接和设计文件问题；</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（6）国家和地方有关法令、法规、规章所规定的施工图审查工作必须完成的工作内容；</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（7）建设方要求审查的其他内容（包括但不限于：设计变更）。</w:t>
      </w:r>
    </w:p>
    <w:p>
      <w:pPr>
        <w:snapToGrid w:val="0"/>
        <w:spacing w:line="360" w:lineRule="auto"/>
        <w:ind w:left="136"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2.7服务期限：</w:t>
      </w:r>
      <w:r>
        <w:rPr>
          <w:rFonts w:hint="eastAsia" w:ascii="宋体" w:hAnsi="宋体" w:eastAsia="宋体" w:cs="宋体"/>
          <w:color w:val="auto"/>
          <w:sz w:val="24"/>
          <w:szCs w:val="24"/>
          <w:highlight w:val="none"/>
          <w:u w:val="single"/>
        </w:rPr>
        <w:t>自合同签订之日起至完成合同约定的所有服务内容为止。</w:t>
      </w:r>
    </w:p>
    <w:p>
      <w:pPr>
        <w:snapToGrid w:val="0"/>
        <w:spacing w:line="360" w:lineRule="auto"/>
        <w:ind w:left="136"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2.8工期要求：</w:t>
      </w:r>
      <w:r>
        <w:rPr>
          <w:rFonts w:hint="eastAsia" w:ascii="宋体" w:hAnsi="宋体" w:eastAsia="宋体" w:cs="宋体"/>
          <w:color w:val="auto"/>
          <w:sz w:val="24"/>
          <w:szCs w:val="24"/>
          <w:highlight w:val="none"/>
          <w:u w:val="single"/>
        </w:rPr>
        <w:t>在勘察设计单位提交施工图设计文件与资料后5个工作日内提出施工图审查意见，在勘察设计单位整改合格后5个工作日内出施工图审查报告、施工图审查合格书和审查合格的施工图纸。</w:t>
      </w:r>
    </w:p>
    <w:p>
      <w:pPr>
        <w:snapToGrid w:val="0"/>
        <w:spacing w:line="360" w:lineRule="auto"/>
        <w:ind w:left="136"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2.9本项目前期勘察设计单位为：</w:t>
      </w:r>
      <w:r>
        <w:rPr>
          <w:rFonts w:hint="eastAsia" w:ascii="宋体" w:hAnsi="宋体" w:eastAsia="宋体" w:cs="宋体"/>
          <w:color w:val="auto"/>
          <w:sz w:val="24"/>
          <w:szCs w:val="24"/>
          <w:highlight w:val="none"/>
          <w:u w:val="single"/>
        </w:rPr>
        <w:t>建材广州工程勘测院有限公司（勘察单位）、广东省建筑设计研究院有限公司（初步设计单位）。</w:t>
      </w:r>
      <w:r>
        <w:rPr>
          <w:rFonts w:hint="eastAsia" w:ascii="宋体" w:hAnsi="宋体" w:eastAsia="宋体" w:cs="宋体"/>
          <w:color w:val="auto"/>
          <w:sz w:val="24"/>
          <w:szCs w:val="24"/>
          <w:highlight w:val="none"/>
        </w:rPr>
        <w:t>（勘察设计单位与施工图审查单位不能为同一人，如勘察设计服务招标与施工图审查服务招标由同一家单位中标的，则中标单位须自动放弃施工图审查服务中标资格。）</w:t>
      </w:r>
    </w:p>
    <w:p>
      <w:pPr>
        <w:numPr>
          <w:ilvl w:val="0"/>
          <w:numId w:val="3"/>
        </w:numPr>
        <w:tabs>
          <w:tab w:val="left" w:pos="540"/>
        </w:tabs>
        <w:snapToGrid w:val="0"/>
        <w:spacing w:line="360" w:lineRule="auto"/>
        <w:rPr>
          <w:rFonts w:ascii="宋体" w:hAnsi="宋体" w:eastAsia="宋体" w:cs="宋体"/>
          <w:b/>
          <w:color w:val="auto"/>
          <w:sz w:val="32"/>
          <w:szCs w:val="24"/>
          <w:highlight w:val="none"/>
        </w:rPr>
      </w:pPr>
      <w:r>
        <w:rPr>
          <w:rFonts w:hint="eastAsia" w:ascii="宋体" w:hAnsi="宋体" w:eastAsia="宋体" w:cs="宋体"/>
          <w:b/>
          <w:color w:val="auto"/>
          <w:sz w:val="32"/>
          <w:szCs w:val="24"/>
          <w:highlight w:val="none"/>
        </w:rPr>
        <w:t>投标人资格要求</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 投标人参加投标的意思表达清楚，投标人代表被授权有效。</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 投标人具有独立法人资格，持有工商行政管理部门核发的法人营业执照或各级登记管理机关颁发的事业单位法人证书，按国家法律经营。</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highlight w:val="none"/>
        </w:rPr>
        <w:t>3.3 投标人具有建设行政主管部门颁发的施工图设计文件审查机构</w:t>
      </w:r>
      <w:r>
        <w:rPr>
          <w:rFonts w:hint="eastAsia" w:ascii="宋体" w:hAnsi="宋体" w:eastAsia="宋体" w:cs="宋体"/>
          <w:color w:val="auto"/>
          <w:sz w:val="24"/>
          <w:highlight w:val="none"/>
          <w:u w:val="single"/>
        </w:rPr>
        <w:t>一类</w:t>
      </w:r>
      <w:r>
        <w:rPr>
          <w:rFonts w:hint="eastAsia" w:ascii="宋体" w:hAnsi="宋体" w:eastAsia="宋体" w:cs="宋体"/>
          <w:color w:val="auto"/>
          <w:sz w:val="24"/>
          <w:highlight w:val="none"/>
        </w:rPr>
        <w:t>资质证书[</w:t>
      </w:r>
      <w:r>
        <w:rPr>
          <w:rFonts w:hint="eastAsia" w:ascii="宋体" w:hAnsi="宋体" w:eastAsia="宋体" w:cs="宋体"/>
          <w:color w:val="auto"/>
          <w:sz w:val="24"/>
          <w:szCs w:val="24"/>
          <w:highlight w:val="none"/>
        </w:rPr>
        <w:t>业务范围须含市政基础设施（给水、排水）工程</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且证书在有效期内。</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 本项目的项目负责人具有市政类专业高级工程师（或以上）职称。</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 投标人在投标登记前应到广州公共资源交易中心办理企业信息登记。</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 本项目不接受联合体投标。</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3.7投标人已按招标文件格式要求签署盖章《投标人声明》。</w:t>
      </w:r>
    </w:p>
    <w:p>
      <w:pP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3.8未被纳入国家、市、区的失信联合惩戒名单且</w:t>
      </w:r>
      <w:r>
        <w:rPr>
          <w:rFonts w:hint="eastAsia" w:ascii="宋体" w:hAnsi="宋体" w:eastAsia="宋体" w:cs="宋体"/>
          <w:color w:val="auto"/>
          <w:sz w:val="24"/>
          <w:highlight w:val="none"/>
          <w:lang w:val="en-US" w:eastAsia="zh-CN"/>
        </w:rPr>
        <w:t>未</w:t>
      </w:r>
      <w:r>
        <w:rPr>
          <w:rFonts w:hint="eastAsia" w:ascii="宋体" w:hAnsi="宋体" w:eastAsia="宋体" w:cs="宋体"/>
          <w:color w:val="auto"/>
          <w:sz w:val="24"/>
          <w:highlight w:val="none"/>
        </w:rPr>
        <w:t>被限制参加建设工程投标的（具体名单以递交投标文件截止时间“信用广州”</w:t>
      </w:r>
      <w:r>
        <w:rPr>
          <w:rFonts w:hint="eastAsia" w:ascii="宋体" w:hAnsi="宋体" w:eastAsia="宋体" w:cs="宋体"/>
          <w:color w:val="auto"/>
          <w:sz w:val="22"/>
          <w:szCs w:val="21"/>
          <w:highlight w:val="none"/>
        </w:rPr>
        <w:t>https://credit1.gz.gov.cn/sgs/sgsXkNew</w:t>
      </w:r>
      <w:r>
        <w:rPr>
          <w:rFonts w:hint="eastAsia" w:ascii="宋体" w:hAnsi="宋体" w:eastAsia="宋体" w:cs="宋体"/>
          <w:color w:val="auto"/>
          <w:sz w:val="24"/>
          <w:highlight w:val="none"/>
        </w:rPr>
        <w:t>公布的“失信</w:t>
      </w:r>
      <w:r>
        <w:rPr>
          <w:rFonts w:hint="eastAsia" w:ascii="宋体" w:hAnsi="宋体" w:eastAsia="宋体" w:cs="宋体"/>
          <w:color w:val="auto"/>
          <w:sz w:val="24"/>
          <w:highlight w:val="none"/>
          <w:lang w:val="en-US" w:eastAsia="zh-CN"/>
        </w:rPr>
        <w:t>联合惩戒</w:t>
      </w:r>
      <w:r>
        <w:rPr>
          <w:rFonts w:hint="eastAsia" w:ascii="宋体" w:hAnsi="宋体" w:eastAsia="宋体" w:cs="宋体"/>
          <w:color w:val="auto"/>
          <w:sz w:val="24"/>
          <w:highlight w:val="none"/>
        </w:rPr>
        <w:t>黑名单”为准。不包含限制参加财政投资工程或政府投资工程的投标）。</w:t>
      </w:r>
      <w:r>
        <w:rPr>
          <w:rFonts w:hint="eastAsia" w:ascii="宋体" w:hAnsi="宋体" w:eastAsia="宋体" w:cs="宋体"/>
          <w:color w:val="auto"/>
          <w:sz w:val="22"/>
          <w:szCs w:val="21"/>
          <w:highlight w:val="none"/>
        </w:rPr>
        <w:t>注：因联合惩戒措施表述存在细微差别，惩戒措施与上文不完全一致但措施内容相同的，也应属于被限制参与相关项目的投标。</w:t>
      </w:r>
      <w:r>
        <w:rPr>
          <w:rFonts w:hint="eastAsia" w:ascii="宋体" w:hAnsi="宋体" w:eastAsia="宋体" w:cs="宋体"/>
          <w:color w:val="auto"/>
          <w:sz w:val="24"/>
          <w:highlight w:val="none"/>
        </w:rPr>
        <w:t>（按投标人提供的《投标人声明》第六条内容进行评审）。</w:t>
      </w:r>
    </w:p>
    <w:p>
      <w:pPr>
        <w:snapToGrid w:val="0"/>
        <w:spacing w:line="360" w:lineRule="auto"/>
        <w:ind w:right="106" w:firstLine="480" w:firstLineChars="200"/>
        <w:jc w:val="left"/>
        <w:rPr>
          <w:rFonts w:ascii="宋体" w:hAnsi="宋体" w:eastAsia="宋体" w:cs="宋体"/>
          <w:color w:val="auto"/>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szCs w:val="24"/>
          <w:highlight w:val="none"/>
        </w:rPr>
        <w:t>未在招标公告第三条单列的投标人资格要求条件，不作为资审不合格的依据。</w:t>
      </w:r>
    </w:p>
    <w:p>
      <w:pPr>
        <w:snapToGrid w:val="0"/>
        <w:spacing w:line="360" w:lineRule="auto"/>
        <w:rPr>
          <w:rFonts w:ascii="宋体" w:hAnsi="宋体" w:eastAsia="宋体" w:cs="宋体"/>
          <w:color w:val="auto"/>
          <w:szCs w:val="21"/>
          <w:highlight w:val="none"/>
        </w:rPr>
      </w:pPr>
      <w:r>
        <w:rPr>
          <w:rFonts w:hint="eastAsia" w:ascii="宋体" w:hAnsi="宋体" w:eastAsia="宋体" w:cs="宋体"/>
          <w:b/>
          <w:color w:val="auto"/>
          <w:sz w:val="32"/>
          <w:szCs w:val="24"/>
          <w:highlight w:val="none"/>
        </w:rPr>
        <w:t>4．招标文件的获取</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4.1凡有意参加投标者，请登录广州公共资源交易中心网（http//www.gzggzy.cn）下载电子招标文件。</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t>4.2 本项目设立投标登记环节，采取</w:t>
      </w:r>
      <w:r>
        <w:rPr>
          <w:rFonts w:hint="eastAsia" w:ascii="宋体" w:hAnsi="宋体" w:eastAsia="宋体" w:cs="宋体"/>
          <w:color w:val="auto"/>
          <w:sz w:val="24"/>
          <w:szCs w:val="24"/>
          <w:highlight w:val="none"/>
          <w:u w:val="single"/>
        </w:rPr>
        <w:t xml:space="preserve"> （网上登记） </w:t>
      </w:r>
      <w:r>
        <w:rPr>
          <w:rFonts w:hint="eastAsia" w:ascii="宋体" w:hAnsi="宋体" w:eastAsia="宋体" w:cs="宋体"/>
          <w:color w:val="auto"/>
          <w:sz w:val="24"/>
          <w:szCs w:val="24"/>
          <w:highlight w:val="none"/>
        </w:rPr>
        <w:t>方式进行投标登记。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电子招投标操作流程详见广州公共资源交易中心网站发布的最新版操作指引）。</w:t>
      </w:r>
    </w:p>
    <w:p>
      <w:pPr>
        <w:snapToGrid w:val="0"/>
        <w:spacing w:line="360" w:lineRule="auto"/>
        <w:ind w:left="479" w:leftChars="22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4.2.1网上投标登记时间：</w:t>
      </w:r>
      <w:r>
        <w:rPr>
          <w:rFonts w:hint="eastAsia" w:ascii="宋体" w:hAnsi="宋体" w:eastAsia="宋体" w:cs="宋体"/>
          <w:color w:val="auto"/>
          <w:sz w:val="24"/>
          <w:szCs w:val="24"/>
          <w:highlight w:val="none"/>
          <w:u w:val="single"/>
        </w:rPr>
        <w:t>2022年  月  日  时  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2022年  月  日  时  分</w:t>
      </w:r>
      <w:r>
        <w:rPr>
          <w:rFonts w:hint="eastAsia" w:ascii="宋体" w:hAnsi="宋体" w:eastAsia="宋体" w:cs="宋体"/>
          <w:color w:val="auto"/>
          <w:sz w:val="24"/>
          <w:szCs w:val="24"/>
          <w:highlight w:val="none"/>
        </w:rPr>
        <w:t>。</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 本项目采用资格后审方式。</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注：（1）电子招投标操作流程详见广州公共资源交易中心网站发布的最新版操作指引，详见：</w:t>
      </w:r>
      <w:r>
        <w:rPr>
          <w:rFonts w:hint="eastAsia" w:ascii="宋体" w:hAnsi="宋体" w:eastAsia="宋体" w:cs="宋体"/>
          <w:color w:val="auto"/>
          <w:sz w:val="24"/>
          <w:szCs w:val="24"/>
          <w:highlight w:val="none"/>
          <w:u w:val="single"/>
        </w:rPr>
        <w:t>广州公共资源交易中心网站首页-服务指南</w:t>
      </w:r>
      <w:r>
        <w:rPr>
          <w:rFonts w:hint="eastAsia" w:ascii="宋体" w:hAnsi="宋体" w:eastAsia="宋体" w:cs="宋体"/>
          <w:color w:val="auto"/>
          <w:sz w:val="24"/>
          <w:szCs w:val="24"/>
          <w:highlight w:val="none"/>
        </w:rPr>
        <w:t>。</w:t>
      </w:r>
    </w:p>
    <w:p>
      <w:pPr>
        <w:numPr>
          <w:ilvl w:val="0"/>
          <w:numId w:val="4"/>
        </w:num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本公告发布之日起开始计算备标时间。</w:t>
      </w:r>
    </w:p>
    <w:p>
      <w:pPr>
        <w:numPr>
          <w:ilvl w:val="0"/>
          <w:numId w:val="4"/>
        </w:numPr>
        <w:shd w:val="clear" w:color="auto" w:fill="FFFFFF"/>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本项目各项投标活动具体可通过广州公共资源交易中心网站查询具体的时间和场地安排。</w:t>
      </w:r>
    </w:p>
    <w:p>
      <w:pPr>
        <w:snapToGrid w:val="0"/>
        <w:spacing w:line="360" w:lineRule="auto"/>
        <w:rPr>
          <w:rFonts w:ascii="宋体" w:hAnsi="宋体" w:eastAsia="宋体" w:cs="宋体"/>
          <w:b/>
          <w:color w:val="auto"/>
          <w:sz w:val="32"/>
          <w:szCs w:val="24"/>
          <w:highlight w:val="none"/>
        </w:rPr>
      </w:pPr>
      <w:bookmarkStart w:id="6" w:name="_Toc89870545"/>
      <w:bookmarkStart w:id="7" w:name="_Toc26711"/>
      <w:r>
        <w:rPr>
          <w:rFonts w:hint="eastAsia" w:ascii="宋体" w:hAnsi="宋体" w:eastAsia="宋体" w:cs="宋体"/>
          <w:b/>
          <w:color w:val="auto"/>
          <w:sz w:val="32"/>
          <w:szCs w:val="24"/>
          <w:highlight w:val="none"/>
        </w:rPr>
        <w:t>5. 投标文件的递交</w:t>
      </w:r>
      <w:bookmarkEnd w:id="6"/>
      <w:bookmarkEnd w:id="7"/>
    </w:p>
    <w:p>
      <w:pPr>
        <w:snapToGrid w:val="0"/>
        <w:spacing w:line="360" w:lineRule="auto"/>
        <w:ind w:left="239" w:leftChars="114" w:firstLine="180" w:firstLineChars="7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5.1发布招标公告时间（含本日）：</w:t>
      </w:r>
      <w:r>
        <w:rPr>
          <w:rFonts w:hint="eastAsia" w:ascii="宋体" w:hAnsi="宋体" w:eastAsia="宋体" w:cs="宋体"/>
          <w:color w:val="auto"/>
          <w:sz w:val="24"/>
          <w:szCs w:val="24"/>
          <w:highlight w:val="none"/>
          <w:u w:val="single"/>
        </w:rPr>
        <w:t>2022年  月  日  时  分至2022年  月  日  时  分</w:t>
      </w:r>
      <w:r>
        <w:rPr>
          <w:rFonts w:hint="eastAsia" w:ascii="宋体" w:hAnsi="宋体" w:eastAsia="宋体" w:cs="宋体"/>
          <w:color w:val="auto"/>
          <w:sz w:val="24"/>
          <w:szCs w:val="24"/>
          <w:highlight w:val="none"/>
        </w:rPr>
        <w:t>。</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pPr>
        <w:snapToGrid w:val="0"/>
        <w:spacing w:line="360" w:lineRule="auto"/>
        <w:ind w:firstLine="424" w:firstLineChars="177"/>
        <w:rPr>
          <w:rFonts w:ascii="宋体" w:hAnsi="宋体" w:eastAsia="宋体" w:cs="宋体"/>
          <w:color w:val="auto"/>
          <w:sz w:val="24"/>
          <w:highlight w:val="none"/>
        </w:rPr>
      </w:pPr>
      <w:r>
        <w:rPr>
          <w:rFonts w:hint="eastAsia" w:ascii="宋体" w:hAnsi="宋体" w:eastAsia="宋体" w:cs="宋体"/>
          <w:color w:val="auto"/>
          <w:sz w:val="24"/>
          <w:szCs w:val="24"/>
          <w:highlight w:val="none"/>
        </w:rPr>
        <w:t>5.2递交投标文件时间：</w:t>
      </w:r>
      <w:r>
        <w:rPr>
          <w:rFonts w:hint="eastAsia" w:ascii="宋体" w:hAnsi="宋体" w:eastAsia="宋体" w:cs="宋体"/>
          <w:color w:val="auto"/>
          <w:sz w:val="24"/>
          <w:szCs w:val="24"/>
          <w:highlight w:val="none"/>
          <w:u w:val="single"/>
        </w:rPr>
        <w:t>2022年  月  日  时  分至2022年  月  日  时  分</w:t>
      </w: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u w:val="single"/>
        </w:rPr>
        <w:t>广州公共资源交易中心网站（网址：http://www.gzggzy.cn/）</w:t>
      </w:r>
      <w:r>
        <w:rPr>
          <w:rFonts w:hint="eastAsia" w:ascii="宋体" w:hAnsi="宋体" w:eastAsia="宋体" w:cs="宋体"/>
          <w:color w:val="auto"/>
          <w:sz w:val="24"/>
          <w:szCs w:val="24"/>
          <w:highlight w:val="none"/>
        </w:rPr>
        <w:t>交易平台递交电子投标文件。投标人应在递交投标文件截止时间前，登录</w:t>
      </w:r>
      <w:r>
        <w:rPr>
          <w:rFonts w:hint="eastAsia" w:ascii="宋体" w:hAnsi="宋体" w:eastAsia="宋体" w:cs="宋体"/>
          <w:color w:val="auto"/>
          <w:sz w:val="24"/>
          <w:szCs w:val="24"/>
          <w:highlight w:val="none"/>
          <w:u w:val="single"/>
        </w:rPr>
        <w:t>广州公共资源交易中心网站</w:t>
      </w:r>
      <w:r>
        <w:rPr>
          <w:rFonts w:hint="eastAsia" w:ascii="宋体" w:hAnsi="宋体" w:eastAsia="宋体" w:cs="宋体"/>
          <w:color w:val="auto"/>
          <w:sz w:val="24"/>
          <w:szCs w:val="24"/>
          <w:highlight w:val="none"/>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广州公共资源交易中心网站首页-服务指南。</w:t>
      </w:r>
    </w:p>
    <w:p>
      <w:pPr>
        <w:snapToGri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lang w:bidi="ar"/>
        </w:rPr>
        <w:t>5.3投标文件备用光盘递交时间为</w:t>
      </w:r>
      <w:r>
        <w:rPr>
          <w:rFonts w:hint="eastAsia" w:ascii="宋体" w:hAnsi="宋体" w:eastAsia="宋体" w:cs="宋体"/>
          <w:color w:val="auto"/>
          <w:sz w:val="24"/>
          <w:szCs w:val="24"/>
          <w:highlight w:val="none"/>
          <w:u w:val="single"/>
        </w:rPr>
        <w:t>2022</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时</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分至</w:t>
      </w:r>
      <w:r>
        <w:rPr>
          <w:rFonts w:hint="eastAsia" w:ascii="宋体" w:hAnsi="宋体" w:eastAsia="宋体" w:cs="宋体"/>
          <w:color w:val="auto"/>
          <w:sz w:val="24"/>
          <w:szCs w:val="24"/>
          <w:highlight w:val="none"/>
          <w:u w:val="single"/>
        </w:rPr>
        <w:t>2022</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时</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分，地点为广州公共资源交易中心增城交易部</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r>
        <w:rPr>
          <w:rFonts w:hint="eastAsia" w:ascii="宋体" w:hAnsi="宋体" w:eastAsia="宋体" w:cs="宋体"/>
          <w:color w:val="auto"/>
          <w:sz w:val="24"/>
          <w:highlight w:val="none"/>
          <w:lang w:bidi="ar"/>
        </w:rPr>
        <w:t>（地址：增城区增城大道2号金河湾3栋108）。</w:t>
      </w:r>
      <w:r>
        <w:rPr>
          <w:rFonts w:hint="eastAsia" w:ascii="宋体" w:hAnsi="宋体" w:eastAsia="宋体" w:cs="宋体"/>
          <w:color w:val="auto"/>
          <w:sz w:val="24"/>
          <w:szCs w:val="24"/>
          <w:highlight w:val="none"/>
          <w:lang w:bidi="ar"/>
        </w:rPr>
        <w:t>（电子光盘需按规定封装。投标人在将数据刻录到光盘之后，投标前自行检查文件是否可以读取）</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highlight w:val="none"/>
          <w:lang w:bidi="ar"/>
        </w:rPr>
        <w:t>5.4</w:t>
      </w:r>
      <w:r>
        <w:rPr>
          <w:rFonts w:hint="eastAsia" w:ascii="宋体" w:hAnsi="宋体" w:eastAsia="宋体" w:cs="宋体"/>
          <w:color w:val="auto"/>
          <w:sz w:val="24"/>
          <w:szCs w:val="24"/>
          <w:highlight w:val="none"/>
        </w:rPr>
        <w:t>逾期送达的投标文件，电子招标投标交易平台将予以拒收。逾期或未在指定地点递交投标文件光盘的,招标人拒绝接收其投标文件光盘。</w:t>
      </w:r>
    </w:p>
    <w:p>
      <w:pPr>
        <w:tabs>
          <w:tab w:val="left" w:pos="36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5.5开标时间：</w:t>
      </w:r>
      <w:r>
        <w:rPr>
          <w:rFonts w:hint="eastAsia" w:ascii="宋体" w:hAnsi="宋体" w:eastAsia="宋体" w:cs="宋体"/>
          <w:color w:val="auto"/>
          <w:sz w:val="24"/>
          <w:szCs w:val="24"/>
          <w:highlight w:val="none"/>
          <w:u w:val="single"/>
        </w:rPr>
        <w:t>2022年  月  日  时  分</w:t>
      </w:r>
      <w:r>
        <w:rPr>
          <w:rFonts w:hint="eastAsia" w:ascii="宋体" w:hAnsi="宋体" w:eastAsia="宋体" w:cs="宋体"/>
          <w:color w:val="auto"/>
          <w:sz w:val="24"/>
          <w:szCs w:val="24"/>
          <w:highlight w:val="none"/>
        </w:rPr>
        <w:t>。地点：广州公共资源交易中心增城交易部第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开标室。</w:t>
      </w:r>
    </w:p>
    <w:p>
      <w:pPr>
        <w:tabs>
          <w:tab w:val="left" w:pos="36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lang w:bidi="ar"/>
        </w:rPr>
        <w:t>投标文件解密：</w:t>
      </w:r>
      <w:r>
        <w:rPr>
          <w:rFonts w:hint="eastAsia" w:ascii="宋体" w:hAnsi="宋体" w:eastAsia="宋体" w:cs="宋体"/>
          <w:color w:val="auto"/>
          <w:sz w:val="24"/>
          <w:szCs w:val="24"/>
          <w:highlight w:val="none"/>
        </w:rPr>
        <w:t>投标人在递交电子投标文件截止时间到达后的半个小时内使用制作该电子投标文件的机构业务数字证书对电子投标文件进行解密。逾期未解密或因投标人原因造成电子投标文件解密不成功的，视为投标人未递交电子投标文件。</w:t>
      </w:r>
      <w:r>
        <w:rPr>
          <w:rFonts w:hint="eastAsia" w:ascii="宋体" w:hAnsi="宋体" w:eastAsia="宋体" w:cs="宋体"/>
          <w:color w:val="auto"/>
          <w:kern w:val="0"/>
          <w:sz w:val="24"/>
          <w:szCs w:val="24"/>
          <w:highlight w:val="none"/>
          <w:shd w:val="clear" w:color="auto" w:fill="FFFFFF"/>
          <w:lang w:bidi="ar"/>
        </w:rPr>
        <w:t>因投标人原因造成电子投标文件未解密的不参与投标文件评审</w:t>
      </w:r>
      <w:r>
        <w:rPr>
          <w:rFonts w:hint="eastAsia" w:ascii="宋体" w:hAnsi="宋体" w:eastAsia="宋体" w:cs="宋体"/>
          <w:color w:val="auto"/>
          <w:sz w:val="24"/>
          <w:szCs w:val="24"/>
          <w:highlight w:val="none"/>
        </w:rPr>
        <w:t>。</w:t>
      </w:r>
    </w:p>
    <w:p>
      <w:pPr>
        <w:shd w:val="clear" w:color="auto" w:fill="FFFFFF"/>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注：本项目各项投标活动具体可通过广州公共资源交易中心网站查询具体的时间和场地安排。</w:t>
      </w:r>
    </w:p>
    <w:p>
      <w:pPr>
        <w:tabs>
          <w:tab w:val="left" w:pos="760"/>
        </w:tabs>
        <w:snapToGrid w:val="0"/>
        <w:spacing w:line="360" w:lineRule="auto"/>
        <w:rPr>
          <w:rFonts w:ascii="宋体" w:hAnsi="宋体" w:eastAsia="宋体" w:cs="宋体"/>
          <w:b/>
          <w:color w:val="auto"/>
          <w:sz w:val="32"/>
          <w:szCs w:val="24"/>
          <w:highlight w:val="none"/>
        </w:rPr>
      </w:pPr>
      <w:r>
        <w:rPr>
          <w:rFonts w:hint="eastAsia" w:ascii="宋体" w:hAnsi="宋体" w:eastAsia="宋体" w:cs="宋体"/>
          <w:b/>
          <w:color w:val="auto"/>
          <w:sz w:val="32"/>
          <w:szCs w:val="24"/>
          <w:highlight w:val="none"/>
        </w:rPr>
        <w:t>6. 发布公告的媒介</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次招标公告同时在广州公共资源交易网（网址：http://www.gzggzy.cn/）、广东省招标投标监管网（网址：http://zbtb.gd.gov.cn/）、中国招标投标公共服务平台（网址：http://www.cebpubservice.com/）和广州市增城区人民政府门户网站（http://www.zc.gov.cn/）的“首页&gt;公开&gt;公共资源配置领域&gt;工程建设项目招投标”栏目发布，本公告的修改、补充，在广州公共资源交易中心网站上发布。</w:t>
      </w:r>
    </w:p>
    <w:p>
      <w:pPr>
        <w:snapToGrid w:val="0"/>
        <w:spacing w:line="360" w:lineRule="auto"/>
        <w:ind w:firstLine="480" w:firstLineChars="200"/>
        <w:rPr>
          <w:rFonts w:ascii="宋体" w:hAnsi="宋体" w:eastAsia="宋体" w:cs="宋体"/>
          <w:color w:val="auto"/>
          <w:sz w:val="24"/>
          <w:szCs w:val="24"/>
          <w:highlight w:val="none"/>
        </w:rPr>
      </w:pPr>
    </w:p>
    <w:p>
      <w:pPr>
        <w:snapToGrid w:val="0"/>
        <w:spacing w:line="360" w:lineRule="auto"/>
        <w:rPr>
          <w:rFonts w:ascii="宋体" w:hAnsi="宋体" w:eastAsia="宋体" w:cs="宋体"/>
          <w:b/>
          <w:color w:val="auto"/>
          <w:sz w:val="32"/>
          <w:szCs w:val="24"/>
          <w:highlight w:val="none"/>
        </w:rPr>
      </w:pPr>
      <w:r>
        <w:rPr>
          <w:rFonts w:hint="eastAsia" w:ascii="宋体" w:hAnsi="宋体" w:eastAsia="宋体" w:cs="宋体"/>
          <w:b/>
          <w:color w:val="auto"/>
          <w:sz w:val="32"/>
          <w:szCs w:val="24"/>
          <w:highlight w:val="none"/>
        </w:rPr>
        <w:t>7. 联系方式</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u w:val="single"/>
        </w:rPr>
        <w:t xml:space="preserve">广州市增城区水务建设管理所 </w:t>
      </w:r>
    </w:p>
    <w:p>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highlight w:val="none"/>
          <w:u w:val="single"/>
        </w:rPr>
        <w:t>增城区荔城街园圃路4号</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 人：屈工</w:t>
      </w:r>
    </w:p>
    <w:p>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szCs w:val="24"/>
          <w:highlight w:val="none"/>
        </w:rPr>
        <w:t>电    话：020-82639382</w:t>
      </w:r>
    </w:p>
    <w:p>
      <w:pPr>
        <w:snapToGrid w:val="0"/>
        <w:spacing w:line="360" w:lineRule="auto"/>
        <w:ind w:firstLine="480" w:firstLineChars="200"/>
        <w:rPr>
          <w:rFonts w:ascii="宋体" w:hAnsi="宋体" w:eastAsia="宋体" w:cs="宋体"/>
          <w:color w:val="auto"/>
          <w:sz w:val="24"/>
          <w:highlight w:val="none"/>
          <w:u w:val="single"/>
        </w:rPr>
      </w:pP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rPr>
        <w:t>广州高新工程顾问有限公司</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highlight w:val="none"/>
        </w:rPr>
        <w:t xml:space="preserve">    址：</w:t>
      </w:r>
      <w:r>
        <w:rPr>
          <w:rFonts w:hint="eastAsia" w:ascii="宋体" w:hAnsi="宋体" w:eastAsia="宋体" w:cs="宋体"/>
          <w:color w:val="auto"/>
          <w:sz w:val="24"/>
          <w:szCs w:val="24"/>
          <w:highlight w:val="none"/>
          <w:u w:val="single"/>
        </w:rPr>
        <w:t>广州市天河区华观路1933号万科云A栋503-504</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rPr>
        <w:t>郑工</w:t>
      </w:r>
    </w:p>
    <w:p>
      <w:pPr>
        <w:pStyle w:val="16"/>
        <w:snapToGri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13560477267</w:t>
      </w:r>
      <w:r>
        <w:rPr>
          <w:rFonts w:hint="eastAsia" w:ascii="宋体" w:hAnsi="宋体" w:cs="宋体"/>
          <w:color w:val="auto"/>
          <w:sz w:val="24"/>
          <w:highlight w:val="none"/>
        </w:rPr>
        <w:t xml:space="preserve"> </w:t>
      </w:r>
    </w:p>
    <w:p>
      <w:pPr>
        <w:wordWrap w:val="0"/>
        <w:topLinePunct/>
        <w:snapToGrid w:val="0"/>
        <w:spacing w:line="360" w:lineRule="auto"/>
        <w:ind w:right="-233" w:rightChars="-111" w:firstLine="480" w:firstLineChars="200"/>
        <w:rPr>
          <w:rFonts w:ascii="宋体" w:hAnsi="宋体" w:eastAsia="宋体" w:cs="宋体"/>
          <w:color w:val="auto"/>
          <w:sz w:val="24"/>
          <w:szCs w:val="24"/>
          <w:highlight w:val="none"/>
        </w:rPr>
      </w:pPr>
    </w:p>
    <w:p>
      <w:pPr>
        <w:wordWrap w:val="0"/>
        <w:topLinePunct/>
        <w:snapToGrid w:val="0"/>
        <w:spacing w:line="360" w:lineRule="auto"/>
        <w:ind w:right="-233" w:rightChars="-11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rPr>
        <w:t>广州市增城区水务建设管理所</w:t>
      </w:r>
    </w:p>
    <w:p>
      <w:pPr>
        <w:wordWrap w:val="0"/>
        <w:topLinePunct/>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highlight w:val="none"/>
          <w:u w:val="single"/>
        </w:rPr>
        <w:t xml:space="preserve">增城区荔城街园圃路4号 </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 人：屈工</w:t>
      </w:r>
    </w:p>
    <w:p>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szCs w:val="24"/>
          <w:highlight w:val="none"/>
        </w:rPr>
        <w:t>电    话：020-82639382</w:t>
      </w:r>
    </w:p>
    <w:p>
      <w:pPr>
        <w:wordWrap w:val="0"/>
        <w:snapToGrid w:val="0"/>
        <w:spacing w:line="360" w:lineRule="auto"/>
        <w:ind w:firstLine="480" w:firstLineChars="200"/>
        <w:rPr>
          <w:rFonts w:ascii="宋体" w:hAnsi="宋体" w:eastAsia="宋体" w:cs="宋体"/>
          <w:color w:val="auto"/>
          <w:sz w:val="24"/>
          <w:szCs w:val="24"/>
          <w:highlight w:val="none"/>
        </w:rPr>
      </w:pPr>
    </w:p>
    <w:p>
      <w:pPr>
        <w:wordWrap w:val="0"/>
        <w:topLinePunct/>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广州市增城区水务局</w:t>
      </w:r>
    </w:p>
    <w:p>
      <w:pPr>
        <w:wordWrap w:val="0"/>
        <w:topLinePunct/>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广州市增城区荔城街园圃路4号</w:t>
      </w:r>
    </w:p>
    <w:p>
      <w:pPr>
        <w:wordWrap w:val="0"/>
        <w:topLinePunct/>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020-82639502</w:t>
      </w:r>
    </w:p>
    <w:p>
      <w:pPr>
        <w:pStyle w:val="16"/>
        <w:snapToGrid w:val="0"/>
        <w:spacing w:after="0" w:line="360" w:lineRule="auto"/>
        <w:ind w:firstLine="480" w:firstLineChars="200"/>
        <w:rPr>
          <w:rFonts w:ascii="宋体" w:hAnsi="宋体" w:cs="宋体"/>
          <w:color w:val="auto"/>
          <w:sz w:val="24"/>
          <w:highlight w:val="none"/>
        </w:rPr>
      </w:pPr>
    </w:p>
    <w:p>
      <w:pPr>
        <w:wordWrap w:val="0"/>
        <w:topLinePunct/>
        <w:snapToGrid w:val="0"/>
        <w:spacing w:line="360" w:lineRule="auto"/>
        <w:ind w:right="31" w:rightChars="1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wordWrap w:val="0"/>
        <w:topLinePunct/>
        <w:snapToGrid w:val="0"/>
        <w:spacing w:line="360" w:lineRule="auto"/>
        <w:ind w:right="31" w:rightChars="1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招 标 人：广州市增城区水务建设管理所</w:t>
      </w:r>
    </w:p>
    <w:p>
      <w:pPr>
        <w:wordWrap w:val="0"/>
        <w:topLinePunct/>
        <w:snapToGrid w:val="0"/>
        <w:spacing w:line="360" w:lineRule="auto"/>
        <w:ind w:right="31" w:rightChars="15"/>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招标代理机构：广州高新工程顾问有限公司</w:t>
      </w:r>
    </w:p>
    <w:p>
      <w:pPr>
        <w:wordWrap w:val="0"/>
        <w:topLinePunct/>
        <w:snapToGrid w:val="0"/>
        <w:spacing w:line="360" w:lineRule="auto"/>
        <w:ind w:right="31" w:rightChars="15"/>
        <w:rPr>
          <w:rFonts w:ascii="宋体" w:hAnsi="宋体" w:eastAsia="宋体" w:cs="宋体"/>
          <w:color w:val="auto"/>
          <w:szCs w:val="21"/>
          <w:highlight w:val="none"/>
        </w:rPr>
      </w:pPr>
      <w:r>
        <w:rPr>
          <w:rFonts w:hint="eastAsia" w:ascii="宋体" w:hAnsi="宋体" w:eastAsia="宋体" w:cs="宋体"/>
          <w:color w:val="auto"/>
          <w:sz w:val="24"/>
          <w:szCs w:val="24"/>
          <w:highlight w:val="none"/>
        </w:rPr>
        <w:t xml:space="preserve">                                 日  期：2022年  月   日</w:t>
      </w:r>
    </w:p>
    <w:p>
      <w:pPr>
        <w:pStyle w:val="3"/>
        <w:keepNext w:val="0"/>
        <w:keepLines w:val="0"/>
        <w:spacing w:before="0" w:after="0" w:line="340" w:lineRule="atLeast"/>
        <w:jc w:val="center"/>
        <w:rPr>
          <w:rFonts w:ascii="宋体" w:cs="宋体"/>
          <w:color w:val="auto"/>
          <w:highlight w:val="none"/>
        </w:rPr>
      </w:pPr>
      <w:bookmarkStart w:id="8" w:name="_Toc14609"/>
      <w:r>
        <w:rPr>
          <w:rFonts w:hint="eastAsia" w:ascii="宋体" w:cs="宋体"/>
          <w:color w:val="auto"/>
          <w:highlight w:val="none"/>
        </w:rPr>
        <w:br w:type="page"/>
      </w:r>
    </w:p>
    <w:p>
      <w:pPr>
        <w:pStyle w:val="3"/>
        <w:keepNext w:val="0"/>
        <w:keepLines w:val="0"/>
        <w:spacing w:before="0" w:after="0" w:line="340" w:lineRule="atLeast"/>
        <w:jc w:val="center"/>
        <w:rPr>
          <w:rFonts w:ascii="宋体" w:cs="宋体"/>
          <w:color w:val="auto"/>
          <w:highlight w:val="none"/>
        </w:rPr>
      </w:pPr>
      <w:r>
        <w:rPr>
          <w:rFonts w:hint="eastAsia" w:ascii="宋体" w:cs="宋体"/>
          <w:color w:val="auto"/>
          <w:highlight w:val="none"/>
        </w:rPr>
        <w:t>第二章投标人须知</w:t>
      </w:r>
      <w:bookmarkEnd w:id="8"/>
    </w:p>
    <w:p>
      <w:pPr>
        <w:rPr>
          <w:rFonts w:ascii="宋体" w:eastAsia="宋体" w:cs="宋体"/>
          <w:color w:val="auto"/>
          <w:highlight w:val="none"/>
        </w:rPr>
      </w:pPr>
    </w:p>
    <w:p>
      <w:pPr>
        <w:pStyle w:val="4"/>
        <w:keepNext w:val="0"/>
        <w:keepLines w:val="0"/>
        <w:spacing w:before="0" w:after="0" w:line="340" w:lineRule="atLeast"/>
        <w:jc w:val="center"/>
        <w:rPr>
          <w:rFonts w:ascii="宋体" w:eastAsia="宋体" w:cs="宋体"/>
          <w:color w:val="auto"/>
          <w:highlight w:val="none"/>
        </w:rPr>
      </w:pPr>
      <w:bookmarkStart w:id="9" w:name="_Toc2659"/>
      <w:bookmarkStart w:id="10" w:name="_Toc4052330"/>
      <w:bookmarkStart w:id="11" w:name="_Toc27192"/>
      <w:r>
        <w:rPr>
          <w:rFonts w:hint="eastAsia" w:ascii="宋体" w:eastAsia="宋体" w:cs="宋体"/>
          <w:color w:val="auto"/>
          <w:highlight w:val="none"/>
        </w:rPr>
        <w:t>投标人须知前附表</w:t>
      </w:r>
      <w:bookmarkEnd w:id="9"/>
      <w:bookmarkEnd w:id="10"/>
      <w:bookmarkEnd w:id="11"/>
    </w:p>
    <w:tbl>
      <w:tblPr>
        <w:tblStyle w:val="46"/>
        <w:tblW w:w="9313"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6"/>
        <w:gridCol w:w="2149"/>
        <w:gridCol w:w="617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7" w:hRule="atLeast"/>
          <w:tblHeader/>
          <w:jc w:val="center"/>
        </w:trPr>
        <w:tc>
          <w:tcPr>
            <w:tcW w:w="986" w:type="dxa"/>
            <w:vAlign w:val="center"/>
          </w:tcPr>
          <w:p>
            <w:pPr>
              <w:snapToGrid w:val="0"/>
              <w:jc w:val="center"/>
              <w:rPr>
                <w:rFonts w:ascii="宋体" w:eastAsia="宋体" w:cs="宋体"/>
                <w:b/>
                <w:color w:val="auto"/>
                <w:sz w:val="24"/>
                <w:szCs w:val="24"/>
                <w:highlight w:val="none"/>
              </w:rPr>
            </w:pPr>
            <w:r>
              <w:rPr>
                <w:rFonts w:hint="eastAsia" w:ascii="宋体" w:eastAsia="宋体" w:cs="宋体"/>
                <w:b/>
                <w:color w:val="auto"/>
                <w:sz w:val="24"/>
                <w:szCs w:val="24"/>
                <w:highlight w:val="none"/>
              </w:rPr>
              <w:t>条款号</w:t>
            </w:r>
          </w:p>
        </w:tc>
        <w:tc>
          <w:tcPr>
            <w:tcW w:w="2149" w:type="dxa"/>
            <w:vAlign w:val="center"/>
          </w:tcPr>
          <w:p>
            <w:pPr>
              <w:snapToGrid w:val="0"/>
              <w:jc w:val="center"/>
              <w:rPr>
                <w:rFonts w:ascii="宋体" w:eastAsia="宋体" w:cs="宋体"/>
                <w:b/>
                <w:color w:val="auto"/>
                <w:sz w:val="24"/>
                <w:szCs w:val="24"/>
                <w:highlight w:val="none"/>
              </w:rPr>
            </w:pPr>
            <w:r>
              <w:rPr>
                <w:rFonts w:hint="eastAsia" w:ascii="宋体" w:eastAsia="宋体" w:cs="宋体"/>
                <w:b/>
                <w:color w:val="auto"/>
                <w:sz w:val="24"/>
                <w:szCs w:val="24"/>
                <w:highlight w:val="none"/>
              </w:rPr>
              <w:t>条款名称</w:t>
            </w:r>
          </w:p>
        </w:tc>
        <w:tc>
          <w:tcPr>
            <w:tcW w:w="6178" w:type="dxa"/>
            <w:vAlign w:val="center"/>
          </w:tcPr>
          <w:p>
            <w:pPr>
              <w:snapToGrid w:val="0"/>
              <w:jc w:val="center"/>
              <w:rPr>
                <w:rFonts w:ascii="宋体" w:eastAsia="宋体" w:cs="宋体"/>
                <w:b/>
                <w:color w:val="auto"/>
                <w:sz w:val="24"/>
                <w:szCs w:val="24"/>
                <w:highlight w:val="none"/>
              </w:rPr>
            </w:pPr>
            <w:r>
              <w:rPr>
                <w:rFonts w:hint="eastAsia" w:asci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8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招标人</w:t>
            </w:r>
          </w:p>
        </w:tc>
        <w:tc>
          <w:tcPr>
            <w:tcW w:w="6178" w:type="dxa"/>
            <w:vAlign w:val="center"/>
          </w:tcPr>
          <w:p>
            <w:pPr>
              <w:snapToGrid w:val="0"/>
              <w:ind w:left="720" w:hanging="720" w:hangingChars="300"/>
              <w:rPr>
                <w:rFonts w:ascii="宋体" w:eastAsia="宋体" w:cs="宋体"/>
                <w:color w:val="auto"/>
                <w:sz w:val="24"/>
                <w:szCs w:val="24"/>
                <w:highlight w:val="none"/>
              </w:rPr>
            </w:pPr>
            <w:r>
              <w:rPr>
                <w:rFonts w:hint="eastAsia" w:ascii="宋体" w:eastAsia="宋体" w:cs="宋体"/>
                <w:color w:val="auto"/>
                <w:sz w:val="24"/>
                <w:szCs w:val="24"/>
                <w:highlight w:val="none"/>
              </w:rPr>
              <w:t>名称：广州市增城区水务建设管理所</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地址：增城区荔城街园圃路4号</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联 系 人：屈工</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联系电话：020-82639382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3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招标代理机构</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名称：</w:t>
            </w:r>
            <w:r>
              <w:rPr>
                <w:rFonts w:hint="eastAsia" w:ascii="宋体" w:eastAsia="宋体" w:cs="宋体"/>
                <w:color w:val="auto"/>
                <w:sz w:val="24"/>
                <w:szCs w:val="24"/>
                <w:highlight w:val="none"/>
                <w:u w:val="single"/>
              </w:rPr>
              <w:t>广州高新工程顾问有限公司</w:t>
            </w:r>
          </w:p>
          <w:p>
            <w:pPr>
              <w:snapToGrid w:val="0"/>
              <w:rPr>
                <w:rFonts w:ascii="宋体" w:eastAsia="宋体" w:cs="宋体"/>
                <w:color w:val="auto"/>
                <w:sz w:val="24"/>
                <w:szCs w:val="24"/>
                <w:highlight w:val="none"/>
                <w:u w:val="single"/>
              </w:rPr>
            </w:pPr>
            <w:r>
              <w:rPr>
                <w:rFonts w:hint="eastAsia" w:ascii="宋体" w:eastAsia="宋体" w:cs="宋体"/>
                <w:color w:val="auto"/>
                <w:sz w:val="24"/>
                <w:szCs w:val="24"/>
                <w:highlight w:val="none"/>
              </w:rPr>
              <w:t>地址：</w:t>
            </w:r>
            <w:r>
              <w:rPr>
                <w:rFonts w:hint="eastAsia" w:ascii="宋体" w:eastAsia="宋体" w:cs="宋体"/>
                <w:color w:val="auto"/>
                <w:sz w:val="24"/>
                <w:szCs w:val="24"/>
                <w:highlight w:val="none"/>
                <w:u w:val="single"/>
              </w:rPr>
              <w:t>广州市天河区华观路1933号万科云A栋503-504</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联系人：</w:t>
            </w:r>
            <w:r>
              <w:rPr>
                <w:rFonts w:hint="eastAsia" w:ascii="宋体" w:eastAsia="宋体" w:cs="宋体"/>
                <w:color w:val="auto"/>
                <w:sz w:val="24"/>
                <w:szCs w:val="24"/>
                <w:highlight w:val="none"/>
                <w:u w:val="single"/>
              </w:rPr>
              <w:t>郑工</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电话：</w:t>
            </w:r>
            <w:r>
              <w:rPr>
                <w:rFonts w:hint="eastAsia" w:ascii="宋体" w:eastAsia="宋体" w:cs="宋体"/>
                <w:color w:val="auto"/>
                <w:sz w:val="24"/>
                <w:szCs w:val="24"/>
                <w:highlight w:val="none"/>
                <w:u w:val="single"/>
              </w:rPr>
              <w:t>13560477267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1.1.4</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招标项目名称</w:t>
            </w:r>
          </w:p>
        </w:tc>
        <w:tc>
          <w:tcPr>
            <w:tcW w:w="6178" w:type="dxa"/>
            <w:vAlign w:val="center"/>
          </w:tcPr>
          <w:p>
            <w:pPr>
              <w:snapToGrid w:val="0"/>
              <w:jc w:val="left"/>
              <w:rPr>
                <w:rFonts w:asci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增城国家级开发区中新园区基础设施配套中新下沉式再生水厂项目施工图审查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1.1.5</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项目建设地点</w:t>
            </w:r>
          </w:p>
        </w:tc>
        <w:tc>
          <w:tcPr>
            <w:tcW w:w="6178" w:type="dxa"/>
            <w:vAlign w:val="center"/>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1.1.6</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项目建设规模</w:t>
            </w:r>
          </w:p>
        </w:tc>
        <w:tc>
          <w:tcPr>
            <w:tcW w:w="6178" w:type="dxa"/>
          </w:tcPr>
          <w:p>
            <w:pPr>
              <w:snapToGrid w:val="0"/>
              <w:ind w:right="106"/>
              <w:jc w:val="left"/>
              <w:rPr>
                <w:rFonts w:ascii="宋体" w:eastAsia="宋体" w:cs="宋体"/>
                <w:color w:val="auto"/>
                <w:sz w:val="24"/>
                <w:szCs w:val="24"/>
                <w:highlight w:val="none"/>
              </w:rPr>
            </w:pPr>
            <w:r>
              <w:rPr>
                <w:rFonts w:hint="eastAsia" w:ascii="宋体" w:eastAsia="宋体" w:cs="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1.1.7</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工程项目施工预计开工日期和建设周期</w:t>
            </w:r>
          </w:p>
        </w:tc>
        <w:tc>
          <w:tcPr>
            <w:tcW w:w="6178" w:type="dxa"/>
            <w:vAlign w:val="center"/>
          </w:tcPr>
          <w:p>
            <w:pPr>
              <w:snapToGrid w:val="0"/>
              <w:ind w:right="106"/>
              <w:rPr>
                <w:rFonts w:ascii="宋体" w:eastAsia="宋体" w:cs="宋体"/>
                <w:color w:val="auto"/>
                <w:sz w:val="24"/>
                <w:szCs w:val="24"/>
                <w:highlight w:val="none"/>
              </w:rPr>
            </w:pPr>
            <w:r>
              <w:rPr>
                <w:rFonts w:hint="eastAsia" w:asci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1.1.8</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建筑安装工程费/工程概算</w:t>
            </w:r>
          </w:p>
        </w:tc>
        <w:tc>
          <w:tcPr>
            <w:tcW w:w="6178" w:type="dxa"/>
          </w:tcPr>
          <w:p>
            <w:pPr>
              <w:snapToGrid w:val="0"/>
              <w:ind w:right="106"/>
              <w:jc w:val="left"/>
              <w:rPr>
                <w:rFonts w:ascii="宋体" w:eastAsia="宋体" w:cs="宋体"/>
                <w:color w:val="auto"/>
                <w:sz w:val="24"/>
                <w:szCs w:val="24"/>
                <w:highlight w:val="none"/>
              </w:rPr>
            </w:pPr>
            <w:r>
              <w:rPr>
                <w:rFonts w:hint="eastAsia" w:ascii="宋体" w:eastAsia="宋体" w:cs="宋体"/>
                <w:color w:val="auto"/>
                <w:sz w:val="24"/>
                <w:szCs w:val="24"/>
                <w:highlight w:val="none"/>
              </w:rPr>
              <w:t>项目总投资估算约89577.00万元，建安费约61544.95万元。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1.2.1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资金来源及比例</w:t>
            </w:r>
          </w:p>
        </w:tc>
        <w:tc>
          <w:tcPr>
            <w:tcW w:w="6178" w:type="dxa"/>
            <w:vAlign w:val="center"/>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1.2.2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资金落实情况</w:t>
            </w:r>
          </w:p>
        </w:tc>
        <w:tc>
          <w:tcPr>
            <w:tcW w:w="6178" w:type="dxa"/>
            <w:vAlign w:val="center"/>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1.3.1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招标范围</w:t>
            </w:r>
          </w:p>
        </w:tc>
        <w:tc>
          <w:tcPr>
            <w:tcW w:w="6178" w:type="dxa"/>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1.3.2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服务期限</w:t>
            </w:r>
          </w:p>
        </w:tc>
        <w:tc>
          <w:tcPr>
            <w:tcW w:w="6178" w:type="dxa"/>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1.3.3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质量标准</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1.4.1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投标人资质条件、能力、信誉</w:t>
            </w:r>
          </w:p>
        </w:tc>
        <w:tc>
          <w:tcPr>
            <w:tcW w:w="6178" w:type="dxa"/>
            <w:vAlign w:val="center"/>
          </w:tcPr>
          <w:p>
            <w:pPr>
              <w:snapToGrid w:val="0"/>
              <w:rPr>
                <w:rFonts w:ascii="宋体" w:hAnsi="宋体"/>
                <w:color w:val="auto"/>
                <w:sz w:val="24"/>
                <w:szCs w:val="24"/>
                <w:highlight w:val="none"/>
              </w:rPr>
            </w:pPr>
            <w:r>
              <w:rPr>
                <w:rFonts w:hint="eastAsia" w:ascii="宋体" w:eastAsia="宋体" w:cs="宋体"/>
                <w:color w:val="auto"/>
                <w:sz w:val="24"/>
                <w:szCs w:val="24"/>
                <w:highlight w:val="none"/>
              </w:rPr>
              <w:t>详见招标公告第3点要求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1.4.2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是否接受联合体投标</w:t>
            </w:r>
          </w:p>
        </w:tc>
        <w:tc>
          <w:tcPr>
            <w:tcW w:w="6178" w:type="dxa"/>
            <w:vAlign w:val="center"/>
          </w:tcPr>
          <w:p>
            <w:pPr>
              <w:snapToGrid w:val="0"/>
              <w:ind w:right="-238"/>
              <w:rPr>
                <w:rFonts w:ascii="宋体" w:eastAsia="宋体" w:cs="宋体"/>
                <w:color w:val="auto"/>
                <w:sz w:val="24"/>
                <w:szCs w:val="24"/>
                <w:highlight w:val="none"/>
              </w:rPr>
            </w:pPr>
            <w:r>
              <w:rPr>
                <w:rFonts w:hint="eastAsia" w:cs="宋体"/>
                <w:color w:val="auto"/>
                <w:sz w:val="24"/>
                <w:szCs w:val="24"/>
                <w:highlight w:val="none"/>
              </w:rPr>
              <w:t>■</w:t>
            </w:r>
            <w:r>
              <w:rPr>
                <w:rFonts w:hint="eastAsia" w:ascii="宋体" w:eastAsia="宋体" w:cs="宋体"/>
                <w:color w:val="auto"/>
                <w:position w:val="3"/>
                <w:sz w:val="24"/>
                <w:szCs w:val="24"/>
                <w:highlight w:val="none"/>
              </w:rPr>
              <w:t>不接受</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sym w:font="Wingdings 2" w:char="00A3"/>
            </w:r>
            <w:r>
              <w:rPr>
                <w:rFonts w:hint="eastAsia" w:ascii="宋体" w:eastAsia="宋体" w:cs="宋体"/>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1.4.3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投标人不得存在的其他情形</w:t>
            </w:r>
          </w:p>
        </w:tc>
        <w:tc>
          <w:tcPr>
            <w:tcW w:w="6178" w:type="dxa"/>
            <w:vAlign w:val="center"/>
          </w:tcPr>
          <w:p>
            <w:pPr>
              <w:rPr>
                <w:rFonts w:ascii="宋体" w:eastAsia="宋体" w:cs="宋体"/>
                <w:color w:val="auto"/>
                <w:sz w:val="24"/>
                <w:szCs w:val="24"/>
                <w:highlight w:val="none"/>
              </w:rPr>
            </w:pPr>
            <w:r>
              <w:rPr>
                <w:rFonts w:hint="eastAsia" w:ascii="宋体" w:eastAsia="宋体" w:cs="宋体"/>
                <w:color w:val="auto"/>
                <w:sz w:val="24"/>
                <w:szCs w:val="24"/>
                <w:highlight w:val="none"/>
              </w:rPr>
              <w:t>（16）在近三年内投标人或其法定代表人、拟委任的项目负责人有行贿犯罪行为的。</w:t>
            </w:r>
          </w:p>
          <w:p>
            <w:pPr>
              <w:rPr>
                <w:rFonts w:ascii="宋体" w:eastAsia="宋体" w:cs="宋体"/>
                <w:color w:val="auto"/>
                <w:sz w:val="24"/>
                <w:szCs w:val="24"/>
                <w:highlight w:val="none"/>
              </w:rPr>
            </w:pPr>
            <w:r>
              <w:rPr>
                <w:rFonts w:hint="eastAsia" w:ascii="宋体" w:eastAsia="宋体" w:cs="宋体"/>
                <w:color w:val="auto"/>
                <w:sz w:val="24"/>
                <w:szCs w:val="24"/>
                <w:highlight w:val="none"/>
              </w:rPr>
              <w:t>（17）与所审</w:t>
            </w:r>
            <w:r>
              <w:rPr>
                <w:rFonts w:hint="eastAsia" w:ascii="宋体" w:eastAsia="宋体" w:cs="宋体"/>
                <w:color w:val="auto"/>
                <w:sz w:val="24"/>
                <w:szCs w:val="24"/>
                <w:highlight w:val="none"/>
              </w:rPr>
              <w:t>查项目的勘察、设计、施工单位有隶属关系或其他利害关系。</w:t>
            </w:r>
          </w:p>
          <w:p>
            <w:pPr>
              <w:rPr>
                <w:rFonts w:ascii="宋体" w:cs="宋体"/>
                <w:color w:val="auto"/>
                <w:sz w:val="24"/>
                <w:szCs w:val="24"/>
                <w:highlight w:val="none"/>
              </w:rPr>
            </w:pPr>
            <w:r>
              <w:rPr>
                <w:rFonts w:ascii="宋体" w:eastAsia="宋体" w:cs="宋体"/>
                <w:color w:val="auto"/>
                <w:sz w:val="24"/>
                <w:szCs w:val="24"/>
                <w:highlight w:val="none"/>
              </w:rPr>
              <w:t>本项目的勘察单位、设计单位为：</w:t>
            </w:r>
            <w:r>
              <w:rPr>
                <w:rFonts w:hint="eastAsia" w:ascii="宋体" w:hAnsi="宋体" w:eastAsia="宋体" w:cs="宋体"/>
                <w:color w:val="auto"/>
                <w:sz w:val="24"/>
                <w:szCs w:val="24"/>
                <w:highlight w:val="none"/>
                <w:u w:val="single"/>
              </w:rPr>
              <w:t>建材广州工程勘测院有限公司（勘察单位）、广东省建筑设计研究院有限公司（初步设计单位）</w:t>
            </w:r>
            <w:r>
              <w:rPr>
                <w:rFonts w:hint="eastAsia" w:ascii="宋体" w:eastAsia="宋体" w:cs="宋体"/>
                <w:color w:val="auto"/>
                <w:sz w:val="24"/>
                <w:szCs w:val="24"/>
                <w:highlight w:val="none"/>
                <w:u w:val="single"/>
              </w:rPr>
              <w:t xml:space="preserve"> 。</w:t>
            </w:r>
            <w:r>
              <w:rPr>
                <w:rFonts w:ascii="宋体" w:eastAsia="宋体" w:cs="宋体"/>
                <w:color w:val="auto"/>
                <w:sz w:val="24"/>
                <w:szCs w:val="24"/>
                <w:highlight w:val="none"/>
              </w:rPr>
              <w:t>（勘察设计单位与施工图审查单位不能为同一人，如勘察设计服务招标与施工图审查服务招标由同一家单位中标的，则中标单位须自动放弃施</w:t>
            </w:r>
            <w:r>
              <w:rPr>
                <w:rFonts w:ascii="宋体" w:eastAsia="宋体" w:cs="宋体"/>
                <w:color w:val="auto"/>
                <w:sz w:val="24"/>
                <w:szCs w:val="24"/>
                <w:highlight w:val="none"/>
              </w:rPr>
              <w:t>工图审查服务中标资格。</w:t>
            </w:r>
            <w:r>
              <w:rPr>
                <w:rFonts w:hint="eastAsia" w:asci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1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1.9.1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踏勘现场</w:t>
            </w:r>
          </w:p>
        </w:tc>
        <w:tc>
          <w:tcPr>
            <w:tcW w:w="6178" w:type="dxa"/>
            <w:vAlign w:val="center"/>
          </w:tcPr>
          <w:p>
            <w:pPr>
              <w:pStyle w:val="19"/>
              <w:topLinePunct/>
              <w:snapToGrid w:val="0"/>
              <w:rPr>
                <w:rFonts w:cs="宋体"/>
                <w:color w:val="auto"/>
                <w:szCs w:val="24"/>
                <w:highlight w:val="none"/>
              </w:rPr>
            </w:pPr>
            <w:r>
              <w:rPr>
                <w:rFonts w:hint="eastAsia" w:cs="宋体"/>
                <w:color w:val="auto"/>
                <w:szCs w:val="24"/>
                <w:highlight w:val="none"/>
              </w:rPr>
              <w:t>■不组织，</w:t>
            </w:r>
            <w:r>
              <w:rPr>
                <w:rFonts w:hint="eastAsia" w:cs="宋体"/>
                <w:color w:val="auto"/>
                <w:szCs w:val="24"/>
                <w:highlight w:val="none"/>
                <w:u w:val="single"/>
              </w:rPr>
              <w:t>投标人可以自行踏勘，投标人不进行踏勘的，视为已熟知现场条件，自行承担相关风险。招标人不对投标人自行踏勘现场作出的判断和决策负责。</w:t>
            </w:r>
          </w:p>
          <w:p>
            <w:pPr>
              <w:pStyle w:val="19"/>
              <w:topLinePunct/>
              <w:snapToGrid w:val="0"/>
              <w:rPr>
                <w:rFonts w:cs="宋体"/>
                <w:color w:val="auto"/>
                <w:szCs w:val="24"/>
                <w:highlight w:val="none"/>
              </w:rPr>
            </w:pPr>
            <w:r>
              <w:rPr>
                <w:rFonts w:hint="eastAsia" w:cs="宋体"/>
                <w:color w:val="auto"/>
                <w:szCs w:val="24"/>
                <w:highlight w:val="none"/>
              </w:rPr>
              <w:t>□组织，踏勘时间：/</w:t>
            </w:r>
          </w:p>
          <w:p>
            <w:pPr>
              <w:pStyle w:val="19"/>
              <w:topLinePunct/>
              <w:snapToGrid w:val="0"/>
              <w:ind w:firstLine="960" w:firstLineChars="400"/>
              <w:rPr>
                <w:rFonts w:cs="宋体"/>
                <w:color w:val="auto"/>
                <w:szCs w:val="24"/>
                <w:highlight w:val="none"/>
              </w:rPr>
            </w:pPr>
            <w:r>
              <w:rPr>
                <w:rFonts w:hint="eastAsia" w:cs="宋体"/>
                <w:color w:val="auto"/>
                <w:szCs w:val="24"/>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3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1.10.1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投标预备会</w:t>
            </w:r>
          </w:p>
        </w:tc>
        <w:tc>
          <w:tcPr>
            <w:tcW w:w="6178" w:type="dxa"/>
            <w:vAlign w:val="center"/>
          </w:tcPr>
          <w:p>
            <w:pPr>
              <w:pStyle w:val="19"/>
              <w:topLinePunct/>
              <w:snapToGrid w:val="0"/>
              <w:rPr>
                <w:rFonts w:cs="宋体"/>
                <w:color w:val="auto"/>
                <w:szCs w:val="24"/>
                <w:highlight w:val="none"/>
              </w:rPr>
            </w:pPr>
            <w:r>
              <w:rPr>
                <w:rFonts w:hint="eastAsia" w:cs="宋体"/>
                <w:color w:val="auto"/>
                <w:szCs w:val="24"/>
                <w:highlight w:val="none"/>
              </w:rPr>
              <w:t>■不召开</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□召开，召开时间：</w:t>
            </w:r>
            <w:r>
              <w:rPr>
                <w:rFonts w:hint="eastAsia" w:ascii="宋体" w:eastAsia="宋体" w:cs="宋体"/>
                <w:color w:val="auto"/>
                <w:sz w:val="24"/>
                <w:szCs w:val="24"/>
                <w:highlight w:val="none"/>
                <w:u w:val="single"/>
              </w:rPr>
              <w:t xml:space="preserve"> / </w:t>
            </w:r>
          </w:p>
          <w:p>
            <w:pPr>
              <w:snapToGrid w:val="0"/>
              <w:ind w:firstLine="960" w:firstLineChars="400"/>
              <w:rPr>
                <w:rFonts w:ascii="宋体" w:eastAsia="宋体" w:cs="宋体"/>
                <w:color w:val="auto"/>
                <w:sz w:val="24"/>
                <w:szCs w:val="24"/>
                <w:highlight w:val="none"/>
              </w:rPr>
            </w:pPr>
            <w:r>
              <w:rPr>
                <w:rFonts w:hint="eastAsia" w:ascii="宋体" w:eastAsia="宋体" w:cs="宋体"/>
                <w:color w:val="auto"/>
                <w:sz w:val="24"/>
                <w:szCs w:val="24"/>
                <w:highlight w:val="none"/>
              </w:rPr>
              <w:t>召开地点：</w:t>
            </w: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jc w:val="center"/>
        </w:trPr>
        <w:tc>
          <w:tcPr>
            <w:tcW w:w="986" w:type="dxa"/>
            <w:vMerge w:val="restart"/>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1.10.2</w:t>
            </w:r>
          </w:p>
        </w:tc>
        <w:tc>
          <w:tcPr>
            <w:tcW w:w="2149" w:type="dxa"/>
            <w:vMerge w:val="restart"/>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投标人在投标预备会前提出问题</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时间：</w:t>
            </w: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3" w:hRule="atLeast"/>
          <w:jc w:val="center"/>
        </w:trPr>
        <w:tc>
          <w:tcPr>
            <w:tcW w:w="986" w:type="dxa"/>
            <w:vMerge w:val="continue"/>
            <w:vAlign w:val="center"/>
          </w:tcPr>
          <w:p>
            <w:pPr>
              <w:rPr>
                <w:color w:val="auto"/>
                <w:sz w:val="24"/>
                <w:szCs w:val="24"/>
                <w:highlight w:val="none"/>
              </w:rPr>
            </w:pPr>
          </w:p>
        </w:tc>
        <w:tc>
          <w:tcPr>
            <w:tcW w:w="2149" w:type="dxa"/>
            <w:vMerge w:val="continue"/>
            <w:vAlign w:val="center"/>
          </w:tcPr>
          <w:p>
            <w:pPr>
              <w:rPr>
                <w:color w:val="auto"/>
                <w:sz w:val="24"/>
                <w:szCs w:val="24"/>
                <w:highlight w:val="none"/>
              </w:rPr>
            </w:pP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形式：</w:t>
            </w: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6"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1.10.3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招标文件澄清发出的形式</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1.12.1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实质性要求和条件</w:t>
            </w:r>
          </w:p>
        </w:tc>
        <w:tc>
          <w:tcPr>
            <w:tcW w:w="6178" w:type="dxa"/>
            <w:vAlign w:val="center"/>
          </w:tcPr>
          <w:p>
            <w:pPr>
              <w:topLinePunct/>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1.12.3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偏差</w:t>
            </w:r>
          </w:p>
        </w:tc>
        <w:tc>
          <w:tcPr>
            <w:tcW w:w="6178" w:type="dxa"/>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■不允许</w:t>
            </w:r>
          </w:p>
          <w:p>
            <w:pPr>
              <w:pStyle w:val="19"/>
              <w:topLinePunct/>
              <w:snapToGrid w:val="0"/>
              <w:rPr>
                <w:rFonts w:cs="宋体"/>
                <w:color w:val="auto"/>
                <w:szCs w:val="24"/>
                <w:highlight w:val="none"/>
              </w:rPr>
            </w:pPr>
            <w:r>
              <w:rPr>
                <w:rFonts w:hint="eastAsia" w:cs="宋体"/>
                <w:color w:val="auto"/>
                <w:szCs w:val="24"/>
                <w:highlight w:val="none"/>
              </w:rPr>
              <w:t>□允许，偏差范围：/</w:t>
            </w:r>
          </w:p>
          <w:p>
            <w:pPr>
              <w:pStyle w:val="19"/>
              <w:topLinePunct/>
              <w:snapToGrid w:val="0"/>
              <w:ind w:firstLine="960" w:firstLineChars="400"/>
              <w:rPr>
                <w:rFonts w:cs="宋体"/>
                <w:color w:val="auto"/>
                <w:szCs w:val="24"/>
                <w:highlight w:val="none"/>
              </w:rPr>
            </w:pPr>
            <w:r>
              <w:rPr>
                <w:rFonts w:hint="eastAsia" w:cs="宋体"/>
                <w:color w:val="auto"/>
                <w:szCs w:val="24"/>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6"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构成招标文件的其他资料</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7" w:hRule="atLeast"/>
          <w:jc w:val="center"/>
        </w:trPr>
        <w:tc>
          <w:tcPr>
            <w:tcW w:w="986" w:type="dxa"/>
            <w:vMerge w:val="restart"/>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2.2.1</w:t>
            </w:r>
          </w:p>
        </w:tc>
        <w:tc>
          <w:tcPr>
            <w:tcW w:w="2149" w:type="dxa"/>
            <w:vMerge w:val="restart"/>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投标人要求澄清招标文件</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时间：</w:t>
            </w:r>
            <w:r>
              <w:rPr>
                <w:rFonts w:hint="eastAsia" w:ascii="宋体" w:eastAsia="宋体" w:cs="宋体"/>
                <w:color w:val="auto"/>
                <w:sz w:val="24"/>
                <w:szCs w:val="24"/>
                <w:highlight w:val="none"/>
                <w:u w:val="single"/>
              </w:rPr>
              <w:t>在投标截止日期18日前提出</w:t>
            </w:r>
            <w:r>
              <w:rPr>
                <w:rFonts w:hint="eastAsia" w:asci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70" w:hRule="atLeast"/>
          <w:jc w:val="center"/>
        </w:trPr>
        <w:tc>
          <w:tcPr>
            <w:tcW w:w="986" w:type="dxa"/>
            <w:vMerge w:val="continue"/>
            <w:vAlign w:val="center"/>
          </w:tcPr>
          <w:p>
            <w:pPr>
              <w:rPr>
                <w:color w:val="auto"/>
                <w:sz w:val="24"/>
                <w:szCs w:val="24"/>
                <w:highlight w:val="none"/>
              </w:rPr>
            </w:pPr>
          </w:p>
        </w:tc>
        <w:tc>
          <w:tcPr>
            <w:tcW w:w="2149" w:type="dxa"/>
            <w:vMerge w:val="continue"/>
            <w:vAlign w:val="center"/>
          </w:tcPr>
          <w:p>
            <w:pPr>
              <w:rPr>
                <w:color w:val="auto"/>
                <w:sz w:val="24"/>
                <w:szCs w:val="24"/>
                <w:highlight w:val="none"/>
              </w:rPr>
            </w:pPr>
          </w:p>
        </w:tc>
        <w:tc>
          <w:tcPr>
            <w:tcW w:w="6178" w:type="dxa"/>
            <w:vAlign w:val="center"/>
          </w:tcPr>
          <w:p>
            <w:pPr>
              <w:pStyle w:val="16"/>
              <w:snapToGrid w:val="0"/>
              <w:spacing w:line="240" w:lineRule="auto"/>
              <w:ind w:firstLine="0"/>
              <w:rPr>
                <w:rFonts w:ascii="宋体" w:cs="宋体"/>
                <w:color w:val="auto"/>
                <w:sz w:val="24"/>
                <w:highlight w:val="none"/>
                <w:u w:val="single"/>
              </w:rPr>
            </w:pPr>
            <w:r>
              <w:rPr>
                <w:rFonts w:hint="eastAsia" w:ascii="宋体" w:cs="宋体"/>
                <w:color w:val="auto"/>
                <w:sz w:val="24"/>
                <w:highlight w:val="none"/>
                <w:u w:val="single"/>
              </w:rPr>
              <w:t>形式：招标答疑采用网上答疑方式进行。投标人若对招标文件（包括合同版本、最高投标限价等）有疑问的，可在规定的时间内通过广州公共资源交易中心网站将问题提交给招标人或招标代理人，提交问题一律不得署名。</w:t>
            </w:r>
          </w:p>
          <w:p>
            <w:pPr>
              <w:pStyle w:val="16"/>
              <w:snapToGrid w:val="0"/>
              <w:spacing w:line="240" w:lineRule="auto"/>
              <w:ind w:firstLine="0"/>
              <w:rPr>
                <w:rFonts w:ascii="宋体" w:cs="宋体"/>
                <w:color w:val="auto"/>
                <w:sz w:val="24"/>
                <w:highlight w:val="none"/>
              </w:rPr>
            </w:pPr>
            <w:r>
              <w:rPr>
                <w:rFonts w:hint="eastAsia" w:ascii="宋体" w:cs="宋体"/>
                <w:color w:val="auto"/>
                <w:sz w:val="24"/>
                <w:highlight w:val="none"/>
              </w:rPr>
              <w:t>网上答疑的操作指南为：登陆广州公共资源交易中心网站业务系统-&gt;</w:t>
            </w:r>
            <w:r>
              <w:rPr>
                <w:rFonts w:hint="eastAsia" w:ascii="宋体" w:hAnsi="宋体" w:cs="宋体"/>
                <w:color w:val="auto"/>
                <w:sz w:val="24"/>
                <w:highlight w:val="none"/>
                <w:shd w:val="clear" w:color="auto" w:fill="FFFFFF"/>
              </w:rPr>
              <w:t>选择“我是投标人”</w:t>
            </w:r>
            <w:r>
              <w:rPr>
                <w:rFonts w:hint="eastAsia" w:ascii="宋体" w:cs="宋体"/>
                <w:color w:val="auto"/>
                <w:sz w:val="24"/>
                <w:highlight w:val="none"/>
              </w:rPr>
              <w:t>→</w:t>
            </w:r>
            <w:r>
              <w:rPr>
                <w:rFonts w:hint="eastAsia" w:ascii="宋体" w:hAnsi="宋体" w:cs="宋体"/>
                <w:color w:val="auto"/>
                <w:sz w:val="24"/>
                <w:highlight w:val="none"/>
                <w:shd w:val="clear" w:color="auto" w:fill="FFFFFF"/>
              </w:rPr>
              <w:t>“新建设工程交易平台”</w:t>
            </w:r>
            <w:r>
              <w:rPr>
                <w:rFonts w:hint="eastAsia" w:ascii="宋体" w:cs="宋体"/>
                <w:color w:val="auto"/>
                <w:sz w:val="24"/>
                <w:highlight w:val="none"/>
              </w:rPr>
              <w:t>→“我的投标”→进入“招标答疑提问”→通过项目编号或名称找到所需的项目→在上述的答疑时间内点击“答疑提问”进入到提问区域→无记名或匿名提出问题。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7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2.2.2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招标文件澄清发出的形式</w:t>
            </w:r>
          </w:p>
        </w:tc>
        <w:tc>
          <w:tcPr>
            <w:tcW w:w="6178" w:type="dxa"/>
            <w:vAlign w:val="center"/>
          </w:tcPr>
          <w:p>
            <w:pPr>
              <w:snapToGrid w:val="0"/>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招标文件的澄清均以广州公共资源交易中心网站发布的内容为准。当招标文件的澄清、修改在同一内容的表述不一致时，以广州公共资源交易中心网站最后发布的内容为准。</w:t>
            </w:r>
          </w:p>
          <w:p>
            <w:pPr>
              <w:snapToGrid w:val="0"/>
              <w:jc w:val="left"/>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查看项目答疑纪要操作指南为：</w:t>
            </w:r>
          </w:p>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u w:val="single"/>
              </w:rPr>
              <w:t>投标人可直接从门户网站“建设工程”-&gt;“项目查询（日程安排、答疑纪要）”专区下载本项目的答疑纪要。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42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2.2.3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投标人确认收到招标文件澄清</w:t>
            </w:r>
          </w:p>
        </w:tc>
        <w:tc>
          <w:tcPr>
            <w:tcW w:w="6178" w:type="dxa"/>
            <w:vAlign w:val="center"/>
          </w:tcPr>
          <w:p>
            <w:pPr>
              <w:rPr>
                <w:rFonts w:ascii="宋体" w:eastAsia="宋体" w:cs="宋体"/>
                <w:color w:val="auto"/>
                <w:sz w:val="24"/>
                <w:szCs w:val="24"/>
                <w:highlight w:val="none"/>
              </w:rPr>
            </w:pPr>
            <w:r>
              <w:rPr>
                <w:rFonts w:hint="eastAsia" w:ascii="宋体" w:eastAsia="宋体" w:cs="宋体"/>
                <w:color w:val="auto"/>
                <w:sz w:val="24"/>
                <w:szCs w:val="24"/>
                <w:highlight w:val="none"/>
                <w:u w:val="single"/>
              </w:rPr>
              <w:t>招标文件的澄清在广州公共资源交易中心网站发布。招标文件的澄清一经在广州公共资源交易中心网站发布，视作已发放给所有投标人，招标文件的澄清内容作为招标文件的组成部分，具有约束作用。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9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2.3.1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招标文件修改发出的形式</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招标文件的修改均以广州公共资源交易中心网站发布的内容为准。当招标文件的修改在同一内容的表述不一致时，以广州公共资源交易中心网站最后发布的内容为准。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71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2.3.2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投标人确认收到招标文件修改</w:t>
            </w:r>
          </w:p>
        </w:tc>
        <w:tc>
          <w:tcPr>
            <w:tcW w:w="6178" w:type="dxa"/>
            <w:vAlign w:val="center"/>
          </w:tcPr>
          <w:p>
            <w:pPr>
              <w:rPr>
                <w:rFonts w:ascii="宋体" w:eastAsia="宋体" w:cs="宋体"/>
                <w:color w:val="auto"/>
                <w:sz w:val="24"/>
                <w:szCs w:val="24"/>
                <w:highlight w:val="none"/>
              </w:rPr>
            </w:pPr>
            <w:r>
              <w:rPr>
                <w:rFonts w:hint="eastAsia" w:ascii="宋体" w:eastAsia="宋体" w:cs="宋体"/>
                <w:color w:val="auto"/>
                <w:sz w:val="24"/>
                <w:szCs w:val="24"/>
                <w:highlight w:val="none"/>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招标文件的修改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6"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3.1.1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构成投标文件的其他资料</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3.2.1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增值税税金的计算方法</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一般计税方法计算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0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3.2.3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报价方式</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投标人根据自身条件和实力进行下浮报价，投标报价不得超过最高投标限价。（投标报价以元为单位，出现小数的，小数点后保留二位小数，第三位小数四舍五入）。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3.2.4</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最高投标限价</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□无</w:t>
            </w:r>
          </w:p>
          <w:p>
            <w:pPr>
              <w:tabs>
                <w:tab w:val="left" w:pos="7513"/>
              </w:tabs>
              <w:rPr>
                <w:rFonts w:ascii="宋体" w:eastAsia="宋体" w:cs="宋体"/>
                <w:color w:val="auto"/>
                <w:sz w:val="24"/>
                <w:szCs w:val="24"/>
                <w:highlight w:val="none"/>
              </w:rPr>
            </w:pPr>
            <w:r>
              <w:rPr>
                <w:rFonts w:hint="eastAsia" w:ascii="宋体" w:eastAsia="宋体" w:cs="宋体"/>
                <w:color w:val="auto"/>
                <w:sz w:val="24"/>
                <w:szCs w:val="24"/>
                <w:highlight w:val="none"/>
              </w:rPr>
              <w:t>■有，最高投标限价：</w:t>
            </w:r>
            <w:r>
              <w:rPr>
                <w:rFonts w:hint="eastAsia" w:ascii="宋体" w:eastAsia="宋体" w:cs="宋体"/>
                <w:color w:val="auto"/>
                <w:sz w:val="24"/>
                <w:szCs w:val="24"/>
                <w:highlight w:val="none"/>
                <w:lang w:eastAsia="zh-CN"/>
              </w:rPr>
              <w:t xml:space="preserve">1704750.95 </w:t>
            </w:r>
            <w:r>
              <w:rPr>
                <w:rFonts w:hint="eastAsia" w:asci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6"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3.2.5</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投标报价的其他要求</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投标总报价高于最高投标限价的，其投标文件将被拒绝。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3.3.1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投标有效期</w:t>
            </w:r>
          </w:p>
        </w:tc>
        <w:tc>
          <w:tcPr>
            <w:tcW w:w="6178" w:type="dxa"/>
            <w:vAlign w:val="center"/>
          </w:tcPr>
          <w:p>
            <w:pPr>
              <w:snapToGrid w:val="0"/>
              <w:rPr>
                <w:rFonts w:ascii="宋体" w:eastAsia="宋体" w:cs="宋体"/>
                <w:color w:val="auto"/>
                <w:sz w:val="24"/>
                <w:szCs w:val="24"/>
                <w:highlight w:val="none"/>
              </w:rPr>
            </w:pPr>
            <w:bookmarkStart w:id="12" w:name="_Toc1789"/>
            <w:bookmarkStart w:id="13" w:name="_Toc300834946"/>
            <w:bookmarkStart w:id="14" w:name="_Toc384308207"/>
            <w:bookmarkStart w:id="15" w:name="_Toc361508582"/>
            <w:bookmarkStart w:id="16" w:name="_Toc352691470"/>
            <w:bookmarkStart w:id="17" w:name="_Toc369531512"/>
            <w:r>
              <w:rPr>
                <w:rFonts w:hint="eastAsia" w:ascii="宋体" w:eastAsia="宋体" w:cs="宋体"/>
                <w:b/>
                <w:color w:val="auto"/>
                <w:sz w:val="24"/>
                <w:szCs w:val="24"/>
                <w:highlight w:val="none"/>
                <w:u w:val="single"/>
              </w:rPr>
              <w:t>90</w:t>
            </w:r>
            <w:r>
              <w:rPr>
                <w:rFonts w:hint="eastAsia" w:ascii="宋体" w:eastAsia="宋体" w:cs="宋体"/>
                <w:color w:val="auto"/>
                <w:sz w:val="24"/>
                <w:szCs w:val="24"/>
                <w:highlight w:val="none"/>
              </w:rPr>
              <w:t>日历天（从投标截止之日算起）。</w:t>
            </w:r>
          </w:p>
        </w:tc>
      </w:tr>
      <w:bookmarkEnd w:id="12"/>
      <w:bookmarkEnd w:id="13"/>
      <w:bookmarkEnd w:id="14"/>
      <w:bookmarkEnd w:id="15"/>
      <w:bookmarkEnd w:id="16"/>
      <w:bookmarkEnd w:id="17"/>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8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3.4.1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投标保证金</w:t>
            </w:r>
          </w:p>
        </w:tc>
        <w:tc>
          <w:tcPr>
            <w:tcW w:w="6178" w:type="dxa"/>
            <w:vAlign w:val="center"/>
          </w:tcPr>
          <w:p>
            <w:pPr>
              <w:pStyle w:val="19"/>
              <w:topLinePunct/>
              <w:snapToGrid w:val="0"/>
              <w:rPr>
                <w:rFonts w:cs="宋体"/>
                <w:bCs/>
                <w:color w:val="auto"/>
                <w:szCs w:val="24"/>
                <w:highlight w:val="none"/>
              </w:rPr>
            </w:pPr>
            <w:r>
              <w:rPr>
                <w:rFonts w:cs="宋体"/>
                <w:bCs/>
                <w:color w:val="auto"/>
                <w:szCs w:val="24"/>
                <w:highlight w:val="none"/>
              </w:rPr>
              <w:t>是否要求投标人递交投标保证金：</w:t>
            </w:r>
          </w:p>
          <w:p>
            <w:pPr>
              <w:pStyle w:val="19"/>
              <w:topLinePunct/>
              <w:snapToGrid w:val="0"/>
              <w:rPr>
                <w:rFonts w:cs="宋体"/>
                <w:bCs/>
                <w:color w:val="auto"/>
                <w:szCs w:val="24"/>
                <w:highlight w:val="none"/>
              </w:rPr>
            </w:pPr>
            <w:r>
              <w:rPr>
                <w:rFonts w:hint="eastAsia" w:cs="宋体"/>
                <w:bCs/>
                <w:color w:val="auto"/>
                <w:szCs w:val="24"/>
                <w:highlight w:val="none"/>
              </w:rPr>
              <w:t>■</w:t>
            </w:r>
            <w:r>
              <w:rPr>
                <w:rFonts w:cs="宋体"/>
                <w:bCs/>
                <w:color w:val="auto"/>
                <w:szCs w:val="24"/>
                <w:highlight w:val="none"/>
              </w:rPr>
              <w:t>要求，</w:t>
            </w:r>
            <w:r>
              <w:rPr>
                <w:rFonts w:cs="宋体"/>
                <w:b/>
                <w:color w:val="auto"/>
                <w:szCs w:val="24"/>
                <w:highlight w:val="none"/>
              </w:rPr>
              <w:t>投标保证金的形式：</w:t>
            </w:r>
            <w:r>
              <w:rPr>
                <w:rFonts w:hint="eastAsia" w:cs="宋体"/>
                <w:b/>
                <w:color w:val="auto"/>
                <w:szCs w:val="24"/>
                <w:highlight w:val="none"/>
              </w:rPr>
              <w:t>投标保证金可采用现金、支票、银行保函、保证保险、专业工程担保公司担保等形式，须在递交投标文件截止时间前完成缴纳</w:t>
            </w:r>
            <w:r>
              <w:rPr>
                <w:rFonts w:hint="eastAsia" w:cs="宋体"/>
                <w:bCs/>
                <w:color w:val="auto"/>
                <w:szCs w:val="24"/>
                <w:highlight w:val="none"/>
              </w:rPr>
              <w:t>。</w:t>
            </w:r>
          </w:p>
          <w:p>
            <w:pPr>
              <w:pStyle w:val="19"/>
              <w:topLinePunct/>
              <w:snapToGrid w:val="0"/>
              <w:rPr>
                <w:rFonts w:cs="宋体"/>
                <w:bCs/>
                <w:color w:val="auto"/>
                <w:szCs w:val="24"/>
                <w:highlight w:val="none"/>
                <w:u w:val="single"/>
              </w:rPr>
            </w:pPr>
            <w:r>
              <w:rPr>
                <w:rFonts w:hint="eastAsia" w:cs="宋体"/>
                <w:bCs/>
                <w:color w:val="auto"/>
                <w:szCs w:val="24"/>
                <w:highlight w:val="none"/>
                <w:u w:val="single"/>
              </w:rPr>
              <w:t>1、投标担保额度：人民币3万元。</w:t>
            </w:r>
          </w:p>
          <w:p>
            <w:pPr>
              <w:pStyle w:val="19"/>
              <w:topLinePunct/>
              <w:snapToGrid w:val="0"/>
              <w:rPr>
                <w:rFonts w:cs="宋体"/>
                <w:bCs/>
                <w:color w:val="auto"/>
                <w:szCs w:val="24"/>
                <w:highlight w:val="none"/>
                <w:u w:val="single"/>
              </w:rPr>
            </w:pPr>
            <w:r>
              <w:rPr>
                <w:rFonts w:hint="eastAsia" w:cs="宋体"/>
                <w:bCs/>
                <w:color w:val="auto"/>
                <w:szCs w:val="24"/>
                <w:highlight w:val="none"/>
              </w:rPr>
              <w:t xml:space="preserve">   </w:t>
            </w:r>
            <w:r>
              <w:rPr>
                <w:rFonts w:hint="eastAsia" w:cs="宋体"/>
                <w:bCs/>
                <w:color w:val="auto"/>
                <w:szCs w:val="24"/>
                <w:highlight w:val="none"/>
                <w:u w:val="single"/>
              </w:rPr>
              <w:t>投标保证金有效期：长于或等于投标有效期。</w:t>
            </w:r>
          </w:p>
          <w:p>
            <w:pPr>
              <w:pStyle w:val="19"/>
              <w:topLinePunct/>
              <w:snapToGrid w:val="0"/>
              <w:rPr>
                <w:rFonts w:cs="宋体"/>
                <w:bCs/>
                <w:color w:val="auto"/>
                <w:szCs w:val="24"/>
                <w:highlight w:val="none"/>
                <w:u w:val="single"/>
              </w:rPr>
            </w:pPr>
            <w:r>
              <w:rPr>
                <w:rFonts w:hint="eastAsia" w:cs="宋体"/>
                <w:bCs/>
                <w:color w:val="auto"/>
                <w:szCs w:val="24"/>
                <w:highlight w:val="none"/>
                <w:u w:val="single"/>
              </w:rPr>
              <w:t>2、收取方式：</w:t>
            </w:r>
          </w:p>
          <w:p>
            <w:pPr>
              <w:pStyle w:val="19"/>
              <w:topLinePunct/>
              <w:snapToGrid w:val="0"/>
              <w:rPr>
                <w:rFonts w:cs="宋体"/>
                <w:bCs/>
                <w:color w:val="auto"/>
                <w:szCs w:val="24"/>
                <w:highlight w:val="none"/>
                <w:u w:val="single"/>
              </w:rPr>
            </w:pPr>
            <w:r>
              <w:rPr>
                <w:rFonts w:hint="eastAsia" w:cs="宋体"/>
                <w:bCs/>
                <w:color w:val="auto"/>
                <w:szCs w:val="24"/>
                <w:highlight w:val="none"/>
              </w:rPr>
              <w:t xml:space="preserve">   </w:t>
            </w:r>
            <w:r>
              <w:rPr>
                <w:rFonts w:hint="eastAsia" w:cs="宋体"/>
                <w:bCs/>
                <w:color w:val="auto"/>
                <w:szCs w:val="24"/>
                <w:highlight w:val="none"/>
                <w:u w:val="single"/>
              </w:rPr>
              <w:t>1.1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19"/>
              <w:topLinePunct/>
              <w:snapToGrid w:val="0"/>
              <w:rPr>
                <w:rFonts w:cs="宋体"/>
                <w:bCs/>
                <w:color w:val="auto"/>
                <w:szCs w:val="24"/>
                <w:highlight w:val="none"/>
                <w:u w:val="single"/>
              </w:rPr>
            </w:pPr>
            <w:r>
              <w:rPr>
                <w:rFonts w:hint="eastAsia" w:cs="宋体"/>
                <w:bCs/>
                <w:color w:val="auto"/>
                <w:szCs w:val="24"/>
                <w:highlight w:val="none"/>
                <w:u w:val="single"/>
              </w:rPr>
              <w:t>投标人需在交易系统中将汇入投标保证金与投标项目进行绑定，绑定成功后才能被认定为完成缴交投标保证金义务。</w:t>
            </w:r>
          </w:p>
          <w:p>
            <w:pPr>
              <w:pStyle w:val="19"/>
              <w:topLinePunct/>
              <w:snapToGrid w:val="0"/>
              <w:ind w:firstLine="480" w:firstLineChars="200"/>
              <w:rPr>
                <w:rFonts w:cs="宋体"/>
                <w:bCs/>
                <w:color w:val="auto"/>
                <w:szCs w:val="24"/>
                <w:highlight w:val="none"/>
                <w:u w:val="single"/>
              </w:rPr>
            </w:pPr>
            <w:r>
              <w:rPr>
                <w:rFonts w:hint="eastAsia" w:cs="宋体"/>
                <w:bCs/>
                <w:color w:val="auto"/>
                <w:szCs w:val="24"/>
                <w:highlight w:val="none"/>
                <w:u w:val="single"/>
              </w:rPr>
              <w:t>1.2如采用非电子形式的银行保函、专业工程担保公司担保或保证保险等形式提交投标保证金的，银行保函需开具给招标人，银行保函有效期不少于投标有效期。专业工程担保公司担保或保证保险需开具给招标人（受益人也必须是招标人），有效期不少于投标有效期。在开标前不强制要求投标人提交纸质原件，由中标候选人在中标候选人公示前提交并在网上公示，但投标人应在投标文件中提交保函、担保或保证保险扫描件并加盖投标人电子印章。如投标人选择在开标前提交纸质原件的，可在投标截止时间前15分钟单独密封递交至开标室。</w:t>
            </w:r>
          </w:p>
          <w:p>
            <w:pPr>
              <w:pStyle w:val="19"/>
              <w:topLinePunct/>
              <w:snapToGrid w:val="0"/>
              <w:ind w:firstLine="480" w:firstLineChars="200"/>
              <w:rPr>
                <w:rFonts w:cs="宋体"/>
                <w:bCs/>
                <w:color w:val="auto"/>
                <w:szCs w:val="24"/>
                <w:highlight w:val="none"/>
                <w:u w:val="single"/>
              </w:rPr>
            </w:pPr>
            <w:r>
              <w:rPr>
                <w:rFonts w:hint="eastAsia" w:cs="宋体"/>
                <w:bCs/>
                <w:color w:val="auto"/>
                <w:szCs w:val="24"/>
                <w:highlight w:val="none"/>
                <w:u w:val="single"/>
              </w:rPr>
              <w:t>1.3如采用电子形式的保函、担保或保证保险提交投标保证金的，详见广州公共资源交易中心相关操作指引。（本条适用于交易中心系统支持采用电子保函方式递交的情形）</w:t>
            </w:r>
          </w:p>
          <w:p>
            <w:pPr>
              <w:pStyle w:val="19"/>
              <w:topLinePunct/>
              <w:snapToGrid w:val="0"/>
              <w:ind w:firstLine="480" w:firstLineChars="200"/>
              <w:rPr>
                <w:rFonts w:cs="宋体"/>
                <w:bCs/>
                <w:color w:val="auto"/>
                <w:szCs w:val="24"/>
                <w:highlight w:val="none"/>
                <w:u w:val="single"/>
              </w:rPr>
            </w:pPr>
            <w:r>
              <w:rPr>
                <w:rFonts w:hint="eastAsia" w:cs="宋体"/>
                <w:bCs/>
                <w:color w:val="auto"/>
                <w:szCs w:val="24"/>
                <w:highlight w:val="none"/>
                <w:u w:val="single"/>
              </w:rPr>
              <w:t>1.4为降低投标人的交易成本，扩大信用承诺制的应用范围，信用良好企业或中小企业在提供相关资料后可无需缴纳投标保证金：</w:t>
            </w:r>
          </w:p>
          <w:p>
            <w:pPr>
              <w:pStyle w:val="19"/>
              <w:topLinePunct/>
              <w:snapToGrid w:val="0"/>
              <w:ind w:firstLine="482" w:firstLineChars="200"/>
              <w:rPr>
                <w:rFonts w:cs="宋体"/>
                <w:bCs/>
                <w:color w:val="auto"/>
                <w:szCs w:val="24"/>
                <w:highlight w:val="none"/>
                <w:u w:val="single"/>
              </w:rPr>
            </w:pPr>
            <w:r>
              <w:rPr>
                <w:rFonts w:hint="eastAsia" w:cs="宋体"/>
                <w:b/>
                <w:color w:val="auto"/>
                <w:szCs w:val="24"/>
                <w:highlight w:val="none"/>
                <w:u w:val="single"/>
              </w:rPr>
              <w:t>（1）信用良好的投标人需提供信用状况良好的相关证明：</w:t>
            </w:r>
            <w:r>
              <w:rPr>
                <w:rFonts w:hint="eastAsia" w:cs="宋体"/>
                <w:bCs/>
                <w:color w:val="auto"/>
                <w:szCs w:val="24"/>
                <w:highlight w:val="none"/>
                <w:u w:val="single"/>
              </w:rPr>
              <w:t>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pStyle w:val="19"/>
              <w:topLinePunct/>
              <w:snapToGrid w:val="0"/>
              <w:ind w:firstLine="482" w:firstLineChars="200"/>
              <w:jc w:val="left"/>
              <w:rPr>
                <w:rFonts w:cs="宋体"/>
                <w:bCs/>
                <w:color w:val="auto"/>
                <w:szCs w:val="24"/>
                <w:highlight w:val="none"/>
                <w:u w:val="single"/>
              </w:rPr>
            </w:pPr>
            <w:r>
              <w:rPr>
                <w:rFonts w:hint="eastAsia" w:cs="宋体"/>
                <w:b/>
                <w:color w:val="auto"/>
                <w:szCs w:val="24"/>
                <w:highlight w:val="none"/>
                <w:u w:val="single"/>
              </w:rPr>
              <w:t>（2）属于中小企业（包括中型、小型和微型企业）的投标人需提供属于中小企业的资料：</w:t>
            </w:r>
            <w:r>
              <w:rPr>
                <w:rFonts w:hint="eastAsia" w:cs="宋体"/>
                <w:bCs/>
                <w:color w:val="auto"/>
                <w:szCs w:val="24"/>
                <w:highlight w:val="none"/>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w:t>
            </w:r>
          </w:p>
          <w:p>
            <w:pPr>
              <w:pStyle w:val="19"/>
              <w:topLinePunct/>
              <w:snapToGrid w:val="0"/>
              <w:jc w:val="left"/>
              <w:rPr>
                <w:rFonts w:cs="宋体"/>
                <w:bCs/>
                <w:color w:val="auto"/>
                <w:szCs w:val="24"/>
                <w:highlight w:val="none"/>
                <w:u w:val="single"/>
              </w:rPr>
            </w:pPr>
            <w:r>
              <w:rPr>
                <w:rFonts w:hint="eastAsia" w:cs="宋体"/>
                <w:bCs/>
                <w:color w:val="auto"/>
                <w:szCs w:val="24"/>
                <w:highlight w:val="none"/>
                <w:u w:val="single"/>
              </w:rPr>
              <w:t>baosong/appweb/orgScale.html网址查询结果为准，网页截图需包含网址信息。没有按上述要求提供证明材料的投标人，不免于交纳投标保证金。</w:t>
            </w:r>
          </w:p>
          <w:p>
            <w:pPr>
              <w:pStyle w:val="19"/>
              <w:topLinePunct/>
              <w:snapToGrid w:val="0"/>
              <w:ind w:firstLine="482" w:firstLineChars="200"/>
              <w:rPr>
                <w:rFonts w:cs="宋体"/>
                <w:b/>
                <w:color w:val="auto"/>
                <w:szCs w:val="24"/>
                <w:highlight w:val="none"/>
              </w:rPr>
            </w:pPr>
            <w:r>
              <w:rPr>
                <w:rFonts w:hint="eastAsia" w:cs="宋体"/>
                <w:b/>
                <w:color w:val="auto"/>
                <w:szCs w:val="24"/>
                <w:highlight w:val="none"/>
                <w:u w:val="single"/>
              </w:rPr>
              <w:t>（3）免交投标保证金的投标人还需同时提供《关于投标保证金的承诺》（详见“第六章 投标文件格式”）。</w:t>
            </w:r>
          </w:p>
          <w:p>
            <w:pPr>
              <w:pStyle w:val="19"/>
              <w:topLinePunct/>
              <w:snapToGrid w:val="0"/>
              <w:rPr>
                <w:rFonts w:cs="宋体"/>
                <w:bCs/>
                <w:color w:val="auto"/>
                <w:szCs w:val="24"/>
                <w:highlight w:val="none"/>
              </w:rPr>
            </w:pPr>
            <w:r>
              <w:rPr>
                <w:rFonts w:cs="宋体"/>
                <w:bCs/>
                <w:color w:val="auto"/>
                <w:szCs w:val="24"/>
                <w:highlight w:val="none"/>
              </w:rPr>
              <w:sym w:font="Wingdings 2" w:char="00A3"/>
            </w:r>
            <w:r>
              <w:rPr>
                <w:rFonts w:cs="宋体"/>
                <w:bCs/>
                <w:color w:val="auto"/>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3.4.4</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其他可以不予退还投标保证金的情形</w:t>
            </w:r>
          </w:p>
        </w:tc>
        <w:tc>
          <w:tcPr>
            <w:tcW w:w="6178" w:type="dxa"/>
            <w:vAlign w:val="center"/>
          </w:tcPr>
          <w:p>
            <w:pPr>
              <w:snapToGrid w:val="0"/>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3.5</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资格审查资料的特殊要求</w:t>
            </w:r>
          </w:p>
        </w:tc>
        <w:tc>
          <w:tcPr>
            <w:tcW w:w="6178" w:type="dxa"/>
            <w:vAlign w:val="center"/>
          </w:tcPr>
          <w:p>
            <w:pPr>
              <w:pStyle w:val="19"/>
              <w:topLinePunct/>
              <w:snapToGrid w:val="0"/>
              <w:rPr>
                <w:rFonts w:cs="宋体"/>
                <w:color w:val="auto"/>
                <w:spacing w:val="-1"/>
                <w:szCs w:val="24"/>
                <w:highlight w:val="none"/>
              </w:rPr>
            </w:pPr>
            <w:r>
              <w:rPr>
                <w:rFonts w:hint="eastAsia" w:cs="宋体"/>
                <w:color w:val="auto"/>
                <w:spacing w:val="-1"/>
                <w:szCs w:val="24"/>
                <w:highlight w:val="none"/>
              </w:rPr>
              <w:t>■无</w:t>
            </w:r>
          </w:p>
          <w:p>
            <w:pPr>
              <w:pStyle w:val="19"/>
              <w:topLinePunct/>
              <w:snapToGrid w:val="0"/>
              <w:rPr>
                <w:rFonts w:cs="宋体"/>
                <w:color w:val="auto"/>
                <w:szCs w:val="24"/>
                <w:highlight w:val="none"/>
              </w:rPr>
            </w:pPr>
            <w:r>
              <w:rPr>
                <w:rFonts w:hint="eastAsia" w:cs="宋体"/>
                <w:color w:val="auto"/>
                <w:spacing w:val="-1"/>
                <w:szCs w:val="24"/>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6"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3.5.2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近年财务状况的年份要求</w:t>
            </w:r>
          </w:p>
        </w:tc>
        <w:tc>
          <w:tcPr>
            <w:tcW w:w="6178" w:type="dxa"/>
            <w:vAlign w:val="center"/>
          </w:tcPr>
          <w:p>
            <w:pPr>
              <w:snapToGrid w:val="0"/>
              <w:rPr>
                <w:rFonts w:ascii="宋体" w:eastAsia="宋体" w:cs="宋体"/>
                <w:color w:val="auto"/>
                <w:sz w:val="24"/>
                <w:szCs w:val="24"/>
                <w:highlight w:val="none"/>
                <w:u w:val="single"/>
              </w:rPr>
            </w:pPr>
            <w:r>
              <w:rPr>
                <w:rFonts w:ascii="宋体" w:eastAsia="宋体" w:cs="宋体"/>
                <w:color w:val="auto"/>
                <w:sz w:val="24"/>
                <w:szCs w:val="24"/>
                <w:highlight w:val="none"/>
                <w:u w:val="single"/>
              </w:rPr>
              <w:t>/  年至  /  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3.5.3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近年完成的项目情况的时间要求</w:t>
            </w:r>
          </w:p>
        </w:tc>
        <w:tc>
          <w:tcPr>
            <w:tcW w:w="6178" w:type="dxa"/>
            <w:vAlign w:val="center"/>
          </w:tcPr>
          <w:p>
            <w:pPr>
              <w:rPr>
                <w:rFonts w:ascii="宋体" w:eastAsia="宋体" w:cs="宋体"/>
                <w:color w:val="auto"/>
                <w:sz w:val="24"/>
                <w:szCs w:val="24"/>
                <w:highlight w:val="none"/>
                <w:u w:val="single"/>
              </w:rPr>
            </w:pPr>
            <w:r>
              <w:rPr>
                <w:rFonts w:ascii="宋体" w:eastAsia="宋体" w:cs="宋体"/>
                <w:color w:val="auto"/>
                <w:sz w:val="24"/>
                <w:szCs w:val="24"/>
                <w:highlight w:val="none"/>
                <w:u w:val="single"/>
              </w:rPr>
              <w:t>/  年至  /  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59"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3.5.5</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近年发生的诉讼及仲裁情况的时间要求</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4"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3.6.1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是否允许递交备选投标方案</w:t>
            </w:r>
          </w:p>
        </w:tc>
        <w:tc>
          <w:tcPr>
            <w:tcW w:w="6178" w:type="dxa"/>
            <w:vAlign w:val="center"/>
          </w:tcPr>
          <w:p>
            <w:pPr>
              <w:pStyle w:val="19"/>
              <w:topLinePunct/>
              <w:snapToGrid w:val="0"/>
              <w:rPr>
                <w:rFonts w:cs="宋体"/>
                <w:color w:val="auto"/>
                <w:szCs w:val="24"/>
                <w:highlight w:val="none"/>
              </w:rPr>
            </w:pPr>
            <w:r>
              <w:rPr>
                <w:rFonts w:hint="eastAsia" w:cs="宋体"/>
                <w:color w:val="auto"/>
                <w:szCs w:val="24"/>
                <w:highlight w:val="none"/>
              </w:rPr>
              <w:t>■不允许</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24"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3.7.3（B）</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投标文件所附证书证件要求</w:t>
            </w:r>
          </w:p>
        </w:tc>
        <w:tc>
          <w:tcPr>
            <w:tcW w:w="6178" w:type="dxa"/>
            <w:vAlign w:val="center"/>
          </w:tcPr>
          <w:p>
            <w:pPr>
              <w:snapToGrid w:val="0"/>
              <w:rPr>
                <w:rFonts w:ascii="宋体" w:eastAsia="宋体" w:cs="宋体"/>
                <w:color w:val="auto"/>
                <w:sz w:val="24"/>
                <w:szCs w:val="24"/>
                <w:highlight w:val="none"/>
                <w:u w:val="single"/>
              </w:rPr>
            </w:pPr>
            <w:r>
              <w:rPr>
                <w:rFonts w:hint="eastAsia" w:ascii="宋体" w:eastAsia="宋体" w:cs="宋体"/>
                <w:color w:val="auto"/>
                <w:sz w:val="24"/>
                <w:szCs w:val="24"/>
                <w:highlight w:val="none"/>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9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3.7.3（B）</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投标文件签字或盖章要求</w:t>
            </w:r>
          </w:p>
        </w:tc>
        <w:tc>
          <w:tcPr>
            <w:tcW w:w="6178" w:type="dxa"/>
            <w:vAlign w:val="center"/>
          </w:tcPr>
          <w:p>
            <w:pPr>
              <w:pStyle w:val="19"/>
              <w:topLinePunct/>
              <w:snapToGrid w:val="0"/>
              <w:rPr>
                <w:rFonts w:cs="宋体"/>
                <w:color w:val="auto"/>
                <w:szCs w:val="24"/>
                <w:highlight w:val="none"/>
                <w:u w:val="single"/>
              </w:rPr>
            </w:pPr>
            <w:r>
              <w:rPr>
                <w:rFonts w:hint="eastAsia" w:cs="宋体"/>
                <w:color w:val="auto"/>
                <w:szCs w:val="24"/>
                <w:highlight w:val="none"/>
                <w:u w:val="single"/>
              </w:rPr>
              <w:t>取消在招标文件中采用个人数字证书和加盖个人电子印章要求，投标文件中需法定代表人、代理人签字或加盖电子印章的，应手签或盖章后扫描上传，对加盖个人电子印章不做要求。投标文件按招标文件要求加盖单位电子印章。相关操作详见广州公共资源交易中心网站最新发布的《房建市政全流程电子化项目操作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4"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4.1.1（A）</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投标文件密封包装</w:t>
            </w:r>
          </w:p>
        </w:tc>
        <w:tc>
          <w:tcPr>
            <w:tcW w:w="6178" w:type="dxa"/>
            <w:vAlign w:val="center"/>
          </w:tcPr>
          <w:p>
            <w:pPr>
              <w:pStyle w:val="19"/>
              <w:topLinePunct/>
              <w:snapToGrid w:val="0"/>
              <w:rPr>
                <w:rFonts w:cs="宋体"/>
                <w:color w:val="auto"/>
                <w:szCs w:val="24"/>
                <w:highlight w:val="none"/>
                <w:u w:val="single"/>
              </w:rPr>
            </w:pPr>
            <w:r>
              <w:rPr>
                <w:rFonts w:hint="eastAsia" w:cs="宋体"/>
                <w:color w:val="auto"/>
                <w:szCs w:val="24"/>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4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4.1.1（B）</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投标文件加密要求</w:t>
            </w:r>
          </w:p>
        </w:tc>
        <w:tc>
          <w:tcPr>
            <w:tcW w:w="6178" w:type="dxa"/>
            <w:vAlign w:val="center"/>
          </w:tcPr>
          <w:p>
            <w:pPr>
              <w:pStyle w:val="19"/>
              <w:topLinePunct/>
              <w:snapToGrid w:val="0"/>
              <w:rPr>
                <w:rFonts w:cs="宋体"/>
                <w:color w:val="auto"/>
                <w:szCs w:val="24"/>
                <w:highlight w:val="none"/>
                <w:u w:val="single"/>
              </w:rPr>
            </w:pPr>
            <w:r>
              <w:rPr>
                <w:rFonts w:hint="eastAsia" w:cs="宋体"/>
                <w:color w:val="auto"/>
                <w:szCs w:val="24"/>
                <w:highlight w:val="none"/>
              </w:rPr>
              <w:t>网上递交的电子投标文件须进行加密。具体操作详见《房屋建筑和市政基础设施工程全流程电子化项目专章》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5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4.1.2</w:t>
            </w:r>
          </w:p>
        </w:tc>
        <w:tc>
          <w:tcPr>
            <w:tcW w:w="2149" w:type="dxa"/>
            <w:vAlign w:val="center"/>
          </w:tcPr>
          <w:p>
            <w:pPr>
              <w:snapToGrid w:val="0"/>
              <w:jc w:val="center"/>
              <w:rPr>
                <w:rFonts w:ascii="宋体" w:eastAsia="宋体" w:cs="宋体"/>
                <w:color w:val="auto"/>
                <w:sz w:val="24"/>
                <w:szCs w:val="24"/>
                <w:highlight w:val="none"/>
                <w:shd w:val="clear" w:color="FFFFFF" w:fill="D9D9D9"/>
              </w:rPr>
            </w:pPr>
            <w:r>
              <w:rPr>
                <w:rFonts w:hint="eastAsia" w:ascii="宋体" w:eastAsia="宋体" w:cs="宋体"/>
                <w:color w:val="auto"/>
                <w:sz w:val="24"/>
                <w:szCs w:val="24"/>
                <w:highlight w:val="none"/>
              </w:rPr>
              <w:t>封套上应载明的信息</w:t>
            </w:r>
          </w:p>
        </w:tc>
        <w:tc>
          <w:tcPr>
            <w:tcW w:w="6178" w:type="dxa"/>
            <w:vAlign w:val="center"/>
          </w:tcPr>
          <w:p>
            <w:pPr>
              <w:pStyle w:val="19"/>
              <w:topLinePunct/>
              <w:snapToGrid w:val="0"/>
              <w:rPr>
                <w:rFonts w:cs="宋体"/>
                <w:color w:val="auto"/>
                <w:szCs w:val="24"/>
                <w:highlight w:val="none"/>
              </w:rPr>
            </w:pPr>
            <w:r>
              <w:rPr>
                <w:rFonts w:hint="eastAsia" w:cs="宋体"/>
                <w:color w:val="auto"/>
                <w:szCs w:val="24"/>
                <w:highlight w:val="none"/>
              </w:rPr>
              <w:t>如有提交投标文件光盘备用，封套上应注明如下信息：</w:t>
            </w:r>
          </w:p>
          <w:p>
            <w:pPr>
              <w:pStyle w:val="19"/>
              <w:topLinePunct/>
              <w:rPr>
                <w:rFonts w:cs="宋体"/>
                <w:color w:val="auto"/>
                <w:szCs w:val="24"/>
                <w:highlight w:val="none"/>
                <w:u w:val="single"/>
              </w:rPr>
            </w:pPr>
            <w:r>
              <w:rPr>
                <w:rFonts w:hint="eastAsia" w:cs="宋体"/>
                <w:color w:val="auto"/>
                <w:szCs w:val="24"/>
                <w:highlight w:val="none"/>
              </w:rPr>
              <w:t>招标人名称：</w:t>
            </w:r>
            <w:r>
              <w:rPr>
                <w:rFonts w:hint="eastAsia" w:cs="宋体"/>
                <w:color w:val="auto"/>
                <w:szCs w:val="24"/>
                <w:highlight w:val="none"/>
                <w:u w:val="single"/>
              </w:rPr>
              <w:t>广州市增城区水务建设管理所</w:t>
            </w:r>
          </w:p>
          <w:p>
            <w:pPr>
              <w:pStyle w:val="19"/>
              <w:topLinePunct/>
              <w:rPr>
                <w:rFonts w:cs="宋体"/>
                <w:color w:val="auto"/>
                <w:szCs w:val="24"/>
                <w:highlight w:val="none"/>
              </w:rPr>
            </w:pPr>
            <w:r>
              <w:rPr>
                <w:rFonts w:hint="eastAsia" w:cs="宋体"/>
                <w:color w:val="auto"/>
                <w:szCs w:val="24"/>
                <w:highlight w:val="none"/>
              </w:rPr>
              <w:t>招标人地址：</w:t>
            </w:r>
            <w:r>
              <w:rPr>
                <w:rFonts w:hint="eastAsia" w:cs="宋体"/>
                <w:color w:val="auto"/>
                <w:szCs w:val="24"/>
                <w:highlight w:val="none"/>
                <w:u w:val="single"/>
              </w:rPr>
              <w:t>增城区荔城街园圃路4号</w:t>
            </w:r>
          </w:p>
          <w:p>
            <w:pPr>
              <w:pStyle w:val="19"/>
              <w:topLinePunct/>
              <w:snapToGrid w:val="0"/>
              <w:rPr>
                <w:rFonts w:hAnsi="宋体"/>
                <w:color w:val="auto"/>
                <w:szCs w:val="24"/>
                <w:highlight w:val="none"/>
              </w:rPr>
            </w:pPr>
            <w:r>
              <w:rPr>
                <w:rFonts w:hint="eastAsia" w:hAnsi="宋体"/>
                <w:color w:val="auto"/>
                <w:szCs w:val="24"/>
                <w:highlight w:val="none"/>
                <w:u w:val="single"/>
              </w:rPr>
              <w:t>增城国家级开发区中新园区基础设施配套中新下沉式再生水厂项目施工图审查投标文件</w:t>
            </w:r>
          </w:p>
          <w:p>
            <w:pPr>
              <w:pStyle w:val="19"/>
              <w:topLinePunct/>
              <w:rPr>
                <w:rFonts w:cs="宋体"/>
                <w:color w:val="auto"/>
                <w:szCs w:val="24"/>
                <w:highlight w:val="none"/>
              </w:rPr>
            </w:pPr>
            <w:r>
              <w:rPr>
                <w:rFonts w:hint="eastAsia" w:cs="宋体"/>
                <w:color w:val="auto"/>
                <w:szCs w:val="24"/>
                <w:highlight w:val="none"/>
              </w:rPr>
              <w:t>招标项目编号：</w:t>
            </w:r>
            <w:r>
              <w:rPr>
                <w:rFonts w:hint="eastAsia" w:cs="宋体"/>
                <w:color w:val="auto"/>
                <w:szCs w:val="24"/>
                <w:highlight w:val="none"/>
                <w:u w:val="single"/>
              </w:rPr>
              <w:t xml:space="preserve">                    </w:t>
            </w:r>
          </w:p>
          <w:p>
            <w:pPr>
              <w:pStyle w:val="19"/>
              <w:topLinePunct/>
              <w:snapToGrid w:val="0"/>
              <w:rPr>
                <w:rFonts w:cs="宋体"/>
                <w:color w:val="auto"/>
                <w:szCs w:val="24"/>
                <w:highlight w:val="none"/>
              </w:rPr>
            </w:pPr>
            <w:r>
              <w:rPr>
                <w:rFonts w:hint="eastAsia" w:hAnsi="宋体"/>
                <w:color w:val="auto"/>
                <w:szCs w:val="24"/>
                <w:highlight w:val="none"/>
              </w:rPr>
              <w:t>在</w:t>
            </w:r>
            <w:r>
              <w:rPr>
                <w:rFonts w:hAnsi="宋体"/>
                <w:color w:val="auto"/>
                <w:szCs w:val="24"/>
                <w:highlight w:val="none"/>
                <w:u w:val="single"/>
              </w:rPr>
              <w:t xml:space="preserve">   </w:t>
            </w:r>
            <w:r>
              <w:rPr>
                <w:rFonts w:hint="eastAsia" w:hAnsi="宋体"/>
                <w:color w:val="auto"/>
                <w:szCs w:val="24"/>
                <w:highlight w:val="none"/>
              </w:rPr>
              <w:t>年</w:t>
            </w:r>
            <w:r>
              <w:rPr>
                <w:rFonts w:hAnsi="宋体"/>
                <w:color w:val="auto"/>
                <w:szCs w:val="24"/>
                <w:highlight w:val="none"/>
                <w:u w:val="single"/>
              </w:rPr>
              <w:t xml:space="preserve">   </w:t>
            </w:r>
            <w:r>
              <w:rPr>
                <w:rFonts w:hint="eastAsia" w:hAnsi="宋体"/>
                <w:color w:val="auto"/>
                <w:szCs w:val="24"/>
                <w:highlight w:val="none"/>
              </w:rPr>
              <w:t>月</w:t>
            </w:r>
            <w:r>
              <w:rPr>
                <w:rFonts w:hAnsi="宋体"/>
                <w:color w:val="auto"/>
                <w:szCs w:val="24"/>
                <w:highlight w:val="none"/>
                <w:u w:val="single"/>
              </w:rPr>
              <w:t xml:space="preserve">   </w:t>
            </w:r>
            <w:r>
              <w:rPr>
                <w:rFonts w:hint="eastAsia" w:hAnsi="宋体"/>
                <w:color w:val="auto"/>
                <w:szCs w:val="24"/>
                <w:highlight w:val="none"/>
              </w:rPr>
              <w:t>日</w:t>
            </w:r>
            <w:r>
              <w:rPr>
                <w:rFonts w:hint="eastAsia" w:hAnsi="宋体"/>
                <w:color w:val="auto"/>
                <w:szCs w:val="24"/>
                <w:highlight w:val="none"/>
                <w:u w:val="single"/>
              </w:rPr>
              <w:t xml:space="preserve">  </w:t>
            </w:r>
            <w:r>
              <w:rPr>
                <w:rFonts w:hint="eastAsia" w:hAnsi="宋体"/>
                <w:color w:val="auto"/>
                <w:szCs w:val="24"/>
                <w:highlight w:val="none"/>
              </w:rPr>
              <w:t>时</w:t>
            </w:r>
            <w:r>
              <w:rPr>
                <w:rFonts w:hint="eastAsia" w:cs="宋体"/>
                <w:color w:val="auto"/>
                <w:szCs w:val="24"/>
                <w:highlight w:val="none"/>
                <w:u w:val="single"/>
              </w:rPr>
              <w:t xml:space="preserve">  </w:t>
            </w:r>
            <w:r>
              <w:rPr>
                <w:rFonts w:hint="eastAsia" w:cs="宋体"/>
                <w:color w:val="auto"/>
                <w:szCs w:val="24"/>
                <w:highlight w:val="none"/>
              </w:rPr>
              <w:t>分</w:t>
            </w:r>
            <w:r>
              <w:rPr>
                <w:rFonts w:hint="eastAsia" w:hAnsi="宋体"/>
                <w:color w:val="auto"/>
                <w:szCs w:val="24"/>
                <w:highlight w:val="none"/>
              </w:rPr>
              <w:t>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4.2.1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投标截止时间</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 xml:space="preserve"> 2022 </w:t>
            </w:r>
            <w:r>
              <w:rPr>
                <w:rFonts w:hint="eastAsia" w:ascii="宋体" w:eastAsia="宋体" w:cs="宋体"/>
                <w:color w:val="auto"/>
                <w:sz w:val="24"/>
                <w:szCs w:val="24"/>
                <w:highlight w:val="none"/>
              </w:rPr>
              <w:t>年</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月</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日</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时</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12"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4.2.2（A）</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递交投标文件地点</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 xml:space="preserve">1.递交方式：网上递交投标文件 </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 xml:space="preserve">2.递交投标文件的起始时间：（详见广州公共资源交易中心网站信息）。 </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截止时间：（详见广州公共资源交易中心网站信息）。</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 xml:space="preserve">3.地点：广州公共资源交易中心网站。 </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4.上述时间及地点是否有改变，请密切留意招标答疑纪要的相关信息。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59"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4.2.3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投标文件是否退还</w:t>
            </w:r>
          </w:p>
        </w:tc>
        <w:tc>
          <w:tcPr>
            <w:tcW w:w="6178" w:type="dxa"/>
            <w:vAlign w:val="center"/>
          </w:tcPr>
          <w:p>
            <w:pPr>
              <w:pStyle w:val="19"/>
              <w:topLinePunct/>
              <w:snapToGrid w:val="0"/>
              <w:rPr>
                <w:rFonts w:cs="宋体"/>
                <w:color w:val="auto"/>
                <w:szCs w:val="24"/>
                <w:highlight w:val="none"/>
              </w:rPr>
            </w:pPr>
            <w:r>
              <w:rPr>
                <w:rFonts w:hint="eastAsia" w:cs="宋体"/>
                <w:color w:val="auto"/>
                <w:szCs w:val="24"/>
                <w:highlight w:val="none"/>
              </w:rPr>
              <w:t>■否</w:t>
            </w:r>
          </w:p>
          <w:p>
            <w:pPr>
              <w:pStyle w:val="19"/>
              <w:topLinePunct/>
              <w:snapToGrid w:val="0"/>
              <w:rPr>
                <w:rFonts w:cs="宋体"/>
                <w:color w:val="auto"/>
                <w:szCs w:val="24"/>
                <w:highlight w:val="none"/>
              </w:rPr>
            </w:pPr>
            <w:r>
              <w:rPr>
                <w:rFonts w:hint="eastAsia" w:cs="宋体"/>
                <w:color w:val="auto"/>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7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5.1（B）</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开标时间和地点</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开标时间：同投标截止时间</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开标地点：本项目在广州公共资源交易中心公开开标，并邀请所有投标人的法定代表人或其委托代理人准时参加。具体的招投标活动日程安排及场地安排以广州市公共资源交易中心网站公布的为准。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5.2（B）</w:t>
            </w:r>
          </w:p>
        </w:tc>
        <w:tc>
          <w:tcPr>
            <w:tcW w:w="2149" w:type="dxa"/>
            <w:vAlign w:val="center"/>
          </w:tcPr>
          <w:p>
            <w:pPr>
              <w:snapToGrid w:val="0"/>
              <w:jc w:val="center"/>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开标程序</w:t>
            </w:r>
          </w:p>
        </w:tc>
        <w:tc>
          <w:tcPr>
            <w:tcW w:w="6178" w:type="dxa"/>
            <w:vAlign w:val="center"/>
          </w:tcPr>
          <w:p>
            <w:pPr>
              <w:snapToGrid w:val="0"/>
              <w:rPr>
                <w:rFonts w:ascii="宋体" w:eastAsia="宋体" w:cs="宋体"/>
                <w:color w:val="auto"/>
                <w:sz w:val="24"/>
                <w:szCs w:val="24"/>
                <w:highlight w:val="none"/>
                <w:u w:val="none"/>
              </w:rPr>
            </w:pPr>
            <w:r>
              <w:rPr>
                <w:rFonts w:ascii="宋体" w:eastAsia="宋体" w:cs="宋体"/>
                <w:color w:val="auto"/>
                <w:sz w:val="24"/>
                <w:szCs w:val="24"/>
                <w:highlight w:val="none"/>
                <w:u w:val="none"/>
              </w:rPr>
              <w:t>电子招投标项目开标按下列程序进行：</w:t>
            </w:r>
          </w:p>
          <w:p>
            <w:pPr>
              <w:snapToGrid w:val="0"/>
              <w:rPr>
                <w:rFonts w:ascii="宋体" w:eastAsia="宋体" w:cs="宋体"/>
                <w:color w:val="auto"/>
                <w:sz w:val="24"/>
                <w:szCs w:val="24"/>
                <w:highlight w:val="none"/>
                <w:u w:val="none"/>
              </w:rPr>
            </w:pPr>
            <w:r>
              <w:rPr>
                <w:rFonts w:ascii="宋体" w:eastAsia="宋体" w:cs="宋体"/>
                <w:color w:val="auto"/>
                <w:sz w:val="24"/>
                <w:szCs w:val="24"/>
                <w:highlight w:val="none"/>
                <w:u w:val="none"/>
              </w:rPr>
              <w:t>5.2.1主持人按下列程序进行开标：</w:t>
            </w:r>
          </w:p>
          <w:p>
            <w:pPr>
              <w:snapToGrid w:val="0"/>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（1）宣布开标纪律；</w:t>
            </w:r>
          </w:p>
          <w:p>
            <w:pPr>
              <w:snapToGrid w:val="0"/>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（2）公布在投标截止时间前递交投标文件的投标人名称；</w:t>
            </w:r>
          </w:p>
          <w:p>
            <w:pPr>
              <w:snapToGrid w:val="0"/>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（3）宣布开标人、唱标人、记录人、监标人等有关人员姓名；</w:t>
            </w:r>
          </w:p>
          <w:p>
            <w:pPr>
              <w:snapToGrid w:val="0"/>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（4）导入电子招标文件；</w:t>
            </w:r>
          </w:p>
          <w:p>
            <w:pPr>
              <w:snapToGrid w:val="0"/>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5）交易中心数字交易平台开标系统自动检查电子投标文件的递交、投标人解密情况；逾期未完成投标人解密的电子投标文件将按废标处理。如因交易中心数字交易平台开标系统原因导致投标人解密失败，则待交易系统恢复正常后，由招标人另择时间进行开标和评标；</w:t>
            </w:r>
          </w:p>
          <w:p>
            <w:pPr>
              <w:snapToGrid w:val="0"/>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6）招标人（或招标代理人）使用制作该电子招标文件的机构业务数字证书对已完成投标人解密的电子投标文件进行招标人解密；若因交易中心数字交易平台开标系统原因导致招标人解密不成功，则待交易系统恢复正常后，由招标人另择时间进行开标和评标；</w:t>
            </w:r>
          </w:p>
          <w:p>
            <w:pPr>
              <w:snapToGrid w:val="0"/>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7）将所有解密成功的电子投标文件导入交易中心数字交易平台开标系统并公开开标，按照交易中心数字交易平台开标系统自动确定的电子投标文件顺序进行开标、唱标；若因交易中心数字交易平台开标系统原因导致无法采用电子投标文件进行开标，则待交易系统恢复正常后，由招标人另择时间进行开标和评标；</w:t>
            </w:r>
          </w:p>
          <w:p>
            <w:pPr>
              <w:snapToGrid w:val="0"/>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（8）按照宣布的开标顺序当众唱标，公布招标项目名称、投标人名称、投标报价、服务期限及其他内容，并记录在案；</w:t>
            </w:r>
          </w:p>
          <w:p>
            <w:pPr>
              <w:snapToGrid w:val="0"/>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（9）投标人代表、招标人代表、监标人、记录人等有关人员在开标记录上签字确认；</w:t>
            </w:r>
          </w:p>
          <w:p>
            <w:pPr>
              <w:snapToGrid w:val="0"/>
              <w:rPr>
                <w:rFonts w:ascii="宋体" w:eastAsia="宋体" w:cs="宋体"/>
                <w:color w:val="auto"/>
                <w:sz w:val="24"/>
                <w:szCs w:val="24"/>
                <w:highlight w:val="none"/>
                <w:u w:val="none"/>
              </w:rPr>
            </w:pPr>
            <w:r>
              <w:rPr>
                <w:rFonts w:hint="eastAsia" w:ascii="宋体" w:eastAsia="宋体" w:cs="宋体"/>
                <w:color w:val="auto"/>
                <w:sz w:val="24"/>
                <w:szCs w:val="24"/>
                <w:highlight w:val="none"/>
                <w:u w:val="none"/>
              </w:rPr>
              <w:t>(10) 开标结束。</w:t>
            </w:r>
          </w:p>
          <w:p>
            <w:pPr>
              <w:snapToGrid w:val="0"/>
              <w:rPr>
                <w:rFonts w:ascii="宋体" w:eastAsia="宋体" w:cs="宋体"/>
                <w:color w:val="auto"/>
                <w:sz w:val="24"/>
                <w:szCs w:val="24"/>
                <w:highlight w:val="none"/>
                <w:u w:val="none"/>
              </w:rPr>
            </w:pPr>
            <w:r>
              <w:rPr>
                <w:rFonts w:ascii="宋体" w:eastAsia="宋体" w:cs="宋体"/>
                <w:color w:val="auto"/>
                <w:sz w:val="24"/>
                <w:szCs w:val="24"/>
                <w:highlight w:val="none"/>
                <w:u w:val="none"/>
              </w:rPr>
              <w:t xml:space="preserve">  5.2.2投标截止时间前未完成投标文件传输的或因投标人之外的原因造成投标文件未解密的，视为投标人撤回其投标文件。因投标人原因造成投标文件未解密的或未在投标截止时间后半小时解密的且未提交备用光盘的，视为撤销其投标文件。</w:t>
            </w:r>
          </w:p>
          <w:p>
            <w:pPr>
              <w:snapToGrid w:val="0"/>
              <w:rPr>
                <w:rFonts w:ascii="宋体" w:eastAsia="宋体" w:cs="宋体"/>
                <w:color w:val="auto"/>
                <w:sz w:val="24"/>
                <w:szCs w:val="24"/>
                <w:highlight w:val="none"/>
                <w:u w:val="none"/>
              </w:rPr>
            </w:pPr>
            <w:r>
              <w:rPr>
                <w:rFonts w:ascii="宋体" w:eastAsia="宋体" w:cs="宋体"/>
                <w:color w:val="auto"/>
                <w:sz w:val="24"/>
                <w:szCs w:val="24"/>
                <w:highlight w:val="none"/>
                <w:u w:val="non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4"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6.1.1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评标委员会的组建</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6.3.2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评标委员会推荐中标候选人的人数</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u w:val="single"/>
              </w:rPr>
              <w:t>3人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7.1</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中标候选人公示媒介及期限</w:t>
            </w:r>
          </w:p>
        </w:tc>
        <w:tc>
          <w:tcPr>
            <w:tcW w:w="6178" w:type="dxa"/>
            <w:vAlign w:val="center"/>
          </w:tcPr>
          <w:p>
            <w:pPr>
              <w:rPr>
                <w:rFonts w:hint="eastAsia" w:ascii="宋体" w:eastAsia="宋体" w:cs="宋体"/>
                <w:color w:val="auto"/>
                <w:sz w:val="24"/>
                <w:szCs w:val="24"/>
                <w:highlight w:val="none"/>
              </w:rPr>
            </w:pPr>
            <w:r>
              <w:rPr>
                <w:rFonts w:hint="eastAsia" w:ascii="宋体" w:eastAsia="宋体" w:cs="宋体"/>
                <w:color w:val="auto"/>
                <w:sz w:val="24"/>
                <w:szCs w:val="24"/>
                <w:highlight w:val="none"/>
              </w:rPr>
              <w:t>公示媒介：</w:t>
            </w:r>
            <w:r>
              <w:rPr>
                <w:rFonts w:hint="eastAsia" w:ascii="宋体" w:eastAsia="宋体" w:cs="宋体"/>
                <w:color w:val="auto"/>
                <w:sz w:val="24"/>
                <w:szCs w:val="24"/>
                <w:highlight w:val="none"/>
                <w:u w:val="single"/>
              </w:rPr>
              <w:t>广州公共资源交易中心网站、广东省招标投标监管网、中国招标投标公共服务平台、广州市增城区人民政府门户网站。</w:t>
            </w:r>
            <w:r>
              <w:rPr>
                <w:rFonts w:hint="eastAsia" w:ascii="宋体" w:eastAsia="宋体" w:cs="宋体"/>
                <w:color w:val="auto"/>
                <w:sz w:val="24"/>
                <w:szCs w:val="24"/>
                <w:highlight w:val="none"/>
              </w:rPr>
              <w:t xml:space="preserve">  </w:t>
            </w:r>
          </w:p>
          <w:p>
            <w:pPr>
              <w:rPr>
                <w:rFonts w:ascii="宋体" w:eastAsia="宋体" w:cs="宋体"/>
                <w:color w:val="auto"/>
                <w:sz w:val="24"/>
                <w:szCs w:val="24"/>
                <w:highlight w:val="none"/>
              </w:rPr>
            </w:pPr>
            <w:r>
              <w:rPr>
                <w:rFonts w:hint="eastAsia" w:ascii="宋体" w:eastAsia="宋体" w:cs="宋体"/>
                <w:color w:val="auto"/>
                <w:sz w:val="24"/>
                <w:szCs w:val="24"/>
                <w:highlight w:val="none"/>
              </w:rPr>
              <w:t>公示期限：</w:t>
            </w:r>
            <w:r>
              <w:rPr>
                <w:rFonts w:hint="eastAsia" w:ascii="宋体" w:eastAsia="宋体" w:cs="宋体"/>
                <w:color w:val="auto"/>
                <w:sz w:val="24"/>
                <w:szCs w:val="24"/>
                <w:highlight w:val="none"/>
                <w:u w:val="single"/>
              </w:rPr>
              <w:t xml:space="preserve"> 3 </w:t>
            </w:r>
            <w:r>
              <w:rPr>
                <w:rFonts w:hint="eastAsia" w:ascii="宋体" w:eastAsia="宋体" w:cs="宋体"/>
                <w:color w:val="auto"/>
                <w:sz w:val="24"/>
                <w:szCs w:val="24"/>
                <w:highlight w:val="none"/>
              </w:rPr>
              <w:t>日（最后一日为工作日）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7.4</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是否授权评标委员会确定中标人</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□是</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■否</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1、</w:t>
            </w:r>
            <w:r>
              <w:rPr>
                <w:rFonts w:ascii="宋体" w:eastAsia="宋体" w:cs="宋体"/>
                <w:color w:val="auto"/>
                <w:sz w:val="24"/>
                <w:szCs w:val="24"/>
                <w:highlight w:val="none"/>
              </w:rPr>
              <w:t>招标人依据评标委员会推荐的中标候选人确定中标人。</w:t>
            </w:r>
          </w:p>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2、</w:t>
            </w:r>
            <w:r>
              <w:rPr>
                <w:rFonts w:ascii="宋体" w:eastAsia="宋体" w:cs="宋体"/>
                <w:color w:val="auto"/>
                <w:sz w:val="24"/>
                <w:szCs w:val="24"/>
                <w:highlight w:val="none"/>
              </w:rPr>
              <w:t>依法必须进行公开招标的项目，招标人确定排名第一的中标候选人为中标人。</w:t>
            </w:r>
          </w:p>
          <w:p>
            <w:pPr>
              <w:snapToGrid w:val="0"/>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ascii="宋体" w:eastAsia="宋体" w:cs="宋体"/>
                <w:color w:val="auto"/>
                <w:sz w:val="24"/>
                <w:szCs w:val="24"/>
                <w:highlight w:val="none"/>
              </w:rPr>
              <w:t>排名第一的中标候选人放弃中标、或被取消中标资格，或因不可抗力提出不能履行合同，或者招标文件规定应当提交履约担保而在规定的期限内未能提交的，或经核查发现委派的</w:t>
            </w:r>
            <w:r>
              <w:rPr>
                <w:rFonts w:hint="eastAsia" w:ascii="宋体" w:eastAsia="宋体" w:cs="宋体"/>
                <w:color w:val="auto"/>
                <w:sz w:val="24"/>
                <w:szCs w:val="24"/>
                <w:highlight w:val="none"/>
              </w:rPr>
              <w:t>项目负责人</w:t>
            </w:r>
            <w:r>
              <w:rPr>
                <w:rFonts w:ascii="宋体" w:eastAsia="宋体" w:cs="宋体"/>
                <w:color w:val="auto"/>
                <w:sz w:val="24"/>
                <w:szCs w:val="24"/>
                <w:highlight w:val="none"/>
              </w:rPr>
              <w:t>不符合任职规定的，招标人可以按照中标候选人顺序依次上升替补定标，以此类推。</w:t>
            </w:r>
            <w:r>
              <w:rPr>
                <w:rFonts w:hint="eastAsia" w:ascii="宋体" w:eastAsia="宋体" w:cs="宋体"/>
                <w:color w:val="auto"/>
                <w:sz w:val="24"/>
                <w:szCs w:val="24"/>
                <w:highlight w:val="none"/>
              </w:rPr>
              <w:t>若本项目所有中标候选人都不能成为中标人，则本项目招标失败，招标人依法重新招标。</w:t>
            </w:r>
          </w:p>
          <w:p>
            <w:pPr>
              <w:snapToGrid w:val="0"/>
              <w:rPr>
                <w:color w:val="auto"/>
                <w:highlight w:val="none"/>
              </w:rPr>
            </w:pPr>
            <w:r>
              <w:rPr>
                <w:rFonts w:hint="eastAsia" w:ascii="宋体" w:eastAsia="宋体" w:cs="宋体"/>
                <w:color w:val="auto"/>
                <w:sz w:val="24"/>
                <w:szCs w:val="24"/>
                <w:highlight w:val="none"/>
                <w:lang w:val="en-US" w:eastAsia="zh-CN"/>
              </w:rPr>
              <w:t>4、发出中标通知书前，中标人应未被纳入失信联合惩戒名单，失信联合惩戒名单以“信用广州”网站公布的“失信联合惩戒黑名单”为准。否则招标人取消其中标资格，招标人可以按照评标委员会提出的中标候选人名单排序依次确定其他中标候选人为中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7.6.1</w:t>
            </w:r>
          </w:p>
        </w:tc>
        <w:tc>
          <w:tcPr>
            <w:tcW w:w="2149" w:type="dxa"/>
            <w:vAlign w:val="center"/>
          </w:tcPr>
          <w:p>
            <w:pPr>
              <w:snapToGrid w:val="0"/>
              <w:jc w:val="center"/>
              <w:rPr>
                <w:color w:val="auto"/>
                <w:highlight w:val="none"/>
              </w:rPr>
            </w:pPr>
            <w:r>
              <w:rPr>
                <w:rFonts w:hint="eastAsia" w:ascii="宋体" w:eastAsia="宋体" w:cs="宋体"/>
                <w:color w:val="auto"/>
                <w:sz w:val="24"/>
                <w:szCs w:val="24"/>
                <w:highlight w:val="none"/>
              </w:rPr>
              <w:t>履约保证金</w:t>
            </w:r>
          </w:p>
        </w:tc>
        <w:tc>
          <w:tcPr>
            <w:tcW w:w="6178" w:type="dxa"/>
            <w:vAlign w:val="center"/>
          </w:tcPr>
          <w:p>
            <w:pPr>
              <w:pStyle w:val="19"/>
              <w:topLinePunct/>
              <w:rPr>
                <w:rFonts w:cs="宋体"/>
                <w:color w:val="auto"/>
                <w:szCs w:val="24"/>
                <w:highlight w:val="none"/>
              </w:rPr>
            </w:pPr>
            <w:r>
              <w:rPr>
                <w:rFonts w:hint="eastAsia" w:cs="宋体"/>
                <w:color w:val="auto"/>
                <w:szCs w:val="24"/>
                <w:highlight w:val="none"/>
              </w:rPr>
              <w:t>是否要求中标人提交履约保证金：</w:t>
            </w:r>
          </w:p>
          <w:p>
            <w:pPr>
              <w:pStyle w:val="19"/>
              <w:topLinePunct/>
              <w:snapToGrid w:val="0"/>
              <w:rPr>
                <w:rFonts w:cs="宋体"/>
                <w:color w:val="auto"/>
                <w:szCs w:val="21"/>
                <w:highlight w:val="none"/>
              </w:rPr>
            </w:pPr>
            <w:r>
              <w:rPr>
                <w:rFonts w:hint="eastAsia" w:cs="宋体"/>
                <w:color w:val="auto"/>
                <w:szCs w:val="24"/>
                <w:highlight w:val="none"/>
              </w:rPr>
              <w:sym w:font="Wingdings 2" w:char="00A3"/>
            </w:r>
            <w:r>
              <w:rPr>
                <w:rFonts w:hint="eastAsia" w:cs="宋体"/>
                <w:color w:val="auto"/>
                <w:szCs w:val="24"/>
                <w:highlight w:val="none"/>
              </w:rPr>
              <w:t>要求</w:t>
            </w:r>
            <w:r>
              <w:rPr>
                <w:rFonts w:hint="eastAsia" w:cs="宋体"/>
                <w:color w:val="auto"/>
                <w:szCs w:val="21"/>
                <w:highlight w:val="none"/>
              </w:rPr>
              <w:t>，履约保证金的形式：以无条件不可撤销履约保函形式提供；</w:t>
            </w:r>
          </w:p>
          <w:p>
            <w:pPr>
              <w:pStyle w:val="19"/>
              <w:topLinePunct/>
              <w:snapToGrid w:val="0"/>
              <w:rPr>
                <w:rFonts w:cs="宋体"/>
                <w:color w:val="auto"/>
                <w:szCs w:val="21"/>
                <w:highlight w:val="none"/>
              </w:rPr>
            </w:pPr>
            <w:r>
              <w:rPr>
                <w:rFonts w:hint="eastAsia" w:cs="宋体"/>
                <w:color w:val="auto"/>
                <w:szCs w:val="21"/>
                <w:highlight w:val="none"/>
              </w:rPr>
              <w:t>履约保证金的金额：中标价款的10%。</w:t>
            </w:r>
          </w:p>
          <w:p>
            <w:pPr>
              <w:pStyle w:val="19"/>
              <w:topLinePunct/>
              <w:snapToGrid w:val="0"/>
              <w:rPr>
                <w:rFonts w:cs="宋体"/>
                <w:color w:val="auto"/>
                <w:szCs w:val="24"/>
                <w:highlight w:val="none"/>
              </w:rPr>
            </w:pPr>
            <w:r>
              <w:rPr>
                <w:rFonts w:hint="eastAsia" w:cs="宋体"/>
                <w:color w:val="auto"/>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9</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是否采用电子招标投标</w:t>
            </w:r>
          </w:p>
        </w:tc>
        <w:tc>
          <w:tcPr>
            <w:tcW w:w="6178" w:type="dxa"/>
            <w:vAlign w:val="center"/>
          </w:tcPr>
          <w:p>
            <w:pPr>
              <w:rPr>
                <w:rFonts w:ascii="宋体" w:eastAsia="宋体" w:cs="宋体"/>
                <w:color w:val="auto"/>
                <w:sz w:val="24"/>
                <w:szCs w:val="24"/>
                <w:highlight w:val="none"/>
              </w:rPr>
            </w:pPr>
            <w:r>
              <w:rPr>
                <w:rFonts w:hint="eastAsia" w:ascii="宋体" w:eastAsia="宋体" w:cs="宋体"/>
                <w:color w:val="auto"/>
                <w:sz w:val="24"/>
                <w:szCs w:val="24"/>
                <w:highlight w:val="none"/>
              </w:rPr>
              <w:sym w:font="Wingdings 2" w:char="00A3"/>
            </w:r>
            <w:r>
              <w:rPr>
                <w:rFonts w:hint="eastAsia" w:ascii="宋体" w:eastAsia="宋体" w:cs="宋体"/>
                <w:color w:val="auto"/>
                <w:sz w:val="24"/>
                <w:szCs w:val="24"/>
                <w:highlight w:val="none"/>
              </w:rPr>
              <w:t>否</w:t>
            </w:r>
          </w:p>
          <w:p>
            <w:pPr>
              <w:ind w:left="2398" w:leftChars="3" w:hanging="2392" w:hangingChars="997"/>
              <w:rPr>
                <w:rFonts w:ascii="宋体" w:eastAsia="宋体" w:cs="宋体"/>
                <w:color w:val="auto"/>
                <w:sz w:val="24"/>
                <w:szCs w:val="24"/>
                <w:highlight w:val="none"/>
              </w:rPr>
            </w:pPr>
            <w:r>
              <w:rPr>
                <w:rFonts w:hint="eastAsia" w:ascii="宋体" w:eastAsia="宋体" w:cs="宋体"/>
                <w:color w:val="auto"/>
                <w:sz w:val="24"/>
                <w:szCs w:val="24"/>
                <w:highlight w:val="none"/>
              </w:rPr>
              <w:t>■是，具体要求：</w:t>
            </w:r>
          </w:p>
          <w:p>
            <w:pPr>
              <w:rPr>
                <w:rFonts w:ascii="宋体" w:eastAsia="宋体" w:cs="宋体"/>
                <w:color w:val="auto"/>
                <w:sz w:val="24"/>
                <w:szCs w:val="24"/>
                <w:highlight w:val="none"/>
              </w:rPr>
            </w:pPr>
            <w:r>
              <w:rPr>
                <w:rFonts w:hint="eastAsia" w:ascii="宋体" w:eastAsia="宋体" w:cs="宋体"/>
                <w:color w:val="auto"/>
                <w:sz w:val="24"/>
                <w:szCs w:val="24"/>
                <w:highlight w:val="none"/>
              </w:rPr>
              <w:t>1、具体操作详见附件《房屋建筑和市政基础设施工程全流程电子化项目专章》。</w:t>
            </w:r>
          </w:p>
          <w:p>
            <w:pPr>
              <w:rPr>
                <w:rFonts w:ascii="宋体" w:eastAsia="宋体" w:cs="宋体"/>
                <w:color w:val="auto"/>
                <w:sz w:val="24"/>
                <w:szCs w:val="24"/>
                <w:highlight w:val="none"/>
              </w:rPr>
            </w:pPr>
            <w:r>
              <w:rPr>
                <w:rFonts w:hint="eastAsia" w:ascii="宋体" w:eastAsia="宋体" w:cs="宋体"/>
                <w:color w:val="auto"/>
                <w:sz w:val="24"/>
                <w:szCs w:val="24"/>
                <w:highlight w:val="none"/>
              </w:rPr>
              <w:t>2、提交投标文件光盘备用</w:t>
            </w:r>
          </w:p>
          <w:p>
            <w:pPr>
              <w:rPr>
                <w:rFonts w:ascii="宋体" w:eastAsia="宋体" w:cs="宋体"/>
                <w:color w:val="auto"/>
                <w:sz w:val="24"/>
                <w:szCs w:val="24"/>
                <w:highlight w:val="none"/>
              </w:rPr>
            </w:pPr>
            <w:r>
              <w:rPr>
                <w:rFonts w:hint="eastAsia" w:ascii="宋体" w:eastAsia="宋体" w:cs="宋体"/>
                <w:color w:val="auto"/>
                <w:sz w:val="24"/>
                <w:szCs w:val="24"/>
                <w:highlight w:val="none"/>
              </w:rPr>
              <w:t>投标人将按《房建市政全流程电子化项目操作专章》的操作方法制作的非加密的电子投标文件刻入光盘（1份），在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pPr>
              <w:rPr>
                <w:rFonts w:ascii="宋体" w:eastAsia="宋体" w:cs="宋体"/>
                <w:color w:val="auto"/>
                <w:sz w:val="24"/>
                <w:szCs w:val="24"/>
                <w:highlight w:val="none"/>
              </w:rPr>
            </w:pPr>
            <w:r>
              <w:rPr>
                <w:rFonts w:hint="eastAsia" w:ascii="宋体" w:eastAsia="宋体" w:cs="宋体"/>
                <w:color w:val="auto"/>
                <w:sz w:val="24"/>
                <w:szCs w:val="24"/>
                <w:highlight w:val="none"/>
              </w:rPr>
              <w:t>3、补救方案</w:t>
            </w:r>
          </w:p>
          <w:p>
            <w:pPr>
              <w:rPr>
                <w:rFonts w:ascii="宋体" w:eastAsia="宋体" w:cs="宋体"/>
                <w:color w:val="auto"/>
                <w:sz w:val="24"/>
                <w:szCs w:val="24"/>
                <w:highlight w:val="none"/>
              </w:rPr>
            </w:pPr>
            <w:r>
              <w:rPr>
                <w:rFonts w:hint="eastAsia" w:ascii="宋体" w:eastAsia="宋体" w:cs="宋体"/>
                <w:color w:val="auto"/>
                <w:sz w:val="24"/>
                <w:szCs w:val="24"/>
                <w:highlight w:val="none"/>
              </w:rPr>
              <w:t>（1）投标文件解密失败的补救方案：</w:t>
            </w:r>
          </w:p>
          <w:p>
            <w:pPr>
              <w:rPr>
                <w:rFonts w:ascii="宋体" w:eastAsia="宋体" w:cs="宋体"/>
                <w:color w:val="auto"/>
                <w:sz w:val="24"/>
                <w:szCs w:val="24"/>
                <w:highlight w:val="none"/>
              </w:rPr>
            </w:pPr>
            <w:r>
              <w:rPr>
                <w:rFonts w:hint="eastAsia" w:ascii="宋体" w:eastAsia="宋体" w:cs="宋体"/>
                <w:color w:val="auto"/>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eastAsia="宋体" w:cs="宋体"/>
                <w:color w:val="auto"/>
                <w:sz w:val="24"/>
                <w:szCs w:val="24"/>
                <w:highlight w:val="none"/>
              </w:rPr>
            </w:pPr>
            <w:r>
              <w:rPr>
                <w:rFonts w:hint="eastAsia" w:ascii="宋体" w:eastAsia="宋体" w:cs="宋体"/>
                <w:color w:val="auto"/>
                <w:sz w:val="24"/>
                <w:szCs w:val="24"/>
                <w:highlight w:val="none"/>
              </w:rPr>
              <w:t>（2）评标时突发情况的补救方案</w:t>
            </w:r>
          </w:p>
          <w:p>
            <w:pPr>
              <w:rPr>
                <w:rFonts w:ascii="宋体" w:eastAsia="宋体" w:cs="宋体"/>
                <w:color w:val="auto"/>
                <w:sz w:val="24"/>
                <w:szCs w:val="24"/>
                <w:highlight w:val="none"/>
              </w:rPr>
            </w:pPr>
            <w:r>
              <w:rPr>
                <w:rFonts w:hint="eastAsia" w:ascii="宋体" w:eastAsia="宋体" w:cs="宋体"/>
                <w:color w:val="auto"/>
                <w:sz w:val="24"/>
                <w:szCs w:val="24"/>
                <w:highlight w:val="none"/>
              </w:rPr>
              <w:t>若遇不可抗力发生（如：网络瘫痪、服务器损坏、交易系统故障短期无法恢复等因素），由评标委员会开启现场递交的全部投标文件光盘，并按光盘内容进行评审。</w:t>
            </w:r>
          </w:p>
          <w:p>
            <w:pPr>
              <w:rPr>
                <w:rFonts w:ascii="宋体" w:eastAsia="宋体" w:cs="宋体"/>
                <w:color w:val="auto"/>
                <w:sz w:val="24"/>
                <w:szCs w:val="24"/>
                <w:highlight w:val="none"/>
              </w:rPr>
            </w:pPr>
            <w:r>
              <w:rPr>
                <w:rFonts w:hint="eastAsia" w:ascii="宋体" w:eastAsia="宋体" w:cs="宋体"/>
                <w:color w:val="auto"/>
                <w:sz w:val="24"/>
                <w:szCs w:val="24"/>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6"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10</w:t>
            </w:r>
          </w:p>
        </w:tc>
        <w:tc>
          <w:tcPr>
            <w:tcW w:w="8327" w:type="dxa"/>
            <w:gridSpan w:val="2"/>
            <w:vAlign w:val="center"/>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997"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10.1</w:t>
            </w:r>
          </w:p>
        </w:tc>
        <w:tc>
          <w:tcPr>
            <w:tcW w:w="2149" w:type="dxa"/>
            <w:vAlign w:val="center"/>
          </w:tcPr>
          <w:p>
            <w:pPr>
              <w:widowControl/>
              <w:shd w:val="clear" w:color="auto" w:fill="FFFFFF"/>
              <w:adjustRightIn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招标失败情形</w:t>
            </w:r>
          </w:p>
        </w:tc>
        <w:tc>
          <w:tcPr>
            <w:tcW w:w="6178" w:type="dxa"/>
            <w:vAlign w:val="center"/>
          </w:tcPr>
          <w:p>
            <w:pPr>
              <w:ind w:left="1"/>
              <w:rPr>
                <w:rFonts w:ascii="宋体" w:eastAsia="宋体" w:cs="宋体"/>
                <w:color w:val="auto"/>
                <w:sz w:val="24"/>
                <w:szCs w:val="24"/>
                <w:highlight w:val="none"/>
              </w:rPr>
            </w:pPr>
            <w:r>
              <w:rPr>
                <w:rFonts w:hint="eastAsia" w:ascii="宋体" w:eastAsia="宋体" w:cs="宋体"/>
                <w:color w:val="auto"/>
                <w:sz w:val="24"/>
                <w:szCs w:val="24"/>
                <w:highlight w:val="none"/>
              </w:rPr>
              <w:t>1）本项目采用资格后审方式，满足资格审查合格条件或通过初步评审的投标申请人不足3名时为招标失败。招标人分析招标失败原因，修正招标方案，报有关管理部门核准后，重新组织招标。</w:t>
            </w:r>
          </w:p>
          <w:p>
            <w:pPr>
              <w:ind w:left="1"/>
              <w:rPr>
                <w:rFonts w:ascii="宋体" w:eastAsia="宋体" w:cs="宋体"/>
                <w:color w:val="auto"/>
                <w:sz w:val="24"/>
                <w:szCs w:val="24"/>
                <w:highlight w:val="none"/>
              </w:rPr>
            </w:pPr>
            <w:r>
              <w:rPr>
                <w:rFonts w:hint="eastAsia" w:ascii="宋体" w:eastAsia="宋体" w:cs="宋体"/>
                <w:color w:val="auto"/>
                <w:sz w:val="24"/>
                <w:szCs w:val="24"/>
                <w:highlight w:val="none"/>
              </w:rPr>
              <w:t>2）根据《工程建设项目施工招标投标办法》第三十八条第三款规定：“依法必须进行施工招标的项目提交投标文件的投标人少于三个的，招标人在分析招标失败的原因并采取相应措施后，应当依法重新招标。重新招标后投标人仍少于三个的，属于必须审批、核准的工程建设项目，报经原审批、核准部门审批、核准后可以不再进行招标；其他工程建设项目，招标人可自行决定不再进行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31"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10.</w:t>
            </w:r>
            <w:r>
              <w:rPr>
                <w:rFonts w:ascii="宋体" w:eastAsia="宋体" w:cs="宋体"/>
                <w:color w:val="auto"/>
                <w:sz w:val="24"/>
                <w:szCs w:val="24"/>
                <w:highlight w:val="none"/>
              </w:rPr>
              <w:t>2</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中标候选人公示要求</w:t>
            </w:r>
          </w:p>
        </w:tc>
        <w:tc>
          <w:tcPr>
            <w:tcW w:w="6178" w:type="dxa"/>
            <w:vAlign w:val="center"/>
          </w:tcPr>
          <w:p>
            <w:pPr>
              <w:snapToGrid w:val="0"/>
              <w:jc w:val="left"/>
              <w:rPr>
                <w:rFonts w:ascii="宋体" w:eastAsia="宋体" w:cs="宋体"/>
                <w:color w:val="auto"/>
                <w:sz w:val="24"/>
                <w:szCs w:val="24"/>
                <w:highlight w:val="none"/>
              </w:rPr>
            </w:pPr>
            <w:r>
              <w:rPr>
                <w:rFonts w:hint="eastAsia" w:ascii="宋体" w:eastAsia="宋体" w:cs="宋体"/>
                <w:color w:val="auto"/>
                <w:sz w:val="24"/>
                <w:szCs w:val="24"/>
                <w:highlight w:val="none"/>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05" w:hRule="atLeast"/>
          <w:jc w:val="center"/>
        </w:trPr>
        <w:tc>
          <w:tcPr>
            <w:tcW w:w="986"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10.</w:t>
            </w:r>
            <w:r>
              <w:rPr>
                <w:rFonts w:ascii="宋体" w:eastAsia="宋体" w:cs="宋体"/>
                <w:color w:val="auto"/>
                <w:sz w:val="24"/>
                <w:szCs w:val="24"/>
                <w:highlight w:val="none"/>
              </w:rPr>
              <w:t>3</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其他费用</w:t>
            </w:r>
          </w:p>
        </w:tc>
        <w:tc>
          <w:tcPr>
            <w:tcW w:w="6178" w:type="dxa"/>
            <w:vAlign w:val="center"/>
          </w:tcPr>
          <w:p>
            <w:pPr>
              <w:snapToGrid w:val="0"/>
              <w:rPr>
                <w:rFonts w:ascii="宋体" w:eastAsia="宋体" w:cs="宋体"/>
                <w:color w:val="auto"/>
                <w:sz w:val="24"/>
                <w:szCs w:val="24"/>
                <w:highlight w:val="none"/>
              </w:rPr>
            </w:pPr>
            <w:r>
              <w:rPr>
                <w:rFonts w:hint="eastAsia" w:ascii="宋体" w:eastAsia="宋体" w:cs="宋体"/>
                <w:color w:val="auto"/>
                <w:sz w:val="24"/>
                <w:szCs w:val="24"/>
                <w:highlight w:val="none"/>
              </w:rPr>
              <w:t>中标人代缴广州公共资源交易中心交易服务费，其费用包含在中标人报价中，由广州公共资源交易中心向中标人开具发票。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17" w:hRule="atLeast"/>
          <w:jc w:val="center"/>
        </w:trPr>
        <w:tc>
          <w:tcPr>
            <w:tcW w:w="986" w:type="dxa"/>
            <w:vAlign w:val="center"/>
          </w:tcPr>
          <w:p>
            <w:pPr>
              <w:jc w:val="center"/>
              <w:rPr>
                <w:rFonts w:ascii="宋体" w:eastAsia="宋体" w:cs="宋体"/>
                <w:color w:val="auto"/>
                <w:sz w:val="24"/>
                <w:szCs w:val="24"/>
                <w:highlight w:val="none"/>
              </w:rPr>
            </w:pPr>
            <w:r>
              <w:rPr>
                <w:rFonts w:hint="eastAsia" w:ascii="宋体" w:eastAsia="宋体" w:cs="宋体"/>
                <w:color w:val="auto"/>
                <w:sz w:val="24"/>
                <w:szCs w:val="24"/>
                <w:highlight w:val="none"/>
              </w:rPr>
              <w:t>10.</w:t>
            </w:r>
            <w:r>
              <w:rPr>
                <w:rFonts w:ascii="宋体" w:eastAsia="宋体" w:cs="宋体"/>
                <w:color w:val="auto"/>
                <w:sz w:val="24"/>
                <w:szCs w:val="24"/>
                <w:highlight w:val="none"/>
              </w:rPr>
              <w:t>4</w:t>
            </w:r>
          </w:p>
        </w:tc>
        <w:tc>
          <w:tcPr>
            <w:tcW w:w="2149" w:type="dxa"/>
            <w:vAlign w:val="center"/>
          </w:tcPr>
          <w:p>
            <w:pPr>
              <w:snapToGrid w:val="0"/>
              <w:jc w:val="center"/>
              <w:rPr>
                <w:rFonts w:ascii="宋体" w:eastAsia="宋体" w:cs="宋体"/>
                <w:color w:val="auto"/>
                <w:sz w:val="24"/>
                <w:szCs w:val="24"/>
                <w:highlight w:val="none"/>
              </w:rPr>
            </w:pPr>
            <w:r>
              <w:rPr>
                <w:rFonts w:hint="eastAsia" w:ascii="宋体" w:eastAsia="宋体" w:cs="宋体"/>
                <w:color w:val="auto"/>
                <w:sz w:val="24"/>
                <w:szCs w:val="24"/>
                <w:highlight w:val="none"/>
              </w:rPr>
              <w:t>中标后提供投标文件份数要求</w:t>
            </w:r>
          </w:p>
        </w:tc>
        <w:tc>
          <w:tcPr>
            <w:tcW w:w="6178" w:type="dxa"/>
            <w:vAlign w:val="center"/>
          </w:tcPr>
          <w:p>
            <w:pPr>
              <w:snapToGrid w:val="0"/>
              <w:jc w:val="left"/>
              <w:rPr>
                <w:rFonts w:ascii="宋体" w:eastAsia="宋体" w:cs="宋体"/>
                <w:color w:val="auto"/>
                <w:sz w:val="24"/>
                <w:szCs w:val="24"/>
                <w:highlight w:val="none"/>
              </w:rPr>
            </w:pPr>
            <w:r>
              <w:rPr>
                <w:rFonts w:ascii="宋体" w:eastAsia="宋体" w:cs="宋体"/>
                <w:color w:val="auto"/>
                <w:sz w:val="24"/>
                <w:szCs w:val="24"/>
                <w:highlight w:val="none"/>
                <w:u w:val="single"/>
              </w:rPr>
              <w:t>中标单位领取中标通知书时，补送</w:t>
            </w:r>
            <w:r>
              <w:rPr>
                <w:rFonts w:hint="eastAsia" w:ascii="宋体" w:eastAsia="宋体" w:cs="宋体"/>
                <w:color w:val="auto"/>
                <w:sz w:val="24"/>
                <w:szCs w:val="24"/>
                <w:highlight w:val="none"/>
                <w:u w:val="single"/>
              </w:rPr>
              <w:t>1</w:t>
            </w:r>
            <w:r>
              <w:rPr>
                <w:rFonts w:ascii="宋体" w:eastAsia="宋体" w:cs="宋体"/>
                <w:color w:val="auto"/>
                <w:sz w:val="24"/>
                <w:szCs w:val="24"/>
                <w:highlight w:val="none"/>
                <w:u w:val="single"/>
              </w:rPr>
              <w:t>正4副与交易平台网上递交的电子投标文件一致的书面投标文件（加盖公章）及一份与书面投标文件一致的用“Microsoft Word ”或“PDF”格式制作的电子文件（光盘）给招标人。</w:t>
            </w:r>
          </w:p>
        </w:tc>
      </w:tr>
    </w:tbl>
    <w:p>
      <w:pPr>
        <w:widowControl/>
        <w:jc w:val="left"/>
        <w:rPr>
          <w:rFonts w:ascii="宋体" w:eastAsia="宋体" w:cs="黑体"/>
          <w:b/>
          <w:color w:val="auto"/>
          <w:kern w:val="21"/>
          <w:sz w:val="30"/>
          <w:szCs w:val="30"/>
          <w:highlight w:val="none"/>
        </w:rPr>
      </w:pPr>
      <w:bookmarkStart w:id="18" w:name="_Toc152045543"/>
      <w:bookmarkEnd w:id="18"/>
      <w:bookmarkStart w:id="19" w:name="_Toc384308224"/>
      <w:bookmarkEnd w:id="19"/>
      <w:bookmarkStart w:id="20" w:name="_Toc144974511"/>
      <w:bookmarkEnd w:id="20"/>
      <w:bookmarkStart w:id="21" w:name="_Toc152042319"/>
      <w:bookmarkEnd w:id="21"/>
      <w:bookmarkStart w:id="22" w:name="_Toc369531530"/>
      <w:bookmarkEnd w:id="22"/>
      <w:bookmarkStart w:id="23" w:name="_Toc300834964"/>
      <w:bookmarkEnd w:id="23"/>
      <w:bookmarkStart w:id="24" w:name="_Toc15242"/>
      <w:bookmarkEnd w:id="24"/>
      <w:bookmarkStart w:id="25" w:name="_Toc352691487"/>
      <w:bookmarkEnd w:id="25"/>
      <w:bookmarkStart w:id="26" w:name="_Toc247527568"/>
      <w:bookmarkEnd w:id="26"/>
      <w:bookmarkStart w:id="27" w:name="_Toc247513967"/>
      <w:bookmarkEnd w:id="27"/>
      <w:bookmarkStart w:id="28" w:name="_Toc361508599"/>
      <w:bookmarkEnd w:id="28"/>
      <w:bookmarkStart w:id="29" w:name="_Toc32126"/>
      <w:bookmarkStart w:id="30" w:name="_Toc3898"/>
      <w:bookmarkStart w:id="31" w:name="_Toc8807"/>
      <w:bookmarkStart w:id="32" w:name="_Toc78382559"/>
      <w:bookmarkStart w:id="33" w:name="_Toc19482"/>
      <w:bookmarkStart w:id="34" w:name="_Toc6973"/>
      <w:bookmarkStart w:id="35" w:name="_Toc16220"/>
      <w:bookmarkStart w:id="36" w:name="_Toc1765"/>
      <w:bookmarkStart w:id="37" w:name="_Toc18101"/>
      <w:bookmarkStart w:id="38" w:name="_Toc4052332"/>
    </w:p>
    <w:p>
      <w:pPr>
        <w:pStyle w:val="87"/>
        <w:rPr>
          <w:rFonts w:ascii="宋体" w:eastAsia="宋体" w:cs="黑体"/>
          <w:color w:val="auto"/>
          <w:kern w:val="21"/>
          <w:sz w:val="30"/>
          <w:szCs w:val="30"/>
          <w:highlight w:val="none"/>
        </w:rPr>
      </w:pPr>
    </w:p>
    <w:p>
      <w:pPr>
        <w:pStyle w:val="87"/>
        <w:rPr>
          <w:rFonts w:ascii="宋体" w:eastAsia="宋体" w:cs="黑体"/>
          <w:color w:val="auto"/>
          <w:kern w:val="21"/>
          <w:sz w:val="30"/>
          <w:szCs w:val="30"/>
          <w:highlight w:val="none"/>
        </w:rPr>
      </w:pPr>
    </w:p>
    <w:p>
      <w:pPr>
        <w:pStyle w:val="87"/>
        <w:rPr>
          <w:rFonts w:ascii="宋体" w:eastAsia="宋体" w:cs="黑体"/>
          <w:color w:val="auto"/>
          <w:kern w:val="21"/>
          <w:sz w:val="30"/>
          <w:szCs w:val="30"/>
          <w:highlight w:val="none"/>
        </w:rPr>
      </w:pPr>
    </w:p>
    <w:p>
      <w:pPr>
        <w:pStyle w:val="87"/>
        <w:rPr>
          <w:rFonts w:ascii="宋体" w:eastAsia="宋体" w:cs="黑体"/>
          <w:color w:val="auto"/>
          <w:kern w:val="21"/>
          <w:sz w:val="30"/>
          <w:szCs w:val="30"/>
          <w:highlight w:val="none"/>
        </w:rPr>
      </w:pPr>
    </w:p>
    <w:p>
      <w:pPr>
        <w:pStyle w:val="87"/>
        <w:rPr>
          <w:rFonts w:ascii="宋体" w:eastAsia="宋体" w:cs="黑体"/>
          <w:color w:val="auto"/>
          <w:kern w:val="21"/>
          <w:sz w:val="30"/>
          <w:szCs w:val="30"/>
          <w:highlight w:val="none"/>
        </w:rPr>
      </w:pPr>
    </w:p>
    <w:p>
      <w:pPr>
        <w:pStyle w:val="87"/>
        <w:rPr>
          <w:rFonts w:ascii="宋体" w:eastAsia="宋体" w:cs="黑体"/>
          <w:color w:val="auto"/>
          <w:kern w:val="21"/>
          <w:sz w:val="30"/>
          <w:szCs w:val="30"/>
          <w:highlight w:val="none"/>
        </w:rPr>
      </w:pPr>
    </w:p>
    <w:p>
      <w:pPr>
        <w:pStyle w:val="87"/>
        <w:rPr>
          <w:rFonts w:ascii="宋体" w:eastAsia="宋体" w:cs="黑体"/>
          <w:color w:val="auto"/>
          <w:kern w:val="21"/>
          <w:sz w:val="30"/>
          <w:szCs w:val="30"/>
          <w:highlight w:val="none"/>
        </w:rPr>
      </w:pPr>
    </w:p>
    <w:p>
      <w:pPr>
        <w:jc w:val="left"/>
        <w:rPr>
          <w:rFonts w:ascii="宋体" w:eastAsia="宋体" w:cs="黑体"/>
          <w:b/>
          <w:color w:val="auto"/>
          <w:kern w:val="21"/>
          <w:sz w:val="30"/>
          <w:szCs w:val="30"/>
          <w:highlight w:val="none"/>
        </w:rPr>
      </w:pPr>
      <w:r>
        <w:rPr>
          <w:rFonts w:hint="eastAsia" w:ascii="宋体" w:eastAsia="宋体" w:cs="黑体"/>
          <w:b/>
          <w:color w:val="auto"/>
          <w:kern w:val="21"/>
          <w:sz w:val="30"/>
          <w:szCs w:val="30"/>
          <w:highlight w:val="none"/>
        </w:rPr>
        <w:br w:type="page"/>
      </w:r>
    </w:p>
    <w:p>
      <w:pPr>
        <w:spacing w:line="360" w:lineRule="auto"/>
        <w:ind w:left="100" w:right="-20"/>
        <w:jc w:val="left"/>
        <w:outlineLvl w:val="2"/>
        <w:rPr>
          <w:rFonts w:ascii="宋体" w:eastAsia="宋体" w:cs="黑体"/>
          <w:b/>
          <w:color w:val="auto"/>
          <w:kern w:val="21"/>
          <w:sz w:val="30"/>
          <w:szCs w:val="30"/>
          <w:highlight w:val="none"/>
        </w:rPr>
      </w:pPr>
      <w:bookmarkStart w:id="39" w:name="_Toc27773"/>
      <w:bookmarkStart w:id="40" w:name="_Toc32746"/>
      <w:r>
        <w:rPr>
          <w:rFonts w:hint="eastAsia" w:ascii="宋体" w:eastAsia="宋体" w:cs="黑体"/>
          <w:b/>
          <w:color w:val="auto"/>
          <w:kern w:val="21"/>
          <w:sz w:val="30"/>
          <w:szCs w:val="30"/>
          <w:highlight w:val="none"/>
        </w:rPr>
        <w:t>1. 总则</w:t>
      </w:r>
      <w:bookmarkEnd w:id="29"/>
      <w:bookmarkEnd w:id="30"/>
      <w:bookmarkEnd w:id="31"/>
      <w:bookmarkEnd w:id="32"/>
      <w:bookmarkEnd w:id="33"/>
      <w:bookmarkEnd w:id="34"/>
      <w:bookmarkEnd w:id="35"/>
      <w:bookmarkEnd w:id="36"/>
      <w:bookmarkEnd w:id="37"/>
      <w:bookmarkEnd w:id="39"/>
      <w:bookmarkEnd w:id="40"/>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.1招标项目</w:t>
      </w:r>
      <w:r>
        <w:rPr>
          <w:rFonts w:hint="eastAsia" w:ascii="宋体" w:eastAsia="宋体" w:cs="宋体"/>
          <w:b/>
          <w:bCs/>
          <w:color w:val="auto"/>
          <w:spacing w:val="-3"/>
          <w:sz w:val="28"/>
          <w:highlight w:val="none"/>
        </w:rPr>
        <w:t>概</w:t>
      </w:r>
      <w:r>
        <w:rPr>
          <w:rFonts w:hint="eastAsia" w:ascii="宋体" w:eastAsia="宋体" w:cs="宋体"/>
          <w:b/>
          <w:bCs/>
          <w:color w:val="auto"/>
          <w:sz w:val="28"/>
          <w:highlight w:val="none"/>
        </w:rPr>
        <w:t>况</w:t>
      </w:r>
    </w:p>
    <w:p>
      <w:pPr>
        <w:spacing w:line="360" w:lineRule="auto"/>
        <w:ind w:left="100" w:right="42" w:firstLine="420"/>
        <w:jc w:val="left"/>
        <w:rPr>
          <w:rFonts w:ascii="宋体" w:eastAsia="宋体" w:cs="宋体"/>
          <w:color w:val="auto"/>
          <w:highlight w:val="none"/>
        </w:rPr>
      </w:pPr>
      <w:r>
        <w:rPr>
          <w:rFonts w:hint="eastAsia" w:ascii="宋体" w:eastAsia="宋体" w:cs="宋体"/>
          <w:color w:val="auto"/>
          <w:highlight w:val="none"/>
        </w:rPr>
        <w:t>1.1.1根</w:t>
      </w:r>
      <w:r>
        <w:rPr>
          <w:rFonts w:hint="eastAsia" w:ascii="宋体" w:eastAsia="宋体" w:cs="宋体"/>
          <w:color w:val="auto"/>
          <w:spacing w:val="-10"/>
          <w:highlight w:val="none"/>
        </w:rPr>
        <w:t>据</w:t>
      </w:r>
      <w:r>
        <w:rPr>
          <w:rFonts w:hint="eastAsia" w:ascii="宋体" w:eastAsia="宋体" w:cs="宋体"/>
          <w:color w:val="auto"/>
          <w:highlight w:val="none"/>
        </w:rPr>
        <w:t>《</w:t>
      </w:r>
      <w:r>
        <w:rPr>
          <w:rFonts w:hint="eastAsia" w:ascii="宋体" w:eastAsia="宋体" w:cs="宋体"/>
          <w:color w:val="auto"/>
          <w:spacing w:val="-2"/>
          <w:highlight w:val="none"/>
        </w:rPr>
        <w:t>中</w:t>
      </w:r>
      <w:r>
        <w:rPr>
          <w:rFonts w:hint="eastAsia" w:ascii="宋体" w:eastAsia="宋体" w:cs="宋体"/>
          <w:color w:val="auto"/>
          <w:highlight w:val="none"/>
        </w:rPr>
        <w:t>华</w:t>
      </w:r>
      <w:r>
        <w:rPr>
          <w:rFonts w:hint="eastAsia" w:ascii="宋体" w:eastAsia="宋体" w:cs="宋体"/>
          <w:color w:val="auto"/>
          <w:spacing w:val="-2"/>
          <w:highlight w:val="none"/>
        </w:rPr>
        <w:t>人</w:t>
      </w:r>
      <w:r>
        <w:rPr>
          <w:rFonts w:hint="eastAsia" w:ascii="宋体" w:eastAsia="宋体" w:cs="宋体"/>
          <w:color w:val="auto"/>
          <w:highlight w:val="none"/>
        </w:rPr>
        <w:t>民</w:t>
      </w:r>
      <w:r>
        <w:rPr>
          <w:rFonts w:hint="eastAsia" w:ascii="宋体" w:eastAsia="宋体" w:cs="宋体"/>
          <w:color w:val="auto"/>
          <w:spacing w:val="-2"/>
          <w:highlight w:val="none"/>
        </w:rPr>
        <w:t>共和</w:t>
      </w:r>
      <w:r>
        <w:rPr>
          <w:rFonts w:hint="eastAsia" w:ascii="宋体" w:eastAsia="宋体" w:cs="宋体"/>
          <w:color w:val="auto"/>
          <w:highlight w:val="none"/>
        </w:rPr>
        <w:t>国招</w:t>
      </w:r>
      <w:r>
        <w:rPr>
          <w:rFonts w:hint="eastAsia" w:ascii="宋体" w:eastAsia="宋体" w:cs="宋体"/>
          <w:color w:val="auto"/>
          <w:spacing w:val="-2"/>
          <w:highlight w:val="none"/>
        </w:rPr>
        <w:t>标</w:t>
      </w:r>
      <w:r>
        <w:rPr>
          <w:rFonts w:hint="eastAsia" w:ascii="宋体" w:eastAsia="宋体" w:cs="宋体"/>
          <w:color w:val="auto"/>
          <w:highlight w:val="none"/>
        </w:rPr>
        <w:t>投</w:t>
      </w:r>
      <w:r>
        <w:rPr>
          <w:rFonts w:hint="eastAsia" w:ascii="宋体" w:eastAsia="宋体" w:cs="宋体"/>
          <w:color w:val="auto"/>
          <w:spacing w:val="-2"/>
          <w:highlight w:val="none"/>
        </w:rPr>
        <w:t>标</w:t>
      </w:r>
      <w:r>
        <w:rPr>
          <w:rFonts w:hint="eastAsia" w:ascii="宋体" w:eastAsia="宋体" w:cs="宋体"/>
          <w:color w:val="auto"/>
          <w:highlight w:val="none"/>
        </w:rPr>
        <w:t>法</w:t>
      </w:r>
      <w:r>
        <w:rPr>
          <w:rFonts w:hint="eastAsia" w:ascii="宋体" w:eastAsia="宋体" w:cs="宋体"/>
          <w:color w:val="auto"/>
          <w:spacing w:val="-106"/>
          <w:highlight w:val="none"/>
        </w:rPr>
        <w:t>》</w:t>
      </w:r>
      <w:r>
        <w:rPr>
          <w:rFonts w:hint="eastAsia" w:ascii="宋体" w:eastAsia="宋体" w:cs="宋体"/>
          <w:color w:val="auto"/>
          <w:spacing w:val="-115"/>
          <w:highlight w:val="none"/>
        </w:rPr>
        <w:t>、</w:t>
      </w:r>
      <w:r>
        <w:rPr>
          <w:rFonts w:hint="eastAsia" w:ascii="宋体" w:eastAsia="宋体" w:cs="宋体"/>
          <w:color w:val="auto"/>
          <w:spacing w:val="-2"/>
          <w:highlight w:val="none"/>
        </w:rPr>
        <w:t>》、《</w:t>
      </w:r>
      <w:r>
        <w:rPr>
          <w:rFonts w:hint="eastAsia" w:ascii="宋体" w:eastAsia="宋体" w:cs="宋体"/>
          <w:color w:val="auto"/>
          <w:highlight w:val="none"/>
        </w:rPr>
        <w:t>中</w:t>
      </w:r>
      <w:r>
        <w:rPr>
          <w:rFonts w:hint="eastAsia" w:ascii="宋体" w:eastAsia="宋体" w:cs="宋体"/>
          <w:color w:val="auto"/>
          <w:spacing w:val="-2"/>
          <w:highlight w:val="none"/>
        </w:rPr>
        <w:t>华人</w:t>
      </w:r>
      <w:r>
        <w:rPr>
          <w:rFonts w:hint="eastAsia" w:ascii="宋体" w:eastAsia="宋体" w:cs="宋体"/>
          <w:color w:val="auto"/>
          <w:highlight w:val="none"/>
        </w:rPr>
        <w:t>民共</w:t>
      </w:r>
      <w:r>
        <w:rPr>
          <w:rFonts w:hint="eastAsia" w:ascii="宋体" w:eastAsia="宋体" w:cs="宋体"/>
          <w:color w:val="auto"/>
          <w:spacing w:val="-2"/>
          <w:highlight w:val="none"/>
        </w:rPr>
        <w:t>和</w:t>
      </w:r>
      <w:r>
        <w:rPr>
          <w:rFonts w:hint="eastAsia" w:ascii="宋体" w:eastAsia="宋体" w:cs="宋体"/>
          <w:color w:val="auto"/>
          <w:highlight w:val="none"/>
        </w:rPr>
        <w:t>国</w:t>
      </w:r>
      <w:r>
        <w:rPr>
          <w:rFonts w:hint="eastAsia" w:ascii="宋体" w:eastAsia="宋体" w:cs="宋体"/>
          <w:color w:val="auto"/>
          <w:spacing w:val="-2"/>
          <w:highlight w:val="none"/>
        </w:rPr>
        <w:t>招</w:t>
      </w:r>
      <w:r>
        <w:rPr>
          <w:rFonts w:hint="eastAsia" w:ascii="宋体" w:eastAsia="宋体" w:cs="宋体"/>
          <w:color w:val="auto"/>
          <w:highlight w:val="none"/>
        </w:rPr>
        <w:t>标</w:t>
      </w:r>
      <w:r>
        <w:rPr>
          <w:rFonts w:hint="eastAsia" w:ascii="宋体" w:eastAsia="宋体" w:cs="宋体"/>
          <w:color w:val="auto"/>
          <w:spacing w:val="-2"/>
          <w:highlight w:val="none"/>
        </w:rPr>
        <w:t>投</w:t>
      </w:r>
      <w:r>
        <w:rPr>
          <w:rFonts w:hint="eastAsia" w:ascii="宋体" w:eastAsia="宋体" w:cs="宋体"/>
          <w:color w:val="auto"/>
          <w:highlight w:val="none"/>
        </w:rPr>
        <w:t>标</w:t>
      </w:r>
      <w:r>
        <w:rPr>
          <w:rFonts w:hint="eastAsia" w:ascii="宋体" w:eastAsia="宋体" w:cs="宋体"/>
          <w:color w:val="auto"/>
          <w:spacing w:val="-2"/>
          <w:highlight w:val="none"/>
        </w:rPr>
        <w:t>法</w:t>
      </w:r>
      <w:r>
        <w:rPr>
          <w:rFonts w:hint="eastAsia" w:ascii="宋体" w:eastAsia="宋体" w:cs="宋体"/>
          <w:color w:val="auto"/>
          <w:highlight w:val="none"/>
        </w:rPr>
        <w:t>实</w:t>
      </w:r>
      <w:r>
        <w:rPr>
          <w:rFonts w:hint="eastAsia" w:ascii="宋体" w:eastAsia="宋体" w:cs="宋体"/>
          <w:color w:val="auto"/>
          <w:spacing w:val="-2"/>
          <w:highlight w:val="none"/>
        </w:rPr>
        <w:t>施</w:t>
      </w:r>
      <w:r>
        <w:rPr>
          <w:rFonts w:hint="eastAsia" w:ascii="宋体" w:eastAsia="宋体" w:cs="宋体"/>
          <w:color w:val="auto"/>
          <w:highlight w:val="none"/>
        </w:rPr>
        <w:t>条</w:t>
      </w:r>
      <w:r>
        <w:rPr>
          <w:rFonts w:hint="eastAsia" w:ascii="宋体" w:eastAsia="宋体" w:cs="宋体"/>
          <w:color w:val="auto"/>
          <w:spacing w:val="-2"/>
          <w:highlight w:val="none"/>
        </w:rPr>
        <w:t>例</w:t>
      </w:r>
      <w:r>
        <w:rPr>
          <w:rFonts w:hint="eastAsia" w:ascii="宋体" w:eastAsia="宋体" w:cs="宋体"/>
          <w:color w:val="auto"/>
          <w:spacing w:val="-7"/>
          <w:highlight w:val="none"/>
        </w:rPr>
        <w:t>》</w:t>
      </w:r>
      <w:r>
        <w:rPr>
          <w:rFonts w:hint="eastAsia" w:ascii="宋体" w:eastAsia="宋体" w:cs="宋体"/>
          <w:color w:val="auto"/>
          <w:spacing w:val="-2"/>
          <w:highlight w:val="none"/>
        </w:rPr>
        <w:t>等</w:t>
      </w:r>
      <w:r>
        <w:rPr>
          <w:rFonts w:hint="eastAsia" w:ascii="宋体" w:eastAsia="宋体" w:cs="宋体"/>
          <w:color w:val="auto"/>
          <w:highlight w:val="none"/>
        </w:rPr>
        <w:t>有关 法律</w:t>
      </w:r>
      <w:r>
        <w:rPr>
          <w:rFonts w:hint="eastAsia" w:ascii="宋体" w:eastAsia="宋体" w:cs="宋体"/>
          <w:color w:val="auto"/>
          <w:spacing w:val="-2"/>
          <w:highlight w:val="none"/>
        </w:rPr>
        <w:t>、</w:t>
      </w:r>
      <w:r>
        <w:rPr>
          <w:rFonts w:hint="eastAsia" w:ascii="宋体" w:eastAsia="宋体" w:cs="宋体"/>
          <w:color w:val="auto"/>
          <w:highlight w:val="none"/>
        </w:rPr>
        <w:t>法</w:t>
      </w:r>
      <w:r>
        <w:rPr>
          <w:rFonts w:hint="eastAsia" w:ascii="宋体" w:eastAsia="宋体" w:cs="宋体"/>
          <w:color w:val="auto"/>
          <w:spacing w:val="-2"/>
          <w:highlight w:val="none"/>
        </w:rPr>
        <w:t>规</w:t>
      </w:r>
      <w:r>
        <w:rPr>
          <w:rFonts w:hint="eastAsia" w:ascii="宋体" w:eastAsia="宋体" w:cs="宋体"/>
          <w:color w:val="auto"/>
          <w:highlight w:val="none"/>
        </w:rPr>
        <w:t>和</w:t>
      </w:r>
      <w:r>
        <w:rPr>
          <w:rFonts w:hint="eastAsia" w:ascii="宋体" w:eastAsia="宋体" w:cs="宋体"/>
          <w:color w:val="auto"/>
          <w:spacing w:val="-2"/>
          <w:highlight w:val="none"/>
        </w:rPr>
        <w:t>规</w:t>
      </w:r>
      <w:r>
        <w:rPr>
          <w:rFonts w:hint="eastAsia" w:ascii="宋体" w:eastAsia="宋体" w:cs="宋体"/>
          <w:color w:val="auto"/>
          <w:highlight w:val="none"/>
        </w:rPr>
        <w:t>章</w:t>
      </w:r>
      <w:r>
        <w:rPr>
          <w:rFonts w:hint="eastAsia" w:ascii="宋体" w:eastAsia="宋体" w:cs="宋体"/>
          <w:color w:val="auto"/>
          <w:spacing w:val="-2"/>
          <w:highlight w:val="none"/>
        </w:rPr>
        <w:t>的</w:t>
      </w:r>
      <w:r>
        <w:rPr>
          <w:rFonts w:hint="eastAsia" w:ascii="宋体" w:eastAsia="宋体" w:cs="宋体"/>
          <w:color w:val="auto"/>
          <w:highlight w:val="none"/>
        </w:rPr>
        <w:t>规</w:t>
      </w:r>
      <w:r>
        <w:rPr>
          <w:rFonts w:hint="eastAsia" w:ascii="宋体" w:eastAsia="宋体" w:cs="宋体"/>
          <w:color w:val="auto"/>
          <w:spacing w:val="-2"/>
          <w:highlight w:val="none"/>
        </w:rPr>
        <w:t>定</w:t>
      </w:r>
      <w:r>
        <w:rPr>
          <w:rFonts w:hint="eastAsia" w:ascii="宋体" w:eastAsia="宋体" w:cs="宋体"/>
          <w:color w:val="auto"/>
          <w:highlight w:val="none"/>
        </w:rPr>
        <w:t>，本</w:t>
      </w:r>
      <w:r>
        <w:rPr>
          <w:rFonts w:hint="eastAsia" w:ascii="宋体" w:eastAsia="宋体" w:cs="宋体"/>
          <w:color w:val="auto"/>
          <w:spacing w:val="-2"/>
          <w:highlight w:val="none"/>
        </w:rPr>
        <w:t>招</w:t>
      </w:r>
      <w:r>
        <w:rPr>
          <w:rFonts w:hint="eastAsia" w:ascii="宋体" w:eastAsia="宋体" w:cs="宋体"/>
          <w:color w:val="auto"/>
          <w:highlight w:val="none"/>
        </w:rPr>
        <w:t>标</w:t>
      </w:r>
      <w:r>
        <w:rPr>
          <w:rFonts w:hint="eastAsia" w:ascii="宋体" w:eastAsia="宋体" w:cs="宋体"/>
          <w:color w:val="auto"/>
          <w:spacing w:val="-2"/>
          <w:highlight w:val="none"/>
        </w:rPr>
        <w:t>项</w:t>
      </w:r>
      <w:r>
        <w:rPr>
          <w:rFonts w:hint="eastAsia" w:ascii="宋体" w:eastAsia="宋体" w:cs="宋体"/>
          <w:color w:val="auto"/>
          <w:highlight w:val="none"/>
        </w:rPr>
        <w:t>目</w:t>
      </w:r>
      <w:r>
        <w:rPr>
          <w:rFonts w:hint="eastAsia" w:ascii="宋体" w:eastAsia="宋体" w:cs="宋体"/>
          <w:color w:val="auto"/>
          <w:spacing w:val="-2"/>
          <w:highlight w:val="none"/>
        </w:rPr>
        <w:t>已</w:t>
      </w:r>
      <w:r>
        <w:rPr>
          <w:rFonts w:hint="eastAsia" w:ascii="宋体" w:eastAsia="宋体" w:cs="宋体"/>
          <w:color w:val="auto"/>
          <w:highlight w:val="none"/>
        </w:rPr>
        <w:t>具</w:t>
      </w:r>
      <w:r>
        <w:rPr>
          <w:rFonts w:hint="eastAsia" w:ascii="宋体" w:eastAsia="宋体" w:cs="宋体"/>
          <w:color w:val="auto"/>
          <w:spacing w:val="-2"/>
          <w:highlight w:val="none"/>
        </w:rPr>
        <w:t>备</w:t>
      </w:r>
      <w:r>
        <w:rPr>
          <w:rFonts w:hint="eastAsia" w:ascii="宋体" w:eastAsia="宋体" w:cs="宋体"/>
          <w:color w:val="auto"/>
          <w:highlight w:val="none"/>
        </w:rPr>
        <w:t>招</w:t>
      </w:r>
      <w:r>
        <w:rPr>
          <w:rFonts w:hint="eastAsia" w:ascii="宋体" w:eastAsia="宋体" w:cs="宋体"/>
          <w:color w:val="auto"/>
          <w:spacing w:val="-2"/>
          <w:highlight w:val="none"/>
        </w:rPr>
        <w:t>标</w:t>
      </w:r>
      <w:r>
        <w:rPr>
          <w:rFonts w:hint="eastAsia" w:ascii="宋体" w:eastAsia="宋体" w:cs="宋体"/>
          <w:color w:val="auto"/>
          <w:highlight w:val="none"/>
        </w:rPr>
        <w:t>条件</w:t>
      </w:r>
      <w:r>
        <w:rPr>
          <w:rFonts w:hint="eastAsia" w:ascii="宋体" w:eastAsia="宋体" w:cs="宋体"/>
          <w:color w:val="auto"/>
          <w:spacing w:val="-2"/>
          <w:highlight w:val="none"/>
        </w:rPr>
        <w:t>，</w:t>
      </w:r>
      <w:r>
        <w:rPr>
          <w:rFonts w:hint="eastAsia" w:ascii="宋体" w:eastAsia="宋体" w:cs="宋体"/>
          <w:color w:val="auto"/>
          <w:highlight w:val="none"/>
        </w:rPr>
        <w:t>现</w:t>
      </w:r>
      <w:r>
        <w:rPr>
          <w:rFonts w:hint="eastAsia" w:ascii="宋体" w:eastAsia="宋体" w:cs="宋体"/>
          <w:color w:val="auto"/>
          <w:spacing w:val="-2"/>
          <w:highlight w:val="none"/>
        </w:rPr>
        <w:t>对</w:t>
      </w:r>
      <w:r>
        <w:rPr>
          <w:rFonts w:hint="eastAsia" w:ascii="宋体" w:eastAsia="宋体" w:cs="宋体"/>
          <w:color w:val="auto"/>
          <w:highlight w:val="none"/>
        </w:rPr>
        <w:t>施工图审查服务进</w:t>
      </w:r>
      <w:r>
        <w:rPr>
          <w:rFonts w:hint="eastAsia" w:ascii="宋体" w:eastAsia="宋体" w:cs="宋体"/>
          <w:color w:val="auto"/>
          <w:spacing w:val="-2"/>
          <w:highlight w:val="none"/>
        </w:rPr>
        <w:t>行</w:t>
      </w:r>
      <w:r>
        <w:rPr>
          <w:rFonts w:hint="eastAsia" w:ascii="宋体" w:eastAsia="宋体" w:cs="宋体"/>
          <w:color w:val="auto"/>
          <w:highlight w:val="none"/>
        </w:rPr>
        <w:t>招</w:t>
      </w:r>
      <w:r>
        <w:rPr>
          <w:rFonts w:hint="eastAsia" w:ascii="宋体" w:eastAsia="宋体" w:cs="宋体"/>
          <w:color w:val="auto"/>
          <w:spacing w:val="-2"/>
          <w:highlight w:val="none"/>
        </w:rPr>
        <w:t>标</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1.1.2招</w:t>
      </w:r>
      <w:r>
        <w:rPr>
          <w:rFonts w:hint="eastAsia" w:ascii="宋体" w:eastAsia="宋体" w:cs="宋体"/>
          <w:color w:val="auto"/>
          <w:spacing w:val="-2"/>
          <w:highlight w:val="none"/>
        </w:rPr>
        <w:t>标</w:t>
      </w:r>
      <w:r>
        <w:rPr>
          <w:rFonts w:hint="eastAsia" w:ascii="宋体" w:eastAsia="宋体" w:cs="宋体"/>
          <w:color w:val="auto"/>
          <w:highlight w:val="none"/>
        </w:rPr>
        <w:t>人</w:t>
      </w:r>
      <w:r>
        <w:rPr>
          <w:rFonts w:hint="eastAsia" w:ascii="宋体" w:eastAsia="宋体" w:cs="宋体"/>
          <w:color w:val="auto"/>
          <w:spacing w:val="-2"/>
          <w:highlight w:val="none"/>
        </w:rPr>
        <w:t>：</w:t>
      </w:r>
      <w:r>
        <w:rPr>
          <w:rFonts w:hint="eastAsia" w:ascii="宋体" w:eastAsia="宋体" w:cs="宋体"/>
          <w:color w:val="auto"/>
          <w:highlight w:val="none"/>
        </w:rPr>
        <w:t>见</w:t>
      </w:r>
      <w:r>
        <w:rPr>
          <w:rFonts w:hint="eastAsia" w:ascii="宋体" w:eastAsia="宋体" w:cs="宋体"/>
          <w:color w:val="auto"/>
          <w:spacing w:val="-2"/>
          <w:highlight w:val="none"/>
        </w:rPr>
        <w:t>投</w:t>
      </w:r>
      <w:r>
        <w:rPr>
          <w:rFonts w:hint="eastAsia" w:ascii="宋体" w:eastAsia="宋体" w:cs="宋体"/>
          <w:color w:val="auto"/>
          <w:highlight w:val="none"/>
        </w:rPr>
        <w:t>标</w:t>
      </w:r>
      <w:r>
        <w:rPr>
          <w:rFonts w:hint="eastAsia" w:ascii="宋体" w:eastAsia="宋体" w:cs="宋体"/>
          <w:color w:val="auto"/>
          <w:spacing w:val="-2"/>
          <w:highlight w:val="none"/>
        </w:rPr>
        <w:t>人须</w:t>
      </w:r>
      <w:r>
        <w:rPr>
          <w:rFonts w:hint="eastAsia" w:ascii="宋体" w:eastAsia="宋体" w:cs="宋体"/>
          <w:color w:val="auto"/>
          <w:highlight w:val="none"/>
        </w:rPr>
        <w:t>知前</w:t>
      </w:r>
      <w:r>
        <w:rPr>
          <w:rFonts w:hint="eastAsia" w:ascii="宋体" w:eastAsia="宋体" w:cs="宋体"/>
          <w:color w:val="auto"/>
          <w:spacing w:val="-2"/>
          <w:highlight w:val="none"/>
        </w:rPr>
        <w:t>附</w:t>
      </w:r>
      <w:r>
        <w:rPr>
          <w:rFonts w:hint="eastAsia" w:ascii="宋体" w:eastAsia="宋体" w:cs="宋体"/>
          <w:color w:val="auto"/>
          <w:highlight w:val="none"/>
        </w:rPr>
        <w:t>表。</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1.1.3招</w:t>
      </w:r>
      <w:r>
        <w:rPr>
          <w:rFonts w:hint="eastAsia" w:ascii="宋体" w:eastAsia="宋体" w:cs="宋体"/>
          <w:color w:val="auto"/>
          <w:spacing w:val="-2"/>
          <w:highlight w:val="none"/>
        </w:rPr>
        <w:t>标</w:t>
      </w:r>
      <w:r>
        <w:rPr>
          <w:rFonts w:hint="eastAsia" w:ascii="宋体" w:eastAsia="宋体" w:cs="宋体"/>
          <w:color w:val="auto"/>
          <w:highlight w:val="none"/>
        </w:rPr>
        <w:t>代</w:t>
      </w:r>
      <w:r>
        <w:rPr>
          <w:rFonts w:hint="eastAsia" w:ascii="宋体" w:eastAsia="宋体" w:cs="宋体"/>
          <w:color w:val="auto"/>
          <w:spacing w:val="-2"/>
          <w:highlight w:val="none"/>
        </w:rPr>
        <w:t>理</w:t>
      </w:r>
      <w:r>
        <w:rPr>
          <w:rFonts w:hint="eastAsia" w:ascii="宋体" w:eastAsia="宋体" w:cs="宋体"/>
          <w:color w:val="auto"/>
          <w:highlight w:val="none"/>
        </w:rPr>
        <w:t>机</w:t>
      </w:r>
      <w:r>
        <w:rPr>
          <w:rFonts w:hint="eastAsia" w:ascii="宋体" w:eastAsia="宋体" w:cs="宋体"/>
          <w:color w:val="auto"/>
          <w:spacing w:val="-2"/>
          <w:highlight w:val="none"/>
        </w:rPr>
        <w:t>构</w:t>
      </w:r>
      <w:r>
        <w:rPr>
          <w:rFonts w:hint="eastAsia" w:ascii="宋体" w:eastAsia="宋体" w:cs="宋体"/>
          <w:color w:val="auto"/>
          <w:highlight w:val="none"/>
        </w:rPr>
        <w:t>：</w:t>
      </w:r>
      <w:r>
        <w:rPr>
          <w:rFonts w:hint="eastAsia" w:ascii="宋体" w:eastAsia="宋体" w:cs="宋体"/>
          <w:color w:val="auto"/>
          <w:spacing w:val="-2"/>
          <w:highlight w:val="none"/>
        </w:rPr>
        <w:t>见投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1.1.4招</w:t>
      </w:r>
      <w:r>
        <w:rPr>
          <w:rFonts w:hint="eastAsia" w:ascii="宋体" w:eastAsia="宋体" w:cs="宋体"/>
          <w:color w:val="auto"/>
          <w:spacing w:val="-2"/>
          <w:highlight w:val="none"/>
        </w:rPr>
        <w:t>标</w:t>
      </w:r>
      <w:r>
        <w:rPr>
          <w:rFonts w:hint="eastAsia" w:ascii="宋体" w:eastAsia="宋体" w:cs="宋体"/>
          <w:color w:val="auto"/>
          <w:highlight w:val="none"/>
        </w:rPr>
        <w:t>项</w:t>
      </w:r>
      <w:r>
        <w:rPr>
          <w:rFonts w:hint="eastAsia" w:ascii="宋体" w:eastAsia="宋体" w:cs="宋体"/>
          <w:color w:val="auto"/>
          <w:spacing w:val="-2"/>
          <w:highlight w:val="none"/>
        </w:rPr>
        <w:t>目</w:t>
      </w:r>
      <w:r>
        <w:rPr>
          <w:rFonts w:hint="eastAsia" w:ascii="宋体" w:eastAsia="宋体" w:cs="宋体"/>
          <w:color w:val="auto"/>
          <w:highlight w:val="none"/>
        </w:rPr>
        <w:t>名</w:t>
      </w:r>
      <w:r>
        <w:rPr>
          <w:rFonts w:hint="eastAsia" w:ascii="宋体" w:eastAsia="宋体" w:cs="宋体"/>
          <w:color w:val="auto"/>
          <w:spacing w:val="-2"/>
          <w:highlight w:val="none"/>
        </w:rPr>
        <w:t>称</w:t>
      </w:r>
      <w:r>
        <w:rPr>
          <w:rFonts w:hint="eastAsia" w:ascii="宋体" w:eastAsia="宋体" w:cs="宋体"/>
          <w:color w:val="auto"/>
          <w:highlight w:val="none"/>
        </w:rPr>
        <w:t>：</w:t>
      </w:r>
      <w:r>
        <w:rPr>
          <w:rFonts w:hint="eastAsia" w:ascii="宋体" w:eastAsia="宋体" w:cs="宋体"/>
          <w:color w:val="auto"/>
          <w:spacing w:val="-2"/>
          <w:highlight w:val="none"/>
        </w:rPr>
        <w:t>见投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1.1.5项</w:t>
      </w:r>
      <w:r>
        <w:rPr>
          <w:rFonts w:hint="eastAsia" w:ascii="宋体" w:eastAsia="宋体" w:cs="宋体"/>
          <w:color w:val="auto"/>
          <w:spacing w:val="-2"/>
          <w:highlight w:val="none"/>
        </w:rPr>
        <w:t>目</w:t>
      </w:r>
      <w:r>
        <w:rPr>
          <w:rFonts w:hint="eastAsia" w:ascii="宋体" w:eastAsia="宋体" w:cs="宋体"/>
          <w:color w:val="auto"/>
          <w:highlight w:val="none"/>
        </w:rPr>
        <w:t>建</w:t>
      </w:r>
      <w:r>
        <w:rPr>
          <w:rFonts w:hint="eastAsia" w:ascii="宋体" w:eastAsia="宋体" w:cs="宋体"/>
          <w:color w:val="auto"/>
          <w:spacing w:val="-2"/>
          <w:highlight w:val="none"/>
        </w:rPr>
        <w:t>设</w:t>
      </w:r>
      <w:r>
        <w:rPr>
          <w:rFonts w:hint="eastAsia" w:ascii="宋体" w:eastAsia="宋体" w:cs="宋体"/>
          <w:color w:val="auto"/>
          <w:highlight w:val="none"/>
        </w:rPr>
        <w:t>地</w:t>
      </w:r>
      <w:r>
        <w:rPr>
          <w:rFonts w:hint="eastAsia" w:ascii="宋体" w:eastAsia="宋体" w:cs="宋体"/>
          <w:color w:val="auto"/>
          <w:spacing w:val="-2"/>
          <w:highlight w:val="none"/>
        </w:rPr>
        <w:t>点</w:t>
      </w:r>
      <w:r>
        <w:rPr>
          <w:rFonts w:hint="eastAsia" w:ascii="宋体" w:eastAsia="宋体" w:cs="宋体"/>
          <w:color w:val="auto"/>
          <w:highlight w:val="none"/>
        </w:rPr>
        <w:t>：</w:t>
      </w:r>
      <w:r>
        <w:rPr>
          <w:rFonts w:hint="eastAsia" w:ascii="宋体" w:eastAsia="宋体" w:cs="宋体"/>
          <w:color w:val="auto"/>
          <w:spacing w:val="-2"/>
          <w:highlight w:val="none"/>
        </w:rPr>
        <w:t>见投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1.1.6项</w:t>
      </w:r>
      <w:r>
        <w:rPr>
          <w:rFonts w:hint="eastAsia" w:ascii="宋体" w:eastAsia="宋体" w:cs="宋体"/>
          <w:color w:val="auto"/>
          <w:spacing w:val="-2"/>
          <w:highlight w:val="none"/>
        </w:rPr>
        <w:t>目</w:t>
      </w:r>
      <w:r>
        <w:rPr>
          <w:rFonts w:hint="eastAsia" w:ascii="宋体" w:eastAsia="宋体" w:cs="宋体"/>
          <w:color w:val="auto"/>
          <w:highlight w:val="none"/>
        </w:rPr>
        <w:t>建</w:t>
      </w:r>
      <w:r>
        <w:rPr>
          <w:rFonts w:hint="eastAsia" w:ascii="宋体" w:eastAsia="宋体" w:cs="宋体"/>
          <w:color w:val="auto"/>
          <w:spacing w:val="-2"/>
          <w:highlight w:val="none"/>
        </w:rPr>
        <w:t>设</w:t>
      </w:r>
      <w:r>
        <w:rPr>
          <w:rFonts w:hint="eastAsia" w:ascii="宋体" w:eastAsia="宋体" w:cs="宋体"/>
          <w:color w:val="auto"/>
          <w:highlight w:val="none"/>
        </w:rPr>
        <w:t>规</w:t>
      </w:r>
      <w:r>
        <w:rPr>
          <w:rFonts w:hint="eastAsia" w:ascii="宋体" w:eastAsia="宋体" w:cs="宋体"/>
          <w:color w:val="auto"/>
          <w:spacing w:val="-2"/>
          <w:highlight w:val="none"/>
        </w:rPr>
        <w:t>模</w:t>
      </w:r>
      <w:r>
        <w:rPr>
          <w:rFonts w:hint="eastAsia" w:ascii="宋体" w:eastAsia="宋体" w:cs="宋体"/>
          <w:color w:val="auto"/>
          <w:highlight w:val="none"/>
        </w:rPr>
        <w:t>：</w:t>
      </w:r>
      <w:r>
        <w:rPr>
          <w:rFonts w:hint="eastAsia" w:ascii="宋体" w:eastAsia="宋体" w:cs="宋体"/>
          <w:color w:val="auto"/>
          <w:spacing w:val="-2"/>
          <w:highlight w:val="none"/>
        </w:rPr>
        <w:t>见投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1.1.7工</w:t>
      </w:r>
      <w:r>
        <w:rPr>
          <w:rFonts w:hint="eastAsia" w:ascii="宋体" w:eastAsia="宋体" w:cs="宋体"/>
          <w:color w:val="auto"/>
          <w:spacing w:val="-2"/>
          <w:highlight w:val="none"/>
        </w:rPr>
        <w:t>程</w:t>
      </w:r>
      <w:r>
        <w:rPr>
          <w:rFonts w:hint="eastAsia" w:ascii="宋体" w:eastAsia="宋体" w:cs="宋体"/>
          <w:color w:val="auto"/>
          <w:highlight w:val="none"/>
        </w:rPr>
        <w:t>项</w:t>
      </w:r>
      <w:r>
        <w:rPr>
          <w:rFonts w:hint="eastAsia" w:ascii="宋体" w:eastAsia="宋体" w:cs="宋体"/>
          <w:color w:val="auto"/>
          <w:spacing w:val="-2"/>
          <w:highlight w:val="none"/>
        </w:rPr>
        <w:t>目</w:t>
      </w:r>
      <w:r>
        <w:rPr>
          <w:rFonts w:hint="eastAsia" w:ascii="宋体" w:eastAsia="宋体" w:cs="宋体"/>
          <w:color w:val="auto"/>
          <w:highlight w:val="none"/>
        </w:rPr>
        <w:t>施</w:t>
      </w:r>
      <w:r>
        <w:rPr>
          <w:rFonts w:hint="eastAsia" w:ascii="宋体" w:eastAsia="宋体" w:cs="宋体"/>
          <w:color w:val="auto"/>
          <w:spacing w:val="-2"/>
          <w:highlight w:val="none"/>
        </w:rPr>
        <w:t>工</w:t>
      </w:r>
      <w:r>
        <w:rPr>
          <w:rFonts w:hint="eastAsia" w:ascii="宋体" w:eastAsia="宋体" w:cs="宋体"/>
          <w:color w:val="auto"/>
          <w:highlight w:val="none"/>
        </w:rPr>
        <w:t>预</w:t>
      </w:r>
      <w:r>
        <w:rPr>
          <w:rFonts w:hint="eastAsia" w:ascii="宋体" w:eastAsia="宋体" w:cs="宋体"/>
          <w:color w:val="auto"/>
          <w:spacing w:val="-2"/>
          <w:highlight w:val="none"/>
        </w:rPr>
        <w:t>计开</w:t>
      </w:r>
      <w:r>
        <w:rPr>
          <w:rFonts w:hint="eastAsia" w:ascii="宋体" w:eastAsia="宋体" w:cs="宋体"/>
          <w:color w:val="auto"/>
          <w:highlight w:val="none"/>
        </w:rPr>
        <w:t>工日</w:t>
      </w:r>
      <w:r>
        <w:rPr>
          <w:rFonts w:hint="eastAsia" w:ascii="宋体" w:eastAsia="宋体" w:cs="宋体"/>
          <w:color w:val="auto"/>
          <w:spacing w:val="-2"/>
          <w:highlight w:val="none"/>
        </w:rPr>
        <w:t>期</w:t>
      </w:r>
      <w:r>
        <w:rPr>
          <w:rFonts w:hint="eastAsia" w:ascii="宋体" w:eastAsia="宋体" w:cs="宋体"/>
          <w:color w:val="auto"/>
          <w:highlight w:val="none"/>
        </w:rPr>
        <w:t>和</w:t>
      </w:r>
      <w:r>
        <w:rPr>
          <w:rFonts w:hint="eastAsia" w:ascii="宋体" w:eastAsia="宋体" w:cs="宋体"/>
          <w:color w:val="auto"/>
          <w:spacing w:val="-2"/>
          <w:highlight w:val="none"/>
        </w:rPr>
        <w:t>建</w:t>
      </w:r>
      <w:r>
        <w:rPr>
          <w:rFonts w:hint="eastAsia" w:ascii="宋体" w:eastAsia="宋体" w:cs="宋体"/>
          <w:color w:val="auto"/>
          <w:highlight w:val="none"/>
        </w:rPr>
        <w:t>设</w:t>
      </w:r>
      <w:r>
        <w:rPr>
          <w:rFonts w:hint="eastAsia" w:ascii="宋体" w:eastAsia="宋体" w:cs="宋体"/>
          <w:color w:val="auto"/>
          <w:spacing w:val="-2"/>
          <w:highlight w:val="none"/>
        </w:rPr>
        <w:t>周</w:t>
      </w:r>
      <w:r>
        <w:rPr>
          <w:rFonts w:hint="eastAsia" w:ascii="宋体" w:eastAsia="宋体" w:cs="宋体"/>
          <w:color w:val="auto"/>
          <w:highlight w:val="none"/>
        </w:rPr>
        <w:t>期</w:t>
      </w:r>
      <w:r>
        <w:rPr>
          <w:rFonts w:hint="eastAsia" w:ascii="宋体" w:eastAsia="宋体" w:cs="宋体"/>
          <w:color w:val="auto"/>
          <w:spacing w:val="-2"/>
          <w:highlight w:val="none"/>
        </w:rPr>
        <w:t>：</w:t>
      </w:r>
      <w:r>
        <w:rPr>
          <w:rFonts w:hint="eastAsia" w:ascii="宋体" w:eastAsia="宋体" w:cs="宋体"/>
          <w:color w:val="auto"/>
          <w:highlight w:val="none"/>
        </w:rPr>
        <w:t>见</w:t>
      </w:r>
      <w:r>
        <w:rPr>
          <w:rFonts w:hint="eastAsia" w:ascii="宋体" w:eastAsia="宋体" w:cs="宋体"/>
          <w:color w:val="auto"/>
          <w:spacing w:val="-2"/>
          <w:highlight w:val="none"/>
        </w:rPr>
        <w:t>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1.1.8建</w:t>
      </w:r>
      <w:r>
        <w:rPr>
          <w:rFonts w:hint="eastAsia" w:ascii="宋体" w:eastAsia="宋体" w:cs="宋体"/>
          <w:color w:val="auto"/>
          <w:spacing w:val="-2"/>
          <w:highlight w:val="none"/>
        </w:rPr>
        <w:t>筑</w:t>
      </w:r>
      <w:r>
        <w:rPr>
          <w:rFonts w:hint="eastAsia" w:ascii="宋体" w:eastAsia="宋体" w:cs="宋体"/>
          <w:color w:val="auto"/>
          <w:highlight w:val="none"/>
        </w:rPr>
        <w:t>安</w:t>
      </w:r>
      <w:r>
        <w:rPr>
          <w:rFonts w:hint="eastAsia" w:ascii="宋体" w:eastAsia="宋体" w:cs="宋体"/>
          <w:color w:val="auto"/>
          <w:spacing w:val="-2"/>
          <w:highlight w:val="none"/>
        </w:rPr>
        <w:t>装</w:t>
      </w:r>
      <w:r>
        <w:rPr>
          <w:rFonts w:hint="eastAsia" w:ascii="宋体" w:eastAsia="宋体" w:cs="宋体"/>
          <w:color w:val="auto"/>
          <w:highlight w:val="none"/>
        </w:rPr>
        <w:t>工</w:t>
      </w:r>
      <w:r>
        <w:rPr>
          <w:rFonts w:hint="eastAsia" w:ascii="宋体" w:eastAsia="宋体" w:cs="宋体"/>
          <w:color w:val="auto"/>
          <w:spacing w:val="-2"/>
          <w:highlight w:val="none"/>
        </w:rPr>
        <w:t>程</w:t>
      </w:r>
      <w:r>
        <w:rPr>
          <w:rFonts w:hint="eastAsia" w:ascii="宋体" w:eastAsia="宋体" w:cs="宋体"/>
          <w:color w:val="auto"/>
          <w:highlight w:val="none"/>
        </w:rPr>
        <w:t>费</w:t>
      </w:r>
      <w:r>
        <w:rPr>
          <w:rFonts w:hint="eastAsia" w:ascii="宋体" w:eastAsia="宋体" w:cs="宋体"/>
          <w:color w:val="auto"/>
          <w:spacing w:val="-1"/>
          <w:highlight w:val="none"/>
        </w:rPr>
        <w:t>/</w:t>
      </w:r>
      <w:r>
        <w:rPr>
          <w:rFonts w:hint="eastAsia" w:ascii="宋体" w:eastAsia="宋体" w:cs="宋体"/>
          <w:color w:val="auto"/>
          <w:spacing w:val="-2"/>
          <w:highlight w:val="none"/>
        </w:rPr>
        <w:t>工</w:t>
      </w:r>
      <w:r>
        <w:rPr>
          <w:rFonts w:hint="eastAsia" w:ascii="宋体" w:eastAsia="宋体" w:cs="宋体"/>
          <w:color w:val="auto"/>
          <w:highlight w:val="none"/>
        </w:rPr>
        <w:t>程概</w:t>
      </w:r>
      <w:r>
        <w:rPr>
          <w:rFonts w:hint="eastAsia" w:ascii="宋体" w:eastAsia="宋体" w:cs="宋体"/>
          <w:color w:val="auto"/>
          <w:spacing w:val="-2"/>
          <w:highlight w:val="none"/>
        </w:rPr>
        <w:t>算</w:t>
      </w:r>
      <w:r>
        <w:rPr>
          <w:rFonts w:hint="eastAsia" w:ascii="宋体" w:eastAsia="宋体" w:cs="宋体"/>
          <w:color w:val="auto"/>
          <w:highlight w:val="none"/>
        </w:rPr>
        <w:t>：</w:t>
      </w:r>
      <w:r>
        <w:rPr>
          <w:rFonts w:hint="eastAsia" w:ascii="宋体" w:eastAsia="宋体" w:cs="宋体"/>
          <w:color w:val="auto"/>
          <w:spacing w:val="-2"/>
          <w:highlight w:val="none"/>
        </w:rPr>
        <w:t>见</w:t>
      </w:r>
      <w:r>
        <w:rPr>
          <w:rFonts w:hint="eastAsia" w:ascii="宋体" w:eastAsia="宋体" w:cs="宋体"/>
          <w:color w:val="auto"/>
          <w:highlight w:val="none"/>
        </w:rPr>
        <w:t>投</w:t>
      </w:r>
      <w:r>
        <w:rPr>
          <w:rFonts w:hint="eastAsia" w:ascii="宋体" w:eastAsia="宋体" w:cs="宋体"/>
          <w:color w:val="auto"/>
          <w:spacing w:val="-2"/>
          <w:highlight w:val="none"/>
        </w:rPr>
        <w:t>标</w:t>
      </w:r>
      <w:r>
        <w:rPr>
          <w:rFonts w:hint="eastAsia" w:ascii="宋体" w:eastAsia="宋体" w:cs="宋体"/>
          <w:color w:val="auto"/>
          <w:highlight w:val="none"/>
        </w:rPr>
        <w:t>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附表。</w:t>
      </w:r>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.2招标项目</w:t>
      </w:r>
      <w:r>
        <w:rPr>
          <w:rFonts w:hint="eastAsia" w:ascii="宋体" w:eastAsia="宋体" w:cs="宋体"/>
          <w:b/>
          <w:bCs/>
          <w:color w:val="auto"/>
          <w:spacing w:val="-3"/>
          <w:sz w:val="28"/>
          <w:highlight w:val="none"/>
        </w:rPr>
        <w:t>的</w:t>
      </w:r>
      <w:r>
        <w:rPr>
          <w:rFonts w:hint="eastAsia" w:ascii="宋体" w:eastAsia="宋体" w:cs="宋体"/>
          <w:b/>
          <w:bCs/>
          <w:color w:val="auto"/>
          <w:sz w:val="28"/>
          <w:highlight w:val="none"/>
        </w:rPr>
        <w:t>资</w:t>
      </w:r>
      <w:r>
        <w:rPr>
          <w:rFonts w:hint="eastAsia" w:ascii="宋体" w:eastAsia="宋体" w:cs="宋体"/>
          <w:b/>
          <w:bCs/>
          <w:color w:val="auto"/>
          <w:spacing w:val="-3"/>
          <w:sz w:val="28"/>
          <w:highlight w:val="none"/>
        </w:rPr>
        <w:t>金</w:t>
      </w:r>
      <w:r>
        <w:rPr>
          <w:rFonts w:hint="eastAsia" w:ascii="宋体" w:eastAsia="宋体" w:cs="宋体"/>
          <w:b/>
          <w:bCs/>
          <w:color w:val="auto"/>
          <w:sz w:val="28"/>
          <w:highlight w:val="none"/>
        </w:rPr>
        <w:t>来源和</w:t>
      </w:r>
      <w:r>
        <w:rPr>
          <w:rFonts w:hint="eastAsia" w:ascii="宋体" w:eastAsia="宋体" w:cs="宋体"/>
          <w:b/>
          <w:bCs/>
          <w:color w:val="auto"/>
          <w:spacing w:val="-3"/>
          <w:sz w:val="28"/>
          <w:highlight w:val="none"/>
        </w:rPr>
        <w:t>落</w:t>
      </w:r>
      <w:r>
        <w:rPr>
          <w:rFonts w:hint="eastAsia" w:ascii="宋体" w:eastAsia="宋体" w:cs="宋体"/>
          <w:b/>
          <w:bCs/>
          <w:color w:val="auto"/>
          <w:sz w:val="28"/>
          <w:highlight w:val="none"/>
        </w:rPr>
        <w:t>实情况</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1.2.1资</w:t>
      </w:r>
      <w:r>
        <w:rPr>
          <w:rFonts w:hint="eastAsia" w:ascii="宋体" w:eastAsia="宋体" w:cs="宋体"/>
          <w:color w:val="auto"/>
          <w:spacing w:val="-2"/>
          <w:highlight w:val="none"/>
        </w:rPr>
        <w:t>金</w:t>
      </w:r>
      <w:r>
        <w:rPr>
          <w:rFonts w:hint="eastAsia" w:ascii="宋体" w:eastAsia="宋体" w:cs="宋体"/>
          <w:color w:val="auto"/>
          <w:highlight w:val="none"/>
        </w:rPr>
        <w:t>来</w:t>
      </w:r>
      <w:r>
        <w:rPr>
          <w:rFonts w:hint="eastAsia" w:ascii="宋体" w:eastAsia="宋体" w:cs="宋体"/>
          <w:color w:val="auto"/>
          <w:spacing w:val="-2"/>
          <w:highlight w:val="none"/>
        </w:rPr>
        <w:t>源</w:t>
      </w:r>
      <w:r>
        <w:rPr>
          <w:rFonts w:hint="eastAsia" w:ascii="宋体" w:eastAsia="宋体" w:cs="宋体"/>
          <w:color w:val="auto"/>
          <w:highlight w:val="none"/>
        </w:rPr>
        <w:t>及</w:t>
      </w:r>
      <w:r>
        <w:rPr>
          <w:rFonts w:hint="eastAsia" w:ascii="宋体" w:eastAsia="宋体" w:cs="宋体"/>
          <w:color w:val="auto"/>
          <w:spacing w:val="-2"/>
          <w:highlight w:val="none"/>
        </w:rPr>
        <w:t>比</w:t>
      </w:r>
      <w:r>
        <w:rPr>
          <w:rFonts w:hint="eastAsia" w:ascii="宋体" w:eastAsia="宋体" w:cs="宋体"/>
          <w:color w:val="auto"/>
          <w:highlight w:val="none"/>
        </w:rPr>
        <w:t>例</w:t>
      </w:r>
      <w:r>
        <w:rPr>
          <w:rFonts w:hint="eastAsia" w:ascii="宋体" w:eastAsia="宋体" w:cs="宋体"/>
          <w:color w:val="auto"/>
          <w:spacing w:val="-2"/>
          <w:highlight w:val="none"/>
        </w:rPr>
        <w:t>：见</w:t>
      </w:r>
      <w:r>
        <w:rPr>
          <w:rFonts w:hint="eastAsia" w:ascii="宋体" w:eastAsia="宋体" w:cs="宋体"/>
          <w:color w:val="auto"/>
          <w:highlight w:val="none"/>
        </w:rPr>
        <w:t>投标</w:t>
      </w:r>
      <w:r>
        <w:rPr>
          <w:rFonts w:hint="eastAsia" w:ascii="宋体" w:eastAsia="宋体" w:cs="宋体"/>
          <w:color w:val="auto"/>
          <w:spacing w:val="-2"/>
          <w:highlight w:val="none"/>
        </w:rPr>
        <w:t>人</w:t>
      </w:r>
      <w:r>
        <w:rPr>
          <w:rFonts w:hint="eastAsia" w:ascii="宋体" w:eastAsia="宋体" w:cs="宋体"/>
          <w:color w:val="auto"/>
          <w:highlight w:val="none"/>
        </w:rPr>
        <w:t>须</w:t>
      </w:r>
      <w:r>
        <w:rPr>
          <w:rFonts w:hint="eastAsia" w:ascii="宋体" w:eastAsia="宋体" w:cs="宋体"/>
          <w:color w:val="auto"/>
          <w:spacing w:val="-2"/>
          <w:highlight w:val="none"/>
        </w:rPr>
        <w:t>知</w:t>
      </w:r>
      <w:r>
        <w:rPr>
          <w:rFonts w:hint="eastAsia" w:ascii="宋体" w:eastAsia="宋体" w:cs="宋体"/>
          <w:color w:val="auto"/>
          <w:highlight w:val="none"/>
        </w:rPr>
        <w:t>前</w:t>
      </w:r>
      <w:r>
        <w:rPr>
          <w:rFonts w:hint="eastAsia" w:ascii="宋体" w:eastAsia="宋体" w:cs="宋体"/>
          <w:color w:val="auto"/>
          <w:spacing w:val="-2"/>
          <w:highlight w:val="none"/>
        </w:rPr>
        <w:t>附</w:t>
      </w:r>
      <w:r>
        <w:rPr>
          <w:rFonts w:hint="eastAsia" w:ascii="宋体" w:eastAsia="宋体" w:cs="宋体"/>
          <w:color w:val="auto"/>
          <w:highlight w:val="none"/>
        </w:rPr>
        <w:t>表。</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1.2.2资</w:t>
      </w:r>
      <w:r>
        <w:rPr>
          <w:rFonts w:hint="eastAsia" w:ascii="宋体" w:eastAsia="宋体" w:cs="宋体"/>
          <w:color w:val="auto"/>
          <w:spacing w:val="-2"/>
          <w:highlight w:val="none"/>
        </w:rPr>
        <w:t>金</w:t>
      </w:r>
      <w:r>
        <w:rPr>
          <w:rFonts w:hint="eastAsia" w:ascii="宋体" w:eastAsia="宋体" w:cs="宋体"/>
          <w:color w:val="auto"/>
          <w:highlight w:val="none"/>
        </w:rPr>
        <w:t>落</w:t>
      </w:r>
      <w:r>
        <w:rPr>
          <w:rFonts w:hint="eastAsia" w:ascii="宋体" w:eastAsia="宋体" w:cs="宋体"/>
          <w:color w:val="auto"/>
          <w:spacing w:val="-2"/>
          <w:highlight w:val="none"/>
        </w:rPr>
        <w:t>实</w:t>
      </w:r>
      <w:r>
        <w:rPr>
          <w:rFonts w:hint="eastAsia" w:ascii="宋体" w:eastAsia="宋体" w:cs="宋体"/>
          <w:color w:val="auto"/>
          <w:highlight w:val="none"/>
        </w:rPr>
        <w:t>情</w:t>
      </w:r>
      <w:r>
        <w:rPr>
          <w:rFonts w:hint="eastAsia" w:ascii="宋体" w:eastAsia="宋体" w:cs="宋体"/>
          <w:color w:val="auto"/>
          <w:spacing w:val="-2"/>
          <w:highlight w:val="none"/>
        </w:rPr>
        <w:t>况</w:t>
      </w:r>
      <w:r>
        <w:rPr>
          <w:rFonts w:hint="eastAsia" w:ascii="宋体" w:eastAsia="宋体" w:cs="宋体"/>
          <w:color w:val="auto"/>
          <w:highlight w:val="none"/>
        </w:rPr>
        <w:t>：</w:t>
      </w:r>
      <w:r>
        <w:rPr>
          <w:rFonts w:hint="eastAsia" w:ascii="宋体" w:eastAsia="宋体" w:cs="宋体"/>
          <w:color w:val="auto"/>
          <w:spacing w:val="-2"/>
          <w:highlight w:val="none"/>
        </w:rPr>
        <w:t>见投</w:t>
      </w:r>
      <w:r>
        <w:rPr>
          <w:rFonts w:hint="eastAsia" w:ascii="宋体" w:eastAsia="宋体" w:cs="宋体"/>
          <w:color w:val="auto"/>
          <w:highlight w:val="none"/>
        </w:rPr>
        <w:t>标人</w:t>
      </w:r>
      <w:r>
        <w:rPr>
          <w:rFonts w:hint="eastAsia" w:ascii="宋体" w:eastAsia="宋体" w:cs="宋体"/>
          <w:color w:val="auto"/>
          <w:spacing w:val="-2"/>
          <w:highlight w:val="none"/>
        </w:rPr>
        <w:t>须</w:t>
      </w:r>
      <w:r>
        <w:rPr>
          <w:rFonts w:hint="eastAsia" w:ascii="宋体" w:eastAsia="宋体" w:cs="宋体"/>
          <w:color w:val="auto"/>
          <w:highlight w:val="none"/>
        </w:rPr>
        <w:t>知</w:t>
      </w:r>
      <w:r>
        <w:rPr>
          <w:rFonts w:hint="eastAsia" w:ascii="宋体" w:eastAsia="宋体" w:cs="宋体"/>
          <w:color w:val="auto"/>
          <w:spacing w:val="-2"/>
          <w:highlight w:val="none"/>
        </w:rPr>
        <w:t>前</w:t>
      </w:r>
      <w:r>
        <w:rPr>
          <w:rFonts w:hint="eastAsia" w:ascii="宋体" w:eastAsia="宋体" w:cs="宋体"/>
          <w:color w:val="auto"/>
          <w:highlight w:val="none"/>
        </w:rPr>
        <w:t>附</w:t>
      </w:r>
      <w:r>
        <w:rPr>
          <w:rFonts w:hint="eastAsia" w:ascii="宋体" w:eastAsia="宋体" w:cs="宋体"/>
          <w:color w:val="auto"/>
          <w:spacing w:val="-2"/>
          <w:highlight w:val="none"/>
        </w:rPr>
        <w:t>表</w:t>
      </w:r>
      <w:r>
        <w:rPr>
          <w:rFonts w:hint="eastAsia" w:ascii="宋体" w:eastAsia="宋体" w:cs="宋体"/>
          <w:color w:val="auto"/>
          <w:highlight w:val="none"/>
        </w:rPr>
        <w:t>。</w:t>
      </w:r>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.3招标范</w:t>
      </w:r>
      <w:r>
        <w:rPr>
          <w:rFonts w:hint="eastAsia" w:ascii="宋体" w:eastAsia="宋体" w:cs="宋体"/>
          <w:b/>
          <w:bCs/>
          <w:color w:val="auto"/>
          <w:spacing w:val="-3"/>
          <w:sz w:val="28"/>
          <w:highlight w:val="none"/>
        </w:rPr>
        <w:t>围</w:t>
      </w:r>
      <w:r>
        <w:rPr>
          <w:rFonts w:hint="eastAsia" w:ascii="宋体" w:eastAsia="宋体" w:cs="宋体"/>
          <w:b/>
          <w:bCs/>
          <w:color w:val="auto"/>
          <w:sz w:val="28"/>
          <w:highlight w:val="none"/>
        </w:rPr>
        <w:t>、服务期</w:t>
      </w:r>
      <w:r>
        <w:rPr>
          <w:rFonts w:hint="eastAsia" w:ascii="宋体" w:eastAsia="宋体" w:cs="宋体"/>
          <w:b/>
          <w:bCs/>
          <w:color w:val="auto"/>
          <w:spacing w:val="-3"/>
          <w:sz w:val="28"/>
          <w:highlight w:val="none"/>
        </w:rPr>
        <w:t>限</w:t>
      </w:r>
      <w:r>
        <w:rPr>
          <w:rFonts w:hint="eastAsia" w:ascii="宋体" w:eastAsia="宋体" w:cs="宋体"/>
          <w:b/>
          <w:bCs/>
          <w:color w:val="auto"/>
          <w:sz w:val="28"/>
          <w:highlight w:val="none"/>
        </w:rPr>
        <w:t>和质</w:t>
      </w:r>
      <w:r>
        <w:rPr>
          <w:rFonts w:hint="eastAsia" w:ascii="宋体" w:eastAsia="宋体" w:cs="宋体"/>
          <w:b/>
          <w:bCs/>
          <w:color w:val="auto"/>
          <w:spacing w:val="-3"/>
          <w:sz w:val="28"/>
          <w:highlight w:val="none"/>
        </w:rPr>
        <w:t>量标</w:t>
      </w:r>
      <w:r>
        <w:rPr>
          <w:rFonts w:hint="eastAsia" w:ascii="宋体" w:eastAsia="宋体" w:cs="宋体"/>
          <w:b/>
          <w:bCs/>
          <w:color w:val="auto"/>
          <w:sz w:val="28"/>
          <w:highlight w:val="none"/>
        </w:rPr>
        <w:t>准</w:t>
      </w:r>
    </w:p>
    <w:p>
      <w:pPr>
        <w:spacing w:line="360" w:lineRule="auto"/>
        <w:ind w:left="237" w:right="-20" w:firstLine="329" w:firstLineChars="157"/>
        <w:jc w:val="left"/>
        <w:rPr>
          <w:rFonts w:ascii="宋体" w:eastAsia="宋体" w:cs="宋体"/>
          <w:color w:val="auto"/>
          <w:highlight w:val="none"/>
        </w:rPr>
      </w:pPr>
      <w:r>
        <w:rPr>
          <w:rFonts w:hint="eastAsia" w:ascii="宋体" w:eastAsia="宋体" w:cs="宋体"/>
          <w:color w:val="auto"/>
          <w:highlight w:val="none"/>
        </w:rPr>
        <w:t>1.3.1 招标范围：见投标人须知前附表。</w:t>
      </w:r>
    </w:p>
    <w:p>
      <w:pPr>
        <w:spacing w:line="360" w:lineRule="auto"/>
        <w:ind w:left="237" w:right="-20" w:firstLine="329" w:firstLineChars="157"/>
        <w:jc w:val="left"/>
        <w:rPr>
          <w:rFonts w:ascii="宋体" w:eastAsia="宋体" w:cs="宋体"/>
          <w:color w:val="auto"/>
          <w:highlight w:val="none"/>
        </w:rPr>
      </w:pPr>
      <w:r>
        <w:rPr>
          <w:rFonts w:hint="eastAsia" w:ascii="宋体" w:eastAsia="宋体" w:cs="宋体"/>
          <w:color w:val="auto"/>
          <w:highlight w:val="none"/>
        </w:rPr>
        <w:t>1.3.2服务期限：见投标人须知前附表。</w:t>
      </w:r>
    </w:p>
    <w:p>
      <w:pPr>
        <w:spacing w:line="360" w:lineRule="auto"/>
        <w:ind w:left="237" w:right="-20" w:firstLine="329" w:firstLineChars="157"/>
        <w:jc w:val="left"/>
        <w:rPr>
          <w:rFonts w:ascii="宋体" w:eastAsia="宋体" w:cs="宋体"/>
          <w:color w:val="auto"/>
          <w:highlight w:val="none"/>
        </w:rPr>
      </w:pPr>
      <w:r>
        <w:rPr>
          <w:rFonts w:hint="eastAsia" w:ascii="宋体" w:eastAsia="宋体" w:cs="宋体"/>
          <w:color w:val="auto"/>
          <w:highlight w:val="none"/>
        </w:rPr>
        <w:t>1.3.3 质量标准：见投标人须知前附表。</w:t>
      </w:r>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.4投标人</w:t>
      </w:r>
      <w:r>
        <w:rPr>
          <w:rFonts w:hint="eastAsia" w:ascii="宋体" w:eastAsia="宋体" w:cs="宋体"/>
          <w:b/>
          <w:bCs/>
          <w:color w:val="auto"/>
          <w:spacing w:val="-3"/>
          <w:sz w:val="28"/>
          <w:highlight w:val="none"/>
        </w:rPr>
        <w:t>资</w:t>
      </w:r>
      <w:r>
        <w:rPr>
          <w:rFonts w:hint="eastAsia" w:ascii="宋体" w:eastAsia="宋体" w:cs="宋体"/>
          <w:b/>
          <w:bCs/>
          <w:color w:val="auto"/>
          <w:sz w:val="28"/>
          <w:highlight w:val="none"/>
        </w:rPr>
        <w:t>格要求</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1.4.1 投标人应具备承担本招标项目资质条件、能力和信誉：</w:t>
      </w:r>
    </w:p>
    <w:p>
      <w:pPr>
        <w:spacing w:line="360" w:lineRule="auto"/>
        <w:ind w:left="378" w:right="4202"/>
        <w:jc w:val="center"/>
        <w:rPr>
          <w:rFonts w:ascii="宋体" w:eastAsia="宋体" w:cs="宋体"/>
          <w:color w:val="auto"/>
          <w:highlight w:val="none"/>
        </w:rPr>
      </w:pPr>
      <w:r>
        <w:rPr>
          <w:rFonts w:hint="eastAsia" w:ascii="宋体" w:eastAsia="宋体" w:cs="宋体"/>
          <w:color w:val="auto"/>
          <w:highlight w:val="none"/>
        </w:rPr>
        <w:t>（1）资质要求：见投标人须知前附表；</w:t>
      </w:r>
    </w:p>
    <w:p>
      <w:pPr>
        <w:spacing w:line="360" w:lineRule="auto"/>
        <w:ind w:left="378" w:right="4202"/>
        <w:jc w:val="center"/>
        <w:rPr>
          <w:rFonts w:ascii="宋体" w:eastAsia="宋体" w:cs="宋体"/>
          <w:color w:val="auto"/>
          <w:highlight w:val="none"/>
        </w:rPr>
      </w:pPr>
      <w:r>
        <w:rPr>
          <w:rFonts w:hint="eastAsia" w:ascii="宋体" w:eastAsia="宋体" w:cs="宋体"/>
          <w:color w:val="auto"/>
          <w:highlight w:val="none"/>
        </w:rPr>
        <w:t>（2）财务要求：见投标人须知前附表；</w:t>
      </w:r>
    </w:p>
    <w:p>
      <w:pPr>
        <w:spacing w:line="360" w:lineRule="auto"/>
        <w:ind w:left="378" w:right="4202"/>
        <w:jc w:val="center"/>
        <w:rPr>
          <w:rFonts w:ascii="宋体" w:eastAsia="宋体" w:cs="宋体"/>
          <w:color w:val="auto"/>
          <w:highlight w:val="none"/>
        </w:rPr>
      </w:pPr>
      <w:r>
        <w:rPr>
          <w:rFonts w:hint="eastAsia" w:ascii="宋体" w:eastAsia="宋体" w:cs="宋体"/>
          <w:color w:val="auto"/>
          <w:highlight w:val="none"/>
        </w:rPr>
        <w:t>（3）业绩要求：见投标人须知前附表；</w:t>
      </w:r>
    </w:p>
    <w:p>
      <w:pPr>
        <w:spacing w:line="360" w:lineRule="auto"/>
        <w:ind w:left="378" w:right="4202"/>
        <w:jc w:val="center"/>
        <w:rPr>
          <w:rFonts w:ascii="宋体" w:eastAsia="宋体" w:cs="宋体"/>
          <w:color w:val="auto"/>
          <w:highlight w:val="none"/>
        </w:rPr>
      </w:pPr>
      <w:r>
        <w:rPr>
          <w:rFonts w:hint="eastAsia" w:ascii="宋体" w:eastAsia="宋体" w:cs="宋体"/>
          <w:color w:val="auto"/>
          <w:highlight w:val="none"/>
        </w:rPr>
        <w:t>（4）信誉要求：见投标人须知前附表；</w:t>
      </w:r>
    </w:p>
    <w:p>
      <w:pPr>
        <w:spacing w:line="360" w:lineRule="auto"/>
        <w:ind w:left="378" w:right="2076"/>
        <w:jc w:val="center"/>
        <w:rPr>
          <w:rFonts w:ascii="宋体" w:eastAsia="宋体" w:cs="宋体"/>
          <w:color w:val="auto"/>
          <w:highlight w:val="none"/>
        </w:rPr>
      </w:pPr>
      <w:r>
        <w:rPr>
          <w:rFonts w:hint="eastAsia" w:ascii="宋体" w:eastAsia="宋体" w:cs="宋体"/>
          <w:color w:val="auto"/>
          <w:highlight w:val="none"/>
        </w:rPr>
        <w:t>（5）项目负责人的资格要求：具体要求见投标人须知前附表；</w:t>
      </w:r>
    </w:p>
    <w:p>
      <w:pPr>
        <w:spacing w:line="360" w:lineRule="auto"/>
        <w:ind w:left="378" w:right="2076"/>
        <w:rPr>
          <w:rFonts w:ascii="宋体" w:eastAsia="宋体" w:cs="宋体"/>
          <w:color w:val="auto"/>
          <w:highlight w:val="none"/>
        </w:rPr>
      </w:pPr>
      <w:r>
        <w:rPr>
          <w:rFonts w:hint="eastAsia" w:ascii="宋体" w:eastAsia="宋体" w:cs="宋体"/>
          <w:color w:val="auto"/>
          <w:highlight w:val="none"/>
        </w:rPr>
        <w:t>（6）其他主要人员要求：见投标人须知前附表。</w:t>
      </w:r>
    </w:p>
    <w:p>
      <w:pPr>
        <w:spacing w:line="360" w:lineRule="auto"/>
        <w:ind w:left="378" w:right="2076"/>
        <w:rPr>
          <w:rFonts w:ascii="宋体" w:eastAsia="宋体" w:cs="宋体"/>
          <w:color w:val="auto"/>
          <w:highlight w:val="none"/>
        </w:rPr>
      </w:pPr>
      <w:r>
        <w:rPr>
          <w:rFonts w:hint="eastAsia" w:ascii="宋体" w:eastAsia="宋体" w:cs="宋体"/>
          <w:color w:val="auto"/>
          <w:highlight w:val="none"/>
        </w:rPr>
        <w:t>（7）试验检测仪器设备要求：见投标人须知前附表。</w:t>
      </w:r>
    </w:p>
    <w:p>
      <w:pPr>
        <w:spacing w:line="360" w:lineRule="auto"/>
        <w:ind w:left="378" w:right="-476"/>
        <w:jc w:val="center"/>
        <w:rPr>
          <w:rFonts w:ascii="宋体" w:eastAsia="宋体" w:cs="宋体"/>
          <w:color w:val="auto"/>
          <w:highlight w:val="none"/>
        </w:rPr>
      </w:pPr>
      <w:r>
        <w:rPr>
          <w:rFonts w:hint="eastAsia" w:ascii="宋体" w:eastAsia="宋体" w:cs="宋体"/>
          <w:color w:val="auto"/>
          <w:highlight w:val="none"/>
        </w:rPr>
        <w:t>（8）其他要求：见投标人须知前附表。 需要提交的相关证明材料见本章第 3.5 款的规定。</w:t>
      </w:r>
    </w:p>
    <w:p>
      <w:pPr>
        <w:spacing w:line="360" w:lineRule="auto"/>
        <w:ind w:left="100" w:right="40" w:firstLine="420"/>
        <w:jc w:val="left"/>
        <w:rPr>
          <w:rFonts w:ascii="宋体" w:eastAsia="宋体" w:cs="宋体"/>
          <w:color w:val="auto"/>
          <w:highlight w:val="none"/>
        </w:rPr>
      </w:pPr>
      <w:r>
        <w:rPr>
          <w:rFonts w:hint="eastAsia" w:ascii="宋体" w:eastAsia="宋体" w:cs="宋体"/>
          <w:color w:val="auto"/>
          <w:highlight w:val="none"/>
        </w:rPr>
        <w:t>1.4.2 投标人须知前附表规定接受联合体投标的，联合体除应符合本章第 1.4.1 项和投标人须知前附表的要求外，还应遵守以下规定：</w:t>
      </w:r>
    </w:p>
    <w:p>
      <w:pPr>
        <w:spacing w:line="360" w:lineRule="auto"/>
        <w:ind w:left="100" w:right="43" w:firstLine="314"/>
        <w:jc w:val="left"/>
        <w:rPr>
          <w:rFonts w:ascii="宋体" w:eastAsia="宋体" w:cs="宋体"/>
          <w:color w:val="auto"/>
          <w:highlight w:val="none"/>
        </w:rPr>
      </w:pPr>
      <w:r>
        <w:rPr>
          <w:rFonts w:hint="eastAsia" w:ascii="宋体" w:eastAsia="宋体" w:cs="宋体"/>
          <w:color w:val="auto"/>
          <w:highlight w:val="none"/>
        </w:rPr>
        <w:t>（1）联合体各方应按招标文件提供的格式签订联合体协议书，明确联合体牵头人和各方权利义务，并承诺就中标项目向招标人承担连带责任；</w:t>
      </w:r>
    </w:p>
    <w:p>
      <w:pPr>
        <w:spacing w:line="360" w:lineRule="auto"/>
        <w:ind w:left="415" w:right="-20"/>
        <w:jc w:val="left"/>
        <w:rPr>
          <w:rFonts w:ascii="宋体" w:eastAsia="宋体" w:cs="宋体"/>
          <w:color w:val="auto"/>
          <w:highlight w:val="none"/>
        </w:rPr>
      </w:pPr>
      <w:r>
        <w:rPr>
          <w:rFonts w:hint="eastAsia" w:ascii="宋体" w:eastAsia="宋体" w:cs="宋体"/>
          <w:color w:val="auto"/>
          <w:highlight w:val="none"/>
        </w:rPr>
        <w:t>（2）由同一专业的单位组成的联合体，按照资质等级较低的单位确定资质等级；</w:t>
      </w:r>
    </w:p>
    <w:p>
      <w:pPr>
        <w:spacing w:line="360" w:lineRule="auto"/>
        <w:ind w:left="100" w:right="43" w:firstLine="314"/>
        <w:jc w:val="left"/>
        <w:rPr>
          <w:rFonts w:ascii="宋体" w:eastAsia="宋体" w:cs="宋体"/>
          <w:color w:val="auto"/>
          <w:highlight w:val="none"/>
        </w:rPr>
      </w:pPr>
      <w:r>
        <w:rPr>
          <w:rFonts w:hint="eastAsia" w:ascii="宋体" w:eastAsia="宋体" w:cs="宋体"/>
          <w:color w:val="auto"/>
          <w:highlight w:val="none"/>
        </w:rPr>
        <w:t>（3）联合体各方不得再以自己名义单独或参加其他联合体在本招标项目中投标，否则各相关投标均无效。</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1.4.3 投标人不得存在下列情形之一：</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（1）为招标人不具有独立法人资格的附属机构（单位）；</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（2）与招标人存在利害关系且可能影响招标公正性；</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（3）与本招标项目的其他投标人为同一个单位负责人；</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（4）与本招标项目的其他投标人存在控股、管理关系；</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（5）为本招标项目的代建人；</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（6）为本招标项目的招标代理机构；</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（7）与本招标项目的代建人或招标代理机构同为一个法定代表人；</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（8）与本招标项目的代建人或招标代理机构存在控股或参股关系；</w:t>
      </w:r>
    </w:p>
    <w:p>
      <w:pPr>
        <w:spacing w:line="360" w:lineRule="auto"/>
        <w:ind w:left="100" w:right="39" w:firstLine="420"/>
        <w:jc w:val="left"/>
        <w:rPr>
          <w:rFonts w:ascii="宋体" w:eastAsia="宋体" w:cs="宋体"/>
          <w:color w:val="auto"/>
          <w:highlight w:val="none"/>
        </w:rPr>
      </w:pPr>
      <w:r>
        <w:rPr>
          <w:rFonts w:hint="eastAsia" w:ascii="宋体" w:eastAsia="宋体" w:cs="宋体"/>
          <w:color w:val="auto"/>
          <w:highlight w:val="none"/>
        </w:rPr>
        <w:t>（9）与本招标项目的施工承包人以及建筑材料、建筑构配件和设备供应商有隶属关系或者其他利害关系；</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（10）被依法暂停或者取消投标资格；</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（11）被责令停产停业、暂扣或者吊销许可证、暂扣或者吊销执照；</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（12）进入清算程序，或被宣告破产，或其他丧失履约能力的情形；</w:t>
      </w:r>
    </w:p>
    <w:p>
      <w:pPr>
        <w:spacing w:line="360" w:lineRule="auto"/>
        <w:ind w:left="100" w:right="42" w:firstLine="420"/>
        <w:jc w:val="left"/>
        <w:rPr>
          <w:rFonts w:ascii="宋体" w:eastAsia="宋体" w:cs="宋体"/>
          <w:color w:val="auto"/>
          <w:highlight w:val="none"/>
        </w:rPr>
      </w:pPr>
      <w:r>
        <w:rPr>
          <w:rFonts w:hint="eastAsia" w:ascii="宋体" w:eastAsia="宋体" w:cs="宋体"/>
          <w:color w:val="auto"/>
          <w:highlight w:val="none"/>
        </w:rPr>
        <w:t>（13）在最近三年内发生重大质量问题（以相关行业主管部门的行政处罚决定或司法机关出具的有关法律文书为准）；</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（14）被工商行政管理机关在全国企业信用信息公示系统中列入严重违法失信企业名单；</w:t>
      </w:r>
    </w:p>
    <w:p>
      <w:pPr>
        <w:spacing w:line="360" w:lineRule="auto"/>
        <w:ind w:left="100" w:right="39" w:firstLine="420"/>
        <w:jc w:val="left"/>
        <w:rPr>
          <w:rFonts w:ascii="宋体" w:eastAsia="宋体" w:cs="宋体"/>
          <w:color w:val="auto"/>
          <w:highlight w:val="none"/>
        </w:rPr>
      </w:pPr>
      <w:r>
        <w:rPr>
          <w:rFonts w:hint="eastAsia" w:ascii="宋体" w:eastAsia="宋体" w:cs="宋体"/>
          <w:color w:val="auto"/>
          <w:highlight w:val="none"/>
        </w:rPr>
        <w:t>（15）被最高人民法院在“信用中国”网站（www.creditchina.gov.cn）或各级信用信息共享平 台中列入失信被执行人名单；</w:t>
      </w:r>
    </w:p>
    <w:p>
      <w:pPr>
        <w:spacing w:line="360" w:lineRule="auto"/>
        <w:ind w:left="100" w:right="42" w:firstLine="420"/>
        <w:jc w:val="left"/>
        <w:rPr>
          <w:rFonts w:ascii="宋体" w:eastAsia="宋体" w:cs="宋体"/>
          <w:strike/>
          <w:color w:val="auto"/>
          <w:highlight w:val="none"/>
        </w:rPr>
      </w:pPr>
      <w:r>
        <w:rPr>
          <w:rFonts w:hint="eastAsia" w:ascii="宋体" w:eastAsia="宋体" w:cs="宋体"/>
          <w:color w:val="auto"/>
          <w:highlight w:val="none"/>
        </w:rPr>
        <w:t>（16）在近三年内投标人或其法定代表人、拟委任的项目负责人有行贿犯罪行为的；</w:t>
      </w:r>
    </w:p>
    <w:p>
      <w:pPr>
        <w:spacing w:line="360" w:lineRule="auto"/>
        <w:ind w:left="100" w:right="39" w:firstLine="420"/>
        <w:jc w:val="left"/>
        <w:rPr>
          <w:rFonts w:ascii="宋体" w:eastAsia="宋体" w:cs="宋体"/>
          <w:color w:val="auto"/>
          <w:highlight w:val="none"/>
        </w:rPr>
      </w:pPr>
      <w:r>
        <w:rPr>
          <w:rFonts w:hint="eastAsia" w:ascii="宋体" w:eastAsia="宋体" w:cs="宋体"/>
          <w:color w:val="auto"/>
          <w:highlight w:val="none"/>
        </w:rPr>
        <w:t>（17）法律法规或投标人须知前附表规定的其他情形。</w:t>
      </w:r>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.5费用承担</w:t>
      </w:r>
    </w:p>
    <w:p>
      <w:pPr>
        <w:spacing w:line="360" w:lineRule="auto"/>
        <w:ind w:left="520" w:right="-20"/>
        <w:jc w:val="left"/>
        <w:rPr>
          <w:rFonts w:ascii="宋体" w:eastAsia="宋体" w:cs="宋体"/>
          <w:color w:val="auto"/>
          <w:highlight w:val="none"/>
        </w:rPr>
      </w:pPr>
      <w:r>
        <w:rPr>
          <w:rFonts w:hint="eastAsia" w:ascii="宋体" w:eastAsia="宋体" w:cs="宋体"/>
          <w:color w:val="auto"/>
          <w:highlight w:val="none"/>
        </w:rPr>
        <w:t>投标</w:t>
      </w:r>
      <w:r>
        <w:rPr>
          <w:rFonts w:hint="eastAsia" w:ascii="宋体" w:eastAsia="宋体" w:cs="宋体"/>
          <w:color w:val="auto"/>
          <w:spacing w:val="-2"/>
          <w:highlight w:val="none"/>
        </w:rPr>
        <w:t>人</w:t>
      </w:r>
      <w:r>
        <w:rPr>
          <w:rFonts w:hint="eastAsia" w:ascii="宋体" w:eastAsia="宋体" w:cs="宋体"/>
          <w:color w:val="auto"/>
          <w:highlight w:val="none"/>
        </w:rPr>
        <w:t>准</w:t>
      </w:r>
      <w:r>
        <w:rPr>
          <w:rFonts w:hint="eastAsia" w:ascii="宋体" w:eastAsia="宋体" w:cs="宋体"/>
          <w:color w:val="auto"/>
          <w:spacing w:val="-2"/>
          <w:highlight w:val="none"/>
        </w:rPr>
        <w:t>备</w:t>
      </w:r>
      <w:r>
        <w:rPr>
          <w:rFonts w:hint="eastAsia" w:ascii="宋体" w:eastAsia="宋体" w:cs="宋体"/>
          <w:color w:val="auto"/>
          <w:highlight w:val="none"/>
        </w:rPr>
        <w:t>和</w:t>
      </w:r>
      <w:r>
        <w:rPr>
          <w:rFonts w:hint="eastAsia" w:ascii="宋体" w:eastAsia="宋体" w:cs="宋体"/>
          <w:color w:val="auto"/>
          <w:spacing w:val="-2"/>
          <w:highlight w:val="none"/>
        </w:rPr>
        <w:t>参</w:t>
      </w:r>
      <w:r>
        <w:rPr>
          <w:rFonts w:hint="eastAsia" w:ascii="宋体" w:eastAsia="宋体" w:cs="宋体"/>
          <w:color w:val="auto"/>
          <w:highlight w:val="none"/>
        </w:rPr>
        <w:t>加</w:t>
      </w:r>
      <w:r>
        <w:rPr>
          <w:rFonts w:hint="eastAsia" w:ascii="宋体" w:eastAsia="宋体" w:cs="宋体"/>
          <w:color w:val="auto"/>
          <w:spacing w:val="-2"/>
          <w:highlight w:val="none"/>
        </w:rPr>
        <w:t>投</w:t>
      </w:r>
      <w:r>
        <w:rPr>
          <w:rFonts w:hint="eastAsia" w:ascii="宋体" w:eastAsia="宋体" w:cs="宋体"/>
          <w:color w:val="auto"/>
          <w:highlight w:val="none"/>
        </w:rPr>
        <w:t>标</w:t>
      </w:r>
      <w:r>
        <w:rPr>
          <w:rFonts w:hint="eastAsia" w:ascii="宋体" w:eastAsia="宋体" w:cs="宋体"/>
          <w:color w:val="auto"/>
          <w:spacing w:val="-2"/>
          <w:highlight w:val="none"/>
        </w:rPr>
        <w:t>活</w:t>
      </w:r>
      <w:r>
        <w:rPr>
          <w:rFonts w:hint="eastAsia" w:ascii="宋体" w:eastAsia="宋体" w:cs="宋体"/>
          <w:color w:val="auto"/>
          <w:highlight w:val="none"/>
        </w:rPr>
        <w:t>动发</w:t>
      </w:r>
      <w:r>
        <w:rPr>
          <w:rFonts w:hint="eastAsia" w:ascii="宋体" w:eastAsia="宋体" w:cs="宋体"/>
          <w:color w:val="auto"/>
          <w:spacing w:val="-2"/>
          <w:highlight w:val="none"/>
        </w:rPr>
        <w:t>生</w:t>
      </w:r>
      <w:r>
        <w:rPr>
          <w:rFonts w:hint="eastAsia" w:ascii="宋体" w:eastAsia="宋体" w:cs="宋体"/>
          <w:color w:val="auto"/>
          <w:highlight w:val="none"/>
        </w:rPr>
        <w:t>的</w:t>
      </w:r>
      <w:r>
        <w:rPr>
          <w:rFonts w:hint="eastAsia" w:ascii="宋体" w:eastAsia="宋体" w:cs="宋体"/>
          <w:color w:val="auto"/>
          <w:spacing w:val="-2"/>
          <w:highlight w:val="none"/>
        </w:rPr>
        <w:t>费</w:t>
      </w:r>
      <w:r>
        <w:rPr>
          <w:rFonts w:hint="eastAsia" w:ascii="宋体" w:eastAsia="宋体" w:cs="宋体"/>
          <w:color w:val="auto"/>
          <w:highlight w:val="none"/>
        </w:rPr>
        <w:t>用</w:t>
      </w:r>
      <w:r>
        <w:rPr>
          <w:rFonts w:hint="eastAsia" w:ascii="宋体" w:eastAsia="宋体" w:cs="宋体"/>
          <w:color w:val="auto"/>
          <w:spacing w:val="-2"/>
          <w:highlight w:val="none"/>
        </w:rPr>
        <w:t>自</w:t>
      </w:r>
      <w:r>
        <w:rPr>
          <w:rFonts w:hint="eastAsia" w:ascii="宋体" w:eastAsia="宋体" w:cs="宋体"/>
          <w:color w:val="auto"/>
          <w:highlight w:val="none"/>
        </w:rPr>
        <w:t>理。</w:t>
      </w:r>
    </w:p>
    <w:p>
      <w:pPr>
        <w:spacing w:line="360" w:lineRule="auto"/>
        <w:ind w:left="237" w:right="-20"/>
        <w:jc w:val="left"/>
        <w:rPr>
          <w:rFonts w:ascii="宋体" w:eastAsia="宋体" w:cs="宋体"/>
          <w:b/>
          <w:bCs/>
          <w:color w:val="auto"/>
          <w:sz w:val="28"/>
          <w:highlight w:val="none"/>
        </w:rPr>
      </w:pPr>
      <w:r>
        <w:rPr>
          <w:rFonts w:hint="eastAsia" w:ascii="宋体" w:eastAsia="宋体" w:cs="宋体"/>
          <w:b/>
          <w:bCs/>
          <w:color w:val="auto"/>
          <w:spacing w:val="1"/>
          <w:sz w:val="28"/>
          <w:highlight w:val="none"/>
        </w:rPr>
        <w:t>1</w:t>
      </w:r>
      <w:r>
        <w:rPr>
          <w:rFonts w:hint="eastAsia" w:ascii="宋体" w:eastAsia="宋体" w:cs="宋体"/>
          <w:b/>
          <w:bCs/>
          <w:color w:val="auto"/>
          <w:sz w:val="28"/>
          <w:highlight w:val="none"/>
        </w:rPr>
        <w:t>.6保密</w:t>
      </w:r>
    </w:p>
    <w:p>
      <w:pPr>
        <w:spacing w:line="360" w:lineRule="auto"/>
        <w:ind w:left="100" w:right="43" w:firstLine="420"/>
        <w:jc w:val="left"/>
        <w:rPr>
          <w:rFonts w:ascii="宋体" w:eastAsia="宋体" w:cs="宋体"/>
          <w:color w:val="auto"/>
          <w:highlight w:val="none"/>
        </w:rPr>
      </w:pPr>
      <w:r>
        <w:rPr>
          <w:rFonts w:hint="eastAsia" w:ascii="宋体" w:eastAsia="宋体" w:cs="宋体"/>
          <w:color w:val="auto"/>
          <w:highlight w:val="none"/>
        </w:rPr>
        <w:t>参与招标投标活动</w:t>
      </w:r>
      <w:r>
        <w:rPr>
          <w:rFonts w:hint="eastAsia" w:ascii="宋体" w:eastAsia="宋体" w:cs="宋体"/>
          <w:color w:val="auto"/>
          <w:spacing w:val="-2"/>
          <w:highlight w:val="none"/>
        </w:rPr>
        <w:t>的</w:t>
      </w:r>
      <w:r>
        <w:rPr>
          <w:rFonts w:hint="eastAsia" w:ascii="宋体" w:eastAsia="宋体" w:cs="宋体"/>
          <w:color w:val="auto"/>
          <w:highlight w:val="none"/>
        </w:rPr>
        <w:t>各</w:t>
      </w:r>
      <w:r>
        <w:rPr>
          <w:rFonts w:hint="eastAsia" w:ascii="宋体" w:eastAsia="宋体" w:cs="宋体"/>
          <w:color w:val="auto"/>
          <w:spacing w:val="-2"/>
          <w:highlight w:val="none"/>
        </w:rPr>
        <w:t>方</w:t>
      </w:r>
      <w:r>
        <w:rPr>
          <w:rFonts w:hint="eastAsia" w:ascii="宋体" w:eastAsia="宋体" w:cs="宋体"/>
          <w:color w:val="auto"/>
          <w:highlight w:val="none"/>
        </w:rPr>
        <w:t>应对招标文件和投</w:t>
      </w:r>
      <w:r>
        <w:rPr>
          <w:rFonts w:hint="eastAsia" w:ascii="宋体" w:eastAsia="宋体" w:cs="宋体"/>
          <w:color w:val="auto"/>
          <w:spacing w:val="-2"/>
          <w:highlight w:val="none"/>
        </w:rPr>
        <w:t>标</w:t>
      </w:r>
      <w:r>
        <w:rPr>
          <w:rFonts w:hint="eastAsia" w:ascii="宋体" w:eastAsia="宋体" w:cs="宋体"/>
          <w:color w:val="auto"/>
          <w:highlight w:val="none"/>
        </w:rPr>
        <w:t>文</w:t>
      </w:r>
      <w:r>
        <w:rPr>
          <w:rFonts w:hint="eastAsia" w:ascii="宋体" w:eastAsia="宋体" w:cs="宋体"/>
          <w:color w:val="auto"/>
          <w:spacing w:val="-2"/>
          <w:highlight w:val="none"/>
        </w:rPr>
        <w:t>件</w:t>
      </w:r>
      <w:r>
        <w:rPr>
          <w:rFonts w:hint="eastAsia" w:ascii="宋体" w:eastAsia="宋体" w:cs="宋体"/>
          <w:color w:val="auto"/>
          <w:highlight w:val="none"/>
        </w:rPr>
        <w:t>中的商业和技术等</w:t>
      </w:r>
      <w:r>
        <w:rPr>
          <w:rFonts w:hint="eastAsia" w:ascii="宋体" w:eastAsia="宋体" w:cs="宋体"/>
          <w:color w:val="auto"/>
          <w:spacing w:val="-2"/>
          <w:highlight w:val="none"/>
        </w:rPr>
        <w:t>秘</w:t>
      </w:r>
      <w:r>
        <w:rPr>
          <w:rFonts w:hint="eastAsia" w:ascii="宋体" w:eastAsia="宋体" w:cs="宋体"/>
          <w:color w:val="auto"/>
          <w:highlight w:val="none"/>
        </w:rPr>
        <w:t>密</w:t>
      </w:r>
      <w:r>
        <w:rPr>
          <w:rFonts w:hint="eastAsia" w:ascii="宋体" w:eastAsia="宋体" w:cs="宋体"/>
          <w:color w:val="auto"/>
          <w:spacing w:val="-2"/>
          <w:highlight w:val="none"/>
        </w:rPr>
        <w:t>保</w:t>
      </w:r>
      <w:r>
        <w:rPr>
          <w:rFonts w:hint="eastAsia" w:ascii="宋体" w:eastAsia="宋体" w:cs="宋体"/>
          <w:color w:val="auto"/>
          <w:highlight w:val="none"/>
        </w:rPr>
        <w:t>密，否则应承 担相</w:t>
      </w:r>
      <w:r>
        <w:rPr>
          <w:rFonts w:hint="eastAsia" w:ascii="宋体" w:eastAsia="宋体" w:cs="宋体"/>
          <w:color w:val="auto"/>
          <w:spacing w:val="-2"/>
          <w:highlight w:val="none"/>
        </w:rPr>
        <w:t>应</w:t>
      </w:r>
      <w:r>
        <w:rPr>
          <w:rFonts w:hint="eastAsia" w:ascii="宋体" w:eastAsia="宋体" w:cs="宋体"/>
          <w:color w:val="auto"/>
          <w:highlight w:val="none"/>
        </w:rPr>
        <w:t>的</w:t>
      </w:r>
      <w:r>
        <w:rPr>
          <w:rFonts w:hint="eastAsia" w:ascii="宋体" w:eastAsia="宋体" w:cs="宋体"/>
          <w:color w:val="auto"/>
          <w:spacing w:val="-2"/>
          <w:highlight w:val="none"/>
        </w:rPr>
        <w:t>法</w:t>
      </w:r>
      <w:r>
        <w:rPr>
          <w:rFonts w:hint="eastAsia" w:ascii="宋体" w:eastAsia="宋体" w:cs="宋体"/>
          <w:color w:val="auto"/>
          <w:highlight w:val="none"/>
        </w:rPr>
        <w:t>律</w:t>
      </w:r>
      <w:r>
        <w:rPr>
          <w:rFonts w:hint="eastAsia" w:ascii="宋体" w:eastAsia="宋体" w:cs="宋体"/>
          <w:color w:val="auto"/>
          <w:spacing w:val="-2"/>
          <w:highlight w:val="none"/>
        </w:rPr>
        <w:t>责</w:t>
      </w:r>
      <w:r>
        <w:rPr>
          <w:rFonts w:hint="eastAsia" w:ascii="宋体" w:eastAsia="宋体" w:cs="宋体"/>
          <w:color w:val="auto"/>
          <w:highlight w:val="none"/>
        </w:rPr>
        <w:t>任。</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1.7 语言文字</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招标投标文件使用的语言文字为中文。专用术语使用外文的，应附有中文注释。</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1.8 计量单位</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所有计量均采用中华人民共和国法定计量单位。</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1.9 踏勘现场</w:t>
      </w:r>
    </w:p>
    <w:p>
      <w:pPr>
        <w:spacing w:line="360" w:lineRule="auto"/>
        <w:ind w:left="100" w:right="42" w:firstLine="420"/>
        <w:jc w:val="left"/>
        <w:rPr>
          <w:rFonts w:ascii="宋体" w:eastAsia="宋体" w:cs="宋体"/>
          <w:color w:val="auto"/>
          <w:kern w:val="21"/>
          <w:highlight w:val="none"/>
        </w:rPr>
      </w:pPr>
      <w:r>
        <w:rPr>
          <w:rFonts w:hint="eastAsia" w:ascii="宋体" w:eastAsia="宋体" w:cs="宋体"/>
          <w:color w:val="auto"/>
          <w:kern w:val="21"/>
          <w:highlight w:val="none"/>
        </w:rPr>
        <w:t>1.9.1 投标人须知前附表规定组织踏勘现场的，招标人按投标人须知前附表规定的时间、地 点组织投标人踏勘项目现场。部分投标人未按时参加踏勘现场的，不影响踏勘现场的正常进行。</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1.9.2 投标人踏勘现场发生的费用自理。</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1.9.3 除招标人的原因外，投标人自行负责在踏勘现场中所发生的人员伤亡和财产损失。</w:t>
      </w:r>
    </w:p>
    <w:p>
      <w:pPr>
        <w:spacing w:line="360" w:lineRule="auto"/>
        <w:ind w:left="100" w:right="39" w:firstLine="420"/>
        <w:jc w:val="left"/>
        <w:rPr>
          <w:rFonts w:ascii="宋体" w:eastAsia="宋体" w:cs="宋体"/>
          <w:color w:val="auto"/>
          <w:kern w:val="21"/>
          <w:highlight w:val="none"/>
        </w:rPr>
      </w:pPr>
      <w:r>
        <w:rPr>
          <w:rFonts w:hint="eastAsia" w:ascii="宋体" w:eastAsia="宋体" w:cs="宋体"/>
          <w:color w:val="auto"/>
          <w:kern w:val="21"/>
          <w:highlight w:val="none"/>
        </w:rPr>
        <w:t>1.9.4 招标人在踏勘现场中介绍的工程场地和相关的周边环境情况，供投标人在编制投标文 件时参考，招标人不对投标人据此作出的判断和决策负责。</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1.10 投标预备会</w:t>
      </w:r>
    </w:p>
    <w:p>
      <w:pPr>
        <w:spacing w:line="360" w:lineRule="auto"/>
        <w:ind w:left="100" w:right="43" w:firstLine="420"/>
        <w:jc w:val="left"/>
        <w:rPr>
          <w:rFonts w:ascii="宋体" w:eastAsia="宋体" w:cs="宋体"/>
          <w:color w:val="auto"/>
          <w:kern w:val="21"/>
          <w:highlight w:val="none"/>
        </w:rPr>
      </w:pPr>
      <w:r>
        <w:rPr>
          <w:rFonts w:hint="eastAsia" w:ascii="宋体" w:eastAsia="宋体" w:cs="宋体"/>
          <w:color w:val="auto"/>
          <w:kern w:val="21"/>
          <w:highlight w:val="none"/>
        </w:rPr>
        <w:t>1.10.1  投标人须知前附表规定召开投标预备会的，招标人按投标人须知前附表规定的时间 和地点召开投标预备会，澄清投标人提出的问题。</w:t>
      </w:r>
    </w:p>
    <w:p>
      <w:pPr>
        <w:spacing w:line="360" w:lineRule="auto"/>
        <w:ind w:left="100" w:right="42" w:firstLine="420"/>
        <w:jc w:val="left"/>
        <w:rPr>
          <w:rFonts w:ascii="宋体" w:eastAsia="宋体" w:cs="宋体"/>
          <w:color w:val="auto"/>
          <w:kern w:val="21"/>
          <w:highlight w:val="none"/>
        </w:rPr>
      </w:pPr>
      <w:r>
        <w:rPr>
          <w:rFonts w:hint="eastAsia" w:ascii="宋体" w:eastAsia="宋体" w:cs="宋体"/>
          <w:color w:val="auto"/>
          <w:kern w:val="21"/>
          <w:highlight w:val="none"/>
        </w:rPr>
        <w:t>1.10.2  投标人应按投标人须知前附表规定的时间和形式将提出的问题送达招标人，以便招 标人在会议期间澄清。</w:t>
      </w:r>
    </w:p>
    <w:p>
      <w:pPr>
        <w:spacing w:line="360" w:lineRule="auto"/>
        <w:ind w:left="100" w:right="43" w:firstLine="420"/>
        <w:jc w:val="left"/>
        <w:rPr>
          <w:rFonts w:ascii="宋体" w:eastAsia="宋体" w:cs="宋体"/>
          <w:color w:val="auto"/>
          <w:kern w:val="21"/>
          <w:highlight w:val="none"/>
        </w:rPr>
      </w:pPr>
      <w:r>
        <w:rPr>
          <w:rFonts w:hint="eastAsia" w:ascii="宋体" w:eastAsia="宋体" w:cs="宋体"/>
          <w:color w:val="auto"/>
          <w:kern w:val="21"/>
          <w:highlight w:val="none"/>
        </w:rPr>
        <w:t>1.10.3  投标预备会后，招标人将对投标人所提问题的澄清，以投标人须知前附表规定的形 式通知所有购买招标文件的投标人。该澄清内容为招标文件的组成部分。</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1.11 分包</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本项目严禁分包。</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1.12 响应和偏差</w:t>
      </w:r>
    </w:p>
    <w:p>
      <w:pPr>
        <w:spacing w:line="360" w:lineRule="auto"/>
        <w:ind w:left="100" w:right="34" w:firstLine="420"/>
        <w:jc w:val="left"/>
        <w:rPr>
          <w:rFonts w:ascii="宋体" w:eastAsia="宋体" w:cs="宋体"/>
          <w:color w:val="auto"/>
          <w:kern w:val="21"/>
          <w:highlight w:val="none"/>
        </w:rPr>
      </w:pPr>
      <w:r>
        <w:rPr>
          <w:rFonts w:hint="eastAsia" w:ascii="宋体" w:eastAsia="宋体" w:cs="宋体"/>
          <w:color w:val="auto"/>
          <w:kern w:val="21"/>
          <w:highlight w:val="none"/>
        </w:rPr>
        <w:t>1.12.1 投标文件应当对招标文件的实质性要求和条件作出满足性或更有利于招标人的响应， 否则，投标人的投标将被否决。实质性要求和条件见投标人须知前附表。</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1.12.2 投标人应根据招标文件的要求提供投标施工图审查技术方案等内容以对招标文件作出响应。</w:t>
      </w:r>
    </w:p>
    <w:p>
      <w:pPr>
        <w:spacing w:line="360" w:lineRule="auto"/>
        <w:ind w:left="100" w:right="145" w:firstLine="434"/>
        <w:rPr>
          <w:rFonts w:ascii="宋体" w:eastAsia="宋体" w:cs="宋体"/>
          <w:color w:val="auto"/>
          <w:kern w:val="21"/>
          <w:highlight w:val="none"/>
        </w:rPr>
      </w:pPr>
      <w:r>
        <w:rPr>
          <w:rFonts w:hint="eastAsia" w:ascii="宋体" w:eastAsia="宋体" w:cs="宋体"/>
          <w:color w:val="auto"/>
          <w:kern w:val="21"/>
          <w:highlight w:val="none"/>
        </w:rPr>
        <w:t>1.12.3 投标人须知前附表允许投标文件偏离招标文件某些要求的，偏差应当符合招标文件 规定的偏差范围和幅度。</w:t>
      </w:r>
    </w:p>
    <w:p>
      <w:pPr>
        <w:spacing w:line="360" w:lineRule="auto"/>
        <w:ind w:left="100" w:right="-20"/>
        <w:jc w:val="left"/>
        <w:outlineLvl w:val="2"/>
        <w:rPr>
          <w:rFonts w:ascii="宋体" w:eastAsia="宋体" w:cs="黑体"/>
          <w:b/>
          <w:color w:val="auto"/>
          <w:kern w:val="21"/>
          <w:sz w:val="30"/>
          <w:szCs w:val="30"/>
          <w:highlight w:val="none"/>
        </w:rPr>
      </w:pPr>
      <w:bookmarkStart w:id="41" w:name="_Toc11842"/>
      <w:bookmarkStart w:id="42" w:name="_Toc2509"/>
      <w:bookmarkStart w:id="43" w:name="_Toc15215"/>
      <w:bookmarkStart w:id="44" w:name="_Toc24453"/>
      <w:bookmarkStart w:id="45" w:name="_Toc78382560"/>
      <w:bookmarkStart w:id="46" w:name="_Toc11074"/>
      <w:bookmarkStart w:id="47" w:name="_Toc16547"/>
      <w:bookmarkStart w:id="48" w:name="_Toc25933"/>
      <w:bookmarkStart w:id="49" w:name="_Toc31531"/>
      <w:bookmarkStart w:id="50" w:name="_Toc16934"/>
      <w:bookmarkStart w:id="51" w:name="_Toc32161"/>
      <w:r>
        <w:rPr>
          <w:rFonts w:hint="eastAsia" w:ascii="宋体" w:eastAsia="宋体" w:cs="黑体"/>
          <w:b/>
          <w:color w:val="auto"/>
          <w:kern w:val="21"/>
          <w:sz w:val="30"/>
          <w:szCs w:val="30"/>
          <w:highlight w:val="none"/>
        </w:rPr>
        <w:t>2. 招标文件</w:t>
      </w:r>
      <w:bookmarkEnd w:id="41"/>
      <w:bookmarkEnd w:id="42"/>
      <w:bookmarkEnd w:id="43"/>
      <w:bookmarkEnd w:id="44"/>
      <w:bookmarkEnd w:id="45"/>
      <w:bookmarkEnd w:id="46"/>
      <w:bookmarkEnd w:id="47"/>
      <w:bookmarkEnd w:id="48"/>
      <w:bookmarkEnd w:id="49"/>
      <w:bookmarkEnd w:id="50"/>
      <w:bookmarkEnd w:id="51"/>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2.1 招标文件的组成</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本招标文件包括：</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（1）招标公告；</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（2）投标人须知；</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（3）评标办法；</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（4）合同条款及格式；</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（5）委托人要求；</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（6）投标文件格式；</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（7）投标人须知前附表规定的其他资料。</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根据本章第 1.10 款、第 2.2 款和第 2.3 款对招标文件所作的澄清、修改，构成招标文件的 组成部分。</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2.2 招标文件的澄清</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2.2.1 投标人应仔细阅读和检查招标文件的全部内容。如发现缺页或附件不全，应及时向招 标人提出，以便补齐。如有疑问，应按投标人须知前附表规定的时间和形式将提出的问题送达 招标人，要求招标人对招标文件予以澄清。</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2.2.2 招标文件的澄清以投标人须知前附表规定的形式发给所有购买招标文件的投标人，但 不指明澄清问题的来源。澄清发出的时间距本章第 4.2.1 项规定的投标截止时间不足 15 日的，并且澄清内容可能影响投标文件编制的，将相应延长投标截止时间。</w:t>
      </w:r>
    </w:p>
    <w:p>
      <w:pPr>
        <w:spacing w:line="360" w:lineRule="auto"/>
        <w:ind w:left="100" w:right="44" w:firstLine="420"/>
        <w:rPr>
          <w:rFonts w:ascii="宋体" w:eastAsia="宋体" w:cs="宋体"/>
          <w:color w:val="auto"/>
          <w:kern w:val="21"/>
          <w:highlight w:val="none"/>
        </w:rPr>
      </w:pPr>
      <w:r>
        <w:rPr>
          <w:rFonts w:hint="eastAsia" w:ascii="宋体" w:eastAsia="宋体" w:cs="宋体"/>
          <w:color w:val="auto"/>
          <w:kern w:val="21"/>
          <w:highlight w:val="none"/>
        </w:rPr>
        <w:t>2.2.3 投标人在收到澄清后，应按投标人须知前附表规定的时间和形式通知招标人，确认已 收到该澄清。</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2.2.4 除非招标人认为确有必要答复，否则，招标人有权拒绝回复投标人在本章第 2.2.1 项 规定的时间后的任何澄清要求。</w:t>
      </w:r>
    </w:p>
    <w:p>
      <w:pPr>
        <w:spacing w:line="360" w:lineRule="auto"/>
        <w:ind w:left="218" w:leftChars="104" w:right="39"/>
        <w:rPr>
          <w:rFonts w:ascii="宋体" w:eastAsia="宋体" w:cs="宋体"/>
          <w:b/>
          <w:bCs/>
          <w:color w:val="auto"/>
          <w:kern w:val="21"/>
          <w:sz w:val="28"/>
          <w:highlight w:val="none"/>
        </w:rPr>
      </w:pPr>
      <w:r>
        <w:rPr>
          <w:rFonts w:hint="eastAsia" w:ascii="宋体" w:eastAsia="宋体" w:cs="宋体"/>
          <w:b/>
          <w:bCs/>
          <w:color w:val="auto"/>
          <w:kern w:val="21"/>
          <w:sz w:val="28"/>
          <w:highlight w:val="none"/>
        </w:rPr>
        <w:t>2.3 招标文件的修改</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2.3.1 招标人以投标人须知前附表规定的形式修改招标文件，并通知所有已购买招标文件的 投标人。修改招标文件的时间距本章第 4.2.1 项规定的投标截止时间不足 15 日的，并且修改内 容可能影响投标文件编制的，将相应延长投标截止时间。</w:t>
      </w:r>
    </w:p>
    <w:p>
      <w:pPr>
        <w:spacing w:line="360"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2.3.2 投标人收到修改内容后，应按投标人须知前附表规定的时间和形式通知招标人，确认 已收到该修改。</w:t>
      </w:r>
    </w:p>
    <w:p>
      <w:pPr>
        <w:spacing w:line="360" w:lineRule="auto"/>
        <w:ind w:right="4344" w:firstLine="200" w:firstLineChars="71"/>
        <w:rPr>
          <w:rFonts w:ascii="宋体" w:eastAsia="宋体" w:cs="宋体"/>
          <w:b/>
          <w:bCs/>
          <w:color w:val="auto"/>
          <w:kern w:val="21"/>
          <w:sz w:val="28"/>
          <w:highlight w:val="none"/>
        </w:rPr>
      </w:pPr>
      <w:r>
        <w:rPr>
          <w:rFonts w:hint="eastAsia" w:ascii="宋体" w:eastAsia="宋体" w:cs="宋体"/>
          <w:b/>
          <w:bCs/>
          <w:color w:val="auto"/>
          <w:kern w:val="21"/>
          <w:sz w:val="28"/>
          <w:highlight w:val="none"/>
        </w:rPr>
        <w:t>2.4 招标文件的异议</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投标人或者其他利害关系人对招标文件有异议的，应当在投标截止时间 10 日前以书面形式 提出。招标人将在收到异议之日起 3 日内作出答复；作出答复前，将暂停招标投标活动。</w:t>
      </w:r>
    </w:p>
    <w:p>
      <w:pPr>
        <w:spacing w:line="360" w:lineRule="auto"/>
        <w:ind w:left="100" w:right="-20"/>
        <w:jc w:val="left"/>
        <w:outlineLvl w:val="2"/>
        <w:rPr>
          <w:rFonts w:ascii="宋体" w:eastAsia="宋体" w:cs="黑体"/>
          <w:b/>
          <w:color w:val="auto"/>
          <w:kern w:val="21"/>
          <w:sz w:val="30"/>
          <w:szCs w:val="30"/>
          <w:highlight w:val="none"/>
        </w:rPr>
      </w:pPr>
      <w:bookmarkStart w:id="52" w:name="_Toc14674"/>
      <w:bookmarkStart w:id="53" w:name="_Toc78382561"/>
      <w:bookmarkStart w:id="54" w:name="_Toc27338"/>
      <w:bookmarkStart w:id="55" w:name="_Toc21687"/>
      <w:bookmarkStart w:id="56" w:name="_Toc9161"/>
      <w:bookmarkStart w:id="57" w:name="_Toc14593"/>
      <w:bookmarkStart w:id="58" w:name="_Toc9833"/>
      <w:bookmarkStart w:id="59" w:name="_Toc32384"/>
      <w:bookmarkStart w:id="60" w:name="_Toc29041"/>
      <w:bookmarkStart w:id="61" w:name="_Toc30697"/>
      <w:bookmarkStart w:id="62" w:name="_Toc17465"/>
      <w:r>
        <w:rPr>
          <w:rFonts w:hint="eastAsia" w:ascii="宋体" w:eastAsia="宋体" w:cs="黑体"/>
          <w:b/>
          <w:color w:val="auto"/>
          <w:kern w:val="21"/>
          <w:sz w:val="30"/>
          <w:szCs w:val="30"/>
          <w:highlight w:val="none"/>
        </w:rPr>
        <w:t>3. 投标文件</w:t>
      </w:r>
      <w:bookmarkEnd w:id="52"/>
      <w:bookmarkEnd w:id="53"/>
      <w:bookmarkEnd w:id="54"/>
      <w:bookmarkEnd w:id="55"/>
      <w:bookmarkEnd w:id="56"/>
      <w:bookmarkEnd w:id="57"/>
      <w:bookmarkEnd w:id="58"/>
      <w:bookmarkEnd w:id="59"/>
      <w:bookmarkEnd w:id="60"/>
      <w:bookmarkEnd w:id="61"/>
      <w:bookmarkEnd w:id="62"/>
    </w:p>
    <w:p>
      <w:pPr>
        <w:spacing w:line="360" w:lineRule="auto"/>
        <w:ind w:left="195" w:right="4911" w:firstLine="22" w:firstLineChars="8"/>
        <w:rPr>
          <w:rFonts w:ascii="宋体" w:eastAsia="宋体" w:cs="宋体"/>
          <w:b/>
          <w:bCs/>
          <w:color w:val="auto"/>
          <w:kern w:val="21"/>
          <w:sz w:val="28"/>
          <w:highlight w:val="none"/>
        </w:rPr>
      </w:pPr>
      <w:r>
        <w:rPr>
          <w:rFonts w:hint="eastAsia" w:ascii="宋体" w:eastAsia="宋体" w:cs="宋体"/>
          <w:b/>
          <w:bCs/>
          <w:color w:val="auto"/>
          <w:kern w:val="21"/>
          <w:sz w:val="28"/>
          <w:highlight w:val="none"/>
        </w:rPr>
        <w:t>3.1 投标文件的组成</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3.1.1投标文件应包括下列各项：</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一、目录</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二、资格审查文件主要包括的内容：</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（1）法定代表人证明书、法定代表人授权委托书（按投标文件格式二）。</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（2）持有有效的工商行政管理部门核发的法人营业执照或各级登记管理机关颁发的事业单位法定代表人证书。</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（3）投标人具有建设行政主管部门颁发的施工图设计文件审查机构一类资质证书[业务范围须含市政基础设施（</w:t>
      </w:r>
      <w:r>
        <w:rPr>
          <w:rFonts w:hint="eastAsia" w:ascii="宋体" w:eastAsia="宋体" w:cs="宋体"/>
          <w:color w:val="auto"/>
          <w:kern w:val="21"/>
          <w:highlight w:val="none"/>
          <w:lang w:val="en-US" w:eastAsia="zh-CN"/>
        </w:rPr>
        <w:t>给水、</w:t>
      </w:r>
      <w:r>
        <w:rPr>
          <w:rFonts w:hint="eastAsia" w:ascii="宋体" w:eastAsia="宋体" w:cs="宋体"/>
          <w:color w:val="auto"/>
          <w:kern w:val="21"/>
          <w:highlight w:val="none"/>
        </w:rPr>
        <w:t>排水）工程]，且证书在有效期内。</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（4）拟派的项目负责人的职称证书（满足招标公告要求）。</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（5）已按招标文件格式要求签署盖章《投标人声明》。</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6）投标人未被纳入国家、市、区的失信联合惩戒名单且未被限制参加建设工程投标的（具体名单以递交投标文件截止时间“信用广州”https://credit1.gz.gov.cn/sgs/sgsXkNew公布的“失信联合惩戒黑名单”为准。不包含限制参加财政投资工程或政府投资工程的投标）。注：因联合惩戒措施表述存在细微差别，惩戒措施与上文不完全一致但措施内容相同的，也应属于被限制参与相关项目的投标。（按投标人提供的《投标人声明》第六条内容进行评审）。</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（7）投标人认为应该提供的其他资料。</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三、商务技术投标文件，应包括但不限于下列各项内容：</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（1）投标函及投标函附录（按投标文件格式一）</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2）投标保证金（如采用广州公共资源交易平台方式提交投标保证金的，其缴纳情况以广州公共资源交易平台数据库记录的信息为准：如采用投标保函或投标保证保险方式提交的，提供投标保函或投标保证保险扫描件；</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（3）施工图审查单位组织机构表（按投标文件格式五）；</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（4）工程业绩表（按投标文件格式六）（附证明资料）；</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（5）拟在本工程任职的主要人员一览表（按投标文件格式七）；</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（6）主要技术人员简历表（按投标文件格式八）；</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（7）施工图审查技术方案（根据招标人提供的资料，以及现行的国家和地方的规范和文件结合《综合评审评分表》，编制有针对性的施工图审查技术方案）；</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（8）其它资料（投标人须知前附表规定的其他资料，投标人认为有必要提交的其他资料）。</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注：1.以上所有资料必须实事求是、真实准确，不能存在虚假材料，必要时需提供原件核对，一经发现或被投诉，经确认证实后，招标人将取消其投标资格。</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2.资格审查文件中，须由投标人的法定代表人或法定代表人授权委托人签署的地方必须由法定代表人或授权委托人签字或盖章。</w:t>
      </w:r>
    </w:p>
    <w:p>
      <w:pPr>
        <w:widowControl/>
        <w:spacing w:line="360" w:lineRule="auto"/>
        <w:ind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3.投标人在评标过程中作出的符合法律法规和招标文件规定的澄清确认，构成投标文件的组成部分。</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3.2 投标报价</w:t>
      </w:r>
    </w:p>
    <w:p>
      <w:pPr>
        <w:spacing w:line="360" w:lineRule="auto"/>
        <w:ind w:left="238" w:right="-23"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3.2.1 投标报价应包括国家规定的增值税税金，除投标人须知前附表另有规定外，增值税税金按一般计税方法计算。投标人应按第六章“投标文件格式”的要求在投标函中进行报价。</w:t>
      </w:r>
    </w:p>
    <w:p>
      <w:pPr>
        <w:spacing w:line="360" w:lineRule="auto"/>
        <w:ind w:left="238" w:right="-23"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3.2.2 投标人应充分了解该项目的总体情况以及影响投标报价的其他要素。</w:t>
      </w:r>
    </w:p>
    <w:p>
      <w:pPr>
        <w:spacing w:line="360" w:lineRule="auto"/>
        <w:ind w:left="238" w:right="-23"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3.2.3 本项目的报价方式见投标人须知前附表。投标人在投标截止时间前修改投标函中的投标报价总额。此修改须符合本章第 4.3 款的有关要求。</w:t>
      </w:r>
    </w:p>
    <w:p>
      <w:pPr>
        <w:spacing w:line="360" w:lineRule="auto"/>
        <w:ind w:left="238" w:right="-23"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3.2.4 招标人设有最高投标限价的，投标人的投标报价不得超过最高投标限价，最高投标限价在投标人须知前附表中载明。</w:t>
      </w:r>
    </w:p>
    <w:p>
      <w:pPr>
        <w:spacing w:line="360" w:lineRule="auto"/>
        <w:ind w:left="238" w:right="-23" w:firstLine="420" w:firstLineChars="200"/>
        <w:jc w:val="left"/>
        <w:rPr>
          <w:rFonts w:ascii="宋体" w:eastAsia="宋体" w:cs="宋体"/>
          <w:color w:val="auto"/>
          <w:kern w:val="21"/>
          <w:highlight w:val="none"/>
        </w:rPr>
      </w:pPr>
      <w:r>
        <w:rPr>
          <w:rFonts w:hint="eastAsia" w:ascii="宋体" w:eastAsia="宋体" w:cs="宋体"/>
          <w:color w:val="auto"/>
          <w:kern w:val="21"/>
          <w:highlight w:val="none"/>
        </w:rPr>
        <w:t>3.2.5 投标报价的其他要求见投标人须知前附表。</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3.3 投标有效期</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3.3.1 除投标人须知前附表另有规定外，投标有效期为 90 天。</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3.3.2 在投标有效期内，投标人撤销投标文件的，应承担招标文件和法律规定的责任。</w:t>
      </w:r>
    </w:p>
    <w:p>
      <w:pPr>
        <w:spacing w:line="360" w:lineRule="auto"/>
        <w:ind w:left="100" w:right="39" w:firstLine="420"/>
        <w:rPr>
          <w:rFonts w:ascii="宋体" w:eastAsia="宋体" w:cs="宋体"/>
          <w:color w:val="auto"/>
          <w:kern w:val="21"/>
          <w:sz w:val="12"/>
          <w:highlight w:val="none"/>
        </w:rPr>
      </w:pPr>
      <w:r>
        <w:rPr>
          <w:rFonts w:hint="eastAsia" w:ascii="宋体" w:eastAsia="宋体" w:cs="宋体"/>
          <w:color w:val="auto"/>
          <w:kern w:val="21"/>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3.4 投标保证金</w:t>
      </w:r>
    </w:p>
    <w:p>
      <w:pPr>
        <w:spacing w:line="360" w:lineRule="auto"/>
        <w:ind w:left="100" w:right="41" w:firstLine="420"/>
        <w:rPr>
          <w:rFonts w:ascii="宋体" w:eastAsia="宋体" w:cs="宋体"/>
          <w:color w:val="auto"/>
          <w:kern w:val="21"/>
          <w:highlight w:val="none"/>
        </w:rPr>
      </w:pPr>
      <w:r>
        <w:rPr>
          <w:rFonts w:hint="eastAsia" w:ascii="宋体" w:eastAsia="宋体" w:cs="宋体"/>
          <w:color w:val="auto"/>
          <w:kern w:val="21"/>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3.4.2 投标人不按本章第 3.4.1 项要求提交投标保证金的，评标委员会将否决其投标。</w:t>
      </w:r>
    </w:p>
    <w:p>
      <w:pPr>
        <w:spacing w:line="360" w:lineRule="auto"/>
        <w:ind w:left="100" w:right="119" w:firstLine="420"/>
        <w:rPr>
          <w:rFonts w:ascii="宋体" w:eastAsia="宋体" w:cs="宋体"/>
          <w:color w:val="auto"/>
          <w:kern w:val="21"/>
          <w:highlight w:val="none"/>
        </w:rPr>
      </w:pPr>
      <w:r>
        <w:rPr>
          <w:rFonts w:hint="eastAsia" w:ascii="宋体" w:eastAsia="宋体" w:cs="宋体"/>
          <w:color w:val="auto"/>
          <w:kern w:val="21"/>
          <w:highlight w:val="none"/>
        </w:rPr>
        <w:t>3.4.3 招标人最迟将在与中标人签订合同后 5 日内，向未中标的投标人和中标人退还投标保 证金。投标保证金以现金或者支票形式递交的，还应退还银行同期存款利息。</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3.4.4 有下列情形之一的，投标保证金将不予退还：</w:t>
      </w:r>
    </w:p>
    <w:p>
      <w:pPr>
        <w:spacing w:line="360" w:lineRule="auto"/>
        <w:ind w:left="415" w:right="-20"/>
        <w:jc w:val="left"/>
        <w:rPr>
          <w:rFonts w:ascii="宋体" w:eastAsia="宋体" w:cs="宋体"/>
          <w:color w:val="auto"/>
          <w:kern w:val="21"/>
          <w:highlight w:val="none"/>
        </w:rPr>
      </w:pPr>
      <w:r>
        <w:rPr>
          <w:rFonts w:hint="eastAsia" w:ascii="宋体" w:eastAsia="宋体" w:cs="宋体"/>
          <w:color w:val="auto"/>
          <w:kern w:val="21"/>
          <w:highlight w:val="none"/>
        </w:rPr>
        <w:t>（1）投标人在投标有效期内撤销投标文件；</w:t>
      </w:r>
    </w:p>
    <w:p>
      <w:pPr>
        <w:spacing w:line="360" w:lineRule="auto"/>
        <w:ind w:left="100" w:right="123" w:firstLine="314"/>
        <w:jc w:val="left"/>
        <w:rPr>
          <w:rFonts w:ascii="宋体" w:eastAsia="宋体" w:cs="宋体"/>
          <w:color w:val="auto"/>
          <w:kern w:val="21"/>
          <w:highlight w:val="none"/>
        </w:rPr>
      </w:pPr>
      <w:r>
        <w:rPr>
          <w:rFonts w:hint="eastAsia" w:ascii="宋体" w:eastAsia="宋体" w:cs="宋体"/>
          <w:color w:val="auto"/>
          <w:kern w:val="21"/>
          <w:highlight w:val="none"/>
        </w:rPr>
        <w:t>（2）中标人在收到中标通知书后，无正当理由不与招标人订立合同，在签订合同时向招标人提出附加条件，或者不按照招标文件要求提交履约保证金；</w:t>
      </w:r>
    </w:p>
    <w:p>
      <w:pPr>
        <w:spacing w:line="360" w:lineRule="auto"/>
        <w:ind w:left="415" w:right="-20"/>
        <w:jc w:val="left"/>
        <w:rPr>
          <w:rFonts w:ascii="宋体" w:eastAsia="宋体" w:cs="宋体"/>
          <w:color w:val="auto"/>
          <w:kern w:val="21"/>
          <w:highlight w:val="none"/>
        </w:rPr>
      </w:pPr>
      <w:r>
        <w:rPr>
          <w:rFonts w:hint="eastAsia" w:ascii="宋体" w:eastAsia="宋体" w:cs="宋体"/>
          <w:color w:val="auto"/>
          <w:kern w:val="21"/>
          <w:highlight w:val="none"/>
        </w:rPr>
        <w:t>（3）发生投标人须知前附表规定的其他可以不予退还投标保证金的情形。</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3.5 资格审查资料</w:t>
      </w:r>
    </w:p>
    <w:p>
      <w:pPr>
        <w:spacing w:line="480" w:lineRule="auto"/>
        <w:ind w:left="237" w:right="-20"/>
        <w:jc w:val="left"/>
        <w:rPr>
          <w:rFonts w:ascii="宋体" w:eastAsia="宋体"/>
          <w:color w:val="auto"/>
          <w:szCs w:val="21"/>
          <w:highlight w:val="none"/>
        </w:rPr>
      </w:pPr>
      <w:r>
        <w:rPr>
          <w:rFonts w:hint="eastAsia" w:ascii="宋体" w:eastAsia="宋体"/>
          <w:color w:val="auto"/>
          <w:szCs w:val="21"/>
          <w:highlight w:val="none"/>
        </w:rPr>
        <w:t>除投标人须知前附表另有规定外，投标人应按招标文件要求提供资格审查资料，以证明其满足本章第 1.4 款规定的资质、财务、业绩、信誉等要求。</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3.6 备选投标方案</w:t>
      </w:r>
    </w:p>
    <w:p>
      <w:pPr>
        <w:spacing w:line="360"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3.6.1 除投标人须知前附表规定允许外，投标人不得递交备选投标方案，否则其投标将被否决。</w:t>
      </w:r>
    </w:p>
    <w:p>
      <w:pPr>
        <w:spacing w:line="360" w:lineRule="auto"/>
        <w:ind w:left="100" w:right="37" w:firstLine="420"/>
        <w:jc w:val="left"/>
        <w:rPr>
          <w:rFonts w:ascii="宋体" w:eastAsia="宋体" w:cs="宋体"/>
          <w:color w:val="auto"/>
          <w:kern w:val="21"/>
          <w:highlight w:val="none"/>
        </w:rPr>
      </w:pPr>
      <w:r>
        <w:rPr>
          <w:rFonts w:hint="eastAsia" w:ascii="宋体" w:eastAsia="宋体" w:cs="宋体"/>
          <w:color w:val="auto"/>
          <w:kern w:val="21"/>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3.6.3 投标人提供两个或两个以上投标报价，或者在投标文件中提供一个报价，但同时提供两个或两个以上施工图审查技术方案的，视为提供备选方案。</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3.7 投标文件的编制</w:t>
      </w:r>
    </w:p>
    <w:p>
      <w:pPr>
        <w:spacing w:line="360"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adjustRightInd w:val="0"/>
        <w:snapToGrid w:val="0"/>
        <w:spacing w:line="360"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3.7.2 投标文件应当对招标文件有关服务期限、投标有效期、委托人要求、招标范围等实质性内容作出响应。</w:t>
      </w:r>
    </w:p>
    <w:p>
      <w:pPr>
        <w:adjustRightInd w:val="0"/>
        <w:snapToGrid w:val="0"/>
        <w:spacing w:line="360" w:lineRule="auto"/>
        <w:ind w:left="100" w:right="42" w:firstLine="420"/>
        <w:rPr>
          <w:rFonts w:ascii="宋体" w:eastAsia="宋体" w:cs="宋体"/>
          <w:color w:val="auto"/>
          <w:kern w:val="21"/>
          <w:highlight w:val="none"/>
          <w:u w:val="single"/>
        </w:rPr>
      </w:pPr>
      <w:r>
        <w:rPr>
          <w:rFonts w:hint="eastAsia" w:ascii="宋体" w:eastAsia="宋体" w:cs="宋体"/>
          <w:color w:val="auto"/>
          <w:kern w:val="21"/>
          <w:highlight w:val="none"/>
        </w:rPr>
        <w:t>3.7.3（B）投标文件全部采用电子文档，除投标人须知前附表另有规定外，投标文件所附证书证件均为原件扫描件，并采用单位</w:t>
      </w:r>
      <w:r>
        <w:rPr>
          <w:rFonts w:hint="eastAsia" w:ascii="宋体" w:eastAsia="宋体" w:cs="宋体"/>
          <w:strike/>
          <w:color w:val="auto"/>
          <w:kern w:val="21"/>
          <w:highlight w:val="none"/>
        </w:rPr>
        <w:t>和个人数字证书</w:t>
      </w:r>
      <w:r>
        <w:rPr>
          <w:rFonts w:hint="eastAsia" w:ascii="宋体" w:eastAsia="宋体" w:cs="宋体"/>
          <w:color w:val="auto"/>
          <w:kern w:val="21"/>
          <w:highlight w:val="none"/>
        </w:rPr>
        <w:t>，按招标文件要求在相应位置加盖电子印章。</w:t>
      </w:r>
      <w:r>
        <w:rPr>
          <w:rFonts w:hint="eastAsia" w:ascii="宋体" w:eastAsia="宋体" w:cs="宋体"/>
          <w:color w:val="auto"/>
          <w:kern w:val="21"/>
          <w:highlight w:val="none"/>
          <w:u w:val="single"/>
        </w:rPr>
        <w:t>投标人应使用广州公共资源交易中心的投标文件管理软件进行投标文件的合成、电子签章及加密打包工作，所有电子投标文件不能进行压缩处理。电子投标文件统一采用网络上传的形式，投标人需登录广州公共资源交易中心网站投标人服务区在递交投标文件截止时间前完整上传至广州公共资源交易中心的信息系统。</w:t>
      </w:r>
    </w:p>
    <w:p>
      <w:pPr>
        <w:adjustRightInd w:val="0"/>
        <w:snapToGrid w:val="0"/>
        <w:spacing w:line="360" w:lineRule="auto"/>
        <w:ind w:left="100" w:right="42" w:firstLine="420"/>
        <w:rPr>
          <w:rFonts w:ascii="宋体" w:eastAsia="宋体" w:cs="宋体"/>
          <w:color w:val="auto"/>
          <w:kern w:val="21"/>
          <w:highlight w:val="none"/>
          <w:u w:val="single"/>
        </w:rPr>
      </w:pPr>
      <w:r>
        <w:rPr>
          <w:rFonts w:hint="eastAsia" w:ascii="宋体" w:eastAsia="宋体" w:cs="宋体"/>
          <w:color w:val="auto"/>
          <w:kern w:val="21"/>
          <w:highlight w:val="none"/>
        </w:rPr>
        <w:t>由投标人的法定代表人签字或加盖电子印章的，应附法定代表人身份证明书，由代理人签字或加盖电子印章的，应附由法定代表人签署的</w:t>
      </w:r>
      <w:r>
        <w:rPr>
          <w:rFonts w:hint="eastAsia" w:ascii="宋体" w:eastAsia="宋体" w:cs="宋体"/>
          <w:color w:val="auto"/>
          <w:kern w:val="21"/>
          <w:highlight w:val="none"/>
          <w:u w:val="single"/>
        </w:rPr>
        <w:t>授权委托书和法定代表人身份证明书</w:t>
      </w:r>
      <w:r>
        <w:rPr>
          <w:rFonts w:hint="eastAsia" w:ascii="宋体" w:eastAsia="宋体" w:cs="宋体"/>
          <w:color w:val="auto"/>
          <w:kern w:val="21"/>
          <w:highlight w:val="none"/>
        </w:rPr>
        <w:t>。签字或盖章的具体要求见投标人须知前附表。</w:t>
      </w:r>
      <w:r>
        <w:rPr>
          <w:rFonts w:hint="eastAsia" w:ascii="宋体" w:eastAsia="宋体" w:cs="宋体"/>
          <w:color w:val="auto"/>
          <w:kern w:val="21"/>
          <w:highlight w:val="none"/>
          <w:u w:val="single"/>
        </w:rPr>
        <w:t>取消在招标文件中采用个人数字证书和加盖个人电子印章要求，投标文件中需法定代表人、代理人签字或加盖电子印章的，应手签或盖章后扫描上传，对加盖个人电子印章不做要求。投标文件按招标文件要求加盖单位电子印章。相关操作详见广州公共资源交易中心网站最新发布的《房建市政全流程电子化项目操作专章》。</w:t>
      </w:r>
    </w:p>
    <w:p>
      <w:pPr>
        <w:spacing w:line="360" w:lineRule="auto"/>
        <w:ind w:left="100" w:right="-20"/>
        <w:jc w:val="left"/>
        <w:outlineLvl w:val="2"/>
        <w:rPr>
          <w:rFonts w:ascii="宋体" w:eastAsia="宋体" w:cs="黑体"/>
          <w:b/>
          <w:color w:val="auto"/>
          <w:kern w:val="21"/>
          <w:sz w:val="30"/>
          <w:szCs w:val="30"/>
          <w:highlight w:val="none"/>
        </w:rPr>
      </w:pPr>
      <w:bookmarkStart w:id="63" w:name="_Toc24792"/>
      <w:bookmarkStart w:id="64" w:name="_Toc26808"/>
      <w:bookmarkStart w:id="65" w:name="_Toc18683"/>
      <w:bookmarkStart w:id="66" w:name="_Toc13722"/>
      <w:bookmarkStart w:id="67" w:name="_Toc2229"/>
      <w:bookmarkStart w:id="68" w:name="_Toc22261"/>
      <w:bookmarkStart w:id="69" w:name="_Toc19134"/>
      <w:bookmarkStart w:id="70" w:name="_Toc25687"/>
      <w:bookmarkStart w:id="71" w:name="_Toc78382562"/>
      <w:bookmarkStart w:id="72" w:name="_Toc11658"/>
      <w:bookmarkStart w:id="73" w:name="_Toc7479"/>
      <w:r>
        <w:rPr>
          <w:rFonts w:hint="eastAsia" w:ascii="宋体" w:eastAsia="宋体" w:cs="黑体"/>
          <w:b/>
          <w:color w:val="auto"/>
          <w:kern w:val="21"/>
          <w:sz w:val="30"/>
          <w:szCs w:val="30"/>
          <w:highlight w:val="none"/>
        </w:rPr>
        <w:t>4. 投标</w:t>
      </w:r>
      <w:bookmarkEnd w:id="63"/>
      <w:bookmarkEnd w:id="64"/>
      <w:bookmarkEnd w:id="65"/>
      <w:bookmarkEnd w:id="66"/>
      <w:bookmarkEnd w:id="67"/>
      <w:bookmarkEnd w:id="68"/>
      <w:bookmarkEnd w:id="69"/>
      <w:bookmarkEnd w:id="70"/>
      <w:bookmarkEnd w:id="71"/>
      <w:bookmarkEnd w:id="72"/>
      <w:bookmarkEnd w:id="73"/>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4.1 投标文件的密封和标记</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4.1.1 （B）投标人应当按照招标文件和电子招标投标交易平台的要求加密投标文件，具体要求见投标人须知前附表。</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4.1.2 投标文件封套上应写明的内容见投标人须知前附表。</w:t>
      </w:r>
    </w:p>
    <w:p>
      <w:pPr>
        <w:spacing w:line="360"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4.1.3 未按本章第 4.1.1 项要求密封的投标文件，招标人将予以拒收。</w:t>
      </w:r>
    </w:p>
    <w:p>
      <w:pPr>
        <w:spacing w:line="360" w:lineRule="auto"/>
        <w:ind w:left="237" w:right="-20"/>
        <w:jc w:val="left"/>
        <w:rPr>
          <w:rFonts w:ascii="宋体" w:eastAsia="宋体" w:cs="宋体"/>
          <w:color w:val="auto"/>
          <w:kern w:val="21"/>
          <w:sz w:val="28"/>
          <w:highlight w:val="none"/>
        </w:rPr>
      </w:pPr>
      <w:r>
        <w:rPr>
          <w:rFonts w:hint="eastAsia" w:ascii="宋体" w:eastAsia="宋体" w:cs="宋体"/>
          <w:color w:val="auto"/>
          <w:kern w:val="21"/>
          <w:sz w:val="28"/>
          <w:highlight w:val="none"/>
        </w:rPr>
        <w:t>4.2 投标文件的递交</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4.2.1 投标人应在投标人须知前附表规定的投标截止时间前递交投标文件。</w:t>
      </w:r>
      <w:r>
        <w:rPr>
          <w:rFonts w:hint="eastAsia" w:ascii="宋体" w:eastAsia="宋体" w:cs="宋体"/>
          <w:color w:val="auto"/>
          <w:kern w:val="21"/>
          <w:highlight w:val="none"/>
          <w:u w:val="single"/>
        </w:rPr>
        <w:t>投标人应在上传电子投标文件前将投标人的相关信息在广州公共资源交易中心信息系统中录入完毕。到投标截止时间止，招标人收到的投标文件少于三家的，招标人将依法重新组织招标。</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4.2.2 （B）投标人通过下载招标文件的电子招标投标交易平台递交电子投标文件。</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4.2.3 除投标人须知前附表另有规定外，投标人所递交的投标文件不予退还。</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4.2.4 （B）投标人完成电子投标文件上传后，电子招标投标交易平台即时向投标人发出递交回执通知。递交时间以递交回执通知载明的传输完成时间为准。</w:t>
      </w:r>
    </w:p>
    <w:p>
      <w:pPr>
        <w:spacing w:line="360"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4.2.5 （B）逾期送达的投标文件，电子招标投标交易平台将予以拒收。</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4.3 投标文件的修改与撤回</w:t>
      </w:r>
    </w:p>
    <w:p>
      <w:pPr>
        <w:spacing w:line="360" w:lineRule="auto"/>
        <w:ind w:left="100" w:right="34" w:firstLine="420"/>
        <w:jc w:val="left"/>
        <w:rPr>
          <w:rFonts w:ascii="宋体" w:eastAsia="宋体" w:cs="宋体"/>
          <w:color w:val="auto"/>
          <w:kern w:val="21"/>
          <w:highlight w:val="none"/>
        </w:rPr>
      </w:pPr>
      <w:r>
        <w:rPr>
          <w:rFonts w:hint="eastAsia" w:ascii="宋体" w:eastAsia="宋体" w:cs="宋体"/>
          <w:color w:val="auto"/>
          <w:kern w:val="21"/>
          <w:highlight w:val="none"/>
        </w:rPr>
        <w:t>4.3.1 在本章第 4.2.1 项规定的投标截止时间前，投标人可以修改或撤回已递交的投标文件，但应以书面形式通知招标人。</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4.3.2 （B）投标人修改或撤回已递交投标文件的通知，应按照本章第 3.7.3（B）项的要求加盖电子印章。电子招标投标交易平台收到通知后，即时向投标人发出确认回执通知。</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4.3.3 投标人撤回投标文件的，招标人自收到投标人书面撤回通知之日起 5 日内退还已收取的投标保证金。</w:t>
      </w:r>
    </w:p>
    <w:p>
      <w:pPr>
        <w:spacing w:line="360" w:lineRule="auto"/>
        <w:ind w:left="100" w:right="141" w:firstLine="420"/>
        <w:rPr>
          <w:rFonts w:ascii="宋体" w:eastAsia="宋体" w:cs="宋体"/>
          <w:color w:val="auto"/>
          <w:kern w:val="21"/>
          <w:highlight w:val="none"/>
        </w:rPr>
      </w:pPr>
      <w:r>
        <w:rPr>
          <w:rFonts w:hint="eastAsia" w:ascii="宋体" w:eastAsia="宋体" w:cs="宋体"/>
          <w:color w:val="auto"/>
          <w:kern w:val="21"/>
          <w:highlight w:val="none"/>
        </w:rPr>
        <w:t>4.3.4 修改的内容为投标文件的组成部分。修改的投标文件应按照本章第 3 条、第 4 条的规定进行编制、密封、标记和递交，并标明“修改”字样。</w:t>
      </w:r>
    </w:p>
    <w:p>
      <w:pPr>
        <w:spacing w:line="360" w:lineRule="auto"/>
        <w:ind w:left="100" w:right="-20"/>
        <w:jc w:val="left"/>
        <w:outlineLvl w:val="2"/>
        <w:rPr>
          <w:rFonts w:ascii="宋体" w:eastAsia="宋体" w:cs="黑体"/>
          <w:b/>
          <w:color w:val="auto"/>
          <w:kern w:val="21"/>
          <w:sz w:val="30"/>
          <w:szCs w:val="30"/>
          <w:highlight w:val="none"/>
        </w:rPr>
      </w:pPr>
      <w:bookmarkStart w:id="74" w:name="_Toc1885"/>
      <w:bookmarkStart w:id="75" w:name="_Toc18398"/>
      <w:bookmarkStart w:id="76" w:name="_Toc19637"/>
      <w:bookmarkStart w:id="77" w:name="_Toc78382563"/>
      <w:bookmarkStart w:id="78" w:name="_Toc12408"/>
      <w:bookmarkStart w:id="79" w:name="_Toc18757"/>
      <w:bookmarkStart w:id="80" w:name="_Toc2456"/>
      <w:bookmarkStart w:id="81" w:name="_Toc22417"/>
      <w:bookmarkStart w:id="82" w:name="_Toc2977"/>
      <w:bookmarkStart w:id="83" w:name="_Toc23198"/>
      <w:bookmarkStart w:id="84" w:name="_Toc28529"/>
      <w:r>
        <w:rPr>
          <w:rFonts w:hint="eastAsia" w:ascii="宋体" w:eastAsia="宋体" w:cs="黑体"/>
          <w:b/>
          <w:color w:val="auto"/>
          <w:kern w:val="21"/>
          <w:sz w:val="30"/>
          <w:szCs w:val="30"/>
          <w:highlight w:val="none"/>
        </w:rPr>
        <w:t>5. 开标</w:t>
      </w:r>
      <w:bookmarkEnd w:id="74"/>
      <w:bookmarkEnd w:id="75"/>
      <w:bookmarkEnd w:id="76"/>
      <w:bookmarkEnd w:id="77"/>
      <w:bookmarkEnd w:id="78"/>
      <w:bookmarkEnd w:id="79"/>
      <w:bookmarkEnd w:id="80"/>
      <w:bookmarkEnd w:id="81"/>
      <w:bookmarkEnd w:id="82"/>
      <w:bookmarkEnd w:id="83"/>
      <w:bookmarkEnd w:id="84"/>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5.1 开标时间和地点（B）</w:t>
      </w:r>
    </w:p>
    <w:p>
      <w:pPr>
        <w:spacing w:line="360"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招标人在本章第 4.2.1 项规定的投标截止时间（开标时间）,通过电子招标投标交易平台公开开标，所有投标人的法定代表人或其委托代理人应当准时参加。</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5.2 开标程序</w:t>
      </w:r>
    </w:p>
    <w:p>
      <w:pPr>
        <w:spacing w:line="360" w:lineRule="auto"/>
        <w:ind w:left="237" w:right="-20" w:firstLine="329" w:firstLineChars="157"/>
        <w:jc w:val="left"/>
        <w:rPr>
          <w:rFonts w:ascii="宋体" w:eastAsia="宋体" w:cs="宋体"/>
          <w:color w:val="auto"/>
          <w:kern w:val="21"/>
          <w:highlight w:val="none"/>
        </w:rPr>
      </w:pPr>
      <w:r>
        <w:rPr>
          <w:rFonts w:hint="eastAsia" w:ascii="宋体" w:eastAsia="宋体" w:cs="宋体"/>
          <w:color w:val="auto"/>
          <w:kern w:val="21"/>
          <w:highlight w:val="none"/>
        </w:rPr>
        <w:t>5.2.1主持人按下列程序进行开标：</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（1）宣布开标纪律；</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（2）公布在投标截止时间前递交投标文件的投标人名称；</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（3）宣布开标人、唱标人、记录人、监标人等有关人员姓名；</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（4）</w:t>
      </w:r>
      <w:bookmarkStart w:id="85" w:name="page31"/>
      <w:bookmarkEnd w:id="85"/>
      <w:r>
        <w:rPr>
          <w:rFonts w:hint="eastAsia" w:ascii="宋体" w:hAnsi="宋体" w:eastAsia="宋体" w:cs="宋体"/>
          <w:color w:val="auto"/>
          <w:highlight w:val="none"/>
          <w:u w:val="single"/>
        </w:rPr>
        <w:t>导入电子招标文件；</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5）交易中心数字交易平台开标系统自动检查电子投标文件的递交、投标人解密情况；逾期未完成投标人解密的电子投标文件将按废标处理。如因交易中心数字交易平台开标系统原因导致投标人解密失败，则待交易系统恢复正常后，由招标人另择时间进行开标和评标；</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6）招标人（或招标代理人）使用制作该电子招标文件的机构业务数字证书对已完成投标人解密的电子投标文件进行招标人解密；若因交易中心数字交易平台开标系统原因导致招标人解密不成功，则待交易系统恢复正常后，由招标人另择时间进行开标和评标；</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7）将所有解密成功的电子投标文件导入交易中心数字交易平台开标系统并公开开标，按照交易中心数字交易平台开标系统自动确定的电子投标文件顺序进行开标、唱标；若因交易中心数字交易平台开标系统原因导致无法采用电子投标文件进行开标，则待交易系统恢复正常后，由招标人另择时间进行开标和评标；</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（8）按照宣布的开标顺序当众唱标，公布招标项目名称、投标人名称、投标报价、服务期限及其他内容，并记录在案；</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（9）投标人代表、招标人代表、监标人、记录人等有关人员在开标记录上签字确认；</w:t>
      </w:r>
    </w:p>
    <w:p>
      <w:pPr>
        <w:spacing w:line="360" w:lineRule="auto"/>
        <w:ind w:left="400" w:firstLine="378" w:firstLineChars="180"/>
        <w:outlineLvl w:val="0"/>
        <w:rPr>
          <w:rFonts w:ascii="宋体" w:hAnsi="宋体" w:eastAsia="宋体" w:cs="宋体"/>
          <w:color w:val="auto"/>
          <w:highlight w:val="none"/>
          <w:u w:val="single"/>
        </w:rPr>
      </w:pPr>
      <w:r>
        <w:rPr>
          <w:rFonts w:hint="eastAsia" w:ascii="宋体" w:hAnsi="宋体" w:eastAsia="宋体" w:cs="宋体"/>
          <w:color w:val="auto"/>
          <w:highlight w:val="none"/>
          <w:u w:val="single"/>
        </w:rPr>
        <w:t>(10) 开标结束。</w:t>
      </w:r>
    </w:p>
    <w:p>
      <w:pPr>
        <w:spacing w:line="360" w:lineRule="auto"/>
        <w:ind w:left="237" w:right="-20" w:firstLine="329" w:firstLineChars="157"/>
        <w:jc w:val="left"/>
        <w:rPr>
          <w:rFonts w:ascii="宋体" w:eastAsia="宋体" w:cs="宋体"/>
          <w:color w:val="auto"/>
          <w:kern w:val="21"/>
          <w:highlight w:val="none"/>
        </w:rPr>
      </w:pPr>
      <w:r>
        <w:rPr>
          <w:rFonts w:hint="eastAsia" w:ascii="宋体" w:eastAsia="宋体" w:cs="宋体"/>
          <w:color w:val="auto"/>
          <w:kern w:val="21"/>
          <w:highlight w:val="none"/>
        </w:rPr>
        <w:t>5.2.2投标截止时间前未完成投标文件传输的或因投标人之外的原因造成投标文件未解密的，视为投标人撤回投标文件。因投标人原因造成投标文件未解密的或未在投标截止时间后半小时解密的，视为撤销其投标文件。</w:t>
      </w:r>
    </w:p>
    <w:p>
      <w:pPr>
        <w:spacing w:line="360" w:lineRule="auto"/>
        <w:ind w:left="237" w:right="-20" w:firstLine="329" w:firstLineChars="157"/>
        <w:jc w:val="left"/>
        <w:rPr>
          <w:rFonts w:ascii="宋体" w:eastAsia="宋体" w:cs="宋体"/>
          <w:color w:val="auto"/>
          <w:kern w:val="21"/>
          <w:highlight w:val="none"/>
        </w:rPr>
      </w:pPr>
      <w:r>
        <w:rPr>
          <w:rFonts w:hint="eastAsia" w:ascii="宋体" w:eastAsia="宋体" w:cs="宋体"/>
          <w:color w:val="auto"/>
          <w:kern w:val="21"/>
          <w:highlight w:val="none"/>
        </w:rPr>
        <w:t>5.2.3开标时，两个（含两个）以上的投标人加密打包投标文件电脑机器特征码一致的，不参与下一程序，并由评标委员会否决其投标。</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5.3 开标异议</w:t>
      </w:r>
    </w:p>
    <w:p>
      <w:pPr>
        <w:spacing w:line="360" w:lineRule="auto"/>
        <w:ind w:left="460" w:right="-20"/>
        <w:jc w:val="left"/>
        <w:rPr>
          <w:rFonts w:ascii="宋体" w:eastAsia="宋体" w:cs="宋体"/>
          <w:color w:val="auto"/>
          <w:kern w:val="21"/>
          <w:highlight w:val="none"/>
        </w:rPr>
      </w:pPr>
      <w:r>
        <w:rPr>
          <w:rFonts w:hint="eastAsia" w:ascii="宋体" w:eastAsia="宋体" w:cs="宋体"/>
          <w:color w:val="auto"/>
          <w:kern w:val="21"/>
          <w:highlight w:val="none"/>
        </w:rPr>
        <w:t>投标人对开标有异议的，应当在开标现场提出，招标人当场作出答复，并制作记录。</w:t>
      </w:r>
    </w:p>
    <w:p>
      <w:pPr>
        <w:spacing w:line="360" w:lineRule="auto"/>
        <w:ind w:left="100" w:right="-20"/>
        <w:jc w:val="left"/>
        <w:outlineLvl w:val="2"/>
        <w:rPr>
          <w:rFonts w:ascii="宋体" w:eastAsia="宋体" w:cs="黑体"/>
          <w:b/>
          <w:color w:val="auto"/>
          <w:kern w:val="21"/>
          <w:sz w:val="30"/>
          <w:szCs w:val="30"/>
          <w:highlight w:val="none"/>
        </w:rPr>
      </w:pPr>
      <w:bookmarkStart w:id="86" w:name="_Toc12149"/>
      <w:bookmarkStart w:id="87" w:name="_Toc11422"/>
      <w:bookmarkStart w:id="88" w:name="_Toc20989"/>
      <w:bookmarkStart w:id="89" w:name="_Toc31484"/>
      <w:bookmarkStart w:id="90" w:name="_Toc17440"/>
      <w:bookmarkStart w:id="91" w:name="_Toc8980"/>
      <w:bookmarkStart w:id="92" w:name="_Toc8246"/>
      <w:bookmarkStart w:id="93" w:name="_Toc78382564"/>
      <w:bookmarkStart w:id="94" w:name="_Toc7940"/>
      <w:bookmarkStart w:id="95" w:name="_Toc11458"/>
      <w:bookmarkStart w:id="96" w:name="_Toc19236"/>
      <w:r>
        <w:rPr>
          <w:rFonts w:hint="eastAsia" w:ascii="宋体" w:eastAsia="宋体" w:cs="黑体"/>
          <w:b/>
          <w:color w:val="auto"/>
          <w:kern w:val="21"/>
          <w:sz w:val="30"/>
          <w:szCs w:val="30"/>
          <w:highlight w:val="none"/>
        </w:rPr>
        <w:t>6. 评标</w:t>
      </w:r>
      <w:bookmarkEnd w:id="86"/>
      <w:bookmarkEnd w:id="87"/>
      <w:bookmarkEnd w:id="88"/>
      <w:bookmarkEnd w:id="89"/>
      <w:bookmarkEnd w:id="90"/>
      <w:bookmarkEnd w:id="91"/>
      <w:bookmarkEnd w:id="92"/>
      <w:bookmarkEnd w:id="93"/>
      <w:bookmarkEnd w:id="94"/>
      <w:bookmarkEnd w:id="95"/>
      <w:bookmarkEnd w:id="96"/>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6.1 评标委员会</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6.1.2 评标委员会成员有下列情形之一的，应当回避：</w:t>
      </w:r>
    </w:p>
    <w:p>
      <w:pPr>
        <w:spacing w:line="360" w:lineRule="auto"/>
        <w:ind w:left="818" w:right="-20"/>
        <w:jc w:val="left"/>
        <w:rPr>
          <w:rFonts w:ascii="宋体" w:eastAsia="宋体" w:cs="宋体"/>
          <w:color w:val="auto"/>
          <w:kern w:val="21"/>
          <w:highlight w:val="none"/>
        </w:rPr>
      </w:pPr>
      <w:r>
        <w:rPr>
          <w:rFonts w:hint="eastAsia" w:ascii="宋体" w:eastAsia="宋体" w:cs="宋体"/>
          <w:color w:val="auto"/>
          <w:kern w:val="21"/>
          <w:highlight w:val="none"/>
        </w:rPr>
        <w:t>（1）投标人或投标人主要负责人的近亲属；</w:t>
      </w:r>
    </w:p>
    <w:p>
      <w:pPr>
        <w:spacing w:line="360" w:lineRule="auto"/>
        <w:ind w:left="818" w:right="-20"/>
        <w:jc w:val="left"/>
        <w:rPr>
          <w:rFonts w:ascii="宋体" w:eastAsia="宋体" w:cs="宋体"/>
          <w:color w:val="auto"/>
          <w:kern w:val="21"/>
          <w:highlight w:val="none"/>
        </w:rPr>
      </w:pPr>
      <w:r>
        <w:rPr>
          <w:rFonts w:hint="eastAsia" w:ascii="宋体" w:eastAsia="宋体" w:cs="宋体"/>
          <w:color w:val="auto"/>
          <w:kern w:val="21"/>
          <w:highlight w:val="none"/>
        </w:rPr>
        <w:t>（2）项目主管部门或者行政监督部门的人员；</w:t>
      </w:r>
    </w:p>
    <w:p>
      <w:pPr>
        <w:spacing w:line="360" w:lineRule="auto"/>
        <w:ind w:left="818" w:right="-20"/>
        <w:jc w:val="left"/>
        <w:rPr>
          <w:rFonts w:ascii="宋体" w:eastAsia="宋体" w:cs="宋体"/>
          <w:color w:val="auto"/>
          <w:kern w:val="21"/>
          <w:highlight w:val="none"/>
        </w:rPr>
      </w:pPr>
      <w:r>
        <w:rPr>
          <w:rFonts w:hint="eastAsia" w:ascii="宋体" w:eastAsia="宋体" w:cs="宋体"/>
          <w:color w:val="auto"/>
          <w:kern w:val="21"/>
          <w:highlight w:val="none"/>
        </w:rPr>
        <w:t>（3）与投标人有经济利益关系，可能影响对投标公正评审的；</w:t>
      </w:r>
    </w:p>
    <w:p>
      <w:pPr>
        <w:spacing w:line="360" w:lineRule="auto"/>
        <w:ind w:left="100" w:right="44" w:firstLine="718"/>
        <w:jc w:val="left"/>
        <w:rPr>
          <w:rFonts w:ascii="宋体" w:eastAsia="宋体" w:cs="宋体"/>
          <w:color w:val="auto"/>
          <w:kern w:val="21"/>
          <w:highlight w:val="none"/>
        </w:rPr>
      </w:pPr>
      <w:r>
        <w:rPr>
          <w:rFonts w:hint="eastAsia" w:ascii="宋体" w:eastAsia="宋体" w:cs="宋体"/>
          <w:color w:val="auto"/>
          <w:kern w:val="21"/>
          <w:highlight w:val="none"/>
        </w:rPr>
        <w:t>（4）曾因在招标、评标以及其他与招标投标有关活动中从事违法行为而受过行政处罚或刑事处罚的；</w:t>
      </w:r>
    </w:p>
    <w:p>
      <w:pPr>
        <w:spacing w:line="360" w:lineRule="auto"/>
        <w:ind w:left="818" w:right="-20"/>
        <w:jc w:val="left"/>
        <w:rPr>
          <w:rFonts w:ascii="宋体" w:eastAsia="宋体" w:cs="宋体"/>
          <w:color w:val="auto"/>
          <w:kern w:val="21"/>
          <w:highlight w:val="none"/>
        </w:rPr>
      </w:pPr>
      <w:r>
        <w:rPr>
          <w:rFonts w:hint="eastAsia" w:ascii="宋体" w:eastAsia="宋体" w:cs="宋体"/>
          <w:color w:val="auto"/>
          <w:kern w:val="21"/>
          <w:highlight w:val="none"/>
        </w:rPr>
        <w:t>（5）与投标人有其他利害关系。</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6.2 评标原则</w:t>
      </w:r>
    </w:p>
    <w:p>
      <w:pPr>
        <w:spacing w:line="360"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评标活动遵循公平、公正、科学和择优的原则。</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6.3 评标</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6.3.1 评标委员会按照第三章“评标办法”规定的方法、评审因素、标准和程序对投标文件进行评审。第三章“评标办法”没有规定的方法、评审因素和标准，不作为评标依据。</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6.3.2 评标完成后，评标委员会应当向招标人提交书面评标报告和中标候选人名单。评标委员会推荐中标候选人的人数见投标人须知前附表。</w:t>
      </w:r>
    </w:p>
    <w:p>
      <w:pPr>
        <w:spacing w:line="360" w:lineRule="auto"/>
        <w:ind w:left="100" w:right="-20"/>
        <w:jc w:val="left"/>
        <w:outlineLvl w:val="2"/>
        <w:rPr>
          <w:rFonts w:ascii="宋体" w:eastAsia="宋体" w:cs="黑体"/>
          <w:b/>
          <w:color w:val="auto"/>
          <w:kern w:val="21"/>
          <w:sz w:val="30"/>
          <w:szCs w:val="30"/>
          <w:highlight w:val="none"/>
        </w:rPr>
      </w:pPr>
      <w:bookmarkStart w:id="97" w:name="_Toc17505"/>
      <w:bookmarkStart w:id="98" w:name="_Toc19423"/>
      <w:bookmarkStart w:id="99" w:name="_Toc22404"/>
      <w:bookmarkStart w:id="100" w:name="_Toc13361"/>
      <w:bookmarkStart w:id="101" w:name="_Toc16585"/>
      <w:bookmarkStart w:id="102" w:name="_Toc13150"/>
      <w:bookmarkStart w:id="103" w:name="_Toc20086"/>
      <w:bookmarkStart w:id="104" w:name="_Toc20732"/>
      <w:bookmarkStart w:id="105" w:name="_Toc78382565"/>
      <w:bookmarkStart w:id="106" w:name="_Toc25117"/>
      <w:bookmarkStart w:id="107" w:name="_Toc3140"/>
      <w:r>
        <w:rPr>
          <w:rFonts w:hint="eastAsia" w:ascii="宋体" w:eastAsia="宋体" w:cs="黑体"/>
          <w:b/>
          <w:color w:val="auto"/>
          <w:kern w:val="21"/>
          <w:sz w:val="30"/>
          <w:szCs w:val="30"/>
          <w:highlight w:val="none"/>
        </w:rPr>
        <w:t>7. 合同授予</w:t>
      </w:r>
      <w:bookmarkEnd w:id="97"/>
      <w:bookmarkEnd w:id="98"/>
      <w:bookmarkEnd w:id="99"/>
      <w:bookmarkEnd w:id="100"/>
      <w:bookmarkEnd w:id="101"/>
      <w:bookmarkEnd w:id="102"/>
      <w:bookmarkEnd w:id="103"/>
      <w:bookmarkEnd w:id="104"/>
      <w:bookmarkEnd w:id="105"/>
      <w:bookmarkEnd w:id="106"/>
      <w:bookmarkEnd w:id="107"/>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7.1 中标候选人公示</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招标人在收到评标报告之日起 3 日内，按照投标人须知前附表规定的公示媒介和期限公示中标候选人，公示期不得少于 3 天（最后一日为工作日）。</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7.2 评标结果异议</w:t>
      </w:r>
    </w:p>
    <w:p>
      <w:pPr>
        <w:spacing w:line="360" w:lineRule="auto"/>
        <w:ind w:left="100" w:right="43" w:firstLine="420"/>
        <w:rPr>
          <w:rFonts w:ascii="宋体" w:eastAsia="宋体" w:cs="宋体"/>
          <w:color w:val="auto"/>
          <w:kern w:val="21"/>
          <w:highlight w:val="none"/>
        </w:rPr>
      </w:pPr>
      <w:r>
        <w:rPr>
          <w:rFonts w:hint="eastAsia" w:ascii="宋体" w:eastAsia="宋体" w:cs="宋体"/>
          <w:color w:val="auto"/>
          <w:kern w:val="21"/>
          <w:highlight w:val="none"/>
        </w:rPr>
        <w:t>投标人或者其他利害关系人对评标结果有异议的，应当在中标候选人公示期间提出。招标人将在收到异议之日起 3 日内作出答复；作出答复前，将暂停招标投标活动。</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7.3 中标候选人履约能力审查</w:t>
      </w:r>
    </w:p>
    <w:p>
      <w:pPr>
        <w:spacing w:line="360"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7.4 定标</w:t>
      </w:r>
    </w:p>
    <w:p>
      <w:pPr>
        <w:spacing w:line="360" w:lineRule="auto"/>
        <w:ind w:firstLine="420" w:firstLineChars="200"/>
        <w:jc w:val="left"/>
        <w:rPr>
          <w:rFonts w:hint="eastAsia" w:ascii="宋体" w:eastAsia="宋体" w:cs="宋体"/>
          <w:color w:val="auto"/>
          <w:kern w:val="21"/>
          <w:highlight w:val="none"/>
          <w:u w:val="single"/>
        </w:rPr>
      </w:pPr>
      <w:r>
        <w:rPr>
          <w:rFonts w:hint="eastAsia" w:ascii="宋体" w:eastAsia="宋体" w:cs="宋体"/>
          <w:color w:val="auto"/>
          <w:kern w:val="21"/>
          <w:highlight w:val="none"/>
        </w:rPr>
        <w:t>按照投标人须知前附表的规定，招标人或招标人授权的评标委员会依法确定中标人。</w:t>
      </w:r>
      <w:r>
        <w:rPr>
          <w:rFonts w:hint="eastAsia" w:ascii="宋体" w:eastAsia="宋体" w:cs="宋体"/>
          <w:color w:val="auto"/>
          <w:kern w:val="21"/>
          <w:highlight w:val="none"/>
          <w:u w:val="single"/>
        </w:rPr>
        <w:t>招标人依法确定中标人。依法必须进行公开招标的项目，招标人应当确定排名第一的中标候选人为中标人。排名第一的中标候选人放弃中标、或被取消中标资格，或因不可抗力提出不能履行合同，招标人可以按照中标候选人顺序依次上升替补定标，以此类推。若本项目所有中标候选人都不能成为中标人，则本项目招标失败，招标人依法重新招标。</w:t>
      </w:r>
    </w:p>
    <w:p>
      <w:pPr>
        <w:spacing w:line="360" w:lineRule="auto"/>
        <w:ind w:firstLine="420" w:firstLineChars="200"/>
        <w:jc w:val="left"/>
        <w:rPr>
          <w:rFonts w:hint="eastAsia" w:ascii="宋体" w:hAnsi="Times New Roman" w:eastAsia="宋体" w:cs="宋体"/>
          <w:color w:val="auto"/>
          <w:kern w:val="21"/>
          <w:sz w:val="21"/>
          <w:szCs w:val="22"/>
          <w:highlight w:val="none"/>
          <w:u w:val="single"/>
          <w:lang w:val="en-US" w:eastAsia="zh-CN" w:bidi="ar-SA"/>
        </w:rPr>
      </w:pPr>
      <w:r>
        <w:rPr>
          <w:rFonts w:hint="eastAsia" w:ascii="宋体" w:hAnsi="Times New Roman" w:eastAsia="宋体" w:cs="宋体"/>
          <w:color w:val="auto"/>
          <w:kern w:val="21"/>
          <w:sz w:val="21"/>
          <w:szCs w:val="22"/>
          <w:highlight w:val="none"/>
          <w:u w:val="single"/>
          <w:lang w:val="en-US" w:eastAsia="zh-CN" w:bidi="ar-SA"/>
        </w:rPr>
        <w:t>发出中标通知书前，中标人应未被纳入失信联合惩戒名单，失信联合惩戒名单以“信用广州”网站公布的“失信联合惩戒黑名单”为准。否则招标人取消其中标资格，招标人可以按照评标委员会提出的中标候选人名单排序依次确定其他中标候选人为中标人。</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7.5 中标通知</w:t>
      </w:r>
    </w:p>
    <w:p>
      <w:pPr>
        <w:spacing w:line="360" w:lineRule="auto"/>
        <w:ind w:left="100" w:right="39" w:firstLine="420"/>
        <w:rPr>
          <w:rFonts w:ascii="宋体" w:eastAsia="宋体" w:cs="宋体"/>
          <w:color w:val="auto"/>
          <w:kern w:val="21"/>
          <w:highlight w:val="none"/>
        </w:rPr>
      </w:pPr>
      <w:r>
        <w:rPr>
          <w:rFonts w:hint="eastAsia" w:ascii="宋体" w:eastAsia="宋体" w:cs="宋体"/>
          <w:color w:val="auto"/>
          <w:kern w:val="21"/>
          <w:highlight w:val="none"/>
        </w:rPr>
        <w:t>在本章第 3.3 款规定的投标有效期内，招标人以书面形式向中标人发出</w:t>
      </w:r>
      <w:r>
        <w:rPr>
          <w:rFonts w:hint="eastAsia" w:ascii="宋体" w:eastAsia="宋体" w:cs="宋体"/>
          <w:color w:val="auto"/>
          <w:kern w:val="21"/>
          <w:highlight w:val="none"/>
          <w:u w:val="single"/>
        </w:rPr>
        <w:t>电子</w:t>
      </w:r>
      <w:r>
        <w:rPr>
          <w:rFonts w:hint="eastAsia" w:ascii="宋体" w:eastAsia="宋体" w:cs="宋体"/>
          <w:color w:val="auto"/>
          <w:kern w:val="21"/>
          <w:highlight w:val="none"/>
        </w:rPr>
        <w:t>中标通知书。</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7.6 履约保证金</w:t>
      </w:r>
    </w:p>
    <w:p>
      <w:pPr>
        <w:spacing w:line="360" w:lineRule="auto"/>
        <w:ind w:right="-20" w:firstLine="518" w:firstLineChars="247"/>
        <w:jc w:val="left"/>
        <w:rPr>
          <w:rFonts w:ascii="宋体" w:eastAsia="宋体" w:cs="宋体"/>
          <w:color w:val="auto"/>
          <w:kern w:val="21"/>
          <w:highlight w:val="none"/>
        </w:rPr>
      </w:pPr>
      <w:r>
        <w:rPr>
          <w:rFonts w:hint="eastAsia" w:ascii="宋体" w:eastAsia="宋体" w:cs="宋体"/>
          <w:color w:val="auto"/>
          <w:kern w:val="21"/>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7.6.2 中标人不能按本章第 7.6.1 项要求提交履约保证金的，视为放弃中标，其投标保证金不予退还，给招标人造成的损失超过投标保证金数额的，中标人还应当对超过部分予以赔偿。</w:t>
      </w:r>
    </w:p>
    <w:p>
      <w:pPr>
        <w:spacing w:line="360"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7.7 签订合同</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7.7.2 发出中标通知书后，招标人无正当理由拒签合同，或者在签订合同时向中标人提出附加条件的，招标人向中标人退还投标保证金；给中标人造成损失的，还应当赔偿损失。</w:t>
      </w:r>
    </w:p>
    <w:p>
      <w:pPr>
        <w:spacing w:line="348" w:lineRule="auto"/>
        <w:ind w:left="100" w:right="139" w:firstLine="420"/>
        <w:rPr>
          <w:rFonts w:ascii="宋体" w:eastAsia="宋体" w:cs="宋体"/>
          <w:color w:val="auto"/>
          <w:kern w:val="21"/>
          <w:highlight w:val="none"/>
        </w:rPr>
      </w:pPr>
      <w:r>
        <w:rPr>
          <w:rFonts w:hint="eastAsia" w:ascii="宋体" w:eastAsia="宋体" w:cs="宋体"/>
          <w:color w:val="auto"/>
          <w:kern w:val="21"/>
          <w:highlight w:val="none"/>
        </w:rPr>
        <w:t>7.7.3 联合体中标的，联合体各方应当共同与招标人签订合同，就中标项目向招标人承担连带责任。</w:t>
      </w:r>
    </w:p>
    <w:p>
      <w:pPr>
        <w:spacing w:line="360" w:lineRule="auto"/>
        <w:ind w:left="100" w:right="-20"/>
        <w:jc w:val="left"/>
        <w:outlineLvl w:val="2"/>
        <w:rPr>
          <w:rFonts w:ascii="宋体" w:eastAsia="宋体" w:cs="黑体"/>
          <w:b/>
          <w:color w:val="auto"/>
          <w:kern w:val="21"/>
          <w:sz w:val="30"/>
          <w:szCs w:val="30"/>
          <w:highlight w:val="none"/>
        </w:rPr>
      </w:pPr>
      <w:bookmarkStart w:id="108" w:name="_Toc5838"/>
      <w:bookmarkStart w:id="109" w:name="_Toc9929"/>
      <w:bookmarkStart w:id="110" w:name="_Toc3077"/>
      <w:bookmarkStart w:id="111" w:name="_Toc14835"/>
      <w:bookmarkStart w:id="112" w:name="_Toc14285"/>
      <w:bookmarkStart w:id="113" w:name="_Toc18550"/>
      <w:bookmarkStart w:id="114" w:name="_Toc20173"/>
      <w:bookmarkStart w:id="115" w:name="_Toc78382566"/>
      <w:bookmarkStart w:id="116" w:name="_Toc3249"/>
      <w:bookmarkStart w:id="117" w:name="_Toc19446"/>
      <w:bookmarkStart w:id="118" w:name="_Toc2296"/>
      <w:r>
        <w:rPr>
          <w:rFonts w:hint="eastAsia" w:ascii="宋体" w:eastAsia="宋体" w:cs="黑体"/>
          <w:b/>
          <w:color w:val="auto"/>
          <w:kern w:val="21"/>
          <w:sz w:val="30"/>
          <w:szCs w:val="30"/>
          <w:highlight w:val="none"/>
        </w:rPr>
        <w:t>8.纪律和监督</w:t>
      </w:r>
      <w:bookmarkEnd w:id="108"/>
      <w:bookmarkEnd w:id="109"/>
      <w:bookmarkEnd w:id="110"/>
      <w:bookmarkEnd w:id="111"/>
      <w:bookmarkEnd w:id="112"/>
      <w:bookmarkEnd w:id="113"/>
      <w:bookmarkEnd w:id="114"/>
      <w:bookmarkEnd w:id="115"/>
      <w:bookmarkEnd w:id="116"/>
      <w:bookmarkEnd w:id="117"/>
      <w:bookmarkEnd w:id="118"/>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8.1 对招标人的纪律要求</w:t>
      </w:r>
    </w:p>
    <w:p>
      <w:pPr>
        <w:spacing w:line="348" w:lineRule="auto"/>
        <w:ind w:left="100" w:right="34" w:firstLine="420"/>
        <w:jc w:val="left"/>
        <w:rPr>
          <w:rFonts w:ascii="宋体" w:eastAsia="宋体" w:cs="宋体"/>
          <w:color w:val="auto"/>
          <w:kern w:val="21"/>
          <w:highlight w:val="none"/>
        </w:rPr>
      </w:pPr>
      <w:r>
        <w:rPr>
          <w:rFonts w:hint="eastAsia" w:ascii="宋体" w:eastAsia="宋体" w:cs="宋体"/>
          <w:color w:val="auto"/>
          <w:kern w:val="21"/>
          <w:highlight w:val="none"/>
        </w:rPr>
        <w:t>招标人不得泄露招标投标活动中应当保密的情况和资料，不得与投标人串通损害国家利益、社会公共利益或者他人合法权益。</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8.2 对投标人的纪律要求</w:t>
      </w:r>
    </w:p>
    <w:p>
      <w:pPr>
        <w:spacing w:line="348" w:lineRule="auto"/>
        <w:ind w:left="100" w:right="142" w:firstLine="420"/>
        <w:rPr>
          <w:rFonts w:ascii="宋体" w:eastAsia="宋体" w:cs="宋体"/>
          <w:color w:val="auto"/>
          <w:kern w:val="21"/>
          <w:highlight w:val="none"/>
        </w:rPr>
      </w:pPr>
      <w:r>
        <w:rPr>
          <w:rFonts w:hint="eastAsia" w:ascii="宋体" w:eastAsia="宋体" w:cs="宋体"/>
          <w:color w:val="auto"/>
          <w:kern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8.3 对评标委员会成员的纪律要求</w:t>
      </w:r>
    </w:p>
    <w:p>
      <w:pPr>
        <w:spacing w:line="348" w:lineRule="auto"/>
        <w:ind w:left="100" w:right="-20"/>
        <w:jc w:val="left"/>
        <w:rPr>
          <w:rFonts w:ascii="宋体" w:eastAsia="宋体" w:cs="宋体"/>
          <w:color w:val="auto"/>
          <w:kern w:val="21"/>
          <w:highlight w:val="none"/>
        </w:rPr>
      </w:pPr>
      <w:r>
        <w:rPr>
          <w:rFonts w:hint="eastAsia" w:ascii="宋体" w:eastAsia="宋体" w:cs="宋体"/>
          <w:color w:val="auto"/>
          <w:kern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8.4 对与评标活动有关的工作人员的纪律要求</w:t>
      </w:r>
    </w:p>
    <w:p>
      <w:pPr>
        <w:spacing w:line="348"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48" w:lineRule="auto"/>
        <w:ind w:left="237" w:right="-20"/>
        <w:jc w:val="left"/>
        <w:rPr>
          <w:rFonts w:ascii="宋体" w:eastAsia="宋体" w:cs="宋体"/>
          <w:b/>
          <w:bCs/>
          <w:color w:val="auto"/>
          <w:kern w:val="21"/>
          <w:sz w:val="28"/>
          <w:highlight w:val="none"/>
        </w:rPr>
      </w:pPr>
      <w:r>
        <w:rPr>
          <w:rFonts w:hint="eastAsia" w:ascii="宋体" w:eastAsia="宋体" w:cs="宋体"/>
          <w:b/>
          <w:bCs/>
          <w:color w:val="auto"/>
          <w:kern w:val="21"/>
          <w:sz w:val="28"/>
          <w:highlight w:val="none"/>
        </w:rPr>
        <w:t>8.5 投诉</w:t>
      </w:r>
    </w:p>
    <w:p>
      <w:pPr>
        <w:spacing w:line="348" w:lineRule="auto"/>
        <w:ind w:left="100" w:right="42" w:firstLine="420"/>
        <w:rPr>
          <w:rFonts w:ascii="宋体" w:eastAsia="宋体" w:cs="宋体"/>
          <w:color w:val="auto"/>
          <w:kern w:val="21"/>
          <w:highlight w:val="none"/>
        </w:rPr>
      </w:pPr>
      <w:r>
        <w:rPr>
          <w:rFonts w:hint="eastAsia" w:ascii="宋体" w:eastAsia="宋体" w:cs="宋体"/>
          <w:color w:val="auto"/>
          <w:kern w:val="21"/>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spacing w:line="348" w:lineRule="auto"/>
        <w:ind w:left="100" w:right="41" w:firstLine="420"/>
        <w:rPr>
          <w:rFonts w:ascii="宋体" w:eastAsia="宋体" w:cs="宋体"/>
          <w:color w:val="auto"/>
          <w:kern w:val="21"/>
          <w:highlight w:val="none"/>
        </w:rPr>
      </w:pPr>
      <w:r>
        <w:rPr>
          <w:rFonts w:hint="eastAsia" w:ascii="宋体" w:eastAsia="宋体" w:cs="宋体"/>
          <w:color w:val="auto"/>
          <w:kern w:val="21"/>
          <w:highlight w:val="none"/>
        </w:rPr>
        <w:t>8.5.2 投标人或者其他利害关系人对招标文件、开标和评标结果提出投诉的，应当按照投标人须知第 2.4 款、第 5.3 款和第 7.2 款的规定先向招标人提出异议。异议答复期间不计算在第 8.5.1 项规定的期限内。</w:t>
      </w:r>
    </w:p>
    <w:p>
      <w:pPr>
        <w:spacing w:line="360" w:lineRule="auto"/>
        <w:ind w:left="100" w:right="-20"/>
        <w:jc w:val="left"/>
        <w:outlineLvl w:val="2"/>
        <w:rPr>
          <w:rFonts w:ascii="宋体" w:eastAsia="宋体" w:cs="黑体"/>
          <w:b/>
          <w:color w:val="auto"/>
          <w:kern w:val="21"/>
          <w:sz w:val="30"/>
          <w:szCs w:val="30"/>
          <w:highlight w:val="none"/>
        </w:rPr>
      </w:pPr>
      <w:bookmarkStart w:id="119" w:name="_Toc23499"/>
      <w:bookmarkStart w:id="120" w:name="_Toc27042"/>
      <w:bookmarkStart w:id="121" w:name="_Toc17964"/>
      <w:bookmarkStart w:id="122" w:name="_Toc14025"/>
      <w:bookmarkStart w:id="123" w:name="_Toc23692"/>
      <w:bookmarkStart w:id="124" w:name="_Toc25187"/>
      <w:bookmarkStart w:id="125" w:name="_Toc28791"/>
      <w:bookmarkStart w:id="126" w:name="_Toc78382567"/>
      <w:bookmarkStart w:id="127" w:name="_Toc19276"/>
      <w:bookmarkStart w:id="128" w:name="_Toc32372"/>
      <w:bookmarkStart w:id="129" w:name="_Toc6389"/>
      <w:r>
        <w:rPr>
          <w:rFonts w:hint="eastAsia" w:ascii="宋体" w:eastAsia="宋体" w:cs="黑体"/>
          <w:b/>
          <w:color w:val="auto"/>
          <w:kern w:val="21"/>
          <w:sz w:val="30"/>
          <w:szCs w:val="30"/>
          <w:highlight w:val="none"/>
        </w:rPr>
        <w:t>9. 是否采用电子招标投标</w:t>
      </w:r>
      <w:bookmarkEnd w:id="119"/>
      <w:bookmarkEnd w:id="120"/>
      <w:bookmarkEnd w:id="121"/>
      <w:bookmarkEnd w:id="122"/>
      <w:bookmarkEnd w:id="123"/>
      <w:bookmarkEnd w:id="124"/>
      <w:bookmarkEnd w:id="125"/>
      <w:bookmarkEnd w:id="126"/>
      <w:bookmarkEnd w:id="127"/>
      <w:bookmarkEnd w:id="128"/>
      <w:bookmarkEnd w:id="129"/>
    </w:p>
    <w:p>
      <w:pPr>
        <w:spacing w:line="348" w:lineRule="auto"/>
        <w:ind w:left="520" w:right="-20"/>
        <w:jc w:val="left"/>
        <w:rPr>
          <w:rFonts w:ascii="宋体" w:eastAsia="宋体" w:cs="宋体"/>
          <w:color w:val="auto"/>
          <w:kern w:val="21"/>
          <w:highlight w:val="none"/>
        </w:rPr>
      </w:pPr>
      <w:r>
        <w:rPr>
          <w:rFonts w:hint="eastAsia" w:ascii="宋体" w:eastAsia="宋体" w:cs="宋体"/>
          <w:color w:val="auto"/>
          <w:kern w:val="21"/>
          <w:highlight w:val="none"/>
        </w:rPr>
        <w:t>本招标项目是否采用电子招标投标方式，见投标人须知前附表。</w:t>
      </w:r>
    </w:p>
    <w:p>
      <w:pPr>
        <w:spacing w:line="360" w:lineRule="auto"/>
        <w:ind w:left="100" w:right="-20"/>
        <w:jc w:val="left"/>
        <w:outlineLvl w:val="2"/>
        <w:rPr>
          <w:rFonts w:ascii="宋体" w:eastAsia="宋体" w:cs="黑体"/>
          <w:b/>
          <w:color w:val="auto"/>
          <w:kern w:val="21"/>
          <w:sz w:val="30"/>
          <w:szCs w:val="30"/>
          <w:highlight w:val="none"/>
        </w:rPr>
      </w:pPr>
      <w:bookmarkStart w:id="130" w:name="_Toc10896"/>
      <w:bookmarkStart w:id="131" w:name="_Toc29351"/>
      <w:bookmarkStart w:id="132" w:name="_Toc5878"/>
      <w:bookmarkStart w:id="133" w:name="_Toc25579"/>
      <w:bookmarkStart w:id="134" w:name="_Toc31872"/>
      <w:bookmarkStart w:id="135" w:name="_Toc29981"/>
      <w:bookmarkStart w:id="136" w:name="_Toc30544"/>
      <w:bookmarkStart w:id="137" w:name="_Toc78382568"/>
      <w:bookmarkStart w:id="138" w:name="_Toc25106"/>
      <w:bookmarkStart w:id="139" w:name="_Toc11965"/>
      <w:bookmarkStart w:id="140" w:name="_Toc1488"/>
      <w:r>
        <w:rPr>
          <w:rFonts w:hint="eastAsia" w:ascii="宋体" w:eastAsia="宋体" w:cs="黑体"/>
          <w:b/>
          <w:color w:val="auto"/>
          <w:kern w:val="21"/>
          <w:sz w:val="30"/>
          <w:szCs w:val="30"/>
          <w:highlight w:val="none"/>
        </w:rPr>
        <w:t>10. 需要补充的其他内容</w:t>
      </w:r>
      <w:bookmarkEnd w:id="130"/>
      <w:bookmarkEnd w:id="131"/>
      <w:bookmarkEnd w:id="132"/>
      <w:bookmarkEnd w:id="133"/>
      <w:bookmarkEnd w:id="134"/>
      <w:bookmarkEnd w:id="135"/>
      <w:bookmarkEnd w:id="136"/>
      <w:bookmarkEnd w:id="137"/>
      <w:bookmarkEnd w:id="138"/>
      <w:bookmarkEnd w:id="139"/>
      <w:bookmarkEnd w:id="140"/>
    </w:p>
    <w:p>
      <w:pPr>
        <w:spacing w:line="348" w:lineRule="auto"/>
        <w:ind w:left="520" w:right="-20"/>
        <w:jc w:val="left"/>
        <w:rPr>
          <w:rFonts w:ascii="宋体" w:eastAsia="宋体"/>
          <w:color w:val="auto"/>
          <w:highlight w:val="none"/>
        </w:rPr>
        <w:sectPr>
          <w:type w:val="nextColumn"/>
          <w:pgSz w:w="11907" w:h="16840"/>
          <w:pgMar w:top="1440" w:right="1514" w:bottom="1440" w:left="1514" w:header="850" w:footer="992" w:gutter="0"/>
          <w:cols w:space="0" w:num="1"/>
          <w:docGrid w:linePitch="312" w:charSpace="0"/>
        </w:sectPr>
      </w:pPr>
      <w:r>
        <w:rPr>
          <w:rFonts w:hint="eastAsia" w:ascii="宋体" w:eastAsia="宋体" w:cs="宋体"/>
          <w:color w:val="auto"/>
          <w:kern w:val="21"/>
          <w:highlight w:val="none"/>
        </w:rPr>
        <w:t>需要补充的其他内容：见投标人须知前附表。</w:t>
      </w:r>
    </w:p>
    <w:p>
      <w:pPr>
        <w:pStyle w:val="5"/>
        <w:keepNext w:val="0"/>
        <w:keepLines w:val="0"/>
        <w:pageBreakBefore/>
        <w:ind w:firstLine="137"/>
        <w:rPr>
          <w:rFonts w:ascii="宋体" w:eastAsia="宋体" w:cs="宋体"/>
          <w:color w:val="auto"/>
          <w:highlight w:val="none"/>
        </w:rPr>
      </w:pPr>
      <w:bookmarkStart w:id="141" w:name="_Toc30343"/>
      <w:bookmarkStart w:id="142" w:name="_Toc27140"/>
      <w:r>
        <w:rPr>
          <w:rFonts w:hint="eastAsia" w:ascii="宋体" w:eastAsia="宋体" w:cs="宋体"/>
          <w:color w:val="auto"/>
          <w:highlight w:val="none"/>
        </w:rPr>
        <w:t>附件一：开标记录表</w:t>
      </w:r>
      <w:bookmarkEnd w:id="38"/>
      <w:bookmarkEnd w:id="141"/>
      <w:bookmarkEnd w:id="142"/>
    </w:p>
    <w:p>
      <w:pPr>
        <w:spacing w:line="360" w:lineRule="auto"/>
        <w:jc w:val="center"/>
        <w:rPr>
          <w:rFonts w:ascii="宋体" w:eastAsia="宋体" w:cs="宋体"/>
          <w:color w:val="auto"/>
          <w:sz w:val="28"/>
          <w:szCs w:val="28"/>
          <w:highlight w:val="none"/>
        </w:rPr>
      </w:pPr>
      <w:r>
        <w:rPr>
          <w:rFonts w:ascii="宋体" w:eastAsia="宋体" w:cs="宋体"/>
          <w:color w:val="auto"/>
          <w:sz w:val="28"/>
          <w:szCs w:val="28"/>
          <w:highlight w:val="none"/>
        </w:rPr>
        <w:t>开标记录表</w:t>
      </w:r>
    </w:p>
    <w:p>
      <w:pPr>
        <w:spacing w:before="156" w:beforeLines="50" w:after="156" w:afterLines="50" w:line="400" w:lineRule="exact"/>
        <w:ind w:right="42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开标时间：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年</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日</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时</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分</w:t>
      </w:r>
    </w:p>
    <w:tbl>
      <w:tblPr>
        <w:tblStyle w:val="46"/>
        <w:tblW w:w="9090" w:type="dxa"/>
        <w:jc w:val="center"/>
        <w:tblInd w:w="0" w:type="dxa"/>
        <w:tblLayout w:type="fixed"/>
        <w:tblCellMar>
          <w:top w:w="0" w:type="dxa"/>
          <w:left w:w="108" w:type="dxa"/>
          <w:bottom w:w="0" w:type="dxa"/>
          <w:right w:w="108" w:type="dxa"/>
        </w:tblCellMar>
      </w:tblPr>
      <w:tblGrid>
        <w:gridCol w:w="531"/>
        <w:gridCol w:w="902"/>
        <w:gridCol w:w="902"/>
        <w:gridCol w:w="1062"/>
        <w:gridCol w:w="1295"/>
        <w:gridCol w:w="1464"/>
        <w:gridCol w:w="862"/>
        <w:gridCol w:w="862"/>
        <w:gridCol w:w="1210"/>
      </w:tblGrid>
      <w:tr>
        <w:tblPrEx>
          <w:tblLayout w:type="fixed"/>
          <w:tblCellMar>
            <w:top w:w="0" w:type="dxa"/>
            <w:left w:w="108" w:type="dxa"/>
            <w:bottom w:w="0" w:type="dxa"/>
            <w:right w:w="108" w:type="dxa"/>
          </w:tblCellMar>
        </w:tblPrEx>
        <w:trPr>
          <w:trHeight w:val="1237"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序号</w:t>
            </w:r>
          </w:p>
        </w:tc>
        <w:tc>
          <w:tcPr>
            <w:tcW w:w="902"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投标人</w:t>
            </w:r>
          </w:p>
        </w:tc>
        <w:tc>
          <w:tcPr>
            <w:tcW w:w="902"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投标文件递交情况</w:t>
            </w:r>
          </w:p>
        </w:tc>
        <w:tc>
          <w:tcPr>
            <w:tcW w:w="10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投标文件</w:t>
            </w:r>
          </w:p>
          <w:p>
            <w:pPr>
              <w:spacing w:line="360" w:lineRule="auto"/>
              <w:jc w:val="center"/>
              <w:rPr>
                <w:rFonts w:ascii="宋体" w:eastAsia="宋体" w:cs="宋体"/>
                <w:color w:val="auto"/>
                <w:szCs w:val="21"/>
                <w:highlight w:val="none"/>
              </w:rPr>
            </w:pPr>
            <w:r>
              <w:rPr>
                <w:rFonts w:ascii="宋体" w:eastAsia="宋体" w:cs="宋体"/>
                <w:color w:val="auto"/>
                <w:szCs w:val="21"/>
                <w:highlight w:val="none"/>
              </w:rPr>
              <w:t>解密情况</w:t>
            </w:r>
          </w:p>
        </w:tc>
        <w:tc>
          <w:tcPr>
            <w:tcW w:w="1295"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投标保证金</w:t>
            </w:r>
          </w:p>
        </w:tc>
        <w:tc>
          <w:tcPr>
            <w:tcW w:w="1464"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投标报价</w:t>
            </w:r>
          </w:p>
          <w:p>
            <w:pPr>
              <w:spacing w:line="360" w:lineRule="auto"/>
              <w:jc w:val="center"/>
              <w:rPr>
                <w:rFonts w:ascii="宋体" w:eastAsia="宋体" w:cs="宋体"/>
                <w:color w:val="auto"/>
                <w:szCs w:val="21"/>
                <w:highlight w:val="none"/>
              </w:rPr>
            </w:pPr>
            <w:r>
              <w:rPr>
                <w:rFonts w:ascii="宋体" w:eastAsia="宋体" w:cs="宋体"/>
                <w:color w:val="auto"/>
                <w:szCs w:val="21"/>
                <w:highlight w:val="none"/>
              </w:rPr>
              <w:t>（元）</w:t>
            </w:r>
          </w:p>
        </w:tc>
        <w:tc>
          <w:tcPr>
            <w:tcW w:w="8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w:t>
            </w:r>
            <w:r>
              <w:rPr>
                <w:rFonts w:hint="eastAsia" w:ascii="宋体" w:eastAsia="宋体" w:cs="宋体"/>
                <w:color w:val="auto"/>
                <w:szCs w:val="21"/>
                <w:highlight w:val="none"/>
              </w:rPr>
              <w:t>下浮率</w:t>
            </w:r>
          </w:p>
        </w:tc>
        <w:tc>
          <w:tcPr>
            <w:tcW w:w="8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项目</w:t>
            </w:r>
          </w:p>
          <w:p>
            <w:pPr>
              <w:spacing w:line="360" w:lineRule="auto"/>
              <w:jc w:val="center"/>
              <w:rPr>
                <w:rFonts w:ascii="宋体" w:eastAsia="宋体" w:cs="宋体"/>
                <w:color w:val="auto"/>
                <w:szCs w:val="21"/>
                <w:highlight w:val="none"/>
              </w:rPr>
            </w:pPr>
            <w:r>
              <w:rPr>
                <w:rFonts w:ascii="宋体" w:eastAsia="宋体" w:cs="宋体"/>
                <w:color w:val="auto"/>
                <w:szCs w:val="21"/>
                <w:highlight w:val="none"/>
              </w:rPr>
              <w:t>负责人</w:t>
            </w:r>
          </w:p>
        </w:tc>
        <w:tc>
          <w:tcPr>
            <w:tcW w:w="12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Cs w:val="21"/>
                <w:highlight w:val="none"/>
              </w:rPr>
            </w:pPr>
            <w:r>
              <w:rPr>
                <w:rFonts w:ascii="宋体" w:eastAsia="宋体" w:cs="宋体"/>
                <w:color w:val="auto"/>
                <w:szCs w:val="21"/>
                <w:highlight w:val="none"/>
              </w:rPr>
              <w:t>投标人</w:t>
            </w:r>
          </w:p>
          <w:p>
            <w:pPr>
              <w:spacing w:line="360" w:lineRule="auto"/>
              <w:jc w:val="center"/>
              <w:rPr>
                <w:rFonts w:ascii="宋体" w:eastAsia="宋体" w:cs="宋体"/>
                <w:color w:val="auto"/>
                <w:szCs w:val="21"/>
                <w:highlight w:val="none"/>
              </w:rPr>
            </w:pPr>
            <w:r>
              <w:rPr>
                <w:rFonts w:ascii="宋体" w:eastAsia="宋体" w:cs="宋体"/>
                <w:color w:val="auto"/>
                <w:szCs w:val="21"/>
                <w:highlight w:val="none"/>
              </w:rPr>
              <w:t>代表签名</w:t>
            </w:r>
          </w:p>
        </w:tc>
      </w:tr>
      <w:tr>
        <w:tblPrEx>
          <w:tblLayout w:type="fixed"/>
          <w:tblCellMar>
            <w:top w:w="0" w:type="dxa"/>
            <w:left w:w="108" w:type="dxa"/>
            <w:bottom w:w="0" w:type="dxa"/>
            <w:right w:w="108" w:type="dxa"/>
          </w:tblCellMar>
        </w:tblPrEx>
        <w:trPr>
          <w:trHeight w:val="418" w:hRule="atLeast"/>
          <w:jc w:val="center"/>
        </w:trPr>
        <w:tc>
          <w:tcPr>
            <w:tcW w:w="531" w:type="dxa"/>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0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95"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10"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Layout w:type="fixed"/>
          <w:tblCellMar>
            <w:top w:w="0" w:type="dxa"/>
            <w:left w:w="108" w:type="dxa"/>
            <w:bottom w:w="0" w:type="dxa"/>
            <w:right w:w="108" w:type="dxa"/>
          </w:tblCellMar>
        </w:tblPrEx>
        <w:trPr>
          <w:trHeight w:val="418" w:hRule="atLeast"/>
          <w:jc w:val="center"/>
        </w:trPr>
        <w:tc>
          <w:tcPr>
            <w:tcW w:w="531" w:type="dxa"/>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0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95"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10"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Layout w:type="fixed"/>
          <w:tblCellMar>
            <w:top w:w="0" w:type="dxa"/>
            <w:left w:w="108" w:type="dxa"/>
            <w:bottom w:w="0" w:type="dxa"/>
            <w:right w:w="108" w:type="dxa"/>
          </w:tblCellMar>
        </w:tblPrEx>
        <w:trPr>
          <w:trHeight w:val="418" w:hRule="atLeast"/>
          <w:jc w:val="center"/>
        </w:trPr>
        <w:tc>
          <w:tcPr>
            <w:tcW w:w="531" w:type="dxa"/>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0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95"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10"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Layout w:type="fixed"/>
          <w:tblCellMar>
            <w:top w:w="0" w:type="dxa"/>
            <w:left w:w="108" w:type="dxa"/>
            <w:bottom w:w="0" w:type="dxa"/>
            <w:right w:w="108" w:type="dxa"/>
          </w:tblCellMar>
        </w:tblPrEx>
        <w:trPr>
          <w:trHeight w:val="418" w:hRule="atLeast"/>
          <w:jc w:val="center"/>
        </w:trPr>
        <w:tc>
          <w:tcPr>
            <w:tcW w:w="531" w:type="dxa"/>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0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95"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10"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Layout w:type="fixed"/>
          <w:tblCellMar>
            <w:top w:w="0" w:type="dxa"/>
            <w:left w:w="108" w:type="dxa"/>
            <w:bottom w:w="0" w:type="dxa"/>
            <w:right w:w="108" w:type="dxa"/>
          </w:tblCellMar>
        </w:tblPrEx>
        <w:trPr>
          <w:trHeight w:val="418" w:hRule="atLeast"/>
          <w:jc w:val="center"/>
        </w:trPr>
        <w:tc>
          <w:tcPr>
            <w:tcW w:w="531" w:type="dxa"/>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0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95"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10"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Layout w:type="fixed"/>
          <w:tblCellMar>
            <w:top w:w="0" w:type="dxa"/>
            <w:left w:w="108" w:type="dxa"/>
            <w:bottom w:w="0" w:type="dxa"/>
            <w:right w:w="108" w:type="dxa"/>
          </w:tblCellMar>
        </w:tblPrEx>
        <w:trPr>
          <w:trHeight w:val="418" w:hRule="atLeast"/>
          <w:jc w:val="center"/>
        </w:trPr>
        <w:tc>
          <w:tcPr>
            <w:tcW w:w="531" w:type="dxa"/>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0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95"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10"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Layout w:type="fixed"/>
          <w:tblCellMar>
            <w:top w:w="0" w:type="dxa"/>
            <w:left w:w="108" w:type="dxa"/>
            <w:bottom w:w="0" w:type="dxa"/>
            <w:right w:w="108" w:type="dxa"/>
          </w:tblCellMar>
        </w:tblPrEx>
        <w:trPr>
          <w:trHeight w:val="418" w:hRule="atLeast"/>
          <w:jc w:val="center"/>
        </w:trPr>
        <w:tc>
          <w:tcPr>
            <w:tcW w:w="531" w:type="dxa"/>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0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95"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10"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Layout w:type="fixed"/>
          <w:tblCellMar>
            <w:top w:w="0" w:type="dxa"/>
            <w:left w:w="108" w:type="dxa"/>
            <w:bottom w:w="0" w:type="dxa"/>
            <w:right w:w="108" w:type="dxa"/>
          </w:tblCellMar>
        </w:tblPrEx>
        <w:trPr>
          <w:trHeight w:val="418" w:hRule="atLeast"/>
          <w:jc w:val="center"/>
        </w:trPr>
        <w:tc>
          <w:tcPr>
            <w:tcW w:w="531" w:type="dxa"/>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0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95"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10"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Layout w:type="fixed"/>
          <w:tblCellMar>
            <w:top w:w="0" w:type="dxa"/>
            <w:left w:w="108" w:type="dxa"/>
            <w:bottom w:w="0" w:type="dxa"/>
            <w:right w:w="108" w:type="dxa"/>
          </w:tblCellMar>
        </w:tblPrEx>
        <w:trPr>
          <w:trHeight w:val="513" w:hRule="atLeast"/>
          <w:jc w:val="center"/>
        </w:trPr>
        <w:tc>
          <w:tcPr>
            <w:tcW w:w="531" w:type="dxa"/>
            <w:tcBorders>
              <w:top w:val="single" w:color="auto" w:sz="4" w:space="0"/>
              <w:left w:val="single" w:color="auto" w:sz="4" w:space="0"/>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0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95"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464"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c>
          <w:tcPr>
            <w:tcW w:w="1210" w:type="dxa"/>
            <w:tcBorders>
              <w:top w:val="single" w:color="auto" w:sz="4" w:space="0"/>
              <w:left w:val="nil"/>
              <w:bottom w:val="single" w:color="auto" w:sz="4" w:space="0"/>
              <w:right w:val="single" w:color="auto" w:sz="4" w:space="0"/>
            </w:tcBorders>
          </w:tcPr>
          <w:p>
            <w:pPr>
              <w:spacing w:line="360" w:lineRule="auto"/>
              <w:rPr>
                <w:rFonts w:ascii="宋体" w:eastAsia="宋体" w:cs="宋体"/>
                <w:color w:val="auto"/>
                <w:szCs w:val="21"/>
                <w:highlight w:val="none"/>
              </w:rPr>
            </w:pPr>
          </w:p>
        </w:tc>
      </w:tr>
      <w:tr>
        <w:tblPrEx>
          <w:tblLayout w:type="fixed"/>
          <w:tblCellMar>
            <w:top w:w="0" w:type="dxa"/>
            <w:left w:w="108" w:type="dxa"/>
            <w:bottom w:w="0" w:type="dxa"/>
            <w:right w:w="108" w:type="dxa"/>
          </w:tblCellMar>
        </w:tblPrEx>
        <w:trPr>
          <w:trHeight w:val="425"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902" w:type="dxa"/>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1062" w:type="dxa"/>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1295" w:type="dxa"/>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1464" w:type="dxa"/>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862" w:type="dxa"/>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c>
          <w:tcPr>
            <w:tcW w:w="1210" w:type="dxa"/>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r>
      <w:tr>
        <w:tblPrEx>
          <w:tblLayout w:type="fixed"/>
          <w:tblCellMar>
            <w:top w:w="0" w:type="dxa"/>
            <w:left w:w="108" w:type="dxa"/>
            <w:bottom w:w="0" w:type="dxa"/>
            <w:right w:w="108" w:type="dxa"/>
          </w:tblCellMar>
        </w:tblPrEx>
        <w:trPr>
          <w:trHeight w:val="542" w:hRule="atLeast"/>
          <w:jc w:val="center"/>
        </w:trPr>
        <w:tc>
          <w:tcPr>
            <w:tcW w:w="233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Cs w:val="21"/>
                <w:highlight w:val="none"/>
              </w:rPr>
            </w:pPr>
            <w:r>
              <w:rPr>
                <w:rFonts w:ascii="宋体" w:eastAsia="宋体" w:cs="宋体"/>
                <w:color w:val="auto"/>
                <w:szCs w:val="21"/>
                <w:highlight w:val="none"/>
              </w:rPr>
              <w:t>最高投标限价：</w:t>
            </w:r>
          </w:p>
        </w:tc>
        <w:tc>
          <w:tcPr>
            <w:tcW w:w="6755" w:type="dxa"/>
            <w:gridSpan w:val="6"/>
            <w:tcBorders>
              <w:top w:val="single" w:color="auto" w:sz="4" w:space="0"/>
              <w:left w:val="nil"/>
              <w:bottom w:val="single" w:color="auto" w:sz="4" w:space="0"/>
              <w:right w:val="single" w:color="auto" w:sz="4" w:space="0"/>
            </w:tcBorders>
            <w:vAlign w:val="center"/>
          </w:tcPr>
          <w:p>
            <w:pPr>
              <w:spacing w:line="360" w:lineRule="auto"/>
              <w:rPr>
                <w:rFonts w:ascii="宋体" w:eastAsia="宋体" w:cs="宋体"/>
                <w:color w:val="auto"/>
                <w:szCs w:val="21"/>
                <w:highlight w:val="none"/>
              </w:rPr>
            </w:pPr>
          </w:p>
        </w:tc>
      </w:tr>
    </w:tbl>
    <w:p>
      <w:pPr>
        <w:spacing w:line="360" w:lineRule="auto"/>
        <w:rPr>
          <w:rFonts w:ascii="宋体" w:eastAsia="宋体" w:cs="宋体"/>
          <w:color w:val="auto"/>
          <w:szCs w:val="21"/>
          <w:highlight w:val="none"/>
        </w:rPr>
      </w:pPr>
    </w:p>
    <w:p>
      <w:pPr>
        <w:spacing w:line="6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招标人代表：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记录人：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监标人：</w:t>
      </w:r>
      <w:r>
        <w:rPr>
          <w:rFonts w:hint="eastAsia" w:ascii="宋体" w:hAnsi="宋体" w:eastAsia="宋体" w:cs="宋体"/>
          <w:color w:val="auto"/>
          <w:szCs w:val="21"/>
          <w:highlight w:val="none"/>
          <w:u w:val="single"/>
        </w:rPr>
        <w:t xml:space="preserve">       </w:t>
      </w:r>
    </w:p>
    <w:p>
      <w:pPr>
        <w:spacing w:line="62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40" w:lineRule="exact"/>
        <w:rPr>
          <w:rFonts w:ascii="宋体" w:eastAsia="宋体" w:cs="宋体"/>
          <w:color w:val="auto"/>
          <w:highlight w:val="none"/>
        </w:rPr>
      </w:pPr>
    </w:p>
    <w:p>
      <w:pPr>
        <w:spacing w:line="440" w:lineRule="exact"/>
        <w:rPr>
          <w:rFonts w:ascii="宋体" w:eastAsia="宋体" w:cs="宋体"/>
          <w:color w:val="auto"/>
          <w:highlight w:val="none"/>
        </w:rPr>
      </w:pPr>
      <w:r>
        <w:rPr>
          <w:rFonts w:hint="eastAsia" w:ascii="宋体" w:eastAsia="宋体" w:cs="宋体"/>
          <w:color w:val="auto"/>
          <w:highlight w:val="none"/>
        </w:rPr>
        <w:t>本表仅供参考，具体以开标时的开标记录表为准。</w:t>
      </w:r>
    </w:p>
    <w:p>
      <w:pPr>
        <w:spacing w:line="440" w:lineRule="exact"/>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p>
      <w:pPr>
        <w:widowControl/>
        <w:jc w:val="left"/>
        <w:rPr>
          <w:rFonts w:ascii="宋体" w:eastAsia="宋体" w:cs="宋体"/>
          <w:color w:val="auto"/>
          <w:highlight w:val="none"/>
        </w:rPr>
      </w:pPr>
      <w:r>
        <w:rPr>
          <w:rFonts w:ascii="宋体" w:eastAsia="宋体" w:cs="宋体"/>
          <w:color w:val="auto"/>
          <w:highlight w:val="none"/>
        </w:rPr>
        <w:br w:type="page"/>
      </w:r>
    </w:p>
    <w:p>
      <w:pPr>
        <w:pStyle w:val="5"/>
        <w:keepNext w:val="0"/>
        <w:keepLines w:val="0"/>
        <w:ind w:firstLine="137"/>
        <w:rPr>
          <w:rFonts w:ascii="宋体" w:eastAsia="宋体" w:cs="宋体"/>
          <w:color w:val="auto"/>
          <w:highlight w:val="none"/>
        </w:rPr>
      </w:pPr>
      <w:bookmarkStart w:id="143" w:name="_Toc523787642"/>
      <w:bookmarkStart w:id="144" w:name="_Toc523153657"/>
      <w:bookmarkStart w:id="145" w:name="_Toc119"/>
      <w:bookmarkStart w:id="146" w:name="_Toc4083"/>
      <w:r>
        <w:rPr>
          <w:rFonts w:hint="eastAsia" w:ascii="宋体" w:eastAsia="宋体" w:cs="宋体"/>
          <w:color w:val="auto"/>
          <w:highlight w:val="none"/>
        </w:rPr>
        <w:t>附件二：问题澄清通知</w:t>
      </w:r>
      <w:bookmarkEnd w:id="143"/>
      <w:bookmarkEnd w:id="144"/>
      <w:bookmarkEnd w:id="145"/>
      <w:bookmarkEnd w:id="146"/>
    </w:p>
    <w:p>
      <w:pPr>
        <w:spacing w:before="14"/>
        <w:ind w:right="13"/>
        <w:jc w:val="center"/>
        <w:rPr>
          <w:rFonts w:ascii="宋体" w:eastAsia="宋体" w:cs="宋体"/>
          <w:color w:val="auto"/>
          <w:sz w:val="24"/>
          <w:szCs w:val="24"/>
          <w:highlight w:val="none"/>
        </w:rPr>
      </w:pPr>
      <w:r>
        <w:rPr>
          <w:rFonts w:hint="eastAsia" w:ascii="宋体" w:eastAsia="宋体" w:cs="宋体"/>
          <w:color w:val="auto"/>
          <w:sz w:val="24"/>
          <w:szCs w:val="24"/>
          <w:highlight w:val="none"/>
        </w:rPr>
        <w:t>问题澄清通知</w:t>
      </w:r>
    </w:p>
    <w:p>
      <w:pPr>
        <w:pStyle w:val="17"/>
        <w:tabs>
          <w:tab w:val="left" w:pos="2937"/>
        </w:tabs>
        <w:spacing w:before="157"/>
        <w:ind w:right="20"/>
        <w:jc w:val="center"/>
        <w:rPr>
          <w:rFonts w:ascii="宋体"/>
          <w:color w:val="auto"/>
          <w:sz w:val="24"/>
          <w:szCs w:val="24"/>
          <w:highlight w:val="none"/>
        </w:rPr>
      </w:pPr>
      <w:r>
        <w:rPr>
          <w:rFonts w:hint="eastAsia" w:ascii="宋体"/>
          <w:color w:val="auto"/>
          <w:spacing w:val="-1"/>
          <w:sz w:val="24"/>
          <w:szCs w:val="24"/>
          <w:highlight w:val="none"/>
        </w:rPr>
        <w:t>（编号：</w:t>
      </w:r>
      <w:r>
        <w:rPr>
          <w:rFonts w:ascii="宋体"/>
          <w:color w:val="auto"/>
          <w:spacing w:val="-1"/>
          <w:sz w:val="24"/>
          <w:szCs w:val="24"/>
          <w:highlight w:val="none"/>
          <w:u w:val="single" w:color="000000"/>
        </w:rPr>
        <w:tab/>
      </w:r>
      <w:r>
        <w:rPr>
          <w:rFonts w:hint="eastAsia" w:ascii="宋体"/>
          <w:color w:val="auto"/>
          <w:sz w:val="24"/>
          <w:szCs w:val="24"/>
          <w:highlight w:val="none"/>
        </w:rPr>
        <w:t>）</w:t>
      </w:r>
    </w:p>
    <w:p>
      <w:pPr>
        <w:rPr>
          <w:rFonts w:ascii="宋体" w:eastAsia="宋体" w:cs="宋体"/>
          <w:color w:val="auto"/>
          <w:sz w:val="24"/>
          <w:szCs w:val="24"/>
          <w:highlight w:val="none"/>
        </w:rPr>
      </w:pPr>
    </w:p>
    <w:p>
      <w:pPr>
        <w:spacing w:before="5"/>
        <w:rPr>
          <w:rFonts w:ascii="宋体" w:eastAsia="宋体" w:cs="宋体"/>
          <w:color w:val="auto"/>
          <w:sz w:val="24"/>
          <w:szCs w:val="24"/>
          <w:highlight w:val="none"/>
        </w:rPr>
      </w:pPr>
    </w:p>
    <w:p>
      <w:pPr>
        <w:pStyle w:val="17"/>
        <w:tabs>
          <w:tab w:val="left" w:pos="2305"/>
        </w:tabs>
        <w:spacing w:before="36"/>
        <w:ind w:left="100" w:right="113"/>
        <w:rPr>
          <w:rFonts w:ascii="宋体"/>
          <w:color w:val="auto"/>
          <w:sz w:val="24"/>
          <w:szCs w:val="24"/>
          <w:highlight w:val="none"/>
        </w:rPr>
      </w:pPr>
      <w:r>
        <w:rPr>
          <w:rFonts w:ascii="宋体"/>
          <w:color w:val="auto"/>
          <w:sz w:val="24"/>
          <w:szCs w:val="24"/>
          <w:highlight w:val="none"/>
          <w:u w:val="single" w:color="000000"/>
        </w:rPr>
        <w:tab/>
      </w:r>
      <w:r>
        <w:rPr>
          <w:rFonts w:hint="eastAsia" w:ascii="宋体"/>
          <w:color w:val="auto"/>
          <w:spacing w:val="-15"/>
          <w:sz w:val="24"/>
          <w:szCs w:val="24"/>
          <w:highlight w:val="none"/>
        </w:rPr>
        <w:t>（投标人名称）：</w:t>
      </w:r>
    </w:p>
    <w:p>
      <w:pPr>
        <w:rPr>
          <w:rFonts w:ascii="宋体" w:eastAsia="宋体" w:cs="宋体"/>
          <w:color w:val="auto"/>
          <w:sz w:val="24"/>
          <w:szCs w:val="24"/>
          <w:highlight w:val="none"/>
        </w:rPr>
      </w:pPr>
    </w:p>
    <w:p>
      <w:pPr>
        <w:spacing w:before="8"/>
        <w:rPr>
          <w:rFonts w:ascii="宋体" w:eastAsia="宋体" w:cs="宋体"/>
          <w:color w:val="auto"/>
          <w:sz w:val="24"/>
          <w:szCs w:val="24"/>
          <w:highlight w:val="none"/>
        </w:rPr>
      </w:pPr>
    </w:p>
    <w:p>
      <w:pPr>
        <w:pStyle w:val="17"/>
        <w:spacing w:before="36" w:line="384" w:lineRule="auto"/>
        <w:ind w:left="100" w:right="113" w:firstLine="422"/>
        <w:rPr>
          <w:rFonts w:ascii="宋体"/>
          <w:color w:val="auto"/>
          <w:sz w:val="24"/>
          <w:szCs w:val="24"/>
          <w:highlight w:val="none"/>
        </w:rPr>
      </w:pPr>
      <w:r>
        <w:rPr>
          <w:rFonts w:hint="eastAsia" w:ascii="宋体"/>
          <w:color w:val="auto"/>
          <w:spacing w:val="-1"/>
          <w:sz w:val="24"/>
          <w:szCs w:val="24"/>
          <w:highlight w:val="none"/>
        </w:rPr>
        <w:t>评标委员会对你方的投标文件进行了仔细的审查，现需你方对下列问题以书面形式予以澄</w:t>
      </w:r>
      <w:r>
        <w:rPr>
          <w:rFonts w:hint="eastAsia" w:ascii="宋体"/>
          <w:color w:val="auto"/>
          <w:sz w:val="24"/>
          <w:szCs w:val="24"/>
          <w:highlight w:val="none"/>
        </w:rPr>
        <w:t>清、说明或补正：</w:t>
      </w:r>
    </w:p>
    <w:p>
      <w:pPr>
        <w:rPr>
          <w:rFonts w:ascii="宋体" w:eastAsia="宋体" w:cs="宋体"/>
          <w:color w:val="auto"/>
          <w:sz w:val="24"/>
          <w:szCs w:val="24"/>
          <w:highlight w:val="none"/>
        </w:rPr>
      </w:pPr>
    </w:p>
    <w:p>
      <w:pPr>
        <w:pStyle w:val="17"/>
        <w:ind w:left="522" w:right="113"/>
        <w:rPr>
          <w:rFonts w:ascii="宋体"/>
          <w:color w:val="auto"/>
          <w:sz w:val="24"/>
          <w:szCs w:val="24"/>
          <w:highlight w:val="none"/>
        </w:rPr>
      </w:pPr>
      <w:r>
        <w:rPr>
          <w:rFonts w:ascii="宋体"/>
          <w:color w:val="auto"/>
          <w:sz w:val="24"/>
          <w:szCs w:val="24"/>
          <w:highlight w:val="none"/>
        </w:rPr>
        <w:t>1.</w:t>
      </w:r>
    </w:p>
    <w:p>
      <w:pPr>
        <w:spacing w:before="2"/>
        <w:rPr>
          <w:rFonts w:ascii="宋体" w:eastAsia="宋体"/>
          <w:color w:val="auto"/>
          <w:sz w:val="24"/>
          <w:szCs w:val="24"/>
          <w:highlight w:val="none"/>
        </w:rPr>
      </w:pPr>
    </w:p>
    <w:p>
      <w:pPr>
        <w:pStyle w:val="17"/>
        <w:ind w:left="522" w:right="113"/>
        <w:rPr>
          <w:rFonts w:ascii="宋体"/>
          <w:color w:val="auto"/>
          <w:sz w:val="24"/>
          <w:szCs w:val="24"/>
          <w:highlight w:val="none"/>
        </w:rPr>
      </w:pPr>
      <w:r>
        <w:rPr>
          <w:rFonts w:ascii="宋体"/>
          <w:color w:val="auto"/>
          <w:sz w:val="24"/>
          <w:szCs w:val="24"/>
          <w:highlight w:val="none"/>
        </w:rPr>
        <w:t>2.</w:t>
      </w:r>
    </w:p>
    <w:p>
      <w:pPr>
        <w:spacing w:before="5"/>
        <w:rPr>
          <w:rFonts w:ascii="宋体" w:eastAsia="宋体"/>
          <w:color w:val="auto"/>
          <w:sz w:val="24"/>
          <w:szCs w:val="24"/>
          <w:highlight w:val="none"/>
        </w:rPr>
      </w:pPr>
    </w:p>
    <w:p>
      <w:pPr>
        <w:pStyle w:val="17"/>
        <w:ind w:left="628" w:right="113"/>
        <w:rPr>
          <w:rFonts w:ascii="宋体"/>
          <w:color w:val="auto"/>
          <w:sz w:val="24"/>
          <w:szCs w:val="24"/>
          <w:highlight w:val="none"/>
        </w:rPr>
      </w:pPr>
      <w:r>
        <w:rPr>
          <w:rFonts w:ascii="宋体"/>
          <w:color w:val="auto"/>
          <w:sz w:val="24"/>
          <w:szCs w:val="24"/>
          <w:highlight w:val="none"/>
        </w:rPr>
        <w:t>......</w:t>
      </w:r>
    </w:p>
    <w:p>
      <w:pPr>
        <w:rPr>
          <w:rFonts w:ascii="宋体" w:eastAsia="宋体"/>
          <w:color w:val="auto"/>
          <w:sz w:val="24"/>
          <w:szCs w:val="24"/>
          <w:highlight w:val="none"/>
        </w:rPr>
      </w:pPr>
    </w:p>
    <w:p>
      <w:pPr>
        <w:tabs>
          <w:tab w:val="left" w:pos="4600"/>
          <w:tab w:val="left" w:pos="5540"/>
          <w:tab w:val="left" w:pos="6480"/>
          <w:tab w:val="left" w:pos="7420"/>
        </w:tabs>
        <w:spacing w:line="360" w:lineRule="auto"/>
        <w:ind w:left="505" w:right="-23"/>
        <w:jc w:val="left"/>
        <w:rPr>
          <w:rFonts w:ascii="宋体" w:eastAsia="宋体"/>
          <w:color w:val="auto"/>
          <w:position w:val="-4"/>
          <w:sz w:val="24"/>
          <w:szCs w:val="24"/>
          <w:highlight w:val="none"/>
        </w:rPr>
      </w:pPr>
      <w:r>
        <w:rPr>
          <w:rFonts w:ascii="宋体" w:eastAsia="宋体"/>
          <w:color w:val="auto"/>
          <w:position w:val="-4"/>
          <w:sz w:val="24"/>
          <w:szCs w:val="24"/>
          <w:highlight w:val="none"/>
        </w:rPr>
        <w:t>请将</w:t>
      </w:r>
      <w:r>
        <w:rPr>
          <w:rFonts w:ascii="宋体" w:eastAsia="宋体"/>
          <w:color w:val="auto"/>
          <w:spacing w:val="-2"/>
          <w:position w:val="-4"/>
          <w:sz w:val="24"/>
          <w:szCs w:val="24"/>
          <w:highlight w:val="none"/>
        </w:rPr>
        <w:t>上</w:t>
      </w:r>
      <w:r>
        <w:rPr>
          <w:rFonts w:ascii="宋体" w:eastAsia="宋体"/>
          <w:color w:val="auto"/>
          <w:position w:val="-4"/>
          <w:sz w:val="24"/>
          <w:szCs w:val="24"/>
          <w:highlight w:val="none"/>
        </w:rPr>
        <w:t>述</w:t>
      </w:r>
      <w:r>
        <w:rPr>
          <w:rFonts w:ascii="宋体" w:eastAsia="宋体"/>
          <w:color w:val="auto"/>
          <w:spacing w:val="-2"/>
          <w:position w:val="-4"/>
          <w:sz w:val="24"/>
          <w:szCs w:val="24"/>
          <w:highlight w:val="none"/>
        </w:rPr>
        <w:t>问</w:t>
      </w:r>
      <w:r>
        <w:rPr>
          <w:rFonts w:ascii="宋体" w:eastAsia="宋体"/>
          <w:color w:val="auto"/>
          <w:position w:val="-4"/>
          <w:sz w:val="24"/>
          <w:szCs w:val="24"/>
          <w:highlight w:val="none"/>
        </w:rPr>
        <w:t>题</w:t>
      </w:r>
      <w:r>
        <w:rPr>
          <w:rFonts w:ascii="宋体" w:eastAsia="宋体"/>
          <w:color w:val="auto"/>
          <w:spacing w:val="-2"/>
          <w:position w:val="-4"/>
          <w:sz w:val="24"/>
          <w:szCs w:val="24"/>
          <w:highlight w:val="none"/>
        </w:rPr>
        <w:t>的</w:t>
      </w:r>
      <w:r>
        <w:rPr>
          <w:rFonts w:ascii="宋体" w:eastAsia="宋体"/>
          <w:color w:val="auto"/>
          <w:position w:val="-4"/>
          <w:sz w:val="24"/>
          <w:szCs w:val="24"/>
          <w:highlight w:val="none"/>
        </w:rPr>
        <w:t>澄</w:t>
      </w:r>
      <w:r>
        <w:rPr>
          <w:rFonts w:ascii="宋体" w:eastAsia="宋体"/>
          <w:color w:val="auto"/>
          <w:spacing w:val="-2"/>
          <w:position w:val="-4"/>
          <w:sz w:val="24"/>
          <w:szCs w:val="24"/>
          <w:highlight w:val="none"/>
        </w:rPr>
        <w:t>清</w:t>
      </w:r>
      <w:r>
        <w:rPr>
          <w:rFonts w:ascii="宋体" w:eastAsia="宋体"/>
          <w:color w:val="auto"/>
          <w:position w:val="-4"/>
          <w:sz w:val="24"/>
          <w:szCs w:val="24"/>
          <w:highlight w:val="none"/>
        </w:rPr>
        <w:t>、</w:t>
      </w:r>
      <w:r>
        <w:rPr>
          <w:rFonts w:ascii="宋体" w:eastAsia="宋体"/>
          <w:color w:val="auto"/>
          <w:spacing w:val="-2"/>
          <w:position w:val="-4"/>
          <w:sz w:val="24"/>
          <w:szCs w:val="24"/>
          <w:highlight w:val="none"/>
        </w:rPr>
        <w:t>说</w:t>
      </w:r>
      <w:r>
        <w:rPr>
          <w:rFonts w:ascii="宋体" w:eastAsia="宋体"/>
          <w:color w:val="auto"/>
          <w:position w:val="-4"/>
          <w:sz w:val="24"/>
          <w:szCs w:val="24"/>
          <w:highlight w:val="none"/>
        </w:rPr>
        <w:t>明或</w:t>
      </w:r>
      <w:r>
        <w:rPr>
          <w:rFonts w:ascii="宋体" w:eastAsia="宋体"/>
          <w:color w:val="auto"/>
          <w:spacing w:val="-2"/>
          <w:position w:val="-4"/>
          <w:sz w:val="24"/>
          <w:szCs w:val="24"/>
          <w:highlight w:val="none"/>
        </w:rPr>
        <w:t>补</w:t>
      </w:r>
      <w:r>
        <w:rPr>
          <w:rFonts w:ascii="宋体" w:eastAsia="宋体"/>
          <w:color w:val="auto"/>
          <w:position w:val="-4"/>
          <w:sz w:val="24"/>
          <w:szCs w:val="24"/>
          <w:highlight w:val="none"/>
        </w:rPr>
        <w:t>正</w:t>
      </w:r>
      <w:r>
        <w:rPr>
          <w:rFonts w:ascii="宋体" w:eastAsia="宋体"/>
          <w:color w:val="auto"/>
          <w:spacing w:val="-2"/>
          <w:position w:val="-4"/>
          <w:sz w:val="24"/>
          <w:szCs w:val="24"/>
          <w:highlight w:val="none"/>
        </w:rPr>
        <w:t>于</w:t>
      </w:r>
      <w:r>
        <w:rPr>
          <w:rFonts w:ascii="宋体" w:eastAsia="宋体"/>
          <w:color w:val="auto"/>
          <w:position w:val="-4"/>
          <w:sz w:val="24"/>
          <w:szCs w:val="24"/>
          <w:highlight w:val="none"/>
          <w:u w:val="single"/>
        </w:rPr>
        <w:tab/>
      </w:r>
      <w:r>
        <w:rPr>
          <w:rFonts w:ascii="宋体" w:eastAsia="宋体"/>
          <w:color w:val="auto"/>
          <w:position w:val="-4"/>
          <w:sz w:val="24"/>
          <w:szCs w:val="24"/>
          <w:highlight w:val="none"/>
        </w:rPr>
        <w:t>年</w:t>
      </w:r>
      <w:r>
        <w:rPr>
          <w:rFonts w:ascii="宋体" w:eastAsia="宋体"/>
          <w:color w:val="auto"/>
          <w:position w:val="-4"/>
          <w:sz w:val="24"/>
          <w:szCs w:val="24"/>
          <w:highlight w:val="none"/>
          <w:u w:val="single"/>
        </w:rPr>
        <w:tab/>
      </w:r>
      <w:r>
        <w:rPr>
          <w:rFonts w:ascii="宋体" w:eastAsia="宋体"/>
          <w:color w:val="auto"/>
          <w:position w:val="-4"/>
          <w:sz w:val="24"/>
          <w:szCs w:val="24"/>
          <w:highlight w:val="none"/>
        </w:rPr>
        <w:t>月</w:t>
      </w:r>
      <w:r>
        <w:rPr>
          <w:rFonts w:ascii="宋体" w:eastAsia="宋体"/>
          <w:color w:val="auto"/>
          <w:position w:val="-4"/>
          <w:sz w:val="24"/>
          <w:szCs w:val="24"/>
          <w:highlight w:val="none"/>
          <w:u w:val="single"/>
        </w:rPr>
        <w:tab/>
      </w:r>
      <w:r>
        <w:rPr>
          <w:rFonts w:ascii="宋体" w:eastAsia="宋体"/>
          <w:color w:val="auto"/>
          <w:spacing w:val="-2"/>
          <w:position w:val="-4"/>
          <w:sz w:val="24"/>
          <w:szCs w:val="24"/>
          <w:highlight w:val="none"/>
        </w:rPr>
        <w:t>日</w:t>
      </w:r>
      <w:r>
        <w:rPr>
          <w:rFonts w:ascii="宋体" w:eastAsia="宋体"/>
          <w:color w:val="auto"/>
          <w:position w:val="-4"/>
          <w:sz w:val="24"/>
          <w:szCs w:val="24"/>
          <w:highlight w:val="none"/>
          <w:u w:val="single"/>
        </w:rPr>
        <w:tab/>
      </w:r>
      <w:r>
        <w:rPr>
          <w:rFonts w:ascii="宋体" w:eastAsia="宋体"/>
          <w:color w:val="auto"/>
          <w:spacing w:val="-2"/>
          <w:position w:val="-4"/>
          <w:sz w:val="24"/>
          <w:szCs w:val="24"/>
          <w:highlight w:val="none"/>
        </w:rPr>
        <w:t>时</w:t>
      </w:r>
      <w:r>
        <w:rPr>
          <w:rFonts w:ascii="宋体" w:eastAsia="宋体"/>
          <w:color w:val="auto"/>
          <w:position w:val="-4"/>
          <w:sz w:val="24"/>
          <w:szCs w:val="24"/>
          <w:highlight w:val="none"/>
        </w:rPr>
        <w:t>前递</w:t>
      </w:r>
    </w:p>
    <w:p>
      <w:pPr>
        <w:tabs>
          <w:tab w:val="left" w:pos="4600"/>
          <w:tab w:val="left" w:pos="5540"/>
          <w:tab w:val="left" w:pos="6480"/>
          <w:tab w:val="left" w:pos="7420"/>
        </w:tabs>
        <w:spacing w:line="360" w:lineRule="auto"/>
        <w:ind w:right="-23"/>
        <w:jc w:val="left"/>
        <w:rPr>
          <w:rFonts w:ascii="宋体" w:eastAsia="宋体"/>
          <w:color w:val="auto"/>
          <w:sz w:val="24"/>
          <w:szCs w:val="24"/>
          <w:highlight w:val="none"/>
        </w:rPr>
      </w:pPr>
      <w:r>
        <w:rPr>
          <w:rFonts w:ascii="宋体" w:eastAsia="宋体"/>
          <w:color w:val="auto"/>
          <w:spacing w:val="-2"/>
          <w:position w:val="-4"/>
          <w:sz w:val="24"/>
          <w:szCs w:val="24"/>
          <w:highlight w:val="none"/>
        </w:rPr>
        <w:t>交</w:t>
      </w:r>
      <w:r>
        <w:rPr>
          <w:rFonts w:ascii="宋体" w:eastAsia="宋体"/>
          <w:color w:val="auto"/>
          <w:position w:val="-4"/>
          <w:sz w:val="24"/>
          <w:szCs w:val="24"/>
          <w:highlight w:val="none"/>
        </w:rPr>
        <w:t>至</w:t>
      </w:r>
      <w:r>
        <w:rPr>
          <w:rFonts w:ascii="宋体" w:eastAsia="宋体"/>
          <w:color w:val="auto"/>
          <w:position w:val="-2"/>
          <w:sz w:val="24"/>
          <w:szCs w:val="24"/>
          <w:highlight w:val="none"/>
          <w:u w:val="single"/>
        </w:rPr>
        <w:tab/>
      </w:r>
      <w:r>
        <w:rPr>
          <w:rFonts w:ascii="宋体" w:eastAsia="宋体"/>
          <w:color w:val="auto"/>
          <w:position w:val="-2"/>
          <w:sz w:val="24"/>
          <w:szCs w:val="24"/>
          <w:highlight w:val="none"/>
        </w:rPr>
        <w:t>（</w:t>
      </w:r>
      <w:r>
        <w:rPr>
          <w:rFonts w:ascii="宋体" w:eastAsia="宋体"/>
          <w:color w:val="auto"/>
          <w:spacing w:val="-2"/>
          <w:position w:val="-2"/>
          <w:sz w:val="24"/>
          <w:szCs w:val="24"/>
          <w:highlight w:val="none"/>
        </w:rPr>
        <w:t>详</w:t>
      </w:r>
      <w:r>
        <w:rPr>
          <w:rFonts w:ascii="宋体" w:eastAsia="宋体"/>
          <w:color w:val="auto"/>
          <w:position w:val="-2"/>
          <w:sz w:val="24"/>
          <w:szCs w:val="24"/>
          <w:highlight w:val="none"/>
        </w:rPr>
        <w:t>细</w:t>
      </w:r>
      <w:r>
        <w:rPr>
          <w:rFonts w:ascii="宋体" w:eastAsia="宋体"/>
          <w:color w:val="auto"/>
          <w:spacing w:val="-2"/>
          <w:position w:val="-2"/>
          <w:sz w:val="24"/>
          <w:szCs w:val="24"/>
          <w:highlight w:val="none"/>
        </w:rPr>
        <w:t>地址</w:t>
      </w:r>
      <w:r>
        <w:rPr>
          <w:rFonts w:ascii="宋体" w:eastAsia="宋体"/>
          <w:color w:val="auto"/>
          <w:spacing w:val="-24"/>
          <w:position w:val="-2"/>
          <w:sz w:val="24"/>
          <w:szCs w:val="24"/>
          <w:highlight w:val="none"/>
        </w:rPr>
        <w:t>）</w:t>
      </w:r>
      <w:r>
        <w:rPr>
          <w:rFonts w:ascii="宋体" w:eastAsia="宋体"/>
          <w:color w:val="auto"/>
          <w:spacing w:val="-2"/>
          <w:position w:val="-2"/>
          <w:sz w:val="24"/>
          <w:szCs w:val="24"/>
          <w:highlight w:val="none"/>
        </w:rPr>
        <w:t>或</w:t>
      </w:r>
      <w:r>
        <w:rPr>
          <w:rFonts w:ascii="宋体" w:eastAsia="宋体"/>
          <w:color w:val="auto"/>
          <w:position w:val="-2"/>
          <w:sz w:val="24"/>
          <w:szCs w:val="24"/>
          <w:highlight w:val="none"/>
        </w:rPr>
        <w:t>传</w:t>
      </w:r>
      <w:r>
        <w:rPr>
          <w:rFonts w:ascii="宋体" w:eastAsia="宋体"/>
          <w:color w:val="auto"/>
          <w:spacing w:val="-2"/>
          <w:position w:val="-2"/>
          <w:sz w:val="24"/>
          <w:szCs w:val="24"/>
          <w:highlight w:val="none"/>
        </w:rPr>
        <w:t>真</w:t>
      </w:r>
      <w:r>
        <w:rPr>
          <w:rFonts w:ascii="宋体" w:eastAsia="宋体"/>
          <w:color w:val="auto"/>
          <w:position w:val="-2"/>
          <w:sz w:val="24"/>
          <w:szCs w:val="24"/>
          <w:highlight w:val="none"/>
        </w:rPr>
        <w:t>至</w:t>
      </w:r>
      <w:r>
        <w:rPr>
          <w:rFonts w:ascii="宋体" w:eastAsia="宋体"/>
          <w:color w:val="auto"/>
          <w:position w:val="-2"/>
          <w:sz w:val="24"/>
          <w:szCs w:val="24"/>
          <w:highlight w:val="none"/>
          <w:u w:val="single"/>
        </w:rPr>
        <w:tab/>
      </w:r>
      <w:r>
        <w:rPr>
          <w:rFonts w:ascii="宋体" w:eastAsia="宋体"/>
          <w:color w:val="auto"/>
          <w:position w:val="-2"/>
          <w:sz w:val="24"/>
          <w:szCs w:val="24"/>
          <w:highlight w:val="none"/>
        </w:rPr>
        <w:t>（</w:t>
      </w:r>
      <w:r>
        <w:rPr>
          <w:rFonts w:ascii="宋体" w:eastAsia="宋体"/>
          <w:color w:val="auto"/>
          <w:spacing w:val="-2"/>
          <w:position w:val="-2"/>
          <w:sz w:val="24"/>
          <w:szCs w:val="24"/>
          <w:highlight w:val="none"/>
        </w:rPr>
        <w:t>传</w:t>
      </w:r>
      <w:r>
        <w:rPr>
          <w:rFonts w:ascii="宋体" w:eastAsia="宋体"/>
          <w:color w:val="auto"/>
          <w:position w:val="-2"/>
          <w:sz w:val="24"/>
          <w:szCs w:val="24"/>
          <w:highlight w:val="none"/>
        </w:rPr>
        <w:t>真</w:t>
      </w:r>
      <w:r>
        <w:rPr>
          <w:rFonts w:ascii="宋体" w:eastAsia="宋体"/>
          <w:color w:val="auto"/>
          <w:spacing w:val="-2"/>
          <w:position w:val="-2"/>
          <w:sz w:val="24"/>
          <w:szCs w:val="24"/>
          <w:highlight w:val="none"/>
        </w:rPr>
        <w:t>号码</w:t>
      </w:r>
      <w:r>
        <w:rPr>
          <w:rFonts w:ascii="宋体" w:eastAsia="宋体"/>
          <w:color w:val="auto"/>
          <w:spacing w:val="-24"/>
          <w:position w:val="-2"/>
          <w:sz w:val="24"/>
          <w:szCs w:val="24"/>
          <w:highlight w:val="none"/>
        </w:rPr>
        <w:t>）</w:t>
      </w:r>
      <w:r>
        <w:rPr>
          <w:rFonts w:ascii="宋体" w:eastAsia="宋体"/>
          <w:color w:val="auto"/>
          <w:position w:val="-2"/>
          <w:sz w:val="24"/>
          <w:szCs w:val="24"/>
          <w:highlight w:val="none"/>
        </w:rPr>
        <w:t>或通过</w:t>
      </w:r>
      <w:r>
        <w:rPr>
          <w:rFonts w:ascii="宋体" w:eastAsia="宋体"/>
          <w:color w:val="auto"/>
          <w:spacing w:val="-2"/>
          <w:position w:val="-2"/>
          <w:sz w:val="24"/>
          <w:szCs w:val="24"/>
          <w:highlight w:val="none"/>
        </w:rPr>
        <w:t>下</w:t>
      </w:r>
      <w:r>
        <w:rPr>
          <w:rFonts w:ascii="宋体" w:eastAsia="宋体"/>
          <w:color w:val="auto"/>
          <w:position w:val="-2"/>
          <w:sz w:val="24"/>
          <w:szCs w:val="24"/>
          <w:highlight w:val="none"/>
        </w:rPr>
        <w:t>载</w:t>
      </w:r>
      <w:r>
        <w:rPr>
          <w:rFonts w:ascii="宋体" w:eastAsia="宋体"/>
          <w:color w:val="auto"/>
          <w:spacing w:val="-2"/>
          <w:position w:val="-2"/>
          <w:sz w:val="24"/>
          <w:szCs w:val="24"/>
          <w:highlight w:val="none"/>
        </w:rPr>
        <w:t>招</w:t>
      </w:r>
      <w:r>
        <w:rPr>
          <w:rFonts w:ascii="宋体" w:eastAsia="宋体"/>
          <w:color w:val="auto"/>
          <w:position w:val="-2"/>
          <w:sz w:val="24"/>
          <w:szCs w:val="24"/>
          <w:highlight w:val="none"/>
        </w:rPr>
        <w:t>标</w:t>
      </w:r>
      <w:r>
        <w:rPr>
          <w:rFonts w:ascii="宋体" w:eastAsia="宋体"/>
          <w:color w:val="auto"/>
          <w:spacing w:val="-2"/>
          <w:position w:val="-2"/>
          <w:sz w:val="24"/>
          <w:szCs w:val="24"/>
          <w:highlight w:val="none"/>
        </w:rPr>
        <w:t>文</w:t>
      </w:r>
      <w:r>
        <w:rPr>
          <w:rFonts w:ascii="宋体" w:eastAsia="宋体"/>
          <w:color w:val="auto"/>
          <w:position w:val="-2"/>
          <w:sz w:val="24"/>
          <w:szCs w:val="24"/>
          <w:highlight w:val="none"/>
        </w:rPr>
        <w:t>件</w:t>
      </w:r>
      <w:r>
        <w:rPr>
          <w:rFonts w:ascii="宋体" w:eastAsia="宋体"/>
          <w:color w:val="auto"/>
          <w:spacing w:val="-2"/>
          <w:position w:val="-2"/>
          <w:sz w:val="24"/>
          <w:szCs w:val="24"/>
          <w:highlight w:val="none"/>
        </w:rPr>
        <w:t>的</w:t>
      </w:r>
      <w:r>
        <w:rPr>
          <w:rFonts w:ascii="宋体" w:eastAsia="宋体"/>
          <w:color w:val="auto"/>
          <w:position w:val="-2"/>
          <w:sz w:val="24"/>
          <w:szCs w:val="24"/>
          <w:highlight w:val="none"/>
        </w:rPr>
        <w:t>电</w:t>
      </w:r>
      <w:r>
        <w:rPr>
          <w:rFonts w:ascii="宋体" w:eastAsia="宋体"/>
          <w:color w:val="auto"/>
          <w:spacing w:val="-2"/>
          <w:position w:val="-2"/>
          <w:sz w:val="24"/>
          <w:szCs w:val="24"/>
          <w:highlight w:val="none"/>
        </w:rPr>
        <w:t>子</w:t>
      </w:r>
      <w:r>
        <w:rPr>
          <w:rFonts w:ascii="宋体" w:eastAsia="宋体"/>
          <w:color w:val="auto"/>
          <w:position w:val="-2"/>
          <w:sz w:val="24"/>
          <w:szCs w:val="24"/>
          <w:highlight w:val="none"/>
        </w:rPr>
        <w:t>招标</w:t>
      </w:r>
      <w:r>
        <w:rPr>
          <w:rFonts w:ascii="宋体" w:eastAsia="宋体"/>
          <w:color w:val="auto"/>
          <w:spacing w:val="-2"/>
          <w:position w:val="-2"/>
          <w:sz w:val="24"/>
          <w:szCs w:val="24"/>
          <w:highlight w:val="none"/>
        </w:rPr>
        <w:t>交</w:t>
      </w:r>
      <w:r>
        <w:rPr>
          <w:rFonts w:ascii="宋体" w:eastAsia="宋体"/>
          <w:color w:val="auto"/>
          <w:position w:val="-2"/>
          <w:sz w:val="24"/>
          <w:szCs w:val="24"/>
          <w:highlight w:val="none"/>
        </w:rPr>
        <w:t>易</w:t>
      </w:r>
      <w:r>
        <w:rPr>
          <w:rFonts w:ascii="宋体" w:eastAsia="宋体"/>
          <w:color w:val="auto"/>
          <w:spacing w:val="-2"/>
          <w:position w:val="-2"/>
          <w:sz w:val="24"/>
          <w:szCs w:val="24"/>
          <w:highlight w:val="none"/>
        </w:rPr>
        <w:t>平</w:t>
      </w:r>
      <w:r>
        <w:rPr>
          <w:rFonts w:ascii="宋体" w:eastAsia="宋体"/>
          <w:color w:val="auto"/>
          <w:position w:val="-2"/>
          <w:sz w:val="24"/>
          <w:szCs w:val="24"/>
          <w:highlight w:val="none"/>
        </w:rPr>
        <w:t>台</w:t>
      </w:r>
      <w:r>
        <w:rPr>
          <w:rFonts w:ascii="宋体" w:eastAsia="宋体"/>
          <w:color w:val="auto"/>
          <w:spacing w:val="-2"/>
          <w:position w:val="-2"/>
          <w:sz w:val="24"/>
          <w:szCs w:val="24"/>
          <w:highlight w:val="none"/>
        </w:rPr>
        <w:t>上</w:t>
      </w:r>
      <w:r>
        <w:rPr>
          <w:rFonts w:ascii="宋体" w:eastAsia="宋体"/>
          <w:color w:val="auto"/>
          <w:position w:val="-2"/>
          <w:sz w:val="24"/>
          <w:szCs w:val="24"/>
          <w:highlight w:val="none"/>
        </w:rPr>
        <w:t>传</w:t>
      </w:r>
      <w:r>
        <w:rPr>
          <w:rFonts w:ascii="宋体" w:eastAsia="宋体"/>
          <w:color w:val="auto"/>
          <w:spacing w:val="-2"/>
          <w:position w:val="-2"/>
          <w:sz w:val="24"/>
          <w:szCs w:val="24"/>
          <w:highlight w:val="none"/>
        </w:rPr>
        <w:t>。</w:t>
      </w:r>
      <w:r>
        <w:rPr>
          <w:rFonts w:ascii="宋体" w:eastAsia="宋体"/>
          <w:color w:val="auto"/>
          <w:position w:val="-2"/>
          <w:sz w:val="24"/>
          <w:szCs w:val="24"/>
          <w:highlight w:val="none"/>
        </w:rPr>
        <w:t>采</w:t>
      </w:r>
      <w:r>
        <w:rPr>
          <w:rFonts w:ascii="宋体" w:eastAsia="宋体"/>
          <w:color w:val="auto"/>
          <w:spacing w:val="-2"/>
          <w:position w:val="-2"/>
          <w:sz w:val="24"/>
          <w:szCs w:val="24"/>
          <w:highlight w:val="none"/>
        </w:rPr>
        <w:t>用</w:t>
      </w:r>
      <w:r>
        <w:rPr>
          <w:rFonts w:ascii="宋体" w:eastAsia="宋体"/>
          <w:color w:val="auto"/>
          <w:position w:val="-2"/>
          <w:sz w:val="24"/>
          <w:szCs w:val="24"/>
          <w:highlight w:val="none"/>
        </w:rPr>
        <w:t>传真</w:t>
      </w:r>
      <w:r>
        <w:rPr>
          <w:rFonts w:ascii="宋体" w:eastAsia="宋体"/>
          <w:color w:val="auto"/>
          <w:spacing w:val="-2"/>
          <w:position w:val="-2"/>
          <w:sz w:val="24"/>
          <w:szCs w:val="24"/>
          <w:highlight w:val="none"/>
        </w:rPr>
        <w:t>方</w:t>
      </w:r>
      <w:r>
        <w:rPr>
          <w:rFonts w:ascii="宋体" w:eastAsia="宋体"/>
          <w:color w:val="auto"/>
          <w:position w:val="-2"/>
          <w:sz w:val="24"/>
          <w:szCs w:val="24"/>
          <w:highlight w:val="none"/>
        </w:rPr>
        <w:t>式</w:t>
      </w:r>
      <w:r>
        <w:rPr>
          <w:rFonts w:ascii="宋体" w:eastAsia="宋体"/>
          <w:color w:val="auto"/>
          <w:spacing w:val="-2"/>
          <w:position w:val="-2"/>
          <w:sz w:val="24"/>
          <w:szCs w:val="24"/>
          <w:highlight w:val="none"/>
        </w:rPr>
        <w:t>的</w:t>
      </w:r>
      <w:r>
        <w:rPr>
          <w:rFonts w:ascii="宋体" w:eastAsia="宋体"/>
          <w:color w:val="auto"/>
          <w:position w:val="-2"/>
          <w:sz w:val="24"/>
          <w:szCs w:val="24"/>
          <w:highlight w:val="none"/>
        </w:rPr>
        <w:t>，</w:t>
      </w:r>
      <w:r>
        <w:rPr>
          <w:rFonts w:ascii="宋体" w:eastAsia="宋体"/>
          <w:color w:val="auto"/>
          <w:spacing w:val="-2"/>
          <w:position w:val="-2"/>
          <w:sz w:val="24"/>
          <w:szCs w:val="24"/>
          <w:highlight w:val="none"/>
        </w:rPr>
        <w:t>应</w:t>
      </w:r>
      <w:r>
        <w:rPr>
          <w:rFonts w:ascii="宋体" w:eastAsia="宋体"/>
          <w:color w:val="auto"/>
          <w:position w:val="-2"/>
          <w:sz w:val="24"/>
          <w:szCs w:val="24"/>
          <w:highlight w:val="none"/>
        </w:rPr>
        <w:t>在</w:t>
      </w:r>
      <w:r>
        <w:rPr>
          <w:rFonts w:ascii="宋体" w:eastAsia="宋体"/>
          <w:color w:val="auto"/>
          <w:position w:val="-2"/>
          <w:sz w:val="24"/>
          <w:szCs w:val="24"/>
          <w:highlight w:val="none"/>
          <w:u w:val="single"/>
        </w:rPr>
        <w:tab/>
      </w:r>
      <w:r>
        <w:rPr>
          <w:rFonts w:ascii="宋体" w:eastAsia="宋体"/>
          <w:color w:val="auto"/>
          <w:position w:val="-2"/>
          <w:sz w:val="24"/>
          <w:szCs w:val="24"/>
          <w:highlight w:val="none"/>
        </w:rPr>
        <w:t>年</w:t>
      </w:r>
      <w:r>
        <w:rPr>
          <w:rFonts w:ascii="宋体" w:eastAsia="宋体"/>
          <w:color w:val="auto"/>
          <w:position w:val="-2"/>
          <w:sz w:val="24"/>
          <w:szCs w:val="24"/>
          <w:highlight w:val="none"/>
          <w:u w:val="single"/>
        </w:rPr>
        <w:tab/>
      </w:r>
      <w:r>
        <w:rPr>
          <w:rFonts w:ascii="宋体" w:eastAsia="宋体"/>
          <w:color w:val="auto"/>
          <w:position w:val="-2"/>
          <w:sz w:val="24"/>
          <w:szCs w:val="24"/>
          <w:highlight w:val="none"/>
        </w:rPr>
        <w:t>月</w:t>
      </w:r>
      <w:r>
        <w:rPr>
          <w:rFonts w:ascii="宋体" w:eastAsia="宋体"/>
          <w:color w:val="auto"/>
          <w:position w:val="-2"/>
          <w:sz w:val="24"/>
          <w:szCs w:val="24"/>
          <w:highlight w:val="none"/>
          <w:u w:val="single"/>
        </w:rPr>
        <w:tab/>
      </w:r>
      <w:r>
        <w:rPr>
          <w:rFonts w:ascii="宋体" w:eastAsia="宋体"/>
          <w:color w:val="auto"/>
          <w:position w:val="-2"/>
          <w:sz w:val="24"/>
          <w:szCs w:val="24"/>
          <w:highlight w:val="none"/>
        </w:rPr>
        <w:t>日</w:t>
      </w:r>
      <w:r>
        <w:rPr>
          <w:rFonts w:ascii="宋体" w:eastAsia="宋体"/>
          <w:color w:val="auto"/>
          <w:position w:val="-2"/>
          <w:sz w:val="24"/>
          <w:szCs w:val="24"/>
          <w:highlight w:val="none"/>
          <w:u w:val="single"/>
        </w:rPr>
        <w:tab/>
      </w:r>
      <w:r>
        <w:rPr>
          <w:rFonts w:ascii="宋体" w:eastAsia="宋体"/>
          <w:color w:val="auto"/>
          <w:spacing w:val="-2"/>
          <w:position w:val="-2"/>
          <w:sz w:val="24"/>
          <w:szCs w:val="24"/>
          <w:highlight w:val="none"/>
        </w:rPr>
        <w:t>时</w:t>
      </w:r>
      <w:r>
        <w:rPr>
          <w:rFonts w:ascii="宋体" w:eastAsia="宋体"/>
          <w:color w:val="auto"/>
          <w:position w:val="-2"/>
          <w:sz w:val="24"/>
          <w:szCs w:val="24"/>
          <w:highlight w:val="none"/>
        </w:rPr>
        <w:t>前</w:t>
      </w:r>
      <w:r>
        <w:rPr>
          <w:rFonts w:ascii="宋体" w:eastAsia="宋体"/>
          <w:color w:val="auto"/>
          <w:spacing w:val="-2"/>
          <w:position w:val="-2"/>
          <w:sz w:val="24"/>
          <w:szCs w:val="24"/>
          <w:highlight w:val="none"/>
        </w:rPr>
        <w:t>将</w:t>
      </w:r>
      <w:r>
        <w:rPr>
          <w:rFonts w:ascii="宋体" w:eastAsia="宋体"/>
          <w:color w:val="auto"/>
          <w:position w:val="-2"/>
          <w:sz w:val="24"/>
          <w:szCs w:val="24"/>
          <w:highlight w:val="none"/>
        </w:rPr>
        <w:t>原件</w:t>
      </w:r>
      <w:r>
        <w:rPr>
          <w:rFonts w:ascii="宋体" w:eastAsia="宋体"/>
          <w:color w:val="auto"/>
          <w:spacing w:val="-2"/>
          <w:position w:val="-2"/>
          <w:sz w:val="24"/>
          <w:szCs w:val="24"/>
          <w:highlight w:val="none"/>
        </w:rPr>
        <w:t>递</w:t>
      </w:r>
      <w:r>
        <w:rPr>
          <w:rFonts w:ascii="宋体" w:eastAsia="宋体"/>
          <w:color w:val="auto"/>
          <w:position w:val="-2"/>
          <w:sz w:val="24"/>
          <w:szCs w:val="24"/>
          <w:highlight w:val="none"/>
        </w:rPr>
        <w:t>交</w:t>
      </w:r>
      <w:r>
        <w:rPr>
          <w:rFonts w:ascii="宋体" w:eastAsia="宋体"/>
          <w:color w:val="auto"/>
          <w:spacing w:val="-2"/>
          <w:position w:val="-2"/>
          <w:sz w:val="24"/>
          <w:szCs w:val="24"/>
          <w:highlight w:val="none"/>
        </w:rPr>
        <w:t>至</w:t>
      </w:r>
      <w:r>
        <w:rPr>
          <w:rFonts w:ascii="宋体" w:eastAsia="宋体"/>
          <w:color w:val="auto"/>
          <w:position w:val="-2"/>
          <w:sz w:val="24"/>
          <w:szCs w:val="24"/>
          <w:highlight w:val="none"/>
          <w:u w:val="single"/>
        </w:rPr>
        <w:tab/>
      </w:r>
      <w:r>
        <w:rPr>
          <w:rFonts w:ascii="宋体" w:eastAsia="宋体"/>
          <w:color w:val="auto"/>
          <w:spacing w:val="-2"/>
          <w:position w:val="-2"/>
          <w:sz w:val="24"/>
          <w:szCs w:val="24"/>
          <w:highlight w:val="none"/>
        </w:rPr>
        <w:t>（</w:t>
      </w:r>
      <w:r>
        <w:rPr>
          <w:rFonts w:ascii="宋体" w:eastAsia="宋体"/>
          <w:color w:val="auto"/>
          <w:position w:val="-2"/>
          <w:sz w:val="24"/>
          <w:szCs w:val="24"/>
          <w:highlight w:val="none"/>
        </w:rPr>
        <w:t>详</w:t>
      </w:r>
      <w:r>
        <w:rPr>
          <w:rFonts w:ascii="宋体" w:eastAsia="宋体"/>
          <w:color w:val="auto"/>
          <w:spacing w:val="-2"/>
          <w:position w:val="-2"/>
          <w:sz w:val="24"/>
          <w:szCs w:val="24"/>
          <w:highlight w:val="none"/>
        </w:rPr>
        <w:t>细</w:t>
      </w:r>
      <w:r>
        <w:rPr>
          <w:rFonts w:ascii="宋体" w:eastAsia="宋体"/>
          <w:color w:val="auto"/>
          <w:position w:val="-2"/>
          <w:sz w:val="24"/>
          <w:szCs w:val="24"/>
          <w:highlight w:val="none"/>
        </w:rPr>
        <w:t>地</w:t>
      </w:r>
      <w:r>
        <w:rPr>
          <w:rFonts w:ascii="宋体" w:eastAsia="宋体"/>
          <w:color w:val="auto"/>
          <w:spacing w:val="-2"/>
          <w:position w:val="-2"/>
          <w:sz w:val="24"/>
          <w:szCs w:val="24"/>
          <w:highlight w:val="none"/>
        </w:rPr>
        <w:t>址</w:t>
      </w:r>
      <w:r>
        <w:rPr>
          <w:rFonts w:ascii="宋体" w:eastAsia="宋体"/>
          <w:color w:val="auto"/>
          <w:spacing w:val="-106"/>
          <w:position w:val="-2"/>
          <w:sz w:val="24"/>
          <w:szCs w:val="24"/>
          <w:highlight w:val="none"/>
        </w:rPr>
        <w:t>）</w:t>
      </w:r>
      <w:r>
        <w:rPr>
          <w:rFonts w:ascii="宋体" w:eastAsia="宋体"/>
          <w:color w:val="auto"/>
          <w:position w:val="-2"/>
          <w:sz w:val="24"/>
          <w:szCs w:val="24"/>
          <w:highlight w:val="none"/>
        </w:rPr>
        <w:t>。</w:t>
      </w:r>
    </w:p>
    <w:p>
      <w:pPr>
        <w:spacing w:line="200" w:lineRule="exact"/>
        <w:jc w:val="left"/>
        <w:rPr>
          <w:rFonts w:ascii="宋体" w:eastAsia="宋体"/>
          <w:color w:val="auto"/>
          <w:sz w:val="24"/>
          <w:szCs w:val="24"/>
          <w:highlight w:val="none"/>
        </w:rPr>
      </w:pPr>
    </w:p>
    <w:p>
      <w:pPr>
        <w:spacing w:line="200" w:lineRule="exact"/>
        <w:jc w:val="left"/>
        <w:rPr>
          <w:rFonts w:ascii="宋体" w:eastAsia="宋体"/>
          <w:color w:val="auto"/>
          <w:sz w:val="24"/>
          <w:szCs w:val="24"/>
          <w:highlight w:val="none"/>
        </w:rPr>
      </w:pPr>
    </w:p>
    <w:p>
      <w:pPr>
        <w:spacing w:line="200" w:lineRule="exact"/>
        <w:jc w:val="left"/>
        <w:rPr>
          <w:rFonts w:ascii="宋体" w:eastAsia="宋体"/>
          <w:color w:val="auto"/>
          <w:sz w:val="24"/>
          <w:szCs w:val="24"/>
          <w:highlight w:val="none"/>
        </w:rPr>
      </w:pPr>
    </w:p>
    <w:p>
      <w:pPr>
        <w:spacing w:line="200" w:lineRule="exact"/>
        <w:jc w:val="left"/>
        <w:rPr>
          <w:rFonts w:ascii="宋体" w:eastAsia="宋体"/>
          <w:color w:val="auto"/>
          <w:sz w:val="24"/>
          <w:szCs w:val="24"/>
          <w:highlight w:val="none"/>
        </w:rPr>
      </w:pPr>
    </w:p>
    <w:p>
      <w:pPr>
        <w:spacing w:before="9" w:line="240" w:lineRule="exact"/>
        <w:jc w:val="left"/>
        <w:rPr>
          <w:rFonts w:ascii="宋体" w:eastAsia="宋体"/>
          <w:color w:val="auto"/>
          <w:sz w:val="24"/>
          <w:szCs w:val="24"/>
          <w:highlight w:val="none"/>
        </w:rPr>
      </w:pPr>
    </w:p>
    <w:p>
      <w:pPr>
        <w:tabs>
          <w:tab w:val="left" w:pos="7020"/>
        </w:tabs>
        <w:spacing w:line="271" w:lineRule="exact"/>
        <w:ind w:right="-20"/>
        <w:jc w:val="right"/>
        <w:rPr>
          <w:rFonts w:ascii="宋体" w:eastAsia="宋体"/>
          <w:color w:val="auto"/>
          <w:sz w:val="24"/>
          <w:szCs w:val="24"/>
          <w:highlight w:val="none"/>
        </w:rPr>
      </w:pPr>
      <w:r>
        <w:rPr>
          <w:rFonts w:ascii="宋体" w:eastAsia="宋体"/>
          <w:color w:val="auto"/>
          <w:position w:val="-2"/>
          <w:sz w:val="24"/>
          <w:szCs w:val="24"/>
          <w:highlight w:val="none"/>
        </w:rPr>
        <w:t>评标</w:t>
      </w:r>
      <w:r>
        <w:rPr>
          <w:rFonts w:ascii="宋体" w:eastAsia="宋体"/>
          <w:color w:val="auto"/>
          <w:spacing w:val="-2"/>
          <w:position w:val="-2"/>
          <w:sz w:val="24"/>
          <w:szCs w:val="24"/>
          <w:highlight w:val="none"/>
        </w:rPr>
        <w:t>委</w:t>
      </w:r>
      <w:r>
        <w:rPr>
          <w:rFonts w:ascii="宋体" w:eastAsia="宋体"/>
          <w:color w:val="auto"/>
          <w:position w:val="-2"/>
          <w:sz w:val="24"/>
          <w:szCs w:val="24"/>
          <w:highlight w:val="none"/>
        </w:rPr>
        <w:t>员</w:t>
      </w:r>
      <w:r>
        <w:rPr>
          <w:rFonts w:ascii="宋体" w:eastAsia="宋体"/>
          <w:color w:val="auto"/>
          <w:spacing w:val="-2"/>
          <w:position w:val="-2"/>
          <w:sz w:val="24"/>
          <w:szCs w:val="24"/>
          <w:highlight w:val="none"/>
        </w:rPr>
        <w:t>会</w:t>
      </w:r>
      <w:r>
        <w:rPr>
          <w:rFonts w:ascii="宋体" w:eastAsia="宋体"/>
          <w:color w:val="auto"/>
          <w:position w:val="-2"/>
          <w:sz w:val="24"/>
          <w:szCs w:val="24"/>
          <w:highlight w:val="none"/>
        </w:rPr>
        <w:t>授</w:t>
      </w:r>
      <w:r>
        <w:rPr>
          <w:rFonts w:ascii="宋体" w:eastAsia="宋体"/>
          <w:color w:val="auto"/>
          <w:spacing w:val="-2"/>
          <w:position w:val="-2"/>
          <w:sz w:val="24"/>
          <w:szCs w:val="24"/>
          <w:highlight w:val="none"/>
        </w:rPr>
        <w:t>权</w:t>
      </w:r>
      <w:r>
        <w:rPr>
          <w:rFonts w:ascii="宋体" w:eastAsia="宋体"/>
          <w:color w:val="auto"/>
          <w:position w:val="-2"/>
          <w:sz w:val="24"/>
          <w:szCs w:val="24"/>
          <w:highlight w:val="none"/>
        </w:rPr>
        <w:t>的</w:t>
      </w:r>
      <w:r>
        <w:rPr>
          <w:rFonts w:ascii="宋体" w:eastAsia="宋体"/>
          <w:color w:val="auto"/>
          <w:spacing w:val="-2"/>
          <w:position w:val="-2"/>
          <w:sz w:val="24"/>
          <w:szCs w:val="24"/>
          <w:highlight w:val="none"/>
        </w:rPr>
        <w:t>招</w:t>
      </w:r>
      <w:r>
        <w:rPr>
          <w:rFonts w:ascii="宋体" w:eastAsia="宋体"/>
          <w:color w:val="auto"/>
          <w:position w:val="-2"/>
          <w:sz w:val="24"/>
          <w:szCs w:val="24"/>
          <w:highlight w:val="none"/>
        </w:rPr>
        <w:t>标</w:t>
      </w:r>
      <w:r>
        <w:rPr>
          <w:rFonts w:ascii="宋体" w:eastAsia="宋体"/>
          <w:color w:val="auto"/>
          <w:spacing w:val="-2"/>
          <w:position w:val="-2"/>
          <w:sz w:val="24"/>
          <w:szCs w:val="24"/>
          <w:highlight w:val="none"/>
        </w:rPr>
        <w:t>人</w:t>
      </w:r>
      <w:r>
        <w:rPr>
          <w:rFonts w:ascii="宋体" w:eastAsia="宋体"/>
          <w:color w:val="auto"/>
          <w:position w:val="-2"/>
          <w:sz w:val="24"/>
          <w:szCs w:val="24"/>
          <w:highlight w:val="none"/>
        </w:rPr>
        <w:t>或招</w:t>
      </w:r>
      <w:r>
        <w:rPr>
          <w:rFonts w:ascii="宋体" w:eastAsia="宋体"/>
          <w:color w:val="auto"/>
          <w:spacing w:val="-2"/>
          <w:position w:val="-2"/>
          <w:sz w:val="24"/>
          <w:szCs w:val="24"/>
          <w:highlight w:val="none"/>
        </w:rPr>
        <w:t>标</w:t>
      </w:r>
      <w:r>
        <w:rPr>
          <w:rFonts w:ascii="宋体" w:eastAsia="宋体"/>
          <w:color w:val="auto"/>
          <w:position w:val="-2"/>
          <w:sz w:val="24"/>
          <w:szCs w:val="24"/>
          <w:highlight w:val="none"/>
        </w:rPr>
        <w:t>代</w:t>
      </w:r>
      <w:r>
        <w:rPr>
          <w:rFonts w:ascii="宋体" w:eastAsia="宋体"/>
          <w:color w:val="auto"/>
          <w:spacing w:val="-2"/>
          <w:position w:val="-2"/>
          <w:sz w:val="24"/>
          <w:szCs w:val="24"/>
          <w:highlight w:val="none"/>
        </w:rPr>
        <w:t>理</w:t>
      </w:r>
      <w:r>
        <w:rPr>
          <w:rFonts w:ascii="宋体" w:eastAsia="宋体"/>
          <w:color w:val="auto"/>
          <w:position w:val="-2"/>
          <w:sz w:val="24"/>
          <w:szCs w:val="24"/>
          <w:highlight w:val="none"/>
        </w:rPr>
        <w:t>机</w:t>
      </w:r>
      <w:r>
        <w:rPr>
          <w:rFonts w:ascii="宋体" w:eastAsia="宋体"/>
          <w:color w:val="auto"/>
          <w:spacing w:val="-2"/>
          <w:position w:val="-2"/>
          <w:sz w:val="24"/>
          <w:szCs w:val="24"/>
          <w:highlight w:val="none"/>
        </w:rPr>
        <w:t>构</w:t>
      </w:r>
      <w:r>
        <w:rPr>
          <w:rFonts w:ascii="宋体" w:eastAsia="宋体"/>
          <w:color w:val="auto"/>
          <w:position w:val="-2"/>
          <w:sz w:val="24"/>
          <w:szCs w:val="24"/>
          <w:highlight w:val="none"/>
        </w:rPr>
        <w:t>：</w:t>
      </w:r>
      <w:r>
        <w:rPr>
          <w:rFonts w:eastAsia="黑体"/>
          <w:color w:val="auto"/>
          <w:sz w:val="28"/>
          <w:highlight w:val="none"/>
          <w:u w:val="single"/>
        </w:rPr>
        <w:t xml:space="preserve">      </w:t>
      </w:r>
      <w:r>
        <w:rPr>
          <w:rFonts w:ascii="宋体" w:eastAsia="宋体"/>
          <w:color w:val="auto"/>
          <w:position w:val="-2"/>
          <w:sz w:val="24"/>
          <w:szCs w:val="24"/>
          <w:highlight w:val="none"/>
        </w:rPr>
        <w:t>（签</w:t>
      </w:r>
      <w:r>
        <w:rPr>
          <w:rFonts w:ascii="宋体" w:eastAsia="宋体"/>
          <w:color w:val="auto"/>
          <w:spacing w:val="-2"/>
          <w:position w:val="-2"/>
          <w:sz w:val="24"/>
          <w:szCs w:val="24"/>
          <w:highlight w:val="none"/>
        </w:rPr>
        <w:t>字</w:t>
      </w:r>
      <w:r>
        <w:rPr>
          <w:rFonts w:ascii="宋体" w:eastAsia="宋体"/>
          <w:color w:val="auto"/>
          <w:position w:val="-2"/>
          <w:sz w:val="24"/>
          <w:szCs w:val="24"/>
          <w:highlight w:val="none"/>
        </w:rPr>
        <w:t>或</w:t>
      </w:r>
      <w:r>
        <w:rPr>
          <w:rFonts w:ascii="宋体" w:eastAsia="宋体"/>
          <w:color w:val="auto"/>
          <w:spacing w:val="-2"/>
          <w:position w:val="-2"/>
          <w:sz w:val="24"/>
          <w:szCs w:val="24"/>
          <w:highlight w:val="none"/>
        </w:rPr>
        <w:t>盖</w:t>
      </w:r>
      <w:r>
        <w:rPr>
          <w:rFonts w:ascii="宋体" w:eastAsia="宋体"/>
          <w:color w:val="auto"/>
          <w:position w:val="-2"/>
          <w:sz w:val="24"/>
          <w:szCs w:val="24"/>
          <w:highlight w:val="none"/>
        </w:rPr>
        <w:t>章）</w:t>
      </w:r>
    </w:p>
    <w:p>
      <w:pPr>
        <w:spacing w:line="200" w:lineRule="exact"/>
        <w:jc w:val="left"/>
        <w:rPr>
          <w:rFonts w:ascii="宋体" w:eastAsia="宋体"/>
          <w:color w:val="auto"/>
          <w:sz w:val="24"/>
          <w:szCs w:val="24"/>
          <w:highlight w:val="none"/>
        </w:rPr>
      </w:pPr>
    </w:p>
    <w:p>
      <w:pPr>
        <w:spacing w:line="200" w:lineRule="exact"/>
        <w:jc w:val="left"/>
        <w:rPr>
          <w:rFonts w:ascii="宋体" w:eastAsia="宋体"/>
          <w:color w:val="auto"/>
          <w:sz w:val="24"/>
          <w:szCs w:val="24"/>
          <w:highlight w:val="none"/>
        </w:rPr>
      </w:pPr>
    </w:p>
    <w:p>
      <w:pPr>
        <w:spacing w:before="10" w:line="200" w:lineRule="exact"/>
        <w:jc w:val="left"/>
        <w:rPr>
          <w:rFonts w:ascii="宋体" w:eastAsia="宋体"/>
          <w:color w:val="auto"/>
          <w:sz w:val="24"/>
          <w:szCs w:val="24"/>
          <w:highlight w:val="none"/>
        </w:rPr>
      </w:pPr>
    </w:p>
    <w:p>
      <w:pPr>
        <w:pStyle w:val="17"/>
        <w:tabs>
          <w:tab w:val="left" w:pos="5803"/>
          <w:tab w:val="left" w:pos="6746"/>
          <w:tab w:val="left" w:pos="7692"/>
        </w:tabs>
        <w:spacing w:before="36"/>
        <w:ind w:left="4961" w:right="113"/>
        <w:rPr>
          <w:rFonts w:ascii="宋体"/>
          <w:color w:val="auto"/>
          <w:sz w:val="24"/>
          <w:szCs w:val="24"/>
          <w:highlight w:val="none"/>
        </w:rPr>
      </w:pPr>
      <w:r>
        <w:rPr>
          <w:rFonts w:ascii="宋体"/>
          <w:color w:val="auto"/>
          <w:position w:val="-1"/>
          <w:sz w:val="24"/>
          <w:szCs w:val="24"/>
          <w:highlight w:val="none"/>
          <w:u w:val="single"/>
        </w:rPr>
        <w:tab/>
      </w:r>
      <w:r>
        <w:rPr>
          <w:rFonts w:ascii="宋体"/>
          <w:color w:val="auto"/>
          <w:spacing w:val="-2"/>
          <w:position w:val="-1"/>
          <w:sz w:val="24"/>
          <w:szCs w:val="24"/>
          <w:highlight w:val="none"/>
        </w:rPr>
        <w:t>年</w:t>
      </w:r>
      <w:r>
        <w:rPr>
          <w:rFonts w:ascii="宋体"/>
          <w:color w:val="auto"/>
          <w:position w:val="-1"/>
          <w:sz w:val="24"/>
          <w:szCs w:val="24"/>
          <w:highlight w:val="none"/>
          <w:u w:val="single"/>
        </w:rPr>
        <w:tab/>
      </w:r>
      <w:r>
        <w:rPr>
          <w:rFonts w:ascii="宋体"/>
          <w:color w:val="auto"/>
          <w:position w:val="-1"/>
          <w:sz w:val="24"/>
          <w:szCs w:val="24"/>
          <w:highlight w:val="none"/>
        </w:rPr>
        <w:t>月</w:t>
      </w:r>
      <w:r>
        <w:rPr>
          <w:rFonts w:ascii="宋体"/>
          <w:color w:val="auto"/>
          <w:position w:val="-1"/>
          <w:sz w:val="24"/>
          <w:szCs w:val="24"/>
          <w:highlight w:val="none"/>
          <w:u w:val="single"/>
        </w:rPr>
        <w:tab/>
      </w:r>
      <w:r>
        <w:rPr>
          <w:rFonts w:ascii="宋体"/>
          <w:color w:val="auto"/>
          <w:position w:val="-1"/>
          <w:sz w:val="24"/>
          <w:szCs w:val="24"/>
          <w:highlight w:val="none"/>
        </w:rPr>
        <w:t>日</w:t>
      </w:r>
    </w:p>
    <w:p>
      <w:pPr>
        <w:pStyle w:val="17"/>
        <w:tabs>
          <w:tab w:val="left" w:pos="5803"/>
          <w:tab w:val="left" w:pos="6746"/>
          <w:tab w:val="left" w:pos="7692"/>
        </w:tabs>
        <w:spacing w:before="36"/>
        <w:ind w:left="4961" w:right="113"/>
        <w:rPr>
          <w:rFonts w:ascii="宋体"/>
          <w:color w:val="auto"/>
          <w:sz w:val="24"/>
          <w:szCs w:val="24"/>
          <w:highlight w:val="none"/>
        </w:rPr>
      </w:pPr>
    </w:p>
    <w:p>
      <w:pPr>
        <w:spacing w:line="440" w:lineRule="exact"/>
        <w:jc w:val="center"/>
        <w:rPr>
          <w:rFonts w:ascii="宋体" w:eastAsia="宋体" w:cs="宋体"/>
          <w:color w:val="auto"/>
          <w:highlight w:val="none"/>
        </w:rPr>
      </w:pPr>
    </w:p>
    <w:p>
      <w:pPr>
        <w:spacing w:line="440" w:lineRule="exact"/>
        <w:jc w:val="center"/>
        <w:rPr>
          <w:rFonts w:ascii="宋体" w:eastAsia="宋体" w:cs="宋体"/>
          <w:color w:val="auto"/>
          <w:highlight w:val="none"/>
        </w:rPr>
      </w:pPr>
    </w:p>
    <w:p>
      <w:pPr>
        <w:widowControl/>
        <w:jc w:val="left"/>
        <w:rPr>
          <w:rFonts w:ascii="宋体" w:eastAsia="宋体" w:cs="宋体"/>
          <w:color w:val="auto"/>
          <w:highlight w:val="none"/>
        </w:rPr>
      </w:pPr>
      <w:r>
        <w:rPr>
          <w:rFonts w:ascii="宋体" w:eastAsia="宋体" w:cs="宋体"/>
          <w:color w:val="auto"/>
          <w:highlight w:val="none"/>
        </w:rPr>
        <w:br w:type="page"/>
      </w:r>
    </w:p>
    <w:p>
      <w:pPr>
        <w:pStyle w:val="5"/>
        <w:keepNext w:val="0"/>
        <w:keepLines w:val="0"/>
        <w:ind w:firstLine="137"/>
        <w:rPr>
          <w:rFonts w:ascii="宋体" w:eastAsia="宋体" w:cs="宋体"/>
          <w:color w:val="auto"/>
          <w:highlight w:val="none"/>
        </w:rPr>
      </w:pPr>
      <w:bookmarkStart w:id="147" w:name="_Toc27095"/>
      <w:bookmarkStart w:id="148" w:name="_Toc523787643"/>
      <w:bookmarkStart w:id="149" w:name="_Toc16683"/>
      <w:bookmarkStart w:id="150" w:name="_Toc523153658"/>
      <w:bookmarkStart w:id="151" w:name="_Toc152042355"/>
      <w:bookmarkStart w:id="152" w:name="_Toc144974546"/>
      <w:r>
        <w:rPr>
          <w:rFonts w:hint="eastAsia" w:ascii="宋体" w:eastAsia="宋体" w:cs="宋体"/>
          <w:color w:val="auto"/>
          <w:highlight w:val="none"/>
        </w:rPr>
        <w:t>附件三：问题的澄清</w:t>
      </w:r>
      <w:bookmarkEnd w:id="147"/>
      <w:bookmarkEnd w:id="148"/>
      <w:bookmarkEnd w:id="149"/>
      <w:bookmarkEnd w:id="150"/>
    </w:p>
    <w:p>
      <w:pPr>
        <w:spacing w:before="168"/>
        <w:ind w:right="16"/>
        <w:jc w:val="center"/>
        <w:rPr>
          <w:rFonts w:ascii="宋体" w:eastAsia="宋体" w:cs="宋体"/>
          <w:color w:val="auto"/>
          <w:sz w:val="24"/>
          <w:szCs w:val="24"/>
          <w:highlight w:val="none"/>
        </w:rPr>
      </w:pPr>
      <w:r>
        <w:rPr>
          <w:rFonts w:hint="eastAsia" w:ascii="宋体" w:eastAsia="宋体" w:cs="宋体"/>
          <w:color w:val="auto"/>
          <w:sz w:val="24"/>
          <w:szCs w:val="24"/>
          <w:highlight w:val="none"/>
        </w:rPr>
        <w:t>问题的澄清</w:t>
      </w:r>
    </w:p>
    <w:p>
      <w:pPr>
        <w:pStyle w:val="17"/>
        <w:tabs>
          <w:tab w:val="left" w:pos="5947"/>
        </w:tabs>
        <w:spacing w:before="113"/>
        <w:ind w:left="3566" w:right="113"/>
        <w:rPr>
          <w:rFonts w:ascii="宋体"/>
          <w:color w:val="auto"/>
          <w:sz w:val="24"/>
          <w:szCs w:val="24"/>
          <w:highlight w:val="none"/>
        </w:rPr>
      </w:pPr>
      <w:r>
        <w:rPr>
          <w:rFonts w:hint="eastAsia" w:ascii="宋体"/>
          <w:color w:val="auto"/>
          <w:spacing w:val="-1"/>
          <w:sz w:val="24"/>
          <w:szCs w:val="24"/>
          <w:highlight w:val="none"/>
        </w:rPr>
        <w:t>（编号：</w:t>
      </w:r>
      <w:r>
        <w:rPr>
          <w:rFonts w:ascii="宋体"/>
          <w:color w:val="auto"/>
          <w:spacing w:val="-1"/>
          <w:sz w:val="24"/>
          <w:szCs w:val="24"/>
          <w:highlight w:val="none"/>
          <w:u w:val="single" w:color="000000"/>
        </w:rPr>
        <w:tab/>
      </w:r>
      <w:r>
        <w:rPr>
          <w:rFonts w:hint="eastAsia" w:ascii="宋体"/>
          <w:color w:val="auto"/>
          <w:sz w:val="24"/>
          <w:szCs w:val="24"/>
          <w:highlight w:val="none"/>
        </w:rPr>
        <w:t>）</w:t>
      </w:r>
    </w:p>
    <w:p>
      <w:pPr>
        <w:rPr>
          <w:rFonts w:ascii="宋体" w:eastAsia="宋体" w:cs="宋体"/>
          <w:color w:val="auto"/>
          <w:sz w:val="24"/>
          <w:szCs w:val="24"/>
          <w:highlight w:val="none"/>
        </w:rPr>
      </w:pPr>
    </w:p>
    <w:p>
      <w:pPr>
        <w:spacing w:before="1"/>
        <w:rPr>
          <w:rFonts w:ascii="宋体" w:eastAsia="宋体" w:cs="宋体"/>
          <w:color w:val="auto"/>
          <w:sz w:val="24"/>
          <w:szCs w:val="24"/>
          <w:highlight w:val="none"/>
        </w:rPr>
      </w:pPr>
    </w:p>
    <w:p>
      <w:pPr>
        <w:pStyle w:val="17"/>
        <w:spacing w:before="36"/>
        <w:ind w:left="100" w:right="113"/>
        <w:rPr>
          <w:rFonts w:ascii="宋体"/>
          <w:color w:val="auto"/>
          <w:sz w:val="24"/>
          <w:szCs w:val="24"/>
          <w:highlight w:val="none"/>
        </w:rPr>
      </w:pPr>
      <w:r>
        <w:rPr>
          <w:rFonts w:hint="eastAsia" w:ascii="宋体"/>
          <w:color w:val="auto"/>
          <w:sz w:val="24"/>
          <w:szCs w:val="24"/>
          <w:highlight w:val="none"/>
        </w:rPr>
        <w:t>评标委员会：</w:t>
      </w:r>
    </w:p>
    <w:p>
      <w:pPr>
        <w:rPr>
          <w:rFonts w:ascii="宋体" w:eastAsia="宋体" w:cs="宋体"/>
          <w:color w:val="auto"/>
          <w:sz w:val="24"/>
          <w:szCs w:val="24"/>
          <w:highlight w:val="none"/>
        </w:rPr>
      </w:pPr>
    </w:p>
    <w:p>
      <w:pPr>
        <w:spacing w:before="2"/>
        <w:rPr>
          <w:rFonts w:ascii="宋体" w:eastAsia="宋体" w:cs="宋体"/>
          <w:color w:val="auto"/>
          <w:sz w:val="24"/>
          <w:szCs w:val="24"/>
          <w:highlight w:val="none"/>
        </w:rPr>
      </w:pPr>
    </w:p>
    <w:p>
      <w:pPr>
        <w:pStyle w:val="17"/>
        <w:tabs>
          <w:tab w:val="left" w:pos="3460"/>
        </w:tabs>
        <w:ind w:left="522" w:right="113"/>
        <w:rPr>
          <w:rFonts w:ascii="宋体"/>
          <w:color w:val="auto"/>
          <w:sz w:val="24"/>
          <w:szCs w:val="24"/>
          <w:highlight w:val="none"/>
        </w:rPr>
      </w:pPr>
      <w:r>
        <w:rPr>
          <w:rFonts w:hint="eastAsia" w:ascii="宋体"/>
          <w:color w:val="auto"/>
          <w:spacing w:val="-2"/>
          <w:sz w:val="24"/>
          <w:szCs w:val="24"/>
          <w:highlight w:val="none"/>
        </w:rPr>
        <w:t>问题澄清通知（编号：</w:t>
      </w:r>
      <w:r>
        <w:rPr>
          <w:rFonts w:ascii="宋体"/>
          <w:color w:val="auto"/>
          <w:spacing w:val="-2"/>
          <w:sz w:val="24"/>
          <w:szCs w:val="24"/>
          <w:highlight w:val="none"/>
          <w:u w:val="single" w:color="000000"/>
        </w:rPr>
        <w:tab/>
      </w:r>
      <w:r>
        <w:rPr>
          <w:rFonts w:hint="eastAsia" w:ascii="宋体"/>
          <w:color w:val="auto"/>
          <w:spacing w:val="-2"/>
          <w:sz w:val="24"/>
          <w:szCs w:val="24"/>
          <w:highlight w:val="none"/>
          <w:u w:val="single" w:color="000000"/>
        </w:rPr>
        <w:t xml:space="preserve">    </w:t>
      </w:r>
      <w:r>
        <w:rPr>
          <w:rFonts w:hint="eastAsia" w:ascii="宋体"/>
          <w:color w:val="auto"/>
          <w:spacing w:val="-2"/>
          <w:sz w:val="24"/>
          <w:szCs w:val="24"/>
          <w:highlight w:val="none"/>
        </w:rPr>
        <w:t>）已收悉，现澄清、说明或补正如下：</w:t>
      </w:r>
    </w:p>
    <w:p>
      <w:pPr>
        <w:spacing w:before="11"/>
        <w:rPr>
          <w:rFonts w:ascii="宋体" w:eastAsia="宋体" w:cs="宋体"/>
          <w:color w:val="auto"/>
          <w:sz w:val="24"/>
          <w:szCs w:val="24"/>
          <w:highlight w:val="none"/>
        </w:rPr>
      </w:pPr>
    </w:p>
    <w:p>
      <w:pPr>
        <w:pStyle w:val="17"/>
        <w:spacing w:before="74"/>
        <w:ind w:right="7025"/>
        <w:jc w:val="center"/>
        <w:rPr>
          <w:rFonts w:ascii="宋体"/>
          <w:color w:val="auto"/>
          <w:sz w:val="24"/>
          <w:szCs w:val="24"/>
          <w:highlight w:val="none"/>
        </w:rPr>
      </w:pPr>
      <w:r>
        <w:rPr>
          <w:rFonts w:ascii="宋体"/>
          <w:color w:val="auto"/>
          <w:sz w:val="24"/>
          <w:szCs w:val="24"/>
          <w:highlight w:val="none"/>
        </w:rPr>
        <w:t>1.</w:t>
      </w:r>
    </w:p>
    <w:p>
      <w:pPr>
        <w:spacing w:before="2"/>
        <w:rPr>
          <w:rFonts w:ascii="宋体" w:eastAsia="宋体"/>
          <w:color w:val="auto"/>
          <w:sz w:val="24"/>
          <w:szCs w:val="24"/>
          <w:highlight w:val="none"/>
        </w:rPr>
      </w:pPr>
    </w:p>
    <w:p>
      <w:pPr>
        <w:pStyle w:val="17"/>
        <w:ind w:right="7025"/>
        <w:jc w:val="center"/>
        <w:rPr>
          <w:rFonts w:ascii="宋体"/>
          <w:color w:val="auto"/>
          <w:sz w:val="24"/>
          <w:szCs w:val="24"/>
          <w:highlight w:val="none"/>
        </w:rPr>
      </w:pPr>
      <w:r>
        <w:rPr>
          <w:rFonts w:ascii="宋体"/>
          <w:color w:val="auto"/>
          <w:sz w:val="24"/>
          <w:szCs w:val="24"/>
          <w:highlight w:val="none"/>
        </w:rPr>
        <w:t>2.</w:t>
      </w:r>
    </w:p>
    <w:p>
      <w:pPr>
        <w:spacing w:before="2"/>
        <w:rPr>
          <w:rFonts w:ascii="宋体" w:eastAsia="宋体"/>
          <w:color w:val="auto"/>
          <w:sz w:val="24"/>
          <w:szCs w:val="24"/>
          <w:highlight w:val="none"/>
        </w:rPr>
      </w:pPr>
    </w:p>
    <w:p>
      <w:pPr>
        <w:pStyle w:val="17"/>
        <w:ind w:right="7130"/>
        <w:jc w:val="center"/>
        <w:rPr>
          <w:rFonts w:ascii="宋体"/>
          <w:color w:val="auto"/>
          <w:sz w:val="24"/>
          <w:szCs w:val="24"/>
          <w:highlight w:val="none"/>
        </w:rPr>
      </w:pPr>
      <w:r>
        <w:rPr>
          <w:rFonts w:ascii="宋体"/>
          <w:color w:val="auto"/>
          <w:sz w:val="24"/>
          <w:szCs w:val="24"/>
          <w:highlight w:val="none"/>
        </w:rPr>
        <w:t>.....</w:t>
      </w:r>
    </w:p>
    <w:p>
      <w:pPr>
        <w:rPr>
          <w:rFonts w:ascii="宋体" w:eastAsia="宋体"/>
          <w:color w:val="auto"/>
          <w:sz w:val="24"/>
          <w:szCs w:val="24"/>
          <w:highlight w:val="none"/>
        </w:rPr>
      </w:pPr>
    </w:p>
    <w:p>
      <w:pPr>
        <w:rPr>
          <w:rFonts w:ascii="宋体" w:eastAsia="宋体"/>
          <w:color w:val="auto"/>
          <w:sz w:val="24"/>
          <w:szCs w:val="24"/>
          <w:highlight w:val="none"/>
        </w:rPr>
      </w:pPr>
    </w:p>
    <w:p>
      <w:pPr>
        <w:rPr>
          <w:rFonts w:ascii="宋体" w:eastAsia="宋体"/>
          <w:color w:val="auto"/>
          <w:sz w:val="24"/>
          <w:szCs w:val="24"/>
          <w:highlight w:val="none"/>
        </w:rPr>
      </w:pPr>
    </w:p>
    <w:p>
      <w:pPr>
        <w:spacing w:before="11"/>
        <w:rPr>
          <w:rFonts w:ascii="宋体" w:eastAsia="宋体"/>
          <w:color w:val="auto"/>
          <w:sz w:val="24"/>
          <w:szCs w:val="24"/>
          <w:highlight w:val="none"/>
        </w:rPr>
      </w:pPr>
    </w:p>
    <w:p>
      <w:pPr>
        <w:pStyle w:val="17"/>
        <w:spacing w:line="384" w:lineRule="auto"/>
        <w:ind w:left="100" w:right="113" w:firstLine="419"/>
        <w:rPr>
          <w:rFonts w:ascii="宋体"/>
          <w:color w:val="auto"/>
          <w:sz w:val="24"/>
          <w:szCs w:val="24"/>
          <w:highlight w:val="none"/>
        </w:rPr>
      </w:pPr>
      <w:r>
        <w:rPr>
          <w:rFonts w:hint="eastAsia" w:ascii="宋体"/>
          <w:color w:val="auto"/>
          <w:spacing w:val="-1"/>
          <w:sz w:val="24"/>
          <w:szCs w:val="24"/>
          <w:highlight w:val="none"/>
        </w:rPr>
        <w:t>上述问题澄清、说明或补正，不改变我方投标文件的实质性内容，构成我方投标文件的组</w:t>
      </w:r>
      <w:r>
        <w:rPr>
          <w:rFonts w:hint="eastAsia" w:ascii="宋体"/>
          <w:color w:val="auto"/>
          <w:sz w:val="24"/>
          <w:szCs w:val="24"/>
          <w:highlight w:val="none"/>
        </w:rPr>
        <w:t>成部分。</w:t>
      </w:r>
    </w:p>
    <w:p>
      <w:pPr>
        <w:rPr>
          <w:rFonts w:ascii="宋体" w:eastAsia="宋体" w:cs="宋体"/>
          <w:color w:val="auto"/>
          <w:sz w:val="24"/>
          <w:szCs w:val="24"/>
          <w:highlight w:val="none"/>
        </w:rPr>
      </w:pPr>
    </w:p>
    <w:p>
      <w:pPr>
        <w:rPr>
          <w:rFonts w:ascii="宋体" w:eastAsia="宋体" w:cs="宋体"/>
          <w:color w:val="auto"/>
          <w:sz w:val="24"/>
          <w:szCs w:val="24"/>
          <w:highlight w:val="none"/>
        </w:rPr>
      </w:pPr>
    </w:p>
    <w:p>
      <w:pPr>
        <w:spacing w:before="6"/>
        <w:rPr>
          <w:rFonts w:ascii="宋体" w:eastAsia="宋体" w:cs="宋体"/>
          <w:color w:val="auto"/>
          <w:sz w:val="24"/>
          <w:szCs w:val="24"/>
          <w:highlight w:val="none"/>
        </w:rPr>
      </w:pPr>
    </w:p>
    <w:p>
      <w:pPr>
        <w:pStyle w:val="17"/>
        <w:tabs>
          <w:tab w:val="left" w:pos="7382"/>
        </w:tabs>
        <w:ind w:right="113" w:firstLine="3094" w:firstLineChars="1300"/>
        <w:rPr>
          <w:rFonts w:ascii="宋体"/>
          <w:color w:val="auto"/>
          <w:sz w:val="24"/>
          <w:szCs w:val="24"/>
          <w:highlight w:val="none"/>
        </w:rPr>
      </w:pPr>
      <w:r>
        <w:rPr>
          <w:rFonts w:hint="eastAsia" w:ascii="宋体"/>
          <w:color w:val="auto"/>
          <w:spacing w:val="-1"/>
          <w:sz w:val="24"/>
          <w:szCs w:val="24"/>
          <w:highlight w:val="none"/>
        </w:rPr>
        <w:t>投标人：</w:t>
      </w:r>
      <w:r>
        <w:rPr>
          <w:rFonts w:hint="eastAsia" w:ascii="宋体"/>
          <w:color w:val="auto"/>
          <w:spacing w:val="-2"/>
          <w:sz w:val="24"/>
          <w:szCs w:val="24"/>
          <w:highlight w:val="none"/>
          <w:u w:val="single" w:color="000000"/>
        </w:rPr>
        <w:t xml:space="preserve">                          </w:t>
      </w:r>
      <w:r>
        <w:rPr>
          <w:rFonts w:hint="eastAsia" w:ascii="宋体"/>
          <w:color w:val="auto"/>
          <w:spacing w:val="-1"/>
          <w:sz w:val="24"/>
          <w:szCs w:val="24"/>
          <w:highlight w:val="none"/>
        </w:rPr>
        <w:t>（盖单位章）</w:t>
      </w:r>
    </w:p>
    <w:p>
      <w:pPr>
        <w:spacing w:before="11"/>
        <w:rPr>
          <w:rFonts w:ascii="宋体" w:eastAsia="宋体" w:cs="宋体"/>
          <w:color w:val="auto"/>
          <w:sz w:val="24"/>
          <w:szCs w:val="24"/>
          <w:highlight w:val="none"/>
        </w:rPr>
      </w:pPr>
    </w:p>
    <w:p>
      <w:pPr>
        <w:pStyle w:val="17"/>
        <w:tabs>
          <w:tab w:val="left" w:pos="6612"/>
        </w:tabs>
        <w:spacing w:before="36"/>
        <w:ind w:left="3041" w:right="113"/>
        <w:rPr>
          <w:rFonts w:ascii="宋体"/>
          <w:color w:val="auto"/>
          <w:sz w:val="24"/>
          <w:szCs w:val="24"/>
          <w:highlight w:val="none"/>
        </w:rPr>
      </w:pPr>
      <w:r>
        <w:rPr>
          <w:rFonts w:hint="eastAsia" w:ascii="宋体"/>
          <w:color w:val="auto"/>
          <w:spacing w:val="-2"/>
          <w:sz w:val="24"/>
          <w:szCs w:val="24"/>
          <w:highlight w:val="none"/>
        </w:rPr>
        <w:t>法定代表人或其委托代理人：</w:t>
      </w:r>
      <w:r>
        <w:rPr>
          <w:rFonts w:ascii="宋体"/>
          <w:color w:val="auto"/>
          <w:spacing w:val="-2"/>
          <w:sz w:val="24"/>
          <w:szCs w:val="24"/>
          <w:highlight w:val="none"/>
          <w:u w:val="single" w:color="000000"/>
        </w:rPr>
        <w:tab/>
      </w:r>
      <w:r>
        <w:rPr>
          <w:rFonts w:hint="eastAsia" w:ascii="宋体"/>
          <w:color w:val="auto"/>
          <w:spacing w:val="-2"/>
          <w:sz w:val="24"/>
          <w:szCs w:val="24"/>
          <w:highlight w:val="none"/>
          <w:u w:val="single" w:color="000000"/>
        </w:rPr>
        <w:t xml:space="preserve">   </w:t>
      </w:r>
      <w:r>
        <w:rPr>
          <w:rFonts w:hint="eastAsia" w:ascii="宋体"/>
          <w:color w:val="auto"/>
          <w:spacing w:val="-2"/>
          <w:sz w:val="24"/>
          <w:szCs w:val="24"/>
          <w:highlight w:val="none"/>
        </w:rPr>
        <w:t>（签字）</w:t>
      </w:r>
    </w:p>
    <w:p>
      <w:pPr>
        <w:spacing w:before="4"/>
        <w:rPr>
          <w:rFonts w:ascii="宋体" w:eastAsia="宋体" w:cs="宋体"/>
          <w:color w:val="auto"/>
          <w:sz w:val="24"/>
          <w:szCs w:val="24"/>
          <w:highlight w:val="none"/>
        </w:rPr>
      </w:pPr>
    </w:p>
    <w:p>
      <w:pPr>
        <w:pStyle w:val="17"/>
        <w:tabs>
          <w:tab w:val="left" w:pos="6434"/>
          <w:tab w:val="left" w:pos="7483"/>
          <w:tab w:val="left" w:pos="8533"/>
        </w:tabs>
        <w:spacing w:before="36"/>
        <w:ind w:left="5595"/>
        <w:rPr>
          <w:rFonts w:ascii="宋体"/>
          <w:color w:val="auto"/>
          <w:sz w:val="24"/>
          <w:szCs w:val="24"/>
          <w:highlight w:val="none"/>
        </w:rPr>
      </w:pPr>
      <w:r>
        <w:rPr>
          <w:rFonts w:hint="eastAsia" w:ascii="宋体"/>
          <w:color w:val="auto"/>
          <w:spacing w:val="-3"/>
          <w:sz w:val="24"/>
          <w:szCs w:val="24"/>
          <w:highlight w:val="none"/>
          <w:u w:val="single"/>
        </w:rPr>
        <w:t xml:space="preserve">      </w:t>
      </w:r>
      <w:r>
        <w:rPr>
          <w:rFonts w:hint="eastAsia" w:ascii="宋体"/>
          <w:color w:val="auto"/>
          <w:spacing w:val="-3"/>
          <w:sz w:val="24"/>
          <w:szCs w:val="24"/>
          <w:highlight w:val="none"/>
        </w:rPr>
        <w:t>年</w:t>
      </w:r>
      <w:r>
        <w:rPr>
          <w:rFonts w:hint="eastAsia" w:ascii="宋体"/>
          <w:color w:val="auto"/>
          <w:spacing w:val="-3"/>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bookmarkEnd w:id="151"/>
    <w:bookmarkEnd w:id="152"/>
    <w:p>
      <w:pPr>
        <w:spacing w:line="400" w:lineRule="exact"/>
        <w:rPr>
          <w:rFonts w:ascii="宋体" w:eastAsia="宋体" w:cs="宋体"/>
          <w:color w:val="auto"/>
          <w:highlight w:val="none"/>
        </w:rPr>
      </w:pPr>
      <w:r>
        <w:rPr>
          <w:rFonts w:ascii="宋体" w:eastAsia="宋体" w:cs="宋体"/>
          <w:color w:val="auto"/>
          <w:highlight w:val="none"/>
        </w:rPr>
        <w:br w:type="page"/>
      </w:r>
    </w:p>
    <w:p>
      <w:pPr>
        <w:pStyle w:val="5"/>
        <w:keepNext w:val="0"/>
        <w:keepLines w:val="0"/>
        <w:ind w:firstLine="137"/>
        <w:rPr>
          <w:rFonts w:ascii="宋体" w:eastAsia="宋体"/>
          <w:color w:val="auto"/>
          <w:highlight w:val="none"/>
        </w:rPr>
      </w:pPr>
      <w:bookmarkStart w:id="153" w:name="_Toc11515"/>
      <w:bookmarkStart w:id="154" w:name="_Toc29371"/>
      <w:bookmarkStart w:id="155" w:name="_Toc492300623"/>
      <w:bookmarkStart w:id="156" w:name="_Toc523787644"/>
      <w:bookmarkStart w:id="157" w:name="_Toc520363149"/>
      <w:r>
        <w:rPr>
          <w:rFonts w:ascii="宋体" w:eastAsia="宋体"/>
          <w:color w:val="auto"/>
          <w:highlight w:val="none"/>
        </w:rPr>
        <w:t>附件四：中标通知书</w:t>
      </w:r>
      <w:bookmarkEnd w:id="153"/>
      <w:bookmarkEnd w:id="154"/>
      <w:bookmarkEnd w:id="155"/>
      <w:bookmarkEnd w:id="156"/>
      <w:bookmarkEnd w:id="157"/>
    </w:p>
    <w:p>
      <w:pPr>
        <w:spacing w:line="400" w:lineRule="exact"/>
        <w:rPr>
          <w:rFonts w:ascii="宋体" w:eastAsia="宋体"/>
          <w:color w:val="auto"/>
          <w:highlight w:val="none"/>
        </w:rPr>
      </w:pPr>
      <w:r>
        <w:rPr>
          <w:rFonts w:hint="eastAsia" w:ascii="宋体" w:eastAsia="宋体"/>
          <w:color w:val="auto"/>
          <w:highlight w:val="none"/>
        </w:rPr>
        <w:t>（按广州公共资源交易中心中标通知书格式）</w:t>
      </w:r>
    </w:p>
    <w:p>
      <w:pPr>
        <w:spacing w:line="400" w:lineRule="exact"/>
        <w:rPr>
          <w:rFonts w:ascii="宋体" w:eastAsia="宋体"/>
          <w:color w:val="auto"/>
          <w:highlight w:val="none"/>
        </w:rPr>
      </w:pPr>
    </w:p>
    <w:p>
      <w:pPr>
        <w:rPr>
          <w:rFonts w:ascii="宋体" w:eastAsia="宋体"/>
          <w:color w:val="auto"/>
          <w:highlight w:val="none"/>
        </w:rPr>
      </w:pPr>
      <w:bookmarkStart w:id="158" w:name="_Toc520363150"/>
      <w:bookmarkStart w:id="159" w:name="_Toc492300624"/>
      <w:bookmarkStart w:id="160" w:name="_Toc523787645"/>
      <w:r>
        <w:rPr>
          <w:rFonts w:ascii="宋体" w:eastAsia="宋体"/>
          <w:color w:val="auto"/>
          <w:highlight w:val="none"/>
        </w:rPr>
        <w:br w:type="page"/>
      </w:r>
    </w:p>
    <w:bookmarkEnd w:id="158"/>
    <w:bookmarkEnd w:id="159"/>
    <w:bookmarkEnd w:id="160"/>
    <w:p>
      <w:pPr>
        <w:spacing w:line="360" w:lineRule="auto"/>
        <w:jc w:val="center"/>
        <w:outlineLvl w:val="0"/>
        <w:rPr>
          <w:rFonts w:ascii="宋体" w:eastAsia="宋体" w:cs="宋体"/>
          <w:b/>
          <w:color w:val="auto"/>
          <w:kern w:val="44"/>
          <w:sz w:val="36"/>
          <w:szCs w:val="36"/>
          <w:highlight w:val="none"/>
        </w:rPr>
      </w:pPr>
      <w:bookmarkStart w:id="161" w:name="_Toc13859"/>
      <w:bookmarkEnd w:id="161"/>
      <w:bookmarkStart w:id="162" w:name="_Toc12001733"/>
      <w:bookmarkEnd w:id="162"/>
      <w:bookmarkStart w:id="163" w:name="_Toc55400158"/>
      <w:bookmarkStart w:id="164" w:name="_Toc17234"/>
      <w:bookmarkStart w:id="165" w:name="_Toc22914"/>
      <w:bookmarkStart w:id="166" w:name="_Toc2468"/>
      <w:bookmarkStart w:id="167" w:name="_Toc514170133"/>
      <w:bookmarkStart w:id="168" w:name="_Toc13529"/>
      <w:bookmarkStart w:id="169" w:name="_Toc1870"/>
      <w:bookmarkStart w:id="170" w:name="_Toc12886"/>
      <w:bookmarkStart w:id="171" w:name="_Toc24248"/>
      <w:bookmarkStart w:id="172" w:name="_Toc78382571"/>
      <w:bookmarkStart w:id="173" w:name="_Toc14742"/>
      <w:bookmarkStart w:id="174" w:name="_Toc25752"/>
      <w:bookmarkStart w:id="175" w:name="_Toc15200"/>
      <w:bookmarkStart w:id="176" w:name="_Toc22155"/>
      <w:bookmarkStart w:id="177" w:name="_Toc3226"/>
      <w:bookmarkStart w:id="178" w:name="_Toc11365"/>
      <w:bookmarkStart w:id="179" w:name="_Toc13470"/>
      <w:bookmarkStart w:id="180" w:name="_Toc19290"/>
      <w:r>
        <w:rPr>
          <w:rFonts w:hint="eastAsia" w:ascii="宋体" w:eastAsia="宋体" w:cs="宋体"/>
          <w:b/>
          <w:color w:val="auto"/>
          <w:kern w:val="44"/>
          <w:sz w:val="36"/>
          <w:szCs w:val="36"/>
          <w:highlight w:val="none"/>
        </w:rPr>
        <w:t>第三章 评标办法（综合评标法）</w:t>
      </w:r>
      <w:bookmarkEnd w:id="163"/>
      <w:bookmarkEnd w:id="164"/>
    </w:p>
    <w:tbl>
      <w:tblPr>
        <w:tblStyle w:val="46"/>
        <w:tblW w:w="9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9"/>
        <w:gridCol w:w="1096"/>
        <w:gridCol w:w="1372"/>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1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96"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w:t>
            </w:r>
          </w:p>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方法</w:t>
            </w: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62" w:beforeLines="20" w:after="62" w:afterLines="20"/>
              <w:rPr>
                <w:rFonts w:ascii="宋体" w:hAnsi="宋体" w:eastAsia="宋体" w:cs="宋体"/>
                <w:color w:val="auto"/>
                <w:szCs w:val="21"/>
                <w:highlight w:val="none"/>
              </w:rPr>
            </w:pPr>
            <w:r>
              <w:rPr>
                <w:rFonts w:hint="eastAsia" w:ascii="宋体" w:hAnsi="宋体" w:eastAsia="宋体" w:cs="宋体"/>
                <w:color w:val="auto"/>
                <w:szCs w:val="21"/>
                <w:highlight w:val="none"/>
              </w:rPr>
              <w:t>按投标人的总得分从高到低进行排序，如果总分相同的，以投标报价低的优先；投标报价也相等的，由评委会采用差额选举的记名投票方式确定先后顺序，确定投标人的排序。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771"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1096" w:type="dxa"/>
            <w:vMerge w:val="restart"/>
            <w:tcBorders>
              <w:top w:val="nil"/>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形式</w:t>
            </w:r>
          </w:p>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w:t>
            </w:r>
          </w:p>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标准</w:t>
            </w: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62" w:beforeLines="20" w:after="62" w:afterLines="20"/>
              <w:rPr>
                <w:rFonts w:ascii="宋体" w:hAnsi="宋体" w:eastAsia="宋体" w:cs="宋体"/>
                <w:color w:val="auto"/>
                <w:szCs w:val="21"/>
                <w:highlight w:val="none"/>
              </w:rPr>
            </w:pPr>
            <w:r>
              <w:rPr>
                <w:rFonts w:hint="eastAsia" w:ascii="宋体" w:hAnsi="宋体" w:eastAsia="宋体" w:cs="宋体"/>
                <w:color w:val="auto"/>
                <w:szCs w:val="21"/>
                <w:highlight w:val="none"/>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nil"/>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62" w:beforeLines="20" w:after="62" w:afterLines="20"/>
              <w:rPr>
                <w:rFonts w:ascii="宋体" w:hAnsi="宋体" w:eastAsia="宋体" w:cs="宋体"/>
                <w:color w:val="auto"/>
                <w:szCs w:val="21"/>
                <w:highlight w:val="none"/>
              </w:rPr>
            </w:pPr>
            <w:r>
              <w:rPr>
                <w:rFonts w:hint="eastAsia" w:ascii="宋体" w:hAnsi="宋体" w:eastAsia="宋体" w:cs="宋体"/>
                <w:color w:val="auto"/>
                <w:szCs w:val="21"/>
                <w:highlight w:val="none"/>
              </w:rPr>
              <w:t>有法定代表人或其委托代理人签字(或盖章)并加盖单位章。由法定代表人签字(或盖章)的，应附法定代表人身份证明，由代理人签字(或盖章)的，应附授权委托书</w:t>
            </w:r>
            <w:r>
              <w:rPr>
                <w:rFonts w:hint="eastAsia" w:ascii="宋体" w:hAnsi="宋体" w:eastAsia="宋体" w:cs="宋体"/>
                <w:color w:val="auto"/>
                <w:szCs w:val="21"/>
                <w:highlight w:val="none"/>
                <w:u w:val="single"/>
              </w:rPr>
              <w:t>和法定代表人身份证明书</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nil"/>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nil"/>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备选投标方案</w:t>
            </w:r>
          </w:p>
        </w:tc>
        <w:tc>
          <w:tcPr>
            <w:tcW w:w="6077"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eastAsia="宋体" w:cs="宋体"/>
                <w:color w:val="auto"/>
                <w:szCs w:val="21"/>
                <w:highlight w:val="none"/>
                <w:u w:val="single"/>
              </w:rPr>
            </w:pPr>
            <w:r>
              <w:rPr>
                <w:rFonts w:hint="eastAsia" w:ascii="宋体" w:hAnsi="宋体" w:eastAsia="宋体" w:cs="宋体"/>
                <w:color w:val="auto"/>
                <w:szCs w:val="21"/>
                <w:highlight w:val="none"/>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nil"/>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投标人机器码</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szCs w:val="21"/>
                <w:highlight w:val="none"/>
              </w:rPr>
              <w:t>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771"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096" w:type="dxa"/>
            <w:vMerge w:val="restart"/>
            <w:tcBorders>
              <w:top w:val="nil"/>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投标授权</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0"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nil"/>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kern w:val="0"/>
                <w:szCs w:val="21"/>
                <w:highlight w:val="none"/>
              </w:rPr>
              <w:t>投标人具有独立法人资格，持有工商行政管理部门核发的法人营业执照或各级登记管理机关颁发的事业单位法人证书，按国家法律经营。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0"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nil"/>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资质证书</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 w:val="24"/>
                <w:szCs w:val="24"/>
                <w:highlight w:val="none"/>
                <w:u w:val="single"/>
              </w:rPr>
            </w:pPr>
            <w:r>
              <w:rPr>
                <w:rFonts w:hint="eastAsia" w:ascii="宋体" w:hAnsi="宋体" w:eastAsia="宋体" w:cs="宋体"/>
                <w:color w:val="auto"/>
                <w:kern w:val="0"/>
                <w:szCs w:val="21"/>
                <w:highlight w:val="none"/>
              </w:rPr>
              <w:t>投标人具有建设行政主管部门颁发的施工图设计文件审查机构一类资质证书[业务范围须含市政基础设施（给水、排水）工程</w:t>
            </w:r>
            <w:r>
              <w:rPr>
                <w:rFonts w:hint="eastAsia" w:ascii="宋体" w:hAnsi="宋体" w:eastAsia="宋体" w:cs="宋体"/>
                <w:color w:val="auto"/>
                <w:sz w:val="24"/>
                <w:highlight w:val="none"/>
              </w:rPr>
              <w:t>]</w:t>
            </w:r>
            <w:r>
              <w:rPr>
                <w:rFonts w:hint="eastAsia" w:ascii="宋体" w:hAnsi="宋体" w:eastAsia="宋体" w:cs="宋体"/>
                <w:color w:val="auto"/>
                <w:kern w:val="0"/>
                <w:szCs w:val="21"/>
                <w:highlight w:val="none"/>
              </w:rPr>
              <w:t>，且证书在有效期内。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nil"/>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adjustRightInd w:val="0"/>
              <w:snapToGrid w:val="0"/>
              <w:spacing w:before="20" w:after="20"/>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szCs w:val="21"/>
                <w:highlight w:val="none"/>
              </w:rPr>
              <w:t>本项目的项目负责人具有市政类专业高级工程师（或以上）职称。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nil"/>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联合体投标</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kern w:val="0"/>
                <w:szCs w:val="21"/>
                <w:highlight w:val="none"/>
              </w:rPr>
            </w:pPr>
            <w:r>
              <w:rPr>
                <w:rFonts w:hint="eastAsia" w:ascii="宋体" w:hAnsi="宋体" w:eastAsia="宋体" w:cs="宋体"/>
                <w:color w:val="auto"/>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nil"/>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投标人声明</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szCs w:val="21"/>
                <w:highlight w:val="none"/>
              </w:rPr>
              <w:t>投标人已按招标文件格式要求签署盖章《投标人声明》。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771"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nil"/>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信用情况</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kern w:val="21"/>
                <w:highlight w:val="none"/>
              </w:rPr>
              <w:t>投标人未被纳入国家、市、区的失信联合惩戒名单且</w:t>
            </w:r>
            <w:r>
              <w:rPr>
                <w:rFonts w:hint="eastAsia" w:ascii="宋体" w:hAnsi="宋体" w:eastAsia="宋体" w:cs="宋体"/>
                <w:color w:val="auto"/>
                <w:kern w:val="21"/>
                <w:highlight w:val="none"/>
                <w:lang w:val="en-US" w:eastAsia="zh-CN"/>
              </w:rPr>
              <w:t>未</w:t>
            </w:r>
            <w:r>
              <w:rPr>
                <w:rFonts w:hint="eastAsia" w:ascii="宋体" w:hAnsi="宋体" w:eastAsia="宋体" w:cs="宋体"/>
                <w:color w:val="auto"/>
                <w:kern w:val="21"/>
                <w:highlight w:val="none"/>
              </w:rPr>
              <w:t>被限制参加建设工程投标的（具体名单以递交投标文件截止时间“信用广州”https://credit1.gz.gov.cn/sgs/sgsXkNew公布的“失信联合惩戒黑名单”为准。不包含限制参加财政投资工程或政府投资工程的投标）。注：因联合惩戒措施表述存在细微差别，惩戒措施与上文不完全一致但措施内容相同的，也应属于被限制参与相关项目的投标。（按投标人提供的《投标人声明》第六条内容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771"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1096"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符合第二章“投标人须知”第3.2款规定进行投标报价的；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single" w:color="auto" w:sz="4" w:space="0"/>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1.3.1 项规定；（</w:t>
            </w:r>
            <w:r>
              <w:rPr>
                <w:rFonts w:hint="eastAsia" w:ascii="宋体" w:hAnsi="宋体" w:eastAsia="宋体" w:cs="宋体"/>
                <w:color w:val="auto"/>
                <w:szCs w:val="21"/>
                <w:highlight w:val="none"/>
                <w:u w:val="single"/>
              </w:rPr>
              <w:t>投标文件按规定的格式填写，内容齐全或关键字迹清晰、容易辩认</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single" w:color="auto" w:sz="4" w:space="0"/>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符合第二章“投标人须知”第1.3.2项规定（以投标函附录中的承诺为准）；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single" w:color="auto" w:sz="4" w:space="0"/>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3.3.1 项规定（以投标函中的承诺为准）；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single" w:color="auto" w:sz="4" w:space="0"/>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ind w:left="184"/>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077" w:type="dxa"/>
            <w:tcBorders>
              <w:top w:val="single" w:color="auto" w:sz="4" w:space="0"/>
              <w:left w:val="nil"/>
              <w:bottom w:val="single" w:color="auto" w:sz="4" w:space="0"/>
              <w:right w:val="single" w:color="auto" w:sz="4" w:space="0"/>
            </w:tcBorders>
          </w:tcPr>
          <w:p>
            <w:pPr>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7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096" w:type="dxa"/>
            <w:vMerge w:val="continue"/>
            <w:tcBorders>
              <w:top w:val="single" w:color="auto" w:sz="4" w:space="0"/>
              <w:left w:val="nil"/>
              <w:bottom w:val="single" w:color="auto" w:sz="4" w:space="0"/>
              <w:right w:val="single" w:color="auto" w:sz="4" w:space="0"/>
            </w:tcBorders>
            <w:vAlign w:val="center"/>
          </w:tcPr>
          <w:p>
            <w:pPr>
              <w:rPr>
                <w:rFonts w:ascii="宋体" w:hAnsi="宋体" w:eastAsia="宋体" w:cs="宋体"/>
                <w:color w:val="auto"/>
                <w:highlight w:val="none"/>
              </w:rPr>
            </w:pP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串通投标情形</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b/>
                <w:bCs/>
                <w:color w:val="auto"/>
                <w:szCs w:val="21"/>
                <w:highlight w:val="none"/>
              </w:rPr>
            </w:pPr>
            <w:r>
              <w:rPr>
                <w:rFonts w:hint="eastAsia" w:ascii="宋体" w:hAnsi="宋体" w:eastAsia="宋体" w:cs="宋体"/>
                <w:color w:val="auto"/>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条款号</w:t>
            </w: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条款内容</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jc w:val="center"/>
              <w:rPr>
                <w:rFonts w:ascii="宋体" w:hAnsi="宋体" w:eastAsia="宋体" w:cs="宋体"/>
                <w:b/>
                <w:color w:val="auto"/>
                <w:szCs w:val="21"/>
                <w:highlight w:val="none"/>
              </w:rPr>
            </w:pPr>
            <w:r>
              <w:rPr>
                <w:rFonts w:hint="eastAsia" w:ascii="宋体" w:hAnsi="宋体" w:eastAsia="宋体" w:cs="宋体"/>
                <w:b/>
                <w:bCs/>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1" w:hRule="atLeast"/>
          <w:jc w:val="center"/>
        </w:trPr>
        <w:tc>
          <w:tcPr>
            <w:tcW w:w="1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分值构成</w:t>
            </w:r>
          </w:p>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6077" w:type="dxa"/>
            <w:tcBorders>
              <w:top w:val="single" w:color="auto" w:sz="4" w:space="0"/>
              <w:left w:val="nil"/>
              <w:bottom w:val="single" w:color="auto" w:sz="4" w:space="0"/>
              <w:right w:val="single" w:color="auto" w:sz="4" w:space="0"/>
            </w:tcBorders>
            <w:vAlign w:val="center"/>
          </w:tcPr>
          <w:p>
            <w:pPr>
              <w:ind w:left="80"/>
              <w:rPr>
                <w:rFonts w:ascii="宋体" w:hAnsi="宋体" w:eastAsia="宋体" w:cs="宋体"/>
                <w:color w:val="auto"/>
                <w:szCs w:val="21"/>
                <w:highlight w:val="none"/>
              </w:rPr>
            </w:pPr>
            <w:r>
              <w:rPr>
                <w:rFonts w:hint="eastAsia" w:ascii="宋体" w:hAnsi="宋体" w:eastAsia="宋体" w:cs="宋体"/>
                <w:color w:val="auto"/>
                <w:szCs w:val="21"/>
                <w:highlight w:val="none"/>
              </w:rPr>
              <w:t>综合得分组成内容如下：</w:t>
            </w:r>
          </w:p>
          <w:p>
            <w:pPr>
              <w:ind w:left="80"/>
              <w:rPr>
                <w:rFonts w:ascii="宋体" w:hAnsi="宋体" w:eastAsia="宋体" w:cs="宋体"/>
                <w:color w:val="auto"/>
                <w:szCs w:val="21"/>
                <w:highlight w:val="none"/>
              </w:rPr>
            </w:pPr>
            <w:r>
              <w:rPr>
                <w:rFonts w:hint="eastAsia" w:ascii="宋体" w:hAnsi="宋体" w:eastAsia="宋体" w:cs="宋体"/>
                <w:color w:val="auto"/>
                <w:szCs w:val="21"/>
                <w:highlight w:val="none"/>
              </w:rPr>
              <w:t>A资信业绩部分：60分</w:t>
            </w:r>
          </w:p>
          <w:p>
            <w:pPr>
              <w:ind w:left="80"/>
              <w:rPr>
                <w:rFonts w:ascii="宋体" w:hAnsi="宋体" w:eastAsia="宋体" w:cs="宋体"/>
                <w:color w:val="auto"/>
                <w:szCs w:val="21"/>
                <w:highlight w:val="none"/>
              </w:rPr>
            </w:pPr>
            <w:r>
              <w:rPr>
                <w:rFonts w:hint="eastAsia" w:ascii="宋体" w:hAnsi="宋体" w:eastAsia="宋体" w:cs="宋体"/>
                <w:color w:val="auto"/>
                <w:szCs w:val="21"/>
                <w:highlight w:val="none"/>
              </w:rPr>
              <w:t>B施工图审查服务方案部分：30分</w:t>
            </w:r>
          </w:p>
          <w:p>
            <w:pPr>
              <w:ind w:left="80"/>
              <w:rPr>
                <w:rFonts w:ascii="宋体" w:hAnsi="宋体" w:eastAsia="宋体" w:cs="宋体"/>
                <w:color w:val="auto"/>
                <w:szCs w:val="21"/>
                <w:highlight w:val="none"/>
              </w:rPr>
            </w:pPr>
            <w:r>
              <w:rPr>
                <w:rFonts w:hint="eastAsia" w:ascii="宋体" w:hAnsi="宋体" w:eastAsia="宋体" w:cs="宋体"/>
                <w:color w:val="auto"/>
                <w:szCs w:val="21"/>
                <w:highlight w:val="none"/>
              </w:rPr>
              <w:t>C投标报价：10分</w:t>
            </w:r>
          </w:p>
          <w:p>
            <w:pPr>
              <w:ind w:left="80"/>
              <w:rPr>
                <w:rFonts w:ascii="宋体" w:hAnsi="宋体" w:eastAsia="宋体" w:cs="宋体"/>
                <w:color w:val="auto"/>
                <w:szCs w:val="21"/>
                <w:highlight w:val="none"/>
              </w:rPr>
            </w:pPr>
            <w:r>
              <w:rPr>
                <w:rFonts w:hint="eastAsia" w:ascii="宋体" w:hAnsi="宋体" w:eastAsia="宋体" w:cs="宋体"/>
                <w:color w:val="auto"/>
                <w:szCs w:val="21"/>
                <w:highlight w:val="none"/>
              </w:rPr>
              <w:t>其他评分因素：无</w:t>
            </w:r>
          </w:p>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szCs w:val="21"/>
                <w:highlight w:val="none"/>
              </w:rPr>
              <w:t>投标人总得分=投标人（A+B+C）项得分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jc w:val="center"/>
        </w:trPr>
        <w:tc>
          <w:tcPr>
            <w:tcW w:w="1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62" w:beforeLines="20" w:after="62" w:afterLines="20"/>
              <w:rPr>
                <w:rFonts w:ascii="宋体" w:hAnsi="宋体" w:eastAsia="宋体" w:cs="宋体"/>
                <w:color w:val="auto"/>
                <w:highlight w:val="none"/>
              </w:rPr>
            </w:pPr>
            <w:r>
              <w:rPr>
                <w:rFonts w:hint="eastAsia" w:ascii="宋体" w:hAnsi="宋体" w:eastAsia="宋体" w:cs="宋体"/>
                <w:color w:val="auto"/>
                <w:szCs w:val="21"/>
                <w:highlight w:val="none"/>
              </w:rPr>
              <w:t>当有效投标人大于5名或等于5 名时，去掉一个最高价和一个最低价，取余下有效投标报价（投标价是指算术复核后的报价）的算术平均值为评标基准价；当有效投标人小于5名时，取所有入围的有效投标报价的算术平均值为评标基准价。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jc w:val="center"/>
        </w:trPr>
        <w:tc>
          <w:tcPr>
            <w:tcW w:w="186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37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投标报价的偏差率计算公式</w:t>
            </w:r>
          </w:p>
        </w:tc>
        <w:tc>
          <w:tcPr>
            <w:tcW w:w="6077" w:type="dxa"/>
            <w:tcBorders>
              <w:top w:val="single" w:color="auto" w:sz="4" w:space="0"/>
              <w:left w:val="nil"/>
              <w:bottom w:val="single" w:color="auto" w:sz="4" w:space="0"/>
              <w:right w:val="single" w:color="auto" w:sz="4" w:space="0"/>
            </w:tcBorders>
            <w:vAlign w:val="center"/>
          </w:tcPr>
          <w:p>
            <w:pPr>
              <w:adjustRightInd w:val="0"/>
              <w:snapToGrid w:val="0"/>
              <w:spacing w:before="20" w:after="20"/>
              <w:rPr>
                <w:rFonts w:ascii="宋体" w:hAnsi="宋体" w:eastAsia="宋体" w:cs="宋体"/>
                <w:color w:val="auto"/>
                <w:szCs w:val="21"/>
                <w:highlight w:val="none"/>
              </w:rPr>
            </w:pPr>
            <w:r>
              <w:rPr>
                <w:rFonts w:hint="eastAsia" w:ascii="宋体" w:hAnsi="宋体" w:eastAsia="宋体" w:cs="宋体"/>
                <w:color w:val="auto"/>
                <w:szCs w:val="21"/>
                <w:highlight w:val="none"/>
              </w:rPr>
              <w:t>偏差率=100% ×|（投标人有效投标报价-评标基准价）|/评标基准价（偏差率出现小数点时，保留小数点后2位，第三位小数四舍五入）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86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ind w:left="7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3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评分因素</w:t>
            </w:r>
          </w:p>
          <w:p>
            <w:pPr>
              <w:spacing w:line="24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（偏差率）</w:t>
            </w:r>
          </w:p>
        </w:tc>
        <w:tc>
          <w:tcPr>
            <w:tcW w:w="60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
                <w:color w:val="auto"/>
                <w:w w:val="99"/>
                <w:szCs w:val="21"/>
                <w:highlight w:val="none"/>
              </w:rPr>
            </w:pPr>
            <w:r>
              <w:rPr>
                <w:rFonts w:hint="eastAsia" w:ascii="宋体" w:hAnsi="宋体" w:eastAsia="宋体" w:cs="宋体"/>
                <w:b/>
                <w:color w:val="auto"/>
                <w:w w:val="99"/>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742" w:type="dxa"/>
            <w:vMerge w:val="restart"/>
            <w:tcBorders>
              <w:top w:val="single" w:color="auto" w:sz="4" w:space="0"/>
              <w:left w:val="single" w:color="auto" w:sz="4" w:space="0"/>
              <w:bottom w:val="nil"/>
              <w:right w:val="single" w:color="auto" w:sz="4" w:space="0"/>
            </w:tcBorders>
            <w:vAlign w:val="center"/>
          </w:tcPr>
          <w:p>
            <w:pPr>
              <w:spacing w:line="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2.2.4</w:t>
            </w:r>
          </w:p>
          <w:p>
            <w:pPr>
              <w:spacing w:line="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25" w:type="dxa"/>
            <w:gridSpan w:val="2"/>
            <w:vMerge w:val="restart"/>
            <w:tcBorders>
              <w:top w:val="single" w:color="auto" w:sz="4" w:space="0"/>
              <w:left w:val="single" w:color="auto" w:sz="4" w:space="0"/>
              <w:bottom w:val="nil"/>
              <w:right w:val="single" w:color="auto" w:sz="4" w:space="0"/>
            </w:tcBorders>
            <w:vAlign w:val="center"/>
          </w:tcPr>
          <w:p>
            <w:pPr>
              <w:spacing w:line="0" w:lineRule="atLeast"/>
              <w:ind w:right="36" w:rightChars="17"/>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资信业绩评分标准</w:t>
            </w:r>
          </w:p>
          <w:p>
            <w:pPr>
              <w:spacing w:line="0" w:lineRule="atLeast"/>
              <w:ind w:right="36" w:rightChars="17"/>
              <w:jc w:val="center"/>
              <w:rPr>
                <w:rFonts w:ascii="宋体" w:hAnsi="宋体" w:eastAsia="宋体" w:cs="宋体"/>
                <w:color w:val="auto"/>
                <w:szCs w:val="21"/>
                <w:highlight w:val="none"/>
              </w:rPr>
            </w:pPr>
            <w:r>
              <w:rPr>
                <w:rFonts w:hint="eastAsia" w:ascii="宋体" w:hAnsi="宋体" w:eastAsia="宋体" w:cs="宋体"/>
                <w:color w:val="auto"/>
                <w:szCs w:val="21"/>
                <w:highlight w:val="none"/>
              </w:rPr>
              <w:t>（60分）</w:t>
            </w:r>
          </w:p>
        </w:tc>
        <w:tc>
          <w:tcPr>
            <w:tcW w:w="137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企业信誉</w:t>
            </w:r>
          </w:p>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（25分）</w:t>
            </w:r>
          </w:p>
        </w:tc>
        <w:tc>
          <w:tcPr>
            <w:tcW w:w="6077" w:type="dxa"/>
            <w:tcBorders>
              <w:top w:val="single" w:color="auto" w:sz="4" w:space="0"/>
              <w:left w:val="single" w:color="auto" w:sz="4" w:space="0"/>
              <w:bottom w:val="single" w:color="auto" w:sz="4" w:space="0"/>
              <w:right w:val="single" w:color="auto" w:sz="4" w:space="0"/>
            </w:tcBorders>
            <w:vAlign w:val="center"/>
          </w:tcPr>
          <w:p>
            <w:pPr>
              <w:pStyle w:val="34"/>
              <w:numPr>
                <w:ilvl w:val="0"/>
                <w:numId w:val="5"/>
              </w:numPr>
              <w:snapToGrid w:val="0"/>
              <w:spacing w:line="312" w:lineRule="auto"/>
              <w:ind w:left="0" w:leftChars="0"/>
              <w:rPr>
                <w:rFonts w:ascii="宋体" w:hAnsi="宋体" w:eastAsia="宋体" w:cs="宋体"/>
                <w:color w:val="auto"/>
                <w:highlight w:val="none"/>
              </w:rPr>
            </w:pPr>
            <w:r>
              <w:rPr>
                <w:rFonts w:hint="eastAsia" w:ascii="宋体" w:hAnsi="宋体" w:eastAsia="宋体" w:cs="宋体"/>
                <w:color w:val="auto"/>
                <w:highlight w:val="none"/>
              </w:rPr>
              <w:t>投标人所承接的施工图审查项目，自2017年1月1日至今获得施工图审查类省级或以上奖项的，每项得10分，本项最高得20分；</w:t>
            </w:r>
          </w:p>
          <w:p>
            <w:pPr>
              <w:numPr>
                <w:ilvl w:val="0"/>
                <w:numId w:val="5"/>
              </w:numPr>
              <w:snapToGrid w:val="0"/>
              <w:spacing w:line="312" w:lineRule="auto"/>
              <w:rPr>
                <w:rFonts w:ascii="宋体" w:hAnsi="宋体" w:eastAsia="宋体" w:cs="宋体"/>
                <w:color w:val="auto"/>
                <w:highlight w:val="none"/>
              </w:rPr>
            </w:pPr>
            <w:r>
              <w:rPr>
                <w:rFonts w:hint="eastAsia" w:ascii="宋体" w:hAnsi="宋体" w:eastAsia="宋体" w:cs="宋体"/>
                <w:color w:val="auto"/>
                <w:highlight w:val="none"/>
              </w:rPr>
              <w:t>投标人所承接的施工图审查项目，自2017年1月1日至今获得施工图审查类市级奖项的，每项得2.5分，本项最高得5分。</w:t>
            </w:r>
          </w:p>
          <w:p>
            <w:pPr>
              <w:snapToGrid w:val="0"/>
              <w:spacing w:line="312" w:lineRule="auto"/>
              <w:rPr>
                <w:rFonts w:ascii="宋体" w:hAnsi="宋体" w:eastAsia="宋体" w:cs="宋体"/>
                <w:color w:val="auto"/>
                <w:highlight w:val="none"/>
              </w:rPr>
            </w:pPr>
            <w:r>
              <w:rPr>
                <w:rFonts w:hint="eastAsia" w:ascii="宋体" w:hAnsi="宋体" w:eastAsia="宋体" w:cs="宋体"/>
                <w:color w:val="auto"/>
                <w:highlight w:val="none"/>
              </w:rPr>
              <w:t>注：（1）本项合计最高得25分。（2）获奖以获奖证书为准，获奖时间以取得获奖证书时间为准，同一项目奖项只计最高奖项得分，不叠加计算，提供证书扫描件并加盖投标人电子印章。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742" w:type="dxa"/>
            <w:vMerge w:val="continue"/>
            <w:tcBorders>
              <w:top w:val="nil"/>
              <w:left w:val="single" w:color="auto" w:sz="4" w:space="0"/>
              <w:bottom w:val="nil"/>
              <w:right w:val="single" w:color="auto" w:sz="4" w:space="0"/>
            </w:tcBorders>
            <w:vAlign w:val="center"/>
          </w:tcPr>
          <w:p>
            <w:pPr>
              <w:rPr>
                <w:rFonts w:ascii="宋体" w:hAnsi="宋体" w:eastAsia="宋体" w:cs="宋体"/>
                <w:color w:val="auto"/>
                <w:highlight w:val="none"/>
              </w:rPr>
            </w:pPr>
          </w:p>
        </w:tc>
        <w:tc>
          <w:tcPr>
            <w:tcW w:w="1125" w:type="dxa"/>
            <w:gridSpan w:val="2"/>
            <w:vMerge w:val="continue"/>
            <w:tcBorders>
              <w:top w:val="nil"/>
              <w:left w:val="single" w:color="auto" w:sz="4" w:space="0"/>
              <w:bottom w:val="nil"/>
              <w:right w:val="single" w:color="auto" w:sz="4" w:space="0"/>
            </w:tcBorders>
            <w:vAlign w:val="center"/>
          </w:tcPr>
          <w:p>
            <w:pPr>
              <w:jc w:val="center"/>
              <w:rPr>
                <w:rFonts w:ascii="宋体" w:hAnsi="宋体" w:eastAsia="宋体" w:cs="宋体"/>
                <w:color w:val="auto"/>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highlight w:val="none"/>
              </w:rPr>
            </w:pPr>
            <w:r>
              <w:rPr>
                <w:rFonts w:hint="eastAsia" w:ascii="宋体" w:hAnsi="宋体" w:eastAsia="宋体" w:cs="宋体"/>
                <w:color w:val="auto"/>
                <w:highlight w:val="none"/>
              </w:rPr>
              <w:t>类似项目业绩</w:t>
            </w:r>
          </w:p>
          <w:p>
            <w:pPr>
              <w:jc w:val="center"/>
              <w:rPr>
                <w:rFonts w:ascii="宋体" w:hAnsi="宋体" w:eastAsia="宋体" w:cs="宋体"/>
                <w:color w:val="auto"/>
                <w:szCs w:val="21"/>
                <w:highlight w:val="none"/>
              </w:rPr>
            </w:pPr>
            <w:r>
              <w:rPr>
                <w:rFonts w:hint="eastAsia" w:ascii="宋体" w:hAnsi="宋体" w:eastAsia="宋体" w:cs="宋体"/>
                <w:color w:val="auto"/>
                <w:highlight w:val="none"/>
              </w:rPr>
              <w:t>（20分）</w:t>
            </w:r>
          </w:p>
        </w:tc>
        <w:tc>
          <w:tcPr>
            <w:tcW w:w="6077"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eastAsia="宋体" w:cs="宋体"/>
                <w:color w:val="auto"/>
                <w:highlight w:val="none"/>
              </w:rPr>
            </w:pPr>
            <w:r>
              <w:rPr>
                <w:rFonts w:hint="eastAsia" w:ascii="宋体" w:hAnsi="宋体" w:eastAsia="宋体" w:cs="宋体"/>
                <w:color w:val="auto"/>
                <w:highlight w:val="none"/>
              </w:rPr>
              <w:t>1、投标人2017年1月1月至今，承接的给排水工程施工图审查项目总投资59000万元（含）以上的，每项得2分；</w:t>
            </w:r>
          </w:p>
          <w:p>
            <w:pPr>
              <w:snapToGrid w:val="0"/>
              <w:spacing w:line="312" w:lineRule="auto"/>
              <w:rPr>
                <w:rFonts w:ascii="宋体" w:hAnsi="宋体" w:eastAsia="宋体" w:cs="宋体"/>
                <w:color w:val="auto"/>
                <w:highlight w:val="none"/>
              </w:rPr>
            </w:pPr>
            <w:r>
              <w:rPr>
                <w:rFonts w:hint="eastAsia" w:ascii="宋体" w:hAnsi="宋体" w:eastAsia="宋体" w:cs="宋体"/>
                <w:color w:val="auto"/>
                <w:highlight w:val="none"/>
              </w:rPr>
              <w:t>2、投标人2017年1月1月至今，承接的给排水工程施工图审查项目总投资</w:t>
            </w:r>
            <w:r>
              <w:rPr>
                <w:rFonts w:hint="eastAsia" w:ascii="宋体" w:hAnsi="宋体" w:eastAsia="宋体" w:cs="宋体"/>
                <w:color w:val="auto"/>
                <w:highlight w:val="none"/>
                <w:lang w:val="en-US" w:eastAsia="zh-CN"/>
              </w:rPr>
              <w:t>30000</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rPr>
              <w:t>以</w:t>
            </w:r>
            <w:r>
              <w:rPr>
                <w:rFonts w:hint="eastAsia" w:ascii="宋体" w:hAnsi="宋体" w:eastAsia="宋体" w:cs="宋体"/>
                <w:color w:val="auto"/>
                <w:highlight w:val="none"/>
                <w:lang w:val="en-US" w:eastAsia="zh-CN"/>
              </w:rPr>
              <w:t>上，</w:t>
            </w:r>
            <w:r>
              <w:rPr>
                <w:rFonts w:hint="eastAsia" w:ascii="宋体" w:hAnsi="宋体" w:eastAsia="宋体" w:cs="宋体"/>
                <w:color w:val="auto"/>
                <w:highlight w:val="none"/>
              </w:rPr>
              <w:t>59000万元以下的，每项得0.5分；</w:t>
            </w:r>
          </w:p>
          <w:p>
            <w:pPr>
              <w:snapToGrid w:val="0"/>
              <w:spacing w:line="312" w:lineRule="auto"/>
              <w:rPr>
                <w:rFonts w:ascii="宋体" w:hAnsi="宋体" w:eastAsia="宋体" w:cs="宋体"/>
                <w:color w:val="auto"/>
                <w:highlight w:val="none"/>
              </w:rPr>
            </w:pPr>
            <w:r>
              <w:rPr>
                <w:rFonts w:hint="eastAsia" w:ascii="宋体" w:hAnsi="宋体" w:eastAsia="宋体" w:cs="宋体"/>
                <w:color w:val="auto"/>
                <w:highlight w:val="none"/>
              </w:rPr>
              <w:t>注：（1）此项最多统计10个业绩，本项合计最高得20分。</w:t>
            </w:r>
          </w:p>
          <w:p>
            <w:pPr>
              <w:pStyle w:val="2"/>
              <w:snapToGrid w:val="0"/>
              <w:spacing w:line="312" w:lineRule="auto"/>
              <w:ind w:firstLine="0"/>
              <w:rPr>
                <w:rFonts w:ascii="宋体" w:hAnsi="宋体" w:eastAsia="宋体" w:cs="宋体"/>
                <w:color w:val="auto"/>
                <w:highlight w:val="none"/>
              </w:rPr>
            </w:pPr>
            <w:r>
              <w:rPr>
                <w:rFonts w:hint="eastAsia" w:ascii="宋体" w:hAnsi="宋体" w:eastAsia="宋体" w:cs="宋体"/>
                <w:color w:val="auto"/>
                <w:highlight w:val="none"/>
              </w:rPr>
              <w:t>（2）业绩时间以合同签订时间为准，业绩需同时提供合同和中标通知书等证明文件扫描件作为评审依据，若前述资料不能体现评审指标的，还需提供项目发包人或项目监管部门出具的证明材料，否则不得分。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2" w:type="dxa"/>
            <w:vMerge w:val="continue"/>
            <w:tcBorders>
              <w:top w:val="nil"/>
              <w:left w:val="single" w:color="auto" w:sz="4" w:space="0"/>
              <w:bottom w:val="nil"/>
              <w:right w:val="single" w:color="auto" w:sz="4" w:space="0"/>
            </w:tcBorders>
            <w:vAlign w:val="center"/>
          </w:tcPr>
          <w:p>
            <w:pPr>
              <w:rPr>
                <w:rFonts w:ascii="宋体" w:hAnsi="宋体" w:eastAsia="宋体" w:cs="宋体"/>
                <w:color w:val="auto"/>
                <w:highlight w:val="none"/>
              </w:rPr>
            </w:pPr>
          </w:p>
        </w:tc>
        <w:tc>
          <w:tcPr>
            <w:tcW w:w="1125" w:type="dxa"/>
            <w:gridSpan w:val="2"/>
            <w:vMerge w:val="continue"/>
            <w:tcBorders>
              <w:top w:val="nil"/>
              <w:left w:val="single" w:color="auto" w:sz="4" w:space="0"/>
              <w:bottom w:val="nil"/>
              <w:right w:val="single" w:color="auto" w:sz="4" w:space="0"/>
            </w:tcBorders>
            <w:vAlign w:val="center"/>
          </w:tcPr>
          <w:p>
            <w:pPr>
              <w:jc w:val="center"/>
              <w:rPr>
                <w:rFonts w:ascii="宋体" w:hAnsi="宋体" w:eastAsia="宋体" w:cs="宋体"/>
                <w:color w:val="auto"/>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项目负责人</w:t>
            </w:r>
          </w:p>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6077"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eastAsia="宋体" w:cs="宋体"/>
                <w:color w:val="auto"/>
                <w:highlight w:val="none"/>
              </w:rPr>
            </w:pPr>
            <w:r>
              <w:rPr>
                <w:rFonts w:hint="eastAsia" w:ascii="宋体" w:hAnsi="宋体" w:eastAsia="宋体" w:cs="宋体"/>
                <w:color w:val="auto"/>
                <w:highlight w:val="none"/>
              </w:rPr>
              <w:t>项目负责人：</w:t>
            </w:r>
          </w:p>
          <w:p>
            <w:pPr>
              <w:snapToGrid w:val="0"/>
              <w:spacing w:line="312" w:lineRule="auto"/>
              <w:rPr>
                <w:rFonts w:ascii="宋体" w:hAnsi="宋体" w:eastAsia="宋体" w:cs="宋体"/>
                <w:color w:val="auto"/>
                <w:highlight w:val="none"/>
              </w:rPr>
            </w:pPr>
            <w:r>
              <w:rPr>
                <w:rFonts w:hint="eastAsia" w:ascii="宋体" w:hAnsi="宋体" w:eastAsia="宋体" w:cs="宋体"/>
                <w:color w:val="auto"/>
                <w:highlight w:val="none"/>
              </w:rPr>
              <w:t>1、具有注册公用设备工程师（给水排水）得1分；没有不得分。</w:t>
            </w:r>
          </w:p>
          <w:p>
            <w:pPr>
              <w:pStyle w:val="34"/>
              <w:snapToGrid w:val="0"/>
              <w:spacing w:line="312" w:lineRule="auto"/>
              <w:ind w:left="0" w:leftChars="0"/>
              <w:rPr>
                <w:rFonts w:ascii="宋体" w:hAnsi="宋体" w:eastAsia="宋体" w:cs="宋体"/>
                <w:color w:val="auto"/>
                <w:highlight w:val="none"/>
              </w:rPr>
            </w:pPr>
            <w:r>
              <w:rPr>
                <w:rFonts w:hint="eastAsia" w:ascii="宋体" w:hAnsi="宋体" w:eastAsia="宋体" w:cs="宋体"/>
                <w:color w:val="auto"/>
                <w:highlight w:val="none"/>
              </w:rPr>
              <w:t>2、所参与的施工图审查项目，自2017年1月1日至今获得施工图审查类省级或以上奖项的，得2分，本项最高得2分；</w:t>
            </w:r>
          </w:p>
          <w:p>
            <w:pPr>
              <w:widowControl/>
              <w:snapToGrid w:val="0"/>
              <w:spacing w:line="312" w:lineRule="auto"/>
              <w:rPr>
                <w:rFonts w:ascii="宋体" w:hAnsi="宋体" w:eastAsia="宋体" w:cs="宋体"/>
                <w:color w:val="auto"/>
                <w:highlight w:val="none"/>
              </w:rPr>
            </w:pPr>
            <w:r>
              <w:rPr>
                <w:rFonts w:hint="eastAsia" w:ascii="宋体" w:hAnsi="宋体" w:eastAsia="宋体" w:cs="宋体"/>
                <w:color w:val="auto"/>
                <w:highlight w:val="none"/>
              </w:rPr>
              <w:t>3、自2017年1月1日至今，承接的给排水工程施工图审查项目总投资59000万元（含）以上的，每项得1分；承接的给排水工程施工图审查项目总投资</w:t>
            </w:r>
            <w:r>
              <w:rPr>
                <w:rFonts w:hint="eastAsia" w:ascii="宋体" w:hAnsi="宋体" w:eastAsia="宋体" w:cs="宋体"/>
                <w:color w:val="auto"/>
                <w:highlight w:val="none"/>
                <w:lang w:val="en-US" w:eastAsia="zh-CN"/>
              </w:rPr>
              <w:t>在30000</w:t>
            </w:r>
            <w:r>
              <w:rPr>
                <w:rFonts w:hint="eastAsia" w:ascii="宋体" w:hAnsi="宋体" w:eastAsia="宋体" w:cs="宋体"/>
                <w:color w:val="auto"/>
                <w:highlight w:val="none"/>
              </w:rPr>
              <w:t>万元</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rPr>
              <w:t>以</w:t>
            </w:r>
            <w:r>
              <w:rPr>
                <w:rFonts w:hint="eastAsia" w:ascii="宋体" w:hAnsi="宋体" w:eastAsia="宋体" w:cs="宋体"/>
                <w:color w:val="auto"/>
                <w:highlight w:val="none"/>
                <w:lang w:val="en-US" w:eastAsia="zh-CN"/>
              </w:rPr>
              <w:t>上，</w:t>
            </w:r>
            <w:r>
              <w:rPr>
                <w:rFonts w:hint="eastAsia" w:ascii="宋体" w:hAnsi="宋体" w:eastAsia="宋体" w:cs="宋体"/>
                <w:color w:val="auto"/>
                <w:highlight w:val="none"/>
              </w:rPr>
              <w:t>59000万元以下的，每项得0.5分，本项最高得2分。</w:t>
            </w:r>
          </w:p>
          <w:p>
            <w:pPr>
              <w:pStyle w:val="34"/>
              <w:snapToGrid w:val="0"/>
              <w:spacing w:line="312" w:lineRule="auto"/>
              <w:ind w:left="0" w:leftChars="0"/>
              <w:rPr>
                <w:rFonts w:ascii="宋体" w:hAnsi="宋体" w:eastAsia="宋体" w:cs="宋体"/>
                <w:color w:val="auto"/>
                <w:szCs w:val="21"/>
                <w:highlight w:val="none"/>
              </w:rPr>
            </w:pPr>
            <w:r>
              <w:rPr>
                <w:rFonts w:hint="eastAsia" w:ascii="宋体" w:hAnsi="宋体" w:eastAsia="宋体" w:cs="宋体"/>
                <w:color w:val="auto"/>
                <w:highlight w:val="none"/>
              </w:rPr>
              <w:t>注：（1）本项合计最高得5分。（2）业绩时间以合同签订时间为准，获奖时间以证书时间为准。需提供</w:t>
            </w:r>
            <w:r>
              <w:rPr>
                <w:rFonts w:hint="eastAsia" w:ascii="宋体" w:hAnsi="宋体" w:eastAsia="宋体" w:cs="宋体"/>
                <w:color w:val="auto"/>
                <w:highlight w:val="none"/>
              </w:rPr>
              <w:sym w:font="Wingdings" w:char="F081"/>
            </w:r>
            <w:r>
              <w:rPr>
                <w:rFonts w:hint="eastAsia" w:ascii="宋体" w:hAnsi="宋体" w:eastAsia="宋体" w:cs="宋体"/>
                <w:color w:val="auto"/>
                <w:highlight w:val="none"/>
              </w:rPr>
              <w:t>项目负责人的注册证、毕业证等相关证书扫描件和投标截止时间前六个月（不含投标截止时间当月）本投标单位购买社保的证明材料扫描件；</w:t>
            </w:r>
            <w:r>
              <w:rPr>
                <w:rFonts w:hint="eastAsia" w:ascii="宋体" w:hAnsi="宋体" w:eastAsia="宋体" w:cs="宋体"/>
                <w:color w:val="auto"/>
                <w:highlight w:val="none"/>
              </w:rPr>
              <w:sym w:font="Wingdings" w:char="F082"/>
            </w:r>
            <w:r>
              <w:rPr>
                <w:rFonts w:hint="eastAsia" w:ascii="宋体" w:hAnsi="宋体" w:eastAsia="宋体" w:cs="宋体"/>
                <w:color w:val="auto"/>
                <w:highlight w:val="none"/>
              </w:rPr>
              <w:t>提供项目负责人获奖证书扫描件；</w:t>
            </w:r>
            <w:r>
              <w:rPr>
                <w:rFonts w:hint="eastAsia" w:ascii="宋体" w:hAnsi="宋体" w:eastAsia="宋体" w:cs="宋体"/>
                <w:color w:val="auto"/>
                <w:highlight w:val="none"/>
              </w:rPr>
              <w:sym w:font="Wingdings" w:char="F083"/>
            </w:r>
            <w:r>
              <w:rPr>
                <w:rFonts w:hint="eastAsia" w:ascii="宋体" w:hAnsi="宋体" w:eastAsia="宋体" w:cs="宋体"/>
                <w:color w:val="auto"/>
                <w:highlight w:val="none"/>
              </w:rPr>
              <w:t>提供项目负责人审查业绩合同或审查意见单扫描件，若前述资料不能体现评审指标的，还需提供项目发包人或项目监管部门出具的证明材料，否则不得分。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7" w:hRule="atLeast"/>
          <w:jc w:val="center"/>
        </w:trPr>
        <w:tc>
          <w:tcPr>
            <w:tcW w:w="742" w:type="dxa"/>
            <w:vMerge w:val="continue"/>
            <w:tcBorders>
              <w:top w:val="nil"/>
              <w:left w:val="single" w:color="auto" w:sz="4" w:space="0"/>
              <w:bottom w:val="nil"/>
              <w:right w:val="single" w:color="auto" w:sz="4" w:space="0"/>
            </w:tcBorders>
            <w:vAlign w:val="center"/>
          </w:tcPr>
          <w:p>
            <w:pPr>
              <w:rPr>
                <w:rFonts w:ascii="宋体" w:hAnsi="宋体" w:eastAsia="宋体" w:cs="宋体"/>
                <w:color w:val="auto"/>
                <w:highlight w:val="none"/>
              </w:rPr>
            </w:pPr>
          </w:p>
        </w:tc>
        <w:tc>
          <w:tcPr>
            <w:tcW w:w="1125" w:type="dxa"/>
            <w:gridSpan w:val="2"/>
            <w:vMerge w:val="continue"/>
            <w:tcBorders>
              <w:top w:val="nil"/>
              <w:left w:val="single" w:color="auto" w:sz="4" w:space="0"/>
              <w:bottom w:val="nil"/>
              <w:right w:val="single" w:color="auto" w:sz="4" w:space="0"/>
            </w:tcBorders>
            <w:vAlign w:val="center"/>
          </w:tcPr>
          <w:p>
            <w:pPr>
              <w:jc w:val="center"/>
              <w:rPr>
                <w:rFonts w:ascii="宋体" w:hAnsi="宋体" w:eastAsia="宋体" w:cs="宋体"/>
                <w:color w:val="auto"/>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各专业技术人员</w:t>
            </w:r>
          </w:p>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6077"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各专业技术人员（不含项目负责人）：</w:t>
            </w:r>
          </w:p>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1、拟投入本项目的人员数量配备满足程度均需按照招标文件要求（详见招标文件《拟投入本工程的主要人员一览表》），如不符合，本项得0分；</w:t>
            </w:r>
          </w:p>
          <w:p>
            <w:pPr>
              <w:snapToGrid w:val="0"/>
              <w:spacing w:line="312" w:lineRule="auto"/>
              <w:rPr>
                <w:rFonts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Cs w:val="21"/>
                <w:highlight w:val="none"/>
              </w:rPr>
              <w:t>拟投入本项目的人员如符合人员数量配备基本要求且符合下述要求：</w:t>
            </w:r>
          </w:p>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自2017年1月1日至今获得施工图审查类省级或以上奖项的，每人加1分，本项最高得6分；</w:t>
            </w:r>
          </w:p>
          <w:p>
            <w:pPr>
              <w:snapToGrid w:val="0"/>
              <w:spacing w:line="312" w:lineRule="auto"/>
              <w:rPr>
                <w:rFonts w:ascii="宋体" w:hAnsi="宋体" w:eastAsia="宋体" w:cs="宋体"/>
                <w:color w:val="auto"/>
                <w:highlight w:val="none"/>
              </w:rPr>
            </w:pPr>
            <w:r>
              <w:rPr>
                <w:rFonts w:hint="eastAsia" w:ascii="宋体" w:hAnsi="宋体" w:eastAsia="宋体" w:cs="宋体"/>
                <w:color w:val="auto"/>
                <w:szCs w:val="21"/>
                <w:highlight w:val="none"/>
              </w:rPr>
              <w:t>（2）每增加1名注册工程师或高级工程师（或以上）加0.5分。</w:t>
            </w:r>
            <w:r>
              <w:rPr>
                <w:rFonts w:hint="eastAsia" w:ascii="宋体" w:hAnsi="宋体" w:eastAsia="宋体" w:cs="宋体"/>
                <w:color w:val="auto"/>
                <w:highlight w:val="none"/>
              </w:rPr>
              <w:t>本项最高得4分。</w:t>
            </w:r>
          </w:p>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highlight w:val="none"/>
              </w:rPr>
              <w:t>本项合计最高得10分；（2）各专业人员需提供</w:t>
            </w:r>
            <w:r>
              <w:rPr>
                <w:rFonts w:hint="eastAsia" w:ascii="宋体" w:hAnsi="宋体" w:eastAsia="宋体" w:cs="宋体"/>
                <w:color w:val="auto"/>
                <w:highlight w:val="none"/>
              </w:rPr>
              <w:sym w:font="Wingdings" w:char="F081"/>
            </w:r>
            <w:r>
              <w:rPr>
                <w:rFonts w:hint="eastAsia" w:ascii="宋体" w:hAnsi="宋体" w:eastAsia="宋体" w:cs="宋体"/>
                <w:color w:val="auto"/>
                <w:highlight w:val="none"/>
              </w:rPr>
              <w:t>投标截止时间前六个月（不含投标截止时间当月）本投标单位购买社保的证明材料扫描件；</w:t>
            </w:r>
            <w:r>
              <w:rPr>
                <w:rFonts w:hint="eastAsia" w:ascii="宋体" w:hAnsi="宋体" w:eastAsia="宋体" w:cs="宋体"/>
                <w:color w:val="auto"/>
                <w:highlight w:val="none"/>
              </w:rPr>
              <w:sym w:font="Wingdings" w:char="F082"/>
            </w:r>
            <w:r>
              <w:rPr>
                <w:rFonts w:hint="eastAsia" w:ascii="宋体" w:hAnsi="宋体" w:eastAsia="宋体" w:cs="宋体"/>
                <w:color w:val="auto"/>
                <w:highlight w:val="none"/>
              </w:rPr>
              <w:t>需提供各专业人员的注册证、职称证、毕业证等相关证书及业绩获奖证明材料扫描件，获奖时间以证书时间为准。③如为退休返聘人员，需提供退休证及劳动聘用合同，退休人员数量不得超过人员总数的一半。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742" w:type="dxa"/>
            <w:vMerge w:val="restart"/>
            <w:tcBorders>
              <w:top w:val="single" w:color="auto" w:sz="4" w:space="0"/>
              <w:left w:val="single" w:color="auto" w:sz="4" w:space="0"/>
              <w:right w:val="single" w:color="auto" w:sz="4" w:space="0"/>
            </w:tcBorders>
            <w:vAlign w:val="center"/>
          </w:tcPr>
          <w:p>
            <w:pPr>
              <w:spacing w:line="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2.2.4</w:t>
            </w:r>
          </w:p>
          <w:p>
            <w:pPr>
              <w:spacing w:line="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25" w:type="dxa"/>
            <w:gridSpan w:val="2"/>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施工图审查技术方案评分标准</w:t>
            </w:r>
          </w:p>
          <w:p>
            <w:pPr>
              <w:spacing w:line="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（30分）</w:t>
            </w:r>
          </w:p>
        </w:tc>
        <w:tc>
          <w:tcPr>
            <w:tcW w:w="1372" w:type="dxa"/>
            <w:tcBorders>
              <w:top w:val="single" w:color="auto" w:sz="4" w:space="0"/>
              <w:left w:val="single" w:color="auto" w:sz="4" w:space="0"/>
              <w:bottom w:val="single" w:color="auto" w:sz="4" w:space="0"/>
              <w:right w:val="single" w:color="auto" w:sz="4" w:space="0"/>
            </w:tcBorders>
            <w:vAlign w:val="center"/>
          </w:tcPr>
          <w:p>
            <w:pPr>
              <w:spacing w:line="240" w:lineRule="exact"/>
              <w:ind w:left="-57" w:leftChars="-27" w:firstLine="56" w:firstLineChars="27"/>
              <w:jc w:val="center"/>
              <w:rPr>
                <w:rFonts w:ascii="宋体" w:hAnsi="宋体" w:eastAsia="宋体" w:cs="宋体"/>
                <w:color w:val="auto"/>
                <w:szCs w:val="21"/>
                <w:highlight w:val="none"/>
              </w:rPr>
            </w:pPr>
            <w:r>
              <w:rPr>
                <w:rFonts w:hint="eastAsia" w:ascii="宋体" w:hAnsi="宋体" w:eastAsia="宋体" w:cs="宋体"/>
                <w:color w:val="auto"/>
                <w:szCs w:val="21"/>
                <w:highlight w:val="none"/>
              </w:rPr>
              <w:t>对施工图审查难点的认知和对策</w:t>
            </w:r>
          </w:p>
          <w:p>
            <w:pPr>
              <w:spacing w:line="240" w:lineRule="exact"/>
              <w:ind w:left="-57" w:leftChars="-27" w:firstLine="56" w:firstLineChars="27"/>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6077"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（好）：对本工程的难点有充分的认识，措施具体，针对性强；得9～10分；</w:t>
            </w:r>
          </w:p>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（中）：对本工程的难点有认识，措施有针对性但不具体；得7～8分；</w:t>
            </w:r>
          </w:p>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（差）：对本工程的难点没有充分的认识。得5～6分。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742" w:type="dxa"/>
            <w:vMerge w:val="continue"/>
            <w:tcBorders>
              <w:left w:val="single" w:color="auto" w:sz="4" w:space="0"/>
              <w:right w:val="single" w:color="auto" w:sz="4" w:space="0"/>
            </w:tcBorders>
            <w:vAlign w:val="center"/>
          </w:tcPr>
          <w:p>
            <w:pPr>
              <w:rPr>
                <w:rFonts w:ascii="宋体" w:hAnsi="宋体" w:eastAsia="宋体" w:cs="宋体"/>
                <w:color w:val="auto"/>
                <w:highlight w:val="none"/>
              </w:rPr>
            </w:pPr>
          </w:p>
        </w:tc>
        <w:tc>
          <w:tcPr>
            <w:tcW w:w="1125" w:type="dxa"/>
            <w:gridSpan w:val="2"/>
            <w:vMerge w:val="continue"/>
            <w:tcBorders>
              <w:left w:val="single" w:color="auto" w:sz="4" w:space="0"/>
              <w:right w:val="single" w:color="auto" w:sz="4" w:space="0"/>
            </w:tcBorders>
            <w:vAlign w:val="center"/>
          </w:tcPr>
          <w:p>
            <w:pPr>
              <w:jc w:val="center"/>
              <w:rPr>
                <w:rFonts w:ascii="宋体" w:hAnsi="宋体" w:eastAsia="宋体" w:cs="宋体"/>
                <w:color w:val="auto"/>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保证审查质量及工期所采取的措施</w:t>
            </w:r>
          </w:p>
          <w:p>
            <w:pPr>
              <w:spacing w:line="2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6077"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（好）：资源配备合理，针对本项目编制具体的工作制度，工作计划安排合理，质量及工期控制措施合理；得9～10分；</w:t>
            </w:r>
          </w:p>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（中）：资源配备合理，针对本项目编制具体的工作制度，工作计划安排合理，质量及工期控制措施基本合理；7～8分；</w:t>
            </w:r>
          </w:p>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（差）：保证施工图审查质量及工期所采用的措施不合理；5～6分。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742" w:type="dxa"/>
            <w:vMerge w:val="continue"/>
            <w:tcBorders>
              <w:left w:val="single" w:color="auto" w:sz="4" w:space="0"/>
              <w:bottom w:val="single" w:color="auto" w:sz="4" w:space="0"/>
              <w:right w:val="single" w:color="auto" w:sz="4" w:space="0"/>
            </w:tcBorders>
            <w:vAlign w:val="center"/>
          </w:tcPr>
          <w:p>
            <w:pPr>
              <w:rPr>
                <w:rFonts w:ascii="宋体" w:hAnsi="宋体" w:eastAsia="宋体" w:cs="宋体"/>
                <w:color w:val="auto"/>
                <w:highlight w:val="none"/>
              </w:rPr>
            </w:pPr>
          </w:p>
        </w:tc>
        <w:tc>
          <w:tcPr>
            <w:tcW w:w="1125"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合理化建议(10分)</w:t>
            </w:r>
          </w:p>
        </w:tc>
        <w:tc>
          <w:tcPr>
            <w:tcW w:w="6077" w:type="dxa"/>
            <w:tcBorders>
              <w:top w:val="single" w:color="auto" w:sz="4" w:space="0"/>
              <w:left w:val="single" w:color="auto" w:sz="4" w:space="0"/>
              <w:bottom w:val="single" w:color="auto" w:sz="4" w:space="0"/>
              <w:right w:val="single" w:color="auto" w:sz="4" w:space="0"/>
            </w:tcBorders>
            <w:vAlign w:val="center"/>
          </w:tcPr>
          <w:p>
            <w:pPr>
              <w:pStyle w:val="69"/>
              <w:snapToGrid w:val="0"/>
              <w:spacing w:line="312" w:lineRule="auto"/>
              <w:rPr>
                <w:rFonts w:ascii="宋体" w:hAnsi="宋体" w:eastAsia="宋体"/>
                <w:color w:val="auto"/>
                <w:highlight w:val="none"/>
              </w:rPr>
            </w:pPr>
            <w:r>
              <w:rPr>
                <w:rFonts w:hint="eastAsia" w:ascii="宋体" w:hAnsi="宋体" w:eastAsia="宋体"/>
                <w:color w:val="auto"/>
                <w:highlight w:val="none"/>
              </w:rPr>
              <w:t>(好）关于工程质量、工期、成本等提出的合理化建议合理；得9～10分；</w:t>
            </w:r>
          </w:p>
          <w:p>
            <w:pPr>
              <w:pStyle w:val="69"/>
              <w:snapToGrid w:val="0"/>
              <w:spacing w:line="312" w:lineRule="auto"/>
              <w:rPr>
                <w:rFonts w:ascii="宋体" w:hAnsi="宋体" w:eastAsia="宋体"/>
                <w:color w:val="auto"/>
                <w:highlight w:val="none"/>
              </w:rPr>
            </w:pPr>
            <w:r>
              <w:rPr>
                <w:rFonts w:hint="eastAsia" w:ascii="宋体" w:hAnsi="宋体" w:eastAsia="宋体"/>
                <w:color w:val="auto"/>
                <w:highlight w:val="none"/>
              </w:rPr>
              <w:t>（中）关于工程质量、工期、成本等提出的合理化建议基本合理；得7～8分；</w:t>
            </w:r>
          </w:p>
          <w:p>
            <w:pPr>
              <w:pStyle w:val="69"/>
              <w:snapToGrid w:val="0"/>
              <w:spacing w:line="312" w:lineRule="auto"/>
              <w:rPr>
                <w:rFonts w:ascii="宋体" w:hAnsi="宋体" w:eastAsia="宋体"/>
                <w:color w:val="auto"/>
                <w:highlight w:val="none"/>
              </w:rPr>
            </w:pPr>
            <w:r>
              <w:rPr>
                <w:rFonts w:hint="eastAsia" w:ascii="宋体" w:hAnsi="宋体" w:eastAsia="宋体"/>
                <w:color w:val="auto"/>
                <w:highlight w:val="none"/>
              </w:rPr>
              <w:t>（差）关于工程质量、工期、成本等提出的合理化建议差；得5～6分。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2.2.4</w:t>
            </w:r>
          </w:p>
          <w:p>
            <w:pPr>
              <w:spacing w:line="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投标报价评分标准</w:t>
            </w:r>
          </w:p>
          <w:p>
            <w:pPr>
              <w:spacing w:line="0" w:lineRule="atLeast"/>
              <w:ind w:right="36" w:rightChars="17"/>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1372" w:type="dxa"/>
            <w:tcBorders>
              <w:top w:val="single" w:color="auto" w:sz="4" w:space="0"/>
              <w:left w:val="single" w:color="auto" w:sz="4" w:space="0"/>
              <w:bottom w:val="single" w:color="auto" w:sz="4" w:space="0"/>
              <w:right w:val="single" w:color="auto" w:sz="4" w:space="0"/>
            </w:tcBorders>
            <w:vAlign w:val="center"/>
          </w:tcPr>
          <w:p>
            <w:pPr>
              <w:spacing w:line="0" w:lineRule="atLeast"/>
              <w:ind w:left="147" w:leftChars="7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服务报价</w:t>
            </w:r>
          </w:p>
          <w:p>
            <w:pPr>
              <w:spacing w:line="0" w:lineRule="atLeast"/>
              <w:ind w:left="147" w:leftChars="7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6077"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投标报价得分以评标基准价作为计算各有效投标价得分的基础，当有效投标价等于评标参考值时得10分；投标有效投价与评标基准价相比，每上偏1%扣0.2分，每下偏1%扣0.12分。最多扣10分。</w:t>
            </w:r>
          </w:p>
          <w:p>
            <w:pPr>
              <w:snapToGrid w:val="0"/>
              <w:spacing w:line="312" w:lineRule="auto"/>
              <w:rPr>
                <w:rFonts w:ascii="宋体" w:hAnsi="宋体" w:eastAsia="宋体" w:cs="宋体"/>
                <w:color w:val="auto"/>
                <w:highlight w:val="none"/>
              </w:rPr>
            </w:pPr>
            <w:r>
              <w:rPr>
                <w:rFonts w:hint="eastAsia" w:ascii="宋体" w:hAnsi="宋体" w:eastAsia="宋体" w:cs="宋体"/>
                <w:color w:val="auto"/>
                <w:highlight w:val="none"/>
              </w:rPr>
              <w:t>计算公式为：投标报价得分=10-n×100*偏差率，</w:t>
            </w:r>
          </w:p>
          <w:p>
            <w:pPr>
              <w:snapToGrid w:val="0"/>
              <w:spacing w:line="312" w:lineRule="auto"/>
              <w:rPr>
                <w:rFonts w:ascii="宋体" w:hAnsi="宋体" w:eastAsia="宋体" w:cs="宋体"/>
                <w:color w:val="auto"/>
                <w:highlight w:val="none"/>
              </w:rPr>
            </w:pPr>
            <w:r>
              <w:rPr>
                <w:rFonts w:hint="eastAsia" w:ascii="宋体" w:hAnsi="宋体" w:eastAsia="宋体" w:cs="宋体"/>
                <w:color w:val="auto"/>
                <w:highlight w:val="none"/>
              </w:rPr>
              <w:t>当</w:t>
            </w:r>
            <w:r>
              <w:rPr>
                <w:rFonts w:hint="eastAsia" w:ascii="宋体" w:hAnsi="宋体" w:eastAsia="宋体" w:cs="宋体"/>
                <w:color w:val="auto"/>
                <w:szCs w:val="21"/>
                <w:highlight w:val="none"/>
              </w:rPr>
              <w:t>有效投标价</w:t>
            </w:r>
            <w:r>
              <w:rPr>
                <w:rFonts w:hint="eastAsia" w:ascii="宋体" w:hAnsi="宋体" w:eastAsia="宋体" w:cs="宋体"/>
                <w:color w:val="auto"/>
                <w:highlight w:val="none"/>
              </w:rPr>
              <w:t>≧</w:t>
            </w:r>
            <w:r>
              <w:rPr>
                <w:rFonts w:hint="eastAsia" w:ascii="宋体" w:hAnsi="宋体" w:eastAsia="宋体" w:cs="宋体"/>
                <w:color w:val="auto"/>
                <w:szCs w:val="21"/>
                <w:highlight w:val="none"/>
              </w:rPr>
              <w:t>评标基准价</w:t>
            </w:r>
            <w:r>
              <w:rPr>
                <w:rFonts w:hint="eastAsia" w:ascii="宋体" w:hAnsi="宋体" w:eastAsia="宋体" w:cs="宋体"/>
                <w:color w:val="auto"/>
                <w:highlight w:val="none"/>
              </w:rPr>
              <w:t>时，n=0.2；</w:t>
            </w:r>
          </w:p>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highlight w:val="none"/>
              </w:rPr>
              <w:t>当</w:t>
            </w:r>
            <w:r>
              <w:rPr>
                <w:rFonts w:hint="eastAsia" w:ascii="宋体" w:hAnsi="宋体" w:eastAsia="宋体" w:cs="宋体"/>
                <w:color w:val="auto"/>
                <w:szCs w:val="21"/>
                <w:highlight w:val="none"/>
              </w:rPr>
              <w:t>有效投标价</w:t>
            </w:r>
            <w:r>
              <w:rPr>
                <w:rStyle w:val="42"/>
                <w:rFonts w:hint="eastAsia" w:ascii="宋体" w:hAnsi="宋体" w:eastAsia="宋体" w:cs="宋体"/>
                <w:b/>
                <w:bCs/>
                <w:i w:val="0"/>
                <w:color w:val="auto"/>
                <w:sz w:val="19"/>
                <w:szCs w:val="19"/>
                <w:highlight w:val="none"/>
                <w:shd w:val="clear" w:color="auto" w:fill="FFFFFF"/>
              </w:rPr>
              <w:t>＜</w:t>
            </w:r>
            <w:r>
              <w:rPr>
                <w:rFonts w:hint="eastAsia" w:ascii="宋体" w:hAnsi="宋体" w:eastAsia="宋体" w:cs="宋体"/>
                <w:color w:val="auto"/>
                <w:szCs w:val="21"/>
                <w:highlight w:val="none"/>
              </w:rPr>
              <w:t>评标基准价</w:t>
            </w:r>
            <w:r>
              <w:rPr>
                <w:rFonts w:hint="eastAsia" w:ascii="宋体" w:hAnsi="宋体" w:eastAsia="宋体" w:cs="宋体"/>
                <w:color w:val="auto"/>
                <w:highlight w:val="none"/>
              </w:rPr>
              <w:t>时，n=0.12。</w:t>
            </w:r>
          </w:p>
          <w:p>
            <w:pPr>
              <w:snapToGrid w:val="0"/>
              <w:spacing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rPr>
              <w:t>注：（1）投标人的得分为各评委评分的算术平均值，评分如出现小数点，则保留小数点后两位，第三位四舍五入。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2.2.4</w:t>
            </w:r>
          </w:p>
          <w:p>
            <w:pPr>
              <w:spacing w:line="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其他因素评分标准</w:t>
            </w:r>
          </w:p>
        </w:tc>
        <w:tc>
          <w:tcPr>
            <w:tcW w:w="1372" w:type="dxa"/>
            <w:tcBorders>
              <w:top w:val="single" w:color="auto" w:sz="4" w:space="0"/>
              <w:left w:val="single" w:color="auto" w:sz="4" w:space="0"/>
              <w:bottom w:val="single" w:color="auto" w:sz="4" w:space="0"/>
              <w:right w:val="single" w:color="auto" w:sz="4" w:space="0"/>
            </w:tcBorders>
            <w:vAlign w:val="center"/>
          </w:tcPr>
          <w:p>
            <w:pPr>
              <w:spacing w:line="0" w:lineRule="atLeast"/>
              <w:ind w:left="147" w:leftChars="7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c>
          <w:tcPr>
            <w:tcW w:w="607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bl>
    <w:p>
      <w:pPr>
        <w:spacing w:line="360" w:lineRule="auto"/>
        <w:rPr>
          <w:rFonts w:hint="eastAsia" w:ascii="宋体" w:eastAsia="宋体" w:cs="宋体"/>
          <w:color w:val="auto"/>
          <w:szCs w:val="21"/>
          <w:highlight w:val="none"/>
        </w:rPr>
      </w:pPr>
      <w:r>
        <w:rPr>
          <w:rFonts w:hint="eastAsia" w:ascii="宋体" w:eastAsia="宋体" w:cs="宋体"/>
          <w:color w:val="auto"/>
          <w:szCs w:val="21"/>
          <w:highlight w:val="none"/>
        </w:rPr>
        <w:t>说明：</w:t>
      </w:r>
      <w:r>
        <w:rPr>
          <w:rFonts w:hint="eastAsia" w:ascii="宋体" w:eastAsia="宋体" w:cs="宋体"/>
          <w:color w:val="auto"/>
          <w:szCs w:val="21"/>
          <w:highlight w:val="none"/>
          <w:lang w:val="en-US" w:eastAsia="zh-CN"/>
        </w:rPr>
        <w:t>1.</w:t>
      </w:r>
      <w:r>
        <w:rPr>
          <w:rFonts w:hint="eastAsia" w:ascii="宋体" w:eastAsia="宋体" w:cs="宋体"/>
          <w:color w:val="auto"/>
          <w:szCs w:val="21"/>
          <w:highlight w:val="none"/>
        </w:rPr>
        <w:t>投标人的综合得分为各评委的评分去掉一个最高分和一个最低分后计取的算术平均分（分数出现小数点时，保留小数点后二位，第三位小数四舍五入）。</w:t>
      </w:r>
    </w:p>
    <w:p>
      <w:pPr>
        <w:spacing w:line="360" w:lineRule="auto"/>
        <w:rPr>
          <w:rFonts w:hint="eastAsia" w:eastAsia="宋体"/>
          <w:color w:val="auto"/>
          <w:highlight w:val="none"/>
          <w:lang w:val="en-US" w:eastAsia="zh-CN"/>
        </w:rPr>
      </w:pPr>
      <w:r>
        <w:rPr>
          <w:rFonts w:hint="eastAsia" w:ascii="宋体" w:eastAsia="宋体" w:cs="宋体"/>
          <w:color w:val="auto"/>
          <w:szCs w:val="21"/>
          <w:highlight w:val="none"/>
          <w:lang w:val="en-US" w:eastAsia="zh-CN"/>
        </w:rPr>
        <w:t xml:space="preserve">      2.本项目社保缴纳期限包含疫情期的，若当地政府部门允许企业在疫情期间缓缴社会保险费且投标人未缴纳的，投标人可提供当地政府部门允许缓缴社保的相关文件作为缴纳社保的证明。确定中标人后，招标人将釆取有效措施，核实后续中标人管理团队的社保补缴情况。</w:t>
      </w:r>
    </w:p>
    <w:p>
      <w:pPr>
        <w:pStyle w:val="5"/>
        <w:widowControl/>
        <w:spacing w:line="416" w:lineRule="auto"/>
        <w:ind w:firstLine="0" w:firstLineChars="0"/>
        <w:jc w:val="left"/>
        <w:rPr>
          <w:rFonts w:hAnsi="黑体"/>
          <w:b/>
          <w:bCs/>
          <w:color w:val="auto"/>
          <w:kern w:val="0"/>
          <w:sz w:val="32"/>
          <w:szCs w:val="32"/>
          <w:highlight w:val="none"/>
        </w:rPr>
      </w:pPr>
      <w:r>
        <w:rPr>
          <w:rFonts w:hint="eastAsia" w:ascii="宋体" w:eastAsia="宋体" w:cs="宋体"/>
          <w:b/>
          <w:bCs/>
          <w:color w:val="auto"/>
          <w:kern w:val="0"/>
          <w:szCs w:val="21"/>
          <w:highlight w:val="none"/>
        </w:rPr>
        <w:br w:type="page"/>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Start w:id="181" w:name="_Toc32730"/>
      <w:bookmarkStart w:id="182" w:name="_Toc10857"/>
      <w:r>
        <w:rPr>
          <w:rFonts w:hint="eastAsia" w:hAnsi="黑体"/>
          <w:b/>
          <w:bCs/>
          <w:color w:val="auto"/>
          <w:kern w:val="0"/>
          <w:sz w:val="32"/>
          <w:szCs w:val="32"/>
          <w:highlight w:val="none"/>
        </w:rPr>
        <w:t>1. 评标方法</w:t>
      </w:r>
      <w:bookmarkEnd w:id="181"/>
      <w:bookmarkEnd w:id="182"/>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本次评标采用综合评估法。评标委员会对满足招标文件实质性要求的投标文件，按照本章第 2.2 款规定的评分标准进行打分，并按</w:t>
      </w:r>
      <w:r>
        <w:rPr>
          <w:rFonts w:hint="eastAsia" w:ascii="宋体" w:hAnsi="宋体" w:eastAsia="宋体" w:cs="宋体"/>
          <w:color w:val="auto"/>
          <w:kern w:val="0"/>
          <w:szCs w:val="21"/>
          <w:highlight w:val="none"/>
          <w:u w:val="single"/>
        </w:rPr>
        <w:t>投标人的总得分</w:t>
      </w:r>
      <w:r>
        <w:rPr>
          <w:rFonts w:hint="eastAsia" w:ascii="宋体" w:hAnsi="宋体" w:eastAsia="宋体" w:cs="宋体"/>
          <w:color w:val="auto"/>
          <w:kern w:val="0"/>
          <w:szCs w:val="21"/>
          <w:highlight w:val="none"/>
        </w:rPr>
        <w:t>由高到低顺序推荐中标候选人，或根据招标人授权直接确定中标人，但投标报价低于其成本的除外。综合评分相等时，按照评标办法前附表的规定确定中标候选人顺序。</w:t>
      </w:r>
    </w:p>
    <w:p>
      <w:pPr>
        <w:pStyle w:val="5"/>
        <w:widowControl/>
        <w:spacing w:line="416" w:lineRule="auto"/>
        <w:ind w:firstLine="0" w:firstLineChars="0"/>
        <w:jc w:val="left"/>
        <w:rPr>
          <w:rFonts w:hAnsi="黑体"/>
          <w:b/>
          <w:bCs/>
          <w:color w:val="auto"/>
          <w:kern w:val="0"/>
          <w:sz w:val="32"/>
          <w:szCs w:val="32"/>
          <w:highlight w:val="none"/>
        </w:rPr>
      </w:pPr>
      <w:bookmarkStart w:id="183" w:name="_Toc9453"/>
      <w:bookmarkStart w:id="184" w:name="_Toc4228"/>
      <w:r>
        <w:rPr>
          <w:rFonts w:hint="eastAsia" w:hAnsi="黑体"/>
          <w:b/>
          <w:bCs/>
          <w:color w:val="auto"/>
          <w:kern w:val="0"/>
          <w:sz w:val="32"/>
          <w:szCs w:val="32"/>
          <w:highlight w:val="none"/>
        </w:rPr>
        <w:t>2. 评审标准</w:t>
      </w:r>
      <w:bookmarkEnd w:id="183"/>
      <w:bookmarkEnd w:id="184"/>
    </w:p>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2.1初步评审标准</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2.1.1 形式评审标准：见评标办法前附表。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2.1.2 资格评审标准：见评标办法前附表。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2.1.3 响应性评审标准：见评标办法前附表。</w:t>
      </w:r>
    </w:p>
    <w:p>
      <w:pPr>
        <w:widowControl/>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2.2分值构成与评分标准</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 分值构成</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（1）资信业绩部分：见评标办法前附表；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（2）施工图审查技术方案：见评标办法前附表；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（3）投标报价部分：见评标办法前附表。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2.2.2 评标基准价计算 评标基准价计算方法：见评标办法前附表。 </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2.2.3 投标报价的偏差率 计算投标报价的偏差率计算公式：见评标办法前附表。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2.2.4 评分标准</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（1）资信业绩评分标准：见评标办法前附表；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（2）施工图审查技术方案评分标准：见评标办法前附表；</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（3）投标报价评分标准：见评标办法前附表；</w:t>
      </w:r>
    </w:p>
    <w:p>
      <w:pPr>
        <w:pStyle w:val="5"/>
        <w:widowControl/>
        <w:spacing w:line="416" w:lineRule="auto"/>
        <w:ind w:firstLine="0" w:firstLineChars="0"/>
        <w:jc w:val="left"/>
        <w:rPr>
          <w:rFonts w:hAnsi="黑体"/>
          <w:b/>
          <w:bCs/>
          <w:color w:val="auto"/>
          <w:kern w:val="0"/>
          <w:sz w:val="32"/>
          <w:szCs w:val="32"/>
          <w:highlight w:val="none"/>
        </w:rPr>
      </w:pPr>
      <w:bookmarkStart w:id="185" w:name="_Toc13566"/>
      <w:bookmarkStart w:id="186" w:name="_Toc32515"/>
      <w:r>
        <w:rPr>
          <w:rFonts w:hint="eastAsia" w:hAnsi="黑体"/>
          <w:b/>
          <w:bCs/>
          <w:color w:val="auto"/>
          <w:kern w:val="0"/>
          <w:sz w:val="32"/>
          <w:szCs w:val="32"/>
          <w:highlight w:val="none"/>
        </w:rPr>
        <w:t>3. 评标程序</w:t>
      </w:r>
      <w:bookmarkEnd w:id="185"/>
      <w:bookmarkEnd w:id="186"/>
    </w:p>
    <w:p>
      <w:pPr>
        <w:widowControl/>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3.1初步评审</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r>
        <w:rPr>
          <w:rFonts w:ascii="宋体" w:hAnsi="宋体"/>
          <w:color w:val="auto"/>
          <w:highlight w:val="none"/>
        </w:rPr>
        <w:t>。</w:t>
      </w:r>
      <w:r>
        <w:rPr>
          <w:rFonts w:hint="eastAsia" w:ascii="宋体" w:hAnsi="宋体" w:eastAsia="宋体" w:cs="宋体"/>
          <w:color w:val="auto"/>
          <w:highlight w:val="none"/>
          <w:u w:val="single"/>
        </w:rPr>
        <w:t>评标委员会完成资格评审后，汇总审查情况，确定通过资格评审的投标人名单，向招标人提交书面资格审查报告。通过资格评审的有效投标人不足三名时，招标人应当依法重新组织招标。只有通过初步评审的投标人才能进入下一阶段详细评审。通过初步评审的有效投标人不足三名时，招标人应当依法重新组织招标。</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3.1.2 投标人有以下情形之一的，评标委员会应当否决其投标：</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（1）投标文件没有对招标文件的实质性要求和条件作出响应，或者对招标文件的偏差超出招标文件规定的偏差范围或最高项数；</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（2）有串通投标、弄虚作假、行贿等违法行为。</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3.1.3 投标报价有算术错误及其他错误的，评标委员会按以下原则要求投标人对投标报价进行修正，并要求投标人书面澄清确认。投标人拒不澄清确认的，评标委员会应当否决其投标：</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（1）投标文件中的大写金额与小写金额不一致的，以大写金额为准；</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（2）总价金额与单价金额不一致的，以单价金额为准，但单价金额小数点有明显错误的除外。</w:t>
      </w:r>
    </w:p>
    <w:p>
      <w:pPr>
        <w:widowControl/>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3.2详细评审</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评标委员会按本章第 2.2 款规定的量化因素和分值进行打分，并计算出综合评估得分。</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（1）按本章第 2.2.4（1）目规定的评审因素和分值对资信业绩部分计算出得分 A；</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（2）按本章第 2.2.4（2）目规定的评审因素和分值对施工图审查技术方案计算出得分 B；</w:t>
      </w:r>
    </w:p>
    <w:p>
      <w:pPr>
        <w:widowControl/>
        <w:spacing w:line="360" w:lineRule="auto"/>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（3）按本章第 2.2.4（3）目规定的评审因素和分值对投标报价计算出得分 C；</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 评分分值计算保留小数点后两位，小数点后第三位“四舍五入”。</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 投标人得分=A+B+C。</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widowControl/>
        <w:spacing w:line="360" w:lineRule="auto"/>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3.3投标文件的澄清</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3.3.2 澄清、说明或补正不得超出投标文件的范围且不得改变投标文件的实质性内容，并构成投标文件的组成部分。</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3.3.3 评标委员会对投标人提交的澄清、说明或补正有疑问的，可以要求投标人进一步澄清、说明或补正，直至满足评标委员会的要求。</w:t>
      </w:r>
    </w:p>
    <w:p>
      <w:pPr>
        <w:widowControl/>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3.4评标结果</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 除第二章“投标人须知”前附表授权直接确定中标人外，评标委员会按照得分由高到低的顺序推荐中标候选人，并标明排序。</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3.4.2 评标委员会完成评标后，应当向招标人提交书面评标报告和中标候选人名单。</w:t>
      </w:r>
    </w:p>
    <w:p>
      <w:pPr>
        <w:widowControl/>
        <w:spacing w:line="360" w:lineRule="auto"/>
        <w:ind w:firstLine="420" w:firstLineChars="200"/>
        <w:jc w:val="left"/>
        <w:rPr>
          <w:rFonts w:ascii="宋体" w:hAnsi="宋体" w:eastAsia="宋体" w:cs="宋体"/>
          <w:color w:val="auto"/>
          <w:kern w:val="0"/>
          <w:szCs w:val="21"/>
          <w:highlight w:val="none"/>
          <w:u w:val="single"/>
        </w:rPr>
      </w:pPr>
      <w:bookmarkStart w:id="187" w:name="_Toc52967249"/>
      <w:r>
        <w:rPr>
          <w:rFonts w:hint="eastAsia" w:ascii="宋体" w:hAnsi="宋体" w:eastAsia="宋体" w:cs="宋体"/>
          <w:color w:val="auto"/>
          <w:kern w:val="0"/>
          <w:szCs w:val="21"/>
          <w:highlight w:val="none"/>
          <w:u w:val="single"/>
        </w:rPr>
        <w:t>3.4.3招标人根据评标委员会递交的评标报告，最终依法审定中标人。但在签订合同前的任何时候，评委、招标人以及其他人员发现投标人在招标过程有弄虚作假行为、虚报资料情况，一经查实，立即取消其中标人资格。</w:t>
      </w:r>
    </w:p>
    <w:p>
      <w:pPr>
        <w:widowControl/>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3.5 </w:t>
      </w:r>
      <w:bookmarkEnd w:id="187"/>
      <w:r>
        <w:rPr>
          <w:rFonts w:hint="eastAsia" w:ascii="宋体" w:hAnsi="宋体" w:eastAsia="宋体" w:cs="宋体"/>
          <w:b/>
          <w:bCs/>
          <w:color w:val="auto"/>
          <w:kern w:val="0"/>
          <w:szCs w:val="21"/>
          <w:highlight w:val="none"/>
        </w:rPr>
        <w:t>定标原则</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本项目采用资格后审，当投标登记或递交投标文件或通过资格审查或经评议有效投标的投标人出现以下情况为招标失败，需重新组织招标：</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当投标登记或递交投标文件或通过资格审查或经评议有效投标或同意延长投标有效期的投标人不足3名时，为该标招标失败。</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招标人分析招标失败原因，修正招标方案，报有关管理部门核准后，重新组织招标。</w:t>
      </w:r>
    </w:p>
    <w:p>
      <w:pPr>
        <w:spacing w:line="360" w:lineRule="auto"/>
        <w:ind w:firstLine="480" w:firstLineChars="200"/>
        <w:rPr>
          <w:rFonts w:ascii="宋体" w:eastAsia="宋体" w:cs="宋体"/>
          <w:color w:val="auto"/>
          <w:sz w:val="24"/>
          <w:szCs w:val="24"/>
          <w:highlight w:val="none"/>
        </w:rPr>
      </w:pPr>
    </w:p>
    <w:p>
      <w:pPr>
        <w:widowControl/>
        <w:jc w:val="left"/>
        <w:rPr>
          <w:rFonts w:ascii="宋体" w:eastAsia="宋体" w:cs="宋体"/>
          <w:color w:val="auto"/>
          <w:kern w:val="0"/>
          <w:szCs w:val="21"/>
          <w:highlight w:val="none"/>
        </w:rPr>
      </w:pPr>
      <w:r>
        <w:rPr>
          <w:rFonts w:ascii="宋体" w:eastAsia="宋体" w:cs="宋体"/>
          <w:color w:val="auto"/>
          <w:kern w:val="0"/>
          <w:szCs w:val="21"/>
          <w:highlight w:val="none"/>
        </w:rPr>
        <w:br w:type="page"/>
      </w:r>
    </w:p>
    <w:p>
      <w:pPr>
        <w:pStyle w:val="3"/>
        <w:keepNext w:val="0"/>
        <w:keepLines w:val="0"/>
        <w:pageBreakBefore/>
        <w:jc w:val="center"/>
        <w:rPr>
          <w:rFonts w:ascii="宋体" w:cs="宋体"/>
          <w:color w:val="auto"/>
          <w:highlight w:val="none"/>
        </w:rPr>
      </w:pPr>
      <w:bookmarkStart w:id="188" w:name="_Toc14405"/>
      <w:r>
        <w:rPr>
          <w:rFonts w:hint="eastAsia" w:ascii="宋体" w:cs="宋体"/>
          <w:color w:val="auto"/>
          <w:highlight w:val="none"/>
        </w:rPr>
        <w:t>第四章 合同条款及格式</w:t>
      </w:r>
      <w:bookmarkEnd w:id="188"/>
    </w:p>
    <w:p>
      <w:pPr>
        <w:rPr>
          <w:rFonts w:ascii="仿宋_GB2312" w:eastAsia="仿宋_GB2312"/>
          <w:color w:val="auto"/>
          <w:highlight w:val="none"/>
        </w:rPr>
      </w:pPr>
      <w:bookmarkStart w:id="189" w:name="_Toc246996338"/>
      <w:bookmarkStart w:id="190" w:name="_Toc247085853"/>
      <w:bookmarkStart w:id="191" w:name="_Toc246997081"/>
      <w:bookmarkStart w:id="192" w:name="_Toc179632787"/>
      <w:bookmarkStart w:id="193" w:name="_Toc152042388"/>
      <w:bookmarkStart w:id="194" w:name="_Toc144974829"/>
      <w:bookmarkStart w:id="195" w:name="_Toc300835199"/>
      <w:bookmarkStart w:id="196" w:name="_Toc144974578"/>
      <w:bookmarkStart w:id="197" w:name="_Toc184635122"/>
      <w:bookmarkStart w:id="198" w:name="_Toc152042549"/>
      <w:bookmarkStart w:id="199" w:name="_Toc247514197"/>
      <w:bookmarkStart w:id="200" w:name="_Toc247527798"/>
      <w:bookmarkStart w:id="201" w:name="_Toc152045610"/>
    </w:p>
    <w:p>
      <w:pPr>
        <w:snapToGrid w:val="0"/>
        <w:jc w:val="center"/>
        <w:rPr>
          <w:rFonts w:ascii="黑体" w:eastAsia="黑体"/>
          <w:color w:val="auto"/>
          <w:sz w:val="72"/>
          <w:szCs w:val="72"/>
          <w:highlight w:val="none"/>
        </w:rPr>
      </w:pPr>
      <w:r>
        <w:rPr>
          <w:rFonts w:hint="eastAsia" w:ascii="黑体" w:eastAsia="黑体"/>
          <w:color w:val="auto"/>
          <w:sz w:val="72"/>
          <w:szCs w:val="72"/>
          <w:highlight w:val="none"/>
        </w:rPr>
        <w:t>建设工程施工图审查合同</w:t>
      </w:r>
    </w:p>
    <w:p>
      <w:pPr>
        <w:spacing w:line="360" w:lineRule="auto"/>
        <w:rPr>
          <w:rFonts w:ascii="黑体" w:eastAsia="黑体"/>
          <w:color w:val="auto"/>
          <w:sz w:val="32"/>
          <w:highlight w:val="none"/>
        </w:rPr>
      </w:pPr>
    </w:p>
    <w:p>
      <w:pPr>
        <w:pStyle w:val="26"/>
        <w:tabs>
          <w:tab w:val="left" w:pos="7560"/>
        </w:tabs>
        <w:snapToGrid w:val="0"/>
        <w:spacing w:before="468" w:beforeLines="150" w:line="360" w:lineRule="auto"/>
        <w:ind w:left="1979" w:leftChars="0" w:hanging="1979" w:hangingChars="707"/>
        <w:rPr>
          <w:rFonts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项 目 名 称： </w:t>
      </w:r>
      <w:r>
        <w:rPr>
          <w:rFonts w:hint="eastAsia" w:asciiTheme="minorEastAsia" w:hAnsiTheme="minorEastAsia" w:eastAsiaTheme="minorEastAsia" w:cstheme="minorEastAsia"/>
          <w:color w:val="auto"/>
          <w:sz w:val="28"/>
          <w:szCs w:val="28"/>
          <w:highlight w:val="none"/>
          <w:u w:val="single"/>
        </w:rPr>
        <w:t>增城国家级开发区中新园区基础设施配套中新下沉式再生水厂项目施工图审查</w:t>
      </w:r>
    </w:p>
    <w:p>
      <w:pPr>
        <w:pStyle w:val="26"/>
        <w:snapToGrid w:val="0"/>
        <w:spacing w:before="468" w:beforeLines="150" w:line="360" w:lineRule="auto"/>
        <w:ind w:left="1906" w:leftChars="0" w:hanging="1906" w:hangingChars="681"/>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工 程 地 点： </w:t>
      </w:r>
      <w:r>
        <w:rPr>
          <w:rFonts w:hint="eastAsia" w:asciiTheme="minorEastAsia" w:hAnsiTheme="minorEastAsia" w:eastAsiaTheme="minorEastAsia" w:cstheme="minorEastAsia"/>
          <w:color w:val="auto"/>
          <w:sz w:val="28"/>
          <w:szCs w:val="28"/>
          <w:highlight w:val="none"/>
          <w:u w:val="single"/>
        </w:rPr>
        <w:t>项目厂区位于增城区中新镇乌石村，配套泵站位于增城区朱村街</w:t>
      </w:r>
      <w:r>
        <w:rPr>
          <w:rFonts w:hint="eastAsia" w:asciiTheme="minorEastAsia" w:hAnsiTheme="minorEastAsia" w:eastAsiaTheme="minorEastAsia" w:cstheme="minorEastAsia"/>
          <w:color w:val="auto"/>
          <w:sz w:val="28"/>
          <w:szCs w:val="28"/>
          <w:highlight w:val="none"/>
        </w:rPr>
        <w:t xml:space="preserve">                             </w:t>
      </w:r>
    </w:p>
    <w:p>
      <w:pPr>
        <w:pStyle w:val="26"/>
        <w:snapToGrid w:val="0"/>
        <w:spacing w:before="468" w:beforeLines="150" w:line="360" w:lineRule="auto"/>
        <w:ind w:left="8887" w:leftChars="0" w:hanging="8887" w:hangingChars="3174"/>
        <w:rPr>
          <w:rFonts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甲方（委托方）： </w:t>
      </w:r>
      <w:r>
        <w:rPr>
          <w:rFonts w:hint="eastAsia" w:asciiTheme="minorEastAsia" w:hAnsiTheme="minorEastAsia" w:eastAsiaTheme="minorEastAsia" w:cstheme="minorEastAsia"/>
          <w:color w:val="auto"/>
          <w:sz w:val="28"/>
          <w:szCs w:val="28"/>
          <w:highlight w:val="none"/>
          <w:u w:val="single"/>
        </w:rPr>
        <w:t>广州市增城区水务建设管理所</w:t>
      </w:r>
    </w:p>
    <w:p>
      <w:pPr>
        <w:pStyle w:val="26"/>
        <w:snapToGrid w:val="0"/>
        <w:spacing w:before="468" w:beforeLines="150" w:line="360" w:lineRule="auto"/>
        <w:ind w:left="8887" w:leftChars="0" w:hanging="8887" w:hangingChars="3174"/>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乙方（审查方）：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pPr>
        <w:spacing w:before="468" w:beforeLines="150" w:line="360" w:lineRule="auto"/>
        <w:rPr>
          <w:rFonts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甲方合同编号：</w:t>
      </w:r>
      <w:r>
        <w:rPr>
          <w:rFonts w:hint="eastAsia" w:asciiTheme="minorEastAsia" w:hAnsiTheme="minorEastAsia" w:eastAsiaTheme="minorEastAsia" w:cstheme="minorEastAsia"/>
          <w:b/>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（由委托方编填）</w:t>
      </w:r>
    </w:p>
    <w:p>
      <w:pPr>
        <w:spacing w:before="468" w:beforeLines="150" w:line="360" w:lineRule="auto"/>
        <w:rPr>
          <w:rFonts w:asciiTheme="minorEastAsia" w:hAnsiTheme="minorEastAsia" w:eastAsiaTheme="minorEastAsia" w:cstheme="minorEastAsia"/>
          <w:b/>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乙方合同编号：</w:t>
      </w:r>
      <w:r>
        <w:rPr>
          <w:rFonts w:hint="eastAsia" w:asciiTheme="minorEastAsia" w:hAnsiTheme="minorEastAsia" w:eastAsiaTheme="minorEastAsia" w:cstheme="minorEastAsia"/>
          <w:b/>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（由审查方编填）</w:t>
      </w:r>
    </w:p>
    <w:p>
      <w:pPr>
        <w:spacing w:before="468" w:beforeLines="150" w:line="360" w:lineRule="auto"/>
        <w:rPr>
          <w:rFonts w:asciiTheme="minorEastAsia" w:hAnsiTheme="minorEastAsia" w:eastAsiaTheme="minorEastAsia" w:cstheme="minorEastAsia"/>
          <w:b/>
          <w:bCs/>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审查资质等级：</w:t>
      </w:r>
      <w:r>
        <w:rPr>
          <w:rFonts w:hint="eastAsia" w:asciiTheme="minorEastAsia" w:hAnsiTheme="minorEastAsia" w:eastAsiaTheme="minorEastAsia" w:cstheme="minorEastAsia"/>
          <w:color w:val="auto"/>
          <w:sz w:val="28"/>
          <w:szCs w:val="28"/>
          <w:highlight w:val="none"/>
          <w:u w:val="single"/>
        </w:rPr>
        <w:t xml:space="preserve">                   </w:t>
      </w:r>
    </w:p>
    <w:p>
      <w:pPr>
        <w:spacing w:before="468" w:beforeLines="150" w:line="36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合同签订时间 ： </w:t>
      </w:r>
      <w:r>
        <w:rPr>
          <w:rFonts w:hint="eastAsia" w:asciiTheme="minorEastAsia" w:hAnsiTheme="minorEastAsia" w:eastAsiaTheme="minorEastAsia" w:cstheme="minorEastAsia"/>
          <w:color w:val="auto"/>
          <w:sz w:val="28"/>
          <w:szCs w:val="28"/>
          <w:highlight w:val="none"/>
          <w:u w:val="single"/>
        </w:rPr>
        <w:t>2022年   月   日</w:t>
      </w:r>
      <w:r>
        <w:rPr>
          <w:rFonts w:hint="eastAsia" w:asciiTheme="minorEastAsia" w:hAnsiTheme="minorEastAsia" w:eastAsiaTheme="minorEastAsia" w:cstheme="minorEastAsia"/>
          <w:color w:val="auto"/>
          <w:sz w:val="28"/>
          <w:szCs w:val="28"/>
          <w:highlight w:val="none"/>
        </w:rPr>
        <w:t xml:space="preserve"> </w:t>
      </w:r>
    </w:p>
    <w:p>
      <w:pPr>
        <w:spacing w:before="468" w:beforeLines="150" w:line="276" w:lineRule="auto"/>
        <w:rPr>
          <w:rFonts w:asciiTheme="minorEastAsia" w:hAnsiTheme="minorEastAsia" w:eastAsiaTheme="minorEastAsia" w:cstheme="minorEastAsia"/>
          <w:color w:val="auto"/>
          <w:sz w:val="24"/>
          <w:szCs w:val="24"/>
          <w:highlight w:val="none"/>
        </w:rPr>
        <w:sectPr>
          <w:headerReference r:id="rId4" w:type="default"/>
          <w:footerReference r:id="rId5" w:type="default"/>
          <w:type w:val="nextColumn"/>
          <w:pgSz w:w="11906" w:h="16838"/>
          <w:pgMar w:top="1134" w:right="1418" w:bottom="1134" w:left="1418" w:header="851" w:footer="992" w:gutter="0"/>
          <w:cols w:space="425" w:num="1"/>
          <w:docGrid w:type="lines" w:linePitch="312" w:charSpace="0"/>
        </w:sectPr>
      </w:pPr>
    </w:p>
    <w:p>
      <w:pPr>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甲方（委托方）： </w:t>
      </w:r>
      <w:r>
        <w:rPr>
          <w:rFonts w:hint="eastAsia" w:asciiTheme="minorEastAsia" w:hAnsiTheme="minorEastAsia" w:eastAsiaTheme="minorEastAsia" w:cstheme="minorEastAsia"/>
          <w:color w:val="auto"/>
          <w:sz w:val="24"/>
          <w:szCs w:val="24"/>
          <w:highlight w:val="none"/>
          <w:u w:val="single"/>
        </w:rPr>
        <w:t>广州市增城区水务建设管理所</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乙方（审查方）：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通过</w:t>
      </w:r>
      <w:r>
        <w:rPr>
          <w:rFonts w:hint="eastAsia" w:asciiTheme="minorEastAsia" w:hAnsiTheme="minorEastAsia" w:eastAsiaTheme="minorEastAsia" w:cstheme="minorEastAsia"/>
          <w:color w:val="auto"/>
          <w:sz w:val="24"/>
          <w:szCs w:val="24"/>
          <w:highlight w:val="none"/>
          <w:u w:val="single"/>
        </w:rPr>
        <w:t>2022年  月  日</w:t>
      </w:r>
      <w:r>
        <w:rPr>
          <w:rFonts w:hint="eastAsia" w:asciiTheme="minorEastAsia" w:hAnsiTheme="minorEastAsia" w:eastAsiaTheme="minorEastAsia" w:cstheme="minorEastAsia"/>
          <w:color w:val="auto"/>
          <w:sz w:val="24"/>
          <w:szCs w:val="24"/>
          <w:highlight w:val="none"/>
        </w:rPr>
        <w:t>编号为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的中标通知书，确定乙方为</w:t>
      </w:r>
      <w:r>
        <w:rPr>
          <w:rFonts w:hint="eastAsia" w:asciiTheme="minorEastAsia" w:hAnsiTheme="minorEastAsia" w:eastAsiaTheme="minorEastAsia" w:cstheme="minorEastAsia"/>
          <w:color w:val="auto"/>
          <w:sz w:val="24"/>
          <w:szCs w:val="24"/>
          <w:highlight w:val="none"/>
          <w:u w:val="single"/>
        </w:rPr>
        <w:t>增城国家级开发区中新园区基础设施配套中新下沉式再生水厂项目施工图审查施工图审查</w:t>
      </w:r>
      <w:r>
        <w:rPr>
          <w:rFonts w:hint="eastAsia" w:asciiTheme="minorEastAsia" w:hAnsiTheme="minorEastAsia" w:eastAsiaTheme="minorEastAsia" w:cstheme="minorEastAsia"/>
          <w:color w:val="auto"/>
          <w:sz w:val="24"/>
          <w:szCs w:val="24"/>
          <w:highlight w:val="none"/>
        </w:rPr>
        <w:t xml:space="preserve">中标人，中标价为人民币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元），中标下浮率为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%【中标下浮率=（1-中标价/最高投标限价）*100）】。经双方协商一致，签订本合同，共同执行。</w:t>
      </w:r>
    </w:p>
    <w:p>
      <w:pPr>
        <w:spacing w:line="360" w:lineRule="auto"/>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第一条</w:t>
      </w:r>
      <w:r>
        <w:rPr>
          <w:rFonts w:hint="eastAsia" w:asciiTheme="minorEastAsia" w:hAnsiTheme="minorEastAsia" w:eastAsiaTheme="minorEastAsia" w:cstheme="minorEastAsia"/>
          <w:color w:val="auto"/>
          <w:sz w:val="24"/>
          <w:szCs w:val="24"/>
          <w:highlight w:val="none"/>
        </w:rPr>
        <w:t xml:space="preserve">  本合同依据下列文件签订：</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1.1《中华人民共和国民法典》、《中华人民共和国建筑法》、《中华人民共和国建设工程质量管理条例》。</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 《房屋建筑和市政基础设施工程施工图设计文件审查管理办法》（住房和城乡建设部令第13号） </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1.3国家及地方有关建设工程勘察设计管理法规和规章。</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1.4建设工程批准文件。</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1.5招标文件、投标文件及中标通知书等相关文件。</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第二条 </w:t>
      </w:r>
      <w:r>
        <w:rPr>
          <w:rFonts w:hint="eastAsia" w:asciiTheme="minorEastAsia" w:hAnsiTheme="minorEastAsia" w:eastAsiaTheme="minorEastAsia" w:cstheme="minorEastAsia"/>
          <w:bCs/>
          <w:color w:val="auto"/>
          <w:sz w:val="24"/>
          <w:szCs w:val="24"/>
          <w:highlight w:val="none"/>
        </w:rPr>
        <w:t>本合同审查项目的基本情况：名称、规模等。</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2.1项目名称：</w:t>
      </w:r>
      <w:r>
        <w:rPr>
          <w:rFonts w:hint="eastAsia" w:asciiTheme="minorEastAsia" w:hAnsiTheme="minorEastAsia" w:eastAsiaTheme="minorEastAsia" w:cstheme="minorEastAsia"/>
          <w:color w:val="auto"/>
          <w:sz w:val="24"/>
          <w:szCs w:val="24"/>
          <w:highlight w:val="none"/>
          <w:u w:val="single"/>
        </w:rPr>
        <w:t>增城国家级开发区中新园区基础设施配套中新下沉式再生水厂项目施工图审查</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2.2工程地点：项目厂区位于增城区中新镇乌石村，配套泵站位于增城区朱村街。</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2.3项目规模：</w:t>
      </w:r>
      <w:r>
        <w:rPr>
          <w:rFonts w:hint="eastAsia" w:asciiTheme="minorEastAsia" w:hAnsiTheme="minorEastAsia" w:eastAsiaTheme="minorEastAsia" w:cstheme="minorEastAsia"/>
          <w:color w:val="auto"/>
          <w:sz w:val="24"/>
          <w:szCs w:val="24"/>
          <w:highlight w:val="none"/>
          <w:u w:val="single"/>
        </w:rPr>
        <w:t>(一)新建一座下沉式再生水厂,总污水处理规模20万m³/d,其中一期建设规模为10万m³/d (土建一次性建成，其中预处理土建按20万m³/d，近期设备安装5万m³/d)，采用全地下式布置形式，厂区地面新建综合楼及市政公园。(二)配套建设DN1000-DN1200污水压力管道3.9公里，DN1200-DN1500污水重力管道0.9公里，DN500-DN600 再生水压力管道2.6公里。(三)配套建设一座污水提升泵站，土建规模7.5万m³/d,近期设备安装4.0万m³/d。</w:t>
      </w:r>
      <w:r>
        <w:rPr>
          <w:rFonts w:hint="eastAsia" w:asciiTheme="minorEastAsia" w:hAnsiTheme="minorEastAsia" w:eastAsiaTheme="minorEastAsia" w:cstheme="minorEastAsia"/>
          <w:color w:val="auto"/>
          <w:sz w:val="24"/>
          <w:szCs w:val="24"/>
          <w:highlight w:val="none"/>
          <w:u w:val="single"/>
        </w:rPr>
        <w:t>本项目工程总概算投资为</w:t>
      </w:r>
      <w:r>
        <w:rPr>
          <w:rFonts w:hint="eastAsia" w:asciiTheme="minorEastAsia" w:hAnsiTheme="minorEastAsia" w:eastAsiaTheme="minorEastAsia" w:cstheme="minorEastAsia"/>
          <w:color w:val="auto"/>
          <w:sz w:val="24"/>
          <w:szCs w:val="24"/>
          <w:highlight w:val="none"/>
          <w:u w:val="single"/>
          <w:lang w:eastAsia="zh-CN"/>
        </w:rPr>
        <w:t>88800.37</w:t>
      </w:r>
      <w:r>
        <w:rPr>
          <w:rFonts w:hint="eastAsia" w:asciiTheme="minorEastAsia" w:hAnsiTheme="minorEastAsia" w:eastAsiaTheme="minorEastAsia" w:cstheme="minorEastAsia"/>
          <w:color w:val="auto"/>
          <w:sz w:val="24"/>
          <w:szCs w:val="24"/>
          <w:highlight w:val="none"/>
          <w:u w:val="single"/>
        </w:rPr>
        <w:t xml:space="preserve"> 万元，建安费约</w:t>
      </w:r>
      <w:r>
        <w:rPr>
          <w:rFonts w:hint="eastAsia" w:asciiTheme="minorEastAsia" w:hAnsiTheme="minorEastAsia" w:eastAsiaTheme="minorEastAsia" w:cstheme="minorEastAsia"/>
          <w:color w:val="auto"/>
          <w:sz w:val="24"/>
          <w:szCs w:val="24"/>
          <w:highlight w:val="none"/>
          <w:u w:val="single"/>
          <w:lang w:eastAsia="zh-CN"/>
        </w:rPr>
        <w:t>63209.72</w:t>
      </w:r>
      <w:r>
        <w:rPr>
          <w:rFonts w:hint="eastAsia" w:asciiTheme="minorEastAsia" w:hAnsiTheme="minorEastAsia" w:eastAsiaTheme="minorEastAsia" w:cstheme="minorEastAsia"/>
          <w:color w:val="auto"/>
          <w:sz w:val="24"/>
          <w:szCs w:val="24"/>
          <w:highlight w:val="none"/>
          <w:u w:val="single"/>
        </w:rPr>
        <w:t>万元。</w:t>
      </w:r>
    </w:p>
    <w:p>
      <w:pPr>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2.4建设资金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广州市增城排水有限公司注资。</w:t>
      </w:r>
    </w:p>
    <w:p>
      <w:pPr>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2.5 工作内容：</w:t>
      </w:r>
      <w:r>
        <w:rPr>
          <w:rFonts w:hint="eastAsia" w:asciiTheme="minorEastAsia" w:hAnsiTheme="minorEastAsia" w:eastAsiaTheme="minorEastAsia" w:cstheme="minorEastAsia"/>
          <w:color w:val="auto"/>
          <w:sz w:val="24"/>
          <w:szCs w:val="24"/>
          <w:highlight w:val="none"/>
          <w:u w:val="single"/>
        </w:rPr>
        <w:t>根据国家、广东省、广州市关于施工图审查的有关要求，开展施工图设计审查工作，审查范围包括工程范围内的所有勘察设计文件，包括施工图设计各阶段、各专业的设计文件、技术文件（含勘察文件）等文件的审查，出具符合要求的施工图设计文件审查报告，在项目实施过程中，建设单位有权对施工图审查范围进行适当调整（增加或减少），并在规定时间内配合甲方报送建设行政主管部门备案并获得施工图审查合格证。</w:t>
      </w:r>
    </w:p>
    <w:p>
      <w:pPr>
        <w:snapToGrid w:val="0"/>
        <w:spacing w:line="360" w:lineRule="auto"/>
        <w:ind w:firstLine="600" w:firstLineChars="2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施工图审查主要内容（包括但不限于）：</w:t>
      </w:r>
    </w:p>
    <w:p>
      <w:pPr>
        <w:snapToGrid w:val="0"/>
        <w:spacing w:line="360" w:lineRule="auto"/>
        <w:ind w:firstLine="600" w:firstLineChars="2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xml:space="preserve">（1）有关施工图设计文件（包括目录、图纸、施工验收标准、签署、出图章等）完整性和深度的审核； </w:t>
      </w:r>
    </w:p>
    <w:p>
      <w:pPr>
        <w:snapToGrid w:val="0"/>
        <w:spacing w:line="360" w:lineRule="auto"/>
        <w:ind w:firstLine="600" w:firstLineChars="2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（2）有关设计依据（包括工程地质勘察报告）、采用的设计规范、标准的完整性和准确性的审核；</w:t>
      </w:r>
    </w:p>
    <w:p>
      <w:pPr>
        <w:snapToGrid w:val="0"/>
        <w:spacing w:line="360" w:lineRule="auto"/>
        <w:ind w:firstLine="600" w:firstLineChars="2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（3）有关使用功能、安全可靠和质量要求是否得到满足，是否符合批准的初步设计，是否达到国家有关规定的设计深度的审核；</w:t>
      </w:r>
    </w:p>
    <w:p>
      <w:pPr>
        <w:snapToGrid w:val="0"/>
        <w:spacing w:line="360" w:lineRule="auto"/>
        <w:ind w:firstLine="600" w:firstLineChars="2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（4）应对计算书进行审核：主要是计算原则、模型、程序、公式、参数的选用是否合适，是否符合规范要求，输入数据是否准确；</w:t>
      </w:r>
    </w:p>
    <w:p>
      <w:pPr>
        <w:snapToGrid w:val="0"/>
        <w:spacing w:line="360" w:lineRule="auto"/>
        <w:ind w:firstLine="600" w:firstLineChars="2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（5）施工图审查中需对勘察大纲、各专业设计图纸进行必要的会审，重点审查各专业设计之间的衔接和设计文件问题；</w:t>
      </w:r>
    </w:p>
    <w:p>
      <w:pPr>
        <w:snapToGrid w:val="0"/>
        <w:spacing w:line="360" w:lineRule="auto"/>
        <w:ind w:firstLine="600" w:firstLineChars="2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（6）国家和地方有关法令、法规、规章所规定的施工图审查工作必须完成的工作内容；</w:t>
      </w:r>
    </w:p>
    <w:p>
      <w:pPr>
        <w:snapToGrid w:val="0"/>
        <w:spacing w:line="360" w:lineRule="auto"/>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（7）建设方要求审查的其他内容（包括但不限于：设计变更）。</w:t>
      </w:r>
    </w:p>
    <w:p>
      <w:pPr>
        <w:snapToGrid w:val="0"/>
        <w:spacing w:line="360" w:lineRule="auto"/>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取费依据：</w:t>
      </w:r>
    </w:p>
    <w:p>
      <w:pPr>
        <w:snapToGrid w:val="0"/>
        <w:spacing w:line="360" w:lineRule="auto"/>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国家发展改革委《关于降低部分建设项目收费标准规范收费行为等有关问题的通知》(发改价格【2011】534号文)、广州市物价局《转发省物价局关于降低部分建设项目收费标准规范收费行为等有关问题的通知》（穗价【2011】126号文）及广州市发展和改革委员会转发省发展改革委关于进一步放开建设项目专业服务价格的通知（穗发改价格函〔2015〕128号）。</w:t>
      </w:r>
    </w:p>
    <w:p>
      <w:pPr>
        <w:snapToGrid w:val="0"/>
        <w:spacing w:line="360" w:lineRule="auto"/>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2.6.2本项目施工图审查费限价：人民币</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元</w:t>
      </w:r>
      <w:r>
        <w:rPr>
          <w:rFonts w:hint="eastAsia" w:asciiTheme="minorEastAsia" w:hAnsiTheme="minorEastAsia" w:eastAsiaTheme="minorEastAsia" w:cstheme="minorEastAsia"/>
          <w:color w:val="auto"/>
          <w:sz w:val="24"/>
          <w:szCs w:val="24"/>
          <w:highlight w:val="none"/>
        </w:rPr>
        <w:t>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元）。</w:t>
      </w:r>
    </w:p>
    <w:p>
      <w:pPr>
        <w:snapToGrid w:val="0"/>
        <w:spacing w:line="360" w:lineRule="auto"/>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2.6.3本项目施工图审查费暂定合同价为人民币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p>
    <w:p>
      <w:pPr>
        <w:snapToGrid w:val="0"/>
        <w:spacing w:line="360" w:lineRule="auto"/>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2.6.4上述暂定合同价仅作为计量支付的参考依据。</w:t>
      </w:r>
    </w:p>
    <w:p>
      <w:pPr>
        <w:snapToGrid w:val="0"/>
        <w:spacing w:line="360" w:lineRule="auto"/>
        <w:ind w:firstLine="57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第三条</w:t>
      </w:r>
      <w:r>
        <w:rPr>
          <w:rFonts w:hint="eastAsia" w:asciiTheme="minorEastAsia" w:hAnsiTheme="minorEastAsia" w:eastAsiaTheme="minorEastAsia" w:cstheme="minorEastAsia"/>
          <w:color w:val="auto"/>
          <w:sz w:val="24"/>
          <w:szCs w:val="24"/>
          <w:highlight w:val="none"/>
        </w:rPr>
        <w:t xml:space="preserve">  甲方应向乙方提交的有关资料及文件：</w:t>
      </w:r>
    </w:p>
    <w:tbl>
      <w:tblPr>
        <w:tblStyle w:val="46"/>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614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147" w:type="dxa"/>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资料及文件名称</w:t>
            </w:r>
          </w:p>
        </w:tc>
        <w:tc>
          <w:tcPr>
            <w:tcW w:w="1647" w:type="dxa"/>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6147" w:type="dxa"/>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中标通知书</w:t>
            </w:r>
          </w:p>
        </w:tc>
        <w:tc>
          <w:tcPr>
            <w:tcW w:w="1647" w:type="dxa"/>
            <w:vMerge w:val="restart"/>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6147" w:type="dxa"/>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批准的设计立项文件、规划设计要点、有关部门的批文复印件</w:t>
            </w:r>
          </w:p>
        </w:tc>
        <w:tc>
          <w:tcPr>
            <w:tcW w:w="1647" w:type="dxa"/>
            <w:vMerge w:val="continue"/>
            <w:vAlign w:val="center"/>
          </w:tcPr>
          <w:p>
            <w:pPr>
              <w:spacing w:line="36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6147" w:type="dxa"/>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初步设计批准文件复印件</w:t>
            </w:r>
          </w:p>
        </w:tc>
        <w:tc>
          <w:tcPr>
            <w:tcW w:w="1647" w:type="dxa"/>
            <w:vMerge w:val="continue"/>
          </w:tcPr>
          <w:p>
            <w:pPr>
              <w:spacing w:line="36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9"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6147" w:type="dxa"/>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工程勘察成果报告、勘察成果资料</w:t>
            </w:r>
          </w:p>
        </w:tc>
        <w:tc>
          <w:tcPr>
            <w:tcW w:w="1647" w:type="dxa"/>
            <w:vMerge w:val="continue"/>
            <w:vAlign w:val="center"/>
          </w:tcPr>
          <w:p>
            <w:pPr>
              <w:spacing w:line="36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6" w:hRule="atLeast"/>
          <w:jc w:val="center"/>
        </w:trPr>
        <w:tc>
          <w:tcPr>
            <w:tcW w:w="904" w:type="dxa"/>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6147" w:type="dxa"/>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施工图设计文件一式三份（加盖出图章和注册章）、设计依据、结构计算书及电算软件名称等资料复印件</w:t>
            </w:r>
          </w:p>
        </w:tc>
        <w:tc>
          <w:tcPr>
            <w:tcW w:w="1647" w:type="dxa"/>
            <w:vMerge w:val="continue"/>
            <w:vAlign w:val="center"/>
          </w:tcPr>
          <w:p>
            <w:pPr>
              <w:spacing w:line="360" w:lineRule="exact"/>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6" w:hRule="atLeast"/>
          <w:jc w:val="center"/>
        </w:trPr>
        <w:tc>
          <w:tcPr>
            <w:tcW w:w="904" w:type="dxa"/>
            <w:tcBorders>
              <w:bottom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6147" w:type="dxa"/>
            <w:tcBorders>
              <w:bottom w:val="single" w:color="auto" w:sz="4" w:space="0"/>
            </w:tcBorders>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勘察设计合同、勘察设计单位资质证书及有关设计人员的职称证书或注册证书复印件、勘察设计收费证明（发票）复印件</w:t>
            </w:r>
          </w:p>
        </w:tc>
        <w:tc>
          <w:tcPr>
            <w:tcW w:w="1647" w:type="dxa"/>
            <w:tcBorders>
              <w:bottom w:val="single" w:color="auto" w:sz="4" w:space="0"/>
            </w:tcBorders>
            <w:vAlign w:val="center"/>
          </w:tcPr>
          <w:p>
            <w:pPr>
              <w:spacing w:line="360" w:lineRule="exact"/>
              <w:rPr>
                <w:rFonts w:asciiTheme="minorEastAsia" w:hAnsiTheme="minorEastAsia" w:eastAsiaTheme="minorEastAsia" w:cstheme="minorEastAsia"/>
                <w:color w:val="auto"/>
                <w:sz w:val="24"/>
                <w:szCs w:val="24"/>
                <w:highlight w:val="none"/>
              </w:rPr>
            </w:pPr>
          </w:p>
        </w:tc>
      </w:tr>
    </w:tbl>
    <w:p>
      <w:pPr>
        <w:spacing w:before="120" w:beforeLines="50" w:line="360" w:lineRule="auto"/>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第四条 </w:t>
      </w:r>
      <w:r>
        <w:rPr>
          <w:rFonts w:hint="eastAsia" w:asciiTheme="minorEastAsia" w:hAnsiTheme="minorEastAsia" w:eastAsiaTheme="minorEastAsia" w:cstheme="minorEastAsia"/>
          <w:color w:val="auto"/>
          <w:sz w:val="24"/>
          <w:szCs w:val="24"/>
          <w:highlight w:val="none"/>
        </w:rPr>
        <w:t>乙方向甲方交付的施工图审查成果文件：</w:t>
      </w:r>
    </w:p>
    <w:tbl>
      <w:tblPr>
        <w:tblStyle w:val="46"/>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005"/>
        <w:gridCol w:w="1021"/>
        <w:gridCol w:w="380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0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资料文件名称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份数</w:t>
            </w:r>
          </w:p>
        </w:tc>
        <w:tc>
          <w:tcPr>
            <w:tcW w:w="38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内容要求</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left="210"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00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施工图设计文件（含勘察资料）审查报告及合格书</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38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none"/>
              </w:rPr>
              <w:t>在勘察设计单位提交施工图设计文件与资料后5个工作日内提出施工图审查意见，在勘察设计单位整改合格后5个工作日内出施工图审查报告、施工图审查合格书和审查合格的施工图纸。</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建设主部门、甲方各一份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pStyle w:val="75"/>
              <w:spacing w:line="360" w:lineRule="exact"/>
              <w:ind w:left="210"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00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经过审查合格的施工图纸，盖工程设计施工图审查专用章</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按甲方需求提供</w:t>
            </w:r>
          </w:p>
        </w:tc>
        <w:tc>
          <w:tcPr>
            <w:tcW w:w="38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施工图设计文件审查意见单以及审查报告同时提交。</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审查报告电子文件</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38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与施工图设计文件审查报告同时提交。</w:t>
            </w:r>
          </w:p>
        </w:tc>
        <w:tc>
          <w:tcPr>
            <w:tcW w:w="110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施工图审查备案</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sz w:val="24"/>
                <w:szCs w:val="24"/>
                <w:highlight w:val="none"/>
              </w:rPr>
            </w:pPr>
          </w:p>
        </w:tc>
        <w:tc>
          <w:tcPr>
            <w:tcW w:w="38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负责施工图审查备案所需资料的收集汇总并办理资料报审工作。</w:t>
            </w:r>
          </w:p>
        </w:tc>
        <w:tc>
          <w:tcPr>
            <w:tcW w:w="110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auto"/>
                <w:sz w:val="24"/>
                <w:szCs w:val="24"/>
                <w:highlight w:val="none"/>
              </w:rPr>
            </w:pPr>
          </w:p>
        </w:tc>
      </w:tr>
    </w:tbl>
    <w:p>
      <w:pPr>
        <w:spacing w:before="120" w:beforeLines="50" w:line="360" w:lineRule="auto"/>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乙方审查内容包括但不限于：</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1.乙方审查是否符合施工图编制深度规定；</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2.是否符合工程建设强制性标准；</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3.地基基础和主体结构的安全性；</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勘察设计企业和注册执业人员以及相关人员是否按规定在施工图上加盖相应图章和签字；</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4.勘察设计企业项目负责人资格是否符合要求；</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5.是否符合住建、发改、国土、规划、园林、环保、卫生、水利、交通等政府有关部门审批要求。</w:t>
      </w:r>
    </w:p>
    <w:p>
      <w:pPr>
        <w:numPr>
          <w:ilvl w:val="0"/>
          <w:numId w:val="6"/>
        </w:numPr>
        <w:spacing w:before="120" w:beforeLines="5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费用支付方式：</w:t>
      </w:r>
    </w:p>
    <w:p>
      <w:pPr>
        <w:spacing w:before="120" w:beforeLines="5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5.1本项目施工图审查费用合同价为人民币</w:t>
      </w:r>
      <w:r>
        <w:rPr>
          <w:rFonts w:hint="eastAsia" w:asciiTheme="minorEastAsia" w:hAnsiTheme="minorEastAsia" w:eastAsiaTheme="minorEastAsia" w:cstheme="minorEastAsia"/>
          <w:color w:val="auto"/>
          <w:sz w:val="24"/>
          <w:szCs w:val="24"/>
          <w:highlight w:val="none"/>
          <w:u w:val="single"/>
        </w:rPr>
        <w:t xml:space="preserve">    万元（大写：     ）</w:t>
      </w:r>
      <w:r>
        <w:rPr>
          <w:rFonts w:hint="eastAsia" w:asciiTheme="minorEastAsia" w:hAnsiTheme="minorEastAsia" w:eastAsiaTheme="minorEastAsia" w:cstheme="minorEastAsia"/>
          <w:color w:val="auto"/>
          <w:sz w:val="24"/>
          <w:szCs w:val="24"/>
          <w:highlight w:val="none"/>
        </w:rPr>
        <w:t>，包含乙方完成审查工作的人工费、税费、打印费、差旅费等为履行本合同产生的一切费用。在合同实施期间，该合同价保持不变。</w:t>
      </w:r>
    </w:p>
    <w:tbl>
      <w:tblPr>
        <w:tblStyle w:val="46"/>
        <w:tblW w:w="923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491"/>
        <w:gridCol w:w="1578"/>
        <w:gridCol w:w="1831"/>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1220" w:type="dxa"/>
            <w:vMerge w:val="restart"/>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审查费费用支付方式</w:t>
            </w:r>
          </w:p>
        </w:tc>
        <w:tc>
          <w:tcPr>
            <w:tcW w:w="1491"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付费次序</w:t>
            </w:r>
          </w:p>
        </w:tc>
        <w:tc>
          <w:tcPr>
            <w:tcW w:w="1578"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占审查费％</w:t>
            </w:r>
          </w:p>
        </w:tc>
        <w:tc>
          <w:tcPr>
            <w:tcW w:w="1831"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付费额（万元）</w:t>
            </w:r>
          </w:p>
        </w:tc>
        <w:tc>
          <w:tcPr>
            <w:tcW w:w="3117"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1220" w:type="dxa"/>
            <w:vMerge w:val="continue"/>
          </w:tcPr>
          <w:p>
            <w:pPr>
              <w:jc w:val="center"/>
              <w:rPr>
                <w:rFonts w:asciiTheme="minorEastAsia" w:hAnsiTheme="minorEastAsia" w:eastAsiaTheme="minorEastAsia" w:cstheme="minorEastAsia"/>
                <w:color w:val="auto"/>
                <w:sz w:val="24"/>
                <w:szCs w:val="24"/>
                <w:highlight w:val="none"/>
              </w:rPr>
            </w:pPr>
          </w:p>
        </w:tc>
        <w:tc>
          <w:tcPr>
            <w:tcW w:w="1491"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第一次付费</w:t>
            </w:r>
          </w:p>
        </w:tc>
        <w:tc>
          <w:tcPr>
            <w:tcW w:w="1578"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831" w:type="dxa"/>
            <w:vAlign w:val="center"/>
          </w:tcPr>
          <w:p>
            <w:pPr>
              <w:jc w:val="center"/>
              <w:rPr>
                <w:rFonts w:asciiTheme="minorEastAsia" w:hAnsiTheme="minorEastAsia" w:eastAsiaTheme="minorEastAsia" w:cstheme="minorEastAsia"/>
                <w:color w:val="auto"/>
                <w:sz w:val="24"/>
                <w:szCs w:val="24"/>
                <w:highlight w:val="none"/>
              </w:rPr>
            </w:pPr>
          </w:p>
        </w:tc>
        <w:tc>
          <w:tcPr>
            <w:tcW w:w="3117" w:type="dxa"/>
            <w:vAlign w:val="center"/>
          </w:tcPr>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双方签署合同后15天内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1220" w:type="dxa"/>
            <w:vMerge w:val="continue"/>
          </w:tcPr>
          <w:p>
            <w:pPr>
              <w:jc w:val="center"/>
              <w:rPr>
                <w:rFonts w:asciiTheme="minorEastAsia" w:hAnsiTheme="minorEastAsia" w:eastAsiaTheme="minorEastAsia" w:cstheme="minorEastAsia"/>
                <w:color w:val="auto"/>
                <w:sz w:val="24"/>
                <w:szCs w:val="24"/>
                <w:highlight w:val="none"/>
              </w:rPr>
            </w:pPr>
          </w:p>
        </w:tc>
        <w:tc>
          <w:tcPr>
            <w:tcW w:w="1491"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第二次付费</w:t>
            </w:r>
          </w:p>
        </w:tc>
        <w:tc>
          <w:tcPr>
            <w:tcW w:w="1578"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50</w:t>
            </w:r>
            <w:r>
              <w:rPr>
                <w:rFonts w:hint="eastAsia" w:asciiTheme="minorEastAsia" w:hAnsiTheme="minorEastAsia" w:eastAsiaTheme="minorEastAsia" w:cstheme="minorEastAsia"/>
                <w:color w:val="auto"/>
                <w:sz w:val="24"/>
                <w:szCs w:val="24"/>
                <w:highlight w:val="none"/>
              </w:rPr>
              <w:t>%</w:t>
            </w:r>
          </w:p>
        </w:tc>
        <w:tc>
          <w:tcPr>
            <w:tcW w:w="1831" w:type="dxa"/>
            <w:vAlign w:val="center"/>
          </w:tcPr>
          <w:p>
            <w:pPr>
              <w:jc w:val="center"/>
              <w:rPr>
                <w:rFonts w:asciiTheme="minorEastAsia" w:hAnsiTheme="minorEastAsia" w:eastAsiaTheme="minorEastAsia" w:cstheme="minorEastAsia"/>
                <w:color w:val="auto"/>
                <w:sz w:val="24"/>
                <w:szCs w:val="24"/>
                <w:highlight w:val="none"/>
              </w:rPr>
            </w:pPr>
          </w:p>
        </w:tc>
        <w:tc>
          <w:tcPr>
            <w:tcW w:w="3117" w:type="dxa"/>
            <w:vAlign w:val="center"/>
          </w:tcPr>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乙方出具施工图设计文件电子审查报告，相关成果文件经甲方验收合格后15天内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1220" w:type="dxa"/>
            <w:vMerge w:val="continue"/>
          </w:tcPr>
          <w:p>
            <w:pPr>
              <w:rPr>
                <w:rFonts w:asciiTheme="minorEastAsia" w:hAnsiTheme="minorEastAsia" w:eastAsiaTheme="minorEastAsia" w:cstheme="minorEastAsia"/>
                <w:color w:val="auto"/>
                <w:sz w:val="24"/>
                <w:szCs w:val="24"/>
                <w:highlight w:val="none"/>
              </w:rPr>
            </w:pPr>
          </w:p>
        </w:tc>
        <w:tc>
          <w:tcPr>
            <w:tcW w:w="1491"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第三次付费</w:t>
            </w:r>
          </w:p>
        </w:tc>
        <w:tc>
          <w:tcPr>
            <w:tcW w:w="1578"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p>
        </w:tc>
        <w:tc>
          <w:tcPr>
            <w:tcW w:w="1831" w:type="dxa"/>
            <w:vAlign w:val="center"/>
          </w:tcPr>
          <w:p>
            <w:pPr>
              <w:jc w:val="center"/>
              <w:rPr>
                <w:rFonts w:asciiTheme="minorEastAsia" w:hAnsiTheme="minorEastAsia" w:eastAsiaTheme="minorEastAsia" w:cstheme="minorEastAsia"/>
                <w:color w:val="auto"/>
                <w:sz w:val="24"/>
                <w:szCs w:val="24"/>
                <w:highlight w:val="none"/>
              </w:rPr>
            </w:pPr>
          </w:p>
        </w:tc>
        <w:tc>
          <w:tcPr>
            <w:tcW w:w="3117" w:type="dxa"/>
            <w:vAlign w:val="center"/>
          </w:tcPr>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工程完工后15天内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1220" w:type="dxa"/>
            <w:vMerge w:val="continue"/>
          </w:tcPr>
          <w:p>
            <w:pPr>
              <w:rPr>
                <w:rFonts w:asciiTheme="minorEastAsia" w:hAnsiTheme="minorEastAsia" w:eastAsiaTheme="minorEastAsia" w:cstheme="minorEastAsia"/>
                <w:color w:val="auto"/>
                <w:sz w:val="24"/>
                <w:szCs w:val="24"/>
                <w:highlight w:val="none"/>
              </w:rPr>
            </w:pPr>
          </w:p>
        </w:tc>
        <w:tc>
          <w:tcPr>
            <w:tcW w:w="1491"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第四次付费</w:t>
            </w:r>
          </w:p>
        </w:tc>
        <w:tc>
          <w:tcPr>
            <w:tcW w:w="1578" w:type="dxa"/>
            <w:vAlign w:val="center"/>
          </w:tcPr>
          <w:p>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0%</w:t>
            </w:r>
          </w:p>
        </w:tc>
        <w:tc>
          <w:tcPr>
            <w:tcW w:w="1831" w:type="dxa"/>
            <w:vAlign w:val="center"/>
          </w:tcPr>
          <w:p>
            <w:pPr>
              <w:jc w:val="center"/>
              <w:rPr>
                <w:rFonts w:asciiTheme="minorEastAsia" w:hAnsiTheme="minorEastAsia" w:eastAsiaTheme="minorEastAsia" w:cstheme="minorEastAsia"/>
                <w:color w:val="auto"/>
                <w:sz w:val="24"/>
                <w:szCs w:val="24"/>
                <w:highlight w:val="none"/>
              </w:rPr>
            </w:pPr>
          </w:p>
        </w:tc>
        <w:tc>
          <w:tcPr>
            <w:tcW w:w="3117" w:type="dxa"/>
            <w:vAlign w:val="center"/>
          </w:tcPr>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工程竣工验收合格并经主管部门备案后，结清余款</w:t>
            </w:r>
          </w:p>
        </w:tc>
      </w:tr>
    </w:tbl>
    <w:p>
      <w:pPr>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5.2根据《增城国家级开发区中新园区基础设施配套中新下沉式再生水厂项目建设管理委托协议》，本工程建设单位为广州市增城排水有限公司，乙方请款时需按建设单位要求开具合法合规的增值税专用发票。</w:t>
      </w:r>
    </w:p>
    <w:p>
      <w:pPr>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5.3甲方支付款项受财政拨款或国家开发银行发放贷款限制，如甲方因财政拨款或国家开发银行发放贷款迟延而未及时向乙方付款，甲方不因此承担任何责任。</w:t>
      </w:r>
    </w:p>
    <w:p>
      <w:pPr>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5.4结算方式</w:t>
      </w:r>
    </w:p>
    <w:p>
      <w:pPr>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5.4.1施工审查费最终结算价按《国家发改委关于降低部分建设项目收费标准规范收费行为等有关问题的通知》（发改价格[2011]534号）执行，收费基准价以经甲方或甲方委托的第三方咨询单位概算评审的勘察设计费为计费基数，本项目施工图审查服务费计费基数暂按</w:t>
      </w:r>
      <w:r>
        <w:rPr>
          <w:rFonts w:hint="eastAsia" w:asciiTheme="minorEastAsia" w:hAnsiTheme="minorEastAsia" w:eastAsiaTheme="minorEastAsia" w:cstheme="minorEastAsia"/>
          <w:color w:val="auto"/>
          <w:sz w:val="24"/>
          <w:szCs w:val="24"/>
          <w:highlight w:val="none"/>
          <w:u w:val="single"/>
        </w:rPr>
        <w:t>26226937.67</w:t>
      </w:r>
      <w:r>
        <w:rPr>
          <w:rFonts w:hint="eastAsia" w:asciiTheme="minorEastAsia" w:hAnsiTheme="minorEastAsia" w:eastAsiaTheme="minorEastAsia" w:cstheme="minorEastAsia"/>
          <w:color w:val="auto"/>
          <w:sz w:val="24"/>
          <w:szCs w:val="24"/>
          <w:highlight w:val="none"/>
        </w:rPr>
        <w:t>元计算。</w:t>
      </w:r>
    </w:p>
    <w:p>
      <w:pPr>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5.4.2施工图审查结算价=收费基准价×6.5%×（1-中标下浮率）。</w:t>
      </w:r>
    </w:p>
    <w:p>
      <w:pPr>
        <w:spacing w:line="360" w:lineRule="auto"/>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第六条  </w:t>
      </w:r>
      <w:r>
        <w:rPr>
          <w:rFonts w:hint="eastAsia" w:asciiTheme="minorEastAsia" w:hAnsiTheme="minorEastAsia" w:eastAsiaTheme="minorEastAsia" w:cstheme="minorEastAsia"/>
          <w:color w:val="auto"/>
          <w:sz w:val="24"/>
          <w:szCs w:val="24"/>
          <w:highlight w:val="none"/>
        </w:rPr>
        <w:t>双方责任</w:t>
      </w:r>
    </w:p>
    <w:p>
      <w:pPr>
        <w:spacing w:line="52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 甲方责任</w:t>
      </w:r>
    </w:p>
    <w:p>
      <w:pPr>
        <w:spacing w:line="52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6.1.1甲方按本合同第三条规定的内容，在规定的时间内向乙方提交资料及文件，并对其完整性、正确性及时限负责。</w:t>
      </w:r>
    </w:p>
    <w:p>
      <w:pPr>
        <w:spacing w:line="52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甲方提交上述资料及文件超过规定期限，乙方按合同第四条规定交付审查报告时间顺延。</w:t>
      </w:r>
    </w:p>
    <w:p>
      <w:pPr>
        <w:spacing w:line="52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6.1.2甲方应保护经乙方审查的施工图设计文件、资料、图纸。未经乙方同意，甲方对乙方交付的施工图设计文件审查报告、资料、图纸不得擅自修改、复制或向第三人转让或用于本合同外的项目。</w:t>
      </w:r>
    </w:p>
    <w:p>
      <w:pPr>
        <w:spacing w:line="52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6.2  乙方责任</w:t>
      </w:r>
    </w:p>
    <w:p>
      <w:pPr>
        <w:spacing w:line="52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6.2.1乙方应按广东省建设厅发布的《广东省建筑工程施工图设计文件审查暂行办法》和广州市建设委员会印发的《广州市建设工程施工图设计文件审查实施办法》及国家技术规范、标准、规程以及甲方提供的有关部门的审批文件、资料、图纸进行审查。按合同规定的进度要求提交质量合格的审查报告，并对审查的图纸质量负相应的责任。 在项目实施过程中，甲方有权对施工图审查范围进行适当调整（增加或减少）。   </w:t>
      </w:r>
    </w:p>
    <w:p>
      <w:pPr>
        <w:spacing w:line="52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6.2.2 乙方按本合同第二条和第四条规定的内容、进度及份数向甲方交付审查报告，审查报告的时间应满足甲方要求。</w:t>
      </w:r>
    </w:p>
    <w:p>
      <w:pPr>
        <w:spacing w:line="52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6.2.3 乙方应保护甲方的知识产权，不得向第三方泄露、转让甲方提交的产品图纸等技术经济资料。审查工作完成后，乙方应将甲方提供的资料及成果一并交回甲方，不得遗失或扣留。如发生以上情况并给甲方造成经济损失，甲方有权向乙方索赔。</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6.2.4 </w:t>
      </w:r>
      <w:r>
        <w:rPr>
          <w:rFonts w:hint="eastAsia" w:asciiTheme="minorEastAsia" w:hAnsiTheme="minorEastAsia" w:eastAsiaTheme="minorEastAsia" w:cstheme="minorEastAsia"/>
          <w:bCs/>
          <w:color w:val="auto"/>
          <w:sz w:val="24"/>
          <w:szCs w:val="24"/>
          <w:highlight w:val="none"/>
        </w:rPr>
        <w:t>根据甲方要求，乙方必须依时派出合适人员出席相关会议，必要时须去工作现场。</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6.2.5 </w:t>
      </w:r>
      <w:r>
        <w:rPr>
          <w:rFonts w:hint="eastAsia" w:asciiTheme="minorEastAsia" w:hAnsiTheme="minorEastAsia" w:eastAsiaTheme="minorEastAsia" w:cstheme="minorEastAsia"/>
          <w:bCs/>
          <w:color w:val="auto"/>
          <w:sz w:val="24"/>
          <w:szCs w:val="24"/>
          <w:highlight w:val="none"/>
        </w:rPr>
        <w:t>根据甲方要求，对工程变更施工图纸进行审查把关，并按甲方要求在限定时间内对变更图纸进行确认。</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根据甲方要求，配合甲方项目行政许可申报工作。</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乙方负责组织相关审查会议并承担相关费用。</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乙方负责对本项目设计单位提交的技术文件如勘察成果重大技术方案等进行审核。</w:t>
      </w:r>
    </w:p>
    <w:p>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本项目合同价包括乙方完成本合同项下的所有工作内容所需要的直接和间接的一切费用。</w:t>
      </w:r>
    </w:p>
    <w:p>
      <w:pPr>
        <w:spacing w:line="520" w:lineRule="exact"/>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第七条 </w:t>
      </w:r>
      <w:r>
        <w:rPr>
          <w:rFonts w:hint="eastAsia" w:asciiTheme="minorEastAsia" w:hAnsiTheme="minorEastAsia" w:eastAsiaTheme="minorEastAsia" w:cstheme="minorEastAsia"/>
          <w:color w:val="auto"/>
          <w:sz w:val="24"/>
          <w:szCs w:val="24"/>
          <w:highlight w:val="none"/>
        </w:rPr>
        <w:t>违约责任</w:t>
      </w:r>
    </w:p>
    <w:p>
      <w:pPr>
        <w:spacing w:line="520" w:lineRule="exact"/>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7.1甲方应按本合同第五条规定的金额和时间向乙方支付审查费，每逾期支付一天，应承担本项目审查费总额万分之二的逾期违约金。</w:t>
      </w:r>
    </w:p>
    <w:p>
      <w:pPr>
        <w:spacing w:line="520" w:lineRule="exact"/>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由于乙方原因，延误了按本合同第四条规定的审查资料文件交付时间，每延误一天，应承担本项目审查费总额万分之二的逾期违约金，逾期超过15天以上，甲方有权解除合同，要求乙方退还甲方已支付费用并要求乙方支付违约金和赔偿损失。”</w:t>
      </w:r>
    </w:p>
    <w:p>
      <w:pPr>
        <w:spacing w:line="520" w:lineRule="exact"/>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7.3由乙方责任造成的损失由乙方承担责任。</w:t>
      </w:r>
    </w:p>
    <w:p>
      <w:pPr>
        <w:spacing w:line="520" w:lineRule="exact"/>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7.4施工图设计文件审查合格后，仍有违反法律、法规和工程建设强制性标准的问题，给建设单位造成损失的，乙方依法承担相应的赔偿责任。</w:t>
      </w:r>
    </w:p>
    <w:p>
      <w:pPr>
        <w:spacing w:line="520" w:lineRule="exact"/>
        <w:ind w:left="6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第八条</w:t>
      </w:r>
      <w:r>
        <w:rPr>
          <w:rFonts w:hint="eastAsia" w:asciiTheme="minorEastAsia" w:hAnsiTheme="minorEastAsia" w:eastAsiaTheme="minorEastAsia" w:cstheme="minorEastAsia"/>
          <w:color w:val="auto"/>
          <w:sz w:val="24"/>
          <w:szCs w:val="24"/>
          <w:highlight w:val="none"/>
        </w:rPr>
        <w:t xml:space="preserve"> 其他</w:t>
      </w:r>
    </w:p>
    <w:p>
      <w:pPr>
        <w:spacing w:line="520" w:lineRule="exact"/>
        <w:ind w:firstLine="64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8.1由于不可抗力因素致使合同无法履行时，双方应及时协商解决。</w:t>
      </w:r>
    </w:p>
    <w:p>
      <w:pPr>
        <w:spacing w:line="520" w:lineRule="exact"/>
        <w:ind w:firstLine="64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 本合同发生争议，双方当事人应及时协商解决。也可由当地建设行政主管部门调解，调解不成时，双方当事人均可向甲方所在地人民法院提起诉讼。</w:t>
      </w:r>
    </w:p>
    <w:p>
      <w:pPr>
        <w:spacing w:line="520" w:lineRule="exact"/>
        <w:ind w:firstLine="64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 本合同一式 陆份，甲方（委托方）</w:t>
      </w:r>
      <w:r>
        <w:rPr>
          <w:rFonts w:hint="eastAsia" w:asciiTheme="minorEastAsia" w:hAnsiTheme="minorEastAsia" w:eastAsiaTheme="minorEastAsia" w:cstheme="minorEastAsia"/>
          <w:color w:val="auto"/>
          <w:sz w:val="24"/>
          <w:szCs w:val="24"/>
          <w:highlight w:val="none"/>
          <w:u w:val="single"/>
        </w:rPr>
        <w:t xml:space="preserve">叁 </w:t>
      </w:r>
      <w:r>
        <w:rPr>
          <w:rFonts w:hint="eastAsia" w:asciiTheme="minorEastAsia" w:hAnsiTheme="minorEastAsia" w:eastAsiaTheme="minorEastAsia" w:cstheme="minorEastAsia"/>
          <w:color w:val="auto"/>
          <w:sz w:val="24"/>
          <w:szCs w:val="24"/>
          <w:highlight w:val="none"/>
        </w:rPr>
        <w:t>份，乙方（审查方）</w:t>
      </w:r>
      <w:r>
        <w:rPr>
          <w:rFonts w:hint="eastAsia" w:asciiTheme="minorEastAsia" w:hAnsiTheme="minorEastAsia" w:eastAsiaTheme="minorEastAsia" w:cstheme="minorEastAsia"/>
          <w:color w:val="auto"/>
          <w:sz w:val="24"/>
          <w:szCs w:val="24"/>
          <w:highlight w:val="none"/>
          <w:u w:val="single"/>
        </w:rPr>
        <w:t xml:space="preserve">叁 </w:t>
      </w:r>
      <w:r>
        <w:rPr>
          <w:rFonts w:hint="eastAsia" w:asciiTheme="minorEastAsia" w:hAnsiTheme="minorEastAsia" w:eastAsiaTheme="minorEastAsia" w:cstheme="minorEastAsia"/>
          <w:color w:val="auto"/>
          <w:sz w:val="24"/>
          <w:szCs w:val="24"/>
          <w:highlight w:val="none"/>
        </w:rPr>
        <w:t>份（联合体中标的正本副本按联合体家数相应增加份数）。</w:t>
      </w:r>
    </w:p>
    <w:p>
      <w:pPr>
        <w:spacing w:line="520" w:lineRule="exact"/>
        <w:ind w:firstLine="64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 本合同经双方签章后生效。</w:t>
      </w:r>
    </w:p>
    <w:p>
      <w:pPr>
        <w:spacing w:line="520" w:lineRule="exact"/>
        <w:ind w:firstLine="64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8.5 本合同生效后,双方认为必要时，到项目所在地工商行政管理部门申请鉴证。双方履行完合同规定的义务后，本合同即行终止。</w:t>
      </w:r>
    </w:p>
    <w:p>
      <w:pPr>
        <w:spacing w:line="520" w:lineRule="exact"/>
        <w:ind w:firstLine="64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8.6本合同未尽事宜，双方可签订补充协议，与本合同有同等法律效力。</w:t>
      </w:r>
    </w:p>
    <w:p>
      <w:pPr>
        <w:spacing w:line="520" w:lineRule="exact"/>
        <w:ind w:firstLine="645"/>
        <w:rPr>
          <w:rFonts w:asciiTheme="minorEastAsia" w:hAnsiTheme="minorEastAsia" w:eastAsiaTheme="minorEastAsia" w:cstheme="minorEastAsia"/>
          <w:color w:val="auto"/>
          <w:sz w:val="24"/>
          <w:szCs w:val="24"/>
          <w:highlight w:val="none"/>
        </w:rPr>
      </w:pPr>
    </w:p>
    <w:p>
      <w:pPr>
        <w:spacing w:line="520" w:lineRule="exact"/>
        <w:ind w:firstLine="64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pPr>
        <w:spacing w:line="240" w:lineRule="auto"/>
        <w:ind w:firstLine="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br w:type="page"/>
      </w:r>
    </w:p>
    <w:p>
      <w:pPr>
        <w:pStyle w:val="2"/>
        <w:rPr>
          <w:color w:val="auto"/>
          <w:highlight w:val="none"/>
        </w:rPr>
      </w:pPr>
    </w:p>
    <w:tbl>
      <w:tblPr>
        <w:tblStyle w:val="46"/>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3" w:hRule="atLeast"/>
        </w:trPr>
        <w:tc>
          <w:tcPr>
            <w:tcW w:w="4712" w:type="dxa"/>
            <w:tcBorders>
              <w:right w:val="nil"/>
            </w:tcBorders>
          </w:tcPr>
          <w:p>
            <w:pPr>
              <w:spacing w:line="360" w:lineRule="auto"/>
              <w:ind w:left="2160" w:hanging="2160" w:hangingChars="9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甲方单位（盖章）：广州市增城区水务建设管理所 </w:t>
            </w:r>
          </w:p>
        </w:tc>
        <w:tc>
          <w:tcPr>
            <w:tcW w:w="4608" w:type="dxa"/>
            <w:tcBorders>
              <w:left w:val="nil"/>
            </w:tcBorders>
          </w:tcPr>
          <w:p>
            <w:pPr>
              <w:spacing w:line="360" w:lineRule="auto"/>
              <w:ind w:left="2160" w:hanging="2160" w:hangingChars="9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乙方单位（盖章）：</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1385" w:hRule="atLeast"/>
        </w:trPr>
        <w:tc>
          <w:tcPr>
            <w:tcW w:w="4712" w:type="dxa"/>
            <w:tcBorders>
              <w:righ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法定代表人或委托代理人（签字）：</w:t>
            </w:r>
          </w:p>
          <w:p>
            <w:pPr>
              <w:spacing w:line="360" w:lineRule="auto"/>
              <w:rPr>
                <w:rFonts w:asciiTheme="minorEastAsia" w:hAnsiTheme="minorEastAsia" w:eastAsiaTheme="minorEastAsia" w:cstheme="minorEastAsia"/>
                <w:color w:val="auto"/>
                <w:sz w:val="24"/>
                <w:szCs w:val="24"/>
                <w:highlight w:val="none"/>
              </w:rPr>
            </w:pP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   年   月   日</w:t>
            </w:r>
          </w:p>
        </w:tc>
        <w:tc>
          <w:tcPr>
            <w:tcW w:w="4608" w:type="dxa"/>
            <w:tcBorders>
              <w:lef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法定代表人或委托代理人（签字）：</w:t>
            </w:r>
          </w:p>
          <w:p>
            <w:pPr>
              <w:spacing w:line="360" w:lineRule="auto"/>
              <w:rPr>
                <w:rFonts w:asciiTheme="minorEastAsia" w:hAnsiTheme="minorEastAsia" w:eastAsiaTheme="minorEastAsia" w:cstheme="minorEastAsia"/>
                <w:color w:val="auto"/>
                <w:sz w:val="24"/>
                <w:szCs w:val="24"/>
                <w:highlight w:val="none"/>
              </w:rPr>
            </w:pP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日  期：   年   月   日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651" w:hRule="atLeast"/>
        </w:trPr>
        <w:tc>
          <w:tcPr>
            <w:tcW w:w="4712" w:type="dxa"/>
            <w:tcBorders>
              <w:right w:val="nil"/>
            </w:tcBorders>
          </w:tcPr>
          <w:p>
            <w:pPr>
              <w:spacing w:line="360" w:lineRule="auto"/>
              <w:ind w:left="960" w:hanging="960" w:hanging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址：增城区荔城街园圃路4号</w:t>
            </w:r>
          </w:p>
        </w:tc>
        <w:tc>
          <w:tcPr>
            <w:tcW w:w="4608" w:type="dxa"/>
            <w:tcBorders>
              <w:left w:val="nil"/>
            </w:tcBorders>
          </w:tcPr>
          <w:p>
            <w:pPr>
              <w:spacing w:line="360" w:lineRule="auto"/>
              <w:ind w:left="1200" w:hanging="1200" w:hangingChars="5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651" w:hRule="atLeast"/>
        </w:trPr>
        <w:tc>
          <w:tcPr>
            <w:tcW w:w="4712" w:type="dxa"/>
            <w:tcBorders>
              <w:righ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tc>
        <w:tc>
          <w:tcPr>
            <w:tcW w:w="4608" w:type="dxa"/>
            <w:tcBorders>
              <w:lef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670" w:hRule="atLeast"/>
        </w:trPr>
        <w:tc>
          <w:tcPr>
            <w:tcW w:w="4712" w:type="dxa"/>
            <w:tcBorders>
              <w:righ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编：</w:t>
            </w:r>
          </w:p>
        </w:tc>
        <w:tc>
          <w:tcPr>
            <w:tcW w:w="4608" w:type="dxa"/>
            <w:tcBorders>
              <w:lef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编：</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651" w:hRule="atLeast"/>
        </w:trPr>
        <w:tc>
          <w:tcPr>
            <w:tcW w:w="4712" w:type="dxa"/>
            <w:tcBorders>
              <w:righ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p>
        </w:tc>
        <w:tc>
          <w:tcPr>
            <w:tcW w:w="4608" w:type="dxa"/>
            <w:tcBorders>
              <w:lef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670" w:hRule="atLeast"/>
        </w:trPr>
        <w:tc>
          <w:tcPr>
            <w:tcW w:w="4712" w:type="dxa"/>
            <w:tcBorders>
              <w:righ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p>
        </w:tc>
        <w:tc>
          <w:tcPr>
            <w:tcW w:w="4608" w:type="dxa"/>
            <w:tcBorders>
              <w:lef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651" w:hRule="atLeast"/>
        </w:trPr>
        <w:tc>
          <w:tcPr>
            <w:tcW w:w="4712" w:type="dxa"/>
            <w:tcBorders>
              <w:righ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4608" w:type="dxa"/>
            <w:tcBorders>
              <w:lef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670" w:hRule="atLeast"/>
        </w:trPr>
        <w:tc>
          <w:tcPr>
            <w:tcW w:w="4712" w:type="dxa"/>
            <w:tcBorders>
              <w:righ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p>
        </w:tc>
        <w:tc>
          <w:tcPr>
            <w:tcW w:w="4608" w:type="dxa"/>
            <w:tcBorders>
              <w:left w:val="nil"/>
            </w:tcBorders>
          </w:tcPr>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p>
        </w:tc>
      </w:tr>
    </w:tbl>
    <w:p>
      <w:pPr>
        <w:rPr>
          <w:rFonts w:asciiTheme="minorEastAsia" w:hAnsiTheme="minorEastAsia" w:eastAsiaTheme="minorEastAsia" w:cstheme="minorEastAsia"/>
          <w:color w:val="auto"/>
          <w:sz w:val="24"/>
          <w:szCs w:val="24"/>
          <w:highlight w:val="none"/>
        </w:rPr>
      </w:pPr>
    </w:p>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4"/>
        <w:rPr>
          <w:color w:val="auto"/>
          <w:highlight w:val="none"/>
        </w:rPr>
      </w:pPr>
    </w:p>
    <w:p>
      <w:pPr>
        <w:pStyle w:val="3"/>
        <w:keepNext w:val="0"/>
        <w:keepLines w:val="0"/>
        <w:spacing w:before="0" w:after="0" w:line="240" w:lineRule="atLeast"/>
        <w:jc w:val="center"/>
        <w:rPr>
          <w:rFonts w:ascii="宋体" w:cs="宋体"/>
          <w:color w:val="auto"/>
          <w:highlight w:val="none"/>
        </w:rPr>
      </w:pPr>
      <w:bookmarkStart w:id="202" w:name="_Toc2222"/>
      <w:r>
        <w:rPr>
          <w:rFonts w:hint="eastAsia" w:ascii="宋体" w:cs="宋体"/>
          <w:color w:val="auto"/>
          <w:highlight w:val="none"/>
        </w:rPr>
        <w:t>第二卷</w:t>
      </w:r>
      <w:bookmarkEnd w:id="202"/>
    </w:p>
    <w:p>
      <w:pPr>
        <w:rPr>
          <w:rFonts w:ascii="宋体" w:eastAsia="宋体" w:cs="宋体"/>
          <w:color w:val="auto"/>
          <w:highlight w:val="none"/>
        </w:rPr>
      </w:pPr>
    </w:p>
    <w:p>
      <w:pPr>
        <w:pStyle w:val="3"/>
        <w:keepNext w:val="0"/>
        <w:keepLines w:val="0"/>
        <w:spacing w:before="0" w:after="0" w:line="240" w:lineRule="atLeast"/>
        <w:jc w:val="center"/>
        <w:rPr>
          <w:rFonts w:ascii="宋体" w:cs="宋体"/>
          <w:color w:val="auto"/>
          <w:highlight w:val="none"/>
        </w:rPr>
      </w:pPr>
      <w:bookmarkStart w:id="203" w:name="_Toc17299"/>
      <w:r>
        <w:rPr>
          <w:rFonts w:hint="eastAsia" w:ascii="宋体" w:cs="宋体"/>
          <w:color w:val="auto"/>
          <w:highlight w:val="none"/>
        </w:rPr>
        <w:t>第五章委托人要求</w:t>
      </w:r>
      <w:bookmarkEnd w:id="189"/>
      <w:bookmarkEnd w:id="190"/>
      <w:bookmarkEnd w:id="191"/>
      <w:bookmarkEnd w:id="192"/>
      <w:bookmarkEnd w:id="203"/>
    </w:p>
    <w:p>
      <w:pPr>
        <w:rPr>
          <w:rFonts w:ascii="宋体" w:eastAsia="宋体"/>
          <w:color w:val="auto"/>
          <w:highlight w:val="none"/>
        </w:rPr>
      </w:pPr>
    </w:p>
    <w:p>
      <w:pPr>
        <w:rPr>
          <w:rFonts w:ascii="宋体" w:eastAsia="宋体"/>
          <w:color w:val="auto"/>
          <w:highlight w:val="none"/>
        </w:rPr>
      </w:pP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一、施工图审查阶段：</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（1）审查施工图是否符合《工程建设标准强制性条文》和其他涉及公共安全、公共利益和工程建设强制性标准；</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审查勘察文件提供的设计参数是否详细、准确、合理，基础方案是否经济合理、可行，其结论与建议是否存在安全隐患；工程勘察成果报告是否达到国家规定的深度及是否满足设计要求；是否按照批准的初步设计文件进行施工图设计，施工图是否达到规定的深度要求；</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（3）审查施工图中建筑物及构筑物的稳定性、安全性审查，包括地基基础和主体结构体系是否安全、可靠；</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（4）审查施工图是否符合防洪、消防、节能、环保、抗震、卫生等有关强制性标准、规范；</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（5）审查施工图是否满足符合公众利益；</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（6）审查设计单位资质、执业情况、设计文件签字盖章等是否符合国家、省、市勘察设计有关资质、市场管理、注册执业制度等方面的法律、法规和规章的规定；</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（7）审查项目中已确定的示范工程、绿色建筑、专项技术应用等业主需求的落实情况；</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（8）审查各项目、各专业深化设计图纸；</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（9）绿色建筑等其它法律、法规、规章规定必须审查的内容；</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（10）国家、省、市建设主管部门规定的其他审查内容；</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（11）招标人要求审查的其他内容。</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（12）出具施工图审查证明文件。</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二、施工阶段：</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（1）根据甲方需求及项目推进情况对施工过程中发现的技术问题作出合规性评价；</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（2）根据甲方需求及项目推进情况施工过程中对设计变更作出合规性评价；</w:t>
      </w:r>
    </w:p>
    <w:p>
      <w:pPr>
        <w:spacing w:line="360" w:lineRule="auto"/>
        <w:ind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（3）根据甲方需求及项目推进情况参加项目施工方案、施工组织设计审查。</w:t>
      </w:r>
    </w:p>
    <w:p>
      <w:pPr>
        <w:widowControl/>
        <w:spacing w:line="360" w:lineRule="auto"/>
        <w:ind w:firstLine="480" w:firstLineChars="200"/>
        <w:rPr>
          <w:rFonts w:ascii="宋体" w:eastAsia="宋体" w:cs="宋体"/>
          <w:color w:val="auto"/>
          <w:sz w:val="24"/>
          <w:szCs w:val="24"/>
          <w:highlight w:val="none"/>
          <w:u w:val="single"/>
        </w:rPr>
      </w:pPr>
      <w:r>
        <w:rPr>
          <w:rFonts w:hint="eastAsia" w:ascii="宋体" w:eastAsia="宋体" w:cs="宋体"/>
          <w:color w:val="auto"/>
          <w:sz w:val="24"/>
          <w:szCs w:val="24"/>
          <w:highlight w:val="none"/>
        </w:rPr>
        <w:t>三、</w:t>
      </w:r>
      <w:r>
        <w:rPr>
          <w:rFonts w:hint="eastAsia" w:ascii="宋体" w:eastAsia="宋体" w:cs="宋体"/>
          <w:color w:val="auto"/>
          <w:sz w:val="24"/>
          <w:szCs w:val="24"/>
          <w:highlight w:val="none"/>
          <w:u w:val="single"/>
        </w:rPr>
        <w:t>施工图审查主要内容（包括但不限于）：</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 xml:space="preserve">（1）有关施工图设计文件（包括目录、图纸、施工验收标准、签署、出图章等）完整性和深度的审核； </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（2）有关设计依据（包括工程地质勘察报告）、采用的设计规范、标准的完整性和准确性的审核；</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（3）有关使用功能、安全可靠和质量要求是否得到满足，是否符合批准的初步设计，是否达到国家有关规定的设计深度的审核；</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（4）应对计算书进行审核：主要是计算原则、模型、程序、公式、参数的选用是否合适，是否符合规范要求，输入数据是否准确；</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（5）施工图审查中需对勘察大纲、各专业设计图纸进行必要的会审，重点审查各专业设计之间的衔接和设计文件问题；</w:t>
      </w:r>
    </w:p>
    <w:p>
      <w:pPr>
        <w:widowControl/>
        <w:spacing w:line="360" w:lineRule="auto"/>
        <w:ind w:firstLine="537" w:firstLineChars="224"/>
        <w:rPr>
          <w:rFonts w:ascii="宋体" w:eastAsia="宋体" w:cs="宋体"/>
          <w:color w:val="auto"/>
          <w:sz w:val="24"/>
          <w:szCs w:val="24"/>
          <w:highlight w:val="none"/>
          <w:u w:val="single"/>
        </w:rPr>
      </w:pPr>
      <w:r>
        <w:rPr>
          <w:rFonts w:hint="eastAsia" w:ascii="宋体" w:eastAsia="宋体" w:cs="宋体"/>
          <w:color w:val="auto"/>
          <w:sz w:val="24"/>
          <w:szCs w:val="24"/>
          <w:highlight w:val="none"/>
          <w:u w:val="single"/>
        </w:rPr>
        <w:t>（6）国家和地方有关法令、法规、规章所规定的施工图审查工作必须完成的工作内容；</w:t>
      </w:r>
    </w:p>
    <w:p>
      <w:pPr>
        <w:spacing w:line="360" w:lineRule="auto"/>
        <w:ind w:firstLine="480"/>
        <w:rPr>
          <w:rFonts w:ascii="宋体" w:eastAsia="宋体" w:cs="宋体"/>
          <w:color w:val="auto"/>
          <w:sz w:val="24"/>
          <w:szCs w:val="24"/>
          <w:highlight w:val="none"/>
        </w:rPr>
      </w:pPr>
      <w:r>
        <w:rPr>
          <w:rFonts w:hint="eastAsia" w:ascii="宋体" w:eastAsia="宋体" w:cs="宋体"/>
          <w:color w:val="auto"/>
          <w:sz w:val="24"/>
          <w:szCs w:val="24"/>
          <w:highlight w:val="none"/>
          <w:u w:val="single"/>
        </w:rPr>
        <w:t>（7）建设方要求审查的其他内容（包括但不限于：设计变更）。</w:t>
      </w:r>
    </w:p>
    <w:p>
      <w:pPr>
        <w:spacing w:line="360" w:lineRule="auto"/>
        <w:ind w:firstLine="480"/>
        <w:rPr>
          <w:rFonts w:ascii="宋体" w:eastAsia="宋体" w:cs="宋体"/>
          <w:color w:val="auto"/>
          <w:sz w:val="24"/>
          <w:szCs w:val="24"/>
          <w:highlight w:val="none"/>
        </w:rPr>
      </w:pPr>
      <w:r>
        <w:rPr>
          <w:rFonts w:hint="eastAsia" w:ascii="宋体" w:eastAsia="宋体" w:cs="宋体"/>
          <w:color w:val="auto"/>
          <w:sz w:val="24"/>
          <w:szCs w:val="24"/>
          <w:highlight w:val="none"/>
        </w:rPr>
        <w:t>四、施工图审查报告份数要求：</w:t>
      </w:r>
    </w:p>
    <w:p>
      <w:pPr>
        <w:spacing w:line="360" w:lineRule="auto"/>
        <w:ind w:firstLine="480"/>
        <w:rPr>
          <w:rFonts w:ascii="宋体" w:eastAsia="宋体" w:cs="宋体"/>
          <w:color w:val="auto"/>
          <w:sz w:val="24"/>
          <w:szCs w:val="24"/>
          <w:highlight w:val="none"/>
        </w:rPr>
      </w:pPr>
      <w:r>
        <w:rPr>
          <w:rFonts w:hint="eastAsia" w:ascii="宋体" w:eastAsia="宋体" w:cs="宋体"/>
          <w:color w:val="auto"/>
          <w:sz w:val="24"/>
          <w:szCs w:val="24"/>
          <w:highlight w:val="none"/>
        </w:rPr>
        <w:t>各阶段正式施工图审查报告不少于8份，业主有权根据工程需要增加份数，无需另行支付费用。</w:t>
      </w:r>
    </w:p>
    <w:p>
      <w:pPr>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五、施工图审查人员要求:</w:t>
      </w:r>
    </w:p>
    <w:p>
      <w:pPr>
        <w:spacing w:line="360" w:lineRule="auto"/>
        <w:ind w:firstLine="480"/>
        <w:rPr>
          <w:rFonts w:ascii="宋体" w:eastAsia="宋体" w:cs="宋体"/>
          <w:color w:val="auto"/>
          <w:sz w:val="24"/>
          <w:szCs w:val="24"/>
          <w:highlight w:val="none"/>
        </w:rPr>
      </w:pPr>
      <w:r>
        <w:rPr>
          <w:rFonts w:hint="eastAsia" w:ascii="宋体" w:eastAsia="宋体" w:cs="宋体"/>
          <w:color w:val="auto"/>
          <w:sz w:val="24"/>
          <w:szCs w:val="24"/>
          <w:highlight w:val="none"/>
        </w:rPr>
        <w:t>施工图审查人员应满足国家相关规定，有良好的职业道德，未因违反工程建设法律法规和强制性标准受到行政处罚。具体专业和数量详见招标文件。</w:t>
      </w:r>
    </w:p>
    <w:p>
      <w:pPr>
        <w:widowControl/>
        <w:jc w:val="left"/>
        <w:rPr>
          <w:rFonts w:ascii="宋体" w:eastAsia="宋体" w:cs="宋体"/>
          <w:b/>
          <w:color w:val="auto"/>
          <w:kern w:val="44"/>
          <w:sz w:val="44"/>
          <w:szCs w:val="20"/>
          <w:highlight w:val="none"/>
        </w:rPr>
      </w:pPr>
      <w:r>
        <w:rPr>
          <w:rFonts w:ascii="宋体" w:eastAsia="宋体" w:cs="宋体"/>
          <w:color w:val="auto"/>
          <w:highlight w:val="none"/>
        </w:rPr>
        <w:br w:type="page"/>
      </w:r>
    </w:p>
    <w:p>
      <w:pPr>
        <w:pStyle w:val="3"/>
        <w:keepNext w:val="0"/>
        <w:keepLines w:val="0"/>
        <w:jc w:val="center"/>
        <w:rPr>
          <w:rFonts w:ascii="宋体" w:cs="宋体"/>
          <w:color w:val="auto"/>
          <w:highlight w:val="none"/>
        </w:rPr>
      </w:pPr>
      <w:bookmarkStart w:id="204" w:name="_Toc27768"/>
      <w:r>
        <w:rPr>
          <w:rFonts w:hint="eastAsia" w:ascii="宋体" w:cs="宋体"/>
          <w:color w:val="auto"/>
          <w:highlight w:val="none"/>
        </w:rPr>
        <w:t>第三卷</w:t>
      </w:r>
      <w:bookmarkEnd w:id="204"/>
    </w:p>
    <w:p>
      <w:pPr>
        <w:pStyle w:val="3"/>
        <w:keepNext w:val="0"/>
        <w:keepLines w:val="0"/>
        <w:jc w:val="center"/>
        <w:rPr>
          <w:rFonts w:ascii="宋体" w:cs="宋体"/>
          <w:color w:val="auto"/>
          <w:highlight w:val="none"/>
        </w:rPr>
      </w:pPr>
      <w:bookmarkStart w:id="205" w:name="_Toc2877"/>
      <w:r>
        <w:rPr>
          <w:rFonts w:hint="eastAsia" w:ascii="宋体" w:cs="宋体"/>
          <w:color w:val="auto"/>
          <w:highlight w:val="none"/>
        </w:rPr>
        <w:t>第六章投标文件格式</w:t>
      </w:r>
      <w:bookmarkEnd w:id="205"/>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sectPr>
          <w:headerReference r:id="rId6" w:type="default"/>
          <w:footerReference r:id="rId7" w:type="default"/>
          <w:type w:val="nextColumn"/>
          <w:pgSz w:w="11907" w:h="16840"/>
          <w:pgMar w:top="1440" w:right="1514" w:bottom="1440" w:left="1514" w:header="720" w:footer="720" w:gutter="0"/>
          <w:cols w:space="0" w:num="1"/>
          <w:docGrid w:linePitch="285" w:charSpace="0"/>
        </w:sect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400" w:lineRule="exact"/>
        <w:rPr>
          <w:rFonts w:ascii="宋体" w:eastAsia="宋体" w:cs="宋体"/>
          <w:color w:val="auto"/>
          <w:highlight w:val="none"/>
        </w:rPr>
      </w:pPr>
    </w:p>
    <w:p>
      <w:pPr>
        <w:spacing w:line="360" w:lineRule="auto"/>
        <w:jc w:val="center"/>
        <w:rPr>
          <w:rFonts w:ascii="宋体" w:eastAsia="宋体" w:cs="宋体"/>
          <w:color w:val="auto"/>
          <w:sz w:val="48"/>
          <w:szCs w:val="48"/>
          <w:highlight w:val="none"/>
          <w:u w:val="single"/>
        </w:rPr>
      </w:pPr>
      <w:r>
        <w:rPr>
          <w:rFonts w:hint="eastAsia" w:ascii="宋体" w:eastAsia="宋体" w:cs="宋体"/>
          <w:color w:val="auto"/>
          <w:sz w:val="48"/>
          <w:szCs w:val="48"/>
          <w:highlight w:val="none"/>
          <w:u w:val="single"/>
        </w:rPr>
        <w:t>增城国家级开发区中新园区基础设施配套中新下沉式再生水厂项目</w:t>
      </w:r>
    </w:p>
    <w:p>
      <w:pPr>
        <w:spacing w:line="360" w:lineRule="auto"/>
        <w:jc w:val="center"/>
        <w:rPr>
          <w:rFonts w:ascii="宋体" w:eastAsia="宋体" w:cs="宋体"/>
          <w:color w:val="auto"/>
          <w:sz w:val="48"/>
          <w:szCs w:val="48"/>
          <w:highlight w:val="none"/>
          <w:u w:val="single"/>
        </w:rPr>
      </w:pPr>
      <w:r>
        <w:rPr>
          <w:rFonts w:hint="eastAsia" w:ascii="宋体" w:eastAsia="宋体" w:cs="宋体"/>
          <w:color w:val="auto"/>
          <w:sz w:val="48"/>
          <w:szCs w:val="48"/>
          <w:highlight w:val="none"/>
          <w:u w:val="single"/>
        </w:rPr>
        <w:t>施工图审查</w:t>
      </w: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rPr>
          <w:rFonts w:ascii="宋体" w:eastAsia="宋体" w:cs="宋体"/>
          <w:color w:val="auto"/>
          <w:sz w:val="20"/>
          <w:highlight w:val="none"/>
        </w:rPr>
      </w:pPr>
    </w:p>
    <w:p>
      <w:pPr>
        <w:jc w:val="center"/>
        <w:rPr>
          <w:rFonts w:ascii="宋体" w:eastAsia="宋体" w:cs="宋体"/>
          <w:color w:val="auto"/>
          <w:sz w:val="52"/>
          <w:szCs w:val="52"/>
          <w:highlight w:val="none"/>
        </w:rPr>
      </w:pPr>
      <w:r>
        <w:rPr>
          <w:rFonts w:hint="eastAsia" w:ascii="宋体" w:eastAsia="宋体" w:cs="宋体"/>
          <w:color w:val="auto"/>
          <w:sz w:val="52"/>
          <w:szCs w:val="52"/>
          <w:highlight w:val="none"/>
        </w:rPr>
        <w:t>投 标 文 件</w:t>
      </w:r>
    </w:p>
    <w:p>
      <w:pPr>
        <w:jc w:val="center"/>
        <w:rPr>
          <w:rFonts w:ascii="宋体" w:eastAsia="宋体" w:cs="宋体"/>
          <w:color w:val="auto"/>
          <w:sz w:val="44"/>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rPr>
          <w:rFonts w:ascii="宋体" w:eastAsia="宋体" w:cs="宋体"/>
          <w:color w:val="auto"/>
          <w:sz w:val="28"/>
          <w:highlight w:val="none"/>
        </w:rPr>
      </w:pPr>
    </w:p>
    <w:p>
      <w:pPr>
        <w:spacing w:line="360" w:lineRule="auto"/>
        <w:rPr>
          <w:rFonts w:ascii="宋体" w:eastAsia="宋体" w:cs="宋体"/>
          <w:color w:val="auto"/>
          <w:sz w:val="28"/>
          <w:highlight w:val="none"/>
        </w:rPr>
      </w:pPr>
    </w:p>
    <w:p>
      <w:pPr>
        <w:spacing w:line="360" w:lineRule="auto"/>
        <w:ind w:firstLine="1200" w:firstLineChars="400"/>
        <w:rPr>
          <w:rFonts w:ascii="宋体" w:eastAsia="宋体" w:cs="宋体"/>
          <w:color w:val="auto"/>
          <w:sz w:val="30"/>
          <w:szCs w:val="30"/>
          <w:highlight w:val="none"/>
          <w:u w:val="single"/>
        </w:rPr>
      </w:pPr>
      <w:r>
        <w:rPr>
          <w:rFonts w:hint="eastAsia" w:ascii="宋体" w:eastAsia="宋体" w:cs="宋体"/>
          <w:color w:val="auto"/>
          <w:sz w:val="30"/>
          <w:szCs w:val="30"/>
          <w:highlight w:val="none"/>
        </w:rPr>
        <w:t>投标人：</w:t>
      </w:r>
      <w:r>
        <w:rPr>
          <w:rFonts w:hint="eastAsia" w:ascii="宋体" w:eastAsia="宋体" w:cs="宋体"/>
          <w:color w:val="auto"/>
          <w:sz w:val="30"/>
          <w:szCs w:val="30"/>
          <w:highlight w:val="none"/>
          <w:u w:val="single"/>
        </w:rPr>
        <w:t xml:space="preserve">                   </w:t>
      </w:r>
      <w:r>
        <w:rPr>
          <w:rFonts w:hint="eastAsia" w:ascii="宋体" w:eastAsia="宋体" w:cs="宋体"/>
          <w:color w:val="auto"/>
          <w:sz w:val="30"/>
          <w:szCs w:val="30"/>
          <w:highlight w:val="none"/>
        </w:rPr>
        <w:t>（盖单位章）</w:t>
      </w:r>
    </w:p>
    <w:p>
      <w:pPr>
        <w:spacing w:line="360" w:lineRule="auto"/>
        <w:ind w:firstLine="1200" w:firstLineChars="400"/>
        <w:jc w:val="left"/>
        <w:rPr>
          <w:rFonts w:ascii="宋体" w:eastAsia="宋体" w:cs="宋体"/>
          <w:color w:val="auto"/>
          <w:sz w:val="30"/>
          <w:szCs w:val="30"/>
          <w:highlight w:val="none"/>
        </w:rPr>
      </w:pPr>
      <w:r>
        <w:rPr>
          <w:rFonts w:hint="eastAsia" w:ascii="宋体" w:eastAsia="宋体" w:cs="宋体"/>
          <w:color w:val="auto"/>
          <w:sz w:val="30"/>
          <w:szCs w:val="30"/>
          <w:highlight w:val="none"/>
        </w:rPr>
        <w:t>法定代表人或其委托代理人：</w:t>
      </w:r>
      <w:r>
        <w:rPr>
          <w:rFonts w:hint="eastAsia" w:ascii="宋体" w:eastAsia="宋体" w:cs="宋体"/>
          <w:color w:val="auto"/>
          <w:sz w:val="30"/>
          <w:szCs w:val="30"/>
          <w:highlight w:val="none"/>
          <w:u w:val="single"/>
        </w:rPr>
        <w:t xml:space="preserve">         </w:t>
      </w:r>
      <w:r>
        <w:rPr>
          <w:rFonts w:hint="eastAsia" w:ascii="宋体" w:eastAsia="宋体" w:cs="宋体"/>
          <w:color w:val="auto"/>
          <w:sz w:val="30"/>
          <w:szCs w:val="30"/>
          <w:highlight w:val="none"/>
        </w:rPr>
        <w:t>（签字或盖章）</w:t>
      </w:r>
    </w:p>
    <w:p>
      <w:pPr>
        <w:spacing w:line="400" w:lineRule="exact"/>
        <w:ind w:firstLine="2400" w:firstLineChars="800"/>
        <w:rPr>
          <w:rFonts w:ascii="宋体" w:eastAsia="宋体" w:cs="宋体"/>
          <w:color w:val="auto"/>
          <w:sz w:val="30"/>
          <w:szCs w:val="30"/>
          <w:highlight w:val="none"/>
        </w:rPr>
      </w:pPr>
      <w:r>
        <w:rPr>
          <w:rFonts w:hint="eastAsia" w:ascii="宋体" w:eastAsia="宋体" w:cs="宋体"/>
          <w:color w:val="auto"/>
          <w:sz w:val="30"/>
          <w:szCs w:val="30"/>
          <w:highlight w:val="none"/>
          <w:u w:val="single"/>
        </w:rPr>
        <w:t xml:space="preserve">      </w:t>
      </w:r>
      <w:r>
        <w:rPr>
          <w:rFonts w:hint="eastAsia" w:ascii="宋体" w:eastAsia="宋体" w:cs="宋体"/>
          <w:color w:val="auto"/>
          <w:sz w:val="30"/>
          <w:szCs w:val="30"/>
          <w:highlight w:val="none"/>
        </w:rPr>
        <w:t>年</w:t>
      </w:r>
      <w:r>
        <w:rPr>
          <w:rFonts w:hint="eastAsia" w:ascii="宋体" w:eastAsia="宋体" w:cs="宋体"/>
          <w:color w:val="auto"/>
          <w:sz w:val="30"/>
          <w:szCs w:val="30"/>
          <w:highlight w:val="none"/>
          <w:u w:val="single"/>
        </w:rPr>
        <w:t xml:space="preserve">    </w:t>
      </w:r>
      <w:r>
        <w:rPr>
          <w:rFonts w:hint="eastAsia" w:ascii="宋体" w:eastAsia="宋体" w:cs="宋体"/>
          <w:color w:val="auto"/>
          <w:sz w:val="30"/>
          <w:szCs w:val="30"/>
          <w:highlight w:val="none"/>
        </w:rPr>
        <w:t>月</w:t>
      </w:r>
      <w:r>
        <w:rPr>
          <w:rFonts w:hint="eastAsia" w:ascii="宋体" w:eastAsia="宋体" w:cs="宋体"/>
          <w:color w:val="auto"/>
          <w:sz w:val="30"/>
          <w:szCs w:val="30"/>
          <w:highlight w:val="none"/>
          <w:u w:val="single"/>
        </w:rPr>
        <w:t xml:space="preserve">   </w:t>
      </w:r>
      <w:r>
        <w:rPr>
          <w:rFonts w:hint="eastAsia" w:ascii="宋体" w:eastAsia="宋体" w:cs="宋体"/>
          <w:color w:val="auto"/>
          <w:sz w:val="30"/>
          <w:szCs w:val="30"/>
          <w:highlight w:val="none"/>
        </w:rPr>
        <w:t>日</w:t>
      </w:r>
    </w:p>
    <w:p>
      <w:pPr>
        <w:rPr>
          <w:rFonts w:ascii="宋体" w:eastAsia="宋体" w:cs="宋体"/>
          <w:color w:val="auto"/>
          <w:highlight w:val="none"/>
        </w:rPr>
      </w:pPr>
    </w:p>
    <w:p>
      <w:pPr>
        <w:rPr>
          <w:rFonts w:ascii="宋体" w:eastAsia="宋体" w:cs="宋体"/>
          <w:color w:val="auto"/>
          <w:highlight w:val="none"/>
        </w:rPr>
      </w:pPr>
    </w:p>
    <w:p>
      <w:pPr>
        <w:rPr>
          <w:rFonts w:ascii="宋体" w:eastAsia="宋体" w:cs="宋体"/>
          <w:color w:val="auto"/>
          <w:highlight w:val="none"/>
        </w:rPr>
      </w:pPr>
    </w:p>
    <w:bookmarkEnd w:id="193"/>
    <w:bookmarkEnd w:id="194"/>
    <w:bookmarkEnd w:id="195"/>
    <w:bookmarkEnd w:id="196"/>
    <w:bookmarkEnd w:id="197"/>
    <w:bookmarkEnd w:id="198"/>
    <w:bookmarkEnd w:id="199"/>
    <w:bookmarkEnd w:id="200"/>
    <w:bookmarkEnd w:id="201"/>
    <w:p>
      <w:pPr>
        <w:keepNext/>
        <w:spacing w:line="360" w:lineRule="auto"/>
        <w:jc w:val="center"/>
        <w:outlineLvl w:val="1"/>
        <w:rPr>
          <w:rFonts w:ascii="宋体" w:eastAsia="宋体" w:cs="Arial"/>
          <w:b/>
          <w:bCs/>
          <w:color w:val="auto"/>
          <w:kern w:val="0"/>
          <w:sz w:val="32"/>
          <w:szCs w:val="32"/>
          <w:highlight w:val="none"/>
        </w:rPr>
      </w:pPr>
      <w:bookmarkStart w:id="206" w:name="_Toc24829"/>
      <w:bookmarkStart w:id="207" w:name="_Toc12288"/>
      <w:r>
        <w:rPr>
          <w:rFonts w:hint="eastAsia" w:ascii="宋体" w:eastAsia="宋体" w:cs="Arial"/>
          <w:b/>
          <w:bCs/>
          <w:color w:val="auto"/>
          <w:kern w:val="0"/>
          <w:sz w:val="32"/>
          <w:szCs w:val="32"/>
          <w:highlight w:val="none"/>
        </w:rPr>
        <w:t>目录</w:t>
      </w:r>
      <w:bookmarkEnd w:id="206"/>
      <w:bookmarkEnd w:id="207"/>
    </w:p>
    <w:p>
      <w:pPr>
        <w:spacing w:line="360" w:lineRule="auto"/>
        <w:ind w:left="959" w:leftChars="228" w:hanging="480" w:hangingChars="200"/>
        <w:rPr>
          <w:rFonts w:ascii="宋体" w:eastAsia="宋体" w:cs="宋体"/>
          <w:color w:val="auto"/>
          <w:sz w:val="24"/>
          <w:szCs w:val="24"/>
          <w:highlight w:val="none"/>
        </w:rPr>
      </w:pPr>
    </w:p>
    <w:p>
      <w:pPr>
        <w:numPr>
          <w:ilvl w:val="0"/>
          <w:numId w:val="7"/>
        </w:numPr>
        <w:tabs>
          <w:tab w:val="left" w:pos="0"/>
        </w:tabs>
        <w:spacing w:line="360" w:lineRule="auto"/>
        <w:ind w:left="210" w:leftChars="100" w:right="-21" w:rightChars="-10" w:firstLine="0"/>
        <w:jc w:val="left"/>
        <w:rPr>
          <w:rFonts w:ascii="宋体" w:eastAsia="宋体"/>
          <w:color w:val="auto"/>
          <w:sz w:val="30"/>
          <w:szCs w:val="30"/>
          <w:highlight w:val="none"/>
        </w:rPr>
      </w:pPr>
      <w:r>
        <w:rPr>
          <w:rFonts w:hint="eastAsia" w:ascii="宋体" w:eastAsia="宋体"/>
          <w:color w:val="auto"/>
          <w:spacing w:val="-2"/>
          <w:position w:val="-1"/>
          <w:sz w:val="30"/>
          <w:szCs w:val="30"/>
          <w:highlight w:val="none"/>
        </w:rPr>
        <w:t>投</w:t>
      </w:r>
      <w:r>
        <w:rPr>
          <w:rFonts w:hint="eastAsia" w:ascii="宋体" w:eastAsia="宋体"/>
          <w:color w:val="auto"/>
          <w:position w:val="-1"/>
          <w:sz w:val="30"/>
          <w:szCs w:val="30"/>
          <w:highlight w:val="none"/>
        </w:rPr>
        <w:t>标</w:t>
      </w:r>
      <w:r>
        <w:rPr>
          <w:rFonts w:hint="eastAsia" w:ascii="宋体" w:eastAsia="宋体"/>
          <w:color w:val="auto"/>
          <w:spacing w:val="-2"/>
          <w:position w:val="-1"/>
          <w:sz w:val="30"/>
          <w:szCs w:val="30"/>
          <w:highlight w:val="none"/>
        </w:rPr>
        <w:t>函</w:t>
      </w:r>
      <w:r>
        <w:rPr>
          <w:rFonts w:hint="eastAsia" w:ascii="宋体" w:eastAsia="宋体"/>
          <w:color w:val="auto"/>
          <w:position w:val="-1"/>
          <w:sz w:val="30"/>
          <w:szCs w:val="30"/>
          <w:highlight w:val="none"/>
        </w:rPr>
        <w:t>及</w:t>
      </w:r>
      <w:r>
        <w:rPr>
          <w:rFonts w:hint="eastAsia" w:ascii="宋体" w:eastAsia="宋体"/>
          <w:color w:val="auto"/>
          <w:spacing w:val="-2"/>
          <w:position w:val="-1"/>
          <w:sz w:val="30"/>
          <w:szCs w:val="30"/>
          <w:highlight w:val="none"/>
        </w:rPr>
        <w:t>投</w:t>
      </w:r>
      <w:r>
        <w:rPr>
          <w:rFonts w:hint="eastAsia" w:ascii="宋体" w:eastAsia="宋体"/>
          <w:color w:val="auto"/>
          <w:position w:val="-1"/>
          <w:sz w:val="30"/>
          <w:szCs w:val="30"/>
          <w:highlight w:val="none"/>
        </w:rPr>
        <w:t>标</w:t>
      </w:r>
      <w:r>
        <w:rPr>
          <w:rFonts w:hint="eastAsia" w:ascii="宋体" w:eastAsia="宋体"/>
          <w:color w:val="auto"/>
          <w:spacing w:val="-2"/>
          <w:position w:val="-1"/>
          <w:sz w:val="30"/>
          <w:szCs w:val="30"/>
          <w:highlight w:val="none"/>
        </w:rPr>
        <w:t>函</w:t>
      </w:r>
      <w:r>
        <w:rPr>
          <w:rFonts w:hint="eastAsia" w:ascii="宋体" w:eastAsia="宋体"/>
          <w:color w:val="auto"/>
          <w:position w:val="-1"/>
          <w:sz w:val="30"/>
          <w:szCs w:val="30"/>
          <w:highlight w:val="none"/>
        </w:rPr>
        <w:t>附录</w:t>
      </w:r>
    </w:p>
    <w:p>
      <w:pPr>
        <w:numPr>
          <w:ilvl w:val="0"/>
          <w:numId w:val="7"/>
        </w:numPr>
        <w:tabs>
          <w:tab w:val="left" w:pos="0"/>
        </w:tabs>
        <w:spacing w:line="360" w:lineRule="auto"/>
        <w:ind w:left="210" w:leftChars="100" w:right="31" w:rightChars="15"/>
        <w:jc w:val="left"/>
        <w:rPr>
          <w:rFonts w:ascii="宋体" w:eastAsia="宋体"/>
          <w:color w:val="auto"/>
          <w:sz w:val="30"/>
          <w:szCs w:val="30"/>
          <w:highlight w:val="none"/>
        </w:rPr>
      </w:pPr>
      <w:r>
        <w:rPr>
          <w:rFonts w:hint="eastAsia" w:ascii="宋体" w:eastAsia="宋体"/>
          <w:color w:val="auto"/>
          <w:spacing w:val="-2"/>
          <w:sz w:val="30"/>
          <w:szCs w:val="30"/>
          <w:highlight w:val="none"/>
        </w:rPr>
        <w:t>法</w:t>
      </w:r>
      <w:r>
        <w:rPr>
          <w:rFonts w:hint="eastAsia" w:ascii="宋体" w:eastAsia="宋体"/>
          <w:color w:val="auto"/>
          <w:sz w:val="30"/>
          <w:szCs w:val="30"/>
          <w:highlight w:val="none"/>
        </w:rPr>
        <w:t>定</w:t>
      </w:r>
      <w:r>
        <w:rPr>
          <w:rFonts w:hint="eastAsia" w:ascii="宋体" w:eastAsia="宋体"/>
          <w:color w:val="auto"/>
          <w:spacing w:val="-2"/>
          <w:sz w:val="30"/>
          <w:szCs w:val="30"/>
          <w:highlight w:val="none"/>
        </w:rPr>
        <w:t>代</w:t>
      </w:r>
      <w:r>
        <w:rPr>
          <w:rFonts w:hint="eastAsia" w:ascii="宋体" w:eastAsia="宋体"/>
          <w:color w:val="auto"/>
          <w:sz w:val="30"/>
          <w:szCs w:val="30"/>
          <w:highlight w:val="none"/>
        </w:rPr>
        <w:t>表</w:t>
      </w:r>
      <w:r>
        <w:rPr>
          <w:rFonts w:hint="eastAsia" w:ascii="宋体" w:eastAsia="宋体"/>
          <w:color w:val="auto"/>
          <w:spacing w:val="-2"/>
          <w:sz w:val="30"/>
          <w:szCs w:val="30"/>
          <w:highlight w:val="none"/>
        </w:rPr>
        <w:t>人</w:t>
      </w:r>
      <w:r>
        <w:rPr>
          <w:rFonts w:hint="eastAsia" w:ascii="宋体" w:eastAsia="宋体"/>
          <w:color w:val="auto"/>
          <w:sz w:val="30"/>
          <w:szCs w:val="30"/>
          <w:highlight w:val="none"/>
        </w:rPr>
        <w:t>身</w:t>
      </w:r>
      <w:r>
        <w:rPr>
          <w:rFonts w:hint="eastAsia" w:ascii="宋体" w:eastAsia="宋体"/>
          <w:color w:val="auto"/>
          <w:spacing w:val="-2"/>
          <w:sz w:val="30"/>
          <w:szCs w:val="30"/>
          <w:highlight w:val="none"/>
        </w:rPr>
        <w:t>份</w:t>
      </w:r>
      <w:r>
        <w:rPr>
          <w:rFonts w:hint="eastAsia" w:ascii="宋体" w:eastAsia="宋体"/>
          <w:color w:val="auto"/>
          <w:sz w:val="30"/>
          <w:szCs w:val="30"/>
          <w:highlight w:val="none"/>
        </w:rPr>
        <w:t>证</w:t>
      </w:r>
      <w:r>
        <w:rPr>
          <w:rFonts w:hint="eastAsia" w:ascii="宋体" w:eastAsia="宋体"/>
          <w:color w:val="auto"/>
          <w:spacing w:val="-2"/>
          <w:sz w:val="30"/>
          <w:szCs w:val="30"/>
          <w:highlight w:val="none"/>
        </w:rPr>
        <w:t>明</w:t>
      </w:r>
      <w:r>
        <w:rPr>
          <w:rFonts w:hint="eastAsia" w:ascii="宋体" w:eastAsia="宋体"/>
          <w:color w:val="auto"/>
          <w:sz w:val="30"/>
          <w:szCs w:val="30"/>
          <w:highlight w:val="none"/>
        </w:rPr>
        <w:t>、</w:t>
      </w:r>
      <w:r>
        <w:rPr>
          <w:rFonts w:hint="eastAsia" w:ascii="宋体" w:eastAsia="宋体"/>
          <w:color w:val="auto"/>
          <w:spacing w:val="-2"/>
          <w:sz w:val="30"/>
          <w:szCs w:val="30"/>
          <w:highlight w:val="none"/>
        </w:rPr>
        <w:t>授</w:t>
      </w:r>
      <w:r>
        <w:rPr>
          <w:rFonts w:hint="eastAsia" w:ascii="宋体" w:eastAsia="宋体"/>
          <w:color w:val="auto"/>
          <w:sz w:val="30"/>
          <w:szCs w:val="30"/>
          <w:highlight w:val="none"/>
        </w:rPr>
        <w:t>权</w:t>
      </w:r>
      <w:r>
        <w:rPr>
          <w:rFonts w:hint="eastAsia" w:ascii="宋体" w:eastAsia="宋体"/>
          <w:color w:val="auto"/>
          <w:spacing w:val="-2"/>
          <w:sz w:val="30"/>
          <w:szCs w:val="30"/>
          <w:highlight w:val="none"/>
        </w:rPr>
        <w:t>委</w:t>
      </w:r>
      <w:r>
        <w:rPr>
          <w:rFonts w:hint="eastAsia" w:ascii="宋体" w:eastAsia="宋体"/>
          <w:color w:val="auto"/>
          <w:sz w:val="30"/>
          <w:szCs w:val="30"/>
          <w:highlight w:val="none"/>
        </w:rPr>
        <w:t>托</w:t>
      </w:r>
      <w:r>
        <w:rPr>
          <w:rFonts w:hint="eastAsia" w:ascii="宋体" w:eastAsia="宋体"/>
          <w:color w:val="auto"/>
          <w:spacing w:val="-2"/>
          <w:sz w:val="30"/>
          <w:szCs w:val="30"/>
          <w:highlight w:val="none"/>
        </w:rPr>
        <w:t>书</w:t>
      </w:r>
    </w:p>
    <w:p>
      <w:pPr>
        <w:numPr>
          <w:ilvl w:val="0"/>
          <w:numId w:val="7"/>
        </w:numPr>
        <w:tabs>
          <w:tab w:val="left" w:pos="0"/>
        </w:tabs>
        <w:spacing w:line="360" w:lineRule="auto"/>
        <w:ind w:left="210" w:leftChars="100" w:right="3389" w:rightChars="1614"/>
        <w:jc w:val="left"/>
        <w:rPr>
          <w:rFonts w:ascii="宋体" w:eastAsia="宋体"/>
          <w:color w:val="auto"/>
          <w:spacing w:val="-2"/>
          <w:sz w:val="30"/>
          <w:szCs w:val="30"/>
          <w:highlight w:val="none"/>
        </w:rPr>
      </w:pPr>
      <w:r>
        <w:rPr>
          <w:rFonts w:hint="eastAsia" w:ascii="宋体" w:eastAsia="宋体"/>
          <w:color w:val="auto"/>
          <w:spacing w:val="-2"/>
          <w:sz w:val="30"/>
          <w:szCs w:val="30"/>
          <w:highlight w:val="none"/>
        </w:rPr>
        <w:t xml:space="preserve">投标保证金 </w:t>
      </w:r>
    </w:p>
    <w:p>
      <w:pPr>
        <w:numPr>
          <w:ilvl w:val="0"/>
          <w:numId w:val="7"/>
        </w:numPr>
        <w:tabs>
          <w:tab w:val="left" w:pos="0"/>
        </w:tabs>
        <w:spacing w:line="360" w:lineRule="auto"/>
        <w:ind w:left="210" w:leftChars="100" w:right="3389" w:rightChars="1614"/>
        <w:jc w:val="left"/>
        <w:rPr>
          <w:rFonts w:ascii="宋体" w:eastAsia="宋体"/>
          <w:color w:val="auto"/>
          <w:spacing w:val="-2"/>
          <w:sz w:val="30"/>
          <w:szCs w:val="30"/>
          <w:highlight w:val="none"/>
        </w:rPr>
      </w:pPr>
      <w:r>
        <w:rPr>
          <w:rFonts w:hint="eastAsia" w:ascii="宋体" w:eastAsia="宋体"/>
          <w:color w:val="auto"/>
          <w:spacing w:val="-2"/>
          <w:sz w:val="30"/>
          <w:szCs w:val="30"/>
          <w:highlight w:val="none"/>
        </w:rPr>
        <w:t xml:space="preserve">资格审查资料 </w:t>
      </w:r>
    </w:p>
    <w:p>
      <w:pPr>
        <w:numPr>
          <w:ilvl w:val="0"/>
          <w:numId w:val="7"/>
        </w:numPr>
        <w:tabs>
          <w:tab w:val="left" w:pos="0"/>
        </w:tabs>
        <w:spacing w:line="360" w:lineRule="auto"/>
        <w:ind w:left="210" w:leftChars="100" w:right="3389" w:rightChars="1614"/>
        <w:jc w:val="left"/>
        <w:rPr>
          <w:rFonts w:ascii="宋体" w:eastAsia="宋体"/>
          <w:color w:val="auto"/>
          <w:spacing w:val="-2"/>
          <w:sz w:val="30"/>
          <w:szCs w:val="30"/>
          <w:highlight w:val="none"/>
        </w:rPr>
      </w:pPr>
      <w:r>
        <w:rPr>
          <w:rFonts w:hint="eastAsia" w:ascii="宋体" w:eastAsia="宋体"/>
          <w:color w:val="auto"/>
          <w:spacing w:val="-2"/>
          <w:sz w:val="30"/>
          <w:szCs w:val="30"/>
          <w:highlight w:val="none"/>
        </w:rPr>
        <w:t>施工图审查技术方案</w:t>
      </w:r>
    </w:p>
    <w:p>
      <w:pPr>
        <w:numPr>
          <w:ilvl w:val="0"/>
          <w:numId w:val="7"/>
        </w:numPr>
        <w:tabs>
          <w:tab w:val="left" w:pos="0"/>
        </w:tabs>
        <w:spacing w:line="360" w:lineRule="auto"/>
        <w:ind w:left="210" w:leftChars="100" w:right="31" w:rightChars="15"/>
        <w:jc w:val="left"/>
        <w:rPr>
          <w:rFonts w:ascii="宋体" w:eastAsia="宋体"/>
          <w:color w:val="auto"/>
          <w:spacing w:val="-2"/>
          <w:sz w:val="30"/>
          <w:szCs w:val="30"/>
          <w:highlight w:val="none"/>
        </w:rPr>
      </w:pPr>
      <w:r>
        <w:rPr>
          <w:rFonts w:hint="eastAsia" w:ascii="宋体" w:eastAsia="宋体"/>
          <w:color w:val="auto"/>
          <w:spacing w:val="-2"/>
          <w:sz w:val="30"/>
          <w:szCs w:val="30"/>
          <w:highlight w:val="none"/>
        </w:rPr>
        <w:t>其他资料</w:t>
      </w:r>
    </w:p>
    <w:p>
      <w:pPr>
        <w:spacing w:line="360" w:lineRule="auto"/>
        <w:rPr>
          <w:rFonts w:ascii="宋体" w:eastAsia="宋体" w:cs="宋体"/>
          <w:color w:val="auto"/>
          <w:sz w:val="24"/>
          <w:szCs w:val="24"/>
          <w:highlight w:val="none"/>
        </w:rPr>
      </w:pPr>
    </w:p>
    <w:p>
      <w:pPr>
        <w:keepNext/>
        <w:spacing w:line="420" w:lineRule="exact"/>
        <w:outlineLvl w:val="1"/>
        <w:rPr>
          <w:rFonts w:ascii="宋体" w:eastAsia="宋体" w:cs="Arial"/>
          <w:b/>
          <w:bCs/>
          <w:color w:val="auto"/>
          <w:kern w:val="0"/>
          <w:sz w:val="24"/>
          <w:szCs w:val="24"/>
          <w:highlight w:val="none"/>
        </w:rPr>
      </w:pPr>
      <w:r>
        <w:rPr>
          <w:rFonts w:hint="eastAsia" w:ascii="宋体" w:eastAsia="宋体" w:cs="Arial"/>
          <w:b/>
          <w:bCs/>
          <w:color w:val="auto"/>
          <w:kern w:val="0"/>
          <w:sz w:val="24"/>
          <w:szCs w:val="24"/>
          <w:highlight w:val="none"/>
        </w:rPr>
        <w:br w:type="page"/>
      </w:r>
      <w:bookmarkStart w:id="208" w:name="_Toc5680"/>
      <w:bookmarkStart w:id="209" w:name="_Toc21557"/>
      <w:r>
        <w:rPr>
          <w:rFonts w:hint="eastAsia" w:ascii="宋体" w:eastAsia="宋体" w:cs="Arial"/>
          <w:b/>
          <w:bCs/>
          <w:color w:val="auto"/>
          <w:kern w:val="0"/>
          <w:sz w:val="24"/>
          <w:szCs w:val="24"/>
          <w:highlight w:val="none"/>
        </w:rPr>
        <w:t>格式一：投标函及投标函附录</w:t>
      </w:r>
      <w:bookmarkEnd w:id="208"/>
      <w:bookmarkEnd w:id="209"/>
    </w:p>
    <w:p>
      <w:pPr>
        <w:keepNext/>
        <w:spacing w:line="420" w:lineRule="exact"/>
        <w:ind w:firstLine="136"/>
        <w:outlineLvl w:val="2"/>
        <w:rPr>
          <w:rFonts w:ascii="宋体" w:eastAsia="宋体" w:cs="宋体"/>
          <w:b/>
          <w:bCs/>
          <w:color w:val="auto"/>
          <w:kern w:val="0"/>
          <w:sz w:val="32"/>
          <w:szCs w:val="32"/>
          <w:highlight w:val="none"/>
        </w:rPr>
      </w:pPr>
      <w:bookmarkStart w:id="210" w:name="_Toc31123"/>
      <w:bookmarkStart w:id="211" w:name="_Toc7974"/>
      <w:r>
        <w:rPr>
          <w:rFonts w:hint="eastAsia" w:ascii="宋体" w:eastAsia="宋体" w:cs="宋体"/>
          <w:b/>
          <w:bCs/>
          <w:color w:val="auto"/>
          <w:kern w:val="0"/>
          <w:sz w:val="32"/>
          <w:szCs w:val="32"/>
          <w:highlight w:val="none"/>
        </w:rPr>
        <w:t>（一）投标函</w:t>
      </w:r>
      <w:bookmarkEnd w:id="210"/>
      <w:bookmarkEnd w:id="211"/>
    </w:p>
    <w:p>
      <w:pPr>
        <w:spacing w:line="400" w:lineRule="exact"/>
        <w:jc w:val="center"/>
        <w:rPr>
          <w:rFonts w:ascii="宋体" w:eastAsia="宋体" w:cs="宋体"/>
          <w:color w:val="auto"/>
          <w:szCs w:val="21"/>
          <w:highlight w:val="none"/>
        </w:rPr>
      </w:pPr>
      <w:r>
        <w:rPr>
          <w:rFonts w:ascii="宋体" w:eastAsia="宋体" w:cs="宋体"/>
          <w:b/>
          <w:color w:val="auto"/>
          <w:sz w:val="32"/>
          <w:szCs w:val="32"/>
          <w:highlight w:val="none"/>
        </w:rPr>
        <w:t>投标函</w:t>
      </w:r>
    </w:p>
    <w:p>
      <w:pPr>
        <w:adjustRightInd w:val="0"/>
        <w:snapToGrid w:val="0"/>
        <w:spacing w:before="72" w:beforeLines="30" w:line="400" w:lineRule="exact"/>
        <w:rPr>
          <w:rFonts w:ascii="宋体" w:eastAsia="宋体" w:cs="宋体"/>
          <w:color w:val="auto"/>
          <w:sz w:val="24"/>
          <w:szCs w:val="24"/>
          <w:highlight w:val="none"/>
        </w:rPr>
      </w:pPr>
      <w:r>
        <w:rPr>
          <w:rFonts w:ascii="宋体" w:eastAsia="宋体" w:cs="宋体"/>
          <w:color w:val="auto"/>
          <w:sz w:val="24"/>
          <w:szCs w:val="24"/>
          <w:highlight w:val="none"/>
        </w:rPr>
        <w:t>致：</w:t>
      </w:r>
      <w:r>
        <w:rPr>
          <w:rFonts w:ascii="宋体" w:eastAsia="宋体" w:cs="宋体"/>
          <w:bCs/>
          <w:color w:val="auto"/>
          <w:sz w:val="24"/>
          <w:szCs w:val="24"/>
          <w:highlight w:val="none"/>
          <w:u w:val="single"/>
        </w:rPr>
        <w:t>（招标人）</w:t>
      </w:r>
    </w:p>
    <w:p>
      <w:pPr>
        <w:adjustRightInd w:val="0"/>
        <w:snapToGrid w:val="0"/>
        <w:spacing w:before="72" w:beforeLines="30" w:line="400" w:lineRule="exact"/>
        <w:ind w:left="118" w:leftChars="56" w:firstLine="480" w:firstLineChars="200"/>
        <w:rPr>
          <w:rFonts w:ascii="宋体" w:eastAsia="宋体" w:cs="宋体"/>
          <w:color w:val="auto"/>
          <w:sz w:val="24"/>
          <w:szCs w:val="24"/>
          <w:highlight w:val="none"/>
        </w:rPr>
      </w:pPr>
      <w:r>
        <w:rPr>
          <w:rFonts w:ascii="宋体" w:eastAsia="宋体" w:cs="宋体"/>
          <w:color w:val="auto"/>
          <w:sz w:val="24"/>
          <w:szCs w:val="24"/>
          <w:highlight w:val="none"/>
        </w:rPr>
        <w:t>根据贵方</w:t>
      </w:r>
      <w:r>
        <w:rPr>
          <w:rFonts w:ascii="宋体" w:eastAsia="宋体" w:cs="宋体"/>
          <w:color w:val="auto"/>
          <w:sz w:val="24"/>
          <w:szCs w:val="24"/>
          <w:highlight w:val="none"/>
          <w:u w:val="single"/>
        </w:rPr>
        <w:t>（项目名称）</w:t>
      </w:r>
      <w:r>
        <w:rPr>
          <w:rFonts w:ascii="宋体" w:eastAsia="宋体" w:cs="宋体"/>
          <w:color w:val="auto"/>
          <w:sz w:val="24"/>
          <w:szCs w:val="24"/>
          <w:highlight w:val="none"/>
        </w:rPr>
        <w:t>的招标文件要求，</w:t>
      </w:r>
      <w:r>
        <w:rPr>
          <w:rFonts w:ascii="宋体" w:eastAsia="宋体" w:cs="宋体"/>
          <w:color w:val="auto"/>
          <w:sz w:val="24"/>
          <w:szCs w:val="24"/>
          <w:highlight w:val="none"/>
          <w:u w:val="single"/>
        </w:rPr>
        <w:t>（全名及职衔）</w:t>
      </w:r>
      <w:r>
        <w:rPr>
          <w:rFonts w:ascii="宋体" w:eastAsia="宋体" w:cs="宋体"/>
          <w:color w:val="auto"/>
          <w:sz w:val="24"/>
          <w:szCs w:val="24"/>
          <w:highlight w:val="none"/>
        </w:rPr>
        <w:t>经正式授权并以投标人</w:t>
      </w:r>
      <w:r>
        <w:rPr>
          <w:rFonts w:ascii="宋体" w:eastAsia="宋体" w:cs="宋体"/>
          <w:color w:val="auto"/>
          <w:sz w:val="24"/>
          <w:szCs w:val="24"/>
          <w:highlight w:val="none"/>
          <w:u w:val="single"/>
        </w:rPr>
        <w:t>（投标人名称）</w:t>
      </w:r>
      <w:r>
        <w:rPr>
          <w:rFonts w:ascii="宋体" w:eastAsia="宋体" w:cs="宋体"/>
          <w:color w:val="auto"/>
          <w:sz w:val="24"/>
          <w:szCs w:val="24"/>
          <w:highlight w:val="none"/>
        </w:rPr>
        <w:t>的名义参加项目的投标，提交投标文件。签字代表在此声明并同意：</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我方愿意遵守招标人招标文件的各项规定，提供符合“招标文件”所要求的</w:t>
      </w:r>
      <w:r>
        <w:rPr>
          <w:rFonts w:ascii="宋体" w:eastAsia="宋体" w:cs="宋体"/>
          <w:color w:val="auto"/>
          <w:sz w:val="24"/>
          <w:szCs w:val="24"/>
          <w:highlight w:val="none"/>
          <w:u w:val="single"/>
        </w:rPr>
        <w:t>（项目名称）</w:t>
      </w:r>
      <w:r>
        <w:rPr>
          <w:rFonts w:ascii="宋体" w:eastAsia="宋体" w:cs="宋体"/>
          <w:color w:val="auto"/>
          <w:sz w:val="24"/>
          <w:szCs w:val="24"/>
          <w:highlight w:val="none"/>
        </w:rPr>
        <w:t>成果。</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1.我方同意本投标自投标截止日起90天内保持有效（</w:t>
      </w:r>
      <w:r>
        <w:rPr>
          <w:rFonts w:ascii="宋体" w:eastAsia="宋体" w:cs="宋体"/>
          <w:color w:val="auto"/>
          <w:sz w:val="24"/>
          <w:szCs w:val="24"/>
          <w:highlight w:val="none"/>
          <w:u w:val="single"/>
        </w:rPr>
        <w:t>如出现异议或投诉，则投标有效期自动延长至异议或投诉处理结束</w:t>
      </w:r>
      <w:r>
        <w:rPr>
          <w:rFonts w:ascii="宋体" w:eastAsia="宋体" w:cs="宋体"/>
          <w:color w:val="auto"/>
          <w:sz w:val="24"/>
          <w:szCs w:val="24"/>
          <w:highlight w:val="none"/>
        </w:rPr>
        <w:t>）。如中标，则有效期延至招标合同执行期满时止。</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2.我方已经详细地阅读了全部招标文件及附件，包括澄清补充通知及参考文件（如果有的话），我方完全清晰理解招标文件的要求，不存在任何含糊不清和误解之处，同意放弃对这些文件提出异议和质疑的权利。</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3.我方同意提供招标人要求的有关投标的其他资料、数据或信息。</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4.我方承诺在本次投标中提供的一切资料和文件，无论是原件或是复印件均为真实、准确无误和有效的，绝无任何虚假、伪造和夸大的成份；否则，我方愿意承担相应的后果和法律责任。</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5.我方完全理解，评标委员会及招标人并无义务必须接受最低报价的投标或其它任何投标。</w:t>
      </w:r>
    </w:p>
    <w:p>
      <w:pPr>
        <w:adjustRightInd w:val="0"/>
        <w:snapToGrid w:val="0"/>
        <w:spacing w:before="72" w:beforeLines="30" w:line="400" w:lineRule="exact"/>
        <w:ind w:firstLine="420"/>
        <w:rPr>
          <w:rFonts w:ascii="宋体" w:eastAsia="宋体" w:cs="宋体"/>
          <w:color w:val="auto"/>
          <w:sz w:val="24"/>
          <w:szCs w:val="24"/>
          <w:highlight w:val="none"/>
          <w:u w:val="single"/>
        </w:rPr>
      </w:pPr>
      <w:r>
        <w:rPr>
          <w:rFonts w:ascii="宋体" w:eastAsia="宋体" w:cs="宋体"/>
          <w:color w:val="auto"/>
          <w:sz w:val="24"/>
          <w:szCs w:val="24"/>
          <w:highlight w:val="none"/>
        </w:rPr>
        <w:t>6.我方如果中标，保证履行投标文件中承诺的全部责任和义务，切实履行政府招标合同中的全部条款，</w:t>
      </w:r>
      <w:r>
        <w:rPr>
          <w:rFonts w:ascii="宋体" w:eastAsia="宋体" w:cs="宋体"/>
          <w:b/>
          <w:color w:val="auto"/>
          <w:sz w:val="24"/>
          <w:szCs w:val="24"/>
          <w:highlight w:val="none"/>
          <w:u w:val="single"/>
        </w:rPr>
        <w:t>并按照招标文件规定要求向市广州公共资源交易中心一次性足额缴纳交易服务费</w:t>
      </w:r>
      <w:r>
        <w:rPr>
          <w:rFonts w:ascii="宋体" w:eastAsia="宋体" w:cs="宋体"/>
          <w:color w:val="auto"/>
          <w:sz w:val="24"/>
          <w:szCs w:val="24"/>
          <w:highlight w:val="none"/>
          <w:u w:val="single"/>
        </w:rPr>
        <w:t>。</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7.所有有关本次投标的函电请寄：</w:t>
      </w:r>
      <w:r>
        <w:rPr>
          <w:rFonts w:ascii="宋体" w:eastAsia="宋体" w:cs="宋体"/>
          <w:color w:val="auto"/>
          <w:sz w:val="24"/>
          <w:szCs w:val="24"/>
          <w:highlight w:val="none"/>
          <w:u w:val="single"/>
        </w:rPr>
        <w:t>（地址及邮编）</w:t>
      </w:r>
    </w:p>
    <w:p>
      <w:pPr>
        <w:adjustRightInd w:val="0"/>
        <w:snapToGrid w:val="0"/>
        <w:spacing w:before="72" w:beforeLines="30" w:line="400" w:lineRule="exact"/>
        <w:ind w:firstLine="420"/>
        <w:rPr>
          <w:rFonts w:ascii="宋体" w:eastAsia="宋体" w:cs="宋体"/>
          <w:color w:val="auto"/>
          <w:sz w:val="24"/>
          <w:szCs w:val="24"/>
          <w:highlight w:val="none"/>
        </w:rPr>
      </w:pPr>
      <w:r>
        <w:rPr>
          <w:rFonts w:ascii="宋体" w:eastAsia="宋体" w:cs="宋体"/>
          <w:color w:val="auto"/>
          <w:sz w:val="24"/>
          <w:szCs w:val="24"/>
          <w:highlight w:val="none"/>
        </w:rPr>
        <w:t>8.我方如果中标，如存在与所审查项目的建设单位、勘察设计企业有隶属光系或者其他利害关系的，我方将自愿放弃本施工图审查项目的中标资格，并不追究任何经济及法律责任。</w:t>
      </w:r>
    </w:p>
    <w:p>
      <w:pPr>
        <w:adjustRightInd w:val="0"/>
        <w:snapToGrid w:val="0"/>
        <w:spacing w:before="72" w:beforeLines="30" w:line="400" w:lineRule="exact"/>
        <w:ind w:firstLine="480" w:firstLineChars="200"/>
        <w:rPr>
          <w:rFonts w:ascii="宋体" w:eastAsia="宋体" w:cs="宋体"/>
          <w:color w:val="auto"/>
          <w:sz w:val="24"/>
          <w:szCs w:val="24"/>
          <w:highlight w:val="none"/>
        </w:rPr>
      </w:pPr>
      <w:r>
        <w:rPr>
          <w:rFonts w:ascii="宋体" w:eastAsia="宋体" w:cs="宋体"/>
          <w:color w:val="auto"/>
          <w:sz w:val="24"/>
          <w:szCs w:val="24"/>
          <w:highlight w:val="none"/>
        </w:rPr>
        <w:t>投标单位（盖公章）：</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p>
    <w:p>
      <w:pPr>
        <w:spacing w:line="400" w:lineRule="exact"/>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法定代表人或授权委托人（签字或盖章）</w:t>
      </w:r>
      <w:r>
        <w:rPr>
          <w:rFonts w:hint="eastAsia" w:ascii="宋体" w:eastAsia="宋体" w:cs="宋体"/>
          <w:color w:val="auto"/>
          <w:sz w:val="24"/>
          <w:szCs w:val="24"/>
          <w:highlight w:val="none"/>
        </w:rPr>
        <w:t>：</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p>
    <w:p>
      <w:pPr>
        <w:spacing w:line="400" w:lineRule="exact"/>
        <w:ind w:right="-108" w:firstLine="480" w:firstLineChars="200"/>
        <w:rPr>
          <w:rFonts w:ascii="宋体" w:eastAsia="宋体"/>
          <w:color w:val="auto"/>
          <w:sz w:val="24"/>
          <w:szCs w:val="24"/>
          <w:highlight w:val="none"/>
          <w:u w:val="single"/>
        </w:rPr>
      </w:pPr>
      <w:r>
        <w:rPr>
          <w:rFonts w:ascii="宋体" w:eastAsia="宋体" w:cs="宋体"/>
          <w:color w:val="auto"/>
          <w:sz w:val="24"/>
          <w:szCs w:val="24"/>
          <w:highlight w:val="none"/>
        </w:rPr>
        <w:t>电话：</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p>
    <w:p>
      <w:pPr>
        <w:spacing w:line="400" w:lineRule="exact"/>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传真：</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p>
    <w:p>
      <w:pPr>
        <w:spacing w:line="400" w:lineRule="exact"/>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日期：</w:t>
      </w:r>
      <w:r>
        <w:rPr>
          <w:rFonts w:hint="eastAsia"/>
          <w:color w:val="auto"/>
          <w:sz w:val="24"/>
          <w:szCs w:val="24"/>
          <w:highlight w:val="none"/>
          <w:u w:val="single"/>
        </w:rPr>
        <w:t xml:space="preserve">    </w:t>
      </w:r>
      <w:r>
        <w:rPr>
          <w:rFonts w:ascii="宋体" w:eastAsia="宋体"/>
          <w:color w:val="auto"/>
          <w:sz w:val="24"/>
          <w:szCs w:val="24"/>
          <w:highlight w:val="none"/>
        </w:rPr>
        <w:t>年</w:t>
      </w:r>
      <w:r>
        <w:rPr>
          <w:rFonts w:hint="eastAsia"/>
          <w:color w:val="auto"/>
          <w:sz w:val="24"/>
          <w:szCs w:val="24"/>
          <w:highlight w:val="none"/>
          <w:u w:val="single"/>
        </w:rPr>
        <w:t xml:space="preserve">   </w:t>
      </w:r>
      <w:r>
        <w:rPr>
          <w:rFonts w:ascii="宋体" w:eastAsia="宋体"/>
          <w:color w:val="auto"/>
          <w:sz w:val="24"/>
          <w:szCs w:val="24"/>
          <w:highlight w:val="none"/>
        </w:rPr>
        <w:t>月</w:t>
      </w:r>
      <w:r>
        <w:rPr>
          <w:rFonts w:hint="eastAsia"/>
          <w:color w:val="auto"/>
          <w:sz w:val="24"/>
          <w:szCs w:val="24"/>
          <w:highlight w:val="none"/>
          <w:u w:val="single"/>
        </w:rPr>
        <w:t xml:space="preserve">   </w:t>
      </w:r>
      <w:r>
        <w:rPr>
          <w:rFonts w:ascii="宋体" w:eastAsia="宋体" w:cs="宋体"/>
          <w:color w:val="auto"/>
          <w:sz w:val="24"/>
          <w:szCs w:val="24"/>
          <w:highlight w:val="none"/>
        </w:rPr>
        <w:t>日</w:t>
      </w:r>
    </w:p>
    <w:p>
      <w:pPr>
        <w:keepNext/>
        <w:spacing w:before="260" w:after="260" w:line="415" w:lineRule="auto"/>
        <w:ind w:firstLine="137"/>
        <w:outlineLvl w:val="2"/>
        <w:rPr>
          <w:rFonts w:ascii="宋体" w:eastAsia="宋体" w:cs="宋体"/>
          <w:b/>
          <w:bCs/>
          <w:color w:val="auto"/>
          <w:kern w:val="0"/>
          <w:sz w:val="32"/>
          <w:szCs w:val="32"/>
          <w:highlight w:val="none"/>
        </w:rPr>
      </w:pPr>
      <w:r>
        <w:rPr>
          <w:rFonts w:ascii="宋体" w:eastAsia="宋体" w:cs="宋体"/>
          <w:b/>
          <w:bCs/>
          <w:color w:val="auto"/>
          <w:kern w:val="0"/>
          <w:sz w:val="32"/>
          <w:szCs w:val="32"/>
          <w:highlight w:val="none"/>
        </w:rPr>
        <w:br w:type="page"/>
      </w:r>
      <w:bookmarkStart w:id="212" w:name="_Toc26344"/>
      <w:bookmarkStart w:id="213" w:name="_Toc17365"/>
      <w:r>
        <w:rPr>
          <w:rFonts w:hint="eastAsia" w:ascii="宋体" w:eastAsia="宋体" w:cs="宋体"/>
          <w:b/>
          <w:bCs/>
          <w:color w:val="auto"/>
          <w:kern w:val="0"/>
          <w:sz w:val="32"/>
          <w:szCs w:val="32"/>
          <w:highlight w:val="none"/>
        </w:rPr>
        <w:t>（二）投标函附录</w:t>
      </w:r>
      <w:bookmarkEnd w:id="212"/>
      <w:bookmarkEnd w:id="213"/>
    </w:p>
    <w:p>
      <w:pPr>
        <w:spacing w:line="360" w:lineRule="auto"/>
        <w:jc w:val="center"/>
        <w:rPr>
          <w:rFonts w:ascii="宋体" w:eastAsia="宋体" w:cs="宋体"/>
          <w:b/>
          <w:color w:val="auto"/>
          <w:sz w:val="32"/>
          <w:szCs w:val="32"/>
          <w:highlight w:val="none"/>
        </w:rPr>
      </w:pPr>
      <w:r>
        <w:rPr>
          <w:rFonts w:hint="eastAsia" w:ascii="宋体" w:eastAsia="宋体" w:cs="宋体"/>
          <w:b/>
          <w:color w:val="auto"/>
          <w:sz w:val="32"/>
          <w:szCs w:val="32"/>
          <w:highlight w:val="none"/>
        </w:rPr>
        <w:t>投标报价格式</w:t>
      </w:r>
    </w:p>
    <w:tbl>
      <w:tblPr>
        <w:tblStyle w:val="46"/>
        <w:tblW w:w="8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2617"/>
        <w:gridCol w:w="1966"/>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项目名称</w:t>
            </w:r>
          </w:p>
        </w:tc>
        <w:tc>
          <w:tcPr>
            <w:tcW w:w="6764" w:type="dxa"/>
            <w:gridSpan w:val="3"/>
            <w:vAlign w:val="center"/>
          </w:tcPr>
          <w:p>
            <w:pPr>
              <w:snapToGrid w:val="0"/>
              <w:spacing w:line="420" w:lineRule="exact"/>
              <w:ind w:right="482"/>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投标人名称（盖章）</w:t>
            </w:r>
          </w:p>
        </w:tc>
        <w:tc>
          <w:tcPr>
            <w:tcW w:w="6764" w:type="dxa"/>
            <w:gridSpan w:val="3"/>
            <w:vAlign w:val="center"/>
          </w:tcPr>
          <w:p>
            <w:pPr>
              <w:snapToGrid w:val="0"/>
              <w:spacing w:line="420" w:lineRule="exact"/>
              <w:ind w:right="482"/>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投标下浮率</w:t>
            </w:r>
          </w:p>
        </w:tc>
        <w:tc>
          <w:tcPr>
            <w:tcW w:w="6764" w:type="dxa"/>
            <w:gridSpan w:val="3"/>
            <w:vAlign w:val="center"/>
          </w:tcPr>
          <w:p>
            <w:pPr>
              <w:spacing w:line="440" w:lineRule="exact"/>
              <w:jc w:val="left"/>
              <w:rPr>
                <w:rFonts w:ascii="宋体" w:eastAsia="宋体" w:cs="宋体"/>
                <w:bCs/>
                <w:color w:val="auto"/>
                <w:sz w:val="24"/>
                <w:szCs w:val="24"/>
                <w:highlight w:val="none"/>
              </w:rPr>
            </w:pPr>
            <w:r>
              <w:rPr>
                <w:rFonts w:hint="eastAsia" w:ascii="宋体" w:eastAsia="宋体" w:cs="宋体"/>
                <w:bCs/>
                <w:color w:val="auto"/>
                <w:sz w:val="24"/>
                <w:szCs w:val="24"/>
                <w:highlight w:val="none"/>
              </w:rPr>
              <w:t>下浮率大写：百分之【  】</w:t>
            </w:r>
          </w:p>
          <w:p>
            <w:pPr>
              <w:spacing w:line="440" w:lineRule="exact"/>
              <w:jc w:val="left"/>
              <w:rPr>
                <w:rFonts w:ascii="宋体" w:cs="宋体"/>
                <w:color w:val="auto"/>
                <w:szCs w:val="24"/>
                <w:highlight w:val="none"/>
              </w:rPr>
            </w:pPr>
            <w:r>
              <w:rPr>
                <w:rFonts w:hint="eastAsia" w:ascii="宋体" w:eastAsia="宋体" w:cs="宋体"/>
                <w:bCs/>
                <w:color w:val="auto"/>
                <w:sz w:val="24"/>
                <w:szCs w:val="24"/>
                <w:highlight w:val="none"/>
              </w:rPr>
              <w:t>小写：</w:t>
            </w:r>
            <w:r>
              <w:rPr>
                <w:rFonts w:hint="eastAsia" w:ascii="宋体" w:eastAsia="宋体" w:cs="宋体"/>
                <w:bCs/>
                <w:color w:val="auto"/>
                <w:sz w:val="24"/>
                <w:szCs w:val="24"/>
                <w:highlight w:val="none"/>
                <w:u w:val="single"/>
              </w:rPr>
              <w:t xml:space="preserve">    </w:t>
            </w:r>
            <w:r>
              <w:rPr>
                <w:rFonts w:hint="eastAsia" w:asci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投标报价</w:t>
            </w:r>
          </w:p>
        </w:tc>
        <w:tc>
          <w:tcPr>
            <w:tcW w:w="6764" w:type="dxa"/>
            <w:gridSpan w:val="3"/>
            <w:vAlign w:val="center"/>
          </w:tcPr>
          <w:p>
            <w:pPr>
              <w:spacing w:line="440" w:lineRule="exact"/>
              <w:jc w:val="left"/>
              <w:rPr>
                <w:rFonts w:ascii="宋体" w:eastAsia="宋体" w:cs="宋体"/>
                <w:bCs/>
                <w:color w:val="auto"/>
                <w:sz w:val="24"/>
                <w:szCs w:val="24"/>
                <w:highlight w:val="none"/>
              </w:rPr>
            </w:pPr>
            <w:r>
              <w:rPr>
                <w:rFonts w:hint="eastAsia" w:ascii="宋体" w:eastAsia="宋体" w:cs="宋体"/>
                <w:bCs/>
                <w:color w:val="auto"/>
                <w:sz w:val="24"/>
                <w:szCs w:val="24"/>
                <w:highlight w:val="none"/>
              </w:rPr>
              <w:t>小写：￥</w:t>
            </w:r>
            <w:r>
              <w:rPr>
                <w:rFonts w:hint="eastAsia" w:ascii="宋体" w:eastAsia="宋体" w:cs="宋体"/>
                <w:bCs/>
                <w:color w:val="auto"/>
                <w:kern w:val="0"/>
                <w:sz w:val="24"/>
                <w:szCs w:val="24"/>
                <w:highlight w:val="none"/>
                <w:u w:val="single"/>
              </w:rPr>
              <w:t xml:space="preserve">         </w:t>
            </w:r>
            <w:r>
              <w:rPr>
                <w:rFonts w:hint="eastAsia" w:ascii="宋体" w:eastAsia="宋体" w:cs="宋体"/>
                <w:bCs/>
                <w:color w:val="auto"/>
                <w:sz w:val="24"/>
                <w:szCs w:val="24"/>
                <w:highlight w:val="none"/>
              </w:rPr>
              <w:t>元</w:t>
            </w:r>
          </w:p>
          <w:p>
            <w:pPr>
              <w:spacing w:line="440" w:lineRule="exact"/>
              <w:rPr>
                <w:rFonts w:ascii="宋体" w:eastAsia="宋体" w:cs="宋体"/>
                <w:b/>
                <w:color w:val="auto"/>
                <w:sz w:val="24"/>
                <w:szCs w:val="24"/>
                <w:highlight w:val="none"/>
              </w:rPr>
            </w:pPr>
            <w:r>
              <w:rPr>
                <w:rFonts w:hint="eastAsia" w:ascii="宋体" w:eastAsia="宋体" w:cs="宋体"/>
                <w:bCs/>
                <w:color w:val="auto"/>
                <w:sz w:val="24"/>
                <w:szCs w:val="24"/>
                <w:highlight w:val="none"/>
              </w:rPr>
              <w:t>大写：</w:t>
            </w:r>
            <w:r>
              <w:rPr>
                <w:rFonts w:hint="eastAsia" w:ascii="宋体" w:eastAsia="宋体" w:cs="宋体"/>
                <w:bCs/>
                <w:color w:val="auto"/>
                <w:kern w:val="0"/>
                <w:sz w:val="24"/>
                <w:szCs w:val="24"/>
                <w:highlight w:val="none"/>
                <w:u w:val="single"/>
              </w:rPr>
              <w:t xml:space="preserve">           </w:t>
            </w:r>
            <w:r>
              <w:rPr>
                <w:rFonts w:hint="eastAsia" w:ascii="宋体" w:eastAsia="宋体" w:cs="宋体"/>
                <w:bCs/>
                <w:color w:val="auto"/>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服务期限</w:t>
            </w:r>
          </w:p>
        </w:tc>
        <w:tc>
          <w:tcPr>
            <w:tcW w:w="6764" w:type="dxa"/>
            <w:gridSpan w:val="3"/>
            <w:vAlign w:val="center"/>
          </w:tcPr>
          <w:p>
            <w:pPr>
              <w:snapToGrid w:val="0"/>
              <w:spacing w:line="420" w:lineRule="exact"/>
              <w:ind w:right="482"/>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jc w:val="center"/>
        </w:trPr>
        <w:tc>
          <w:tcPr>
            <w:tcW w:w="2075" w:type="dxa"/>
            <w:vMerge w:val="restart"/>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拟委派的项目负责人姓名</w:t>
            </w:r>
          </w:p>
        </w:tc>
        <w:tc>
          <w:tcPr>
            <w:tcW w:w="2617" w:type="dxa"/>
            <w:vAlign w:val="center"/>
          </w:tcPr>
          <w:p>
            <w:pPr>
              <w:jc w:val="center"/>
              <w:rPr>
                <w:rFonts w:ascii="宋体" w:eastAsia="宋体"/>
                <w:color w:val="auto"/>
                <w:sz w:val="24"/>
                <w:szCs w:val="24"/>
                <w:highlight w:val="none"/>
              </w:rPr>
            </w:pPr>
            <w:r>
              <w:rPr>
                <w:rFonts w:hint="eastAsia" w:ascii="宋体" w:eastAsia="宋体" w:cs="宋体"/>
                <w:color w:val="auto"/>
                <w:sz w:val="24"/>
                <w:szCs w:val="24"/>
                <w:highlight w:val="none"/>
              </w:rPr>
              <w:t>姓名</w:t>
            </w:r>
          </w:p>
        </w:tc>
        <w:tc>
          <w:tcPr>
            <w:tcW w:w="4147" w:type="dxa"/>
            <w:gridSpan w:val="2"/>
            <w:vAlign w:val="center"/>
          </w:tcPr>
          <w:p>
            <w:pPr>
              <w:snapToGrid w:val="0"/>
              <w:spacing w:line="420" w:lineRule="exact"/>
              <w:ind w:right="482"/>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jc w:val="center"/>
        </w:trPr>
        <w:tc>
          <w:tcPr>
            <w:tcW w:w="2075" w:type="dxa"/>
            <w:vMerge w:val="continue"/>
            <w:vAlign w:val="center"/>
          </w:tcPr>
          <w:p>
            <w:pPr>
              <w:rPr>
                <w:color w:val="auto"/>
                <w:sz w:val="24"/>
                <w:szCs w:val="24"/>
                <w:highlight w:val="none"/>
              </w:rPr>
            </w:pPr>
          </w:p>
        </w:tc>
        <w:tc>
          <w:tcPr>
            <w:tcW w:w="2617" w:type="dxa"/>
            <w:vAlign w:val="center"/>
          </w:tcPr>
          <w:p>
            <w:pPr>
              <w:jc w:val="center"/>
              <w:rPr>
                <w:rFonts w:ascii="宋体" w:eastAsia="宋体"/>
                <w:color w:val="auto"/>
                <w:sz w:val="24"/>
                <w:szCs w:val="24"/>
                <w:highlight w:val="none"/>
              </w:rPr>
            </w:pPr>
            <w:r>
              <w:rPr>
                <w:rFonts w:hint="eastAsia" w:ascii="宋体" w:eastAsia="宋体" w:cs="宋体"/>
                <w:color w:val="auto"/>
                <w:sz w:val="24"/>
                <w:szCs w:val="24"/>
                <w:highlight w:val="none"/>
              </w:rPr>
              <w:t>职称证号</w:t>
            </w:r>
          </w:p>
        </w:tc>
        <w:tc>
          <w:tcPr>
            <w:tcW w:w="4147" w:type="dxa"/>
            <w:gridSpan w:val="2"/>
            <w:vAlign w:val="center"/>
          </w:tcPr>
          <w:p>
            <w:pPr>
              <w:snapToGrid w:val="0"/>
              <w:spacing w:line="420" w:lineRule="exact"/>
              <w:ind w:right="482"/>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jc w:val="center"/>
        </w:trPr>
        <w:tc>
          <w:tcPr>
            <w:tcW w:w="2075" w:type="dxa"/>
            <w:vMerge w:val="continue"/>
            <w:vAlign w:val="center"/>
          </w:tcPr>
          <w:p>
            <w:pPr>
              <w:rPr>
                <w:color w:val="auto"/>
                <w:sz w:val="24"/>
                <w:szCs w:val="24"/>
                <w:highlight w:val="none"/>
              </w:rPr>
            </w:pPr>
          </w:p>
        </w:tc>
        <w:tc>
          <w:tcPr>
            <w:tcW w:w="2617" w:type="dxa"/>
            <w:vAlign w:val="center"/>
          </w:tcPr>
          <w:p>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注册证号（如有）</w:t>
            </w:r>
          </w:p>
        </w:tc>
        <w:tc>
          <w:tcPr>
            <w:tcW w:w="4147" w:type="dxa"/>
            <w:gridSpan w:val="2"/>
            <w:vAlign w:val="center"/>
          </w:tcPr>
          <w:p>
            <w:pPr>
              <w:snapToGrid w:val="0"/>
              <w:spacing w:line="420" w:lineRule="exact"/>
              <w:ind w:right="482"/>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jc w:val="center"/>
        </w:trPr>
        <w:tc>
          <w:tcPr>
            <w:tcW w:w="2075"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投标人法定代表人（签名或盖章）</w:t>
            </w:r>
          </w:p>
        </w:tc>
        <w:tc>
          <w:tcPr>
            <w:tcW w:w="2617" w:type="dxa"/>
            <w:vAlign w:val="center"/>
          </w:tcPr>
          <w:p>
            <w:pPr>
              <w:snapToGrid w:val="0"/>
              <w:spacing w:line="420" w:lineRule="exact"/>
              <w:ind w:right="482"/>
              <w:jc w:val="center"/>
              <w:rPr>
                <w:rFonts w:ascii="宋体" w:eastAsia="宋体" w:cs="宋体"/>
                <w:color w:val="auto"/>
                <w:kern w:val="0"/>
                <w:sz w:val="24"/>
                <w:szCs w:val="24"/>
                <w:highlight w:val="none"/>
              </w:rPr>
            </w:pPr>
          </w:p>
        </w:tc>
        <w:tc>
          <w:tcPr>
            <w:tcW w:w="1966" w:type="dxa"/>
            <w:vAlign w:val="center"/>
          </w:tcPr>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本项目的授权</w:t>
            </w:r>
          </w:p>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委托代理人</w:t>
            </w:r>
          </w:p>
          <w:p>
            <w:pPr>
              <w:snapToGrid w:val="0"/>
              <w:spacing w:line="420" w:lineRule="exact"/>
              <w:ind w:right="-108"/>
              <w:jc w:val="center"/>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（签名或盖章）</w:t>
            </w:r>
          </w:p>
        </w:tc>
        <w:tc>
          <w:tcPr>
            <w:tcW w:w="2181" w:type="dxa"/>
            <w:vAlign w:val="center"/>
          </w:tcPr>
          <w:p>
            <w:pPr>
              <w:snapToGrid w:val="0"/>
              <w:spacing w:line="420" w:lineRule="exact"/>
              <w:ind w:right="482"/>
              <w:jc w:val="center"/>
              <w:rPr>
                <w:rFonts w:ascii="宋体" w:eastAsia="宋体" w:cs="宋体"/>
                <w:color w:val="auto"/>
                <w:kern w:val="0"/>
                <w:sz w:val="24"/>
                <w:szCs w:val="24"/>
                <w:highlight w:val="none"/>
              </w:rPr>
            </w:pPr>
          </w:p>
        </w:tc>
      </w:tr>
    </w:tbl>
    <w:p>
      <w:pPr>
        <w:spacing w:line="300" w:lineRule="exact"/>
        <w:ind w:firstLine="180" w:firstLineChars="100"/>
        <w:rPr>
          <w:rFonts w:ascii="宋体" w:eastAsia="宋体" w:cs="宋体"/>
          <w:color w:val="auto"/>
          <w:sz w:val="18"/>
          <w:szCs w:val="18"/>
          <w:highlight w:val="none"/>
        </w:rPr>
      </w:pPr>
      <w:r>
        <w:rPr>
          <w:rFonts w:hint="eastAsia" w:ascii="宋体" w:eastAsia="宋体" w:cs="宋体"/>
          <w:color w:val="auto"/>
          <w:sz w:val="18"/>
          <w:szCs w:val="18"/>
          <w:highlight w:val="none"/>
        </w:rPr>
        <w:t>说明：</w:t>
      </w:r>
    </w:p>
    <w:p>
      <w:pPr>
        <w:spacing w:line="300" w:lineRule="exact"/>
        <w:ind w:firstLine="540" w:firstLineChars="300"/>
        <w:rPr>
          <w:rFonts w:ascii="宋体" w:eastAsia="宋体" w:cs="宋体"/>
          <w:color w:val="auto"/>
          <w:sz w:val="18"/>
          <w:szCs w:val="18"/>
          <w:highlight w:val="none"/>
        </w:rPr>
      </w:pPr>
      <w:r>
        <w:rPr>
          <w:rFonts w:hint="eastAsia" w:ascii="宋体" w:eastAsia="宋体" w:cs="宋体"/>
          <w:color w:val="auto"/>
          <w:sz w:val="18"/>
          <w:szCs w:val="18"/>
          <w:highlight w:val="none"/>
        </w:rPr>
        <w:t>1、投标报价为人民币报价。（保留小数点后二位，第三位小数四舍五入）。</w:t>
      </w:r>
    </w:p>
    <w:p>
      <w:pPr>
        <w:spacing w:line="360" w:lineRule="exact"/>
        <w:rPr>
          <w:rFonts w:ascii="宋体" w:eastAsia="宋体" w:cs="宋体"/>
          <w:color w:val="auto"/>
          <w:szCs w:val="21"/>
          <w:highlight w:val="none"/>
        </w:rPr>
      </w:pPr>
      <w:r>
        <w:rPr>
          <w:rFonts w:hint="eastAsia" w:ascii="宋体" w:eastAsia="宋体" w:cs="宋体"/>
          <w:color w:val="auto"/>
          <w:sz w:val="18"/>
          <w:szCs w:val="18"/>
          <w:highlight w:val="none"/>
        </w:rPr>
        <w:t xml:space="preserve">      2、投标报价及费率包括已包含审查、复查、配合费、企业管理费、利润、税金等及其他一切相关费用。即已包括了为完成本项目各项服务可能发生的全部费用，以及合同明示或暗示的所有一般风险、责任和义务等。本投标费率，在本项目合同服务期间不予调整。</w:t>
      </w:r>
    </w:p>
    <w:p>
      <w:pPr>
        <w:widowControl/>
        <w:jc w:val="left"/>
        <w:rPr>
          <w:rFonts w:ascii="宋体" w:eastAsia="宋体" w:cs="宋体"/>
          <w:b/>
          <w:bCs/>
          <w:color w:val="auto"/>
          <w:kern w:val="0"/>
          <w:sz w:val="24"/>
          <w:szCs w:val="24"/>
          <w:highlight w:val="none"/>
        </w:rPr>
        <w:sectPr>
          <w:type w:val="nextColumn"/>
          <w:pgSz w:w="11907" w:h="16840"/>
          <w:pgMar w:top="1440" w:right="1514" w:bottom="1440" w:left="1514" w:header="851" w:footer="907" w:gutter="0"/>
          <w:cols w:space="0" w:num="1"/>
          <w:docGrid w:linePitch="339" w:charSpace="0"/>
        </w:sectPr>
      </w:pPr>
    </w:p>
    <w:p>
      <w:pPr>
        <w:keepNext/>
        <w:spacing w:line="360" w:lineRule="auto"/>
        <w:outlineLvl w:val="1"/>
        <w:rPr>
          <w:rFonts w:ascii="宋体" w:eastAsia="宋体" w:cs="Arial"/>
          <w:b/>
          <w:bCs/>
          <w:color w:val="auto"/>
          <w:kern w:val="0"/>
          <w:sz w:val="24"/>
          <w:szCs w:val="24"/>
          <w:highlight w:val="none"/>
        </w:rPr>
      </w:pPr>
      <w:bookmarkStart w:id="214" w:name="_Toc20399"/>
      <w:bookmarkStart w:id="215" w:name="_Toc26657"/>
      <w:r>
        <w:rPr>
          <w:rFonts w:hint="eastAsia" w:ascii="宋体" w:eastAsia="宋体" w:cs="Arial"/>
          <w:b/>
          <w:bCs/>
          <w:color w:val="auto"/>
          <w:kern w:val="0"/>
          <w:sz w:val="24"/>
          <w:szCs w:val="24"/>
          <w:highlight w:val="none"/>
        </w:rPr>
        <w:t>格式二：法定代表人证明书、法定代表人授权委托书</w:t>
      </w:r>
      <w:bookmarkEnd w:id="214"/>
      <w:bookmarkEnd w:id="215"/>
    </w:p>
    <w:p>
      <w:pPr>
        <w:spacing w:before="260" w:after="260" w:line="415" w:lineRule="auto"/>
        <w:jc w:val="center"/>
        <w:outlineLvl w:val="1"/>
        <w:rPr>
          <w:rFonts w:ascii="宋体" w:eastAsia="宋体"/>
          <w:b/>
          <w:bCs/>
          <w:color w:val="auto"/>
          <w:kern w:val="0"/>
          <w:sz w:val="32"/>
          <w:szCs w:val="32"/>
          <w:highlight w:val="none"/>
        </w:rPr>
      </w:pPr>
      <w:bookmarkStart w:id="216" w:name="_Toc6567"/>
      <w:bookmarkStart w:id="217" w:name="_Toc24368"/>
      <w:r>
        <w:rPr>
          <w:rFonts w:ascii="宋体" w:eastAsia="宋体"/>
          <w:b/>
          <w:bCs/>
          <w:color w:val="auto"/>
          <w:kern w:val="0"/>
          <w:sz w:val="32"/>
          <w:szCs w:val="32"/>
          <w:highlight w:val="none"/>
        </w:rPr>
        <w:t>二、法定代表人身份证明</w:t>
      </w:r>
      <w:bookmarkEnd w:id="216"/>
      <w:bookmarkEnd w:id="217"/>
    </w:p>
    <w:p>
      <w:pPr>
        <w:autoSpaceDE w:val="0"/>
        <w:autoSpaceDN w:val="0"/>
        <w:adjustRightInd w:val="0"/>
        <w:spacing w:after="100" w:afterAutospacing="1" w:line="360" w:lineRule="auto"/>
        <w:ind w:firstLine="616" w:firstLineChars="257"/>
        <w:rPr>
          <w:rFonts w:ascii="宋体" w:eastAsia="宋体"/>
          <w:color w:val="auto"/>
          <w:kern w:val="0"/>
          <w:sz w:val="24"/>
          <w:szCs w:val="24"/>
          <w:highlight w:val="none"/>
          <w:u w:val="single"/>
        </w:rPr>
      </w:pPr>
      <w:r>
        <w:rPr>
          <w:rFonts w:ascii="宋体" w:eastAsia="宋体"/>
          <w:color w:val="auto"/>
          <w:kern w:val="0"/>
          <w:sz w:val="24"/>
          <w:szCs w:val="24"/>
          <w:highlight w:val="none"/>
        </w:rPr>
        <w:t>投标人名称：</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rPr>
      </w:pPr>
      <w:r>
        <w:rPr>
          <w:rFonts w:ascii="宋体" w:eastAsia="宋体"/>
          <w:color w:val="auto"/>
          <w:kern w:val="0"/>
          <w:sz w:val="24"/>
          <w:szCs w:val="24"/>
          <w:highlight w:val="none"/>
        </w:rPr>
        <w:t>单位性质：</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u w:val="single"/>
        </w:rPr>
      </w:pPr>
      <w:r>
        <w:rPr>
          <w:rFonts w:ascii="宋体" w:eastAsia="宋体"/>
          <w:color w:val="auto"/>
          <w:kern w:val="0"/>
          <w:sz w:val="24"/>
          <w:szCs w:val="24"/>
          <w:highlight w:val="none"/>
        </w:rPr>
        <w:t>地    址：</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rPr>
      </w:pPr>
      <w:r>
        <w:rPr>
          <w:rFonts w:ascii="宋体" w:eastAsia="宋体"/>
          <w:color w:val="auto"/>
          <w:kern w:val="0"/>
          <w:sz w:val="24"/>
          <w:szCs w:val="24"/>
          <w:highlight w:val="none"/>
        </w:rPr>
        <w:t>成立时间：</w:t>
      </w:r>
      <w:r>
        <w:rPr>
          <w:color w:val="auto"/>
          <w:sz w:val="24"/>
          <w:szCs w:val="24"/>
          <w:highlight w:val="none"/>
          <w:u w:val="single"/>
        </w:rPr>
        <w:t xml:space="preserve">    </w:t>
      </w:r>
      <w:r>
        <w:rPr>
          <w:rFonts w:ascii="宋体" w:eastAsia="宋体"/>
          <w:color w:val="auto"/>
          <w:kern w:val="0"/>
          <w:sz w:val="24"/>
          <w:szCs w:val="24"/>
          <w:highlight w:val="none"/>
        </w:rPr>
        <w:t>年</w:t>
      </w:r>
      <w:r>
        <w:rPr>
          <w:color w:val="auto"/>
          <w:sz w:val="24"/>
          <w:szCs w:val="24"/>
          <w:highlight w:val="none"/>
          <w:u w:val="single"/>
        </w:rPr>
        <w:t xml:space="preserve">    </w:t>
      </w:r>
      <w:r>
        <w:rPr>
          <w:rFonts w:ascii="宋体" w:eastAsia="宋体"/>
          <w:color w:val="auto"/>
          <w:kern w:val="0"/>
          <w:sz w:val="24"/>
          <w:szCs w:val="24"/>
          <w:highlight w:val="none"/>
        </w:rPr>
        <w:t>月</w:t>
      </w:r>
      <w:r>
        <w:rPr>
          <w:color w:val="auto"/>
          <w:sz w:val="24"/>
          <w:szCs w:val="24"/>
          <w:highlight w:val="none"/>
          <w:u w:val="single"/>
        </w:rPr>
        <w:t xml:space="preserve">    </w:t>
      </w:r>
      <w:r>
        <w:rPr>
          <w:rFonts w:ascii="宋体" w:eastAsia="宋体"/>
          <w:color w:val="auto"/>
          <w:kern w:val="0"/>
          <w:sz w:val="24"/>
          <w:szCs w:val="24"/>
          <w:highlight w:val="none"/>
        </w:rPr>
        <w:t>日</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u w:val="single"/>
        </w:rPr>
      </w:pPr>
      <w:r>
        <w:rPr>
          <w:rFonts w:ascii="宋体" w:eastAsia="宋体"/>
          <w:color w:val="auto"/>
          <w:kern w:val="0"/>
          <w:sz w:val="24"/>
          <w:szCs w:val="24"/>
          <w:highlight w:val="none"/>
        </w:rPr>
        <w:t>经营期限：</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rPr>
      </w:pPr>
      <w:r>
        <w:rPr>
          <w:rFonts w:ascii="宋体" w:eastAsia="宋体"/>
          <w:color w:val="auto"/>
          <w:kern w:val="0"/>
          <w:sz w:val="24"/>
          <w:szCs w:val="24"/>
          <w:highlight w:val="none"/>
        </w:rPr>
        <w:t>姓名：</w:t>
      </w:r>
      <w:r>
        <w:rPr>
          <w:rFonts w:ascii="宋体" w:eastAsia="宋体"/>
          <w:color w:val="auto"/>
          <w:kern w:val="0"/>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ascii="宋体" w:eastAsia="宋体"/>
          <w:color w:val="auto"/>
          <w:kern w:val="0"/>
          <w:sz w:val="24"/>
          <w:szCs w:val="24"/>
          <w:highlight w:val="none"/>
        </w:rPr>
        <w:t>性别：</w:t>
      </w:r>
      <w:r>
        <w:rPr>
          <w:rFonts w:ascii="宋体" w:eastAsia="宋体"/>
          <w:color w:val="auto"/>
          <w:kern w:val="0"/>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ascii="宋体" w:eastAsia="宋体"/>
          <w:color w:val="auto"/>
          <w:kern w:val="0"/>
          <w:sz w:val="24"/>
          <w:szCs w:val="24"/>
          <w:highlight w:val="none"/>
        </w:rPr>
        <w:t xml:space="preserve"> 年龄：</w:t>
      </w:r>
      <w:r>
        <w:rPr>
          <w:rFonts w:ascii="宋体" w:eastAsia="宋体"/>
          <w:color w:val="auto"/>
          <w:kern w:val="0"/>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ascii="宋体" w:eastAsia="宋体"/>
          <w:color w:val="auto"/>
          <w:kern w:val="0"/>
          <w:sz w:val="24"/>
          <w:szCs w:val="24"/>
          <w:highlight w:val="none"/>
        </w:rPr>
        <w:t xml:space="preserve"> 身份证号码：</w:t>
      </w:r>
      <w:r>
        <w:rPr>
          <w:rFonts w:ascii="宋体" w:eastAsia="宋体"/>
          <w:color w:val="auto"/>
          <w:kern w:val="0"/>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p>
    <w:p>
      <w:pPr>
        <w:autoSpaceDE w:val="0"/>
        <w:autoSpaceDN w:val="0"/>
        <w:adjustRightInd w:val="0"/>
        <w:spacing w:after="100" w:afterAutospacing="1" w:line="360" w:lineRule="auto"/>
        <w:ind w:firstLine="616" w:firstLineChars="257"/>
        <w:jc w:val="left"/>
        <w:rPr>
          <w:rFonts w:ascii="宋体" w:eastAsia="宋体"/>
          <w:color w:val="auto"/>
          <w:kern w:val="0"/>
          <w:sz w:val="24"/>
          <w:szCs w:val="24"/>
          <w:highlight w:val="none"/>
        </w:rPr>
      </w:pPr>
      <w:r>
        <w:rPr>
          <w:rFonts w:ascii="宋体" w:eastAsia="宋体"/>
          <w:color w:val="auto"/>
          <w:kern w:val="0"/>
          <w:sz w:val="24"/>
          <w:szCs w:val="24"/>
          <w:highlight w:val="none"/>
        </w:rPr>
        <w:t>职务：</w:t>
      </w:r>
      <w:r>
        <w:rPr>
          <w:rFonts w:ascii="宋体" w:eastAsia="宋体"/>
          <w:color w:val="auto"/>
          <w:kern w:val="0"/>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rFonts w:ascii="宋体" w:eastAsia="宋体"/>
          <w:color w:val="auto"/>
          <w:kern w:val="0"/>
          <w:sz w:val="24"/>
          <w:szCs w:val="24"/>
          <w:highlight w:val="none"/>
        </w:rPr>
        <w:t>系</w:t>
      </w:r>
      <w:r>
        <w:rPr>
          <w:rFonts w:ascii="宋体" w:eastAsia="宋体"/>
          <w:color w:val="auto"/>
          <w:kern w:val="0"/>
          <w:sz w:val="24"/>
          <w:szCs w:val="24"/>
          <w:highlight w:val="none"/>
          <w:u w:val="single"/>
        </w:rPr>
        <w:t xml:space="preserve"> </w:t>
      </w:r>
      <w:r>
        <w:rPr>
          <w:rFonts w:hint="eastAsia" w:ascii="宋体" w:eastAsia="宋体"/>
          <w:color w:val="auto"/>
          <w:kern w:val="0"/>
          <w:sz w:val="24"/>
          <w:szCs w:val="24"/>
          <w:highlight w:val="none"/>
          <w:u w:val="single"/>
        </w:rPr>
        <w:t xml:space="preserve"> </w:t>
      </w:r>
      <w:r>
        <w:rPr>
          <w:rFonts w:ascii="宋体" w:eastAsia="宋体"/>
          <w:color w:val="auto"/>
          <w:kern w:val="0"/>
          <w:sz w:val="24"/>
          <w:szCs w:val="24"/>
          <w:highlight w:val="none"/>
          <w:u w:val="single"/>
        </w:rPr>
        <w:t>(投标人名称)</w:t>
      </w:r>
      <w:r>
        <w:rPr>
          <w:rFonts w:hint="eastAsia" w:ascii="宋体" w:eastAsia="宋体"/>
          <w:color w:val="auto"/>
          <w:kern w:val="0"/>
          <w:sz w:val="24"/>
          <w:szCs w:val="24"/>
          <w:highlight w:val="none"/>
          <w:u w:val="single"/>
        </w:rPr>
        <w:t xml:space="preserve">  </w:t>
      </w:r>
      <w:r>
        <w:rPr>
          <w:rFonts w:ascii="宋体" w:eastAsia="宋体"/>
          <w:color w:val="auto"/>
          <w:kern w:val="0"/>
          <w:sz w:val="24"/>
          <w:szCs w:val="24"/>
          <w:highlight w:val="none"/>
        </w:rPr>
        <w:t>的法定代表人。</w:t>
      </w:r>
    </w:p>
    <w:p>
      <w:pPr>
        <w:autoSpaceDE w:val="0"/>
        <w:autoSpaceDN w:val="0"/>
        <w:adjustRightInd w:val="0"/>
        <w:spacing w:after="100" w:afterAutospacing="1" w:line="360" w:lineRule="auto"/>
        <w:ind w:firstLine="1027" w:firstLineChars="428"/>
        <w:jc w:val="left"/>
        <w:rPr>
          <w:rFonts w:ascii="宋体" w:eastAsia="宋体"/>
          <w:color w:val="auto"/>
          <w:kern w:val="0"/>
          <w:sz w:val="24"/>
          <w:szCs w:val="24"/>
          <w:highlight w:val="none"/>
        </w:rPr>
      </w:pPr>
      <w:r>
        <w:rPr>
          <w:rFonts w:ascii="宋体" w:eastAsia="宋体"/>
          <w:color w:val="auto"/>
          <w:kern w:val="0"/>
          <w:sz w:val="24"/>
          <w:szCs w:val="24"/>
          <w:highlight w:val="none"/>
        </w:rPr>
        <w:t>特此证明。</w:t>
      </w:r>
    </w:p>
    <w:p>
      <w:pPr>
        <w:autoSpaceDE w:val="0"/>
        <w:autoSpaceDN w:val="0"/>
        <w:adjustRightInd w:val="0"/>
        <w:spacing w:after="100" w:afterAutospacing="1" w:line="360" w:lineRule="auto"/>
        <w:ind w:firstLine="1027" w:firstLineChars="428"/>
        <w:jc w:val="left"/>
        <w:rPr>
          <w:rFonts w:ascii="宋体" w:eastAsia="宋体"/>
          <w:color w:val="auto"/>
          <w:kern w:val="0"/>
          <w:sz w:val="24"/>
          <w:szCs w:val="24"/>
          <w:highlight w:val="none"/>
        </w:rPr>
      </w:pPr>
      <w:r>
        <w:rPr>
          <w:rFonts w:ascii="宋体" w:eastAsia="宋体"/>
          <w:color w:val="auto"/>
          <w:kern w:val="0"/>
          <w:sz w:val="24"/>
          <w:szCs w:val="24"/>
          <w:highlight w:val="none"/>
        </w:rPr>
        <w:t>附：法定代表人身份证(正面及背面)复印件</w:t>
      </w:r>
    </w:p>
    <w:p>
      <w:pPr>
        <w:autoSpaceDE w:val="0"/>
        <w:autoSpaceDN w:val="0"/>
        <w:adjustRightInd w:val="0"/>
        <w:ind w:firstLine="480" w:firstLineChars="200"/>
        <w:jc w:val="left"/>
        <w:rPr>
          <w:rFonts w:ascii="宋体" w:eastAsia="宋体"/>
          <w:color w:val="auto"/>
          <w:kern w:val="0"/>
          <w:sz w:val="24"/>
          <w:szCs w:val="24"/>
          <w:highlight w:val="none"/>
        </w:rPr>
      </w:pPr>
    </w:p>
    <w:p>
      <w:pPr>
        <w:autoSpaceDE w:val="0"/>
        <w:autoSpaceDN w:val="0"/>
        <w:adjustRightInd w:val="0"/>
        <w:spacing w:line="360" w:lineRule="auto"/>
        <w:ind w:firstLine="3600" w:firstLineChars="1500"/>
        <w:jc w:val="left"/>
        <w:rPr>
          <w:rFonts w:ascii="宋体" w:eastAsia="宋体"/>
          <w:color w:val="auto"/>
          <w:kern w:val="0"/>
          <w:sz w:val="24"/>
          <w:szCs w:val="24"/>
          <w:highlight w:val="none"/>
          <w:u w:val="single"/>
        </w:rPr>
      </w:pPr>
      <w:r>
        <w:rPr>
          <w:rFonts w:ascii="宋体" w:eastAsia="宋体"/>
          <w:color w:val="auto"/>
          <w:kern w:val="0"/>
          <w:sz w:val="24"/>
          <w:szCs w:val="24"/>
          <w:highlight w:val="none"/>
        </w:rPr>
        <w:t>投 标 人：</w:t>
      </w:r>
      <w:r>
        <w:rPr>
          <w:rFonts w:ascii="宋体" w:eastAsia="宋体"/>
          <w:color w:val="auto"/>
          <w:kern w:val="0"/>
          <w:sz w:val="24"/>
          <w:szCs w:val="24"/>
          <w:highlight w:val="none"/>
          <w:u w:val="single"/>
        </w:rPr>
        <w:t xml:space="preserve">      </w:t>
      </w:r>
      <w:r>
        <w:rPr>
          <w:rFonts w:hint="eastAsia" w:ascii="宋体" w:eastAsia="宋体"/>
          <w:color w:val="auto"/>
          <w:kern w:val="0"/>
          <w:sz w:val="24"/>
          <w:szCs w:val="24"/>
          <w:highlight w:val="none"/>
          <w:u w:val="single"/>
        </w:rPr>
        <w:t xml:space="preserve">       </w:t>
      </w:r>
      <w:r>
        <w:rPr>
          <w:rFonts w:ascii="宋体" w:eastAsia="宋体"/>
          <w:color w:val="auto"/>
          <w:kern w:val="0"/>
          <w:sz w:val="24"/>
          <w:szCs w:val="24"/>
          <w:highlight w:val="none"/>
          <w:u w:val="single"/>
        </w:rPr>
        <w:t xml:space="preserve"> (盖单位章)</w:t>
      </w:r>
    </w:p>
    <w:p>
      <w:pPr>
        <w:autoSpaceDE w:val="0"/>
        <w:autoSpaceDN w:val="0"/>
        <w:adjustRightInd w:val="0"/>
        <w:spacing w:line="480" w:lineRule="auto"/>
        <w:ind w:firstLine="3600" w:firstLineChars="1500"/>
        <w:jc w:val="left"/>
        <w:rPr>
          <w:rFonts w:ascii="宋体" w:eastAsia="宋体"/>
          <w:color w:val="auto"/>
          <w:kern w:val="0"/>
          <w:sz w:val="24"/>
          <w:szCs w:val="24"/>
          <w:highlight w:val="none"/>
        </w:rPr>
      </w:pPr>
      <w:r>
        <w:rPr>
          <w:rFonts w:ascii="宋体" w:eastAsia="宋体"/>
          <w:color w:val="auto"/>
          <w:kern w:val="0"/>
          <w:sz w:val="24"/>
          <w:szCs w:val="24"/>
          <w:highlight w:val="none"/>
        </w:rPr>
        <w:t>法定代表人：</w:t>
      </w:r>
      <w:r>
        <w:rPr>
          <w:rFonts w:ascii="宋体" w:eastAsia="宋体"/>
          <w:color w:val="auto"/>
          <w:kern w:val="0"/>
          <w:sz w:val="24"/>
          <w:szCs w:val="24"/>
          <w:highlight w:val="none"/>
          <w:u w:val="single"/>
        </w:rPr>
        <w:t xml:space="preserve">       </w:t>
      </w:r>
      <w:r>
        <w:rPr>
          <w:rFonts w:hint="eastAsia" w:ascii="宋体" w:eastAsia="宋体"/>
          <w:color w:val="auto"/>
          <w:kern w:val="0"/>
          <w:sz w:val="24"/>
          <w:szCs w:val="24"/>
          <w:highlight w:val="none"/>
          <w:u w:val="single"/>
        </w:rPr>
        <w:t xml:space="preserve">            </w:t>
      </w:r>
      <w:r>
        <w:rPr>
          <w:rFonts w:ascii="宋体" w:eastAsia="宋体"/>
          <w:color w:val="auto"/>
          <w:kern w:val="0"/>
          <w:sz w:val="24"/>
          <w:szCs w:val="24"/>
          <w:highlight w:val="none"/>
          <w:u w:val="single"/>
        </w:rPr>
        <w:t xml:space="preserve">  (签字)</w:t>
      </w:r>
    </w:p>
    <w:p>
      <w:pPr>
        <w:spacing w:line="360" w:lineRule="auto"/>
        <w:ind w:firstLine="3600" w:firstLineChars="1500"/>
        <w:rPr>
          <w:rFonts w:ascii="宋体" w:eastAsia="宋体"/>
          <w:color w:val="auto"/>
          <w:sz w:val="24"/>
          <w:highlight w:val="none"/>
        </w:rPr>
      </w:pPr>
      <w:r>
        <w:rPr>
          <w:rFonts w:ascii="宋体" w:eastAsia="宋体"/>
          <w:color w:val="auto"/>
          <w:sz w:val="24"/>
          <w:highlight w:val="none"/>
        </w:rPr>
        <w:t>日期：</w:t>
      </w:r>
      <w:r>
        <w:rPr>
          <w:rFonts w:hint="eastAsia"/>
          <w:color w:val="auto"/>
          <w:sz w:val="24"/>
          <w:szCs w:val="24"/>
          <w:highlight w:val="none"/>
          <w:u w:val="single"/>
        </w:rPr>
        <w:t xml:space="preserve">    </w:t>
      </w:r>
      <w:r>
        <w:rPr>
          <w:rFonts w:ascii="宋体" w:eastAsia="宋体"/>
          <w:color w:val="auto"/>
          <w:sz w:val="24"/>
          <w:highlight w:val="none"/>
        </w:rPr>
        <w:t>年</w:t>
      </w:r>
      <w:r>
        <w:rPr>
          <w:rFonts w:hint="eastAsia"/>
          <w:color w:val="auto"/>
          <w:sz w:val="24"/>
          <w:szCs w:val="24"/>
          <w:highlight w:val="none"/>
          <w:u w:val="single"/>
        </w:rPr>
        <w:t xml:space="preserve">  </w:t>
      </w:r>
      <w:r>
        <w:rPr>
          <w:rFonts w:ascii="宋体" w:eastAsia="宋体"/>
          <w:color w:val="auto"/>
          <w:sz w:val="24"/>
          <w:highlight w:val="none"/>
        </w:rPr>
        <w:t>月</w:t>
      </w:r>
      <w:r>
        <w:rPr>
          <w:rFonts w:hint="eastAsia"/>
          <w:color w:val="auto"/>
          <w:sz w:val="24"/>
          <w:szCs w:val="24"/>
          <w:highlight w:val="none"/>
          <w:u w:val="single"/>
        </w:rPr>
        <w:t xml:space="preserve">  </w:t>
      </w:r>
      <w:r>
        <w:rPr>
          <w:rFonts w:ascii="宋体" w:eastAsia="宋体"/>
          <w:color w:val="auto"/>
          <w:sz w:val="24"/>
          <w:highlight w:val="none"/>
        </w:rPr>
        <w:t>日</w:t>
      </w:r>
    </w:p>
    <w:p>
      <w:pPr>
        <w:adjustRightInd w:val="0"/>
        <w:snapToGrid w:val="0"/>
        <w:rPr>
          <w:rFonts w:ascii="宋体" w:eastAsia="宋体"/>
          <w:color w:val="auto"/>
          <w:sz w:val="30"/>
          <w:szCs w:val="30"/>
          <w:highlight w:val="none"/>
        </w:rPr>
      </w:pPr>
    </w:p>
    <w:p>
      <w:pPr>
        <w:keepNext/>
        <w:keepLines/>
        <w:spacing w:before="260" w:after="260" w:line="415" w:lineRule="auto"/>
        <w:ind w:firstLine="3614" w:firstLineChars="1200"/>
        <w:outlineLvl w:val="1"/>
        <w:rPr>
          <w:rFonts w:ascii="宋体" w:eastAsia="宋体"/>
          <w:b/>
          <w:bCs/>
          <w:color w:val="auto"/>
          <w:kern w:val="0"/>
          <w:sz w:val="30"/>
          <w:szCs w:val="30"/>
          <w:highlight w:val="none"/>
        </w:rPr>
        <w:sectPr>
          <w:type w:val="nextColumn"/>
          <w:pgSz w:w="11907" w:h="16840"/>
          <w:pgMar w:top="1440" w:right="1514" w:bottom="1440" w:left="1514" w:header="0" w:footer="0" w:gutter="0"/>
          <w:cols w:space="0" w:num="1"/>
          <w:docGrid w:linePitch="360" w:charSpace="0"/>
        </w:sectPr>
      </w:pPr>
    </w:p>
    <w:p>
      <w:pPr>
        <w:spacing w:before="260" w:after="260" w:line="415" w:lineRule="auto"/>
        <w:jc w:val="center"/>
        <w:outlineLvl w:val="1"/>
        <w:rPr>
          <w:rFonts w:ascii="宋体" w:eastAsia="宋体"/>
          <w:b/>
          <w:bCs/>
          <w:color w:val="auto"/>
          <w:kern w:val="0"/>
          <w:sz w:val="32"/>
          <w:szCs w:val="32"/>
          <w:highlight w:val="none"/>
        </w:rPr>
      </w:pPr>
      <w:bookmarkStart w:id="218" w:name="_Toc22359"/>
      <w:bookmarkStart w:id="219" w:name="_Toc534373461"/>
      <w:bookmarkStart w:id="220" w:name="_Toc32430"/>
      <w:bookmarkStart w:id="221" w:name="_Toc517280605"/>
      <w:bookmarkStart w:id="222" w:name="_Toc26996"/>
      <w:r>
        <w:rPr>
          <w:rFonts w:ascii="宋体" w:eastAsia="宋体"/>
          <w:b/>
          <w:bCs/>
          <w:color w:val="auto"/>
          <w:kern w:val="0"/>
          <w:sz w:val="32"/>
          <w:szCs w:val="32"/>
          <w:highlight w:val="none"/>
        </w:rPr>
        <w:t>三、授权委托书</w:t>
      </w:r>
      <w:bookmarkEnd w:id="218"/>
      <w:bookmarkEnd w:id="219"/>
      <w:bookmarkEnd w:id="220"/>
      <w:bookmarkEnd w:id="221"/>
      <w:bookmarkEnd w:id="222"/>
    </w:p>
    <w:p>
      <w:pPr>
        <w:spacing w:line="440" w:lineRule="exact"/>
        <w:rPr>
          <w:rFonts w:ascii="宋体" w:eastAsia="宋体"/>
          <w:color w:val="auto"/>
          <w:sz w:val="24"/>
          <w:szCs w:val="24"/>
          <w:highlight w:val="none"/>
        </w:rPr>
      </w:pPr>
    </w:p>
    <w:p>
      <w:pPr>
        <w:topLinePunct/>
        <w:spacing w:line="440" w:lineRule="exact"/>
        <w:ind w:firstLine="480" w:firstLineChars="200"/>
        <w:rPr>
          <w:rFonts w:ascii="宋体" w:eastAsia="宋体"/>
          <w:color w:val="auto"/>
          <w:sz w:val="24"/>
          <w:szCs w:val="24"/>
          <w:highlight w:val="none"/>
        </w:rPr>
      </w:pPr>
      <w:r>
        <w:rPr>
          <w:rFonts w:ascii="宋体" w:eastAsia="宋体"/>
          <w:color w:val="auto"/>
          <w:sz w:val="24"/>
          <w:szCs w:val="24"/>
          <w:highlight w:val="none"/>
        </w:rPr>
        <w:t>本人</w:t>
      </w:r>
      <w:r>
        <w:rPr>
          <w:rFonts w:ascii="宋体" w:eastAsia="宋体"/>
          <w:color w:val="auto"/>
          <w:sz w:val="24"/>
          <w:szCs w:val="24"/>
          <w:highlight w:val="none"/>
          <w:u w:val="single"/>
        </w:rPr>
        <w:t>（姓名）</w:t>
      </w:r>
      <w:r>
        <w:rPr>
          <w:rFonts w:ascii="宋体" w:eastAsia="宋体"/>
          <w:color w:val="auto"/>
          <w:sz w:val="24"/>
          <w:szCs w:val="24"/>
          <w:highlight w:val="none"/>
        </w:rPr>
        <w:t>系</w:t>
      </w:r>
      <w:r>
        <w:rPr>
          <w:rFonts w:ascii="宋体" w:eastAsia="宋体"/>
          <w:color w:val="auto"/>
          <w:sz w:val="24"/>
          <w:szCs w:val="24"/>
          <w:highlight w:val="none"/>
          <w:u w:val="single"/>
        </w:rPr>
        <w:t>（投标人名称）</w:t>
      </w:r>
      <w:r>
        <w:rPr>
          <w:rFonts w:ascii="宋体" w:eastAsia="宋体"/>
          <w:color w:val="auto"/>
          <w:sz w:val="24"/>
          <w:szCs w:val="24"/>
          <w:highlight w:val="none"/>
        </w:rPr>
        <w:t>的法定代表人，现委托</w:t>
      </w:r>
      <w:r>
        <w:rPr>
          <w:rFonts w:ascii="宋体" w:eastAsia="宋体"/>
          <w:color w:val="auto"/>
          <w:sz w:val="24"/>
          <w:szCs w:val="24"/>
          <w:highlight w:val="none"/>
          <w:u w:val="single"/>
        </w:rPr>
        <w:t>（姓名）</w:t>
      </w:r>
      <w:r>
        <w:rPr>
          <w:rFonts w:ascii="宋体" w:eastAsia="宋体"/>
          <w:color w:val="auto"/>
          <w:sz w:val="24"/>
          <w:szCs w:val="24"/>
          <w:highlight w:val="none"/>
        </w:rPr>
        <w:t>为我方代理人。代理人根据授权，以我方名义签署、澄清确认、递交、撤回、修改投标文件、签订合同和处理有关事宜，其法律后果由我方承担。</w:t>
      </w:r>
    </w:p>
    <w:p>
      <w:pPr>
        <w:spacing w:line="440" w:lineRule="exact"/>
        <w:rPr>
          <w:rFonts w:ascii="宋体" w:eastAsia="宋体"/>
          <w:color w:val="auto"/>
          <w:sz w:val="24"/>
          <w:szCs w:val="24"/>
          <w:highlight w:val="none"/>
        </w:rPr>
      </w:pPr>
      <w:r>
        <w:rPr>
          <w:rFonts w:ascii="宋体" w:eastAsia="宋体"/>
          <w:color w:val="auto"/>
          <w:sz w:val="24"/>
          <w:szCs w:val="24"/>
          <w:highlight w:val="none"/>
        </w:rPr>
        <w:t>委托期限：</w:t>
      </w:r>
      <w:r>
        <w:rPr>
          <w:rFonts w:hint="eastAsia"/>
          <w:color w:val="auto"/>
          <w:sz w:val="24"/>
          <w:szCs w:val="24"/>
          <w:highlight w:val="none"/>
          <w:u w:val="single"/>
        </w:rPr>
        <w:t xml:space="preserve">                                  </w:t>
      </w:r>
      <w:r>
        <w:rPr>
          <w:rFonts w:ascii="宋体" w:eastAsia="宋体"/>
          <w:color w:val="auto"/>
          <w:sz w:val="24"/>
          <w:szCs w:val="24"/>
          <w:highlight w:val="none"/>
        </w:rPr>
        <w:t>。</w:t>
      </w:r>
    </w:p>
    <w:p>
      <w:pPr>
        <w:spacing w:line="440" w:lineRule="exact"/>
        <w:ind w:firstLine="480" w:firstLineChars="200"/>
        <w:rPr>
          <w:rFonts w:ascii="宋体" w:eastAsia="宋体"/>
          <w:color w:val="auto"/>
          <w:sz w:val="24"/>
          <w:szCs w:val="24"/>
          <w:highlight w:val="none"/>
        </w:rPr>
      </w:pPr>
      <w:r>
        <w:rPr>
          <w:rFonts w:ascii="宋体" w:eastAsia="宋体"/>
          <w:color w:val="auto"/>
          <w:sz w:val="24"/>
          <w:szCs w:val="24"/>
          <w:highlight w:val="none"/>
        </w:rPr>
        <w:t>代理人无转委托权。</w:t>
      </w:r>
    </w:p>
    <w:p>
      <w:pPr>
        <w:spacing w:line="440" w:lineRule="exact"/>
        <w:ind w:firstLine="480" w:firstLineChars="200"/>
        <w:rPr>
          <w:rFonts w:ascii="宋体" w:eastAsia="宋体"/>
          <w:color w:val="auto"/>
          <w:sz w:val="24"/>
          <w:szCs w:val="24"/>
          <w:highlight w:val="none"/>
        </w:rPr>
      </w:pPr>
    </w:p>
    <w:p>
      <w:pPr>
        <w:spacing w:line="440" w:lineRule="exact"/>
        <w:rPr>
          <w:rFonts w:ascii="宋体" w:eastAsia="宋体"/>
          <w:color w:val="auto"/>
          <w:sz w:val="24"/>
          <w:szCs w:val="24"/>
          <w:highlight w:val="none"/>
        </w:rPr>
      </w:pPr>
      <w:r>
        <w:rPr>
          <w:rFonts w:ascii="宋体" w:eastAsia="宋体"/>
          <w:color w:val="auto"/>
          <w:sz w:val="24"/>
          <w:szCs w:val="24"/>
          <w:highlight w:val="none"/>
        </w:rPr>
        <w:t>附：法定代表人身份证复印件及委托代理人身份证复印件</w:t>
      </w:r>
    </w:p>
    <w:p>
      <w:pPr>
        <w:spacing w:line="440" w:lineRule="exact"/>
        <w:rPr>
          <w:rFonts w:ascii="宋体" w:eastAsia="宋体"/>
          <w:color w:val="auto"/>
          <w:sz w:val="24"/>
          <w:szCs w:val="24"/>
          <w:highlight w:val="none"/>
        </w:rPr>
      </w:pPr>
    </w:p>
    <w:p>
      <w:pPr>
        <w:spacing w:line="440" w:lineRule="exact"/>
        <w:rPr>
          <w:rFonts w:ascii="宋体" w:eastAsia="宋体"/>
          <w:color w:val="auto"/>
          <w:sz w:val="24"/>
          <w:szCs w:val="24"/>
          <w:highlight w:val="none"/>
        </w:rPr>
      </w:pPr>
      <w:r>
        <w:rPr>
          <w:rFonts w:ascii="宋体" w:eastAsia="宋体"/>
          <w:color w:val="auto"/>
          <w:sz w:val="24"/>
          <w:szCs w:val="24"/>
          <w:highlight w:val="none"/>
        </w:rPr>
        <w:t>注：本授权委托书需由投标人加盖单位公章并由其法定代表人和委托代理人签字。</w:t>
      </w:r>
    </w:p>
    <w:p>
      <w:pPr>
        <w:spacing w:line="440" w:lineRule="exact"/>
        <w:rPr>
          <w:rFonts w:ascii="宋体" w:eastAsia="宋体"/>
          <w:color w:val="auto"/>
          <w:sz w:val="24"/>
          <w:szCs w:val="24"/>
          <w:highlight w:val="none"/>
        </w:rPr>
      </w:pPr>
    </w:p>
    <w:p>
      <w:pPr>
        <w:spacing w:line="440" w:lineRule="exact"/>
        <w:ind w:firstLine="2400" w:firstLineChars="1000"/>
        <w:rPr>
          <w:rFonts w:ascii="宋体" w:eastAsia="宋体"/>
          <w:color w:val="auto"/>
          <w:sz w:val="24"/>
          <w:szCs w:val="24"/>
          <w:highlight w:val="none"/>
        </w:rPr>
      </w:pPr>
      <w:r>
        <w:rPr>
          <w:rFonts w:ascii="宋体" w:eastAsia="宋体"/>
          <w:color w:val="auto"/>
          <w:sz w:val="24"/>
          <w:szCs w:val="24"/>
          <w:highlight w:val="none"/>
        </w:rPr>
        <w:t>投  标  人：</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ascii="宋体" w:eastAsia="宋体"/>
          <w:color w:val="auto"/>
          <w:sz w:val="24"/>
          <w:szCs w:val="24"/>
          <w:highlight w:val="none"/>
        </w:rPr>
        <w:t>（</w:t>
      </w:r>
      <w:r>
        <w:rPr>
          <w:rFonts w:hint="eastAsia" w:ascii="宋体" w:eastAsia="宋体"/>
          <w:color w:val="auto"/>
          <w:sz w:val="24"/>
          <w:szCs w:val="24"/>
          <w:highlight w:val="none"/>
        </w:rPr>
        <w:t>盖</w:t>
      </w:r>
      <w:r>
        <w:rPr>
          <w:rFonts w:ascii="宋体" w:eastAsia="宋体"/>
          <w:color w:val="auto"/>
          <w:sz w:val="24"/>
          <w:szCs w:val="24"/>
          <w:highlight w:val="none"/>
        </w:rPr>
        <w:t>单位</w:t>
      </w:r>
      <w:r>
        <w:rPr>
          <w:rFonts w:hint="eastAsia" w:ascii="宋体" w:eastAsia="宋体"/>
          <w:color w:val="auto"/>
          <w:sz w:val="24"/>
          <w:szCs w:val="24"/>
          <w:highlight w:val="none"/>
        </w:rPr>
        <w:t>章</w:t>
      </w:r>
      <w:r>
        <w:rPr>
          <w:rFonts w:ascii="宋体" w:eastAsia="宋体"/>
          <w:color w:val="auto"/>
          <w:sz w:val="24"/>
          <w:szCs w:val="24"/>
          <w:highlight w:val="none"/>
        </w:rPr>
        <w:t>）</w:t>
      </w:r>
    </w:p>
    <w:p>
      <w:pPr>
        <w:spacing w:line="440" w:lineRule="exact"/>
        <w:ind w:firstLine="3076" w:firstLineChars="1282"/>
        <w:rPr>
          <w:rFonts w:ascii="宋体" w:eastAsia="宋体"/>
          <w:color w:val="auto"/>
          <w:sz w:val="24"/>
          <w:szCs w:val="24"/>
          <w:highlight w:val="none"/>
        </w:rPr>
      </w:pPr>
    </w:p>
    <w:p>
      <w:pPr>
        <w:spacing w:line="440" w:lineRule="exact"/>
        <w:ind w:firstLine="2400" w:firstLineChars="1000"/>
        <w:rPr>
          <w:rFonts w:ascii="宋体" w:eastAsia="宋体"/>
          <w:color w:val="auto"/>
          <w:sz w:val="24"/>
          <w:szCs w:val="24"/>
          <w:highlight w:val="none"/>
        </w:rPr>
      </w:pPr>
      <w:r>
        <w:rPr>
          <w:rFonts w:ascii="宋体" w:eastAsia="宋体"/>
          <w:color w:val="auto"/>
          <w:sz w:val="24"/>
          <w:szCs w:val="24"/>
          <w:highlight w:val="none"/>
        </w:rPr>
        <w:t>法定代表人：</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ascii="宋体" w:eastAsia="宋体"/>
          <w:color w:val="auto"/>
          <w:sz w:val="24"/>
          <w:szCs w:val="24"/>
          <w:highlight w:val="none"/>
          <w:u w:val="single"/>
        </w:rPr>
        <w:tab/>
      </w:r>
      <w:r>
        <w:rPr>
          <w:rFonts w:ascii="宋体" w:eastAsia="宋体"/>
          <w:color w:val="auto"/>
          <w:sz w:val="24"/>
          <w:szCs w:val="24"/>
          <w:highlight w:val="none"/>
        </w:rPr>
        <w:t>（签字）</w:t>
      </w:r>
    </w:p>
    <w:p>
      <w:pPr>
        <w:spacing w:line="440" w:lineRule="exact"/>
        <w:ind w:firstLine="3076" w:firstLineChars="1282"/>
        <w:rPr>
          <w:rFonts w:ascii="宋体" w:eastAsia="宋体"/>
          <w:color w:val="auto"/>
          <w:sz w:val="24"/>
          <w:szCs w:val="24"/>
          <w:highlight w:val="none"/>
        </w:rPr>
      </w:pPr>
    </w:p>
    <w:p>
      <w:pPr>
        <w:spacing w:line="440" w:lineRule="exact"/>
        <w:ind w:firstLine="2400" w:firstLineChars="1000"/>
        <w:rPr>
          <w:rFonts w:ascii="宋体" w:eastAsia="宋体"/>
          <w:color w:val="auto"/>
          <w:sz w:val="24"/>
          <w:szCs w:val="24"/>
          <w:highlight w:val="none"/>
        </w:rPr>
      </w:pPr>
      <w:r>
        <w:rPr>
          <w:rFonts w:ascii="宋体" w:eastAsia="宋体"/>
          <w:color w:val="auto"/>
          <w:sz w:val="24"/>
          <w:szCs w:val="24"/>
          <w:highlight w:val="none"/>
        </w:rPr>
        <w:t>身份证号码：</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ascii="宋体" w:eastAsia="宋体"/>
          <w:color w:val="auto"/>
          <w:sz w:val="24"/>
          <w:szCs w:val="24"/>
          <w:highlight w:val="none"/>
          <w:u w:val="single"/>
        </w:rPr>
        <w:tab/>
      </w:r>
      <w:r>
        <w:rPr>
          <w:rFonts w:ascii="宋体" w:eastAsia="宋体"/>
          <w:color w:val="auto"/>
          <w:sz w:val="24"/>
          <w:szCs w:val="24"/>
          <w:highlight w:val="none"/>
          <w:u w:val="single"/>
        </w:rPr>
        <w:tab/>
      </w:r>
    </w:p>
    <w:p>
      <w:pPr>
        <w:spacing w:line="440" w:lineRule="exact"/>
        <w:ind w:firstLine="3076" w:firstLineChars="1282"/>
        <w:rPr>
          <w:rFonts w:ascii="宋体" w:eastAsia="宋体"/>
          <w:color w:val="auto"/>
          <w:sz w:val="24"/>
          <w:szCs w:val="24"/>
          <w:highlight w:val="none"/>
        </w:rPr>
      </w:pPr>
    </w:p>
    <w:p>
      <w:pPr>
        <w:spacing w:line="440" w:lineRule="exact"/>
        <w:ind w:firstLine="2400" w:firstLineChars="1000"/>
        <w:rPr>
          <w:rFonts w:ascii="宋体" w:eastAsia="宋体"/>
          <w:color w:val="auto"/>
          <w:sz w:val="24"/>
          <w:szCs w:val="24"/>
          <w:highlight w:val="none"/>
        </w:rPr>
      </w:pPr>
      <w:r>
        <w:rPr>
          <w:rFonts w:ascii="宋体" w:eastAsia="宋体"/>
          <w:color w:val="auto"/>
          <w:sz w:val="24"/>
          <w:szCs w:val="24"/>
          <w:highlight w:val="none"/>
        </w:rPr>
        <w:t>委托代理人：</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rPr>
        <w:t>（签字）</w:t>
      </w:r>
    </w:p>
    <w:p>
      <w:pPr>
        <w:spacing w:line="440" w:lineRule="exact"/>
        <w:ind w:firstLine="3076" w:firstLineChars="1282"/>
        <w:rPr>
          <w:rFonts w:ascii="宋体" w:eastAsia="宋体"/>
          <w:color w:val="auto"/>
          <w:sz w:val="24"/>
          <w:szCs w:val="24"/>
          <w:highlight w:val="none"/>
        </w:rPr>
      </w:pPr>
    </w:p>
    <w:p>
      <w:pPr>
        <w:spacing w:line="440" w:lineRule="exact"/>
        <w:ind w:firstLine="2400" w:firstLineChars="1000"/>
        <w:rPr>
          <w:rFonts w:ascii="宋体" w:eastAsia="宋体"/>
          <w:color w:val="auto"/>
          <w:sz w:val="24"/>
          <w:szCs w:val="24"/>
          <w:highlight w:val="none"/>
        </w:rPr>
      </w:pPr>
      <w:r>
        <w:rPr>
          <w:rFonts w:ascii="宋体" w:eastAsia="宋体"/>
          <w:color w:val="auto"/>
          <w:sz w:val="24"/>
          <w:szCs w:val="24"/>
          <w:highlight w:val="none"/>
        </w:rPr>
        <w:t>身份证号码：</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ascii="宋体" w:eastAsia="宋体"/>
          <w:color w:val="auto"/>
          <w:sz w:val="24"/>
          <w:szCs w:val="24"/>
          <w:highlight w:val="none"/>
          <w:u w:val="single"/>
        </w:rPr>
        <w:tab/>
      </w:r>
    </w:p>
    <w:p>
      <w:pPr>
        <w:spacing w:line="440" w:lineRule="exact"/>
        <w:ind w:firstLine="3076" w:firstLineChars="1282"/>
        <w:rPr>
          <w:rFonts w:ascii="宋体" w:eastAsia="宋体"/>
          <w:color w:val="auto"/>
          <w:sz w:val="24"/>
          <w:szCs w:val="24"/>
          <w:highlight w:val="none"/>
        </w:rPr>
      </w:pPr>
    </w:p>
    <w:p>
      <w:pPr>
        <w:spacing w:line="440" w:lineRule="exact"/>
        <w:ind w:firstLine="4636" w:firstLineChars="1932"/>
        <w:jc w:val="right"/>
        <w:rPr>
          <w:rFonts w:ascii="宋体" w:eastAsia="宋体"/>
          <w:color w:val="auto"/>
          <w:sz w:val="24"/>
          <w:szCs w:val="24"/>
          <w:highlight w:val="none"/>
        </w:rPr>
      </w:pPr>
      <w:r>
        <w:rPr>
          <w:rFonts w:hint="eastAsia"/>
          <w:color w:val="auto"/>
          <w:sz w:val="24"/>
          <w:szCs w:val="24"/>
          <w:highlight w:val="none"/>
          <w:u w:val="single"/>
        </w:rPr>
        <w:t xml:space="preserve">    </w:t>
      </w:r>
      <w:r>
        <w:rPr>
          <w:rFonts w:ascii="宋体" w:eastAsia="宋体"/>
          <w:color w:val="auto"/>
          <w:sz w:val="24"/>
          <w:szCs w:val="24"/>
          <w:highlight w:val="none"/>
        </w:rPr>
        <w:t>年</w:t>
      </w:r>
      <w:r>
        <w:rPr>
          <w:rFonts w:hint="eastAsia"/>
          <w:color w:val="auto"/>
          <w:sz w:val="24"/>
          <w:szCs w:val="24"/>
          <w:highlight w:val="none"/>
          <w:u w:val="single"/>
        </w:rPr>
        <w:t xml:space="preserve">   </w:t>
      </w:r>
      <w:r>
        <w:rPr>
          <w:rFonts w:ascii="宋体" w:eastAsia="宋体"/>
          <w:color w:val="auto"/>
          <w:sz w:val="24"/>
          <w:szCs w:val="24"/>
          <w:highlight w:val="none"/>
        </w:rPr>
        <w:t>月</w:t>
      </w:r>
      <w:r>
        <w:rPr>
          <w:rFonts w:hint="eastAsia"/>
          <w:color w:val="auto"/>
          <w:sz w:val="24"/>
          <w:szCs w:val="24"/>
          <w:highlight w:val="none"/>
          <w:u w:val="single"/>
        </w:rPr>
        <w:t xml:space="preserve">   </w:t>
      </w:r>
      <w:r>
        <w:rPr>
          <w:rFonts w:ascii="宋体" w:eastAsia="宋体"/>
          <w:color w:val="auto"/>
          <w:sz w:val="24"/>
          <w:szCs w:val="24"/>
          <w:highlight w:val="none"/>
        </w:rPr>
        <w:t>日</w:t>
      </w:r>
    </w:p>
    <w:p>
      <w:pPr>
        <w:spacing w:line="440" w:lineRule="exact"/>
        <w:ind w:firstLine="4057" w:firstLineChars="1932"/>
        <w:jc w:val="right"/>
        <w:rPr>
          <w:rFonts w:ascii="宋体" w:eastAsia="宋体"/>
          <w:color w:val="auto"/>
          <w:highlight w:val="none"/>
        </w:rPr>
      </w:pPr>
    </w:p>
    <w:p>
      <w:pPr>
        <w:snapToGrid w:val="0"/>
        <w:spacing w:line="360" w:lineRule="auto"/>
        <w:jc w:val="left"/>
        <w:rPr>
          <w:rFonts w:ascii="宋体" w:eastAsia="宋体" w:cs="宋体"/>
          <w:b/>
          <w:bCs/>
          <w:color w:val="auto"/>
          <w:sz w:val="24"/>
          <w:szCs w:val="24"/>
          <w:highlight w:val="none"/>
        </w:rPr>
      </w:pPr>
    </w:p>
    <w:p>
      <w:pPr>
        <w:spacing w:before="100" w:beforeAutospacing="1" w:after="120"/>
        <w:ind w:firstLine="420"/>
        <w:rPr>
          <w:rFonts w:ascii="宋体" w:eastAsia="宋体"/>
          <w:color w:val="auto"/>
          <w:kern w:val="0"/>
          <w:szCs w:val="21"/>
          <w:highlight w:val="none"/>
        </w:rPr>
      </w:pPr>
    </w:p>
    <w:p>
      <w:pPr>
        <w:autoSpaceDE w:val="0"/>
        <w:autoSpaceDN w:val="0"/>
        <w:adjustRightInd w:val="0"/>
        <w:spacing w:line="400" w:lineRule="exact"/>
        <w:ind w:firstLine="1274" w:firstLineChars="650"/>
        <w:rPr>
          <w:rFonts w:ascii="宋体" w:eastAsia="宋体" w:cs="宋体"/>
          <w:bCs/>
          <w:color w:val="auto"/>
          <w:kern w:val="0"/>
          <w:szCs w:val="21"/>
          <w:highlight w:val="none"/>
        </w:rPr>
      </w:pPr>
      <w:r>
        <w:rPr>
          <w:rFonts w:hint="eastAsia" w:ascii="宋体" w:eastAsia="宋体" w:cs="宋体"/>
          <w:color w:val="auto"/>
          <w:spacing w:val="-7"/>
          <w:szCs w:val="21"/>
          <w:highlight w:val="none"/>
        </w:rPr>
        <w:t>。</w:t>
      </w:r>
    </w:p>
    <w:p>
      <w:pPr>
        <w:keepNext/>
        <w:spacing w:line="360" w:lineRule="auto"/>
        <w:outlineLvl w:val="1"/>
        <w:rPr>
          <w:rFonts w:ascii="宋体" w:eastAsia="宋体" w:cs="Arial"/>
          <w:b/>
          <w:bCs/>
          <w:color w:val="auto"/>
          <w:kern w:val="0"/>
          <w:sz w:val="24"/>
          <w:szCs w:val="24"/>
          <w:highlight w:val="none"/>
        </w:rPr>
      </w:pPr>
      <w:r>
        <w:rPr>
          <w:rFonts w:ascii="宋体" w:eastAsia="宋体" w:cs="宋体"/>
          <w:b/>
          <w:bCs/>
          <w:color w:val="auto"/>
          <w:sz w:val="24"/>
          <w:szCs w:val="24"/>
          <w:highlight w:val="none"/>
        </w:rPr>
        <w:br w:type="page"/>
      </w:r>
      <w:bookmarkStart w:id="223" w:name="_Toc14884"/>
      <w:bookmarkStart w:id="224" w:name="_Toc287"/>
      <w:r>
        <w:rPr>
          <w:rFonts w:ascii="宋体" w:eastAsia="宋体" w:cs="Arial"/>
          <w:b/>
          <w:bCs/>
          <w:color w:val="auto"/>
          <w:kern w:val="0"/>
          <w:sz w:val="24"/>
          <w:szCs w:val="24"/>
          <w:highlight w:val="none"/>
        </w:rPr>
        <w:t>格式三：投标人声明</w:t>
      </w:r>
      <w:bookmarkEnd w:id="223"/>
      <w:bookmarkEnd w:id="224"/>
    </w:p>
    <w:p>
      <w:pPr>
        <w:spacing w:line="440" w:lineRule="exact"/>
        <w:rPr>
          <w:rFonts w:ascii="宋体" w:eastAsia="宋体"/>
          <w:color w:val="auto"/>
          <w:sz w:val="24"/>
          <w:szCs w:val="24"/>
          <w:highlight w:val="none"/>
        </w:rPr>
      </w:pPr>
    </w:p>
    <w:p>
      <w:pPr>
        <w:spacing w:before="260" w:after="260" w:line="415" w:lineRule="auto"/>
        <w:jc w:val="center"/>
        <w:outlineLvl w:val="1"/>
        <w:rPr>
          <w:rFonts w:ascii="宋体" w:eastAsia="宋体"/>
          <w:b/>
          <w:bCs/>
          <w:color w:val="auto"/>
          <w:kern w:val="0"/>
          <w:sz w:val="32"/>
          <w:szCs w:val="32"/>
          <w:highlight w:val="none"/>
        </w:rPr>
      </w:pPr>
      <w:bookmarkStart w:id="225" w:name="_Toc28020"/>
      <w:bookmarkStart w:id="226" w:name="_Toc18520"/>
      <w:r>
        <w:rPr>
          <w:rFonts w:hint="eastAsia" w:ascii="宋体" w:eastAsia="宋体"/>
          <w:b/>
          <w:bCs/>
          <w:color w:val="auto"/>
          <w:kern w:val="0"/>
          <w:sz w:val="32"/>
          <w:szCs w:val="32"/>
          <w:highlight w:val="none"/>
        </w:rPr>
        <w:t>投标人声明</w:t>
      </w:r>
      <w:bookmarkEnd w:id="225"/>
      <w:bookmarkEnd w:id="226"/>
    </w:p>
    <w:p>
      <w:pPr>
        <w:snapToGrid w:val="0"/>
        <w:spacing w:line="360" w:lineRule="auto"/>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本招标项目招标人及招标监管机构：</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本公司就参加</w:t>
      </w:r>
      <w:r>
        <w:rPr>
          <w:rFonts w:hint="eastAsia" w:ascii="宋体" w:eastAsia="宋体" w:cs="宋体"/>
          <w:color w:val="auto"/>
          <w:kern w:val="0"/>
          <w:sz w:val="24"/>
          <w:szCs w:val="24"/>
          <w:highlight w:val="none"/>
          <w:u w:val="single"/>
        </w:rPr>
        <w:t>                </w:t>
      </w:r>
      <w:r>
        <w:rPr>
          <w:rFonts w:ascii="宋体" w:eastAsia="宋体" w:cs="宋体"/>
          <w:color w:val="auto"/>
          <w:kern w:val="0"/>
          <w:sz w:val="24"/>
          <w:szCs w:val="24"/>
          <w:highlight w:val="none"/>
        </w:rPr>
        <w:t>投标工作，作出郑重声明：</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一、本公司保证投标报名材料及其后提供的一切材料都是真实的。</w:t>
      </w:r>
      <w:r>
        <w:rPr>
          <w:rFonts w:ascii="宋体" w:eastAsia="宋体" w:cs="宋体"/>
          <w:color w:val="auto"/>
          <w:kern w:val="0"/>
          <w:sz w:val="24"/>
          <w:szCs w:val="24"/>
          <w:highlight w:val="none"/>
        </w:rPr>
        <w:t>如我司成为本项目中标候选人，我司同意并授权招标人将我司投标文件商务部分的人员、业绩、奖项等资料进行公</w:t>
      </w:r>
      <w:r>
        <w:rPr>
          <w:rFonts w:hint="eastAsia" w:ascii="宋体" w:eastAsia="宋体" w:cs="宋体"/>
          <w:color w:val="auto"/>
          <w:kern w:val="0"/>
          <w:sz w:val="24"/>
          <w:szCs w:val="24"/>
          <w:highlight w:val="none"/>
        </w:rPr>
        <w:t>开</w:t>
      </w:r>
      <w:r>
        <w:rPr>
          <w:rFonts w:ascii="宋体" w:eastAsia="宋体" w:cs="宋体"/>
          <w:color w:val="auto"/>
          <w:kern w:val="0"/>
          <w:sz w:val="24"/>
          <w:szCs w:val="24"/>
          <w:highlight w:val="none"/>
        </w:rPr>
        <w:t>。</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二、本公司保证不与其他单位围标、串标，不出让投标资格，不向招标人或评标委员会成员行贿。</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三、本公司不存在招标文件第二章投标人须知第1.4.3项所规定的任何一种情形。</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四、本公司及其有隶属关系的机构，没有参加本项目招标文件的编写工作；本公司与本次招标的招标代理机构、勘察设计等前期服务单位没有隶属关系或其他利害关系。</w:t>
      </w:r>
    </w:p>
    <w:p>
      <w:pPr>
        <w:snapToGrid w:val="0"/>
        <w:spacing w:line="360" w:lineRule="auto"/>
        <w:ind w:firstLine="480" w:firstLineChars="200"/>
        <w:rPr>
          <w:rFonts w:ascii="宋体" w:eastAsia="宋体" w:cs="宋体"/>
          <w:color w:val="auto"/>
          <w:kern w:val="0"/>
          <w:sz w:val="24"/>
          <w:szCs w:val="24"/>
          <w:highlight w:val="none"/>
        </w:rPr>
      </w:pPr>
      <w:r>
        <w:rPr>
          <w:rFonts w:ascii="宋体" w:eastAsia="宋体" w:cs="宋体"/>
          <w:color w:val="auto"/>
          <w:kern w:val="0"/>
          <w:sz w:val="24"/>
          <w:szCs w:val="24"/>
          <w:highlight w:val="none"/>
        </w:rPr>
        <w:t>五、本公司承诺，中标后严格执行安全生产相关管理规定。</w:t>
      </w:r>
    </w:p>
    <w:p>
      <w:pPr>
        <w:snapToGrid w:val="0"/>
        <w:spacing w:line="360" w:lineRule="auto"/>
        <w:ind w:firstLine="480" w:firstLineChars="200"/>
        <w:rPr>
          <w:rFonts w:eastAsia="宋体"/>
          <w:color w:val="auto"/>
          <w:highlight w:val="none"/>
          <w:u w:val="single"/>
        </w:rPr>
      </w:pPr>
      <w:r>
        <w:rPr>
          <w:rFonts w:hint="eastAsia" w:ascii="宋体" w:eastAsia="宋体" w:cs="宋体"/>
          <w:color w:val="auto"/>
          <w:kern w:val="0"/>
          <w:sz w:val="24"/>
          <w:szCs w:val="24"/>
          <w:highlight w:val="none"/>
          <w:u w:val="single"/>
        </w:rPr>
        <w:t>六、本公司承诺，按照招标公告第3点“3.投标人资格要求”中第3.8条规定，未被列入失信联合惩戒黑名单且</w:t>
      </w:r>
      <w:r>
        <w:rPr>
          <w:rFonts w:hint="eastAsia" w:ascii="宋体" w:eastAsia="宋体" w:cs="宋体"/>
          <w:color w:val="auto"/>
          <w:kern w:val="0"/>
          <w:sz w:val="24"/>
          <w:szCs w:val="24"/>
          <w:highlight w:val="none"/>
          <w:u w:val="single"/>
          <w:lang w:val="en-US" w:eastAsia="zh-CN"/>
        </w:rPr>
        <w:t>未</w:t>
      </w:r>
      <w:r>
        <w:rPr>
          <w:rFonts w:hint="eastAsia" w:ascii="宋体" w:eastAsia="宋体" w:cs="宋体"/>
          <w:color w:val="auto"/>
          <w:kern w:val="0"/>
          <w:sz w:val="24"/>
          <w:szCs w:val="24"/>
          <w:highlight w:val="none"/>
          <w:u w:val="single"/>
        </w:rPr>
        <w:t>被限制参与相关项目投标。</w:t>
      </w:r>
    </w:p>
    <w:p>
      <w:pPr>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olor w:val="auto"/>
          <w:sz w:val="24"/>
          <w:szCs w:val="24"/>
          <w:highlight w:val="none"/>
        </w:rPr>
        <w:t>本公司违反上述保证，或本声明陈述与事实不符，经查实，本公司愿意接受公开通报，承担由此带来的法律后果（包括但不限于取消中标资格、不予退还投标保证金、解除合同、禁止本公司参加招标人或其关联公司今后任何招标项目的投标），并自愿停止参加广州市行政辖区内的招标投标活动三个月。</w:t>
      </w:r>
    </w:p>
    <w:p>
      <w:pPr>
        <w:widowControl/>
        <w:shd w:val="clear" w:color="auto" w:fill="FFFFFF"/>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特此声明。</w:t>
      </w:r>
    </w:p>
    <w:p>
      <w:pPr>
        <w:snapToGrid w:val="0"/>
        <w:spacing w:line="360" w:lineRule="auto"/>
        <w:ind w:firstLine="4320" w:firstLineChars="1800"/>
        <w:rPr>
          <w:rFonts w:ascii="宋体" w:eastAsia="宋体" w:cs="宋体"/>
          <w:color w:val="auto"/>
          <w:kern w:val="0"/>
          <w:sz w:val="24"/>
          <w:szCs w:val="24"/>
          <w:highlight w:val="none"/>
        </w:rPr>
      </w:pPr>
    </w:p>
    <w:p>
      <w:pPr>
        <w:snapToGrid w:val="0"/>
        <w:spacing w:line="360" w:lineRule="auto"/>
        <w:ind w:firstLine="4320" w:firstLineChars="1800"/>
        <w:rPr>
          <w:rFonts w:ascii="宋体" w:eastAsia="宋体" w:cs="宋体"/>
          <w:color w:val="auto"/>
          <w:kern w:val="0"/>
          <w:sz w:val="24"/>
          <w:szCs w:val="24"/>
          <w:highlight w:val="none"/>
          <w:u w:val="single"/>
        </w:rPr>
      </w:pPr>
      <w:r>
        <w:rPr>
          <w:rFonts w:hint="eastAsia" w:ascii="宋体" w:eastAsia="宋体" w:cs="宋体"/>
          <w:color w:val="auto"/>
          <w:kern w:val="0"/>
          <w:sz w:val="24"/>
          <w:szCs w:val="24"/>
          <w:highlight w:val="none"/>
        </w:rPr>
        <w:t>声明企业：</w:t>
      </w:r>
      <w:r>
        <w:rPr>
          <w:rFonts w:hint="eastAsia" w:ascii="宋体" w:eastAsia="宋体" w:cs="宋体"/>
          <w:color w:val="auto"/>
          <w:kern w:val="0"/>
          <w:sz w:val="24"/>
          <w:szCs w:val="24"/>
          <w:highlight w:val="none"/>
          <w:u w:val="single"/>
        </w:rPr>
        <w:t xml:space="preserve">            (企业公章)</w:t>
      </w:r>
    </w:p>
    <w:p>
      <w:pPr>
        <w:snapToGrid w:val="0"/>
        <w:spacing w:line="360" w:lineRule="auto"/>
        <w:ind w:firstLine="4250" w:firstLineChars="1771"/>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法定代表人签字：</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p>
    <w:p>
      <w:pPr>
        <w:snapToGrid w:val="0"/>
        <w:spacing w:line="360" w:lineRule="auto"/>
        <w:ind w:firstLine="4250" w:firstLineChars="1771"/>
        <w:rPr>
          <w:rFonts w:ascii="宋体" w:eastAsia="宋体"/>
          <w:color w:val="auto"/>
          <w:sz w:val="24"/>
          <w:szCs w:val="24"/>
          <w:highlight w:val="none"/>
        </w:rPr>
      </w:pPr>
      <w:r>
        <w:rPr>
          <w:rFonts w:hint="eastAsia" w:ascii="宋体" w:eastAsia="宋体" w:cs="宋体"/>
          <w:color w:val="auto"/>
          <w:kern w:val="0"/>
          <w:sz w:val="24"/>
          <w:szCs w:val="24"/>
          <w:highlight w:val="none"/>
        </w:rPr>
        <w:t>项目负责人签字：</w:t>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r>
        <w:rPr>
          <w:rFonts w:ascii="宋体" w:eastAsia="宋体"/>
          <w:color w:val="auto"/>
          <w:sz w:val="24"/>
          <w:szCs w:val="24"/>
          <w:highlight w:val="none"/>
          <w:u w:val="single"/>
        </w:rPr>
        <w:tab/>
      </w:r>
    </w:p>
    <w:p>
      <w:pPr>
        <w:spacing w:line="360" w:lineRule="auto"/>
        <w:ind w:firstLine="6240" w:firstLineChars="2600"/>
        <w:rPr>
          <w:rFonts w:ascii="宋体" w:eastAsia="宋体"/>
          <w:color w:val="auto"/>
          <w:sz w:val="24"/>
          <w:szCs w:val="24"/>
          <w:highlight w:val="none"/>
        </w:rPr>
      </w:pPr>
      <w:r>
        <w:rPr>
          <w:rFonts w:hint="eastAsia"/>
          <w:color w:val="auto"/>
          <w:sz w:val="24"/>
          <w:szCs w:val="24"/>
          <w:highlight w:val="none"/>
          <w:u w:val="single"/>
        </w:rPr>
        <w:t xml:space="preserve">    </w:t>
      </w:r>
      <w:r>
        <w:rPr>
          <w:rFonts w:ascii="宋体" w:eastAsia="宋体"/>
          <w:color w:val="auto"/>
          <w:sz w:val="24"/>
          <w:szCs w:val="24"/>
          <w:highlight w:val="none"/>
        </w:rPr>
        <w:t>年</w:t>
      </w:r>
      <w:r>
        <w:rPr>
          <w:rFonts w:hint="eastAsia"/>
          <w:color w:val="auto"/>
          <w:sz w:val="24"/>
          <w:szCs w:val="24"/>
          <w:highlight w:val="none"/>
          <w:u w:val="single"/>
        </w:rPr>
        <w:t xml:space="preserve">   </w:t>
      </w:r>
      <w:r>
        <w:rPr>
          <w:rFonts w:ascii="宋体" w:eastAsia="宋体"/>
          <w:color w:val="auto"/>
          <w:sz w:val="24"/>
          <w:szCs w:val="24"/>
          <w:highlight w:val="none"/>
        </w:rPr>
        <w:t>月</w:t>
      </w:r>
      <w:r>
        <w:rPr>
          <w:rFonts w:hint="eastAsia"/>
          <w:color w:val="auto"/>
          <w:sz w:val="24"/>
          <w:szCs w:val="24"/>
          <w:highlight w:val="none"/>
          <w:u w:val="single"/>
        </w:rPr>
        <w:t xml:space="preserve">   </w:t>
      </w:r>
      <w:r>
        <w:rPr>
          <w:rFonts w:hint="eastAsia" w:ascii="宋体" w:eastAsia="宋体" w:cs="宋体"/>
          <w:color w:val="auto"/>
          <w:kern w:val="0"/>
          <w:sz w:val="24"/>
          <w:szCs w:val="24"/>
          <w:highlight w:val="none"/>
        </w:rPr>
        <w:t>日</w:t>
      </w:r>
    </w:p>
    <w:p>
      <w:pPr>
        <w:widowControl/>
        <w:jc w:val="left"/>
        <w:rPr>
          <w:rFonts w:ascii="宋体" w:eastAsia="宋体" w:cs="宋体"/>
          <w:b/>
          <w:bCs/>
          <w:color w:val="auto"/>
          <w:sz w:val="24"/>
          <w:szCs w:val="24"/>
          <w:highlight w:val="none"/>
        </w:rPr>
      </w:pPr>
      <w:r>
        <w:rPr>
          <w:rFonts w:ascii="宋体" w:eastAsia="宋体" w:cs="宋体"/>
          <w:b/>
          <w:bCs/>
          <w:color w:val="auto"/>
          <w:sz w:val="24"/>
          <w:szCs w:val="24"/>
          <w:highlight w:val="none"/>
        </w:rPr>
        <w:br w:type="page"/>
      </w:r>
    </w:p>
    <w:p>
      <w:pPr>
        <w:keepNext/>
        <w:keepLines/>
        <w:spacing w:line="360" w:lineRule="auto"/>
        <w:jc w:val="left"/>
        <w:outlineLvl w:val="1"/>
        <w:rPr>
          <w:rFonts w:ascii="宋体" w:eastAsia="宋体" w:cs="宋体"/>
          <w:b/>
          <w:bCs/>
          <w:color w:val="auto"/>
          <w:sz w:val="24"/>
          <w:szCs w:val="24"/>
          <w:highlight w:val="none"/>
        </w:rPr>
      </w:pPr>
      <w:bookmarkStart w:id="227" w:name="_Toc6714"/>
      <w:bookmarkStart w:id="228" w:name="_Toc7601"/>
      <w:r>
        <w:rPr>
          <w:rFonts w:ascii="宋体" w:eastAsia="宋体" w:cs="宋体"/>
          <w:b/>
          <w:bCs/>
          <w:color w:val="auto"/>
          <w:sz w:val="24"/>
          <w:szCs w:val="24"/>
          <w:highlight w:val="none"/>
        </w:rPr>
        <w:t>格式四：投标保证金</w:t>
      </w:r>
      <w:bookmarkEnd w:id="227"/>
      <w:bookmarkEnd w:id="228"/>
    </w:p>
    <w:p>
      <w:pPr>
        <w:spacing w:line="240" w:lineRule="atLeast"/>
        <w:ind w:firstLine="482" w:firstLineChars="150"/>
        <w:jc w:val="center"/>
        <w:rPr>
          <w:rFonts w:ascii="宋体" w:eastAsia="宋体" w:cs="宋体"/>
          <w:b/>
          <w:bCs/>
          <w:color w:val="auto"/>
          <w:sz w:val="32"/>
          <w:szCs w:val="32"/>
          <w:highlight w:val="none"/>
        </w:rPr>
      </w:pPr>
    </w:p>
    <w:p>
      <w:pPr>
        <w:spacing w:line="360" w:lineRule="auto"/>
        <w:ind w:firstLine="482" w:firstLineChars="150"/>
        <w:jc w:val="center"/>
        <w:rPr>
          <w:rFonts w:ascii="宋体" w:eastAsia="宋体" w:cs="宋体"/>
          <w:b/>
          <w:bCs/>
          <w:color w:val="auto"/>
          <w:sz w:val="32"/>
          <w:szCs w:val="32"/>
          <w:highlight w:val="none"/>
        </w:rPr>
      </w:pPr>
      <w:r>
        <w:rPr>
          <w:rFonts w:ascii="宋体" w:eastAsia="宋体" w:cs="宋体"/>
          <w:b/>
          <w:bCs/>
          <w:color w:val="auto"/>
          <w:sz w:val="32"/>
          <w:szCs w:val="32"/>
          <w:highlight w:val="none"/>
        </w:rPr>
        <w:t>投标保证金</w:t>
      </w:r>
    </w:p>
    <w:p>
      <w:pPr>
        <w:spacing w:line="360" w:lineRule="auto"/>
        <w:rPr>
          <w:rFonts w:ascii="宋体" w:eastAsia="宋体"/>
          <w:bCs/>
          <w:color w:val="auto"/>
          <w:kern w:val="0"/>
          <w:sz w:val="24"/>
          <w:szCs w:val="24"/>
          <w:highlight w:val="none"/>
        </w:rPr>
      </w:pPr>
      <w:r>
        <w:rPr>
          <w:rFonts w:hint="eastAsia" w:ascii="宋体" w:eastAsia="宋体"/>
          <w:bCs/>
          <w:color w:val="auto"/>
          <w:kern w:val="0"/>
          <w:sz w:val="24"/>
          <w:szCs w:val="24"/>
          <w:highlight w:val="none"/>
        </w:rPr>
        <w:t>注：（详见本招标文件第二章投标人须知前附表3.4.1）</w:t>
      </w:r>
    </w:p>
    <w:p>
      <w:pPr>
        <w:spacing w:line="400" w:lineRule="exact"/>
        <w:jc w:val="left"/>
        <w:rPr>
          <w:rFonts w:ascii="宋体" w:eastAsia="宋体" w:cs="宋体"/>
          <w:color w:val="auto"/>
          <w:sz w:val="24"/>
          <w:szCs w:val="24"/>
          <w:highlight w:val="none"/>
        </w:rPr>
      </w:pPr>
    </w:p>
    <w:p>
      <w:pPr>
        <w:widowControl/>
        <w:jc w:val="left"/>
        <w:rPr>
          <w:rFonts w:ascii="宋体" w:eastAsia="宋体" w:cs="宋体"/>
          <w:bCs/>
          <w:color w:val="auto"/>
          <w:kern w:val="0"/>
          <w:sz w:val="24"/>
          <w:szCs w:val="24"/>
          <w:highlight w:val="none"/>
        </w:rPr>
      </w:pPr>
    </w:p>
    <w:p>
      <w:pPr>
        <w:pStyle w:val="4"/>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4"/>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4"/>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4"/>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4"/>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4"/>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4"/>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4"/>
        <w:rPr>
          <w:rFonts w:ascii="宋体" w:eastAsia="宋体" w:cs="宋体"/>
          <w:bCs/>
          <w:color w:val="auto"/>
          <w:kern w:val="0"/>
          <w:sz w:val="24"/>
          <w:szCs w:val="24"/>
          <w:highlight w:val="none"/>
        </w:rPr>
      </w:pPr>
    </w:p>
    <w:p>
      <w:pPr>
        <w:rPr>
          <w:rFonts w:ascii="宋体" w:eastAsia="宋体" w:cs="宋体"/>
          <w:bCs/>
          <w:color w:val="auto"/>
          <w:kern w:val="0"/>
          <w:sz w:val="24"/>
          <w:szCs w:val="24"/>
          <w:highlight w:val="none"/>
        </w:rPr>
      </w:pPr>
    </w:p>
    <w:p>
      <w:pPr>
        <w:pStyle w:val="24"/>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（一）中小企业声明函</w:t>
      </w:r>
    </w:p>
    <w:p>
      <w:pPr>
        <w:pStyle w:val="24"/>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本企业郑重声明，根据《关于印发中小企业划型标准规定的通知》（工信部联企业〔2011〕300号）的规定，本企业具体情况如下：</w:t>
      </w:r>
    </w:p>
    <w:p>
      <w:pPr>
        <w:pStyle w:val="24"/>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本企业属于建筑业行业；营业收入为</w:t>
      </w:r>
      <w:r>
        <w:rPr>
          <w:rFonts w:asciiTheme="majorEastAsia" w:hAnsiTheme="majorEastAsia" w:eastAsiaTheme="majorEastAsia"/>
          <w:color w:val="auto"/>
          <w:sz w:val="24"/>
          <w:szCs w:val="24"/>
          <w:highlight w:val="none"/>
          <w:u w:val="single"/>
        </w:rPr>
        <w:t xml:space="preserve">    </w:t>
      </w:r>
      <w:r>
        <w:rPr>
          <w:rFonts w:hint="eastAsia" w:asciiTheme="majorEastAsia" w:hAnsiTheme="majorEastAsia" w:eastAsiaTheme="majorEastAsia"/>
          <w:color w:val="auto"/>
          <w:sz w:val="24"/>
          <w:szCs w:val="24"/>
          <w:highlight w:val="none"/>
        </w:rPr>
        <w:t>万元，资产总额为</w:t>
      </w:r>
      <w:r>
        <w:rPr>
          <w:rFonts w:asciiTheme="majorEastAsia" w:hAnsiTheme="majorEastAsia" w:eastAsiaTheme="majorEastAsia"/>
          <w:color w:val="auto"/>
          <w:sz w:val="24"/>
          <w:szCs w:val="24"/>
          <w:highlight w:val="none"/>
          <w:u w:val="single"/>
        </w:rPr>
        <w:t xml:space="preserve">    </w:t>
      </w:r>
      <w:r>
        <w:rPr>
          <w:rFonts w:hint="eastAsia" w:asciiTheme="majorEastAsia" w:hAnsiTheme="majorEastAsia" w:eastAsiaTheme="majorEastAsia"/>
          <w:color w:val="auto"/>
          <w:sz w:val="24"/>
          <w:szCs w:val="24"/>
          <w:highlight w:val="none"/>
        </w:rPr>
        <w:t>万元，属于</w:t>
      </w:r>
      <w:r>
        <w:rPr>
          <w:rFonts w:asciiTheme="majorEastAsia" w:hAnsiTheme="majorEastAsia" w:eastAsiaTheme="majorEastAsia"/>
          <w:color w:val="auto"/>
          <w:sz w:val="24"/>
          <w:szCs w:val="24"/>
          <w:highlight w:val="none"/>
          <w:u w:val="single"/>
        </w:rPr>
        <w:t xml:space="preserve">    </w:t>
      </w:r>
      <w:r>
        <w:rPr>
          <w:rFonts w:hint="eastAsia" w:asciiTheme="majorEastAsia" w:hAnsiTheme="majorEastAsia" w:eastAsiaTheme="majorEastAsia"/>
          <w:color w:val="auto"/>
          <w:sz w:val="24"/>
          <w:szCs w:val="24"/>
          <w:highlight w:val="none"/>
        </w:rPr>
        <w:t>（中型企业、小型企业、微型企业）；</w:t>
      </w:r>
    </w:p>
    <w:p>
      <w:pPr>
        <w:pStyle w:val="24"/>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 xml:space="preserve">依据《政府采购促进中小企业发展管理办法》的规定，本企业不属于大企业的分支机构，不存在控股股东为大企业的情形，也不存在与大企业的负责人为同一人的情形。 </w:t>
      </w:r>
    </w:p>
    <w:p>
      <w:pPr>
        <w:pStyle w:val="24"/>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 xml:space="preserve">本企业对上述声明内容的真实性负责。如有虚假，将依法承担相应责任。 </w:t>
      </w:r>
    </w:p>
    <w:p>
      <w:pPr>
        <w:pStyle w:val="24"/>
        <w:spacing w:line="560" w:lineRule="exact"/>
        <w:ind w:firstLine="480" w:firstLineChars="200"/>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pStyle w:val="24"/>
        <w:spacing w:line="560" w:lineRule="exact"/>
        <w:ind w:firstLine="5760" w:firstLineChars="24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企业名称（盖章）：</w:t>
      </w:r>
    </w:p>
    <w:p>
      <w:pPr>
        <w:pStyle w:val="24"/>
        <w:spacing w:line="560" w:lineRule="exact"/>
        <w:ind w:firstLine="5760" w:firstLineChars="24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日</w:t>
      </w:r>
      <w:r>
        <w:rPr>
          <w:rFonts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rPr>
        <w:t>期：</w:t>
      </w:r>
    </w:p>
    <w:p>
      <w:pPr>
        <w:pStyle w:val="24"/>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注：</w:t>
      </w:r>
    </w:p>
    <w:p>
      <w:pPr>
        <w:pStyle w:val="24"/>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1、营业收入、资产总额填报上一年度数据，无上一年度数据的新成立企业可不填报。</w:t>
      </w:r>
    </w:p>
    <w:p>
      <w:pPr>
        <w:pStyle w:val="24"/>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2、《中小企业声明函》须按照本函格式填写，否则评标委员会有权视其为非中小企业，不享受免于提交投标保证金的优惠政策。</w:t>
      </w:r>
    </w:p>
    <w:p>
      <w:pPr>
        <w:pStyle w:val="24"/>
        <w:spacing w:line="56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3、招标人、招标代理机构将按有关规定公开《中小企业声明函》。</w:t>
      </w:r>
    </w:p>
    <w:p>
      <w:pPr>
        <w:widowControl/>
        <w:jc w:val="left"/>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br w:type="page"/>
      </w:r>
    </w:p>
    <w:p>
      <w:pPr>
        <w:pStyle w:val="24"/>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（二）关于投标保证金的承诺</w:t>
      </w:r>
    </w:p>
    <w:p>
      <w:pPr>
        <w:pStyle w:val="24"/>
        <w:spacing w:line="480" w:lineRule="auto"/>
        <w:ind w:firstLine="420" w:firstLineChars="200"/>
        <w:rPr>
          <w:rFonts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 xml:space="preserve"> </w:t>
      </w:r>
    </w:p>
    <w:p>
      <w:pPr>
        <w:autoSpaceDE w:val="0"/>
        <w:spacing w:line="480" w:lineRule="auto"/>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本招标项目招标人及招标监管机构：</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本公司就参加</w:t>
      </w:r>
      <w:r>
        <w:rPr>
          <w:rFonts w:hint="eastAsia" w:asciiTheme="majorEastAsia" w:hAnsiTheme="majorEastAsia" w:eastAsiaTheme="majorEastAsia"/>
          <w:color w:val="auto"/>
          <w:sz w:val="24"/>
          <w:szCs w:val="24"/>
          <w:highlight w:val="none"/>
          <w:u w:val="single"/>
        </w:rPr>
        <w:t xml:space="preserve">      （招标项目名称）     </w:t>
      </w:r>
      <w:r>
        <w:rPr>
          <w:rFonts w:hint="eastAsia" w:asciiTheme="majorEastAsia" w:hAnsiTheme="majorEastAsia" w:eastAsiaTheme="majorEastAsia"/>
          <w:color w:val="auto"/>
          <w:sz w:val="24"/>
          <w:szCs w:val="24"/>
          <w:highlight w:val="none"/>
        </w:rPr>
        <w:t>项目的投标工作，作出郑重声明：</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cs="华文仿宋" w:asciiTheme="majorEastAsia" w:hAnsiTheme="majorEastAsia" w:eastAsiaTheme="majorEastAsia"/>
          <w:color w:val="auto"/>
          <w:kern w:val="0"/>
          <w:sz w:val="24"/>
          <w:szCs w:val="24"/>
          <w:highlight w:val="none"/>
        </w:rPr>
        <w:t>一旦发生符合招标文件规定的不予退还投标保证金情形的，将</w:t>
      </w:r>
      <w:r>
        <w:rPr>
          <w:rFonts w:hint="eastAsia" w:asciiTheme="majorEastAsia" w:hAnsiTheme="majorEastAsia" w:eastAsiaTheme="majorEastAsia"/>
          <w:color w:val="auto"/>
          <w:sz w:val="24"/>
          <w:szCs w:val="24"/>
          <w:highlight w:val="none"/>
        </w:rPr>
        <w:t>按照招标人的要求，在规定的时间内向招标人足额补交投标保证金。</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本公司违反上述保证的，将被视为虚假承诺，按相关规定进行信用记录。本公司对失信行为产生的一切后果已知悉，并承担由此产生的相应责任。</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特此承诺。</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autoSpaceDE w:val="0"/>
        <w:spacing w:line="480" w:lineRule="auto"/>
        <w:ind w:firstLine="480" w:firstLineChars="200"/>
        <w:jc w:val="left"/>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p>
    <w:p>
      <w:pPr>
        <w:autoSpaceDE w:val="0"/>
        <w:spacing w:line="480" w:lineRule="auto"/>
        <w:ind w:firstLine="5760" w:firstLineChars="2400"/>
        <w:jc w:val="lef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投标人：</w:t>
      </w:r>
      <w:r>
        <w:rPr>
          <w:rFonts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rPr>
        <w:t>（盖章）</w:t>
      </w:r>
    </w:p>
    <w:p>
      <w:pPr>
        <w:spacing w:line="480" w:lineRule="auto"/>
        <w:jc w:val="center"/>
        <w:rPr>
          <w:rFonts w:asciiTheme="majorEastAsia" w:hAnsiTheme="majorEastAsia" w:eastAsiaTheme="majorEastAsia"/>
          <w:color w:val="auto"/>
          <w:sz w:val="24"/>
          <w:szCs w:val="24"/>
          <w:highlight w:val="none"/>
        </w:rPr>
      </w:pPr>
      <w:r>
        <w:rPr>
          <w:rFonts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rPr>
        <w:t xml:space="preserve">                     日</w:t>
      </w:r>
      <w:r>
        <w:rPr>
          <w:rFonts w:asciiTheme="majorEastAsia" w:hAnsiTheme="majorEastAsia" w:eastAsiaTheme="majorEastAsia"/>
          <w:color w:val="auto"/>
          <w:sz w:val="24"/>
          <w:szCs w:val="24"/>
          <w:highlight w:val="none"/>
        </w:rPr>
        <w:t xml:space="preserve">  </w:t>
      </w:r>
      <w:r>
        <w:rPr>
          <w:rFonts w:hint="eastAsia" w:asciiTheme="majorEastAsia" w:hAnsiTheme="majorEastAsia" w:eastAsiaTheme="majorEastAsia"/>
          <w:color w:val="auto"/>
          <w:sz w:val="24"/>
          <w:szCs w:val="24"/>
          <w:highlight w:val="none"/>
        </w:rPr>
        <w:t>期：</w:t>
      </w:r>
    </w:p>
    <w:p>
      <w:pPr>
        <w:pStyle w:val="34"/>
        <w:ind w:left="420"/>
        <w:rPr>
          <w:color w:val="auto"/>
          <w:highlight w:val="none"/>
        </w:rPr>
        <w:sectPr>
          <w:type w:val="nextColumn"/>
          <w:pgSz w:w="11907" w:h="16840"/>
          <w:pgMar w:top="1440" w:right="1514" w:bottom="1440" w:left="1514" w:header="851" w:footer="567" w:gutter="0"/>
          <w:cols w:space="0" w:num="1"/>
          <w:docGrid w:linePitch="312" w:charSpace="0"/>
        </w:sectPr>
      </w:pPr>
    </w:p>
    <w:p>
      <w:pPr>
        <w:keepNext/>
        <w:keepLines/>
        <w:spacing w:line="360" w:lineRule="auto"/>
        <w:jc w:val="left"/>
        <w:outlineLvl w:val="1"/>
        <w:rPr>
          <w:rFonts w:ascii="宋体" w:eastAsia="宋体" w:cs="Arial"/>
          <w:b/>
          <w:bCs/>
          <w:color w:val="auto"/>
          <w:kern w:val="0"/>
          <w:sz w:val="24"/>
          <w:szCs w:val="24"/>
          <w:highlight w:val="none"/>
        </w:rPr>
      </w:pPr>
      <w:bookmarkStart w:id="229" w:name="_Toc3386"/>
      <w:bookmarkStart w:id="230" w:name="_Toc23436"/>
      <w:r>
        <w:rPr>
          <w:rFonts w:hint="eastAsia" w:ascii="宋体" w:eastAsia="宋体" w:cs="Arial"/>
          <w:b/>
          <w:bCs/>
          <w:color w:val="auto"/>
          <w:kern w:val="0"/>
          <w:sz w:val="24"/>
          <w:szCs w:val="24"/>
          <w:highlight w:val="none"/>
        </w:rPr>
        <w:t>格式五：施工图审查单位组织机构表</w:t>
      </w:r>
      <w:bookmarkEnd w:id="229"/>
      <w:bookmarkEnd w:id="230"/>
    </w:p>
    <w:p>
      <w:pPr>
        <w:spacing w:line="360" w:lineRule="auto"/>
        <w:jc w:val="center"/>
        <w:rPr>
          <w:rFonts w:ascii="宋体" w:eastAsia="宋体" w:cs="宋体"/>
          <w:b/>
          <w:bCs/>
          <w:color w:val="auto"/>
          <w:sz w:val="32"/>
          <w:szCs w:val="32"/>
          <w:highlight w:val="none"/>
        </w:rPr>
      </w:pPr>
      <w:r>
        <w:rPr>
          <w:rFonts w:ascii="宋体" w:eastAsia="宋体" w:cs="宋体"/>
          <w:b/>
          <w:bCs/>
          <w:color w:val="auto"/>
          <w:sz w:val="32"/>
          <w:szCs w:val="32"/>
          <w:highlight w:val="none"/>
        </w:rPr>
        <w:t>施工图审查单位组织机构表</w:t>
      </w:r>
    </w:p>
    <w:tbl>
      <w:tblPr>
        <w:tblStyle w:val="46"/>
        <w:tblW w:w="8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2149"/>
        <w:gridCol w:w="1476"/>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9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1、简况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 w:val="24"/>
                <w:szCs w:val="24"/>
                <w:highlight w:val="none"/>
              </w:rPr>
            </w:pPr>
            <w:r>
              <w:rPr>
                <w:rFonts w:ascii="宋体" w:eastAsia="宋体" w:cs="宋体"/>
                <w:color w:val="auto"/>
                <w:sz w:val="24"/>
                <w:szCs w:val="24"/>
                <w:highlight w:val="none"/>
              </w:rPr>
              <w:t>单位名称</w:t>
            </w:r>
          </w:p>
        </w:tc>
        <w:tc>
          <w:tcPr>
            <w:tcW w:w="5948"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 w:val="24"/>
                <w:szCs w:val="24"/>
                <w:highlight w:val="none"/>
              </w:rPr>
            </w:pPr>
            <w:r>
              <w:rPr>
                <w:rFonts w:ascii="宋体" w:eastAsia="宋体" w:cs="宋体"/>
                <w:color w:val="auto"/>
                <w:sz w:val="24"/>
                <w:szCs w:val="24"/>
                <w:highlight w:val="none"/>
              </w:rPr>
              <w:t>上级管理单位名称：</w:t>
            </w:r>
          </w:p>
        </w:tc>
        <w:tc>
          <w:tcPr>
            <w:tcW w:w="5948"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 w:val="24"/>
                <w:szCs w:val="24"/>
                <w:highlight w:val="none"/>
              </w:rPr>
            </w:pPr>
            <w:r>
              <w:rPr>
                <w:rFonts w:ascii="宋体" w:eastAsia="宋体" w:cs="宋体"/>
                <w:color w:val="auto"/>
                <w:sz w:val="24"/>
                <w:szCs w:val="24"/>
                <w:highlight w:val="none"/>
              </w:rPr>
              <w:t>成立日期：</w:t>
            </w:r>
          </w:p>
        </w:tc>
        <w:tc>
          <w:tcPr>
            <w:tcW w:w="5948"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s="宋体"/>
                <w:color w:val="auto"/>
                <w:sz w:val="24"/>
                <w:szCs w:val="24"/>
                <w:highlight w:val="none"/>
              </w:rPr>
            </w:pPr>
            <w:r>
              <w:rPr>
                <w:rFonts w:ascii="宋体" w:eastAsia="宋体" w:cs="宋体"/>
                <w:color w:val="auto"/>
                <w:sz w:val="24"/>
                <w:szCs w:val="24"/>
                <w:highlight w:val="none"/>
              </w:rPr>
              <w:t>本届领导班子起始日期：</w:t>
            </w:r>
          </w:p>
        </w:tc>
        <w:tc>
          <w:tcPr>
            <w:tcW w:w="5948"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92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2、法定代表人及领导层名单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姓名</w:t>
            </w:r>
          </w:p>
        </w:tc>
        <w:tc>
          <w:tcPr>
            <w:tcW w:w="2149"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职务</w:t>
            </w:r>
          </w:p>
        </w:tc>
        <w:tc>
          <w:tcPr>
            <w:tcW w:w="14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职称</w:t>
            </w:r>
          </w:p>
        </w:tc>
        <w:tc>
          <w:tcPr>
            <w:tcW w:w="2323"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149"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14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323"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149"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14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323"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149"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1476"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c>
          <w:tcPr>
            <w:tcW w:w="2323" w:type="dxa"/>
            <w:tcBorders>
              <w:top w:val="single" w:color="auto" w:sz="4" w:space="0"/>
              <w:left w:val="nil"/>
              <w:bottom w:val="single" w:color="auto" w:sz="4" w:space="0"/>
              <w:right w:val="single" w:color="auto" w:sz="4" w:space="0"/>
            </w:tcBorders>
            <w:vAlign w:val="center"/>
          </w:tcPr>
          <w:p>
            <w:pPr>
              <w:spacing w:line="360" w:lineRule="auto"/>
              <w:jc w:val="center"/>
              <w:rPr>
                <w:rFonts w:asci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2" w:hRule="atLeast"/>
          <w:jc w:val="center"/>
        </w:trPr>
        <w:tc>
          <w:tcPr>
            <w:tcW w:w="8920" w:type="dxa"/>
            <w:gridSpan w:val="4"/>
            <w:tcBorders>
              <w:top w:val="single" w:color="auto" w:sz="4" w:space="0"/>
              <w:left w:val="single" w:color="auto" w:sz="4" w:space="0"/>
              <w:bottom w:val="single" w:color="auto" w:sz="4" w:space="0"/>
              <w:right w:val="single" w:color="auto" w:sz="4" w:space="0"/>
            </w:tcBorders>
          </w:tcPr>
          <w:p>
            <w:pPr>
              <w:spacing w:line="360" w:lineRule="auto"/>
              <w:jc w:val="center"/>
              <w:rPr>
                <w:rFonts w:ascii="宋体" w:eastAsia="宋体" w:cs="宋体"/>
                <w:color w:val="auto"/>
                <w:sz w:val="24"/>
                <w:szCs w:val="24"/>
                <w:highlight w:val="none"/>
              </w:rPr>
            </w:pPr>
          </w:p>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3、组织机构框图</w:t>
            </w:r>
          </w:p>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以框图的形式表示出组织机构、负责人及各职能部门</w:t>
            </w:r>
          </w:p>
        </w:tc>
      </w:tr>
    </w:tbl>
    <w:p>
      <w:pPr>
        <w:spacing w:line="360" w:lineRule="auto"/>
        <w:ind w:firstLine="435"/>
        <w:rPr>
          <w:rFonts w:ascii="宋体" w:eastAsia="宋体" w:cs="宋体"/>
          <w:color w:val="auto"/>
          <w:sz w:val="24"/>
          <w:szCs w:val="24"/>
          <w:highlight w:val="none"/>
        </w:rPr>
      </w:pPr>
    </w:p>
    <w:p>
      <w:pPr>
        <w:spacing w:line="360" w:lineRule="auto"/>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投标单位（盖公章）：</w:t>
      </w:r>
      <w:r>
        <w:rPr>
          <w:rFonts w:hint="eastAsia" w:ascii="宋体" w:eastAsia="宋体" w:cs="宋体"/>
          <w:color w:val="auto"/>
          <w:sz w:val="24"/>
          <w:szCs w:val="24"/>
          <w:highlight w:val="none"/>
          <w:u w:val="single"/>
        </w:rPr>
        <w:t xml:space="preserve">                         </w:t>
      </w:r>
    </w:p>
    <w:p>
      <w:pPr>
        <w:spacing w:line="360" w:lineRule="auto"/>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法定代表人或授权委托人（签字或盖章）</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p>
    <w:p>
      <w:pPr>
        <w:spacing w:line="360" w:lineRule="auto"/>
        <w:ind w:right="53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日期：</w:t>
      </w:r>
      <w:r>
        <w:rPr>
          <w:rFonts w:hint="eastAsia"/>
          <w:color w:val="auto"/>
          <w:sz w:val="24"/>
          <w:szCs w:val="24"/>
          <w:highlight w:val="none"/>
          <w:u w:val="single"/>
        </w:rPr>
        <w:t xml:space="preserve">    </w:t>
      </w:r>
      <w:r>
        <w:rPr>
          <w:rFonts w:ascii="宋体" w:eastAsia="宋体"/>
          <w:color w:val="auto"/>
          <w:sz w:val="24"/>
          <w:szCs w:val="24"/>
          <w:highlight w:val="none"/>
        </w:rPr>
        <w:t>年</w:t>
      </w:r>
      <w:r>
        <w:rPr>
          <w:rFonts w:hint="eastAsia"/>
          <w:color w:val="auto"/>
          <w:sz w:val="24"/>
          <w:szCs w:val="24"/>
          <w:highlight w:val="none"/>
          <w:u w:val="single"/>
        </w:rPr>
        <w:t xml:space="preserve">   </w:t>
      </w:r>
      <w:r>
        <w:rPr>
          <w:rFonts w:ascii="宋体" w:eastAsia="宋体"/>
          <w:color w:val="auto"/>
          <w:sz w:val="24"/>
          <w:szCs w:val="24"/>
          <w:highlight w:val="none"/>
        </w:rPr>
        <w:t>月</w:t>
      </w:r>
      <w:r>
        <w:rPr>
          <w:rFonts w:hint="eastAsia"/>
          <w:color w:val="auto"/>
          <w:sz w:val="24"/>
          <w:szCs w:val="24"/>
          <w:highlight w:val="none"/>
          <w:u w:val="single"/>
        </w:rPr>
        <w:t xml:space="preserve">   </w:t>
      </w:r>
      <w:r>
        <w:rPr>
          <w:rFonts w:ascii="宋体" w:eastAsia="宋体" w:cs="宋体"/>
          <w:color w:val="auto"/>
          <w:sz w:val="24"/>
          <w:szCs w:val="24"/>
          <w:highlight w:val="none"/>
        </w:rPr>
        <w:t>日</w:t>
      </w:r>
    </w:p>
    <w:p>
      <w:pPr>
        <w:spacing w:line="360" w:lineRule="auto"/>
        <w:ind w:firstLine="435"/>
        <w:rPr>
          <w:rFonts w:ascii="宋体" w:eastAsia="宋体" w:cs="宋体"/>
          <w:color w:val="auto"/>
          <w:sz w:val="24"/>
          <w:szCs w:val="24"/>
          <w:highlight w:val="none"/>
        </w:rPr>
      </w:pPr>
    </w:p>
    <w:p>
      <w:pPr>
        <w:widowControl/>
        <w:spacing w:line="360" w:lineRule="auto"/>
        <w:jc w:val="left"/>
        <w:rPr>
          <w:rFonts w:ascii="宋体" w:eastAsia="宋体" w:cs="宋体"/>
          <w:b/>
          <w:bCs/>
          <w:color w:val="auto"/>
          <w:sz w:val="24"/>
          <w:szCs w:val="24"/>
          <w:highlight w:val="none"/>
        </w:rPr>
        <w:sectPr>
          <w:type w:val="nextColumn"/>
          <w:pgSz w:w="11907" w:h="16840"/>
          <w:pgMar w:top="1440" w:right="1514" w:bottom="1440" w:left="1514" w:header="851" w:footer="567" w:gutter="0"/>
          <w:cols w:space="0" w:num="1"/>
          <w:docGrid w:linePitch="312" w:charSpace="0"/>
        </w:sectPr>
      </w:pPr>
    </w:p>
    <w:p>
      <w:pPr>
        <w:keepNext/>
        <w:keepLines/>
        <w:spacing w:line="360" w:lineRule="auto"/>
        <w:jc w:val="left"/>
        <w:outlineLvl w:val="1"/>
        <w:rPr>
          <w:rFonts w:ascii="宋体" w:eastAsia="宋体" w:cs="宋体"/>
          <w:color w:val="auto"/>
          <w:sz w:val="36"/>
          <w:szCs w:val="36"/>
          <w:highlight w:val="none"/>
        </w:rPr>
      </w:pPr>
      <w:bookmarkStart w:id="231" w:name="_Toc27510"/>
      <w:bookmarkStart w:id="232" w:name="_Toc8179"/>
      <w:r>
        <w:rPr>
          <w:rFonts w:ascii="宋体" w:eastAsia="宋体" w:cs="宋体"/>
          <w:b/>
          <w:bCs/>
          <w:color w:val="auto"/>
          <w:sz w:val="24"/>
          <w:szCs w:val="24"/>
          <w:highlight w:val="none"/>
        </w:rPr>
        <w:t>格式六：工程业绩表</w:t>
      </w:r>
      <w:bookmarkEnd w:id="231"/>
      <w:bookmarkEnd w:id="232"/>
    </w:p>
    <w:p>
      <w:pPr>
        <w:spacing w:line="360" w:lineRule="auto"/>
        <w:jc w:val="center"/>
        <w:rPr>
          <w:rFonts w:ascii="宋体" w:eastAsia="宋体" w:cs="宋体"/>
          <w:b/>
          <w:bCs/>
          <w:color w:val="auto"/>
          <w:sz w:val="32"/>
          <w:szCs w:val="32"/>
          <w:highlight w:val="none"/>
        </w:rPr>
      </w:pPr>
      <w:r>
        <w:rPr>
          <w:rFonts w:ascii="宋体" w:eastAsia="宋体" w:cs="宋体"/>
          <w:b/>
          <w:bCs/>
          <w:color w:val="auto"/>
          <w:sz w:val="32"/>
          <w:szCs w:val="32"/>
          <w:highlight w:val="none"/>
        </w:rPr>
        <w:t>工程业绩表</w:t>
      </w:r>
    </w:p>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w:t>
      </w:r>
      <w:r>
        <w:rPr>
          <w:rFonts w:ascii="宋体" w:eastAsia="宋体" w:cs="宋体"/>
          <w:color w:val="auto"/>
          <w:sz w:val="24"/>
          <w:szCs w:val="24"/>
          <w:highlight w:val="none"/>
          <w:u w:val="single"/>
        </w:rPr>
        <w:t>201</w:t>
      </w:r>
      <w:r>
        <w:rPr>
          <w:rFonts w:hint="eastAsia" w:ascii="宋体" w:eastAsia="宋体" w:cs="宋体"/>
          <w:color w:val="auto"/>
          <w:sz w:val="24"/>
          <w:szCs w:val="24"/>
          <w:highlight w:val="none"/>
          <w:u w:val="single"/>
          <w:lang w:val="en-US" w:eastAsia="zh-CN"/>
        </w:rPr>
        <w:t>7</w:t>
      </w:r>
      <w:r>
        <w:rPr>
          <w:rFonts w:ascii="宋体" w:eastAsia="宋体" w:cs="宋体"/>
          <w:color w:val="auto"/>
          <w:sz w:val="24"/>
          <w:szCs w:val="24"/>
          <w:highlight w:val="none"/>
          <w:u w:val="single"/>
        </w:rPr>
        <w:t>年1月1日</w:t>
      </w:r>
      <w:r>
        <w:rPr>
          <w:rFonts w:ascii="宋体" w:eastAsia="宋体" w:cs="宋体"/>
          <w:color w:val="auto"/>
          <w:sz w:val="24"/>
          <w:szCs w:val="24"/>
          <w:highlight w:val="none"/>
        </w:rPr>
        <w:t>至投标文件递交截至时间止）</w:t>
      </w:r>
    </w:p>
    <w:tbl>
      <w:tblPr>
        <w:tblStyle w:val="46"/>
        <w:tblW w:w="892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69"/>
        <w:gridCol w:w="6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15" w:hRule="atLeast"/>
          <w:jc w:val="center"/>
        </w:trPr>
        <w:tc>
          <w:tcPr>
            <w:tcW w:w="8920" w:type="dxa"/>
            <w:gridSpan w:val="2"/>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工程名称：</w:t>
            </w:r>
          </w:p>
          <w:p>
            <w:pPr>
              <w:spacing w:before="50" w:after="50" w:line="360" w:lineRule="auto"/>
              <w:rPr>
                <w:rFonts w:asci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97" w:hRule="atLeast"/>
          <w:jc w:val="center"/>
        </w:trPr>
        <w:tc>
          <w:tcPr>
            <w:tcW w:w="8920" w:type="dxa"/>
            <w:gridSpan w:val="2"/>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合同签订时间：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77" w:hRule="atLeast"/>
          <w:jc w:val="center"/>
        </w:trPr>
        <w:tc>
          <w:tcPr>
            <w:tcW w:w="8920" w:type="dxa"/>
            <w:gridSpan w:val="2"/>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工程概况：</w:t>
            </w:r>
          </w:p>
          <w:p>
            <w:pPr>
              <w:spacing w:before="50" w:after="50" w:line="360" w:lineRule="auto"/>
              <w:rPr>
                <w:rFonts w:asci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296" w:hRule="atLeast"/>
          <w:jc w:val="center"/>
        </w:trPr>
        <w:tc>
          <w:tcPr>
            <w:tcW w:w="2069" w:type="dxa"/>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主要施工图审查人员</w:t>
            </w:r>
          </w:p>
        </w:tc>
        <w:tc>
          <w:tcPr>
            <w:tcW w:w="6851" w:type="dxa"/>
            <w:tcBorders>
              <w:top w:val="single" w:color="auto" w:sz="6" w:space="0"/>
              <w:left w:val="nil"/>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p>
          <w:p>
            <w:pPr>
              <w:spacing w:before="50" w:after="50" w:line="360" w:lineRule="auto"/>
              <w:rPr>
                <w:rFonts w:asci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11" w:hRule="atLeast"/>
          <w:jc w:val="center"/>
        </w:trPr>
        <w:tc>
          <w:tcPr>
            <w:tcW w:w="2069" w:type="dxa"/>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施工图审查概况</w:t>
            </w:r>
          </w:p>
        </w:tc>
        <w:tc>
          <w:tcPr>
            <w:tcW w:w="6851" w:type="dxa"/>
            <w:tcBorders>
              <w:top w:val="single" w:color="auto" w:sz="6" w:space="0"/>
              <w:left w:val="nil"/>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78" w:hRule="atLeast"/>
          <w:jc w:val="center"/>
        </w:trPr>
        <w:tc>
          <w:tcPr>
            <w:tcW w:w="2069" w:type="dxa"/>
            <w:tcBorders>
              <w:top w:val="single" w:color="auto" w:sz="6" w:space="0"/>
              <w:left w:val="single" w:color="auto" w:sz="6" w:space="0"/>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r>
              <w:rPr>
                <w:rFonts w:ascii="宋体" w:eastAsia="宋体" w:cs="宋体"/>
                <w:color w:val="auto"/>
                <w:sz w:val="24"/>
                <w:szCs w:val="24"/>
                <w:highlight w:val="none"/>
              </w:rPr>
              <w:t>工作质量评价</w:t>
            </w:r>
          </w:p>
        </w:tc>
        <w:tc>
          <w:tcPr>
            <w:tcW w:w="6851" w:type="dxa"/>
            <w:tcBorders>
              <w:top w:val="single" w:color="auto" w:sz="6" w:space="0"/>
              <w:left w:val="nil"/>
              <w:bottom w:val="single" w:color="auto" w:sz="6" w:space="0"/>
              <w:right w:val="single" w:color="auto" w:sz="6" w:space="0"/>
            </w:tcBorders>
            <w:tcMar>
              <w:top w:w="57" w:type="dxa"/>
              <w:bottom w:w="57" w:type="dxa"/>
            </w:tcMar>
            <w:vAlign w:val="center"/>
          </w:tcPr>
          <w:p>
            <w:pPr>
              <w:spacing w:before="50" w:after="50" w:line="360" w:lineRule="auto"/>
              <w:rPr>
                <w:rFonts w:ascii="宋体" w:eastAsia="宋体" w:cs="宋体"/>
                <w:color w:val="auto"/>
                <w:sz w:val="24"/>
                <w:szCs w:val="24"/>
                <w:highlight w:val="none"/>
              </w:rPr>
            </w:pPr>
          </w:p>
        </w:tc>
      </w:tr>
    </w:tbl>
    <w:p>
      <w:pPr>
        <w:spacing w:before="50" w:after="50" w:line="360" w:lineRule="auto"/>
        <w:rPr>
          <w:rFonts w:ascii="宋体" w:eastAsia="宋体" w:cs="宋体"/>
          <w:color w:val="auto"/>
          <w:kern w:val="0"/>
          <w:sz w:val="24"/>
          <w:szCs w:val="24"/>
          <w:highlight w:val="none"/>
        </w:rPr>
      </w:pPr>
      <w:r>
        <w:rPr>
          <w:rFonts w:ascii="宋体" w:eastAsia="宋体" w:cs="宋体"/>
          <w:color w:val="auto"/>
          <w:kern w:val="0"/>
          <w:sz w:val="24"/>
          <w:szCs w:val="24"/>
          <w:highlight w:val="none"/>
        </w:rPr>
        <w:t>注：需根据评审办法要求提供证明文件。</w:t>
      </w:r>
    </w:p>
    <w:p>
      <w:pPr>
        <w:spacing w:line="360" w:lineRule="auto"/>
        <w:rPr>
          <w:rFonts w:ascii="宋体" w:eastAsia="宋体" w:cs="宋体"/>
          <w:color w:val="auto"/>
          <w:sz w:val="24"/>
          <w:szCs w:val="24"/>
          <w:highlight w:val="none"/>
        </w:rPr>
      </w:pPr>
    </w:p>
    <w:p>
      <w:pPr>
        <w:spacing w:line="360" w:lineRule="auto"/>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投标单位（盖公章）：</w:t>
      </w:r>
      <w:r>
        <w:rPr>
          <w:rFonts w:hint="eastAsia" w:ascii="宋体" w:eastAsia="宋体" w:cs="宋体"/>
          <w:color w:val="auto"/>
          <w:sz w:val="24"/>
          <w:szCs w:val="24"/>
          <w:highlight w:val="none"/>
          <w:u w:val="single"/>
        </w:rPr>
        <w:t xml:space="preserve">                         </w:t>
      </w:r>
    </w:p>
    <w:p>
      <w:pPr>
        <w:spacing w:line="360" w:lineRule="auto"/>
        <w:ind w:right="-10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法定代表人或授权委托人（签字或盖章）</w:t>
      </w:r>
      <w:r>
        <w:rPr>
          <w:rFonts w:hint="eastAsia" w:ascii="宋体" w:eastAsia="宋体" w:cs="宋体"/>
          <w:color w:val="auto"/>
          <w:sz w:val="24"/>
          <w:szCs w:val="24"/>
          <w:highlight w:val="none"/>
        </w:rPr>
        <w:t>：</w:t>
      </w:r>
      <w:r>
        <w:rPr>
          <w:rFonts w:hint="eastAsia" w:ascii="宋体" w:eastAsia="宋体" w:cs="宋体"/>
          <w:color w:val="auto"/>
          <w:sz w:val="24"/>
          <w:szCs w:val="24"/>
          <w:highlight w:val="none"/>
          <w:u w:val="single"/>
        </w:rPr>
        <w:t xml:space="preserve">                 </w:t>
      </w:r>
    </w:p>
    <w:p>
      <w:pPr>
        <w:spacing w:line="360" w:lineRule="auto"/>
        <w:ind w:right="538" w:firstLine="480" w:firstLineChars="200"/>
        <w:rPr>
          <w:rFonts w:ascii="宋体" w:eastAsia="宋体" w:cs="宋体"/>
          <w:color w:val="auto"/>
          <w:sz w:val="24"/>
          <w:szCs w:val="24"/>
          <w:highlight w:val="none"/>
        </w:rPr>
      </w:pPr>
      <w:r>
        <w:rPr>
          <w:rFonts w:ascii="宋体" w:eastAsia="宋体" w:cs="宋体"/>
          <w:color w:val="auto"/>
          <w:sz w:val="24"/>
          <w:szCs w:val="24"/>
          <w:highlight w:val="none"/>
        </w:rPr>
        <w:t>日期：</w:t>
      </w:r>
      <w:r>
        <w:rPr>
          <w:rFonts w:hint="eastAsia"/>
          <w:color w:val="auto"/>
          <w:sz w:val="24"/>
          <w:szCs w:val="24"/>
          <w:highlight w:val="none"/>
          <w:u w:val="single"/>
        </w:rPr>
        <w:t xml:space="preserve">    </w:t>
      </w:r>
      <w:r>
        <w:rPr>
          <w:rFonts w:ascii="宋体" w:eastAsia="宋体"/>
          <w:color w:val="auto"/>
          <w:sz w:val="24"/>
          <w:szCs w:val="24"/>
          <w:highlight w:val="none"/>
        </w:rPr>
        <w:t>年</w:t>
      </w:r>
      <w:r>
        <w:rPr>
          <w:rFonts w:hint="eastAsia"/>
          <w:color w:val="auto"/>
          <w:sz w:val="24"/>
          <w:szCs w:val="24"/>
          <w:highlight w:val="none"/>
          <w:u w:val="single"/>
        </w:rPr>
        <w:t xml:space="preserve">   </w:t>
      </w:r>
      <w:r>
        <w:rPr>
          <w:rFonts w:ascii="宋体" w:eastAsia="宋体"/>
          <w:color w:val="auto"/>
          <w:sz w:val="24"/>
          <w:szCs w:val="24"/>
          <w:highlight w:val="none"/>
        </w:rPr>
        <w:t>月</w:t>
      </w:r>
      <w:r>
        <w:rPr>
          <w:rFonts w:hint="eastAsia"/>
          <w:color w:val="auto"/>
          <w:sz w:val="24"/>
          <w:szCs w:val="24"/>
          <w:highlight w:val="none"/>
          <w:u w:val="single"/>
        </w:rPr>
        <w:t xml:space="preserve">   </w:t>
      </w:r>
      <w:r>
        <w:rPr>
          <w:rFonts w:ascii="宋体" w:eastAsia="宋体" w:cs="宋体"/>
          <w:color w:val="auto"/>
          <w:sz w:val="24"/>
          <w:szCs w:val="24"/>
          <w:highlight w:val="none"/>
        </w:rPr>
        <w:t>日</w:t>
      </w:r>
    </w:p>
    <w:p>
      <w:pPr>
        <w:keepNext/>
        <w:keepLines/>
        <w:spacing w:line="360" w:lineRule="auto"/>
        <w:jc w:val="left"/>
        <w:outlineLvl w:val="1"/>
        <w:rPr>
          <w:rFonts w:ascii="宋体" w:eastAsia="宋体" w:cs="宋体"/>
          <w:b/>
          <w:bCs/>
          <w:color w:val="auto"/>
          <w:sz w:val="24"/>
          <w:szCs w:val="24"/>
          <w:highlight w:val="none"/>
        </w:rPr>
      </w:pPr>
      <w:r>
        <w:rPr>
          <w:rFonts w:ascii="宋体" w:eastAsia="宋体" w:cs="宋体"/>
          <w:b/>
          <w:color w:val="auto"/>
          <w:position w:val="12"/>
          <w:sz w:val="28"/>
          <w:szCs w:val="28"/>
          <w:highlight w:val="none"/>
        </w:rPr>
        <w:br w:type="page"/>
      </w:r>
      <w:bookmarkStart w:id="233" w:name="_Toc23948"/>
      <w:bookmarkStart w:id="234" w:name="_Toc5560"/>
      <w:r>
        <w:rPr>
          <w:rFonts w:ascii="宋体" w:eastAsia="宋体" w:cs="宋体"/>
          <w:b/>
          <w:bCs/>
          <w:color w:val="auto"/>
          <w:sz w:val="24"/>
          <w:szCs w:val="24"/>
          <w:highlight w:val="none"/>
        </w:rPr>
        <w:t>格式七：拟在本工程任职的主要人员一览表</w:t>
      </w:r>
      <w:bookmarkEnd w:id="233"/>
      <w:bookmarkEnd w:id="234"/>
    </w:p>
    <w:p>
      <w:pPr>
        <w:spacing w:line="360" w:lineRule="auto"/>
        <w:ind w:firstLine="480"/>
        <w:jc w:val="center"/>
        <w:rPr>
          <w:rFonts w:ascii="宋体" w:eastAsia="宋体" w:cs="宋体"/>
          <w:b/>
          <w:bCs/>
          <w:color w:val="auto"/>
          <w:sz w:val="24"/>
          <w:szCs w:val="24"/>
          <w:highlight w:val="none"/>
        </w:rPr>
      </w:pPr>
      <w:r>
        <w:rPr>
          <w:rFonts w:hint="eastAsia" w:ascii="宋体" w:eastAsia="宋体" w:cs="宋体"/>
          <w:b/>
          <w:bCs/>
          <w:color w:val="auto"/>
          <w:sz w:val="24"/>
          <w:szCs w:val="24"/>
          <w:highlight w:val="none"/>
        </w:rPr>
        <w:t>拟投入本工程的主要人员一览表</w:t>
      </w:r>
    </w:p>
    <w:tbl>
      <w:tblPr>
        <w:tblStyle w:val="46"/>
        <w:tblW w:w="10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
      <w:tblGrid>
        <w:gridCol w:w="1090"/>
        <w:gridCol w:w="1032"/>
        <w:gridCol w:w="4856"/>
        <w:gridCol w:w="1045"/>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cantSplit/>
          <w:trHeight w:val="762" w:hRule="atLeast"/>
          <w:jc w:val="center"/>
        </w:trPr>
        <w:tc>
          <w:tcPr>
            <w:tcW w:w="2122" w:type="dxa"/>
            <w:gridSpan w:val="2"/>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专业要求</w:t>
            </w:r>
          </w:p>
        </w:tc>
        <w:tc>
          <w:tcPr>
            <w:tcW w:w="4856"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  历  要  求</w:t>
            </w:r>
          </w:p>
        </w:tc>
        <w:tc>
          <w:tcPr>
            <w:tcW w:w="1045"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招标人数要求</w:t>
            </w:r>
          </w:p>
        </w:tc>
        <w:tc>
          <w:tcPr>
            <w:tcW w:w="2547"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投标人达到程度的简述</w:t>
            </w:r>
          </w:p>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cantSplit/>
          <w:trHeight w:val="876" w:hRule="atLeast"/>
          <w:jc w:val="center"/>
        </w:trPr>
        <w:tc>
          <w:tcPr>
            <w:tcW w:w="2122" w:type="dxa"/>
            <w:gridSpan w:val="2"/>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856"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基本要求：满足招标公告的要求</w:t>
            </w:r>
          </w:p>
        </w:tc>
        <w:tc>
          <w:tcPr>
            <w:tcW w:w="1045"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c>
          <w:tcPr>
            <w:tcW w:w="2547" w:type="dxa"/>
            <w:vAlign w:val="center"/>
          </w:tcPr>
          <w:p>
            <w:pPr>
              <w:spacing w:line="320" w:lineRule="exact"/>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cantSplit/>
          <w:trHeight w:val="1099" w:hRule="atLeast"/>
          <w:jc w:val="center"/>
        </w:trPr>
        <w:tc>
          <w:tcPr>
            <w:tcW w:w="1090" w:type="dxa"/>
            <w:vMerge w:val="restart"/>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各专业人员</w:t>
            </w:r>
          </w:p>
        </w:tc>
        <w:tc>
          <w:tcPr>
            <w:tcW w:w="1032"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w:t>
            </w:r>
          </w:p>
        </w:tc>
        <w:tc>
          <w:tcPr>
            <w:tcW w:w="4856"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从业年限不低于15年，具有注册公用设备工程师（给水排水）资格</w:t>
            </w:r>
          </w:p>
        </w:tc>
        <w:tc>
          <w:tcPr>
            <w:tcW w:w="104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c>
          <w:tcPr>
            <w:tcW w:w="2547" w:type="dxa"/>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cantSplit/>
          <w:trHeight w:val="1099" w:hRule="atLeast"/>
          <w:jc w:val="center"/>
        </w:trPr>
        <w:tc>
          <w:tcPr>
            <w:tcW w:w="1090" w:type="dxa"/>
            <w:vMerge w:val="continue"/>
            <w:vAlign w:val="center"/>
          </w:tcPr>
          <w:p>
            <w:pPr>
              <w:spacing w:line="320" w:lineRule="exact"/>
              <w:jc w:val="center"/>
              <w:rPr>
                <w:rFonts w:ascii="宋体" w:hAnsi="宋体" w:eastAsia="宋体" w:cs="宋体"/>
                <w:color w:val="auto"/>
                <w:sz w:val="24"/>
                <w:szCs w:val="24"/>
                <w:highlight w:val="none"/>
              </w:rPr>
            </w:pPr>
          </w:p>
        </w:tc>
        <w:tc>
          <w:tcPr>
            <w:tcW w:w="1032"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结构</w:t>
            </w:r>
          </w:p>
        </w:tc>
        <w:tc>
          <w:tcPr>
            <w:tcW w:w="4856"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从业年限不低于15年，具有一级注册结构工程师资格</w:t>
            </w:r>
          </w:p>
        </w:tc>
        <w:tc>
          <w:tcPr>
            <w:tcW w:w="104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c>
          <w:tcPr>
            <w:tcW w:w="2547" w:type="dxa"/>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cantSplit/>
          <w:trHeight w:val="1099" w:hRule="atLeast"/>
          <w:jc w:val="center"/>
        </w:trPr>
        <w:tc>
          <w:tcPr>
            <w:tcW w:w="1090" w:type="dxa"/>
            <w:vMerge w:val="continue"/>
            <w:vAlign w:val="center"/>
          </w:tcPr>
          <w:p>
            <w:pPr>
              <w:spacing w:line="320" w:lineRule="exact"/>
              <w:jc w:val="center"/>
              <w:rPr>
                <w:rFonts w:ascii="宋体" w:hAnsi="宋体" w:eastAsia="宋体" w:cs="宋体"/>
                <w:color w:val="auto"/>
                <w:sz w:val="24"/>
                <w:szCs w:val="24"/>
                <w:highlight w:val="none"/>
              </w:rPr>
            </w:pPr>
          </w:p>
        </w:tc>
        <w:tc>
          <w:tcPr>
            <w:tcW w:w="1032"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w:t>
            </w:r>
          </w:p>
        </w:tc>
        <w:tc>
          <w:tcPr>
            <w:tcW w:w="4856"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从业年限不低于15年，具有注册土木工程师（岩土）资格</w:t>
            </w:r>
          </w:p>
        </w:tc>
        <w:tc>
          <w:tcPr>
            <w:tcW w:w="104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c>
          <w:tcPr>
            <w:tcW w:w="2547" w:type="dxa"/>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cantSplit/>
          <w:trHeight w:val="1099" w:hRule="atLeast"/>
          <w:jc w:val="center"/>
        </w:trPr>
        <w:tc>
          <w:tcPr>
            <w:tcW w:w="1090" w:type="dxa"/>
            <w:vMerge w:val="continue"/>
            <w:vAlign w:val="center"/>
          </w:tcPr>
          <w:p>
            <w:pPr>
              <w:spacing w:line="320" w:lineRule="exact"/>
              <w:jc w:val="center"/>
              <w:rPr>
                <w:rFonts w:ascii="宋体" w:hAnsi="宋体" w:eastAsia="宋体" w:cs="宋体"/>
                <w:color w:val="auto"/>
                <w:sz w:val="24"/>
                <w:szCs w:val="24"/>
                <w:highlight w:val="none"/>
              </w:rPr>
            </w:pPr>
          </w:p>
        </w:tc>
        <w:tc>
          <w:tcPr>
            <w:tcW w:w="1032"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道路</w:t>
            </w:r>
          </w:p>
        </w:tc>
        <w:tc>
          <w:tcPr>
            <w:tcW w:w="4856"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从业年限不低于15年，具有市政或路桥专业高级工程师（或以上）职称证</w:t>
            </w:r>
          </w:p>
        </w:tc>
        <w:tc>
          <w:tcPr>
            <w:tcW w:w="104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c>
          <w:tcPr>
            <w:tcW w:w="2547" w:type="dxa"/>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cantSplit/>
          <w:trHeight w:val="1099" w:hRule="atLeast"/>
          <w:jc w:val="center"/>
        </w:trPr>
        <w:tc>
          <w:tcPr>
            <w:tcW w:w="1090" w:type="dxa"/>
            <w:vMerge w:val="continue"/>
            <w:vAlign w:val="center"/>
          </w:tcPr>
          <w:p>
            <w:pPr>
              <w:spacing w:line="320" w:lineRule="exact"/>
              <w:jc w:val="center"/>
              <w:rPr>
                <w:rFonts w:ascii="宋体" w:hAnsi="宋体" w:eastAsia="宋体" w:cs="宋体"/>
                <w:color w:val="auto"/>
                <w:sz w:val="24"/>
                <w:szCs w:val="24"/>
                <w:highlight w:val="none"/>
              </w:rPr>
            </w:pPr>
          </w:p>
        </w:tc>
        <w:tc>
          <w:tcPr>
            <w:tcW w:w="1032"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建筑</w:t>
            </w:r>
          </w:p>
        </w:tc>
        <w:tc>
          <w:tcPr>
            <w:tcW w:w="4856"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从业年限不低于15年，具有一级注册建筑师资格</w:t>
            </w:r>
          </w:p>
        </w:tc>
        <w:tc>
          <w:tcPr>
            <w:tcW w:w="104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c>
          <w:tcPr>
            <w:tcW w:w="2547" w:type="dxa"/>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cantSplit/>
          <w:trHeight w:val="1099" w:hRule="atLeast"/>
          <w:jc w:val="center"/>
        </w:trPr>
        <w:tc>
          <w:tcPr>
            <w:tcW w:w="1090" w:type="dxa"/>
            <w:vMerge w:val="continue"/>
            <w:vAlign w:val="center"/>
          </w:tcPr>
          <w:p>
            <w:pPr>
              <w:spacing w:line="320" w:lineRule="exact"/>
              <w:jc w:val="center"/>
              <w:rPr>
                <w:rFonts w:ascii="宋体" w:hAnsi="宋体" w:eastAsia="宋体" w:cs="宋体"/>
                <w:color w:val="auto"/>
                <w:sz w:val="24"/>
                <w:szCs w:val="24"/>
                <w:highlight w:val="none"/>
              </w:rPr>
            </w:pPr>
          </w:p>
        </w:tc>
        <w:tc>
          <w:tcPr>
            <w:tcW w:w="1032" w:type="dxa"/>
            <w:vAlign w:val="center"/>
          </w:tcPr>
          <w:p>
            <w:pPr>
              <w:spacing w:line="3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电气</w:t>
            </w:r>
          </w:p>
        </w:tc>
        <w:tc>
          <w:tcPr>
            <w:tcW w:w="4856" w:type="dxa"/>
            <w:vAlign w:val="center"/>
          </w:tcPr>
          <w:p>
            <w:pPr>
              <w:spacing w:line="320" w:lineRule="exact"/>
              <w:ind w:right="105" w:rightChars="5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从业年限不低于15年，具有注册电气工程师资格</w:t>
            </w:r>
          </w:p>
        </w:tc>
        <w:tc>
          <w:tcPr>
            <w:tcW w:w="1045" w:type="dxa"/>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c>
          <w:tcPr>
            <w:tcW w:w="2547" w:type="dxa"/>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Ex>
        <w:trPr>
          <w:cantSplit/>
          <w:trHeight w:val="1099" w:hRule="atLeast"/>
          <w:jc w:val="center"/>
        </w:trPr>
        <w:tc>
          <w:tcPr>
            <w:tcW w:w="1090" w:type="dxa"/>
            <w:vMerge w:val="continue"/>
            <w:vAlign w:val="center"/>
          </w:tcPr>
          <w:p>
            <w:pPr>
              <w:spacing w:line="320" w:lineRule="exact"/>
              <w:jc w:val="center"/>
              <w:rPr>
                <w:rFonts w:ascii="宋体" w:hAnsi="宋体" w:eastAsia="宋体" w:cs="宋体"/>
                <w:color w:val="auto"/>
                <w:sz w:val="24"/>
                <w:szCs w:val="24"/>
                <w:highlight w:val="none"/>
              </w:rPr>
            </w:pPr>
          </w:p>
        </w:tc>
        <w:tc>
          <w:tcPr>
            <w:tcW w:w="1032" w:type="dxa"/>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暖通空调</w:t>
            </w:r>
          </w:p>
        </w:tc>
        <w:tc>
          <w:tcPr>
            <w:tcW w:w="4856" w:type="dxa"/>
            <w:vAlign w:val="center"/>
          </w:tcPr>
          <w:p>
            <w:pPr>
              <w:spacing w:line="320" w:lineRule="exact"/>
              <w:ind w:right="105"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从业年限不低于15年，具有注册公用设备工程师（暖通空调）资格</w:t>
            </w:r>
          </w:p>
        </w:tc>
        <w:tc>
          <w:tcPr>
            <w:tcW w:w="104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w:t>
            </w:r>
          </w:p>
        </w:tc>
        <w:tc>
          <w:tcPr>
            <w:tcW w:w="2547" w:type="dxa"/>
            <w:vAlign w:val="center"/>
          </w:tcPr>
          <w:p>
            <w:pPr>
              <w:jc w:val="center"/>
              <w:rPr>
                <w:rFonts w:ascii="宋体" w:hAnsi="宋体" w:eastAsia="宋体" w:cs="宋体"/>
                <w:color w:val="auto"/>
                <w:sz w:val="24"/>
                <w:szCs w:val="24"/>
                <w:highlight w:val="none"/>
              </w:rPr>
            </w:pPr>
          </w:p>
        </w:tc>
      </w:tr>
    </w:tbl>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  1、以上人员数量为满足招标人服务要求的最低数量标准，投标人可以提供更多数量的各专业审查人。</w:t>
      </w:r>
    </w:p>
    <w:p>
      <w:pPr>
        <w:pStyle w:val="13"/>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2、上述人员需按“主要技术人员简历表”要求填写相应内容及附上相关证明材料扫描件。</w:t>
      </w:r>
    </w:p>
    <w:p>
      <w:pPr>
        <w:pStyle w:val="13"/>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3、从业年限以毕业证时间为准：以毕业时间起算，以本项目投标截止时间止。</w:t>
      </w:r>
    </w:p>
    <w:p>
      <w:pPr>
        <w:pStyle w:val="13"/>
        <w:rPr>
          <w:rFonts w:ascii="宋体" w:hAnsi="宋体" w:cs="宋体"/>
          <w:color w:val="auto"/>
          <w:sz w:val="24"/>
          <w:szCs w:val="24"/>
          <w:highlight w:val="none"/>
        </w:rPr>
      </w:pPr>
    </w:p>
    <w:p>
      <w:pPr>
        <w:spacing w:line="360" w:lineRule="auto"/>
        <w:ind w:right="-108"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投标单位（盖公章）：</w:t>
      </w:r>
    </w:p>
    <w:p>
      <w:pPr>
        <w:spacing w:line="360" w:lineRule="auto"/>
        <w:ind w:right="-108"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法定代表人或授权委托人（签字或盖章） </w:t>
      </w:r>
    </w:p>
    <w:p>
      <w:pPr>
        <w:spacing w:line="360" w:lineRule="auto"/>
        <w:ind w:right="538" w:firstLine="480" w:firstLineChars="200"/>
        <w:rPr>
          <w:rFonts w:ascii="宋体" w:hAnsi="宋体" w:eastAsia="宋体" w:cs="宋体"/>
          <w:color w:val="auto"/>
          <w:szCs w:val="21"/>
          <w:highlight w:val="none"/>
        </w:rPr>
      </w:pPr>
      <w:r>
        <w:rPr>
          <w:rFonts w:hint="eastAsia" w:ascii="宋体" w:hAnsi="宋体" w:eastAsia="宋体" w:cs="宋体"/>
          <w:color w:val="auto"/>
          <w:sz w:val="24"/>
          <w:szCs w:val="24"/>
          <w:highlight w:val="none"/>
        </w:rPr>
        <w:t xml:space="preserve">日　　　期：　　　年　　月 </w:t>
      </w:r>
      <w:r>
        <w:rPr>
          <w:rFonts w:hint="eastAsia" w:ascii="宋体" w:hAnsi="宋体" w:eastAsia="宋体" w:cs="宋体"/>
          <w:color w:val="auto"/>
          <w:sz w:val="24"/>
          <w:szCs w:val="24"/>
          <w:highlight w:val="none"/>
          <w:lang w:val="en-US" w:eastAsia="zh-CN"/>
        </w:rPr>
        <w:t xml:space="preserve">   日</w:t>
      </w:r>
    </w:p>
    <w:p>
      <w:pPr>
        <w:pStyle w:val="87"/>
        <w:rPr>
          <w:color w:val="auto"/>
          <w:highlight w:val="none"/>
        </w:rPr>
      </w:pPr>
    </w:p>
    <w:p>
      <w:pPr>
        <w:keepNext/>
        <w:keepLines/>
        <w:spacing w:line="360" w:lineRule="auto"/>
        <w:jc w:val="left"/>
        <w:outlineLvl w:val="1"/>
        <w:rPr>
          <w:rFonts w:ascii="宋体" w:eastAsia="宋体" w:cs="宋体"/>
          <w:b/>
          <w:bCs/>
          <w:color w:val="auto"/>
          <w:sz w:val="24"/>
          <w:szCs w:val="24"/>
          <w:highlight w:val="none"/>
        </w:rPr>
      </w:pPr>
      <w:bookmarkStart w:id="235" w:name="_Toc22693"/>
      <w:bookmarkStart w:id="236" w:name="_Toc9635"/>
      <w:r>
        <w:rPr>
          <w:rFonts w:ascii="宋体" w:eastAsia="宋体" w:cs="宋体"/>
          <w:b/>
          <w:bCs/>
          <w:color w:val="auto"/>
          <w:sz w:val="24"/>
          <w:szCs w:val="24"/>
          <w:highlight w:val="none"/>
        </w:rPr>
        <w:t>格式八：主要技术人员简历表</w:t>
      </w:r>
      <w:bookmarkEnd w:id="235"/>
      <w:bookmarkEnd w:id="236"/>
    </w:p>
    <w:p>
      <w:pPr>
        <w:spacing w:line="360" w:lineRule="auto"/>
        <w:jc w:val="center"/>
        <w:rPr>
          <w:rFonts w:ascii="宋体" w:eastAsia="宋体" w:cs="宋体"/>
          <w:b/>
          <w:bCs/>
          <w:color w:val="auto"/>
          <w:sz w:val="32"/>
          <w:szCs w:val="32"/>
          <w:highlight w:val="none"/>
        </w:rPr>
      </w:pPr>
      <w:r>
        <w:rPr>
          <w:rFonts w:ascii="宋体" w:eastAsia="宋体" w:cs="宋体"/>
          <w:b/>
          <w:bCs/>
          <w:color w:val="auto"/>
          <w:sz w:val="32"/>
          <w:szCs w:val="32"/>
          <w:highlight w:val="none"/>
        </w:rPr>
        <w:t>主要技术人员简历表</w:t>
      </w:r>
    </w:p>
    <w:tbl>
      <w:tblPr>
        <w:tblStyle w:val="46"/>
        <w:tblW w:w="84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094"/>
        <w:gridCol w:w="1157"/>
        <w:gridCol w:w="770"/>
        <w:gridCol w:w="867"/>
        <w:gridCol w:w="962"/>
        <w:gridCol w:w="964"/>
        <w:gridCol w:w="77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姓名</w:t>
            </w:r>
          </w:p>
        </w:tc>
        <w:tc>
          <w:tcPr>
            <w:tcW w:w="1094"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1157"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性 别</w:t>
            </w:r>
          </w:p>
        </w:tc>
        <w:tc>
          <w:tcPr>
            <w:tcW w:w="770"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867"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出生</w:t>
            </w:r>
          </w:p>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年月</w:t>
            </w:r>
          </w:p>
        </w:tc>
        <w:tc>
          <w:tcPr>
            <w:tcW w:w="1926"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770"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文化</w:t>
            </w:r>
          </w:p>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程度</w:t>
            </w:r>
          </w:p>
        </w:tc>
        <w:tc>
          <w:tcPr>
            <w:tcW w:w="615" w:type="dxa"/>
            <w:tcBorders>
              <w:top w:val="single" w:color="auto" w:sz="4" w:space="0"/>
              <w:left w:val="nil"/>
              <w:bottom w:val="single" w:color="auto" w:sz="4" w:space="0"/>
              <w:right w:val="single" w:color="auto" w:sz="4" w:space="0"/>
            </w:tcBorders>
            <w:vAlign w:val="center"/>
          </w:tcPr>
          <w:p>
            <w:pPr>
              <w:spacing w:line="300" w:lineRule="auto"/>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毕业院校</w:t>
            </w:r>
          </w:p>
        </w:tc>
        <w:tc>
          <w:tcPr>
            <w:tcW w:w="1094"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1157"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专 业</w:t>
            </w:r>
          </w:p>
        </w:tc>
        <w:tc>
          <w:tcPr>
            <w:tcW w:w="1637"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962"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毕业</w:t>
            </w:r>
          </w:p>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时间</w:t>
            </w:r>
          </w:p>
        </w:tc>
        <w:tc>
          <w:tcPr>
            <w:tcW w:w="964"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770"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技术</w:t>
            </w:r>
          </w:p>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职称</w:t>
            </w:r>
          </w:p>
        </w:tc>
        <w:tc>
          <w:tcPr>
            <w:tcW w:w="615" w:type="dxa"/>
            <w:tcBorders>
              <w:top w:val="single" w:color="auto" w:sz="4" w:space="0"/>
              <w:left w:val="nil"/>
              <w:bottom w:val="single" w:color="auto" w:sz="4" w:space="0"/>
              <w:right w:val="single" w:color="auto" w:sz="4" w:space="0"/>
            </w:tcBorders>
            <w:vAlign w:val="center"/>
          </w:tcPr>
          <w:p>
            <w:pPr>
              <w:spacing w:line="300" w:lineRule="auto"/>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3" w:hRule="atLeast"/>
          <w:jc w:val="center"/>
        </w:trPr>
        <w:tc>
          <w:tcPr>
            <w:tcW w:w="121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拟在本项目担任职务</w:t>
            </w:r>
          </w:p>
        </w:tc>
        <w:tc>
          <w:tcPr>
            <w:tcW w:w="1094"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1157"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从事设计、施工图设计文件审查年限</w:t>
            </w:r>
          </w:p>
        </w:tc>
        <w:tc>
          <w:tcPr>
            <w:tcW w:w="1637"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962"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现任</w:t>
            </w:r>
          </w:p>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职务</w:t>
            </w:r>
          </w:p>
        </w:tc>
        <w:tc>
          <w:tcPr>
            <w:tcW w:w="2349" w:type="dxa"/>
            <w:gridSpan w:val="3"/>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1217" w:type="dxa"/>
            <w:vMerge w:val="restart"/>
            <w:tcBorders>
              <w:top w:val="nil"/>
              <w:left w:val="single" w:color="auto" w:sz="4" w:space="0"/>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设计、施工图审查经历</w:t>
            </w:r>
          </w:p>
        </w:tc>
        <w:tc>
          <w:tcPr>
            <w:tcW w:w="2251"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时间</w:t>
            </w:r>
          </w:p>
        </w:tc>
        <w:tc>
          <w:tcPr>
            <w:tcW w:w="2599" w:type="dxa"/>
            <w:gridSpan w:val="3"/>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工程名称</w:t>
            </w:r>
          </w:p>
        </w:tc>
        <w:tc>
          <w:tcPr>
            <w:tcW w:w="964"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任职</w:t>
            </w:r>
          </w:p>
        </w:tc>
        <w:tc>
          <w:tcPr>
            <w:tcW w:w="1385"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r>
              <w:rPr>
                <w:rFonts w:ascii="宋体" w:eastAsia="宋体" w:cs="宋体"/>
                <w:color w:val="auto"/>
                <w:kern w:val="0"/>
                <w:sz w:val="24"/>
                <w:szCs w:val="24"/>
                <w:highlight w:val="none"/>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86" w:hRule="atLeast"/>
          <w:jc w:val="center"/>
        </w:trPr>
        <w:tc>
          <w:tcPr>
            <w:tcW w:w="1217" w:type="dxa"/>
            <w:vMerge w:val="continue"/>
            <w:tcBorders>
              <w:top w:val="nil"/>
              <w:left w:val="single" w:color="auto" w:sz="4" w:space="0"/>
              <w:bottom w:val="single" w:color="auto" w:sz="4" w:space="0"/>
              <w:right w:val="single" w:color="auto" w:sz="4" w:space="0"/>
            </w:tcBorders>
            <w:vAlign w:val="center"/>
          </w:tcPr>
          <w:p>
            <w:pPr>
              <w:rPr>
                <w:color w:val="auto"/>
                <w:highlight w:val="none"/>
              </w:rPr>
            </w:pPr>
          </w:p>
        </w:tc>
        <w:tc>
          <w:tcPr>
            <w:tcW w:w="2251"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2599" w:type="dxa"/>
            <w:gridSpan w:val="3"/>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964" w:type="dxa"/>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c>
          <w:tcPr>
            <w:tcW w:w="1385"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ascii="宋体" w:eastAsia="宋体" w:cs="宋体"/>
                <w:color w:val="auto"/>
                <w:kern w:val="0"/>
                <w:sz w:val="24"/>
                <w:szCs w:val="24"/>
                <w:highlight w:val="none"/>
              </w:rPr>
            </w:pPr>
          </w:p>
        </w:tc>
      </w:tr>
    </w:tbl>
    <w:p>
      <w:pPr>
        <w:spacing w:before="50" w:after="50" w:line="360" w:lineRule="auto"/>
        <w:rPr>
          <w:rFonts w:ascii="宋体" w:eastAsia="宋体" w:cs="宋体"/>
          <w:color w:val="auto"/>
          <w:kern w:val="0"/>
          <w:sz w:val="24"/>
          <w:szCs w:val="24"/>
          <w:highlight w:val="none"/>
        </w:rPr>
      </w:pPr>
      <w:r>
        <w:rPr>
          <w:rFonts w:ascii="宋体" w:eastAsia="宋体" w:cs="宋体"/>
          <w:color w:val="auto"/>
          <w:kern w:val="0"/>
          <w:sz w:val="24"/>
          <w:szCs w:val="24"/>
          <w:highlight w:val="none"/>
        </w:rPr>
        <w:t>注：附注册证、职称证、毕业证、</w:t>
      </w:r>
      <w:r>
        <w:rPr>
          <w:rFonts w:hint="eastAsia" w:ascii="宋体" w:eastAsia="宋体" w:cs="宋体"/>
          <w:color w:val="auto"/>
          <w:kern w:val="0"/>
          <w:sz w:val="24"/>
          <w:szCs w:val="24"/>
          <w:highlight w:val="none"/>
        </w:rPr>
        <w:t>等相关证书及业绩证明材料并提供</w:t>
      </w:r>
      <w:r>
        <w:rPr>
          <w:rFonts w:hint="eastAsia" w:ascii="宋体" w:eastAsia="宋体" w:cs="宋体"/>
          <w:color w:val="auto"/>
          <w:kern w:val="0"/>
          <w:sz w:val="24"/>
          <w:szCs w:val="24"/>
          <w:highlight w:val="none"/>
          <w:lang w:val="zh-CN"/>
        </w:rPr>
        <w:t>投标截止时间前</w:t>
      </w:r>
      <w:r>
        <w:rPr>
          <w:rFonts w:hint="eastAsia" w:ascii="宋体" w:hAnsi="宋体" w:eastAsia="宋体" w:cs="宋体"/>
          <w:color w:val="auto"/>
          <w:szCs w:val="21"/>
          <w:highlight w:val="none"/>
          <w:u w:val="single"/>
        </w:rPr>
        <w:t>六</w:t>
      </w:r>
      <w:r>
        <w:rPr>
          <w:rFonts w:hint="eastAsia" w:ascii="宋体" w:eastAsia="宋体" w:cs="宋体"/>
          <w:color w:val="auto"/>
          <w:kern w:val="0"/>
          <w:sz w:val="24"/>
          <w:szCs w:val="24"/>
          <w:highlight w:val="none"/>
          <w:u w:val="single"/>
          <w:lang w:val="zh-CN"/>
        </w:rPr>
        <w:t>个</w:t>
      </w:r>
      <w:r>
        <w:rPr>
          <w:rFonts w:hint="eastAsia" w:ascii="宋体" w:eastAsia="宋体" w:cs="宋体"/>
          <w:color w:val="auto"/>
          <w:kern w:val="0"/>
          <w:sz w:val="24"/>
          <w:szCs w:val="24"/>
          <w:highlight w:val="none"/>
          <w:lang w:val="zh-CN"/>
        </w:rPr>
        <w:t>月（不含投标截止时间当月）</w:t>
      </w:r>
      <w:r>
        <w:rPr>
          <w:rFonts w:hint="eastAsia" w:ascii="宋体" w:eastAsia="宋体" w:cs="宋体"/>
          <w:color w:val="auto"/>
          <w:kern w:val="0"/>
          <w:sz w:val="24"/>
          <w:szCs w:val="24"/>
          <w:highlight w:val="none"/>
        </w:rPr>
        <w:t>本投标单位购买的社保缴纳证明，如为退休返聘人员，需提供退休证及劳动聘用合同，退休人员数量不得超过人员总数的一半。《具体见</w:t>
      </w:r>
      <w:r>
        <w:rPr>
          <w:rFonts w:ascii="宋体" w:eastAsia="宋体"/>
          <w:bCs/>
          <w:color w:val="auto"/>
          <w:kern w:val="0"/>
          <w:sz w:val="24"/>
          <w:szCs w:val="24"/>
          <w:highlight w:val="none"/>
        </w:rPr>
        <w:t>评标办法前附表</w:t>
      </w:r>
      <w:r>
        <w:rPr>
          <w:rFonts w:hint="eastAsia" w:ascii="宋体" w:eastAsia="宋体" w:cs="宋体"/>
          <w:color w:val="auto"/>
          <w:kern w:val="0"/>
          <w:sz w:val="24"/>
          <w:szCs w:val="24"/>
          <w:highlight w:val="none"/>
        </w:rPr>
        <w:t>要求提供的评审资料》</w:t>
      </w:r>
    </w:p>
    <w:p>
      <w:pPr>
        <w:spacing w:before="50" w:after="50" w:line="360" w:lineRule="auto"/>
        <w:rPr>
          <w:rFonts w:ascii="宋体" w:eastAsia="宋体" w:cs="宋体"/>
          <w:color w:val="auto"/>
          <w:kern w:val="0"/>
          <w:sz w:val="24"/>
          <w:szCs w:val="24"/>
          <w:highlight w:val="none"/>
        </w:rPr>
      </w:pPr>
    </w:p>
    <w:p>
      <w:pPr>
        <w:spacing w:line="360" w:lineRule="auto"/>
        <w:ind w:right="-108" w:firstLine="480" w:firstLineChars="200"/>
        <w:rPr>
          <w:rFonts w:ascii="宋体" w:eastAsia="宋体" w:cs="宋体"/>
          <w:color w:val="auto"/>
          <w:kern w:val="0"/>
          <w:sz w:val="24"/>
          <w:szCs w:val="24"/>
          <w:highlight w:val="none"/>
        </w:rPr>
      </w:pPr>
      <w:r>
        <w:rPr>
          <w:rFonts w:ascii="宋体" w:eastAsia="宋体" w:cs="宋体"/>
          <w:color w:val="auto"/>
          <w:kern w:val="0"/>
          <w:sz w:val="24"/>
          <w:szCs w:val="24"/>
          <w:highlight w:val="none"/>
        </w:rPr>
        <w:t>投标单位（盖公章）：</w:t>
      </w:r>
    </w:p>
    <w:p>
      <w:pPr>
        <w:spacing w:line="360" w:lineRule="auto"/>
        <w:ind w:right="-108" w:firstLine="480" w:firstLineChars="200"/>
        <w:rPr>
          <w:rFonts w:ascii="宋体" w:eastAsia="宋体" w:cs="宋体"/>
          <w:color w:val="auto"/>
          <w:kern w:val="0"/>
          <w:sz w:val="24"/>
          <w:szCs w:val="24"/>
          <w:highlight w:val="none"/>
        </w:rPr>
      </w:pPr>
      <w:r>
        <w:rPr>
          <w:rFonts w:ascii="宋体" w:eastAsia="宋体" w:cs="宋体"/>
          <w:color w:val="auto"/>
          <w:kern w:val="0"/>
          <w:sz w:val="24"/>
          <w:szCs w:val="24"/>
          <w:highlight w:val="none"/>
        </w:rPr>
        <w:t>法定代表人或授权委托人（签字或盖章）</w:t>
      </w:r>
    </w:p>
    <w:p>
      <w:pPr>
        <w:spacing w:line="360" w:lineRule="auto"/>
        <w:ind w:right="-108"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日   期：   年  月  日</w:t>
      </w:r>
    </w:p>
    <w:p>
      <w:pPr>
        <w:widowControl/>
        <w:jc w:val="left"/>
        <w:rPr>
          <w:rFonts w:ascii="宋体" w:eastAsia="宋体" w:cs="宋体"/>
          <w:color w:val="auto"/>
          <w:szCs w:val="21"/>
          <w:highlight w:val="none"/>
        </w:rPr>
        <w:sectPr>
          <w:type w:val="nextColumn"/>
          <w:pgSz w:w="11907" w:h="16840"/>
          <w:pgMar w:top="1440" w:right="1514" w:bottom="1440" w:left="1514" w:header="851" w:footer="567" w:gutter="0"/>
          <w:cols w:space="0" w:num="1"/>
          <w:docGrid w:linePitch="312" w:charSpace="0"/>
        </w:sectPr>
      </w:pPr>
    </w:p>
    <w:p>
      <w:pPr>
        <w:keepNext/>
        <w:keepLines/>
        <w:spacing w:line="360" w:lineRule="auto"/>
        <w:jc w:val="center"/>
        <w:outlineLvl w:val="1"/>
        <w:rPr>
          <w:rFonts w:ascii="宋体" w:eastAsia="宋体" w:cs="Arial"/>
          <w:b/>
          <w:bCs/>
          <w:color w:val="auto"/>
          <w:kern w:val="0"/>
          <w:sz w:val="24"/>
          <w:szCs w:val="24"/>
          <w:highlight w:val="none"/>
        </w:rPr>
      </w:pPr>
      <w:bookmarkStart w:id="237" w:name="_Toc13244"/>
      <w:bookmarkStart w:id="238" w:name="_Toc19483"/>
      <w:r>
        <w:rPr>
          <w:rFonts w:hint="eastAsia" w:ascii="宋体" w:eastAsia="宋体" w:cs="Arial"/>
          <w:b/>
          <w:bCs/>
          <w:color w:val="auto"/>
          <w:kern w:val="0"/>
          <w:sz w:val="24"/>
          <w:szCs w:val="24"/>
          <w:highlight w:val="none"/>
        </w:rPr>
        <w:t>格式九：施工图审查技术方案，格式自拟（包括但不限于以下内容）</w:t>
      </w:r>
      <w:bookmarkEnd w:id="237"/>
      <w:bookmarkEnd w:id="238"/>
    </w:p>
    <w:p>
      <w:pPr>
        <w:spacing w:line="400" w:lineRule="exact"/>
        <w:ind w:firstLine="480" w:firstLineChars="200"/>
        <w:jc w:val="center"/>
        <w:rPr>
          <w:rFonts w:ascii="宋体" w:eastAsia="宋体"/>
          <w:bCs/>
          <w:color w:val="auto"/>
          <w:kern w:val="0"/>
          <w:sz w:val="24"/>
          <w:szCs w:val="24"/>
          <w:highlight w:val="none"/>
        </w:rPr>
      </w:pPr>
    </w:p>
    <w:p>
      <w:pPr>
        <w:spacing w:line="400" w:lineRule="exact"/>
        <w:ind w:firstLine="480" w:firstLineChars="200"/>
        <w:jc w:val="center"/>
        <w:rPr>
          <w:rFonts w:ascii="宋体" w:eastAsia="宋体"/>
          <w:bCs/>
          <w:color w:val="auto"/>
          <w:kern w:val="0"/>
          <w:sz w:val="24"/>
          <w:szCs w:val="24"/>
          <w:highlight w:val="none"/>
        </w:rPr>
      </w:pPr>
      <w:r>
        <w:rPr>
          <w:rFonts w:ascii="宋体" w:eastAsia="宋体"/>
          <w:bCs/>
          <w:color w:val="auto"/>
          <w:kern w:val="0"/>
          <w:sz w:val="24"/>
          <w:szCs w:val="24"/>
          <w:highlight w:val="none"/>
        </w:rPr>
        <w:t>根据评标办法前附表规定的评审内容，自拟格式提交。</w:t>
      </w:r>
    </w:p>
    <w:p>
      <w:pPr>
        <w:widowControl/>
        <w:jc w:val="left"/>
        <w:rPr>
          <w:rFonts w:ascii="宋体" w:eastAsia="宋体" w:cs="宋体"/>
          <w:color w:val="auto"/>
          <w:szCs w:val="21"/>
          <w:highlight w:val="none"/>
        </w:rPr>
      </w:pPr>
      <w:r>
        <w:rPr>
          <w:rFonts w:ascii="宋体" w:eastAsia="宋体" w:cs="宋体"/>
          <w:color w:val="auto"/>
          <w:szCs w:val="21"/>
          <w:highlight w:val="none"/>
        </w:rPr>
        <w:br w:type="page"/>
      </w:r>
    </w:p>
    <w:p>
      <w:pPr>
        <w:keepNext/>
        <w:keepLines/>
        <w:spacing w:line="360" w:lineRule="auto"/>
        <w:jc w:val="center"/>
        <w:outlineLvl w:val="1"/>
        <w:rPr>
          <w:rFonts w:ascii="宋体" w:eastAsia="宋体" w:cs="Arial"/>
          <w:b/>
          <w:bCs/>
          <w:color w:val="auto"/>
          <w:kern w:val="0"/>
          <w:sz w:val="24"/>
          <w:szCs w:val="24"/>
          <w:highlight w:val="none"/>
        </w:rPr>
      </w:pPr>
      <w:bookmarkStart w:id="239" w:name="_Toc552"/>
      <w:bookmarkStart w:id="240" w:name="_Toc21009"/>
      <w:r>
        <w:rPr>
          <w:rFonts w:hint="eastAsia" w:ascii="宋体" w:eastAsia="宋体" w:cs="Arial"/>
          <w:b/>
          <w:bCs/>
          <w:color w:val="auto"/>
          <w:kern w:val="0"/>
          <w:sz w:val="24"/>
          <w:szCs w:val="24"/>
          <w:highlight w:val="none"/>
        </w:rPr>
        <w:t>格式十：其他资料</w:t>
      </w:r>
      <w:bookmarkEnd w:id="239"/>
      <w:bookmarkEnd w:id="240"/>
    </w:p>
    <w:p>
      <w:pPr>
        <w:rPr>
          <w:rFonts w:ascii="宋体" w:eastAsia="宋体" w:cs="宋体"/>
          <w:color w:val="auto"/>
          <w:szCs w:val="21"/>
          <w:highlight w:val="none"/>
        </w:rPr>
      </w:pPr>
    </w:p>
    <w:p>
      <w:pPr>
        <w:spacing w:line="360" w:lineRule="auto"/>
        <w:jc w:val="center"/>
        <w:rPr>
          <w:rFonts w:ascii="宋体" w:eastAsia="宋体" w:cs="宋体"/>
          <w:color w:val="auto"/>
          <w:sz w:val="24"/>
          <w:szCs w:val="24"/>
          <w:highlight w:val="none"/>
        </w:rPr>
      </w:pPr>
      <w:r>
        <w:rPr>
          <w:rFonts w:ascii="宋体" w:eastAsia="宋体" w:cs="宋体"/>
          <w:color w:val="auto"/>
          <w:sz w:val="24"/>
          <w:szCs w:val="24"/>
          <w:highlight w:val="none"/>
        </w:rPr>
        <w:t>投标人须知前附表规定的其他资料，投标人认为有必要提交的其他资料，格式自定。</w:t>
      </w:r>
    </w:p>
    <w:p>
      <w:pPr>
        <w:widowControl/>
        <w:jc w:val="left"/>
        <w:rPr>
          <w:rFonts w:ascii="宋体" w:eastAsia="宋体" w:cs="宋体"/>
          <w:color w:val="auto"/>
          <w:sz w:val="24"/>
          <w:szCs w:val="24"/>
          <w:highlight w:val="none"/>
        </w:rPr>
      </w:pPr>
      <w:r>
        <w:rPr>
          <w:rFonts w:ascii="宋体" w:eastAsia="宋体" w:cs="宋体"/>
          <w:color w:val="auto"/>
          <w:sz w:val="24"/>
          <w:szCs w:val="24"/>
          <w:highlight w:val="none"/>
        </w:rPr>
        <w:br w:type="page"/>
      </w:r>
    </w:p>
    <w:p>
      <w:pPr>
        <w:widowControl/>
        <w:spacing w:line="360" w:lineRule="auto"/>
        <w:jc w:val="center"/>
        <w:outlineLvl w:val="0"/>
        <w:rPr>
          <w:rFonts w:asciiTheme="minorEastAsia" w:hAnsiTheme="minorEastAsia" w:eastAsiaTheme="minorEastAsia"/>
          <w:b/>
          <w:color w:val="auto"/>
          <w:kern w:val="44"/>
          <w:sz w:val="32"/>
          <w:szCs w:val="32"/>
          <w:highlight w:val="none"/>
        </w:rPr>
      </w:pPr>
      <w:bookmarkStart w:id="241" w:name="_Toc22180"/>
      <w:bookmarkStart w:id="242" w:name="_GoBack"/>
      <w:bookmarkEnd w:id="242"/>
      <w:r>
        <w:rPr>
          <w:rFonts w:hint="eastAsia" w:asciiTheme="minorEastAsia" w:hAnsiTheme="minorEastAsia" w:eastAsiaTheme="minorEastAsia"/>
          <w:b/>
          <w:color w:val="auto"/>
          <w:kern w:val="44"/>
          <w:sz w:val="32"/>
          <w:szCs w:val="32"/>
          <w:highlight w:val="none"/>
        </w:rPr>
        <w:t>第七章 否决性条款汇总</w:t>
      </w:r>
      <w:bookmarkEnd w:id="241"/>
    </w:p>
    <w:p>
      <w:pPr>
        <w:widowControl/>
        <w:spacing w:line="360" w:lineRule="auto"/>
        <w:ind w:firstLine="630" w:firstLineChars="300"/>
        <w:rPr>
          <w:rFonts w:cs="宋体" w:asciiTheme="minorEastAsia" w:hAnsiTheme="minorEastAsia" w:eastAsiaTheme="minorEastAsia"/>
          <w:bCs/>
          <w:color w:val="auto"/>
          <w:kern w:val="0"/>
          <w:szCs w:val="21"/>
          <w:highlight w:val="none"/>
        </w:rPr>
      </w:pPr>
      <w:r>
        <w:rPr>
          <w:rFonts w:hint="eastAsia" w:asciiTheme="minorEastAsia" w:hAnsiTheme="minorEastAsia" w:eastAsiaTheme="minorEastAsia"/>
          <w:color w:val="auto"/>
          <w:kern w:val="21"/>
          <w:szCs w:val="21"/>
          <w:highlight w:val="none"/>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否决性条款指招标文件中规定的拒绝受理或者作无效标以及不合格标处理等否定投标文件效力的条款。</w:t>
      </w:r>
    </w:p>
    <w:p>
      <w:pPr>
        <w:spacing w:line="360" w:lineRule="auto"/>
        <w:ind w:firstLine="480" w:firstLineChars="200"/>
        <w:rPr>
          <w:rFonts w:asciiTheme="minorEastAsia" w:hAnsiTheme="minorEastAsia" w:eastAsiaTheme="minorEastAsia"/>
          <w:color w:val="auto"/>
          <w:kern w:val="21"/>
          <w:sz w:val="24"/>
          <w:highlight w:val="none"/>
        </w:rPr>
      </w:pPr>
    </w:p>
    <w:tbl>
      <w:tblPr>
        <w:tblStyle w:val="46"/>
        <w:tblW w:w="8359"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811" w:type="dxa"/>
            <w:vAlign w:val="center"/>
          </w:tcPr>
          <w:p>
            <w:pPr>
              <w:ind w:firstLine="52"/>
              <w:jc w:val="center"/>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序号</w:t>
            </w:r>
          </w:p>
        </w:tc>
        <w:tc>
          <w:tcPr>
            <w:tcW w:w="7548" w:type="dxa"/>
            <w:vAlign w:val="center"/>
          </w:tcPr>
          <w:p>
            <w:pPr>
              <w:ind w:firstLine="426"/>
              <w:jc w:val="center"/>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8359" w:type="dxa"/>
            <w:gridSpan w:val="2"/>
            <w:vAlign w:val="center"/>
          </w:tcPr>
          <w:p>
            <w:pPr>
              <w:ind w:firstLine="426"/>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一、拒绝受理投标文件的情形：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811" w:type="dxa"/>
            <w:vAlign w:val="center"/>
          </w:tcPr>
          <w:p>
            <w:pPr>
              <w:ind w:firstLine="52"/>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7548" w:type="dxa"/>
            <w:vAlign w:val="center"/>
          </w:tcPr>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（1）未按要求加密的电子投标文件，广州公共资源交易平台将予以拒收。</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（2）逾期送达的电子投标文件，广州公共资源交易平台将予以拒收。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trPr>
        <w:tc>
          <w:tcPr>
            <w:tcW w:w="811" w:type="dxa"/>
            <w:vAlign w:val="center"/>
          </w:tcPr>
          <w:p>
            <w:pPr>
              <w:ind w:firstLine="52"/>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7548" w:type="dxa"/>
            <w:vAlign w:val="center"/>
          </w:tcPr>
          <w:p>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在投标截止时间后半小时内为投标人投标文件解密时间，投标人通过广州公共资源交易平台对已递交的电子投标文件进行解密。超过时间未解密的投标文件将作为放弃投标处理。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8359" w:type="dxa"/>
            <w:gridSpan w:val="2"/>
            <w:vAlign w:val="center"/>
          </w:tcPr>
          <w:p>
            <w:pPr>
              <w:spacing w:line="360" w:lineRule="auto"/>
              <w:ind w:firstLine="459"/>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szCs w:val="21"/>
                <w:highlight w:val="none"/>
              </w:rPr>
              <w:t>二、 开标时，出现下列情形之一的，不参与资格审查和评标：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atLeast"/>
        </w:trPr>
        <w:tc>
          <w:tcPr>
            <w:tcW w:w="811" w:type="dxa"/>
            <w:vAlign w:val="center"/>
          </w:tcPr>
          <w:p>
            <w:pPr>
              <w:ind w:firstLine="52"/>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7548" w:type="dxa"/>
            <w:vAlign w:val="center"/>
          </w:tcPr>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开标时，出现下列情形之一的，不参与资格审查和评标：</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cs="仿宋_GB2312" w:asciiTheme="minorEastAsia" w:hAnsiTheme="minorEastAsia" w:eastAsiaTheme="minorEastAsia"/>
                <w:color w:val="auto"/>
                <w:szCs w:val="21"/>
                <w:highlight w:val="none"/>
              </w:rPr>
              <w:t>未成功递交投标文件的；</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cs="仿宋_GB2312" w:asciiTheme="minorEastAsia" w:hAnsiTheme="minorEastAsia" w:eastAsiaTheme="minorEastAsia"/>
                <w:color w:val="auto"/>
                <w:szCs w:val="21"/>
                <w:highlight w:val="none"/>
              </w:rPr>
              <w:t>因投标人原因造成投标文件未解密的；</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r>
              <w:rPr>
                <w:rFonts w:cs="仿宋_GB2312" w:asciiTheme="minorEastAsia" w:hAnsiTheme="minorEastAsia" w:eastAsiaTheme="minorEastAsia"/>
                <w:color w:val="auto"/>
                <w:szCs w:val="21"/>
                <w:highlight w:val="none"/>
              </w:rPr>
              <w:t>未按招标文件要求提供投标保证金的；</w:t>
            </w:r>
          </w:p>
          <w:p>
            <w:pPr>
              <w:spacing w:line="360"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w:t>
            </w:r>
            <w:r>
              <w:rPr>
                <w:rFonts w:cs="仿宋_GB2312" w:asciiTheme="minorEastAsia" w:hAnsiTheme="minorEastAsia" w:eastAsiaTheme="minorEastAsia"/>
                <w:color w:val="auto"/>
                <w:szCs w:val="21"/>
                <w:highlight w:val="none"/>
              </w:rPr>
              <w:t>两个（含两个）以上的投标人加密打包投标文件电脑机器码一致的；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8359" w:type="dxa"/>
            <w:gridSpan w:val="2"/>
            <w:vAlign w:val="center"/>
          </w:tcPr>
          <w:p>
            <w:pPr>
              <w:ind w:firstLine="426"/>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三、投标文件有下列情形之一的，由评标委员会否决其投标：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811"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w:t>
            </w:r>
          </w:p>
        </w:tc>
        <w:tc>
          <w:tcPr>
            <w:tcW w:w="7548" w:type="dxa"/>
            <w:vAlign w:val="center"/>
          </w:tcPr>
          <w:p>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Cs/>
                <w:color w:val="auto"/>
                <w:kern w:val="0"/>
                <w:szCs w:val="21"/>
                <w:highlight w:val="none"/>
              </w:rPr>
              <w:t>投标文件不符合招标文件评标办法中形式评审标准的要求。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trPr>
        <w:tc>
          <w:tcPr>
            <w:tcW w:w="811"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w:t>
            </w:r>
          </w:p>
        </w:tc>
        <w:tc>
          <w:tcPr>
            <w:tcW w:w="7548" w:type="dxa"/>
            <w:vAlign w:val="center"/>
          </w:tcPr>
          <w:p>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Cs/>
                <w:color w:val="auto"/>
                <w:kern w:val="0"/>
                <w:szCs w:val="21"/>
                <w:highlight w:val="none"/>
              </w:rPr>
              <w:t>投标文件不符合招标文件评标办法中资格评审标准的要求。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811" w:type="dxa"/>
            <w:vAlign w:val="center"/>
          </w:tcPr>
          <w:p>
            <w:pPr>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w:t>
            </w:r>
          </w:p>
        </w:tc>
        <w:tc>
          <w:tcPr>
            <w:tcW w:w="7548" w:type="dxa"/>
            <w:vAlign w:val="center"/>
          </w:tcPr>
          <w:p>
            <w:pPr>
              <w:widowControl/>
              <w:spacing w:line="360" w:lineRule="auto"/>
              <w:ind w:left="34"/>
              <w:rPr>
                <w:rFonts w:cs="宋体" w:asciiTheme="minorEastAsia" w:hAnsiTheme="minorEastAsia" w:eastAsiaTheme="minorEastAsia"/>
                <w:bCs/>
                <w:color w:val="auto"/>
                <w:kern w:val="0"/>
                <w:szCs w:val="21"/>
                <w:highlight w:val="none"/>
              </w:rPr>
            </w:pPr>
            <w:r>
              <w:rPr>
                <w:rFonts w:hint="eastAsia" w:cs="宋体" w:asciiTheme="minorEastAsia" w:hAnsiTheme="minorEastAsia" w:eastAsiaTheme="minorEastAsia"/>
                <w:bCs/>
                <w:color w:val="auto"/>
                <w:kern w:val="0"/>
                <w:szCs w:val="21"/>
                <w:highlight w:val="none"/>
              </w:rPr>
              <w:t>投标文件不符合招标文件评标办法中响应性评审标准的要求。</w:t>
            </w:r>
          </w:p>
        </w:tc>
      </w:tr>
    </w:tbl>
    <w:p>
      <w:pPr>
        <w:rPr>
          <w:rFonts w:cs="宋体" w:asciiTheme="minorEastAsia" w:hAnsiTheme="minorEastAsia" w:eastAsiaTheme="minorEastAsia"/>
          <w:color w:val="auto"/>
          <w:highlight w:val="none"/>
        </w:rPr>
      </w:pPr>
    </w:p>
    <w:p>
      <w:pPr>
        <w:spacing w:line="360" w:lineRule="auto"/>
        <w:jc w:val="center"/>
        <w:rPr>
          <w:rFonts w:ascii="宋体" w:eastAsia="宋体" w:cs="宋体"/>
          <w:color w:val="auto"/>
          <w:sz w:val="24"/>
          <w:szCs w:val="24"/>
          <w:highlight w:val="none"/>
        </w:rPr>
      </w:pPr>
    </w:p>
    <w:sectPr>
      <w:type w:val="nextColumn"/>
      <w:pgSz w:w="11907" w:h="16840"/>
      <w:pgMar w:top="1440" w:right="1514" w:bottom="1440" w:left="1514" w:header="720" w:footer="720" w:gutter="0"/>
      <w:cols w:space="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roma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27"/>
                            <w:rPr>
                              <w:rFonts w:eastAsia="楷体_GB2312"/>
                            </w:rP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YulhTQAAAA&#10;AwEAAA8AAAAAAAAAAQAgAAAAIgAAAGRycy9kb3ducmV2LnhtbFBLAQIUABQAAAAIAIdO4kBG4dGP&#10;swEAAEkDAAAOAAAAAAAAAAEAIAAAAB8BAABkcnMvZTJvRG9jLnhtbFBLBQYAAAAABgAGAFkBAABE&#10;BQAAAAA=&#10;">
              <v:fill on="f" focussize="0,0"/>
              <v:stroke on="f"/>
              <v:imagedata o:title=""/>
              <o:lock v:ext="edit" aspectratio="f"/>
              <v:textbox inset="0mm,0mm,0mm,0mm" style="mso-fit-shape-to-text:t;">
                <w:txbxContent>
                  <w:p>
                    <w:pPr>
                      <w:pStyle w:val="27"/>
                      <w:rPr>
                        <w:rFonts w:eastAsia="楷体_GB2312"/>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7"/>
      <w:ind w:right="720"/>
      <w:rPr>
        <w:sz w:val="11"/>
        <w:szCs w:val="11"/>
      </w:rPr>
    </w:pPr>
    <w:r>
      <w:rPr>
        <w:sz w:val="1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28</w:t>
                    </w:r>
                    <w:r>
                      <w:fldChar w:fldCharType="end"/>
                    </w:r>
                  </w:p>
                </w:txbxContent>
              </v:textbox>
            </v:shape>
          </w:pict>
        </mc:Fallback>
      </mc:AlternateContent>
    </w:r>
  </w:p>
  <w:p>
    <w:pPr>
      <w:pStyle w:val="27"/>
      <w:ind w:right="720"/>
      <w:rPr>
        <w:sz w:val="11"/>
        <w:szCs w:val="11"/>
      </w:rPr>
    </w:pPr>
    <w:r>
      <w:rPr>
        <w:rFonts w:hint="eastAsia"/>
        <w:sz w:val="11"/>
        <w:szCs w:val="1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27"/>
                            <w:rPr>
                              <w:rFonts w:eastAsia="楷体_GB2312"/>
                            </w:rPr>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YulhTQAAAA&#10;AwEAAA8AAAAAAAAAAQAgAAAAIgAAAGRycy9kb3ducmV2LnhtbFBLAQIUABQAAAAIAIdO4kCn3wdg&#10;swEAAEkDAAAOAAAAAAAAAAEAIAAAAB8BAABkcnMvZTJvRG9jLnhtbFBLBQYAAAAABgAGAFkBAABE&#10;BQAAAAA=&#10;">
              <v:fill on="f" focussize="0,0"/>
              <v:stroke on="f"/>
              <v:imagedata o:title=""/>
              <o:lock v:ext="edit" aspectratio="f"/>
              <v:textbox inset="0mm,0mm,0mm,0mm" style="mso-fit-shape-to-text:t;">
                <w:txbxContent>
                  <w:p>
                    <w:pPr>
                      <w:pStyle w:val="27"/>
                      <w:rPr>
                        <w:rFonts w:eastAsia="楷体_GB2312"/>
                      </w:rPr>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66162196">
    <w:nsid w:val="634F9E14"/>
    <w:multiLevelType w:val="multilevel"/>
    <w:tmpl w:val="634F9E14"/>
    <w:lvl w:ilvl="0" w:tentative="1">
      <w:start w:val="1"/>
      <w:numFmt w:val="decimal"/>
      <w:lvlText w:val="%1."/>
      <w:lvlJc w:val="left"/>
    </w:lvl>
    <w:lvl w:ilvl="1" w:tentative="1">
      <w:start w:val="1"/>
      <w:numFmt w:val="bullet"/>
      <w:lvlText w:val=""/>
      <w:lvlJc w:val="left"/>
    </w:lvl>
    <w:lvl w:ilvl="2" w:tentative="1">
      <w:start w:val="1"/>
      <w:numFmt w:val="bullet"/>
      <w:lvlText w:val=""/>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3507294738">
    <w:nsid w:val="D10D1212"/>
    <w:multiLevelType w:val="singleLevel"/>
    <w:tmpl w:val="D10D1212"/>
    <w:lvl w:ilvl="0" w:tentative="1">
      <w:start w:val="1"/>
      <w:numFmt w:val="decimal"/>
      <w:suff w:val="nothing"/>
      <w:lvlText w:val="%1、"/>
      <w:lvlJc w:val="left"/>
    </w:lvl>
  </w:abstractNum>
  <w:abstractNum w:abstractNumId="848018971">
    <w:nsid w:val="328BBE1B"/>
    <w:multiLevelType w:val="singleLevel"/>
    <w:tmpl w:val="328BBE1B"/>
    <w:lvl w:ilvl="0" w:tentative="1">
      <w:start w:val="2"/>
      <w:numFmt w:val="decimal"/>
      <w:suff w:val="nothing"/>
      <w:lvlText w:val="（%1）"/>
      <w:lvlJc w:val="left"/>
    </w:lvl>
  </w:abstractNum>
  <w:abstractNum w:abstractNumId="1666162218">
    <w:nsid w:val="634F9E2A"/>
    <w:multiLevelType w:val="multilevel"/>
    <w:tmpl w:val="634F9E2A"/>
    <w:lvl w:ilvl="0" w:tentative="1">
      <w:start w:val="3"/>
      <w:numFmt w:val="decimal"/>
      <w:lvlText w:val="%1."/>
      <w:lvlJc w:val="left"/>
    </w:lvl>
    <w:lvl w:ilvl="1" w:tentative="1">
      <w:start w:val="1"/>
      <w:numFmt w:val="bullet"/>
      <w:lvlText w:val=""/>
      <w:lvlJc w:val="left"/>
    </w:lvl>
    <w:lvl w:ilvl="2" w:tentative="1">
      <w:start w:val="1"/>
      <w:numFmt w:val="bullet"/>
      <w:lvlText w:val=""/>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1666162207">
    <w:nsid w:val="634F9E1F"/>
    <w:multiLevelType w:val="multilevel"/>
    <w:tmpl w:val="634F9E1F"/>
    <w:lvl w:ilvl="0" w:tentative="1">
      <w:start w:val="2"/>
      <w:numFmt w:val="decimal"/>
      <w:lvlText w:val="%1."/>
      <w:lvlJc w:val="left"/>
    </w:lvl>
    <w:lvl w:ilvl="1" w:tentative="1">
      <w:start w:val="1"/>
      <w:numFmt w:val="bullet"/>
      <w:lvlText w:val=""/>
      <w:lvlJc w:val="left"/>
    </w:lvl>
    <w:lvl w:ilvl="2" w:tentative="1">
      <w:start w:val="1"/>
      <w:numFmt w:val="bullet"/>
      <w:lvlText w:val=""/>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1666162229">
    <w:nsid w:val="634F9E35"/>
    <w:multiLevelType w:val="multilevel"/>
    <w:tmpl w:val="634F9E35"/>
    <w:lvl w:ilvl="0" w:tentative="1">
      <w:start w:val="1"/>
      <w:numFmt w:val="chineseCountingThousand"/>
      <w:lvlText w:val="%1、"/>
      <w:lvlJc w:val="left"/>
      <w:pPr>
        <w:tabs>
          <w:tab w:val="left" w:pos="0"/>
        </w:tabs>
        <w:ind w:left="420" w:hanging="42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482990501">
    <w:nsid w:val="CF9A37A5"/>
    <w:multiLevelType w:val="singleLevel"/>
    <w:tmpl w:val="CF9A37A5"/>
    <w:lvl w:ilvl="0" w:tentative="1">
      <w:start w:val="5"/>
      <w:numFmt w:val="chineseCounting"/>
      <w:suff w:val="space"/>
      <w:lvlText w:val="第%1条"/>
      <w:lvlJc w:val="left"/>
      <w:rPr>
        <w:rFonts w:hint="eastAsia"/>
        <w:b/>
      </w:rPr>
    </w:lvl>
  </w:abstractNum>
  <w:num w:numId="1">
    <w:abstractNumId w:val="1666162196"/>
    <w:lvlOverride w:ilvl="0">
      <w:startOverride w:val="1"/>
    </w:lvlOverride>
  </w:num>
  <w:num w:numId="2">
    <w:abstractNumId w:val="1666162207"/>
    <w:lvlOverride w:ilvl="0">
      <w:startOverride w:val="2"/>
    </w:lvlOverride>
  </w:num>
  <w:num w:numId="3">
    <w:abstractNumId w:val="1666162218"/>
    <w:lvlOverride w:ilvl="0">
      <w:startOverride w:val="3"/>
    </w:lvlOverride>
  </w:num>
  <w:num w:numId="4">
    <w:abstractNumId w:val="848018971"/>
  </w:num>
  <w:num w:numId="5">
    <w:abstractNumId w:val="3507294738"/>
  </w:num>
  <w:num w:numId="6">
    <w:abstractNumId w:val="3482990501"/>
  </w:num>
  <w:num w:numId="7">
    <w:abstractNumId w:val="16661622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ZjU1NThmYjNlNmZkN2ZmMWI4MjZlODAxNDQwYjIifQ=="/>
  </w:docVars>
  <w:rsids>
    <w:rsidRoot w:val="00A1373A"/>
    <w:rsid w:val="00016553"/>
    <w:rsid w:val="000433D4"/>
    <w:rsid w:val="000E251B"/>
    <w:rsid w:val="000F1234"/>
    <w:rsid w:val="00107DF9"/>
    <w:rsid w:val="0014609B"/>
    <w:rsid w:val="0017572B"/>
    <w:rsid w:val="001C44CF"/>
    <w:rsid w:val="001D5447"/>
    <w:rsid w:val="001E046C"/>
    <w:rsid w:val="00216136"/>
    <w:rsid w:val="002223C8"/>
    <w:rsid w:val="002F70F7"/>
    <w:rsid w:val="003904C2"/>
    <w:rsid w:val="003E6D6A"/>
    <w:rsid w:val="004220F9"/>
    <w:rsid w:val="004247EE"/>
    <w:rsid w:val="0049003B"/>
    <w:rsid w:val="00534FE5"/>
    <w:rsid w:val="00560926"/>
    <w:rsid w:val="005C67AD"/>
    <w:rsid w:val="005F2118"/>
    <w:rsid w:val="00641117"/>
    <w:rsid w:val="007654EC"/>
    <w:rsid w:val="0077224A"/>
    <w:rsid w:val="007D42B4"/>
    <w:rsid w:val="00832C92"/>
    <w:rsid w:val="0092267C"/>
    <w:rsid w:val="00966989"/>
    <w:rsid w:val="00A1373A"/>
    <w:rsid w:val="00AF324E"/>
    <w:rsid w:val="00BC1B06"/>
    <w:rsid w:val="00C1318C"/>
    <w:rsid w:val="00C407E9"/>
    <w:rsid w:val="00CB4D4F"/>
    <w:rsid w:val="00CD78BE"/>
    <w:rsid w:val="00D5501C"/>
    <w:rsid w:val="00E31C0D"/>
    <w:rsid w:val="00E870E2"/>
    <w:rsid w:val="00F72597"/>
    <w:rsid w:val="00F9148D"/>
    <w:rsid w:val="011D184A"/>
    <w:rsid w:val="01BF166D"/>
    <w:rsid w:val="02457F46"/>
    <w:rsid w:val="0250315A"/>
    <w:rsid w:val="02AA196D"/>
    <w:rsid w:val="03107D15"/>
    <w:rsid w:val="03BD49BA"/>
    <w:rsid w:val="03CC1CBC"/>
    <w:rsid w:val="03EC63FF"/>
    <w:rsid w:val="04223055"/>
    <w:rsid w:val="04B73549"/>
    <w:rsid w:val="05EB5EC4"/>
    <w:rsid w:val="06006D63"/>
    <w:rsid w:val="07A1699B"/>
    <w:rsid w:val="07FC1127"/>
    <w:rsid w:val="08131480"/>
    <w:rsid w:val="096E2807"/>
    <w:rsid w:val="0A70662D"/>
    <w:rsid w:val="0AE83B7D"/>
    <w:rsid w:val="0B7F7B23"/>
    <w:rsid w:val="0C86159B"/>
    <w:rsid w:val="0CC861F8"/>
    <w:rsid w:val="0CCC648D"/>
    <w:rsid w:val="0D527E0C"/>
    <w:rsid w:val="0EDB61ED"/>
    <w:rsid w:val="0F1A678B"/>
    <w:rsid w:val="0F8849CE"/>
    <w:rsid w:val="1139154F"/>
    <w:rsid w:val="12F450A8"/>
    <w:rsid w:val="13AC4857"/>
    <w:rsid w:val="14972C37"/>
    <w:rsid w:val="15574892"/>
    <w:rsid w:val="15C121FB"/>
    <w:rsid w:val="163B7BC8"/>
    <w:rsid w:val="16CF0140"/>
    <w:rsid w:val="16FB2AF5"/>
    <w:rsid w:val="18642216"/>
    <w:rsid w:val="18CC0CF9"/>
    <w:rsid w:val="18D23444"/>
    <w:rsid w:val="18F03E0E"/>
    <w:rsid w:val="19072A13"/>
    <w:rsid w:val="191D00C0"/>
    <w:rsid w:val="192E0F30"/>
    <w:rsid w:val="193D1E71"/>
    <w:rsid w:val="19AA0FA9"/>
    <w:rsid w:val="1A1E6D69"/>
    <w:rsid w:val="1A4D7CBD"/>
    <w:rsid w:val="1AA04B7B"/>
    <w:rsid w:val="1B1A33C4"/>
    <w:rsid w:val="1B306D75"/>
    <w:rsid w:val="1BDA3BAB"/>
    <w:rsid w:val="1BF146E6"/>
    <w:rsid w:val="1C2E4EE2"/>
    <w:rsid w:val="1CFC5E9D"/>
    <w:rsid w:val="1D0B36DA"/>
    <w:rsid w:val="202408C8"/>
    <w:rsid w:val="20DF238A"/>
    <w:rsid w:val="211663DC"/>
    <w:rsid w:val="21732D25"/>
    <w:rsid w:val="224750CA"/>
    <w:rsid w:val="22BA47AF"/>
    <w:rsid w:val="236245C5"/>
    <w:rsid w:val="23F75382"/>
    <w:rsid w:val="242E16E8"/>
    <w:rsid w:val="243932FC"/>
    <w:rsid w:val="24CF4AA3"/>
    <w:rsid w:val="250052C3"/>
    <w:rsid w:val="25DF6165"/>
    <w:rsid w:val="2677699A"/>
    <w:rsid w:val="268838D8"/>
    <w:rsid w:val="27796C51"/>
    <w:rsid w:val="28147A38"/>
    <w:rsid w:val="28985A73"/>
    <w:rsid w:val="28DB23E5"/>
    <w:rsid w:val="29156C1B"/>
    <w:rsid w:val="29390630"/>
    <w:rsid w:val="299D6C57"/>
    <w:rsid w:val="29B155F7"/>
    <w:rsid w:val="2A4E2EF7"/>
    <w:rsid w:val="2A9E06F7"/>
    <w:rsid w:val="2AF74192"/>
    <w:rsid w:val="2B43250A"/>
    <w:rsid w:val="2B5A212F"/>
    <w:rsid w:val="2C67307F"/>
    <w:rsid w:val="2E906880"/>
    <w:rsid w:val="2F291CB0"/>
    <w:rsid w:val="2F763752"/>
    <w:rsid w:val="2FC367EB"/>
    <w:rsid w:val="300D130A"/>
    <w:rsid w:val="306814F8"/>
    <w:rsid w:val="311B44E2"/>
    <w:rsid w:val="32087A6D"/>
    <w:rsid w:val="3228713E"/>
    <w:rsid w:val="32A1591F"/>
    <w:rsid w:val="34710119"/>
    <w:rsid w:val="34C52FE2"/>
    <w:rsid w:val="35925C72"/>
    <w:rsid w:val="35CD6D50"/>
    <w:rsid w:val="360047C4"/>
    <w:rsid w:val="37B3684F"/>
    <w:rsid w:val="37F00FD4"/>
    <w:rsid w:val="37FA5167"/>
    <w:rsid w:val="3812280E"/>
    <w:rsid w:val="38615E10"/>
    <w:rsid w:val="3868579B"/>
    <w:rsid w:val="386C41A1"/>
    <w:rsid w:val="3A885C80"/>
    <w:rsid w:val="3AD62A0C"/>
    <w:rsid w:val="3B3458AE"/>
    <w:rsid w:val="3B3F3DD7"/>
    <w:rsid w:val="3C0637C5"/>
    <w:rsid w:val="3C7774C3"/>
    <w:rsid w:val="3C862210"/>
    <w:rsid w:val="3CC819C0"/>
    <w:rsid w:val="3CE477F3"/>
    <w:rsid w:val="3D2B59E9"/>
    <w:rsid w:val="3E8D09C8"/>
    <w:rsid w:val="3EE372B8"/>
    <w:rsid w:val="3F275F2C"/>
    <w:rsid w:val="3FC26926"/>
    <w:rsid w:val="406F7D44"/>
    <w:rsid w:val="419B717B"/>
    <w:rsid w:val="41BB628B"/>
    <w:rsid w:val="41DF3C07"/>
    <w:rsid w:val="42C53C8B"/>
    <w:rsid w:val="43B752F0"/>
    <w:rsid w:val="43BE15EC"/>
    <w:rsid w:val="440B052F"/>
    <w:rsid w:val="442E3A69"/>
    <w:rsid w:val="44DE6309"/>
    <w:rsid w:val="453D79A8"/>
    <w:rsid w:val="468059C3"/>
    <w:rsid w:val="47250EEF"/>
    <w:rsid w:val="47C15148"/>
    <w:rsid w:val="48D42DD2"/>
    <w:rsid w:val="4A0E6116"/>
    <w:rsid w:val="4AF8018E"/>
    <w:rsid w:val="4B255984"/>
    <w:rsid w:val="4B4E311B"/>
    <w:rsid w:val="4C876798"/>
    <w:rsid w:val="4CB107E4"/>
    <w:rsid w:val="4E144BA8"/>
    <w:rsid w:val="4E191136"/>
    <w:rsid w:val="4E650D1C"/>
    <w:rsid w:val="4F32757E"/>
    <w:rsid w:val="4F57732D"/>
    <w:rsid w:val="4FDE15F3"/>
    <w:rsid w:val="502E6463"/>
    <w:rsid w:val="50582D07"/>
    <w:rsid w:val="51260CB2"/>
    <w:rsid w:val="513D36EB"/>
    <w:rsid w:val="51597F6D"/>
    <w:rsid w:val="521126AD"/>
    <w:rsid w:val="5318733F"/>
    <w:rsid w:val="53190776"/>
    <w:rsid w:val="53AC7A98"/>
    <w:rsid w:val="54C25C1B"/>
    <w:rsid w:val="550A4CAB"/>
    <w:rsid w:val="55481377"/>
    <w:rsid w:val="557C6707"/>
    <w:rsid w:val="55E524FA"/>
    <w:rsid w:val="56443B98"/>
    <w:rsid w:val="56ED315F"/>
    <w:rsid w:val="57004BF9"/>
    <w:rsid w:val="57530232"/>
    <w:rsid w:val="57ED2D4B"/>
    <w:rsid w:val="584645E3"/>
    <w:rsid w:val="58C46C82"/>
    <w:rsid w:val="59160EB1"/>
    <w:rsid w:val="5967213C"/>
    <w:rsid w:val="59C31A73"/>
    <w:rsid w:val="59D44CEE"/>
    <w:rsid w:val="59EE111B"/>
    <w:rsid w:val="5A0C06CB"/>
    <w:rsid w:val="5ADB58B3"/>
    <w:rsid w:val="5B51076C"/>
    <w:rsid w:val="5B821531"/>
    <w:rsid w:val="5BB054F9"/>
    <w:rsid w:val="5C4268B4"/>
    <w:rsid w:val="5CC83BC0"/>
    <w:rsid w:val="5D4B7A22"/>
    <w:rsid w:val="5D6B7722"/>
    <w:rsid w:val="5D9D72A2"/>
    <w:rsid w:val="5DDE3B09"/>
    <w:rsid w:val="5E0559CD"/>
    <w:rsid w:val="5E1C33F4"/>
    <w:rsid w:val="5F3A60E3"/>
    <w:rsid w:val="5F7353B2"/>
    <w:rsid w:val="62781CC1"/>
    <w:rsid w:val="63284D3B"/>
    <w:rsid w:val="65155B65"/>
    <w:rsid w:val="65310993"/>
    <w:rsid w:val="658948A5"/>
    <w:rsid w:val="65AA1556"/>
    <w:rsid w:val="65D96800"/>
    <w:rsid w:val="65E826C0"/>
    <w:rsid w:val="663F52CD"/>
    <w:rsid w:val="667A63AC"/>
    <w:rsid w:val="66F86915"/>
    <w:rsid w:val="6800037D"/>
    <w:rsid w:val="68C2756A"/>
    <w:rsid w:val="699D6C67"/>
    <w:rsid w:val="6A135C12"/>
    <w:rsid w:val="6A2626B5"/>
    <w:rsid w:val="6A4B51AA"/>
    <w:rsid w:val="6ACB7804"/>
    <w:rsid w:val="6B0D2160"/>
    <w:rsid w:val="6B370D58"/>
    <w:rsid w:val="6B670AC3"/>
    <w:rsid w:val="6B6D1BF1"/>
    <w:rsid w:val="6BA31BF8"/>
    <w:rsid w:val="6BDA04D7"/>
    <w:rsid w:val="6C303D8F"/>
    <w:rsid w:val="6E091096"/>
    <w:rsid w:val="6E737441"/>
    <w:rsid w:val="6EB258C8"/>
    <w:rsid w:val="6F555835"/>
    <w:rsid w:val="707B1384"/>
    <w:rsid w:val="711E01CF"/>
    <w:rsid w:val="72095D23"/>
    <w:rsid w:val="725F4533"/>
    <w:rsid w:val="72C61959"/>
    <w:rsid w:val="72CB0A0A"/>
    <w:rsid w:val="731C2EE9"/>
    <w:rsid w:val="738276C9"/>
    <w:rsid w:val="73D13110"/>
    <w:rsid w:val="73D8799F"/>
    <w:rsid w:val="746B7053"/>
    <w:rsid w:val="75C80BC8"/>
    <w:rsid w:val="760F39F3"/>
    <w:rsid w:val="77AB11E2"/>
    <w:rsid w:val="78715728"/>
    <w:rsid w:val="7AA15BB7"/>
    <w:rsid w:val="7B843A31"/>
    <w:rsid w:val="7BD834BB"/>
    <w:rsid w:val="7C9F0DA3"/>
    <w:rsid w:val="7DD37DFE"/>
    <w:rsid w:val="7DD86484"/>
    <w:rsid w:val="7DDC0057"/>
    <w:rsid w:val="7E063AD0"/>
    <w:rsid w:val="7E4029B0"/>
    <w:rsid w:val="7E523BA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宋体"/>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ind w:firstLine="49" w:firstLineChars="49"/>
      <w:outlineLvl w:val="2"/>
    </w:pPr>
    <w:rPr>
      <w:rFonts w:ascii="黑体" w:eastAsia="黑体"/>
      <w:sz w:val="28"/>
      <w:szCs w:val="20"/>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7" w:lineRule="auto"/>
      <w:outlineLvl w:val="4"/>
    </w:pPr>
    <w:rPr>
      <w:rFonts w:eastAsia="宋体"/>
      <w:b/>
      <w:bCs/>
      <w:sz w:val="28"/>
      <w:szCs w:val="28"/>
    </w:rPr>
  </w:style>
  <w:style w:type="paragraph" w:styleId="8">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qFormat/>
    <w:uiPriority w:val="0"/>
    <w:pPr>
      <w:keepNext/>
      <w:keepLines/>
      <w:widowControl/>
      <w:tabs>
        <w:tab w:val="left" w:pos="2520"/>
      </w:tabs>
      <w:spacing w:before="240" w:after="64" w:line="319" w:lineRule="auto"/>
      <w:ind w:left="1296" w:hanging="1296"/>
      <w:jc w:val="left"/>
      <w:outlineLvl w:val="6"/>
    </w:pPr>
    <w:rPr>
      <w:rFonts w:eastAsia="宋体"/>
      <w:b/>
      <w:bCs/>
      <w:kern w:val="0"/>
      <w:sz w:val="24"/>
      <w:szCs w:val="20"/>
    </w:rPr>
  </w:style>
  <w:style w:type="paragraph" w:styleId="10">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9">
    <w:name w:val="Default Paragraph Font"/>
    <w:unhideWhenUsed/>
    <w:qFormat/>
    <w:uiPriority w:val="1"/>
  </w:style>
  <w:style w:type="table" w:default="1" w:styleId="46">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12">
    <w:name w:val="annotation subject"/>
    <w:basedOn w:val="13"/>
    <w:next w:val="13"/>
    <w:qFormat/>
    <w:uiPriority w:val="0"/>
  </w:style>
  <w:style w:type="paragraph" w:styleId="13">
    <w:name w:val="annotation text"/>
    <w:basedOn w:val="1"/>
    <w:next w:val="14"/>
    <w:qFormat/>
    <w:uiPriority w:val="0"/>
    <w:pPr>
      <w:jc w:val="left"/>
    </w:pPr>
    <w:rPr>
      <w:rFonts w:eastAsia="宋体"/>
      <w:szCs w:val="20"/>
    </w:rPr>
  </w:style>
  <w:style w:type="paragraph" w:styleId="14">
    <w:name w:val="Balloon Text"/>
    <w:basedOn w:val="1"/>
    <w:qFormat/>
    <w:uiPriority w:val="0"/>
    <w:rPr>
      <w:rFonts w:eastAsia="宋体"/>
      <w:sz w:val="18"/>
      <w:szCs w:val="20"/>
    </w:rPr>
  </w:style>
  <w:style w:type="paragraph" w:styleId="15">
    <w:name w:val="toc 7"/>
    <w:basedOn w:val="1"/>
    <w:next w:val="1"/>
    <w:qFormat/>
    <w:uiPriority w:val="0"/>
    <w:pPr>
      <w:ind w:left="1200" w:leftChars="1200"/>
    </w:pPr>
  </w:style>
  <w:style w:type="paragraph" w:styleId="16">
    <w:name w:val="Body Text First Indent"/>
    <w:basedOn w:val="17"/>
    <w:qFormat/>
    <w:uiPriority w:val="0"/>
    <w:pPr>
      <w:spacing w:line="312" w:lineRule="auto"/>
      <w:ind w:firstLine="420"/>
    </w:pPr>
    <w:rPr>
      <w:szCs w:val="24"/>
    </w:rPr>
  </w:style>
  <w:style w:type="paragraph" w:styleId="17">
    <w:name w:val="Body Text"/>
    <w:basedOn w:val="1"/>
    <w:next w:val="1"/>
    <w:qFormat/>
    <w:uiPriority w:val="0"/>
    <w:pPr>
      <w:spacing w:after="120"/>
    </w:pPr>
    <w:rPr>
      <w:rFonts w:eastAsia="宋体"/>
      <w:szCs w:val="20"/>
    </w:rPr>
  </w:style>
  <w:style w:type="paragraph" w:styleId="18">
    <w:name w:val="Document Map"/>
    <w:basedOn w:val="1"/>
    <w:qFormat/>
    <w:uiPriority w:val="0"/>
    <w:rPr>
      <w:rFonts w:ascii="宋体" w:eastAsia="宋体"/>
      <w:sz w:val="18"/>
      <w:szCs w:val="18"/>
    </w:rPr>
  </w:style>
  <w:style w:type="paragraph" w:styleId="19">
    <w:name w:val="Body Text 3"/>
    <w:basedOn w:val="1"/>
    <w:qFormat/>
    <w:uiPriority w:val="0"/>
    <w:rPr>
      <w:rFonts w:ascii="宋体" w:eastAsia="宋体"/>
      <w:sz w:val="24"/>
      <w:szCs w:val="20"/>
    </w:rPr>
  </w:style>
  <w:style w:type="paragraph" w:styleId="20">
    <w:name w:val="Body Text Indent"/>
    <w:basedOn w:val="1"/>
    <w:qFormat/>
    <w:uiPriority w:val="0"/>
    <w:pPr>
      <w:spacing w:after="120"/>
      <w:ind w:left="200" w:leftChars="200"/>
    </w:pPr>
    <w:rPr>
      <w:rFonts w:eastAsia="宋体"/>
      <w:szCs w:val="20"/>
    </w:rPr>
  </w:style>
  <w:style w:type="paragraph" w:styleId="21">
    <w:name w:val="Block Text"/>
    <w:basedOn w:val="1"/>
    <w:qFormat/>
    <w:uiPriority w:val="0"/>
    <w:pPr>
      <w:spacing w:line="440" w:lineRule="exact"/>
      <w:ind w:left="-257" w:leftChars="-257" w:right="-159" w:rightChars="-159" w:firstLine="1140"/>
    </w:pPr>
    <w:rPr>
      <w:rFonts w:ascii="Calibri" w:hAnsi="Calibri" w:eastAsia="宋体"/>
      <w:sz w:val="24"/>
      <w:szCs w:val="20"/>
    </w:rPr>
  </w:style>
  <w:style w:type="paragraph" w:styleId="22">
    <w:name w:val="toc 5"/>
    <w:basedOn w:val="1"/>
    <w:next w:val="1"/>
    <w:qFormat/>
    <w:uiPriority w:val="0"/>
    <w:pPr>
      <w:ind w:left="800" w:leftChars="800"/>
    </w:pPr>
  </w:style>
  <w:style w:type="paragraph" w:styleId="23">
    <w:name w:val="toc 3"/>
    <w:basedOn w:val="1"/>
    <w:next w:val="1"/>
    <w:qFormat/>
    <w:uiPriority w:val="0"/>
    <w:pPr>
      <w:ind w:left="400" w:leftChars="400"/>
    </w:pPr>
  </w:style>
  <w:style w:type="paragraph" w:styleId="24">
    <w:name w:val="Plain Text"/>
    <w:basedOn w:val="1"/>
    <w:next w:val="1"/>
    <w:qFormat/>
    <w:uiPriority w:val="0"/>
    <w:rPr>
      <w:rFonts w:ascii="宋体" w:eastAsia="宋体"/>
    </w:rPr>
  </w:style>
  <w:style w:type="paragraph" w:styleId="25">
    <w:name w:val="toc 8"/>
    <w:basedOn w:val="1"/>
    <w:next w:val="1"/>
    <w:qFormat/>
    <w:uiPriority w:val="0"/>
    <w:pPr>
      <w:ind w:left="1400" w:leftChars="1400"/>
    </w:pPr>
  </w:style>
  <w:style w:type="paragraph" w:styleId="26">
    <w:name w:val="Date"/>
    <w:basedOn w:val="1"/>
    <w:next w:val="1"/>
    <w:qFormat/>
    <w:uiPriority w:val="0"/>
    <w:pPr>
      <w:ind w:left="2500" w:leftChars="2500"/>
    </w:pPr>
    <w:rPr>
      <w:rFonts w:eastAsia="宋体"/>
      <w:szCs w:val="20"/>
    </w:rPr>
  </w:style>
  <w:style w:type="paragraph" w:styleId="27">
    <w:name w:val="footer"/>
    <w:basedOn w:val="1"/>
    <w:qFormat/>
    <w:uiPriority w:val="0"/>
    <w:pPr>
      <w:tabs>
        <w:tab w:val="center" w:pos="4153"/>
        <w:tab w:val="right" w:pos="8306"/>
      </w:tabs>
      <w:snapToGrid w:val="0"/>
      <w:jc w:val="left"/>
    </w:pPr>
    <w:rPr>
      <w:rFonts w:ascii="Calibri" w:hAnsi="Calibri" w:eastAsia="宋体"/>
      <w:sz w:val="18"/>
    </w:rPr>
  </w:style>
  <w:style w:type="paragraph" w:styleId="28">
    <w:name w:val="Body Text First Indent 2"/>
    <w:basedOn w:val="20"/>
    <w:unhideWhenUsed/>
    <w:qFormat/>
    <w:uiPriority w:val="0"/>
    <w:pPr>
      <w:adjustRightInd w:val="0"/>
      <w:spacing w:line="360" w:lineRule="auto"/>
      <w:ind w:left="0" w:leftChars="0" w:firstLine="420"/>
      <w:textAlignment w:val="baseline"/>
    </w:pPr>
    <w:rPr>
      <w:color w:val="000000"/>
    </w:rPr>
  </w:style>
  <w:style w:type="paragraph" w:styleId="29">
    <w:name w:val="header"/>
    <w:basedOn w:val="1"/>
    <w:qFormat/>
    <w:uiPriority w:val="0"/>
    <w:pPr>
      <w:tabs>
        <w:tab w:val="center" w:pos="4153"/>
        <w:tab w:val="right" w:pos="8306"/>
      </w:tabs>
      <w:snapToGrid w:val="0"/>
    </w:pPr>
    <w:rPr>
      <w:rFonts w:eastAsia="宋体"/>
      <w:sz w:val="18"/>
      <w:szCs w:val="20"/>
    </w:rPr>
  </w:style>
  <w:style w:type="paragraph" w:styleId="30">
    <w:name w:val="toc 1"/>
    <w:basedOn w:val="1"/>
    <w:next w:val="1"/>
    <w:qFormat/>
    <w:uiPriority w:val="0"/>
  </w:style>
  <w:style w:type="paragraph" w:styleId="31">
    <w:name w:val="toc 4"/>
    <w:basedOn w:val="1"/>
    <w:next w:val="1"/>
    <w:qFormat/>
    <w:uiPriority w:val="0"/>
    <w:pPr>
      <w:ind w:left="600" w:leftChars="600"/>
    </w:pPr>
  </w:style>
  <w:style w:type="paragraph" w:styleId="32">
    <w:name w:val="toc 6"/>
    <w:basedOn w:val="1"/>
    <w:next w:val="1"/>
    <w:qFormat/>
    <w:uiPriority w:val="0"/>
    <w:pPr>
      <w:ind w:left="1000" w:leftChars="1000"/>
    </w:pPr>
  </w:style>
  <w:style w:type="paragraph" w:styleId="33">
    <w:name w:val="Body Text Indent 3"/>
    <w:basedOn w:val="1"/>
    <w:qFormat/>
    <w:uiPriority w:val="0"/>
    <w:pPr>
      <w:spacing w:after="120"/>
      <w:ind w:left="200" w:leftChars="200"/>
    </w:pPr>
    <w:rPr>
      <w:rFonts w:ascii="Calibri" w:hAnsi="Calibri" w:eastAsia="宋体"/>
      <w:sz w:val="16"/>
      <w:szCs w:val="16"/>
    </w:rPr>
  </w:style>
  <w:style w:type="paragraph" w:styleId="34">
    <w:name w:val="toc 2"/>
    <w:basedOn w:val="1"/>
    <w:next w:val="1"/>
    <w:qFormat/>
    <w:uiPriority w:val="0"/>
    <w:pPr>
      <w:ind w:left="200" w:leftChars="200"/>
    </w:pPr>
  </w:style>
  <w:style w:type="paragraph" w:styleId="35">
    <w:name w:val="toc 9"/>
    <w:basedOn w:val="1"/>
    <w:next w:val="1"/>
    <w:qFormat/>
    <w:uiPriority w:val="0"/>
    <w:pPr>
      <w:ind w:left="1600" w:leftChars="1600"/>
    </w:pPr>
  </w:style>
  <w:style w:type="paragraph" w:styleId="36">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37">
    <w:name w:val="index 1"/>
    <w:basedOn w:val="1"/>
    <w:next w:val="1"/>
    <w:qFormat/>
    <w:uiPriority w:val="0"/>
    <w:pPr>
      <w:spacing w:line="220" w:lineRule="exact"/>
      <w:jc w:val="center"/>
    </w:pPr>
    <w:rPr>
      <w:rFonts w:ascii="仿宋_GB2312" w:eastAsia="仿宋_GB2312"/>
      <w:szCs w:val="21"/>
    </w:rPr>
  </w:style>
  <w:style w:type="paragraph" w:styleId="38">
    <w:name w:val="Title"/>
    <w:basedOn w:val="1"/>
    <w:qFormat/>
    <w:uiPriority w:val="0"/>
    <w:pPr>
      <w:adjustRightInd w:val="0"/>
      <w:spacing w:before="240" w:after="60" w:line="420" w:lineRule="atLeast"/>
      <w:jc w:val="center"/>
      <w:textAlignment w:val="baseline"/>
      <w:outlineLvl w:val="0"/>
    </w:pPr>
    <w:rPr>
      <w:rFonts w:ascii="Arial" w:hAnsi="Arial" w:eastAsia="宋体"/>
      <w:b/>
      <w:kern w:val="0"/>
      <w:sz w:val="32"/>
      <w:szCs w:val="20"/>
    </w:rPr>
  </w:style>
  <w:style w:type="character" w:styleId="40">
    <w:name w:val="Strong"/>
    <w:qFormat/>
    <w:uiPriority w:val="0"/>
    <w:rPr>
      <w:b/>
      <w:bCs/>
    </w:rPr>
  </w:style>
  <w:style w:type="character" w:styleId="41">
    <w:name w:val="page number"/>
    <w:basedOn w:val="39"/>
    <w:qFormat/>
    <w:uiPriority w:val="0"/>
  </w:style>
  <w:style w:type="character" w:styleId="42">
    <w:name w:val="Emphasis"/>
    <w:basedOn w:val="39"/>
    <w:qFormat/>
    <w:uiPriority w:val="20"/>
    <w:rPr>
      <w:i/>
    </w:rPr>
  </w:style>
  <w:style w:type="character" w:styleId="43">
    <w:name w:val="Hyperlink"/>
    <w:qFormat/>
    <w:uiPriority w:val="0"/>
    <w:rPr>
      <w:color w:val="0000FF"/>
      <w:u w:val="single"/>
    </w:rPr>
  </w:style>
  <w:style w:type="character" w:styleId="44">
    <w:name w:val="annotation reference"/>
    <w:qFormat/>
    <w:uiPriority w:val="0"/>
    <w:rPr>
      <w:sz w:val="21"/>
    </w:rPr>
  </w:style>
  <w:style w:type="character" w:styleId="45">
    <w:name w:val="footnote reference"/>
    <w:qFormat/>
    <w:uiPriority w:val="0"/>
    <w:rPr>
      <w:vertAlign w:val="superscript"/>
    </w:rPr>
  </w:style>
  <w:style w:type="paragraph" w:customStyle="1" w:styleId="4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48">
    <w:name w:val="Comment Text Char"/>
    <w:qFormat/>
    <w:uiPriority w:val="0"/>
  </w:style>
  <w:style w:type="character" w:customStyle="1" w:styleId="49">
    <w:name w:val="正文首行缩进 Char1"/>
    <w:qFormat/>
    <w:uiPriority w:val="0"/>
    <w:rPr>
      <w:rFonts w:eastAsia="宋体"/>
      <w:kern w:val="2"/>
      <w:sz w:val="21"/>
    </w:rPr>
  </w:style>
  <w:style w:type="character" w:customStyle="1" w:styleId="50">
    <w:name w:val="批注文字 Char1"/>
    <w:qFormat/>
    <w:uiPriority w:val="0"/>
    <w:rPr>
      <w:rFonts w:ascii="Times New Roman" w:hAnsi="Times New Roman" w:eastAsia="宋体" w:cs="Times New Roman"/>
      <w:sz w:val="20"/>
      <w:szCs w:val="20"/>
      <w:lang w:bidi="ar-SA"/>
    </w:rPr>
  </w:style>
  <w:style w:type="character" w:customStyle="1" w:styleId="51">
    <w:name w:val="批注文字 Char2"/>
    <w:qFormat/>
    <w:uiPriority w:val="0"/>
    <w:rPr>
      <w:rFonts w:ascii="Times New Roman" w:hAnsi="Times New Roman"/>
      <w:kern w:val="2"/>
      <w:sz w:val="21"/>
      <w:szCs w:val="24"/>
    </w:rPr>
  </w:style>
  <w:style w:type="character" w:customStyle="1" w:styleId="52">
    <w:name w:val="style_kwd"/>
    <w:basedOn w:val="39"/>
    <w:qFormat/>
    <w:uiPriority w:val="0"/>
  </w:style>
  <w:style w:type="character" w:customStyle="1" w:styleId="53">
    <w:name w:val="font161"/>
    <w:qFormat/>
    <w:uiPriority w:val="0"/>
    <w:rPr>
      <w:b/>
      <w:bCs/>
      <w:sz w:val="32"/>
      <w:szCs w:val="32"/>
    </w:rPr>
  </w:style>
  <w:style w:type="character" w:customStyle="1" w:styleId="54">
    <w:name w:val="正文文本 Char Char"/>
    <w:qFormat/>
    <w:uiPriority w:val="0"/>
    <w:rPr>
      <w:rFonts w:eastAsia="宋体"/>
      <w:kern w:val="2"/>
      <w:sz w:val="21"/>
      <w:szCs w:val="24"/>
      <w:lang w:val="en-US" w:eastAsia="zh-CN" w:bidi="ar-SA"/>
    </w:rPr>
  </w:style>
  <w:style w:type="paragraph" w:customStyle="1" w:styleId="55">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5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57">
    <w:name w:val="修订2"/>
    <w:qFormat/>
    <w:uiPriority w:val="0"/>
    <w:rPr>
      <w:rFonts w:ascii="Times New Roman" w:hAnsi="Times New Roman" w:eastAsia="楷体_GB2312" w:cs="Times New Roman"/>
      <w:kern w:val="2"/>
      <w:sz w:val="21"/>
      <w:szCs w:val="24"/>
      <w:lang w:val="en-US" w:eastAsia="zh-CN" w:bidi="ar-SA"/>
    </w:rPr>
  </w:style>
  <w:style w:type="paragraph" w:customStyle="1" w:styleId="58">
    <w:name w:val="Char"/>
    <w:basedOn w:val="1"/>
    <w:qFormat/>
    <w:uiPriority w:val="0"/>
    <w:pPr>
      <w:widowControl/>
      <w:spacing w:after="160" w:line="240" w:lineRule="exact"/>
      <w:jc w:val="left"/>
    </w:pPr>
    <w:rPr>
      <w:rFonts w:ascii="Verdana" w:hAnsi="Verdana"/>
      <w:kern w:val="0"/>
      <w:sz w:val="20"/>
      <w:szCs w:val="20"/>
    </w:rPr>
  </w:style>
  <w:style w:type="paragraph" w:customStyle="1" w:styleId="59">
    <w:name w:val="_Style 23"/>
    <w:basedOn w:val="1"/>
    <w:qFormat/>
    <w:uiPriority w:val="0"/>
    <w:pPr>
      <w:widowControl/>
      <w:spacing w:after="160" w:line="240" w:lineRule="exact"/>
      <w:jc w:val="left"/>
    </w:pPr>
  </w:style>
  <w:style w:type="paragraph" w:customStyle="1" w:styleId="60">
    <w:name w:val="样式1"/>
    <w:basedOn w:val="1"/>
    <w:next w:val="6"/>
    <w:qFormat/>
    <w:uiPriority w:val="0"/>
    <w:pPr>
      <w:spacing w:line="360" w:lineRule="auto"/>
      <w:ind w:firstLine="200" w:firstLineChars="200"/>
    </w:pPr>
    <w:rPr>
      <w:rFonts w:ascii="宋体" w:hAnsi="宋体"/>
      <w:szCs w:val="21"/>
    </w:rPr>
  </w:style>
  <w:style w:type="paragraph" w:customStyle="1" w:styleId="6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2">
    <w:name w:val="表格"/>
    <w:basedOn w:val="1"/>
    <w:qFormat/>
    <w:uiPriority w:val="0"/>
    <w:pPr>
      <w:jc w:val="center"/>
      <w:textAlignment w:val="center"/>
    </w:pPr>
    <w:rPr>
      <w:rFonts w:ascii="华文细黑" w:hAnsi="华文细黑"/>
      <w:kern w:val="0"/>
      <w:szCs w:val="20"/>
    </w:rPr>
  </w:style>
  <w:style w:type="paragraph" w:customStyle="1" w:styleId="63">
    <w:name w:val="Char1"/>
    <w:basedOn w:val="1"/>
    <w:qFormat/>
    <w:uiPriority w:val="0"/>
    <w:pPr>
      <w:tabs>
        <w:tab w:val="left" w:pos="360"/>
      </w:tabs>
    </w:pPr>
    <w:rPr>
      <w:sz w:val="24"/>
      <w:szCs w:val="20"/>
    </w:rPr>
  </w:style>
  <w:style w:type="paragraph" w:customStyle="1" w:styleId="64">
    <w:name w:val="Table Paragraph"/>
    <w:basedOn w:val="1"/>
    <w:qFormat/>
    <w:uiPriority w:val="0"/>
  </w:style>
  <w:style w:type="paragraph" w:customStyle="1" w:styleId="65">
    <w:name w:val="修订1"/>
    <w:qFormat/>
    <w:uiPriority w:val="0"/>
    <w:rPr>
      <w:rFonts w:ascii="Times New Roman" w:hAnsi="Times New Roman" w:eastAsia="楷体_GB2312" w:cs="Times New Roman"/>
      <w:kern w:val="2"/>
      <w:sz w:val="21"/>
      <w:szCs w:val="22"/>
      <w:lang w:val="en-US" w:eastAsia="zh-CN" w:bidi="ar-SA"/>
    </w:rPr>
  </w:style>
  <w:style w:type="paragraph" w:customStyle="1" w:styleId="66">
    <w:name w:val="我的正文"/>
    <w:basedOn w:val="1"/>
    <w:qFormat/>
    <w:uiPriority w:val="0"/>
    <w:rPr>
      <w:rFonts w:ascii="宋体" w:hAnsi="宋体"/>
      <w:sz w:val="24"/>
      <w:szCs w:val="24"/>
    </w:rPr>
  </w:style>
  <w:style w:type="paragraph" w:customStyle="1" w:styleId="67">
    <w:name w:val="1"/>
    <w:basedOn w:val="1"/>
    <w:qFormat/>
    <w:uiPriority w:val="0"/>
    <w:rPr>
      <w:szCs w:val="20"/>
    </w:rPr>
  </w:style>
  <w:style w:type="paragraph" w:customStyle="1" w:styleId="68">
    <w:name w:val="修订111"/>
    <w:qFormat/>
    <w:uiPriority w:val="0"/>
    <w:rPr>
      <w:rFonts w:ascii="Times New Roman" w:hAnsi="Times New Roman" w:eastAsia="楷体_GB2312" w:cs="Times New Roman"/>
      <w:kern w:val="2"/>
      <w:sz w:val="21"/>
      <w:lang w:val="en-US" w:eastAsia="zh-CN" w:bidi="ar-SA"/>
    </w:rPr>
  </w:style>
  <w:style w:type="paragraph" w:customStyle="1" w:styleId="69">
    <w:name w:val="p0"/>
    <w:basedOn w:val="1"/>
    <w:qFormat/>
    <w:uiPriority w:val="0"/>
    <w:pPr>
      <w:widowControl/>
    </w:pPr>
    <w:rPr>
      <w:rFonts w:cs="宋体"/>
      <w:kern w:val="0"/>
      <w:szCs w:val="21"/>
    </w:rPr>
  </w:style>
  <w:style w:type="paragraph" w:customStyle="1" w:styleId="70">
    <w:name w:val="样式2"/>
    <w:basedOn w:val="5"/>
    <w:qFormat/>
    <w:uiPriority w:val="0"/>
    <w:pPr>
      <w:spacing w:line="415" w:lineRule="auto"/>
    </w:pPr>
    <w:rPr>
      <w:bCs/>
      <w:i/>
      <w:szCs w:val="28"/>
    </w:rPr>
  </w:style>
  <w:style w:type="paragraph" w:customStyle="1" w:styleId="71">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72">
    <w:name w:val="修订11"/>
    <w:qFormat/>
    <w:uiPriority w:val="0"/>
    <w:rPr>
      <w:rFonts w:ascii="Times New Roman" w:hAnsi="Times New Roman" w:eastAsia="楷体_GB2312" w:cs="Times New Roman"/>
      <w:kern w:val="2"/>
      <w:sz w:val="21"/>
      <w:szCs w:val="24"/>
      <w:lang w:val="en-US" w:eastAsia="zh-CN" w:bidi="ar-SA"/>
    </w:rPr>
  </w:style>
  <w:style w:type="paragraph" w:customStyle="1" w:styleId="73">
    <w:name w:val="表格文字"/>
    <w:basedOn w:val="1"/>
    <w:qFormat/>
    <w:uiPriority w:val="0"/>
    <w:pPr>
      <w:adjustRightInd w:val="0"/>
      <w:spacing w:line="420" w:lineRule="atLeast"/>
      <w:jc w:val="left"/>
      <w:textAlignment w:val="baseline"/>
    </w:pPr>
    <w:rPr>
      <w:kern w:val="0"/>
      <w:szCs w:val="20"/>
    </w:rPr>
  </w:style>
  <w:style w:type="paragraph" w:customStyle="1" w:styleId="74">
    <w:name w:val="样式 标题 1 + 黑体 三号 非加粗 居中 段前: 6 磅 段后: 6 磅 行距: 固定值 20 磅"/>
    <w:basedOn w:val="3"/>
    <w:qFormat/>
    <w:uiPriority w:val="0"/>
    <w:pPr>
      <w:spacing w:before="120" w:after="120" w:line="400" w:lineRule="exact"/>
      <w:jc w:val="center"/>
    </w:pPr>
    <w:rPr>
      <w:rFonts w:ascii="黑体" w:eastAsia="黑体" w:cs="宋体"/>
      <w:b w:val="0"/>
      <w:sz w:val="32"/>
    </w:rPr>
  </w:style>
  <w:style w:type="paragraph" w:customStyle="1" w:styleId="75">
    <w:name w:val="列表段落1"/>
    <w:basedOn w:val="1"/>
    <w:qFormat/>
    <w:uiPriority w:val="0"/>
    <w:pPr>
      <w:ind w:firstLine="200" w:firstLineChars="200"/>
    </w:pPr>
  </w:style>
  <w:style w:type="paragraph" w:customStyle="1" w:styleId="76">
    <w:name w:val="文二"/>
    <w:basedOn w:val="1"/>
    <w:qFormat/>
    <w:uiPriority w:val="0"/>
    <w:rPr>
      <w:rFonts w:ascii="宋体" w:hAnsi="宋体"/>
      <w:szCs w:val="21"/>
    </w:rPr>
  </w:style>
  <w:style w:type="paragraph" w:customStyle="1" w:styleId="77">
    <w:name w:val="样式 标题 3 + (中文) 黑体 小四 非加粗 段前: 7.8 磅 段后: 0 磅 行距: 固定值 20 磅"/>
    <w:basedOn w:val="5"/>
    <w:qFormat/>
    <w:uiPriority w:val="0"/>
    <w:pPr>
      <w:spacing w:before="0" w:after="0" w:line="400" w:lineRule="exact"/>
    </w:pPr>
    <w:rPr>
      <w:rFonts w:cs="宋体"/>
      <w:sz w:val="24"/>
    </w:rPr>
  </w:style>
  <w:style w:type="paragraph" w:customStyle="1" w:styleId="78">
    <w:name w:val="正文首行缩进1"/>
    <w:basedOn w:val="17"/>
    <w:qFormat/>
    <w:uiPriority w:val="0"/>
    <w:pPr>
      <w:spacing w:line="312" w:lineRule="auto"/>
      <w:ind w:firstLine="420"/>
    </w:pPr>
  </w:style>
  <w:style w:type="paragraph" w:customStyle="1" w:styleId="79">
    <w:name w:val="标题 31"/>
    <w:basedOn w:val="1"/>
    <w:qFormat/>
    <w:uiPriority w:val="0"/>
    <w:pPr>
      <w:ind w:left="237"/>
      <w:outlineLvl w:val="2"/>
    </w:pPr>
    <w:rPr>
      <w:rFonts w:ascii="宋体" w:eastAsia="宋体"/>
      <w:sz w:val="28"/>
    </w:rPr>
  </w:style>
  <w:style w:type="paragraph" w:customStyle="1" w:styleId="80">
    <w:name w:val="标题 21"/>
    <w:basedOn w:val="1"/>
    <w:qFormat/>
    <w:uiPriority w:val="0"/>
    <w:pPr>
      <w:outlineLvl w:val="1"/>
    </w:pPr>
    <w:rPr>
      <w:rFonts w:ascii="宋体" w:eastAsia="宋体"/>
      <w:sz w:val="32"/>
    </w:rPr>
  </w:style>
  <w:style w:type="paragraph" w:customStyle="1" w:styleId="8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2">
    <w:name w:val="Normal_0"/>
    <w:qFormat/>
    <w:uiPriority w:val="0"/>
    <w:pPr>
      <w:spacing w:before="120" w:after="240"/>
      <w:jc w:val="both"/>
    </w:pPr>
    <w:rPr>
      <w:rFonts w:ascii="Calibri" w:hAnsi="Calibri" w:eastAsia="宋体" w:cs="Calibri"/>
      <w:sz w:val="22"/>
      <w:szCs w:val="22"/>
      <w:lang w:val="ru-RU" w:eastAsia="zh-CN" w:bidi="ar-SA"/>
    </w:rPr>
  </w:style>
  <w:style w:type="character" w:customStyle="1" w:styleId="83">
    <w:name w:val="纯文本 Char1"/>
    <w:qFormat/>
    <w:uiPriority w:val="0"/>
    <w:rPr>
      <w:rFonts w:ascii="宋体" w:eastAsia="宋体" w:cs="Times New Roman"/>
      <w:szCs w:val="20"/>
    </w:rPr>
  </w:style>
  <w:style w:type="paragraph" w:customStyle="1" w:styleId="84">
    <w:name w:val="修订3"/>
    <w:qFormat/>
    <w:uiPriority w:val="0"/>
    <w:rPr>
      <w:rFonts w:ascii="Times New Roman" w:hAnsi="Times New Roman" w:eastAsia="楷体_GB2312" w:cs="Times New Roman"/>
      <w:kern w:val="2"/>
      <w:sz w:val="21"/>
      <w:szCs w:val="22"/>
      <w:lang w:val="en-US" w:eastAsia="zh-CN" w:bidi="ar-SA"/>
    </w:rPr>
  </w:style>
  <w:style w:type="paragraph" w:customStyle="1" w:styleId="8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xl24"/>
    <w:basedOn w:val="1"/>
    <w:qFormat/>
    <w:uiPriority w:val="0"/>
    <w:pPr>
      <w:widowControl/>
      <w:spacing w:before="100" w:after="100"/>
      <w:jc w:val="center"/>
    </w:pPr>
    <w:rPr>
      <w:rFonts w:ascii="宋体" w:eastAsia="宋体"/>
      <w:kern w:val="0"/>
      <w:sz w:val="24"/>
      <w:szCs w:val="20"/>
    </w:rPr>
  </w:style>
  <w:style w:type="paragraph" w:customStyle="1" w:styleId="87">
    <w:name w:val="样式 宋体 行距: 1.5 倍行距"/>
    <w:basedOn w:val="1"/>
    <w:qFormat/>
    <w:uiPriority w:val="99"/>
    <w:pPr>
      <w:jc w:val="center"/>
    </w:pPr>
    <w:rPr>
      <w:b/>
      <w:bCs/>
    </w:rPr>
  </w:style>
  <w:style w:type="paragraph" w:customStyle="1" w:styleId="88">
    <w:name w:val="修订4"/>
    <w:hidden/>
    <w:semiHidden/>
    <w:qFormat/>
    <w:uiPriority w:val="99"/>
    <w:rPr>
      <w:rFonts w:ascii="Times New Roman" w:hAnsi="Times New Roman" w:eastAsia="楷体_GB2312" w:cs="Times New Roman"/>
      <w:kern w:val="2"/>
      <w:sz w:val="21"/>
      <w:szCs w:val="22"/>
      <w:lang w:val="en-US" w:eastAsia="zh-CN" w:bidi="ar-SA"/>
    </w:rPr>
  </w:style>
  <w:style w:type="paragraph" w:customStyle="1" w:styleId="89">
    <w:name w:val="_Style 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33740</Words>
  <Characters>35800</Characters>
  <Lines>283</Lines>
  <Paragraphs>79</Paragraphs>
  <ScaleCrop>false</ScaleCrop>
  <LinksUpToDate>false</LinksUpToDate>
  <CharactersWithSpaces>37635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2021-08-27T04:44:00Z</dcterms:created>
  <dc:creator>MIRCO</dc:creator>
  <cp:lastModifiedBy>**</cp:lastModifiedBy>
  <cp:lastPrinted>2021-08-27T04:47:00Z</cp:lastPrinted>
  <dcterms:modified xsi:type="dcterms:W3CDTF">2022-10-19T06:54:21Z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0D2BD058C53844DF95FBB16BA0343459</vt:lpwstr>
  </property>
</Properties>
</file>