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jc w:val="center"/>
        <w:rPr>
          <w:rFonts w:eastAsia="黑体"/>
          <w:color w:val="auto"/>
          <w:sz w:val="36"/>
          <w:szCs w:val="36"/>
        </w:rPr>
      </w:pPr>
      <w:r>
        <w:rPr>
          <w:rFonts w:hint="eastAsia" w:eastAsia="黑体"/>
          <w:color w:val="auto"/>
          <w:sz w:val="36"/>
          <w:szCs w:val="36"/>
          <w:u w:val="single"/>
        </w:rPr>
        <w:t>增城国家级开发区中新园区基础设施配套中新下沉式再生水厂项目施工图审查</w:t>
      </w:r>
      <w:r>
        <w:rPr>
          <w:rFonts w:hint="eastAsia" w:eastAsia="黑体"/>
          <w:color w:val="auto"/>
          <w:sz w:val="36"/>
          <w:szCs w:val="36"/>
        </w:rPr>
        <w:t>招标公告</w:t>
      </w:r>
    </w:p>
    <w:p>
      <w:pPr>
        <w:keepNext w:val="0"/>
        <w:keepLines w:val="0"/>
        <w:pageBreakBefore w:val="0"/>
        <w:widowControl w:val="0"/>
        <w:numPr>
          <w:ilvl w:val="0"/>
          <w:numId w:val="1"/>
        </w:numPr>
        <w:tabs>
          <w:tab w:val="left" w:pos="360"/>
          <w:tab w:val="left" w:pos="760"/>
        </w:tabs>
        <w:kinsoku/>
        <w:wordWrap/>
        <w:overflowPunct/>
        <w:topLinePunct w:val="0"/>
        <w:autoSpaceDE/>
        <w:autoSpaceDN/>
        <w:bidi w:val="0"/>
        <w:snapToGrid w:val="0"/>
        <w:spacing w:line="348" w:lineRule="auto"/>
        <w:ind w:left="0" w:leftChars="0" w:right="0" w:rightChars="0"/>
        <w:jc w:val="both"/>
        <w:textAlignment w:val="auto"/>
        <w:outlineLvl w:val="9"/>
        <w:rPr>
          <w:rFonts w:ascii="宋体" w:hAnsi="宋体" w:eastAsia="宋体" w:cs="宋体"/>
          <w:b/>
          <w:color w:val="auto"/>
          <w:sz w:val="32"/>
          <w:szCs w:val="24"/>
        </w:rPr>
      </w:pPr>
      <w:r>
        <w:rPr>
          <w:rFonts w:hint="eastAsia" w:ascii="宋体" w:hAnsi="宋体" w:eastAsia="宋体" w:cs="宋体"/>
          <w:b/>
          <w:color w:val="auto"/>
          <w:sz w:val="32"/>
          <w:szCs w:val="24"/>
        </w:rPr>
        <w:t>招标条件</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right="0" w:rightChars="0" w:firstLine="480" w:firstLineChars="200"/>
        <w:jc w:val="both"/>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本招标项目</w:t>
      </w:r>
      <w:r>
        <w:rPr>
          <w:rFonts w:hint="eastAsia" w:ascii="宋体" w:hAnsi="宋体" w:eastAsia="宋体" w:cs="宋体"/>
          <w:color w:val="auto"/>
          <w:sz w:val="24"/>
          <w:u w:val="single"/>
        </w:rPr>
        <w:t>增城国家级开发区中新园区基础设施配套中新下沉式再生水厂项目施工图审查</w:t>
      </w:r>
      <w:r>
        <w:rPr>
          <w:rFonts w:hint="eastAsia" w:ascii="宋体" w:hAnsi="宋体" w:eastAsia="宋体" w:cs="宋体"/>
          <w:color w:val="auto"/>
          <w:sz w:val="24"/>
          <w:szCs w:val="24"/>
        </w:rPr>
        <w:t>已由</w:t>
      </w:r>
      <w:r>
        <w:rPr>
          <w:rFonts w:hint="eastAsia" w:ascii="宋体" w:hAnsi="宋体" w:eastAsia="宋体"/>
          <w:color w:val="auto"/>
          <w:sz w:val="24"/>
          <w:u w:val="single"/>
          <w:lang w:val="en-US" w:eastAsia="zh-CN"/>
        </w:rPr>
        <w:t>《广州市增城区水务局关于增城国家级开发区中新园区基础设施配套中新下沉式再生水厂项目初步设计及概算的批复》（穗增水排水[2022]35号）</w:t>
      </w:r>
      <w:r>
        <w:rPr>
          <w:rFonts w:hint="eastAsia" w:ascii="宋体" w:hAnsi="宋体" w:eastAsia="宋体" w:cs="宋体"/>
          <w:color w:val="auto"/>
          <w:sz w:val="24"/>
          <w:szCs w:val="24"/>
        </w:rPr>
        <w:t>批准建设，建设资金为</w:t>
      </w:r>
      <w:r>
        <w:rPr>
          <w:rFonts w:hint="eastAsia" w:ascii="宋体" w:hAnsi="宋体" w:eastAsia="宋体" w:cs="宋体"/>
          <w:color w:val="auto"/>
          <w:sz w:val="24"/>
          <w:szCs w:val="24"/>
          <w:u w:val="single"/>
        </w:rPr>
        <w:t>由广州市增城排水有限公司注资</w:t>
      </w:r>
      <w:r>
        <w:rPr>
          <w:rFonts w:hint="eastAsia" w:ascii="宋体" w:hAnsi="宋体" w:eastAsia="宋体" w:cs="宋体"/>
          <w:color w:val="auto"/>
          <w:sz w:val="24"/>
          <w:szCs w:val="24"/>
        </w:rPr>
        <w:t>，出资比例为</w:t>
      </w:r>
      <w:r>
        <w:rPr>
          <w:rFonts w:hint="eastAsia" w:ascii="宋体" w:hAnsi="宋体" w:eastAsia="宋体" w:cs="宋体"/>
          <w:color w:val="auto"/>
          <w:sz w:val="24"/>
          <w:szCs w:val="24"/>
          <w:u w:val="single"/>
        </w:rPr>
        <w:t>100%</w:t>
      </w:r>
      <w:r>
        <w:rPr>
          <w:rFonts w:hint="eastAsia" w:ascii="宋体" w:hAnsi="宋体" w:eastAsia="宋体" w:cs="宋体"/>
          <w:color w:val="auto"/>
          <w:sz w:val="24"/>
          <w:szCs w:val="24"/>
        </w:rPr>
        <w:t>，招标人为</w:t>
      </w:r>
      <w:r>
        <w:rPr>
          <w:rFonts w:hint="eastAsia" w:ascii="宋体" w:hAnsi="宋体" w:eastAsia="宋体" w:cs="宋体"/>
          <w:color w:val="auto"/>
          <w:sz w:val="24"/>
          <w:u w:val="single"/>
        </w:rPr>
        <w:t>广州市增城区水务建设管理所</w:t>
      </w:r>
      <w:r>
        <w:rPr>
          <w:rFonts w:hint="eastAsia" w:ascii="宋体" w:hAnsi="宋体" w:eastAsia="宋体" w:cs="宋体"/>
          <w:color w:val="auto"/>
          <w:sz w:val="24"/>
          <w:szCs w:val="24"/>
        </w:rPr>
        <w:t>，项目已具备招标条件，现对该项目的施工图审查进行公开招标。</w:t>
      </w:r>
    </w:p>
    <w:p>
      <w:pPr>
        <w:keepNext w:val="0"/>
        <w:keepLines w:val="0"/>
        <w:pageBreakBefore w:val="0"/>
        <w:widowControl w:val="0"/>
        <w:numPr>
          <w:ilvl w:val="0"/>
          <w:numId w:val="2"/>
        </w:numPr>
        <w:tabs>
          <w:tab w:val="left" w:pos="360"/>
        </w:tabs>
        <w:kinsoku/>
        <w:wordWrap/>
        <w:overflowPunct/>
        <w:topLinePunct w:val="0"/>
        <w:autoSpaceDE/>
        <w:autoSpaceDN/>
        <w:bidi w:val="0"/>
        <w:snapToGrid w:val="0"/>
        <w:spacing w:line="348" w:lineRule="auto"/>
        <w:ind w:left="0" w:leftChars="0" w:right="0" w:rightChars="0"/>
        <w:jc w:val="both"/>
        <w:textAlignment w:val="auto"/>
        <w:outlineLvl w:val="9"/>
        <w:rPr>
          <w:rFonts w:ascii="宋体" w:hAnsi="宋体" w:eastAsia="宋体" w:cs="宋体"/>
          <w:b/>
          <w:color w:val="auto"/>
          <w:sz w:val="32"/>
          <w:szCs w:val="24"/>
        </w:rPr>
      </w:pPr>
      <w:r>
        <w:rPr>
          <w:rFonts w:hint="eastAsia" w:ascii="宋体" w:hAnsi="宋体" w:eastAsia="宋体" w:cs="宋体"/>
          <w:b/>
          <w:color w:val="auto"/>
          <w:sz w:val="32"/>
          <w:szCs w:val="24"/>
        </w:rPr>
        <w:t>项目概况与招标范围</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right="0" w:rightChars="0" w:firstLine="480" w:firstLineChars="200"/>
        <w:jc w:val="both"/>
        <w:textAlignment w:val="auto"/>
        <w:outlineLvl w:val="9"/>
        <w:rPr>
          <w:rFonts w:ascii="宋体" w:hAnsi="宋体" w:eastAsia="宋体" w:cs="宋体"/>
          <w:color w:val="auto"/>
          <w:sz w:val="24"/>
          <w:szCs w:val="24"/>
          <w:u w:val="single"/>
        </w:rPr>
      </w:pPr>
      <w:r>
        <w:rPr>
          <w:rFonts w:hint="eastAsia" w:ascii="宋体" w:hAnsi="宋体" w:eastAsia="宋体" w:cs="宋体"/>
          <w:color w:val="auto"/>
          <w:sz w:val="24"/>
          <w:szCs w:val="24"/>
        </w:rPr>
        <w:t>2.1 项目名称：</w:t>
      </w:r>
      <w:r>
        <w:rPr>
          <w:rFonts w:hint="eastAsia" w:ascii="宋体" w:hAnsi="宋体" w:eastAsia="宋体" w:cs="宋体"/>
          <w:color w:val="auto"/>
          <w:sz w:val="24"/>
          <w:u w:val="single"/>
        </w:rPr>
        <w:t>增城国家级开发区中新园区基础设施配套中新下沉式再生水厂项目施工图审查</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right="0" w:rightChars="0" w:firstLine="480" w:firstLineChars="200"/>
        <w:jc w:val="both"/>
        <w:textAlignment w:val="auto"/>
        <w:outlineLvl w:val="9"/>
        <w:rPr>
          <w:rFonts w:ascii="宋体" w:hAnsi="宋体" w:eastAsia="宋体" w:cs="宋体"/>
          <w:color w:val="auto"/>
          <w:sz w:val="24"/>
          <w:u w:val="single"/>
        </w:rPr>
      </w:pPr>
      <w:r>
        <w:rPr>
          <w:rFonts w:hint="eastAsia" w:ascii="宋体" w:hAnsi="宋体" w:eastAsia="宋体" w:cs="宋体"/>
          <w:color w:val="auto"/>
          <w:sz w:val="24"/>
          <w:szCs w:val="24"/>
        </w:rPr>
        <w:t>2.2 建设地点：</w:t>
      </w:r>
      <w:r>
        <w:rPr>
          <w:rFonts w:hint="eastAsia" w:ascii="宋体" w:hAnsi="宋体" w:eastAsia="宋体" w:cs="宋体"/>
          <w:color w:val="auto"/>
          <w:sz w:val="24"/>
          <w:szCs w:val="24"/>
          <w:u w:val="single"/>
          <w:lang w:bidi="ar"/>
        </w:rPr>
        <w:t>广州市增城区中新镇</w:t>
      </w:r>
      <w:r>
        <w:rPr>
          <w:rFonts w:hint="eastAsia" w:ascii="宋体" w:hAnsi="宋体" w:eastAsia="宋体" w:cs="宋体"/>
          <w:color w:val="auto"/>
          <w:sz w:val="24"/>
          <w:u w:val="single"/>
        </w:rPr>
        <w:t>。</w:t>
      </w:r>
    </w:p>
    <w:p>
      <w:pPr>
        <w:keepNext w:val="0"/>
        <w:keepLines w:val="0"/>
        <w:pageBreakBefore w:val="0"/>
        <w:widowControl w:val="0"/>
        <w:kinsoku/>
        <w:wordWrap/>
        <w:overflowPunct/>
        <w:topLinePunct w:val="0"/>
        <w:autoSpaceDE/>
        <w:autoSpaceDN/>
        <w:bidi w:val="0"/>
        <w:snapToGrid w:val="0"/>
        <w:spacing w:line="348" w:lineRule="auto"/>
        <w:ind w:left="0" w:leftChars="0" w:right="0" w:rightChars="0" w:firstLine="480" w:firstLineChars="200"/>
        <w:jc w:val="both"/>
        <w:textAlignment w:val="auto"/>
        <w:outlineLvl w:val="9"/>
        <w:rPr>
          <w:rFonts w:ascii="宋体" w:hAnsi="宋体" w:eastAsia="宋体" w:cs="宋体"/>
          <w:color w:val="auto"/>
        </w:rPr>
      </w:pPr>
      <w:r>
        <w:rPr>
          <w:rFonts w:hint="eastAsia" w:ascii="宋体" w:hAnsi="宋体" w:eastAsia="宋体" w:cs="宋体"/>
          <w:color w:val="auto"/>
          <w:sz w:val="24"/>
          <w:szCs w:val="24"/>
        </w:rPr>
        <w:t>2.3项目规模：</w:t>
      </w:r>
      <w:r>
        <w:rPr>
          <w:rFonts w:hint="eastAsia" w:ascii="宋体" w:hAnsi="宋体" w:eastAsia="宋体" w:cs="宋体"/>
          <w:color w:val="auto"/>
          <w:sz w:val="24"/>
          <w:szCs w:val="24"/>
          <w:u w:val="single"/>
        </w:rPr>
        <w:t>(一)新建一座下沉式再生水厂,总污水处理规模20万m³/d,其中一期建设规模为10万m³/d (土建一次性建成，其中预处理土建按20万m³/d，近期设备安装5万m³/d)，采用全地下式布置形式，厂区地面新建综合楼及市政公园。(二)配套建设DN1000-DN1200污水压力管道3.9公里，DN1200-DN1500污水重力管道0.9公里，DN500-DN600 再生水压力管道2.6公里。(三)配套建设一座污水提升泵站，土建规模7.5万m³/d,近期设备安装4.0万m³/d。本项目工程总概算投资为</w:t>
      </w:r>
      <w:r>
        <w:rPr>
          <w:rFonts w:hint="eastAsia" w:ascii="宋体" w:hAnsi="宋体" w:eastAsia="宋体" w:cs="宋体"/>
          <w:color w:val="auto"/>
          <w:sz w:val="24"/>
          <w:szCs w:val="24"/>
          <w:u w:val="single"/>
          <w:lang w:eastAsia="zh-CN"/>
        </w:rPr>
        <w:t>88800.37</w:t>
      </w:r>
      <w:r>
        <w:rPr>
          <w:rFonts w:hint="eastAsia" w:ascii="宋体" w:hAnsi="宋体" w:eastAsia="宋体" w:cs="宋体"/>
          <w:color w:val="auto"/>
          <w:sz w:val="24"/>
          <w:szCs w:val="24"/>
          <w:u w:val="single"/>
        </w:rPr>
        <w:t xml:space="preserve"> 万元，建安费约</w:t>
      </w:r>
      <w:r>
        <w:rPr>
          <w:rFonts w:hint="eastAsia" w:ascii="宋体" w:hAnsi="宋体" w:eastAsia="宋体" w:cs="宋体"/>
          <w:color w:val="auto"/>
          <w:sz w:val="24"/>
          <w:szCs w:val="24"/>
          <w:u w:val="single"/>
          <w:lang w:eastAsia="zh-CN"/>
        </w:rPr>
        <w:t>63209.72</w:t>
      </w:r>
      <w:r>
        <w:rPr>
          <w:rFonts w:hint="eastAsia" w:ascii="宋体" w:hAnsi="宋体" w:eastAsia="宋体" w:cs="宋体"/>
          <w:color w:val="auto"/>
          <w:sz w:val="24"/>
          <w:szCs w:val="24"/>
          <w:u w:val="single"/>
        </w:rPr>
        <w:t>万元</w:t>
      </w:r>
      <w:r>
        <w:rPr>
          <w:rFonts w:hint="eastAsia" w:ascii="宋体" w:hAnsi="宋体" w:eastAsia="宋体" w:cs="宋体"/>
          <w:color w:val="auto"/>
          <w:sz w:val="24"/>
          <w:u w:val="single"/>
        </w:rPr>
        <w:t>。</w:t>
      </w:r>
    </w:p>
    <w:p>
      <w:pPr>
        <w:keepNext w:val="0"/>
        <w:keepLines w:val="0"/>
        <w:pageBreakBefore w:val="0"/>
        <w:widowControl w:val="0"/>
        <w:kinsoku/>
        <w:wordWrap/>
        <w:overflowPunct/>
        <w:topLinePunct w:val="0"/>
        <w:autoSpaceDE/>
        <w:autoSpaceDN/>
        <w:bidi w:val="0"/>
        <w:adjustRightInd w:val="0"/>
        <w:snapToGrid w:val="0"/>
        <w:spacing w:line="348" w:lineRule="auto"/>
        <w:ind w:left="0" w:leftChars="0" w:right="0" w:rightChars="0" w:firstLine="480" w:firstLineChars="200"/>
        <w:jc w:val="both"/>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2.4最高投标限价：</w:t>
      </w:r>
      <w:r>
        <w:rPr>
          <w:rFonts w:hint="eastAsia" w:ascii="宋体" w:hAnsi="宋体" w:eastAsia="宋体" w:cs="宋体"/>
          <w:color w:val="auto"/>
          <w:sz w:val="24"/>
          <w:szCs w:val="24"/>
          <w:highlight w:val="none"/>
          <w:u w:val="single"/>
          <w:lang w:eastAsia="zh-CN"/>
        </w:rPr>
        <w:t xml:space="preserve">1704750.95 </w:t>
      </w:r>
      <w:r>
        <w:rPr>
          <w:rFonts w:hint="eastAsia" w:ascii="宋体" w:hAnsi="宋体" w:eastAsia="宋体" w:cs="宋体"/>
          <w:color w:val="auto"/>
          <w:sz w:val="24"/>
          <w:szCs w:val="24"/>
          <w:highlight w:val="none"/>
        </w:rPr>
        <w:t>元。</w:t>
      </w:r>
    </w:p>
    <w:p>
      <w:pPr>
        <w:keepNext w:val="0"/>
        <w:keepLines w:val="0"/>
        <w:pageBreakBefore w:val="0"/>
        <w:widowControl w:val="0"/>
        <w:kinsoku/>
        <w:wordWrap/>
        <w:overflowPunct/>
        <w:topLinePunct w:val="0"/>
        <w:autoSpaceDE/>
        <w:autoSpaceDN/>
        <w:bidi w:val="0"/>
        <w:snapToGrid w:val="0"/>
        <w:spacing w:line="348" w:lineRule="auto"/>
        <w:ind w:left="0" w:leftChars="0" w:right="0" w:rightChars="0" w:firstLine="480"/>
        <w:jc w:val="both"/>
        <w:textAlignment w:val="auto"/>
        <w:outlineLvl w:val="9"/>
        <w:rPr>
          <w:rFonts w:ascii="宋体" w:hAnsi="宋体" w:eastAsia="宋体" w:cs="宋体"/>
          <w:color w:val="auto"/>
          <w:sz w:val="24"/>
          <w:szCs w:val="24"/>
          <w:u w:val="single"/>
        </w:rPr>
      </w:pPr>
      <w:r>
        <w:rPr>
          <w:rFonts w:hint="eastAsia" w:ascii="宋体" w:hAnsi="宋体" w:eastAsia="宋体" w:cs="宋体"/>
          <w:color w:val="auto"/>
          <w:sz w:val="24"/>
          <w:szCs w:val="24"/>
        </w:rPr>
        <w:t>2.5 标段划分：</w:t>
      </w:r>
      <w:r>
        <w:rPr>
          <w:rFonts w:hint="eastAsia" w:ascii="宋体" w:hAnsi="宋体" w:eastAsia="宋体" w:cs="宋体"/>
          <w:color w:val="auto"/>
          <w:sz w:val="24"/>
          <w:szCs w:val="24"/>
          <w:u w:val="single"/>
        </w:rPr>
        <w:t>本项目只划分为一个标段。</w:t>
      </w:r>
    </w:p>
    <w:p>
      <w:pPr>
        <w:keepNext w:val="0"/>
        <w:keepLines w:val="0"/>
        <w:pageBreakBefore w:val="0"/>
        <w:widowControl w:val="0"/>
        <w:kinsoku/>
        <w:wordWrap/>
        <w:overflowPunct/>
        <w:topLinePunct w:val="0"/>
        <w:autoSpaceDE/>
        <w:autoSpaceDN/>
        <w:bidi w:val="0"/>
        <w:snapToGrid w:val="0"/>
        <w:spacing w:line="348" w:lineRule="auto"/>
        <w:ind w:left="0" w:leftChars="0" w:right="0" w:rightChars="0" w:firstLine="480" w:firstLineChars="200"/>
        <w:jc w:val="both"/>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rPr>
        <w:t>2.6 招标范围：</w:t>
      </w:r>
      <w:r>
        <w:rPr>
          <w:rFonts w:hint="eastAsia" w:ascii="宋体" w:hAnsi="宋体" w:eastAsia="宋体" w:cs="宋体"/>
          <w:color w:val="auto"/>
          <w:sz w:val="24"/>
          <w:szCs w:val="24"/>
          <w:u w:val="single"/>
        </w:rPr>
        <w:t>根据国家、广东省、广州市关于施工图审查的有关要求，开展施工图设计审查工作，审查范围包括工程范围内的所有勘察设计文件，包括施工图设计各阶段、各专业的设计文件、技术文件（含勘察文件）等文件的审查，出具符合要求的施工图设计文件审查报告，在项目实施过程中，建设单位有权对施工图审查范围进行适当调整（增加或减少），并在规定时间内配合甲方报送建设行政主管部门备案并</w:t>
      </w:r>
      <w:r>
        <w:rPr>
          <w:rFonts w:hint="eastAsia" w:ascii="宋体" w:hAnsi="宋体" w:eastAsia="宋体" w:cs="宋体"/>
          <w:color w:val="auto"/>
          <w:sz w:val="24"/>
          <w:szCs w:val="24"/>
          <w:highlight w:val="none"/>
          <w:u w:val="single"/>
        </w:rPr>
        <w:t>获得施工图审查合格证。</w:t>
      </w:r>
    </w:p>
    <w:p>
      <w:pPr>
        <w:keepNext w:val="0"/>
        <w:keepLines w:val="0"/>
        <w:pageBreakBefore w:val="0"/>
        <w:widowControl w:val="0"/>
        <w:kinsoku/>
        <w:wordWrap/>
        <w:overflowPunct/>
        <w:topLinePunct w:val="0"/>
        <w:autoSpaceDE/>
        <w:autoSpaceDN/>
        <w:bidi w:val="0"/>
        <w:snapToGrid w:val="0"/>
        <w:spacing w:line="348" w:lineRule="auto"/>
        <w:ind w:left="0" w:leftChars="0" w:right="0" w:rightChars="0" w:firstLine="480"/>
        <w:jc w:val="both"/>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施工图审查主要内容（包括但不限于）：</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（1）有关施工图设计文件（包括目录、图纸、施工验收标准、签署、出图章等）完整性和深度的审核； </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（2）有关设计依据（包括工程地质勘察报告）、采用的设计规范、标准的完整性和准确性的审核；</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（3）有关使用功能、安全可靠和质量要求是否得到满足，是否符合批准的初步设计，是否达到国家有关规定的设计深度的审核；</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（4）应对计算书进行审核：主要是计算原则、模型、程序、公式、参数的选用是否合适，是否符合规范要求，输入数据是否准确；</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（5）施工图审查中需对勘察大纲、各专业设计图纸进行必要的会审，重点审查各专业设计之间的衔接和设计文件问题；</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（6）国家和地方有关法令、法规、规章所规定的施工图审查工作必须完成的工作内容；</w:t>
      </w:r>
    </w:p>
    <w:p>
      <w:pPr>
        <w:snapToGrid w:val="0"/>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（7）建设方要求审查的其他内容（包括但不限于：设计变更）。</w:t>
      </w:r>
    </w:p>
    <w:p>
      <w:pPr>
        <w:snapToGrid w:val="0"/>
        <w:spacing w:line="360" w:lineRule="auto"/>
        <w:ind w:left="136"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2.7服务期限：</w:t>
      </w:r>
      <w:r>
        <w:rPr>
          <w:rFonts w:hint="eastAsia" w:ascii="宋体" w:hAnsi="宋体" w:eastAsia="宋体" w:cs="宋体"/>
          <w:color w:val="auto"/>
          <w:sz w:val="24"/>
          <w:szCs w:val="24"/>
          <w:highlight w:val="none"/>
          <w:u w:val="single"/>
        </w:rPr>
        <w:t>自合同签订之日起至完成合同约定的所有服务内容为止。</w:t>
      </w:r>
    </w:p>
    <w:p>
      <w:pPr>
        <w:snapToGrid w:val="0"/>
        <w:spacing w:line="360" w:lineRule="auto"/>
        <w:ind w:left="136"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2.8工期要求：</w:t>
      </w:r>
      <w:r>
        <w:rPr>
          <w:rFonts w:hint="eastAsia" w:ascii="宋体" w:hAnsi="宋体" w:eastAsia="宋体" w:cs="宋体"/>
          <w:color w:val="auto"/>
          <w:sz w:val="24"/>
          <w:szCs w:val="24"/>
          <w:highlight w:val="none"/>
          <w:u w:val="single"/>
        </w:rPr>
        <w:t>在勘察设计单位提交施工图设计文件与资料后5个工作日内提出施工图审查意见，在勘察设计单位整改合格后5个工作日内出施工图审查报告、施工图审查合格书和审查合格的施工图纸。</w:t>
      </w:r>
    </w:p>
    <w:p>
      <w:pPr>
        <w:snapToGrid w:val="0"/>
        <w:spacing w:line="360" w:lineRule="auto"/>
        <w:ind w:left="136"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2.9本项目前期勘察设计单位为：</w:t>
      </w:r>
      <w:r>
        <w:rPr>
          <w:rFonts w:hint="eastAsia" w:ascii="宋体" w:hAnsi="宋体" w:eastAsia="宋体" w:cs="宋体"/>
          <w:color w:val="auto"/>
          <w:sz w:val="24"/>
          <w:szCs w:val="24"/>
          <w:highlight w:val="none"/>
          <w:u w:val="single"/>
        </w:rPr>
        <w:t>建材广州工程勘测院有限公司（勘察单位）、广东省建筑设计研究院有限公司（初步设计单位）。</w:t>
      </w:r>
      <w:r>
        <w:rPr>
          <w:rFonts w:hint="eastAsia" w:ascii="宋体" w:hAnsi="宋体" w:eastAsia="宋体" w:cs="宋体"/>
          <w:color w:val="auto"/>
          <w:sz w:val="24"/>
          <w:szCs w:val="24"/>
          <w:highlight w:val="none"/>
        </w:rPr>
        <w:t>（勘察设计单位与施工图审查单位不能为同一人，如勘察设计服务招标与施工图审查服务招标由同一家单位中标的，则中标单位须自动放弃施工图审查服务中标资格。）</w:t>
      </w:r>
    </w:p>
    <w:p>
      <w:pPr>
        <w:numPr>
          <w:ilvl w:val="0"/>
          <w:numId w:val="3"/>
        </w:numPr>
        <w:tabs>
          <w:tab w:val="left" w:pos="540"/>
        </w:tabs>
        <w:snapToGrid w:val="0"/>
        <w:spacing w:line="360" w:lineRule="auto"/>
        <w:rPr>
          <w:rFonts w:ascii="宋体" w:hAnsi="宋体" w:eastAsia="宋体" w:cs="宋体"/>
          <w:b/>
          <w:color w:val="auto"/>
          <w:sz w:val="32"/>
          <w:szCs w:val="24"/>
          <w:highlight w:val="none"/>
        </w:rPr>
      </w:pPr>
      <w:r>
        <w:rPr>
          <w:rFonts w:hint="eastAsia" w:ascii="宋体" w:hAnsi="宋体" w:eastAsia="宋体" w:cs="宋体"/>
          <w:b/>
          <w:color w:val="auto"/>
          <w:sz w:val="32"/>
          <w:szCs w:val="24"/>
          <w:highlight w:val="none"/>
        </w:rPr>
        <w:t>投标人资格要求</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 投标人参加投标的意思表达清楚，投标人代表被授权有效。</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3.2 投标人具有独立法人资格，持有工商行政管理部门核发的法人营业执照或各级登记管理机关颁发的事业单位法人证书，按国家法律经营。</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highlight w:val="none"/>
        </w:rPr>
        <w:t>3.3 投标人具有建设行政主管部门颁发的施工图设计文件审查机构</w:t>
      </w:r>
      <w:r>
        <w:rPr>
          <w:rFonts w:hint="eastAsia" w:ascii="宋体" w:hAnsi="宋体" w:eastAsia="宋体" w:cs="宋体"/>
          <w:color w:val="auto"/>
          <w:sz w:val="24"/>
          <w:highlight w:val="none"/>
          <w:u w:val="single"/>
        </w:rPr>
        <w:t>一类</w:t>
      </w:r>
      <w:r>
        <w:rPr>
          <w:rFonts w:hint="eastAsia" w:ascii="宋体" w:hAnsi="宋体" w:eastAsia="宋体" w:cs="宋体"/>
          <w:color w:val="auto"/>
          <w:sz w:val="24"/>
          <w:highlight w:val="none"/>
        </w:rPr>
        <w:t>资质证书[</w:t>
      </w:r>
      <w:r>
        <w:rPr>
          <w:rFonts w:hint="eastAsia" w:ascii="宋体" w:hAnsi="宋体" w:eastAsia="宋体" w:cs="宋体"/>
          <w:color w:val="auto"/>
          <w:sz w:val="24"/>
          <w:szCs w:val="24"/>
          <w:highlight w:val="none"/>
        </w:rPr>
        <w:t>业务范围须含市政基础设施（给水、排水）工程</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且证书在有效期内。</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 本项目的项目负责人具有市政类专业高级工程师（或以上）职称。</w:t>
      </w:r>
    </w:p>
    <w:p>
      <w:pPr>
        <w:snapToGrid w:val="0"/>
        <w:spacing w:line="360" w:lineRule="auto"/>
        <w:ind w:firstLine="480" w:firstLineChars="200"/>
        <w:rPr>
          <w:rFonts w:ascii="宋体" w:hAnsi="宋体" w:eastAsia="宋体" w:cs="宋体"/>
          <w:color w:val="auto"/>
          <w:sz w:val="24"/>
          <w:highlight w:val="none"/>
        </w:rPr>
      </w:pPr>
      <w:bookmarkStart w:id="2" w:name="_GoBack"/>
      <w:r>
        <w:rPr>
          <w:rFonts w:hint="eastAsia" w:ascii="宋体" w:hAnsi="宋体" w:eastAsia="宋体" w:cs="宋体"/>
          <w:color w:val="auto"/>
          <w:sz w:val="24"/>
          <w:highlight w:val="none"/>
        </w:rPr>
        <w:t>3.5 投标人在投标登记前应到广州公共资源交易中心办理企业信息登记。</w:t>
      </w:r>
    </w:p>
    <w:bookmarkEnd w:id="2"/>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3.6 本项目不接受联合体投标。</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3.7投标人已按招标文件格式要求签署盖章《投标人声明》。</w:t>
      </w:r>
    </w:p>
    <w:p>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3.8未被纳入国家、市、区的失信联合惩戒名单且</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被限制参加建设工程投标的（具体名单以递交投标文件截止时间“信用广州”</w:t>
      </w:r>
      <w:r>
        <w:rPr>
          <w:rFonts w:hint="eastAsia" w:ascii="宋体" w:hAnsi="宋体" w:eastAsia="宋体" w:cs="宋体"/>
          <w:color w:val="auto"/>
          <w:sz w:val="22"/>
          <w:szCs w:val="21"/>
          <w:highlight w:val="none"/>
        </w:rPr>
        <w:t>https://credit1.gz.gov.cn/sgs/sgsXkNew</w:t>
      </w:r>
      <w:r>
        <w:rPr>
          <w:rFonts w:hint="eastAsia" w:ascii="宋体" w:hAnsi="宋体" w:eastAsia="宋体" w:cs="宋体"/>
          <w:color w:val="auto"/>
          <w:sz w:val="24"/>
          <w:highlight w:val="none"/>
        </w:rPr>
        <w:t>公布的“失信</w:t>
      </w:r>
      <w:r>
        <w:rPr>
          <w:rFonts w:hint="eastAsia" w:ascii="宋体" w:hAnsi="宋体" w:eastAsia="宋体" w:cs="宋体"/>
          <w:color w:val="auto"/>
          <w:sz w:val="24"/>
          <w:highlight w:val="none"/>
          <w:lang w:val="en-US" w:eastAsia="zh-CN"/>
        </w:rPr>
        <w:t>联合惩戒</w:t>
      </w:r>
      <w:r>
        <w:rPr>
          <w:rFonts w:hint="eastAsia" w:ascii="宋体" w:hAnsi="宋体" w:eastAsia="宋体" w:cs="宋体"/>
          <w:color w:val="auto"/>
          <w:sz w:val="24"/>
          <w:highlight w:val="none"/>
        </w:rPr>
        <w:t>黑名单”为准。不包含限制参加财政投资工程或政府投资工程的投标）。</w:t>
      </w:r>
      <w:r>
        <w:rPr>
          <w:rFonts w:hint="eastAsia" w:ascii="宋体" w:hAnsi="宋体" w:eastAsia="宋体" w:cs="宋体"/>
          <w:color w:val="auto"/>
          <w:sz w:val="22"/>
          <w:szCs w:val="21"/>
          <w:highlight w:val="none"/>
        </w:rPr>
        <w:t>注：因联合惩戒措施表述存在细微差别，惩戒措施与上文不完全一致但措施内容相同的，也应属于被限制参与相关项目的投标。</w:t>
      </w:r>
      <w:r>
        <w:rPr>
          <w:rFonts w:hint="eastAsia" w:ascii="宋体" w:hAnsi="宋体" w:eastAsia="宋体" w:cs="宋体"/>
          <w:color w:val="auto"/>
          <w:sz w:val="24"/>
          <w:highlight w:val="none"/>
        </w:rPr>
        <w:t>（按投标人提供的《投标人声明》第六条内容进行评审）。</w:t>
      </w:r>
    </w:p>
    <w:p>
      <w:pPr>
        <w:snapToGrid w:val="0"/>
        <w:spacing w:line="360" w:lineRule="auto"/>
        <w:ind w:right="106" w:firstLine="480" w:firstLineChars="200"/>
        <w:jc w:val="left"/>
        <w:rPr>
          <w:rFonts w:ascii="宋体" w:hAnsi="宋体" w:eastAsia="宋体" w:cs="宋体"/>
          <w:color w:val="auto"/>
        </w:rPr>
      </w:pPr>
      <w:r>
        <w:rPr>
          <w:rFonts w:hint="eastAsia" w:ascii="宋体" w:hAnsi="宋体" w:eastAsia="宋体" w:cs="宋体"/>
          <w:color w:val="auto"/>
          <w:sz w:val="24"/>
        </w:rPr>
        <w:t>注：</w:t>
      </w:r>
      <w:r>
        <w:rPr>
          <w:rFonts w:hint="eastAsia" w:ascii="宋体" w:hAnsi="宋体" w:eastAsia="宋体" w:cs="宋体"/>
          <w:color w:val="auto"/>
          <w:sz w:val="24"/>
          <w:szCs w:val="24"/>
        </w:rPr>
        <w:t>未在招标公告第三条单列的投标人资格要求条件，不作为资审不合格的依据。</w:t>
      </w:r>
    </w:p>
    <w:p>
      <w:pPr>
        <w:snapToGrid w:val="0"/>
        <w:spacing w:line="360" w:lineRule="auto"/>
        <w:rPr>
          <w:rFonts w:ascii="宋体" w:hAnsi="宋体" w:eastAsia="宋体" w:cs="宋体"/>
          <w:color w:val="auto"/>
          <w:szCs w:val="21"/>
        </w:rPr>
      </w:pPr>
      <w:r>
        <w:rPr>
          <w:rFonts w:hint="eastAsia" w:ascii="宋体" w:hAnsi="宋体" w:eastAsia="宋体" w:cs="宋体"/>
          <w:b/>
          <w:color w:val="auto"/>
          <w:sz w:val="32"/>
          <w:szCs w:val="24"/>
        </w:rPr>
        <w:t>4．招标文件的获取</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4.1凡有意参加投标者，请登录广州公共资源交易中心网（http//www.gzggzy.cn）下载电子招标文件。</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szCs w:val="24"/>
        </w:rPr>
        <w:t>4.2 本项目设立投标登记环节，采取</w:t>
      </w:r>
      <w:r>
        <w:rPr>
          <w:rFonts w:hint="eastAsia" w:ascii="宋体" w:hAnsi="宋体" w:eastAsia="宋体" w:cs="宋体"/>
          <w:color w:val="auto"/>
          <w:sz w:val="24"/>
          <w:szCs w:val="24"/>
          <w:u w:val="single"/>
        </w:rPr>
        <w:t xml:space="preserve"> （网上登记） </w:t>
      </w:r>
      <w:r>
        <w:rPr>
          <w:rFonts w:hint="eastAsia" w:ascii="宋体" w:hAnsi="宋体" w:eastAsia="宋体" w:cs="宋体"/>
          <w:color w:val="auto"/>
          <w:sz w:val="24"/>
          <w:szCs w:val="24"/>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napToGrid w:val="0"/>
        <w:spacing w:line="360" w:lineRule="auto"/>
        <w:ind w:left="479" w:leftChars="228"/>
        <w:rPr>
          <w:rFonts w:ascii="宋体" w:hAnsi="宋体" w:eastAsia="宋体" w:cs="宋体"/>
          <w:color w:val="auto"/>
          <w:sz w:val="24"/>
          <w:szCs w:val="24"/>
        </w:rPr>
      </w:pPr>
      <w:r>
        <w:rPr>
          <w:rFonts w:hint="eastAsia" w:ascii="宋体" w:hAnsi="宋体" w:eastAsia="宋体" w:cs="宋体"/>
          <w:color w:val="auto"/>
          <w:sz w:val="24"/>
          <w:szCs w:val="24"/>
        </w:rPr>
        <w:t>4.2.1网上投标登记时间：</w:t>
      </w:r>
      <w:r>
        <w:rPr>
          <w:rFonts w:hint="eastAsia" w:ascii="宋体" w:hAnsi="宋体" w:eastAsia="宋体" w:cs="宋体"/>
          <w:color w:val="auto"/>
          <w:sz w:val="24"/>
          <w:szCs w:val="24"/>
          <w:u w:val="single"/>
        </w:rPr>
        <w:t>2022年  月  日  时  分</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2022年  月  日  时  分</w:t>
      </w:r>
      <w:r>
        <w:rPr>
          <w:rFonts w:hint="eastAsia" w:ascii="宋体" w:hAnsi="宋体" w:eastAsia="宋体" w:cs="宋体"/>
          <w:color w:val="auto"/>
          <w:sz w:val="24"/>
          <w:szCs w:val="24"/>
        </w:rPr>
        <w:t>。</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 本项目采用资格后审方式。</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注：（1）电子招投标操作流程详见广州公共资源交易中心网站发布的最新版操作指引，详见：</w:t>
      </w:r>
      <w:r>
        <w:rPr>
          <w:rFonts w:hint="eastAsia" w:ascii="宋体" w:hAnsi="宋体" w:eastAsia="宋体" w:cs="宋体"/>
          <w:color w:val="auto"/>
          <w:sz w:val="24"/>
          <w:szCs w:val="24"/>
          <w:u w:val="single"/>
        </w:rPr>
        <w:t>广州公共资源交易中心网站首页-服务指南</w:t>
      </w:r>
      <w:r>
        <w:rPr>
          <w:rFonts w:hint="eastAsia" w:ascii="宋体" w:hAnsi="宋体" w:eastAsia="宋体" w:cs="宋体"/>
          <w:color w:val="auto"/>
          <w:sz w:val="24"/>
          <w:szCs w:val="24"/>
        </w:rPr>
        <w:t>。</w:t>
      </w:r>
    </w:p>
    <w:p>
      <w:pPr>
        <w:numPr>
          <w:ilvl w:val="0"/>
          <w:numId w:val="4"/>
        </w:num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本公告发布之日起开始计算备标时间。</w:t>
      </w:r>
    </w:p>
    <w:p>
      <w:pPr>
        <w:numPr>
          <w:ilvl w:val="0"/>
          <w:numId w:val="4"/>
        </w:numPr>
        <w:shd w:val="clear" w:color="auto" w:fill="FFFFFF"/>
        <w:snapToGrid w:val="0"/>
        <w:spacing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本项目各项投标活动具体可通过广州公共资源交易中心网站查询具体的时间和场地安排。</w:t>
      </w:r>
    </w:p>
    <w:p>
      <w:pPr>
        <w:snapToGrid w:val="0"/>
        <w:spacing w:line="360" w:lineRule="auto"/>
        <w:rPr>
          <w:rFonts w:ascii="宋体" w:hAnsi="宋体" w:eastAsia="宋体" w:cs="宋体"/>
          <w:b/>
          <w:color w:val="auto"/>
          <w:sz w:val="32"/>
          <w:szCs w:val="24"/>
        </w:rPr>
      </w:pPr>
      <w:bookmarkStart w:id="0" w:name="_Toc26711"/>
      <w:bookmarkStart w:id="1" w:name="_Toc89870545"/>
      <w:r>
        <w:rPr>
          <w:rFonts w:hint="eastAsia" w:ascii="宋体" w:hAnsi="宋体" w:eastAsia="宋体" w:cs="宋体"/>
          <w:b/>
          <w:color w:val="auto"/>
          <w:sz w:val="32"/>
          <w:szCs w:val="24"/>
        </w:rPr>
        <w:t>5. 投标文件的递交</w:t>
      </w:r>
      <w:bookmarkEnd w:id="0"/>
      <w:bookmarkEnd w:id="1"/>
    </w:p>
    <w:p>
      <w:pPr>
        <w:snapToGrid w:val="0"/>
        <w:spacing w:line="360" w:lineRule="auto"/>
        <w:ind w:left="239" w:leftChars="114" w:firstLine="180" w:firstLineChars="75"/>
        <w:rPr>
          <w:rFonts w:ascii="宋体" w:hAnsi="宋体" w:eastAsia="宋体" w:cs="宋体"/>
          <w:color w:val="auto"/>
          <w:sz w:val="24"/>
          <w:szCs w:val="24"/>
        </w:rPr>
      </w:pPr>
      <w:r>
        <w:rPr>
          <w:rFonts w:hint="eastAsia" w:ascii="宋体" w:hAnsi="宋体" w:eastAsia="宋体" w:cs="宋体"/>
          <w:color w:val="auto"/>
          <w:sz w:val="24"/>
          <w:szCs w:val="24"/>
        </w:rPr>
        <w:t>5.1发布招标公告时间（含本日）：</w:t>
      </w:r>
      <w:r>
        <w:rPr>
          <w:rFonts w:hint="eastAsia" w:ascii="宋体" w:hAnsi="宋体" w:eastAsia="宋体" w:cs="宋体"/>
          <w:color w:val="auto"/>
          <w:sz w:val="24"/>
          <w:szCs w:val="24"/>
          <w:u w:val="single"/>
        </w:rPr>
        <w:t>2022年  月  日  时  分至2022年  月  日  时  分</w:t>
      </w:r>
      <w:r>
        <w:rPr>
          <w:rFonts w:hint="eastAsia" w:ascii="宋体" w:hAnsi="宋体" w:eastAsia="宋体" w:cs="宋体"/>
          <w:color w:val="auto"/>
          <w:sz w:val="24"/>
          <w:szCs w:val="24"/>
        </w:rPr>
        <w:t>。</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注：发布招标公告的时间为招标公告发出之日起至递交投标文件截止时间止。</w:t>
      </w:r>
    </w:p>
    <w:p>
      <w:pPr>
        <w:snapToGrid w:val="0"/>
        <w:spacing w:line="360" w:lineRule="auto"/>
        <w:ind w:firstLine="424" w:firstLineChars="177"/>
        <w:rPr>
          <w:rFonts w:ascii="宋体" w:hAnsi="宋体" w:eastAsia="宋体" w:cs="宋体"/>
          <w:color w:val="auto"/>
          <w:sz w:val="24"/>
        </w:rPr>
      </w:pPr>
      <w:r>
        <w:rPr>
          <w:rFonts w:hint="eastAsia" w:ascii="宋体" w:hAnsi="宋体" w:eastAsia="宋体" w:cs="宋体"/>
          <w:color w:val="auto"/>
          <w:sz w:val="24"/>
          <w:szCs w:val="24"/>
        </w:rPr>
        <w:t>5.2递交投标文件时间：</w:t>
      </w:r>
      <w:r>
        <w:rPr>
          <w:rFonts w:hint="eastAsia" w:ascii="宋体" w:hAnsi="宋体" w:eastAsia="宋体" w:cs="宋体"/>
          <w:color w:val="auto"/>
          <w:sz w:val="24"/>
          <w:szCs w:val="24"/>
          <w:u w:val="single"/>
        </w:rPr>
        <w:t>2022年  月  日  时  分至2022年  月  日  时  分</w:t>
      </w:r>
      <w:r>
        <w:rPr>
          <w:rFonts w:hint="eastAsia" w:ascii="宋体" w:hAnsi="宋体" w:eastAsia="宋体" w:cs="宋体"/>
          <w:color w:val="auto"/>
          <w:sz w:val="24"/>
          <w:szCs w:val="24"/>
        </w:rPr>
        <w:t>。投标人通过</w:t>
      </w:r>
      <w:r>
        <w:rPr>
          <w:rFonts w:hint="eastAsia" w:ascii="宋体" w:hAnsi="宋体" w:eastAsia="宋体" w:cs="宋体"/>
          <w:color w:val="auto"/>
          <w:sz w:val="24"/>
          <w:szCs w:val="24"/>
          <w:u w:val="single"/>
        </w:rPr>
        <w:t>广州公共资源交易中心网站（网址：http://www.gzggzy.cn/）</w:t>
      </w:r>
      <w:r>
        <w:rPr>
          <w:rFonts w:hint="eastAsia" w:ascii="宋体" w:hAnsi="宋体" w:eastAsia="宋体" w:cs="宋体"/>
          <w:color w:val="auto"/>
          <w:sz w:val="24"/>
          <w:szCs w:val="24"/>
        </w:rPr>
        <w:t>交易平台递交电子投标文件。投标人应在递交投标文件截止时间前，登录</w:t>
      </w:r>
      <w:r>
        <w:rPr>
          <w:rFonts w:hint="eastAsia" w:ascii="宋体" w:hAnsi="宋体" w:eastAsia="宋体" w:cs="宋体"/>
          <w:color w:val="auto"/>
          <w:sz w:val="24"/>
          <w:szCs w:val="24"/>
          <w:u w:val="single"/>
        </w:rPr>
        <w:t>广州公共资源交易中心网站</w:t>
      </w:r>
      <w:r>
        <w:rPr>
          <w:rFonts w:hint="eastAsia" w:ascii="宋体" w:hAnsi="宋体" w:eastAsia="宋体" w:cs="宋体"/>
          <w:color w:val="auto"/>
          <w:sz w:val="24"/>
          <w:szCs w:val="24"/>
        </w:rPr>
        <w:t>交易平台网站办理网上投标登记手续。按照交易平台关于全流程电子化项目的相关指南进行操作。详见：</w:t>
      </w:r>
      <w:r>
        <w:rPr>
          <w:rFonts w:hint="eastAsia" w:ascii="宋体" w:hAnsi="宋体" w:eastAsia="宋体" w:cs="宋体"/>
          <w:color w:val="auto"/>
          <w:sz w:val="24"/>
          <w:szCs w:val="24"/>
          <w:u w:val="single"/>
        </w:rPr>
        <w:t>广州公共资源交易中心网站首页-服务指南。</w:t>
      </w:r>
    </w:p>
    <w:p>
      <w:pPr>
        <w:snapToGrid w:val="0"/>
        <w:spacing w:line="360" w:lineRule="auto"/>
        <w:ind w:firstLine="480"/>
        <w:rPr>
          <w:rFonts w:ascii="宋体" w:hAnsi="宋体" w:eastAsia="宋体" w:cs="宋体"/>
          <w:color w:val="auto"/>
          <w:sz w:val="24"/>
        </w:rPr>
      </w:pPr>
      <w:r>
        <w:rPr>
          <w:rFonts w:hint="eastAsia" w:ascii="宋体" w:hAnsi="宋体" w:eastAsia="宋体" w:cs="宋体"/>
          <w:color w:val="auto"/>
          <w:sz w:val="24"/>
          <w:lang w:bidi="ar"/>
        </w:rPr>
        <w:t>5.3投标文件备用光盘递交时间为</w:t>
      </w:r>
      <w:r>
        <w:rPr>
          <w:rFonts w:hint="eastAsia" w:ascii="宋体" w:hAnsi="宋体" w:eastAsia="宋体" w:cs="宋体"/>
          <w:color w:val="auto"/>
          <w:sz w:val="24"/>
          <w:szCs w:val="24"/>
          <w:u w:val="single"/>
        </w:rPr>
        <w:t>2022</w:t>
      </w:r>
      <w:r>
        <w:rPr>
          <w:rFonts w:hint="eastAsia" w:ascii="宋体" w:hAnsi="宋体" w:eastAsia="宋体" w:cs="宋体"/>
          <w:color w:val="auto"/>
          <w:sz w:val="24"/>
          <w:lang w:bidi="ar"/>
        </w:rPr>
        <w:t>年</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月</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时</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分至</w:t>
      </w:r>
      <w:r>
        <w:rPr>
          <w:rFonts w:hint="eastAsia" w:ascii="宋体" w:hAnsi="宋体" w:eastAsia="宋体" w:cs="宋体"/>
          <w:color w:val="auto"/>
          <w:sz w:val="24"/>
          <w:szCs w:val="24"/>
          <w:u w:val="single"/>
        </w:rPr>
        <w:t>2022</w:t>
      </w:r>
      <w:r>
        <w:rPr>
          <w:rFonts w:hint="eastAsia" w:ascii="宋体" w:hAnsi="宋体" w:eastAsia="宋体" w:cs="宋体"/>
          <w:color w:val="auto"/>
          <w:sz w:val="24"/>
          <w:lang w:bidi="ar"/>
        </w:rPr>
        <w:t>年</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月</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日</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时</w:t>
      </w:r>
      <w:r>
        <w:rPr>
          <w:rFonts w:hint="eastAsia" w:ascii="宋体" w:hAnsi="宋体" w:eastAsia="宋体" w:cs="宋体"/>
          <w:color w:val="auto"/>
          <w:sz w:val="24"/>
          <w:u w:val="single"/>
          <w:lang w:bidi="ar"/>
        </w:rPr>
        <w:t xml:space="preserve">  </w:t>
      </w:r>
      <w:r>
        <w:rPr>
          <w:rFonts w:hint="eastAsia" w:ascii="宋体" w:hAnsi="宋体" w:eastAsia="宋体" w:cs="宋体"/>
          <w:color w:val="auto"/>
          <w:sz w:val="24"/>
          <w:lang w:bidi="ar"/>
        </w:rPr>
        <w:t>分，地点为广州公共资源交易中心增城交易部</w:t>
      </w:r>
      <w:r>
        <w:rPr>
          <w:rFonts w:hint="eastAsia" w:ascii="宋体" w:hAnsi="宋体" w:eastAsia="宋体" w:cs="宋体"/>
          <w:color w:val="auto"/>
          <w:sz w:val="24"/>
          <w:szCs w:val="24"/>
        </w:rPr>
        <w:t>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开标室</w:t>
      </w:r>
      <w:r>
        <w:rPr>
          <w:rFonts w:hint="eastAsia" w:ascii="宋体" w:hAnsi="宋体" w:eastAsia="宋体" w:cs="宋体"/>
          <w:color w:val="auto"/>
          <w:sz w:val="24"/>
          <w:lang w:bidi="ar"/>
        </w:rPr>
        <w:t>（地址：增城区增城大道2号金河湾3栋108）。</w:t>
      </w:r>
      <w:r>
        <w:rPr>
          <w:rFonts w:hint="eastAsia" w:ascii="宋体" w:hAnsi="宋体" w:eastAsia="宋体" w:cs="宋体"/>
          <w:color w:val="auto"/>
          <w:sz w:val="24"/>
          <w:szCs w:val="24"/>
          <w:lang w:bidi="ar"/>
        </w:rPr>
        <w:t>（电子光盘需按规定封装。投标人在将数据刻录到光盘之后，投标前自行检查文件是否可以读取）</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lang w:bidi="ar"/>
        </w:rPr>
        <w:t>5.4</w:t>
      </w:r>
      <w:r>
        <w:rPr>
          <w:rFonts w:hint="eastAsia" w:ascii="宋体" w:hAnsi="宋体" w:eastAsia="宋体" w:cs="宋体"/>
          <w:color w:val="auto"/>
          <w:sz w:val="24"/>
          <w:szCs w:val="24"/>
        </w:rPr>
        <w:t>逾期送达的投标文件，电子招标投标交易平台将予以拒收。逾期或未在指定地点递交投标文件光盘的,招标人拒绝接收其投标文件光盘。</w:t>
      </w:r>
    </w:p>
    <w:p>
      <w:pPr>
        <w:tabs>
          <w:tab w:val="left" w:pos="360"/>
        </w:tabs>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5.5开标时间：</w:t>
      </w:r>
      <w:r>
        <w:rPr>
          <w:rFonts w:hint="eastAsia" w:ascii="宋体" w:hAnsi="宋体" w:eastAsia="宋体" w:cs="宋体"/>
          <w:color w:val="auto"/>
          <w:sz w:val="24"/>
          <w:szCs w:val="24"/>
          <w:u w:val="single"/>
        </w:rPr>
        <w:t>2022年  月  日  时  分</w:t>
      </w:r>
      <w:r>
        <w:rPr>
          <w:rFonts w:hint="eastAsia" w:ascii="宋体" w:hAnsi="宋体" w:eastAsia="宋体" w:cs="宋体"/>
          <w:color w:val="auto"/>
          <w:sz w:val="24"/>
          <w:szCs w:val="24"/>
        </w:rPr>
        <w:t>。地点：广州公共资源交易中心增城交易部第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开标室。</w:t>
      </w:r>
    </w:p>
    <w:p>
      <w:pPr>
        <w:tabs>
          <w:tab w:val="left" w:pos="360"/>
        </w:tabs>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w:t>
      </w:r>
      <w:r>
        <w:rPr>
          <w:rFonts w:hint="eastAsia" w:ascii="宋体" w:hAnsi="宋体" w:eastAsia="宋体" w:cs="宋体"/>
          <w:color w:val="auto"/>
          <w:sz w:val="24"/>
          <w:szCs w:val="24"/>
          <w:lang w:bidi="ar"/>
        </w:rPr>
        <w:t>投标文件解密：</w:t>
      </w:r>
      <w:r>
        <w:rPr>
          <w:rFonts w:hint="eastAsia" w:ascii="宋体" w:hAnsi="宋体" w:eastAsia="宋体" w:cs="宋体"/>
          <w:color w:val="auto"/>
          <w:sz w:val="24"/>
          <w:szCs w:val="24"/>
        </w:rPr>
        <w:t>投标人在递交电子投标文件截止时间到达后的半个小时内使用制作该电子投标文件的机构业务数字证书对电子投标文件进行解密。逾期未解密或因投标人原因造成电子投标文件解密不成功的，视为投标人未递交电子投标文件。</w:t>
      </w:r>
      <w:r>
        <w:rPr>
          <w:rFonts w:hint="eastAsia" w:ascii="宋体" w:hAnsi="宋体" w:eastAsia="宋体" w:cs="宋体"/>
          <w:color w:val="auto"/>
          <w:kern w:val="0"/>
          <w:sz w:val="24"/>
          <w:szCs w:val="24"/>
          <w:shd w:val="clear" w:color="auto" w:fill="FFFFFF"/>
          <w:lang w:bidi="ar"/>
        </w:rPr>
        <w:t>因投标人原因造成电子投标文件未解密的不参与投标文件评审</w:t>
      </w:r>
      <w:r>
        <w:rPr>
          <w:rFonts w:hint="eastAsia" w:ascii="宋体" w:hAnsi="宋体" w:eastAsia="宋体" w:cs="宋体"/>
          <w:color w:val="auto"/>
          <w:sz w:val="24"/>
          <w:szCs w:val="24"/>
        </w:rPr>
        <w:t>。</w:t>
      </w:r>
    </w:p>
    <w:p>
      <w:pPr>
        <w:shd w:val="clear" w:color="auto" w:fill="FFFFFF"/>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注：本项目各项投标活动具体可通过广州公共资源交易中心网站查询具体的时间和场地安排。</w:t>
      </w:r>
    </w:p>
    <w:p>
      <w:pPr>
        <w:tabs>
          <w:tab w:val="left" w:pos="760"/>
        </w:tabs>
        <w:snapToGrid w:val="0"/>
        <w:spacing w:line="360" w:lineRule="auto"/>
        <w:rPr>
          <w:rFonts w:ascii="宋体" w:hAnsi="宋体" w:eastAsia="宋体" w:cs="宋体"/>
          <w:b/>
          <w:color w:val="auto"/>
          <w:sz w:val="32"/>
          <w:szCs w:val="24"/>
        </w:rPr>
      </w:pPr>
      <w:r>
        <w:rPr>
          <w:rFonts w:hint="eastAsia" w:ascii="宋体" w:hAnsi="宋体" w:eastAsia="宋体" w:cs="宋体"/>
          <w:b/>
          <w:color w:val="auto"/>
          <w:sz w:val="32"/>
          <w:szCs w:val="24"/>
        </w:rPr>
        <w:t>6. 发布公告的媒介</w:t>
      </w:r>
    </w:p>
    <w:p>
      <w:pPr>
        <w:snapToGrid w:val="0"/>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u w:val="single"/>
        </w:rPr>
        <w:t>本次招标公告同时在广州公共资源交易网（网址：http://www.gzggzy.cn/）、广东省招标投标监管网（网址：http://zbtb.gd.gov.cn/）、中国招标投标公共服务平台（网址：http://www.cebpubservice.com/）和广州市增城区人民政府门户网站（http://www.zc.gov.cn/）的“首页&gt;公开&gt;公共资源配置领域&gt;工程建设项目招投标”栏目发布，本公告的修改、补充，在广州公共资源交易中心网站上发布。</w:t>
      </w:r>
    </w:p>
    <w:p>
      <w:pPr>
        <w:snapToGrid w:val="0"/>
        <w:spacing w:line="360" w:lineRule="auto"/>
        <w:ind w:firstLine="480" w:firstLineChars="200"/>
        <w:rPr>
          <w:rFonts w:ascii="宋体" w:hAnsi="宋体" w:eastAsia="宋体" w:cs="宋体"/>
          <w:color w:val="auto"/>
          <w:sz w:val="24"/>
          <w:szCs w:val="24"/>
        </w:rPr>
      </w:pPr>
    </w:p>
    <w:p>
      <w:pPr>
        <w:snapToGrid w:val="0"/>
        <w:spacing w:line="360" w:lineRule="auto"/>
        <w:rPr>
          <w:rFonts w:ascii="宋体" w:hAnsi="宋体" w:eastAsia="宋体" w:cs="宋体"/>
          <w:b/>
          <w:color w:val="auto"/>
          <w:sz w:val="32"/>
          <w:szCs w:val="24"/>
        </w:rPr>
      </w:pPr>
      <w:r>
        <w:rPr>
          <w:rFonts w:hint="eastAsia" w:ascii="宋体" w:hAnsi="宋体" w:eastAsia="宋体" w:cs="宋体"/>
          <w:b/>
          <w:color w:val="auto"/>
          <w:sz w:val="32"/>
          <w:szCs w:val="24"/>
        </w:rPr>
        <w:t>7. 联系方式</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rPr>
        <w:t xml:space="preserve">广州市增城区水务建设管理所 </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rPr>
        <w:t>增城区荔城街园圃路4号</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人：屈工</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电    话：020-82639382</w:t>
      </w:r>
    </w:p>
    <w:p>
      <w:pPr>
        <w:snapToGrid w:val="0"/>
        <w:spacing w:line="360" w:lineRule="auto"/>
        <w:ind w:firstLine="480" w:firstLineChars="200"/>
        <w:rPr>
          <w:rFonts w:ascii="宋体" w:hAnsi="宋体" w:eastAsia="宋体" w:cs="宋体"/>
          <w:color w:val="auto"/>
          <w:sz w:val="24"/>
          <w:highlight w:val="none"/>
          <w:u w:val="single"/>
        </w:rPr>
      </w:pP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rPr>
        <w:t>广州高新工程顾问有限公司</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highlight w:val="none"/>
        </w:rPr>
        <w:t xml:space="preserve">    址：</w:t>
      </w:r>
      <w:r>
        <w:rPr>
          <w:rFonts w:hint="eastAsia" w:ascii="宋体" w:hAnsi="宋体" w:eastAsia="宋体" w:cs="宋体"/>
          <w:color w:val="auto"/>
          <w:sz w:val="24"/>
          <w:szCs w:val="24"/>
          <w:highlight w:val="none"/>
          <w:u w:val="single"/>
        </w:rPr>
        <w:t>广州市天河区华观路1933号万科云A栋503-504</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rPr>
        <w:t>郑工</w:t>
      </w:r>
    </w:p>
    <w:p>
      <w:pPr>
        <w:pStyle w:val="16"/>
        <w:snapToGri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13560477267</w:t>
      </w:r>
      <w:r>
        <w:rPr>
          <w:rFonts w:hint="eastAsia" w:ascii="宋体" w:hAnsi="宋体" w:cs="宋体"/>
          <w:color w:val="auto"/>
          <w:sz w:val="24"/>
          <w:highlight w:val="none"/>
        </w:rPr>
        <w:t xml:space="preserve"> </w:t>
      </w:r>
    </w:p>
    <w:p>
      <w:pPr>
        <w:wordWrap w:val="0"/>
        <w:topLinePunct/>
        <w:snapToGrid w:val="0"/>
        <w:spacing w:line="360" w:lineRule="auto"/>
        <w:ind w:right="-233" w:rightChars="-111" w:firstLine="480" w:firstLineChars="200"/>
        <w:rPr>
          <w:rFonts w:ascii="宋体" w:hAnsi="宋体" w:eastAsia="宋体" w:cs="宋体"/>
          <w:color w:val="auto"/>
          <w:sz w:val="24"/>
          <w:szCs w:val="24"/>
          <w:highlight w:val="none"/>
        </w:rPr>
      </w:pPr>
    </w:p>
    <w:p>
      <w:pPr>
        <w:wordWrap w:val="0"/>
        <w:topLinePunct/>
        <w:snapToGrid w:val="0"/>
        <w:spacing w:line="360" w:lineRule="auto"/>
        <w:ind w:right="-233" w:rightChars="-111"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异议受理部门：</w:t>
      </w:r>
      <w:r>
        <w:rPr>
          <w:rFonts w:hint="eastAsia" w:ascii="宋体" w:hAnsi="宋体" w:eastAsia="宋体" w:cs="宋体"/>
          <w:color w:val="auto"/>
          <w:sz w:val="24"/>
          <w:szCs w:val="24"/>
          <w:highlight w:val="none"/>
          <w:u w:val="single"/>
        </w:rPr>
        <w:t>广州市增城区水务建设管理所</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highlight w:val="none"/>
          <w:u w:val="single"/>
        </w:rPr>
        <w:t xml:space="preserve">增城区荔城街园圃路4号 </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人：屈工</w:t>
      </w:r>
    </w:p>
    <w:p>
      <w:pPr>
        <w:snapToGrid w:val="0"/>
        <w:spacing w:line="360" w:lineRule="auto"/>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电    话：020-82639382</w:t>
      </w:r>
    </w:p>
    <w:p>
      <w:pPr>
        <w:wordWrap w:val="0"/>
        <w:snapToGrid w:val="0"/>
        <w:spacing w:line="360" w:lineRule="auto"/>
        <w:ind w:firstLine="480" w:firstLineChars="200"/>
        <w:rPr>
          <w:rFonts w:ascii="宋体" w:hAnsi="宋体" w:eastAsia="宋体" w:cs="宋体"/>
          <w:color w:val="auto"/>
          <w:sz w:val="24"/>
          <w:szCs w:val="24"/>
          <w:highlight w:val="none"/>
        </w:rPr>
      </w:pP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招标监督机构：</w:t>
      </w:r>
      <w:r>
        <w:rPr>
          <w:rFonts w:hint="eastAsia" w:ascii="宋体" w:hAnsi="宋体" w:eastAsia="宋体" w:cs="宋体"/>
          <w:color w:val="auto"/>
          <w:sz w:val="24"/>
          <w:szCs w:val="24"/>
          <w:highlight w:val="none"/>
          <w:u w:val="single"/>
        </w:rPr>
        <w:t>广州市增城区水务局</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广州市增城区荔城街园圃路4号</w:t>
      </w:r>
    </w:p>
    <w:p>
      <w:pPr>
        <w:wordWrap w:val="0"/>
        <w:topLinePunct/>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020-82639502</w:t>
      </w:r>
    </w:p>
    <w:p>
      <w:pPr>
        <w:pStyle w:val="16"/>
        <w:snapToGrid w:val="0"/>
        <w:spacing w:after="0" w:line="360" w:lineRule="auto"/>
        <w:ind w:firstLine="480" w:firstLineChars="200"/>
        <w:rPr>
          <w:rFonts w:ascii="宋体" w:hAnsi="宋体" w:cs="宋体"/>
          <w:color w:val="auto"/>
          <w:sz w:val="24"/>
        </w:rPr>
      </w:pPr>
    </w:p>
    <w:p>
      <w:pPr>
        <w:wordWrap w:val="0"/>
        <w:topLinePunct/>
        <w:snapToGrid w:val="0"/>
        <w:spacing w:line="360" w:lineRule="auto"/>
        <w:ind w:right="31" w:rightChars="15"/>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wordWrap w:val="0"/>
        <w:topLinePunct/>
        <w:snapToGrid w:val="0"/>
        <w:spacing w:line="360" w:lineRule="auto"/>
        <w:ind w:right="31" w:rightChars="15"/>
        <w:jc w:val="center"/>
        <w:rPr>
          <w:rFonts w:ascii="宋体" w:hAnsi="宋体" w:eastAsia="宋体" w:cs="宋体"/>
          <w:color w:val="auto"/>
          <w:sz w:val="24"/>
          <w:szCs w:val="24"/>
        </w:rPr>
      </w:pPr>
      <w:r>
        <w:rPr>
          <w:rFonts w:hint="eastAsia" w:ascii="宋体" w:hAnsi="宋体" w:eastAsia="宋体" w:cs="宋体"/>
          <w:color w:val="auto"/>
          <w:sz w:val="24"/>
          <w:szCs w:val="24"/>
        </w:rPr>
        <w:t xml:space="preserve">                           招 标 人：广州市增城区水务建设管理所</w:t>
      </w:r>
    </w:p>
    <w:p>
      <w:pPr>
        <w:wordWrap w:val="0"/>
        <w:topLinePunct/>
        <w:snapToGrid w:val="0"/>
        <w:spacing w:line="360" w:lineRule="auto"/>
        <w:ind w:right="31" w:rightChars="15"/>
        <w:jc w:val="center"/>
        <w:rPr>
          <w:rFonts w:ascii="宋体" w:hAnsi="宋体" w:eastAsia="宋体" w:cs="宋体"/>
          <w:color w:val="auto"/>
          <w:sz w:val="24"/>
          <w:szCs w:val="24"/>
        </w:rPr>
      </w:pPr>
      <w:r>
        <w:rPr>
          <w:rFonts w:hint="eastAsia" w:ascii="宋体" w:hAnsi="宋体" w:eastAsia="宋体" w:cs="宋体"/>
          <w:color w:val="auto"/>
          <w:sz w:val="24"/>
          <w:szCs w:val="24"/>
        </w:rPr>
        <w:t xml:space="preserve">                             招标代理机构：广州高新工程顾问有限公司</w:t>
      </w:r>
    </w:p>
    <w:p>
      <w:pPr>
        <w:wordWrap w:val="0"/>
        <w:topLinePunct/>
        <w:snapToGrid w:val="0"/>
        <w:spacing w:line="360" w:lineRule="auto"/>
        <w:ind w:right="31" w:rightChars="15"/>
        <w:rPr>
          <w:rFonts w:ascii="宋体" w:hAnsi="宋体" w:eastAsia="宋体" w:cs="宋体"/>
          <w:color w:val="auto"/>
          <w:szCs w:val="21"/>
        </w:rPr>
      </w:pPr>
      <w:r>
        <w:rPr>
          <w:rFonts w:hint="eastAsia" w:ascii="宋体" w:hAnsi="宋体" w:eastAsia="宋体" w:cs="宋体"/>
          <w:color w:val="auto"/>
          <w:sz w:val="24"/>
          <w:szCs w:val="24"/>
        </w:rPr>
        <w:t xml:space="preserve">                                 日  期：2022年  月   日</w:t>
      </w:r>
    </w:p>
    <w:p>
      <w:pPr>
        <w:spacing w:line="360" w:lineRule="auto"/>
        <w:jc w:val="center"/>
        <w:rPr>
          <w:rFonts w:ascii="宋体" w:eastAsia="宋体" w:cs="宋体"/>
          <w:color w:val="auto"/>
          <w:sz w:val="24"/>
          <w:szCs w:val="24"/>
        </w:rPr>
      </w:pPr>
    </w:p>
    <w:sectPr>
      <w:headerReference r:id="rId3" w:type="default"/>
      <w:footerReference r:id="rId4" w:type="default"/>
      <w:type w:val="nextColumn"/>
      <w:pgSz w:w="11907" w:h="16840"/>
      <w:pgMar w:top="1440" w:right="1514" w:bottom="1440" w:left="1514" w:header="720" w:footer="720" w:gutter="0"/>
      <w:cols w:space="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decorative"/>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27"/>
                            <w:rPr>
                              <w:rFonts w:eastAsia="楷体_GB2312"/>
                            </w:rPr>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YulhTQAAAA&#10;AwEAAA8AAAAAAAAAAQAgAAAAIgAAAGRycy9kb3ducmV2LnhtbFBLAQIUABQAAAAIAIdO4kCn3wdg&#10;swEAAEkDAAAOAAAAAAAAAAEAIAAAAB8BAABkcnMvZTJvRG9jLnhtbFBLBQYAAAAABgAGAFkBAABE&#10;BQAAAAA=&#10;">
              <v:fill on="f" focussize="0,0"/>
              <v:stroke on="f"/>
              <v:imagedata o:title=""/>
              <o:lock v:ext="edit" aspectratio="f"/>
              <v:textbox inset="0mm,0mm,0mm,0mm" style="mso-fit-shape-to-text:t;">
                <w:txbxContent>
                  <w:p>
                    <w:pPr>
                      <w:pStyle w:val="27"/>
                      <w:rPr>
                        <w:rFonts w:eastAsia="楷体_GB2312"/>
                      </w:rPr>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6093311">
    <w:nsid w:val="634E90FF"/>
    <w:multiLevelType w:val="multilevel"/>
    <w:tmpl w:val="634E90FF"/>
    <w:lvl w:ilvl="0" w:tentative="1">
      <w:start w:val="3"/>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848018971">
    <w:nsid w:val="328BBE1B"/>
    <w:multiLevelType w:val="singleLevel"/>
    <w:tmpl w:val="328BBE1B"/>
    <w:lvl w:ilvl="0" w:tentative="1">
      <w:start w:val="2"/>
      <w:numFmt w:val="decimal"/>
      <w:suff w:val="nothing"/>
      <w:lvlText w:val="（%1）"/>
      <w:lvlJc w:val="left"/>
    </w:lvl>
  </w:abstractNum>
  <w:abstractNum w:abstractNumId="1666093289">
    <w:nsid w:val="634E90E9"/>
    <w:multiLevelType w:val="multilevel"/>
    <w:tmpl w:val="634E90E9"/>
    <w:lvl w:ilvl="0" w:tentative="1">
      <w:start w:val="1"/>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666093300">
    <w:nsid w:val="634E90F4"/>
    <w:multiLevelType w:val="multilevel"/>
    <w:tmpl w:val="634E90F4"/>
    <w:lvl w:ilvl="0" w:tentative="1">
      <w:start w:val="2"/>
      <w:numFmt w:val="decimal"/>
      <w:lvlText w:val="%1."/>
      <w:lvlJc w:val="left"/>
    </w:lvl>
    <w:lvl w:ilvl="1" w:tentative="1">
      <w:start w:val="1"/>
      <w:numFmt w:val="bullet"/>
      <w:lvlText w:val=""/>
      <w:lvlJc w:val="left"/>
    </w:lvl>
    <w:lvl w:ilvl="2" w:tentative="1">
      <w:start w:val="1"/>
      <w:numFmt w:val="bullet"/>
      <w:lvlText w:val=""/>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num w:numId="1">
    <w:abstractNumId w:val="1666093289"/>
    <w:lvlOverride w:ilvl="0">
      <w:startOverride w:val="1"/>
    </w:lvlOverride>
  </w:num>
  <w:num w:numId="2">
    <w:abstractNumId w:val="1666093300"/>
    <w:lvlOverride w:ilvl="0">
      <w:startOverride w:val="2"/>
    </w:lvlOverride>
  </w:num>
  <w:num w:numId="3">
    <w:abstractNumId w:val="1666093311"/>
    <w:lvlOverride w:ilvl="0">
      <w:startOverride w:val="3"/>
    </w:lvlOverride>
  </w:num>
  <w:num w:numId="4">
    <w:abstractNumId w:val="8480189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U1NThmYjNlNmZkN2ZmMWI4MjZlODAxNDQwYjIifQ=="/>
  </w:docVars>
  <w:rsids>
    <w:rsidRoot w:val="00A1373A"/>
    <w:rsid w:val="00016553"/>
    <w:rsid w:val="000433D4"/>
    <w:rsid w:val="000E251B"/>
    <w:rsid w:val="000F1234"/>
    <w:rsid w:val="00107DF9"/>
    <w:rsid w:val="0014609B"/>
    <w:rsid w:val="0017572B"/>
    <w:rsid w:val="001C44CF"/>
    <w:rsid w:val="001D5447"/>
    <w:rsid w:val="001E046C"/>
    <w:rsid w:val="00216136"/>
    <w:rsid w:val="002223C8"/>
    <w:rsid w:val="002F70F7"/>
    <w:rsid w:val="003904C2"/>
    <w:rsid w:val="003E6D6A"/>
    <w:rsid w:val="004220F9"/>
    <w:rsid w:val="004247EE"/>
    <w:rsid w:val="0049003B"/>
    <w:rsid w:val="00534FE5"/>
    <w:rsid w:val="00560926"/>
    <w:rsid w:val="005C67AD"/>
    <w:rsid w:val="005F2118"/>
    <w:rsid w:val="00641117"/>
    <w:rsid w:val="007654EC"/>
    <w:rsid w:val="0077224A"/>
    <w:rsid w:val="007D42B4"/>
    <w:rsid w:val="00832C92"/>
    <w:rsid w:val="0092267C"/>
    <w:rsid w:val="00966989"/>
    <w:rsid w:val="00A1373A"/>
    <w:rsid w:val="00AF324E"/>
    <w:rsid w:val="00BC1B06"/>
    <w:rsid w:val="00C1318C"/>
    <w:rsid w:val="00C407E9"/>
    <w:rsid w:val="00CB4D4F"/>
    <w:rsid w:val="00CD78BE"/>
    <w:rsid w:val="00D5501C"/>
    <w:rsid w:val="00E31C0D"/>
    <w:rsid w:val="00E870E2"/>
    <w:rsid w:val="00F72597"/>
    <w:rsid w:val="00F9148D"/>
    <w:rsid w:val="011D184A"/>
    <w:rsid w:val="01BF166D"/>
    <w:rsid w:val="02457F46"/>
    <w:rsid w:val="0250315A"/>
    <w:rsid w:val="02AA196D"/>
    <w:rsid w:val="03107D15"/>
    <w:rsid w:val="03BD49BA"/>
    <w:rsid w:val="03CC1CBC"/>
    <w:rsid w:val="03EC63FF"/>
    <w:rsid w:val="04223055"/>
    <w:rsid w:val="04B73549"/>
    <w:rsid w:val="05EB5EC4"/>
    <w:rsid w:val="06006D63"/>
    <w:rsid w:val="07A1699B"/>
    <w:rsid w:val="07FC1127"/>
    <w:rsid w:val="08131480"/>
    <w:rsid w:val="096E2807"/>
    <w:rsid w:val="0A70662D"/>
    <w:rsid w:val="0AE83B7D"/>
    <w:rsid w:val="0B7F7B23"/>
    <w:rsid w:val="0C3C673D"/>
    <w:rsid w:val="0C86159B"/>
    <w:rsid w:val="0CC861F8"/>
    <w:rsid w:val="0CCC648D"/>
    <w:rsid w:val="0D527E0C"/>
    <w:rsid w:val="0EDB61ED"/>
    <w:rsid w:val="0F1A678B"/>
    <w:rsid w:val="0F8849CE"/>
    <w:rsid w:val="1139154F"/>
    <w:rsid w:val="12F450A8"/>
    <w:rsid w:val="13AC4857"/>
    <w:rsid w:val="14972C37"/>
    <w:rsid w:val="15574892"/>
    <w:rsid w:val="15C121FB"/>
    <w:rsid w:val="163B7BC8"/>
    <w:rsid w:val="16CF0140"/>
    <w:rsid w:val="16FB2AF5"/>
    <w:rsid w:val="18642216"/>
    <w:rsid w:val="18CC0CF9"/>
    <w:rsid w:val="18D23444"/>
    <w:rsid w:val="18F03E0E"/>
    <w:rsid w:val="19072A13"/>
    <w:rsid w:val="191D00C0"/>
    <w:rsid w:val="192E0F30"/>
    <w:rsid w:val="193D1E71"/>
    <w:rsid w:val="19AA0FA9"/>
    <w:rsid w:val="1A1E6D69"/>
    <w:rsid w:val="1A4D7CBD"/>
    <w:rsid w:val="1AA04B7B"/>
    <w:rsid w:val="1B1A33C4"/>
    <w:rsid w:val="1B306D75"/>
    <w:rsid w:val="1BDA3BAB"/>
    <w:rsid w:val="1BF146E6"/>
    <w:rsid w:val="1CFC5E9D"/>
    <w:rsid w:val="1D0B36DA"/>
    <w:rsid w:val="202408C8"/>
    <w:rsid w:val="20DF238A"/>
    <w:rsid w:val="211663DC"/>
    <w:rsid w:val="21732D25"/>
    <w:rsid w:val="224750CA"/>
    <w:rsid w:val="22BA47AF"/>
    <w:rsid w:val="236245C5"/>
    <w:rsid w:val="23F75382"/>
    <w:rsid w:val="242E16E8"/>
    <w:rsid w:val="243932FC"/>
    <w:rsid w:val="24CF4AA3"/>
    <w:rsid w:val="250052C3"/>
    <w:rsid w:val="25DF6165"/>
    <w:rsid w:val="2677699A"/>
    <w:rsid w:val="268838D8"/>
    <w:rsid w:val="27796C51"/>
    <w:rsid w:val="28147A38"/>
    <w:rsid w:val="28985A73"/>
    <w:rsid w:val="28DB23E5"/>
    <w:rsid w:val="29156C1B"/>
    <w:rsid w:val="29390630"/>
    <w:rsid w:val="299D6C57"/>
    <w:rsid w:val="29B155F7"/>
    <w:rsid w:val="2A4E2EF7"/>
    <w:rsid w:val="2A9E06F7"/>
    <w:rsid w:val="2B43250A"/>
    <w:rsid w:val="2B5A212F"/>
    <w:rsid w:val="2C67307F"/>
    <w:rsid w:val="2E906880"/>
    <w:rsid w:val="2F291CB0"/>
    <w:rsid w:val="2F763752"/>
    <w:rsid w:val="2FC367EB"/>
    <w:rsid w:val="300D130A"/>
    <w:rsid w:val="306814F8"/>
    <w:rsid w:val="311B44E2"/>
    <w:rsid w:val="32087A6D"/>
    <w:rsid w:val="3228713E"/>
    <w:rsid w:val="32A1591F"/>
    <w:rsid w:val="34324B3C"/>
    <w:rsid w:val="34710119"/>
    <w:rsid w:val="34C52FE2"/>
    <w:rsid w:val="35925C72"/>
    <w:rsid w:val="35CD6D50"/>
    <w:rsid w:val="360047C4"/>
    <w:rsid w:val="37B3684F"/>
    <w:rsid w:val="37F00FD4"/>
    <w:rsid w:val="37FA5167"/>
    <w:rsid w:val="3812280E"/>
    <w:rsid w:val="38615E10"/>
    <w:rsid w:val="3868579B"/>
    <w:rsid w:val="386C41A1"/>
    <w:rsid w:val="3A885C80"/>
    <w:rsid w:val="3AD62A0C"/>
    <w:rsid w:val="3B3458AE"/>
    <w:rsid w:val="3B3F3DD7"/>
    <w:rsid w:val="3C0637C5"/>
    <w:rsid w:val="3C7774C3"/>
    <w:rsid w:val="3C862210"/>
    <w:rsid w:val="3CC819C0"/>
    <w:rsid w:val="3CE477F3"/>
    <w:rsid w:val="3D2B59E9"/>
    <w:rsid w:val="3E8D09C8"/>
    <w:rsid w:val="3EE372B8"/>
    <w:rsid w:val="3F275F2C"/>
    <w:rsid w:val="3FC26926"/>
    <w:rsid w:val="406F7D44"/>
    <w:rsid w:val="419B717B"/>
    <w:rsid w:val="41BB628B"/>
    <w:rsid w:val="41DF3C07"/>
    <w:rsid w:val="42C53C8B"/>
    <w:rsid w:val="43BE15EC"/>
    <w:rsid w:val="440B052F"/>
    <w:rsid w:val="442E3A69"/>
    <w:rsid w:val="44DE6309"/>
    <w:rsid w:val="453D79A8"/>
    <w:rsid w:val="468059C3"/>
    <w:rsid w:val="47250EEF"/>
    <w:rsid w:val="47C15148"/>
    <w:rsid w:val="48D42DD2"/>
    <w:rsid w:val="4A0E6116"/>
    <w:rsid w:val="4AF8018E"/>
    <w:rsid w:val="4B255984"/>
    <w:rsid w:val="4B4E311B"/>
    <w:rsid w:val="4C876798"/>
    <w:rsid w:val="4CB107E4"/>
    <w:rsid w:val="4E144BA8"/>
    <w:rsid w:val="4E191136"/>
    <w:rsid w:val="4E650D1C"/>
    <w:rsid w:val="4F32757E"/>
    <w:rsid w:val="4F57732D"/>
    <w:rsid w:val="4FDE15F3"/>
    <w:rsid w:val="502E6463"/>
    <w:rsid w:val="50582D07"/>
    <w:rsid w:val="51260CB2"/>
    <w:rsid w:val="513D36EB"/>
    <w:rsid w:val="51597F6D"/>
    <w:rsid w:val="521126AD"/>
    <w:rsid w:val="5318733F"/>
    <w:rsid w:val="53190776"/>
    <w:rsid w:val="53AC7A98"/>
    <w:rsid w:val="54C25C1B"/>
    <w:rsid w:val="550A4CAB"/>
    <w:rsid w:val="55481377"/>
    <w:rsid w:val="557C6707"/>
    <w:rsid w:val="55E524FA"/>
    <w:rsid w:val="56443B98"/>
    <w:rsid w:val="56ED315F"/>
    <w:rsid w:val="57004BF9"/>
    <w:rsid w:val="57530232"/>
    <w:rsid w:val="57ED2D4B"/>
    <w:rsid w:val="584645E3"/>
    <w:rsid w:val="58C46C82"/>
    <w:rsid w:val="59160EB1"/>
    <w:rsid w:val="5967213C"/>
    <w:rsid w:val="59C31A73"/>
    <w:rsid w:val="59D44CEE"/>
    <w:rsid w:val="59EE111B"/>
    <w:rsid w:val="5A0C06CB"/>
    <w:rsid w:val="5ADB58B3"/>
    <w:rsid w:val="5B51076C"/>
    <w:rsid w:val="5B821531"/>
    <w:rsid w:val="5BB054F9"/>
    <w:rsid w:val="5C4268B4"/>
    <w:rsid w:val="5CC83BC0"/>
    <w:rsid w:val="5D4B7A22"/>
    <w:rsid w:val="5D6B7722"/>
    <w:rsid w:val="5D9D72A2"/>
    <w:rsid w:val="5DDE3B09"/>
    <w:rsid w:val="5E0559CD"/>
    <w:rsid w:val="5E1C33F4"/>
    <w:rsid w:val="5F3A60E3"/>
    <w:rsid w:val="5F7353B2"/>
    <w:rsid w:val="62781CC1"/>
    <w:rsid w:val="63284D3B"/>
    <w:rsid w:val="65155B65"/>
    <w:rsid w:val="65310993"/>
    <w:rsid w:val="658948A5"/>
    <w:rsid w:val="65AA1556"/>
    <w:rsid w:val="65D96800"/>
    <w:rsid w:val="65E826C0"/>
    <w:rsid w:val="663F52CD"/>
    <w:rsid w:val="667A63AC"/>
    <w:rsid w:val="66F86915"/>
    <w:rsid w:val="6800037D"/>
    <w:rsid w:val="68C2756A"/>
    <w:rsid w:val="699D6C67"/>
    <w:rsid w:val="6A135C12"/>
    <w:rsid w:val="6A2626B5"/>
    <w:rsid w:val="6A4B51AA"/>
    <w:rsid w:val="6ACB7804"/>
    <w:rsid w:val="6B0D2160"/>
    <w:rsid w:val="6B370D58"/>
    <w:rsid w:val="6B670AC3"/>
    <w:rsid w:val="6B6D1BF1"/>
    <w:rsid w:val="6BA31BF8"/>
    <w:rsid w:val="6BDA04D7"/>
    <w:rsid w:val="6C303D8F"/>
    <w:rsid w:val="6E091096"/>
    <w:rsid w:val="6E737441"/>
    <w:rsid w:val="6EB258C8"/>
    <w:rsid w:val="6F555835"/>
    <w:rsid w:val="707B1384"/>
    <w:rsid w:val="711E01CF"/>
    <w:rsid w:val="72095D23"/>
    <w:rsid w:val="725F4533"/>
    <w:rsid w:val="72C61959"/>
    <w:rsid w:val="72CB0A0A"/>
    <w:rsid w:val="731C2EE9"/>
    <w:rsid w:val="738276C9"/>
    <w:rsid w:val="73D13110"/>
    <w:rsid w:val="73D8799F"/>
    <w:rsid w:val="746B7053"/>
    <w:rsid w:val="75C80BC8"/>
    <w:rsid w:val="760F39F3"/>
    <w:rsid w:val="77AB11E2"/>
    <w:rsid w:val="78715728"/>
    <w:rsid w:val="7AA15BB7"/>
    <w:rsid w:val="7B843A31"/>
    <w:rsid w:val="7BD834BB"/>
    <w:rsid w:val="7C9F0DA3"/>
    <w:rsid w:val="7DD37DFE"/>
    <w:rsid w:val="7DD86484"/>
    <w:rsid w:val="7DDC0057"/>
    <w:rsid w:val="7E063AD0"/>
    <w:rsid w:val="7E4029B0"/>
    <w:rsid w:val="7E523BA2"/>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宋体"/>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ind w:firstLine="49" w:firstLineChars="49"/>
      <w:outlineLvl w:val="2"/>
    </w:pPr>
    <w:rPr>
      <w:rFonts w:ascii="黑体" w:eastAsia="黑体"/>
      <w:sz w:val="28"/>
      <w:szCs w:val="20"/>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7" w:lineRule="auto"/>
      <w:outlineLvl w:val="4"/>
    </w:pPr>
    <w:rPr>
      <w:rFonts w:eastAsia="宋体"/>
      <w:b/>
      <w:bCs/>
      <w:sz w:val="28"/>
      <w:szCs w:val="28"/>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rFonts w:eastAsia="宋体"/>
      <w:b/>
      <w:bCs/>
      <w:kern w:val="0"/>
      <w:sz w:val="24"/>
      <w:szCs w:val="20"/>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unhideWhenUsed/>
    <w:qFormat/>
    <w:uiPriority w:val="1"/>
  </w:style>
  <w:style w:type="table" w:default="1" w:styleId="4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12">
    <w:name w:val="annotation subject"/>
    <w:basedOn w:val="13"/>
    <w:next w:val="13"/>
    <w:qFormat/>
    <w:uiPriority w:val="0"/>
  </w:style>
  <w:style w:type="paragraph" w:styleId="13">
    <w:name w:val="annotation text"/>
    <w:basedOn w:val="1"/>
    <w:next w:val="14"/>
    <w:qFormat/>
    <w:uiPriority w:val="0"/>
    <w:pPr>
      <w:jc w:val="left"/>
    </w:pPr>
    <w:rPr>
      <w:rFonts w:eastAsia="宋体"/>
      <w:szCs w:val="20"/>
    </w:rPr>
  </w:style>
  <w:style w:type="paragraph" w:styleId="14">
    <w:name w:val="Balloon Text"/>
    <w:basedOn w:val="1"/>
    <w:qFormat/>
    <w:uiPriority w:val="0"/>
    <w:rPr>
      <w:rFonts w:eastAsia="宋体"/>
      <w:sz w:val="18"/>
      <w:szCs w:val="20"/>
    </w:rPr>
  </w:style>
  <w:style w:type="paragraph" w:styleId="15">
    <w:name w:val="toc 7"/>
    <w:basedOn w:val="1"/>
    <w:next w:val="1"/>
    <w:qFormat/>
    <w:uiPriority w:val="0"/>
    <w:pPr>
      <w:ind w:left="1200" w:leftChars="1200"/>
    </w:pPr>
  </w:style>
  <w:style w:type="paragraph" w:styleId="16">
    <w:name w:val="Body Text First Indent"/>
    <w:basedOn w:val="17"/>
    <w:qFormat/>
    <w:uiPriority w:val="0"/>
    <w:pPr>
      <w:spacing w:line="312" w:lineRule="auto"/>
      <w:ind w:firstLine="420"/>
    </w:pPr>
    <w:rPr>
      <w:szCs w:val="24"/>
    </w:rPr>
  </w:style>
  <w:style w:type="paragraph" w:styleId="17">
    <w:name w:val="Body Text"/>
    <w:basedOn w:val="1"/>
    <w:next w:val="1"/>
    <w:qFormat/>
    <w:uiPriority w:val="0"/>
    <w:pPr>
      <w:spacing w:after="120"/>
    </w:pPr>
    <w:rPr>
      <w:rFonts w:eastAsia="宋体"/>
      <w:szCs w:val="20"/>
    </w:rPr>
  </w:style>
  <w:style w:type="paragraph" w:styleId="18">
    <w:name w:val="Document Map"/>
    <w:basedOn w:val="1"/>
    <w:qFormat/>
    <w:uiPriority w:val="0"/>
    <w:rPr>
      <w:rFonts w:ascii="宋体" w:eastAsia="宋体"/>
      <w:sz w:val="18"/>
      <w:szCs w:val="18"/>
    </w:rPr>
  </w:style>
  <w:style w:type="paragraph" w:styleId="19">
    <w:name w:val="Body Text 3"/>
    <w:basedOn w:val="1"/>
    <w:qFormat/>
    <w:uiPriority w:val="0"/>
    <w:rPr>
      <w:rFonts w:ascii="宋体" w:eastAsia="宋体"/>
      <w:sz w:val="24"/>
      <w:szCs w:val="20"/>
    </w:rPr>
  </w:style>
  <w:style w:type="paragraph" w:styleId="20">
    <w:name w:val="Body Text Indent"/>
    <w:basedOn w:val="1"/>
    <w:qFormat/>
    <w:uiPriority w:val="0"/>
    <w:pPr>
      <w:spacing w:after="120"/>
      <w:ind w:left="200" w:leftChars="200"/>
    </w:pPr>
    <w:rPr>
      <w:rFonts w:eastAsia="宋体"/>
      <w:szCs w:val="20"/>
    </w:rPr>
  </w:style>
  <w:style w:type="paragraph" w:styleId="21">
    <w:name w:val="Block Text"/>
    <w:basedOn w:val="1"/>
    <w:qFormat/>
    <w:uiPriority w:val="0"/>
    <w:pPr>
      <w:spacing w:line="440" w:lineRule="exact"/>
      <w:ind w:left="-257" w:leftChars="-257" w:right="-159" w:rightChars="-159" w:firstLine="1140"/>
    </w:pPr>
    <w:rPr>
      <w:rFonts w:ascii="Calibri" w:hAnsi="Calibri" w:eastAsia="宋体"/>
      <w:sz w:val="24"/>
      <w:szCs w:val="20"/>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next w:val="1"/>
    <w:qFormat/>
    <w:uiPriority w:val="0"/>
    <w:rPr>
      <w:rFonts w:ascii="宋体" w:eastAsia="宋体"/>
    </w:rPr>
  </w:style>
  <w:style w:type="paragraph" w:styleId="25">
    <w:name w:val="toc 8"/>
    <w:basedOn w:val="1"/>
    <w:next w:val="1"/>
    <w:qFormat/>
    <w:uiPriority w:val="0"/>
    <w:pPr>
      <w:ind w:left="1400" w:leftChars="1400"/>
    </w:pPr>
  </w:style>
  <w:style w:type="paragraph" w:styleId="26">
    <w:name w:val="Date"/>
    <w:basedOn w:val="1"/>
    <w:next w:val="1"/>
    <w:qFormat/>
    <w:uiPriority w:val="0"/>
    <w:pPr>
      <w:ind w:left="2500" w:leftChars="2500"/>
    </w:pPr>
    <w:rPr>
      <w:rFonts w:eastAsia="宋体"/>
      <w:szCs w:val="20"/>
    </w:rPr>
  </w:style>
  <w:style w:type="paragraph" w:styleId="27">
    <w:name w:val="footer"/>
    <w:basedOn w:val="1"/>
    <w:qFormat/>
    <w:uiPriority w:val="0"/>
    <w:pPr>
      <w:tabs>
        <w:tab w:val="center" w:pos="4153"/>
        <w:tab w:val="right" w:pos="8306"/>
      </w:tabs>
      <w:snapToGrid w:val="0"/>
      <w:jc w:val="left"/>
    </w:pPr>
    <w:rPr>
      <w:rFonts w:ascii="Calibri" w:hAnsi="Calibri" w:eastAsia="宋体"/>
      <w:sz w:val="18"/>
    </w:rPr>
  </w:style>
  <w:style w:type="paragraph" w:styleId="28">
    <w:name w:val="Body Text First Indent 2"/>
    <w:basedOn w:val="20"/>
    <w:unhideWhenUsed/>
    <w:qFormat/>
    <w:uiPriority w:val="0"/>
    <w:pPr>
      <w:adjustRightInd w:val="0"/>
      <w:spacing w:line="360" w:lineRule="auto"/>
      <w:ind w:left="0" w:leftChars="0" w:firstLine="420"/>
      <w:textAlignment w:val="baseline"/>
    </w:pPr>
    <w:rPr>
      <w:color w:val="000000"/>
    </w:rPr>
  </w:style>
  <w:style w:type="paragraph" w:styleId="29">
    <w:name w:val="header"/>
    <w:basedOn w:val="1"/>
    <w:qFormat/>
    <w:uiPriority w:val="0"/>
    <w:pPr>
      <w:tabs>
        <w:tab w:val="center" w:pos="4153"/>
        <w:tab w:val="right" w:pos="8306"/>
      </w:tabs>
      <w:snapToGrid w:val="0"/>
    </w:pPr>
    <w:rPr>
      <w:rFonts w:eastAsia="宋体"/>
      <w:sz w:val="18"/>
      <w:szCs w:val="20"/>
    </w:rPr>
  </w:style>
  <w:style w:type="paragraph" w:styleId="30">
    <w:name w:val="toc 1"/>
    <w:basedOn w:val="1"/>
    <w:next w:val="1"/>
    <w:qFormat/>
    <w:uiPriority w:val="0"/>
  </w:style>
  <w:style w:type="paragraph" w:styleId="31">
    <w:name w:val="toc 4"/>
    <w:basedOn w:val="1"/>
    <w:next w:val="1"/>
    <w:qFormat/>
    <w:uiPriority w:val="0"/>
    <w:pPr>
      <w:ind w:left="600" w:leftChars="600"/>
    </w:pPr>
  </w:style>
  <w:style w:type="paragraph" w:styleId="32">
    <w:name w:val="toc 6"/>
    <w:basedOn w:val="1"/>
    <w:next w:val="1"/>
    <w:qFormat/>
    <w:uiPriority w:val="0"/>
    <w:pPr>
      <w:ind w:left="1000" w:leftChars="1000"/>
    </w:pPr>
  </w:style>
  <w:style w:type="paragraph" w:styleId="33">
    <w:name w:val="Body Text Indent 3"/>
    <w:basedOn w:val="1"/>
    <w:qFormat/>
    <w:uiPriority w:val="0"/>
    <w:pPr>
      <w:spacing w:after="120"/>
      <w:ind w:left="200" w:leftChars="200"/>
    </w:pPr>
    <w:rPr>
      <w:rFonts w:ascii="Calibri" w:hAnsi="Calibri" w:eastAsia="宋体"/>
      <w:sz w:val="16"/>
      <w:szCs w:val="16"/>
    </w:rPr>
  </w:style>
  <w:style w:type="paragraph" w:styleId="34">
    <w:name w:val="toc 2"/>
    <w:basedOn w:val="1"/>
    <w:next w:val="1"/>
    <w:qFormat/>
    <w:uiPriority w:val="0"/>
    <w:pPr>
      <w:ind w:left="200" w:leftChars="200"/>
    </w:pPr>
  </w:style>
  <w:style w:type="paragraph" w:styleId="35">
    <w:name w:val="toc 9"/>
    <w:basedOn w:val="1"/>
    <w:next w:val="1"/>
    <w:qFormat/>
    <w:uiPriority w:val="0"/>
    <w:pPr>
      <w:ind w:left="1600" w:leftChars="1600"/>
    </w:pPr>
  </w:style>
  <w:style w:type="paragraph" w:styleId="36">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37">
    <w:name w:val="index 1"/>
    <w:basedOn w:val="1"/>
    <w:next w:val="1"/>
    <w:qFormat/>
    <w:uiPriority w:val="0"/>
    <w:pPr>
      <w:spacing w:line="220" w:lineRule="exact"/>
      <w:jc w:val="center"/>
    </w:pPr>
    <w:rPr>
      <w:rFonts w:ascii="仿宋_GB2312" w:eastAsia="仿宋_GB2312"/>
      <w:szCs w:val="21"/>
    </w:rPr>
  </w:style>
  <w:style w:type="paragraph" w:styleId="38">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20"/>
    <w:rPr>
      <w:i/>
    </w:rPr>
  </w:style>
  <w:style w:type="character" w:styleId="43">
    <w:name w:val="Hyperlink"/>
    <w:qFormat/>
    <w:uiPriority w:val="0"/>
    <w:rPr>
      <w:color w:val="0000FF"/>
      <w:u w:val="single"/>
    </w:rPr>
  </w:style>
  <w:style w:type="character" w:styleId="44">
    <w:name w:val="annotation reference"/>
    <w:qFormat/>
    <w:uiPriority w:val="0"/>
    <w:rPr>
      <w:sz w:val="21"/>
    </w:rPr>
  </w:style>
  <w:style w:type="character" w:styleId="45">
    <w:name w:val="footnote reference"/>
    <w:qFormat/>
    <w:uiPriority w:val="0"/>
    <w:rPr>
      <w:vertAlign w:val="superscript"/>
    </w:rPr>
  </w:style>
  <w:style w:type="paragraph" w:customStyle="1" w:styleId="4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8">
    <w:name w:val="Comment Text Char"/>
    <w:qFormat/>
    <w:uiPriority w:val="0"/>
  </w:style>
  <w:style w:type="character" w:customStyle="1" w:styleId="49">
    <w:name w:val="正文首行缩进 Char1"/>
    <w:qFormat/>
    <w:uiPriority w:val="0"/>
    <w:rPr>
      <w:rFonts w:eastAsia="宋体"/>
      <w:kern w:val="2"/>
      <w:sz w:val="21"/>
    </w:rPr>
  </w:style>
  <w:style w:type="character" w:customStyle="1" w:styleId="50">
    <w:name w:val="批注文字 Char1"/>
    <w:qFormat/>
    <w:uiPriority w:val="0"/>
    <w:rPr>
      <w:rFonts w:ascii="Times New Roman" w:hAnsi="Times New Roman" w:eastAsia="宋体" w:cs="Times New Roman"/>
      <w:sz w:val="20"/>
      <w:szCs w:val="20"/>
      <w:lang w:bidi="ar-SA"/>
    </w:rPr>
  </w:style>
  <w:style w:type="character" w:customStyle="1" w:styleId="51">
    <w:name w:val="批注文字 Char2"/>
    <w:qFormat/>
    <w:uiPriority w:val="0"/>
    <w:rPr>
      <w:rFonts w:ascii="Times New Roman" w:hAnsi="Times New Roman"/>
      <w:kern w:val="2"/>
      <w:sz w:val="21"/>
      <w:szCs w:val="24"/>
    </w:rPr>
  </w:style>
  <w:style w:type="character" w:customStyle="1" w:styleId="52">
    <w:name w:val="style_kwd"/>
    <w:basedOn w:val="39"/>
    <w:qFormat/>
    <w:uiPriority w:val="0"/>
  </w:style>
  <w:style w:type="character" w:customStyle="1" w:styleId="53">
    <w:name w:val="font161"/>
    <w:qFormat/>
    <w:uiPriority w:val="0"/>
    <w:rPr>
      <w:b/>
      <w:bCs/>
      <w:sz w:val="32"/>
      <w:szCs w:val="32"/>
    </w:rPr>
  </w:style>
  <w:style w:type="character" w:customStyle="1" w:styleId="54">
    <w:name w:val="正文文本 Char Char"/>
    <w:qFormat/>
    <w:uiPriority w:val="0"/>
    <w:rPr>
      <w:rFonts w:eastAsia="宋体"/>
      <w:kern w:val="2"/>
      <w:sz w:val="21"/>
      <w:szCs w:val="24"/>
      <w:lang w:val="en-US" w:eastAsia="zh-CN" w:bidi="ar-SA"/>
    </w:rPr>
  </w:style>
  <w:style w:type="paragraph" w:customStyle="1" w:styleId="55">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5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customStyle="1" w:styleId="57">
    <w:name w:val="修订2"/>
    <w:qFormat/>
    <w:uiPriority w:val="0"/>
    <w:rPr>
      <w:rFonts w:ascii="Times New Roman" w:hAnsi="Times New Roman" w:eastAsia="楷体_GB2312" w:cs="Times New Roman"/>
      <w:kern w:val="2"/>
      <w:sz w:val="21"/>
      <w:szCs w:val="24"/>
      <w:lang w:val="en-US" w:eastAsia="zh-CN" w:bidi="ar-SA"/>
    </w:rPr>
  </w:style>
  <w:style w:type="paragraph" w:customStyle="1" w:styleId="58">
    <w:name w:val="Char"/>
    <w:basedOn w:val="1"/>
    <w:qFormat/>
    <w:uiPriority w:val="0"/>
    <w:pPr>
      <w:widowControl/>
      <w:spacing w:after="160" w:line="240" w:lineRule="exact"/>
      <w:jc w:val="left"/>
    </w:pPr>
    <w:rPr>
      <w:rFonts w:ascii="Verdana" w:hAnsi="Verdana"/>
      <w:kern w:val="0"/>
      <w:sz w:val="20"/>
      <w:szCs w:val="20"/>
    </w:rPr>
  </w:style>
  <w:style w:type="paragraph" w:customStyle="1" w:styleId="59">
    <w:name w:val="_Style 23"/>
    <w:basedOn w:val="1"/>
    <w:qFormat/>
    <w:uiPriority w:val="0"/>
    <w:pPr>
      <w:widowControl/>
      <w:spacing w:after="160" w:line="240" w:lineRule="exact"/>
      <w:jc w:val="left"/>
    </w:pPr>
  </w:style>
  <w:style w:type="paragraph" w:customStyle="1" w:styleId="60">
    <w:name w:val="样式1"/>
    <w:basedOn w:val="1"/>
    <w:next w:val="6"/>
    <w:qFormat/>
    <w:uiPriority w:val="0"/>
    <w:pPr>
      <w:spacing w:line="360" w:lineRule="auto"/>
      <w:ind w:firstLine="200" w:firstLineChars="200"/>
    </w:pPr>
    <w:rPr>
      <w:rFonts w:ascii="宋体" w:hAnsi="宋体"/>
      <w:szCs w:val="21"/>
    </w:rPr>
  </w:style>
  <w:style w:type="paragraph" w:customStyle="1" w:styleId="6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
    <w:name w:val="表格"/>
    <w:basedOn w:val="1"/>
    <w:qFormat/>
    <w:uiPriority w:val="0"/>
    <w:pPr>
      <w:jc w:val="center"/>
      <w:textAlignment w:val="center"/>
    </w:pPr>
    <w:rPr>
      <w:rFonts w:ascii="华文细黑" w:hAnsi="华文细黑"/>
      <w:kern w:val="0"/>
      <w:szCs w:val="20"/>
    </w:rPr>
  </w:style>
  <w:style w:type="paragraph" w:customStyle="1" w:styleId="63">
    <w:name w:val="Char1"/>
    <w:basedOn w:val="1"/>
    <w:qFormat/>
    <w:uiPriority w:val="0"/>
    <w:pPr>
      <w:tabs>
        <w:tab w:val="left" w:pos="360"/>
      </w:tabs>
    </w:pPr>
    <w:rPr>
      <w:sz w:val="24"/>
      <w:szCs w:val="20"/>
    </w:rPr>
  </w:style>
  <w:style w:type="paragraph" w:customStyle="1" w:styleId="64">
    <w:name w:val="Table Paragraph"/>
    <w:basedOn w:val="1"/>
    <w:qFormat/>
    <w:uiPriority w:val="0"/>
  </w:style>
  <w:style w:type="paragraph" w:customStyle="1" w:styleId="65">
    <w:name w:val="修订1"/>
    <w:qFormat/>
    <w:uiPriority w:val="0"/>
    <w:rPr>
      <w:rFonts w:ascii="Times New Roman" w:hAnsi="Times New Roman" w:eastAsia="楷体_GB2312" w:cs="Times New Roman"/>
      <w:kern w:val="2"/>
      <w:sz w:val="21"/>
      <w:szCs w:val="22"/>
      <w:lang w:val="en-US" w:eastAsia="zh-CN" w:bidi="ar-SA"/>
    </w:rPr>
  </w:style>
  <w:style w:type="paragraph" w:customStyle="1" w:styleId="66">
    <w:name w:val="我的正文"/>
    <w:basedOn w:val="1"/>
    <w:qFormat/>
    <w:uiPriority w:val="0"/>
    <w:rPr>
      <w:rFonts w:ascii="宋体" w:hAnsi="宋体"/>
      <w:sz w:val="24"/>
      <w:szCs w:val="24"/>
    </w:rPr>
  </w:style>
  <w:style w:type="paragraph" w:customStyle="1" w:styleId="67">
    <w:name w:val="1"/>
    <w:basedOn w:val="1"/>
    <w:qFormat/>
    <w:uiPriority w:val="0"/>
    <w:rPr>
      <w:szCs w:val="20"/>
    </w:rPr>
  </w:style>
  <w:style w:type="paragraph" w:customStyle="1" w:styleId="68">
    <w:name w:val="修订111"/>
    <w:qFormat/>
    <w:uiPriority w:val="0"/>
    <w:rPr>
      <w:rFonts w:ascii="Times New Roman" w:hAnsi="Times New Roman" w:eastAsia="楷体_GB2312" w:cs="Times New Roman"/>
      <w:kern w:val="2"/>
      <w:sz w:val="21"/>
      <w:lang w:val="en-US" w:eastAsia="zh-CN" w:bidi="ar-SA"/>
    </w:rPr>
  </w:style>
  <w:style w:type="paragraph" w:customStyle="1" w:styleId="69">
    <w:name w:val="p0"/>
    <w:basedOn w:val="1"/>
    <w:qFormat/>
    <w:uiPriority w:val="0"/>
    <w:pPr>
      <w:widowControl/>
    </w:pPr>
    <w:rPr>
      <w:rFonts w:cs="宋体"/>
      <w:kern w:val="0"/>
      <w:szCs w:val="21"/>
    </w:rPr>
  </w:style>
  <w:style w:type="paragraph" w:customStyle="1" w:styleId="70">
    <w:name w:val="样式2"/>
    <w:basedOn w:val="5"/>
    <w:qFormat/>
    <w:uiPriority w:val="0"/>
    <w:pPr>
      <w:spacing w:line="415" w:lineRule="auto"/>
    </w:pPr>
    <w:rPr>
      <w:bCs/>
      <w:i/>
      <w:szCs w:val="28"/>
    </w:rPr>
  </w:style>
  <w:style w:type="paragraph" w:customStyle="1" w:styleId="71">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72">
    <w:name w:val="修订11"/>
    <w:qFormat/>
    <w:uiPriority w:val="0"/>
    <w:rPr>
      <w:rFonts w:ascii="Times New Roman" w:hAnsi="Times New Roman" w:eastAsia="楷体_GB2312" w:cs="Times New Roman"/>
      <w:kern w:val="2"/>
      <w:sz w:val="21"/>
      <w:szCs w:val="24"/>
      <w:lang w:val="en-US" w:eastAsia="zh-CN" w:bidi="ar-SA"/>
    </w:rPr>
  </w:style>
  <w:style w:type="paragraph" w:customStyle="1" w:styleId="73">
    <w:name w:val="表格文字"/>
    <w:basedOn w:val="1"/>
    <w:qFormat/>
    <w:uiPriority w:val="0"/>
    <w:pPr>
      <w:adjustRightInd w:val="0"/>
      <w:spacing w:line="420" w:lineRule="atLeast"/>
      <w:jc w:val="left"/>
      <w:textAlignment w:val="baseline"/>
    </w:pPr>
    <w:rPr>
      <w:kern w:val="0"/>
      <w:szCs w:val="20"/>
    </w:rPr>
  </w:style>
  <w:style w:type="paragraph" w:customStyle="1" w:styleId="74">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sz w:val="32"/>
    </w:rPr>
  </w:style>
  <w:style w:type="paragraph" w:customStyle="1" w:styleId="75">
    <w:name w:val="列表段落1"/>
    <w:basedOn w:val="1"/>
    <w:qFormat/>
    <w:uiPriority w:val="0"/>
    <w:pPr>
      <w:ind w:firstLine="200" w:firstLineChars="200"/>
    </w:pPr>
  </w:style>
  <w:style w:type="paragraph" w:customStyle="1" w:styleId="76">
    <w:name w:val="文二"/>
    <w:basedOn w:val="1"/>
    <w:qFormat/>
    <w:uiPriority w:val="0"/>
    <w:rPr>
      <w:rFonts w:ascii="宋体" w:hAnsi="宋体"/>
      <w:szCs w:val="21"/>
    </w:rPr>
  </w:style>
  <w:style w:type="paragraph" w:customStyle="1" w:styleId="77">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customStyle="1" w:styleId="78">
    <w:name w:val="正文首行缩进1"/>
    <w:basedOn w:val="17"/>
    <w:qFormat/>
    <w:uiPriority w:val="0"/>
    <w:pPr>
      <w:spacing w:line="312" w:lineRule="auto"/>
      <w:ind w:firstLine="420"/>
    </w:pPr>
  </w:style>
  <w:style w:type="paragraph" w:customStyle="1" w:styleId="79">
    <w:name w:val="标题 31"/>
    <w:basedOn w:val="1"/>
    <w:qFormat/>
    <w:uiPriority w:val="0"/>
    <w:pPr>
      <w:ind w:left="237"/>
      <w:outlineLvl w:val="2"/>
    </w:pPr>
    <w:rPr>
      <w:rFonts w:ascii="宋体" w:eastAsia="宋体"/>
      <w:sz w:val="28"/>
    </w:rPr>
  </w:style>
  <w:style w:type="paragraph" w:customStyle="1" w:styleId="80">
    <w:name w:val="标题 21"/>
    <w:basedOn w:val="1"/>
    <w:qFormat/>
    <w:uiPriority w:val="0"/>
    <w:pPr>
      <w:outlineLvl w:val="1"/>
    </w:pPr>
    <w:rPr>
      <w:rFonts w:ascii="宋体" w:eastAsia="宋体"/>
      <w:sz w:val="32"/>
    </w:rPr>
  </w:style>
  <w:style w:type="paragraph" w:customStyle="1" w:styleId="8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2">
    <w:name w:val="Normal_0"/>
    <w:qFormat/>
    <w:uiPriority w:val="0"/>
    <w:pPr>
      <w:spacing w:before="120" w:after="240"/>
      <w:jc w:val="both"/>
    </w:pPr>
    <w:rPr>
      <w:rFonts w:ascii="Calibri" w:hAnsi="Calibri" w:eastAsia="宋体" w:cs="Calibri"/>
      <w:sz w:val="22"/>
      <w:szCs w:val="22"/>
      <w:lang w:val="ru-RU" w:eastAsia="zh-CN" w:bidi="ar-SA"/>
    </w:rPr>
  </w:style>
  <w:style w:type="character" w:customStyle="1" w:styleId="83">
    <w:name w:val="纯文本 Char1"/>
    <w:qFormat/>
    <w:uiPriority w:val="0"/>
    <w:rPr>
      <w:rFonts w:ascii="宋体" w:eastAsia="宋体" w:cs="Times New Roman"/>
      <w:szCs w:val="20"/>
    </w:rPr>
  </w:style>
  <w:style w:type="paragraph" w:customStyle="1" w:styleId="84">
    <w:name w:val="修订3"/>
    <w:qFormat/>
    <w:uiPriority w:val="0"/>
    <w:rPr>
      <w:rFonts w:ascii="Times New Roman" w:hAnsi="Times New Roman" w:eastAsia="楷体_GB2312" w:cs="Times New Roman"/>
      <w:kern w:val="2"/>
      <w:sz w:val="21"/>
      <w:szCs w:val="22"/>
      <w:lang w:val="en-US" w:eastAsia="zh-CN" w:bidi="ar-SA"/>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24"/>
    <w:basedOn w:val="1"/>
    <w:qFormat/>
    <w:uiPriority w:val="0"/>
    <w:pPr>
      <w:widowControl/>
      <w:spacing w:before="100" w:after="100"/>
      <w:jc w:val="center"/>
    </w:pPr>
    <w:rPr>
      <w:rFonts w:ascii="宋体" w:eastAsia="宋体"/>
      <w:kern w:val="0"/>
      <w:sz w:val="24"/>
      <w:szCs w:val="20"/>
    </w:rPr>
  </w:style>
  <w:style w:type="paragraph" w:customStyle="1" w:styleId="87">
    <w:name w:val="样式 宋体 行距: 1.5 倍行距"/>
    <w:basedOn w:val="1"/>
    <w:qFormat/>
    <w:uiPriority w:val="99"/>
    <w:pPr>
      <w:jc w:val="center"/>
    </w:pPr>
    <w:rPr>
      <w:b/>
      <w:bCs/>
    </w:rPr>
  </w:style>
  <w:style w:type="paragraph" w:customStyle="1" w:styleId="88">
    <w:name w:val="修订4"/>
    <w:hidden/>
    <w:semiHidden/>
    <w:qFormat/>
    <w:uiPriority w:val="99"/>
    <w:rPr>
      <w:rFonts w:ascii="Times New Roman" w:hAnsi="Times New Roman" w:eastAsia="楷体_GB2312" w:cs="Times New Roman"/>
      <w:kern w:val="2"/>
      <w:sz w:val="21"/>
      <w:szCs w:val="22"/>
      <w:lang w:val="en-US" w:eastAsia="zh-CN" w:bidi="ar-SA"/>
    </w:rPr>
  </w:style>
  <w:style w:type="paragraph" w:customStyle="1" w:styleId="89">
    <w:name w:val="_Style 4"/>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33623</Words>
  <Characters>35676</Characters>
  <Lines>283</Lines>
  <Paragraphs>79</Paragraphs>
  <ScaleCrop>false</ScaleCrop>
  <LinksUpToDate>false</LinksUpToDate>
  <CharactersWithSpaces>37635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2021-08-27T04:44:00Z</dcterms:created>
  <dc:creator>MIRCO</dc:creator>
  <cp:lastModifiedBy>**</cp:lastModifiedBy>
  <cp:lastPrinted>2021-08-27T04:47:00Z</cp:lastPrinted>
  <dcterms:modified xsi:type="dcterms:W3CDTF">2022-10-18T11:08:28Z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0D2BD058C53844DF95FBB16BA0343459</vt:lpwstr>
  </property>
</Properties>
</file>