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64F41">
      <w:pPr>
        <w:pStyle w:val="22"/>
        <w:spacing w:line="640" w:lineRule="exact"/>
        <w:rPr>
          <w:rFonts w:ascii="宋体" w:hAnsi="宋体"/>
          <w:color w:val="auto"/>
          <w:highlight w:val="none"/>
        </w:rPr>
      </w:pPr>
      <w:bookmarkStart w:id="265" w:name="_GoBack"/>
      <w:bookmarkEnd w:id="265"/>
      <w:r>
        <w:rPr>
          <w:rFonts w:ascii="宋体" w:hAnsi="宋体" w:cs="FangSong_GB2312"/>
          <w:color w:val="auto"/>
          <w:highlight w:val="none"/>
        </w:rPr>
        <w:t>SF-2019-0206</w:t>
      </w:r>
    </w:p>
    <w:p w14:paraId="0FAF28DC">
      <w:pPr>
        <w:kinsoku/>
        <w:spacing w:line="260" w:lineRule="auto"/>
        <w:jc w:val="both"/>
        <w:rPr>
          <w:color w:val="auto"/>
          <w:highlight w:val="none"/>
          <w:lang w:eastAsia="zh-CN"/>
        </w:rPr>
      </w:pPr>
    </w:p>
    <w:p w14:paraId="13960161">
      <w:pPr>
        <w:kinsoku/>
        <w:spacing w:line="261" w:lineRule="auto"/>
        <w:jc w:val="both"/>
        <w:rPr>
          <w:color w:val="auto"/>
          <w:highlight w:val="none"/>
          <w:lang w:eastAsia="zh-CN"/>
        </w:rPr>
      </w:pPr>
    </w:p>
    <w:p w14:paraId="5D370121">
      <w:pPr>
        <w:pStyle w:val="7"/>
        <w:kinsoku/>
        <w:spacing w:before="101" w:line="225" w:lineRule="auto"/>
        <w:ind w:left="5463"/>
        <w:jc w:val="both"/>
        <w:rPr>
          <w:color w:val="auto"/>
          <w:highlight w:val="none"/>
          <w:lang w:eastAsia="zh-CN"/>
        </w:rPr>
      </w:pPr>
      <w:r>
        <w:rPr>
          <w:color w:val="auto"/>
          <w:spacing w:val="6"/>
          <w:highlight w:val="none"/>
          <w:lang w:eastAsia="zh-CN"/>
        </w:rPr>
        <w:t>项目编码：</w:t>
      </w:r>
      <w:r>
        <w:rPr>
          <w:color w:val="auto"/>
          <w:highlight w:val="none"/>
          <w:u w:val="single"/>
          <w:lang w:eastAsia="zh-CN"/>
        </w:rPr>
        <w:t xml:space="preserve">              </w:t>
      </w:r>
    </w:p>
    <w:p w14:paraId="6D6ED719">
      <w:pPr>
        <w:pStyle w:val="7"/>
        <w:kinsoku/>
        <w:spacing w:before="262" w:line="225" w:lineRule="auto"/>
        <w:ind w:left="5462"/>
        <w:jc w:val="both"/>
        <w:rPr>
          <w:color w:val="auto"/>
          <w:highlight w:val="none"/>
          <w:lang w:eastAsia="zh-CN"/>
        </w:rPr>
      </w:pPr>
      <w:r>
        <w:rPr>
          <w:color w:val="auto"/>
          <w:spacing w:val="6"/>
          <w:highlight w:val="none"/>
          <w:lang w:eastAsia="zh-CN"/>
        </w:rPr>
        <w:t>工程编码：</w:t>
      </w:r>
      <w:r>
        <w:rPr>
          <w:color w:val="auto"/>
          <w:highlight w:val="none"/>
          <w:u w:val="single"/>
          <w:lang w:eastAsia="zh-CN"/>
        </w:rPr>
        <w:t xml:space="preserve">             </w:t>
      </w:r>
    </w:p>
    <w:p w14:paraId="2BDD6919">
      <w:pPr>
        <w:pStyle w:val="7"/>
        <w:kinsoku/>
        <w:spacing w:before="260" w:line="225" w:lineRule="auto"/>
        <w:ind w:left="5460"/>
        <w:jc w:val="both"/>
        <w:rPr>
          <w:color w:val="auto"/>
          <w:highlight w:val="none"/>
          <w:lang w:eastAsia="zh-CN"/>
        </w:rPr>
      </w:pPr>
      <w:r>
        <w:rPr>
          <w:color w:val="auto"/>
          <w:spacing w:val="6"/>
          <w:highlight w:val="none"/>
          <w:lang w:eastAsia="zh-CN"/>
        </w:rPr>
        <w:t>合同编号：</w:t>
      </w:r>
      <w:r>
        <w:rPr>
          <w:color w:val="auto"/>
          <w:highlight w:val="none"/>
          <w:u w:val="single"/>
          <w:lang w:eastAsia="zh-CN"/>
        </w:rPr>
        <w:t xml:space="preserve">             </w:t>
      </w:r>
    </w:p>
    <w:p w14:paraId="3FDB4AE6">
      <w:pPr>
        <w:kinsoku/>
        <w:spacing w:line="248" w:lineRule="auto"/>
        <w:jc w:val="both"/>
        <w:rPr>
          <w:color w:val="auto"/>
          <w:highlight w:val="none"/>
          <w:lang w:eastAsia="zh-CN"/>
        </w:rPr>
      </w:pPr>
    </w:p>
    <w:p w14:paraId="06316242">
      <w:pPr>
        <w:kinsoku/>
        <w:spacing w:line="248" w:lineRule="auto"/>
        <w:jc w:val="both"/>
        <w:rPr>
          <w:color w:val="auto"/>
          <w:highlight w:val="none"/>
          <w:lang w:eastAsia="zh-CN"/>
        </w:rPr>
      </w:pPr>
    </w:p>
    <w:p w14:paraId="331676EA">
      <w:pPr>
        <w:kinsoku/>
        <w:spacing w:line="248" w:lineRule="auto"/>
        <w:jc w:val="both"/>
        <w:rPr>
          <w:color w:val="auto"/>
          <w:highlight w:val="none"/>
          <w:lang w:eastAsia="zh-CN"/>
        </w:rPr>
      </w:pPr>
    </w:p>
    <w:p w14:paraId="14CF7C92">
      <w:pPr>
        <w:kinsoku/>
        <w:spacing w:line="248" w:lineRule="auto"/>
        <w:jc w:val="both"/>
        <w:rPr>
          <w:color w:val="auto"/>
          <w:highlight w:val="none"/>
          <w:lang w:eastAsia="zh-CN"/>
        </w:rPr>
      </w:pPr>
    </w:p>
    <w:p w14:paraId="0114D442">
      <w:pPr>
        <w:pStyle w:val="7"/>
        <w:kinsoku/>
        <w:spacing w:before="169" w:line="219" w:lineRule="auto"/>
        <w:ind w:left="0" w:firstLine="0" w:firstLineChars="0"/>
        <w:jc w:val="center"/>
        <w:rPr>
          <w:color w:val="auto"/>
          <w:sz w:val="52"/>
          <w:szCs w:val="52"/>
          <w:highlight w:val="none"/>
          <w:lang w:eastAsia="zh-CN"/>
        </w:rPr>
      </w:pPr>
      <w:r>
        <w:rPr>
          <w:color w:val="auto"/>
          <w:sz w:val="52"/>
          <w:szCs w:val="52"/>
          <w:highlight w:val="none"/>
          <w:lang w:eastAsia="zh-CN"/>
          <w14:textOutline w14:w="9461" w14:cap="sq" w14:cmpd="sng" w14:algn="ctr">
            <w14:solidFill>
              <w14:srgbClr w14:val="000000"/>
            </w14:solidFill>
            <w14:prstDash w14:val="solid"/>
            <w14:bevel/>
          </w14:textOutline>
        </w:rPr>
        <w:t>建设工程监理合同</w:t>
      </w:r>
    </w:p>
    <w:p w14:paraId="4ABF5BFB">
      <w:pPr>
        <w:kinsoku/>
        <w:spacing w:line="273" w:lineRule="auto"/>
        <w:jc w:val="both"/>
        <w:rPr>
          <w:color w:val="auto"/>
          <w:highlight w:val="none"/>
          <w:lang w:eastAsia="zh-CN"/>
        </w:rPr>
      </w:pPr>
    </w:p>
    <w:p w14:paraId="5A7F792A">
      <w:pPr>
        <w:kinsoku/>
        <w:spacing w:line="274" w:lineRule="auto"/>
        <w:jc w:val="both"/>
        <w:rPr>
          <w:color w:val="auto"/>
          <w:highlight w:val="none"/>
          <w:lang w:eastAsia="zh-CN"/>
        </w:rPr>
      </w:pPr>
    </w:p>
    <w:p w14:paraId="1573DCF9">
      <w:pPr>
        <w:kinsoku/>
        <w:spacing w:line="274" w:lineRule="auto"/>
        <w:jc w:val="both"/>
        <w:rPr>
          <w:color w:val="auto"/>
          <w:highlight w:val="none"/>
          <w:lang w:eastAsia="zh-CN"/>
        </w:rPr>
      </w:pPr>
    </w:p>
    <w:p w14:paraId="1DF5E926">
      <w:pPr>
        <w:kinsoku/>
        <w:spacing w:line="274" w:lineRule="auto"/>
        <w:jc w:val="both"/>
        <w:rPr>
          <w:color w:val="auto"/>
          <w:highlight w:val="none"/>
          <w:lang w:eastAsia="zh-CN"/>
        </w:rPr>
      </w:pPr>
    </w:p>
    <w:p w14:paraId="76D26E33">
      <w:pPr>
        <w:kinsoku/>
        <w:spacing w:line="274" w:lineRule="auto"/>
        <w:jc w:val="both"/>
        <w:rPr>
          <w:color w:val="auto"/>
          <w:highlight w:val="none"/>
          <w:lang w:eastAsia="zh-CN"/>
        </w:rPr>
      </w:pPr>
    </w:p>
    <w:p w14:paraId="14BEE211">
      <w:pPr>
        <w:kinsoku/>
        <w:spacing w:line="274" w:lineRule="auto"/>
        <w:jc w:val="both"/>
        <w:rPr>
          <w:color w:val="auto"/>
          <w:highlight w:val="none"/>
          <w:lang w:eastAsia="zh-CN"/>
        </w:rPr>
      </w:pPr>
    </w:p>
    <w:p w14:paraId="6B94E59A">
      <w:pPr>
        <w:spacing w:line="640" w:lineRule="exact"/>
        <w:ind w:left="2078" w:leftChars="304" w:hanging="1440" w:hangingChars="450"/>
        <w:rPr>
          <w:rFonts w:hint="default" w:ascii="宋体" w:hAnsi="宋体" w:cs="仿宋"/>
          <w:color w:val="auto"/>
          <w:sz w:val="32"/>
          <w:szCs w:val="32"/>
          <w:highlight w:val="none"/>
          <w:u w:val="single"/>
          <w:lang w:val="en-US" w:eastAsia="zh-CN"/>
        </w:rPr>
      </w:pPr>
      <w:r>
        <w:rPr>
          <w:rFonts w:hint="eastAsia" w:ascii="宋体" w:hAnsi="宋体" w:cs="仿宋"/>
          <w:color w:val="auto"/>
          <w:sz w:val="32"/>
          <w:szCs w:val="32"/>
          <w:highlight w:val="none"/>
          <w:lang w:eastAsia="zh-CN"/>
        </w:rPr>
        <w:t>工程名称：</w:t>
      </w:r>
      <w:r>
        <w:rPr>
          <w:rFonts w:hint="eastAsia" w:ascii="宋体" w:hAnsi="宋体" w:cs="仿宋"/>
          <w:color w:val="auto"/>
          <w:sz w:val="32"/>
          <w:szCs w:val="32"/>
          <w:highlight w:val="none"/>
          <w:u w:val="single"/>
          <w:lang w:eastAsia="zh-CN"/>
        </w:rPr>
        <w:t>广州市增城区荔湖街新城大道</w:t>
      </w:r>
      <w:r>
        <w:rPr>
          <w:rFonts w:hint="eastAsia" w:ascii="宋体" w:hAnsi="宋体" w:cs="仿宋"/>
          <w:color w:val="auto"/>
          <w:sz w:val="32"/>
          <w:szCs w:val="32"/>
          <w:highlight w:val="none"/>
          <w:u w:val="single"/>
          <w:lang w:val="en-US" w:eastAsia="zh-CN"/>
        </w:rPr>
        <w:t>东侧</w:t>
      </w:r>
      <w:r>
        <w:rPr>
          <w:rFonts w:hint="eastAsia" w:ascii="宋体" w:hAnsi="宋体" w:cs="仿宋"/>
          <w:color w:val="auto"/>
          <w:sz w:val="32"/>
          <w:szCs w:val="32"/>
          <w:highlight w:val="none"/>
          <w:u w:val="single"/>
          <w:lang w:eastAsia="zh-CN"/>
        </w:rPr>
        <w:t>18005200A24018号地块建设项目监理</w:t>
      </w:r>
      <w:r>
        <w:rPr>
          <w:rFonts w:hint="eastAsia" w:ascii="宋体" w:hAnsi="宋体" w:cs="仿宋"/>
          <w:color w:val="auto"/>
          <w:sz w:val="32"/>
          <w:szCs w:val="32"/>
          <w:highlight w:val="none"/>
          <w:u w:val="single"/>
          <w:lang w:val="en-US" w:eastAsia="zh-CN"/>
        </w:rPr>
        <w:t>服务</w:t>
      </w:r>
    </w:p>
    <w:p w14:paraId="4956BC68">
      <w:pPr>
        <w:spacing w:line="640" w:lineRule="exact"/>
        <w:ind w:firstLine="480" w:firstLineChars="150"/>
        <w:rPr>
          <w:rFonts w:ascii="宋体" w:hAnsi="宋体" w:cs="仿宋"/>
          <w:color w:val="auto"/>
          <w:sz w:val="32"/>
          <w:szCs w:val="32"/>
          <w:highlight w:val="none"/>
          <w:lang w:eastAsia="zh-CN"/>
        </w:rPr>
      </w:pPr>
      <w:r>
        <w:rPr>
          <w:rFonts w:hint="eastAsia" w:ascii="宋体" w:hAnsi="宋体" w:cs="仿宋"/>
          <w:color w:val="auto"/>
          <w:sz w:val="32"/>
          <w:szCs w:val="32"/>
          <w:highlight w:val="none"/>
          <w:lang w:eastAsia="zh-CN"/>
        </w:rPr>
        <w:t>工程地点：</w:t>
      </w:r>
      <w:r>
        <w:rPr>
          <w:rFonts w:hint="eastAsia" w:ascii="宋体" w:hAnsi="宋体" w:eastAsia="Arial" w:cs="仿宋"/>
          <w:b w:val="0"/>
          <w:bCs w:val="0"/>
          <w:color w:val="auto"/>
          <w:sz w:val="32"/>
          <w:szCs w:val="32"/>
          <w:highlight w:val="none"/>
          <w:u w:val="single"/>
          <w:lang w:eastAsia="zh-CN"/>
        </w:rPr>
        <w:t>广州市增城区荔湖街新城大道东侧</w:t>
      </w:r>
      <w:r>
        <w:rPr>
          <w:rFonts w:ascii="宋体" w:hAnsi="宋体" w:cs="仿宋"/>
          <w:color w:val="auto"/>
          <w:sz w:val="32"/>
          <w:szCs w:val="32"/>
          <w:highlight w:val="none"/>
          <w:u w:val="single"/>
          <w:lang w:eastAsia="zh-CN"/>
        </w:rPr>
        <w:t xml:space="preserve"> </w:t>
      </w:r>
      <w:r>
        <w:rPr>
          <w:rFonts w:ascii="宋体" w:hAnsi="宋体" w:cs="仿宋"/>
          <w:color w:val="auto"/>
          <w:sz w:val="32"/>
          <w:szCs w:val="32"/>
          <w:highlight w:val="none"/>
          <w:lang w:eastAsia="zh-CN"/>
        </w:rPr>
        <w:t xml:space="preserve">                                                 </w:t>
      </w:r>
    </w:p>
    <w:p w14:paraId="1D3458BE">
      <w:pPr>
        <w:spacing w:line="640" w:lineRule="exact"/>
        <w:ind w:firstLine="480" w:firstLineChars="150"/>
        <w:rPr>
          <w:rFonts w:ascii="宋体" w:hAnsi="宋体" w:cs="Times New Roman"/>
          <w:color w:val="auto"/>
          <w:sz w:val="32"/>
          <w:szCs w:val="32"/>
          <w:highlight w:val="none"/>
          <w:lang w:eastAsia="zh-CN"/>
        </w:rPr>
      </w:pPr>
      <w:r>
        <w:rPr>
          <w:rFonts w:hint="eastAsia" w:ascii="宋体" w:hAnsi="宋体" w:cs="仿宋"/>
          <w:color w:val="auto"/>
          <w:sz w:val="32"/>
          <w:szCs w:val="32"/>
          <w:highlight w:val="none"/>
          <w:lang w:eastAsia="zh-CN"/>
        </w:rPr>
        <w:t>委</w:t>
      </w:r>
      <w:r>
        <w:rPr>
          <w:rFonts w:ascii="宋体" w:hAnsi="宋体" w:cs="仿宋"/>
          <w:color w:val="auto"/>
          <w:sz w:val="32"/>
          <w:szCs w:val="32"/>
          <w:highlight w:val="none"/>
          <w:lang w:eastAsia="zh-CN"/>
        </w:rPr>
        <w:t xml:space="preserve"> </w:t>
      </w:r>
      <w:r>
        <w:rPr>
          <w:rFonts w:hint="eastAsia" w:ascii="宋体" w:hAnsi="宋体" w:cs="仿宋"/>
          <w:color w:val="auto"/>
          <w:sz w:val="32"/>
          <w:szCs w:val="32"/>
          <w:highlight w:val="none"/>
          <w:lang w:eastAsia="zh-CN"/>
        </w:rPr>
        <w:t>托 人：</w:t>
      </w:r>
      <w:r>
        <w:rPr>
          <w:rFonts w:hint="eastAsia" w:ascii="宋体" w:hAnsi="宋体" w:cs="仿宋"/>
          <w:color w:val="auto"/>
          <w:sz w:val="32"/>
          <w:szCs w:val="32"/>
          <w:highlight w:val="none"/>
          <w:u w:val="single"/>
          <w:lang w:eastAsia="zh-CN"/>
        </w:rPr>
        <w:t>广州市增城区城苑投资发展有限公司</w:t>
      </w:r>
    </w:p>
    <w:p w14:paraId="5E8673D7">
      <w:pPr>
        <w:spacing w:line="640" w:lineRule="exact"/>
        <w:ind w:firstLine="480" w:firstLineChars="150"/>
        <w:rPr>
          <w:rFonts w:ascii="宋体" w:hAnsi="宋体" w:cs="Times New Roman"/>
          <w:color w:val="auto"/>
          <w:sz w:val="32"/>
          <w:szCs w:val="32"/>
          <w:highlight w:val="none"/>
          <w:lang w:eastAsia="zh-CN"/>
        </w:rPr>
      </w:pPr>
      <w:r>
        <w:rPr>
          <w:rFonts w:hint="eastAsia" w:ascii="宋体" w:hAnsi="宋体" w:cs="仿宋"/>
          <w:color w:val="auto"/>
          <w:sz w:val="32"/>
          <w:szCs w:val="32"/>
          <w:highlight w:val="none"/>
          <w:lang w:eastAsia="zh-CN"/>
        </w:rPr>
        <w:t>监</w:t>
      </w:r>
      <w:r>
        <w:rPr>
          <w:rFonts w:ascii="宋体" w:hAnsi="宋体" w:cs="仿宋"/>
          <w:color w:val="auto"/>
          <w:sz w:val="32"/>
          <w:szCs w:val="32"/>
          <w:highlight w:val="none"/>
          <w:lang w:eastAsia="zh-CN"/>
        </w:rPr>
        <w:t xml:space="preserve"> </w:t>
      </w:r>
      <w:r>
        <w:rPr>
          <w:rFonts w:hint="eastAsia" w:ascii="宋体" w:hAnsi="宋体" w:cs="仿宋"/>
          <w:color w:val="auto"/>
          <w:sz w:val="32"/>
          <w:szCs w:val="32"/>
          <w:highlight w:val="none"/>
          <w:lang w:eastAsia="zh-CN"/>
        </w:rPr>
        <w:t>理 人：</w:t>
      </w:r>
      <w:r>
        <w:rPr>
          <w:rFonts w:ascii="宋体" w:hAnsi="宋体" w:cs="仿宋"/>
          <w:color w:val="auto"/>
          <w:sz w:val="32"/>
          <w:szCs w:val="32"/>
          <w:highlight w:val="none"/>
          <w:u w:val="single"/>
          <w:lang w:eastAsia="zh-CN"/>
        </w:rPr>
        <w:t xml:space="preserve">                              </w:t>
      </w:r>
    </w:p>
    <w:p w14:paraId="0DF31D1E">
      <w:pPr>
        <w:spacing w:line="360" w:lineRule="auto"/>
        <w:jc w:val="center"/>
        <w:rPr>
          <w:rFonts w:ascii="FangSong_GB2312" w:hAnsi="宋体" w:eastAsia="FangSong_GB2312" w:cs="Times New Roman"/>
          <w:b/>
          <w:bCs/>
          <w:color w:val="auto"/>
          <w:sz w:val="24"/>
          <w:szCs w:val="24"/>
          <w:highlight w:val="none"/>
          <w:lang w:eastAsia="zh-CN"/>
        </w:rPr>
      </w:pPr>
    </w:p>
    <w:p w14:paraId="140A5340">
      <w:pPr>
        <w:spacing w:line="360" w:lineRule="auto"/>
        <w:jc w:val="center"/>
        <w:rPr>
          <w:rFonts w:ascii="FangSong_GB2312" w:hAnsi="宋体" w:eastAsia="FangSong_GB2312" w:cs="Times New Roman"/>
          <w:b/>
          <w:bCs/>
          <w:color w:val="auto"/>
          <w:sz w:val="24"/>
          <w:szCs w:val="24"/>
          <w:highlight w:val="none"/>
          <w:lang w:eastAsia="zh-CN"/>
        </w:rPr>
      </w:pPr>
    </w:p>
    <w:p w14:paraId="60B9CD53">
      <w:pPr>
        <w:spacing w:line="360" w:lineRule="auto"/>
        <w:jc w:val="center"/>
        <w:rPr>
          <w:rFonts w:ascii="FangSong_GB2312" w:hAnsi="宋体" w:eastAsia="FangSong_GB2312" w:cs="Times New Roman"/>
          <w:b/>
          <w:bCs/>
          <w:color w:val="auto"/>
          <w:sz w:val="24"/>
          <w:szCs w:val="24"/>
          <w:highlight w:val="none"/>
          <w:lang w:eastAsia="zh-CN"/>
        </w:rPr>
      </w:pPr>
    </w:p>
    <w:p w14:paraId="6BB0A2D5">
      <w:pPr>
        <w:spacing w:line="360" w:lineRule="auto"/>
        <w:jc w:val="center"/>
        <w:rPr>
          <w:rFonts w:ascii="FangSong_GB2312" w:hAnsi="宋体" w:eastAsia="FangSong_GB2312" w:cs="Times New Roman"/>
          <w:b/>
          <w:bCs/>
          <w:color w:val="auto"/>
          <w:sz w:val="24"/>
          <w:szCs w:val="24"/>
          <w:highlight w:val="none"/>
          <w:lang w:eastAsia="zh-CN"/>
        </w:rPr>
      </w:pPr>
    </w:p>
    <w:p w14:paraId="54594000">
      <w:pPr>
        <w:spacing w:line="360" w:lineRule="auto"/>
        <w:jc w:val="center"/>
        <w:rPr>
          <w:rFonts w:ascii="FangSong_GB2312" w:hAnsi="宋体" w:eastAsia="FangSong_GB2312" w:cs="Times New Roman"/>
          <w:b/>
          <w:bCs/>
          <w:color w:val="auto"/>
          <w:sz w:val="24"/>
          <w:szCs w:val="24"/>
          <w:highlight w:val="none"/>
          <w:lang w:eastAsia="zh-CN"/>
        </w:rPr>
      </w:pPr>
    </w:p>
    <w:p w14:paraId="62463A0B">
      <w:pPr>
        <w:spacing w:line="200" w:lineRule="atLeast"/>
        <w:jc w:val="center"/>
        <w:rPr>
          <w:rFonts w:ascii="宋体" w:cs="Times New Roman"/>
          <w:b/>
          <w:bCs/>
          <w:color w:val="auto"/>
          <w:spacing w:val="50"/>
          <w:sz w:val="32"/>
          <w:szCs w:val="32"/>
          <w:highlight w:val="none"/>
          <w:lang w:eastAsia="zh-CN"/>
        </w:rPr>
      </w:pPr>
      <w:r>
        <w:rPr>
          <w:rFonts w:hint="eastAsia" w:ascii="宋体" w:hAnsi="宋体" w:cs="宋体"/>
          <w:b/>
          <w:bCs/>
          <w:color w:val="auto"/>
          <w:spacing w:val="50"/>
          <w:sz w:val="32"/>
          <w:szCs w:val="32"/>
          <w:highlight w:val="none"/>
          <w:lang w:eastAsia="zh-CN"/>
        </w:rPr>
        <w:t>广州市住房和城乡建设局</w:t>
      </w:r>
    </w:p>
    <w:p w14:paraId="072E24EA">
      <w:pPr>
        <w:spacing w:line="200" w:lineRule="atLeast"/>
        <w:jc w:val="center"/>
        <w:rPr>
          <w:rFonts w:ascii="宋体" w:cs="Times New Roman"/>
          <w:b/>
          <w:bCs/>
          <w:color w:val="auto"/>
          <w:spacing w:val="20"/>
          <w:sz w:val="32"/>
          <w:szCs w:val="32"/>
          <w:highlight w:val="none"/>
          <w:lang w:eastAsia="zh-CN"/>
        </w:rPr>
      </w:pPr>
      <w:r>
        <w:rPr>
          <w:rFonts w:ascii="宋体" w:hAnsi="宋体" w:cs="宋体"/>
          <w:b/>
          <w:bCs/>
          <w:color w:val="auto"/>
          <w:spacing w:val="20"/>
          <w:sz w:val="32"/>
          <w:szCs w:val="32"/>
          <w:highlight w:val="none"/>
          <w:lang w:eastAsia="zh-CN"/>
        </w:rPr>
        <w:t xml:space="preserve">                            </w:t>
      </w:r>
      <w:r>
        <w:rPr>
          <w:rFonts w:hint="eastAsia" w:ascii="宋体" w:hAnsi="宋体" w:cs="宋体"/>
          <w:b/>
          <w:bCs/>
          <w:color w:val="auto"/>
          <w:spacing w:val="20"/>
          <w:sz w:val="32"/>
          <w:szCs w:val="32"/>
          <w:highlight w:val="none"/>
          <w:lang w:eastAsia="zh-CN"/>
        </w:rPr>
        <w:t>制定</w:t>
      </w:r>
    </w:p>
    <w:p w14:paraId="76179147">
      <w:pPr>
        <w:spacing w:line="200" w:lineRule="atLeast"/>
        <w:rPr>
          <w:rFonts w:ascii="宋体" w:cs="Times New Roman"/>
          <w:b/>
          <w:bCs/>
          <w:color w:val="auto"/>
          <w:spacing w:val="73"/>
          <w:sz w:val="32"/>
          <w:szCs w:val="32"/>
          <w:highlight w:val="none"/>
          <w:lang w:eastAsia="zh-CN"/>
        </w:rPr>
      </w:pPr>
      <w:r>
        <w:rPr>
          <w:rFonts w:hint="eastAsia" w:ascii="宋体" w:hAnsi="宋体" w:cs="宋体"/>
          <w:b/>
          <w:bCs/>
          <w:color w:val="auto"/>
          <w:spacing w:val="73"/>
          <w:sz w:val="32"/>
          <w:szCs w:val="32"/>
          <w:highlight w:val="none"/>
          <w:lang w:eastAsia="zh-CN"/>
        </w:rPr>
        <w:t xml:space="preserve">        </w:t>
      </w:r>
      <w:r>
        <w:rPr>
          <w:rFonts w:hint="eastAsia" w:ascii="宋体" w:hAnsi="宋体" w:eastAsia="宋体" w:cs="宋体"/>
          <w:b/>
          <w:bCs/>
          <w:color w:val="auto"/>
          <w:spacing w:val="73"/>
          <w:sz w:val="32"/>
          <w:szCs w:val="32"/>
          <w:highlight w:val="none"/>
          <w:lang w:eastAsia="zh-CN"/>
        </w:rPr>
        <w:t xml:space="preserve">   </w:t>
      </w:r>
      <w:r>
        <w:rPr>
          <w:rFonts w:hint="eastAsia" w:ascii="宋体" w:hAnsi="宋体" w:cs="宋体"/>
          <w:b/>
          <w:bCs/>
          <w:color w:val="auto"/>
          <w:spacing w:val="73"/>
          <w:sz w:val="32"/>
          <w:szCs w:val="32"/>
          <w:highlight w:val="none"/>
          <w:lang w:eastAsia="zh-CN"/>
        </w:rPr>
        <w:t>广州市市场监督管理局</w:t>
      </w:r>
    </w:p>
    <w:p w14:paraId="60D1E479">
      <w:pPr>
        <w:rPr>
          <w:rFonts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br w:type="page"/>
      </w:r>
    </w:p>
    <w:p w14:paraId="58AAB350">
      <w:pPr>
        <w:kinsoku/>
        <w:spacing w:line="360" w:lineRule="auto"/>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 xml:space="preserve">   录</w:t>
      </w:r>
    </w:p>
    <w:p w14:paraId="2E142025">
      <w:pPr>
        <w:pStyle w:val="13"/>
        <w:tabs>
          <w:tab w:val="right" w:leader="dot" w:pos="9072"/>
        </w:tabs>
        <w:rPr>
          <w:color w:val="auto"/>
          <w:highlight w:val="none"/>
        </w:rPr>
      </w:pPr>
      <w:r>
        <w:rPr>
          <w:rFonts w:ascii="Times New Roman" w:hAnsi="Times New Roman" w:cs="Times New Roman"/>
          <w:b w:val="0"/>
          <w:caps w:val="0"/>
          <w:color w:val="auto"/>
          <w:spacing w:val="80"/>
          <w:sz w:val="21"/>
          <w:szCs w:val="21"/>
          <w:highlight w:val="none"/>
        </w:rPr>
        <w:fldChar w:fldCharType="begin"/>
      </w:r>
      <w:r>
        <w:rPr>
          <w:rFonts w:ascii="Times New Roman" w:hAnsi="Times New Roman" w:cs="Times New Roman"/>
          <w:b w:val="0"/>
          <w:caps w:val="0"/>
          <w:color w:val="auto"/>
          <w:spacing w:val="80"/>
          <w:sz w:val="21"/>
          <w:szCs w:val="21"/>
          <w:highlight w:val="none"/>
        </w:rPr>
        <w:instrText xml:space="preserve"> TOC \o "1-3" \h \z \u </w:instrText>
      </w:r>
      <w:r>
        <w:rPr>
          <w:rFonts w:ascii="Times New Roman" w:hAnsi="Times New Roman" w:cs="Times New Roman"/>
          <w:b w:val="0"/>
          <w:caps w:val="0"/>
          <w:color w:val="auto"/>
          <w:spacing w:val="80"/>
          <w:sz w:val="21"/>
          <w:szCs w:val="21"/>
          <w:highlight w:val="none"/>
        </w:rPr>
        <w:fldChar w:fldCharType="separate"/>
      </w:r>
      <w:r>
        <w:rPr>
          <w:color w:val="auto"/>
          <w:highlight w:val="none"/>
        </w:rPr>
        <w:fldChar w:fldCharType="begin"/>
      </w:r>
      <w:r>
        <w:rPr>
          <w:color w:val="auto"/>
          <w:highlight w:val="none"/>
        </w:rPr>
        <w:instrText xml:space="preserve"> HYPERLINK \l "_Toc16270" </w:instrText>
      </w:r>
      <w:r>
        <w:rPr>
          <w:color w:val="auto"/>
          <w:highlight w:val="none"/>
        </w:rPr>
        <w:fldChar w:fldCharType="separate"/>
      </w:r>
      <w:r>
        <w:rPr>
          <w:rFonts w:hint="eastAsia" w:ascii="宋体" w:hAnsi="宋体" w:eastAsia="宋体" w:cs="Times New Roman"/>
          <w:snapToGrid/>
          <w:color w:val="auto"/>
          <w:kern w:val="2"/>
          <w:szCs w:val="22"/>
          <w:highlight w:val="none"/>
          <w:lang w:eastAsia="zh-CN"/>
        </w:rPr>
        <w:t>第一部分  协议书</w:t>
      </w:r>
      <w:r>
        <w:rPr>
          <w:color w:val="auto"/>
          <w:highlight w:val="none"/>
        </w:rPr>
        <w:tab/>
      </w:r>
      <w:r>
        <w:rPr>
          <w:color w:val="auto"/>
          <w:highlight w:val="none"/>
        </w:rPr>
        <w:fldChar w:fldCharType="begin"/>
      </w:r>
      <w:r>
        <w:rPr>
          <w:color w:val="auto"/>
          <w:highlight w:val="none"/>
        </w:rPr>
        <w:instrText xml:space="preserve"> PAGEREF _Toc16270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8E34266">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"_Toc6422"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一、工程概况</w:t>
      </w:r>
      <w:r>
        <w:rPr>
          <w:color w:val="auto"/>
          <w:highlight w:val="none"/>
        </w:rPr>
        <w:tab/>
      </w:r>
      <w:r>
        <w:rPr>
          <w:color w:val="auto"/>
          <w:highlight w:val="none"/>
        </w:rPr>
        <w:fldChar w:fldCharType="begin"/>
      </w:r>
      <w:r>
        <w:rPr>
          <w:color w:val="auto"/>
          <w:highlight w:val="none"/>
        </w:rPr>
        <w:instrText xml:space="preserve"> PAGEREF _Toc6422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3329AD">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"_Toc24853"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二、词语限定</w:t>
      </w:r>
      <w:r>
        <w:rPr>
          <w:color w:val="auto"/>
          <w:highlight w:val="none"/>
        </w:rPr>
        <w:tab/>
      </w:r>
      <w:r>
        <w:rPr>
          <w:color w:val="auto"/>
          <w:highlight w:val="none"/>
        </w:rPr>
        <w:fldChar w:fldCharType="begin"/>
      </w:r>
      <w:r>
        <w:rPr>
          <w:color w:val="auto"/>
          <w:highlight w:val="none"/>
        </w:rPr>
        <w:instrText xml:space="preserve"> PAGEREF _Toc24853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CE1E374">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"_Toc25415"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三、组成本合同的文件</w:t>
      </w:r>
      <w:r>
        <w:rPr>
          <w:color w:val="auto"/>
          <w:highlight w:val="none"/>
        </w:rPr>
        <w:tab/>
      </w:r>
      <w:r>
        <w:rPr>
          <w:color w:val="auto"/>
          <w:highlight w:val="none"/>
        </w:rPr>
        <w:fldChar w:fldCharType="begin"/>
      </w:r>
      <w:r>
        <w:rPr>
          <w:color w:val="auto"/>
          <w:highlight w:val="none"/>
        </w:rPr>
        <w:instrText xml:space="preserve"> PAGEREF _Toc25415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A0455F3">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"_Toc1616" </w:instrText>
      </w:r>
      <w:r>
        <w:rPr>
          <w:color w:val="auto"/>
          <w:highlight w:val="none"/>
        </w:rPr>
        <w:fldChar w:fldCharType="separate"/>
      </w:r>
      <w:r>
        <w:rPr>
          <w:rFonts w:hint="eastAsia" w:ascii="仿宋" w:hAnsi="仿宋" w:eastAsia="仿宋" w:cs="仿宋"/>
          <w:snapToGrid/>
          <w:color w:val="auto"/>
          <w:kern w:val="2"/>
          <w:szCs w:val="24"/>
          <w:highlight w:val="none"/>
          <w:lang w:eastAsia="zh-CN"/>
        </w:rPr>
        <w:t>四、总监理工程师</w:t>
      </w:r>
      <w:r>
        <w:rPr>
          <w:color w:val="auto"/>
          <w:highlight w:val="none"/>
        </w:rPr>
        <w:tab/>
      </w:r>
      <w:r>
        <w:rPr>
          <w:color w:val="auto"/>
          <w:highlight w:val="none"/>
        </w:rPr>
        <w:fldChar w:fldCharType="begin"/>
      </w:r>
      <w:r>
        <w:rPr>
          <w:color w:val="auto"/>
          <w:highlight w:val="none"/>
        </w:rPr>
        <w:instrText xml:space="preserve"> PAGEREF _Toc1616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2F3D26E">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"_Toc14281"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五、签约酬金</w:t>
      </w:r>
      <w:r>
        <w:rPr>
          <w:color w:val="auto"/>
          <w:highlight w:val="none"/>
        </w:rPr>
        <w:tab/>
      </w:r>
      <w:r>
        <w:rPr>
          <w:color w:val="auto"/>
          <w:highlight w:val="none"/>
        </w:rPr>
        <w:fldChar w:fldCharType="begin"/>
      </w:r>
      <w:r>
        <w:rPr>
          <w:color w:val="auto"/>
          <w:highlight w:val="none"/>
        </w:rPr>
        <w:instrText xml:space="preserve"> PAGEREF _Toc14281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D47C48E">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"_Toc19796" </w:instrText>
      </w:r>
      <w:r>
        <w:rPr>
          <w:color w:val="auto"/>
          <w:highlight w:val="none"/>
        </w:rPr>
        <w:fldChar w:fldCharType="separate"/>
      </w:r>
      <w:r>
        <w:rPr>
          <w:rFonts w:hint="eastAsia" w:ascii="仿宋" w:hAnsi="仿宋" w:eastAsia="仿宋" w:cs="仿宋"/>
          <w:snapToGrid/>
          <w:color w:val="auto"/>
          <w:kern w:val="2"/>
          <w:szCs w:val="24"/>
          <w:highlight w:val="none"/>
          <w:lang w:eastAsia="zh-CN"/>
        </w:rPr>
        <w:t>★六、期限</w:t>
      </w:r>
      <w:r>
        <w:rPr>
          <w:color w:val="auto"/>
          <w:highlight w:val="none"/>
        </w:rPr>
        <w:tab/>
      </w:r>
      <w:r>
        <w:rPr>
          <w:color w:val="auto"/>
          <w:highlight w:val="none"/>
        </w:rPr>
        <w:fldChar w:fldCharType="begin"/>
      </w:r>
      <w:r>
        <w:rPr>
          <w:color w:val="auto"/>
          <w:highlight w:val="none"/>
        </w:rPr>
        <w:instrText xml:space="preserve"> PAGEREF _Toc19796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AFA23F2">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"_Toc25020"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七、双方承诺</w:t>
      </w:r>
      <w:r>
        <w:rPr>
          <w:color w:val="auto"/>
          <w:highlight w:val="none"/>
        </w:rPr>
        <w:tab/>
      </w:r>
      <w:r>
        <w:rPr>
          <w:color w:val="auto"/>
          <w:highlight w:val="none"/>
        </w:rPr>
        <w:fldChar w:fldCharType="begin"/>
      </w:r>
      <w:r>
        <w:rPr>
          <w:color w:val="auto"/>
          <w:highlight w:val="none"/>
        </w:rPr>
        <w:instrText xml:space="preserve"> PAGEREF _Toc25020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5915A6D">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"_Toc27804" </w:instrText>
      </w:r>
      <w:r>
        <w:rPr>
          <w:color w:val="auto"/>
          <w:highlight w:val="none"/>
        </w:rPr>
        <w:fldChar w:fldCharType="separate"/>
      </w:r>
      <w:r>
        <w:rPr>
          <w:rFonts w:hint="eastAsia" w:ascii="仿宋" w:hAnsi="仿宋" w:eastAsia="仿宋" w:cs="仿宋"/>
          <w:snapToGrid/>
          <w:color w:val="auto"/>
          <w:kern w:val="2"/>
          <w:szCs w:val="24"/>
          <w:highlight w:val="none"/>
          <w:lang w:eastAsia="zh-CN"/>
        </w:rPr>
        <w:t>八、合同生效</w:t>
      </w:r>
      <w:r>
        <w:rPr>
          <w:color w:val="auto"/>
          <w:highlight w:val="none"/>
        </w:rPr>
        <w:tab/>
      </w:r>
      <w:r>
        <w:rPr>
          <w:color w:val="auto"/>
          <w:highlight w:val="none"/>
        </w:rPr>
        <w:fldChar w:fldCharType="begin"/>
      </w:r>
      <w:r>
        <w:rPr>
          <w:color w:val="auto"/>
          <w:highlight w:val="none"/>
        </w:rPr>
        <w:instrText xml:space="preserve"> PAGEREF _Toc27804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4C0C880">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"_Toc24101" </w:instrText>
      </w:r>
      <w:r>
        <w:rPr>
          <w:color w:val="auto"/>
          <w:highlight w:val="none"/>
        </w:rPr>
        <w:fldChar w:fldCharType="separate"/>
      </w:r>
      <w:r>
        <w:rPr>
          <w:rFonts w:hint="eastAsia" w:ascii="仿宋" w:hAnsi="仿宋" w:eastAsia="仿宋" w:cs="仿宋"/>
          <w:snapToGrid/>
          <w:color w:val="auto"/>
          <w:kern w:val="2"/>
          <w:szCs w:val="24"/>
          <w:highlight w:val="none"/>
          <w:lang w:eastAsia="zh-CN"/>
        </w:rPr>
        <w:t>九、合同份数</w:t>
      </w:r>
      <w:r>
        <w:rPr>
          <w:color w:val="auto"/>
          <w:highlight w:val="none"/>
        </w:rPr>
        <w:tab/>
      </w:r>
      <w:r>
        <w:rPr>
          <w:color w:val="auto"/>
          <w:highlight w:val="none"/>
        </w:rPr>
        <w:fldChar w:fldCharType="begin"/>
      </w:r>
      <w:r>
        <w:rPr>
          <w:color w:val="auto"/>
          <w:highlight w:val="none"/>
        </w:rPr>
        <w:instrText xml:space="preserve"> PAGEREF _Toc24101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F2C8A76">
      <w:pPr>
        <w:pStyle w:val="13"/>
        <w:tabs>
          <w:tab w:val="right" w:leader="dot" w:pos="9072"/>
        </w:tabs>
        <w:rPr>
          <w:color w:val="auto"/>
          <w:highlight w:val="none"/>
        </w:rPr>
      </w:pPr>
      <w:r>
        <w:rPr>
          <w:color w:val="auto"/>
          <w:highlight w:val="none"/>
        </w:rPr>
        <w:fldChar w:fldCharType="begin"/>
      </w:r>
      <w:r>
        <w:rPr>
          <w:color w:val="auto"/>
          <w:highlight w:val="none"/>
        </w:rPr>
        <w:instrText xml:space="preserve"> HYPERLINK \l "_Toc21440" </w:instrText>
      </w:r>
      <w:r>
        <w:rPr>
          <w:color w:val="auto"/>
          <w:highlight w:val="none"/>
        </w:rPr>
        <w:fldChar w:fldCharType="separate"/>
      </w:r>
      <w:r>
        <w:rPr>
          <w:rFonts w:hint="eastAsia" w:ascii="宋体" w:hAnsi="宋体" w:eastAsia="宋体" w:cs="仿宋"/>
          <w:snapToGrid/>
          <w:color w:val="auto"/>
          <w:szCs w:val="36"/>
          <w:highlight w:val="none"/>
          <w:lang w:eastAsia="zh-CN"/>
        </w:rPr>
        <w:t>第二部分  通用条款</w:t>
      </w:r>
      <w:r>
        <w:rPr>
          <w:color w:val="auto"/>
          <w:highlight w:val="none"/>
        </w:rPr>
        <w:tab/>
      </w:r>
      <w:r>
        <w:rPr>
          <w:color w:val="auto"/>
          <w:highlight w:val="none"/>
        </w:rPr>
        <w:fldChar w:fldCharType="begin"/>
      </w:r>
      <w:r>
        <w:rPr>
          <w:color w:val="auto"/>
          <w:highlight w:val="none"/>
        </w:rPr>
        <w:instrText xml:space="preserve"> PAGEREF _Toc21440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DB09A23">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"_Toc21051" </w:instrText>
      </w:r>
      <w:r>
        <w:rPr>
          <w:color w:val="auto"/>
          <w:highlight w:val="none"/>
        </w:rPr>
        <w:fldChar w:fldCharType="separate"/>
      </w:r>
      <w:r>
        <w:rPr>
          <w:rFonts w:hint="eastAsia" w:ascii="仿宋" w:hAnsi="仿宋" w:eastAsia="仿宋" w:cs="仿宋"/>
          <w:color w:val="auto"/>
          <w:szCs w:val="24"/>
          <w:highlight w:val="none"/>
          <w:lang w:eastAsia="zh-CN"/>
        </w:rPr>
        <w:t>1. 定义与解释</w:t>
      </w:r>
      <w:r>
        <w:rPr>
          <w:color w:val="auto"/>
          <w:highlight w:val="none"/>
        </w:rPr>
        <w:tab/>
      </w:r>
      <w:r>
        <w:rPr>
          <w:color w:val="auto"/>
          <w:highlight w:val="none"/>
        </w:rPr>
        <w:fldChar w:fldCharType="begin"/>
      </w:r>
      <w:r>
        <w:rPr>
          <w:color w:val="auto"/>
          <w:highlight w:val="none"/>
        </w:rPr>
        <w:instrText xml:space="preserve"> PAGEREF _Toc21051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C3C56B2">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"_Toc16150"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1.1 定义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_Toc16150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i w:val="0"/>
          <w:iCs w:val="0"/>
          <w:color w:val="auto"/>
          <w:highlight w:val="none"/>
        </w:rPr>
        <w:fldChar w:fldCharType="end"/>
      </w:r>
    </w:p>
    <w:p w14:paraId="2883ED0A">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"_Toc27918"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1.2 解释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_Toc27918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i w:val="0"/>
          <w:iCs w:val="0"/>
          <w:color w:val="auto"/>
          <w:highlight w:val="none"/>
        </w:rPr>
        <w:fldChar w:fldCharType="end"/>
      </w:r>
    </w:p>
    <w:p w14:paraId="740DD45F">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"_Toc15672" </w:instrText>
      </w:r>
      <w:r>
        <w:rPr>
          <w:color w:val="auto"/>
          <w:highlight w:val="none"/>
        </w:rPr>
        <w:fldChar w:fldCharType="separate"/>
      </w:r>
      <w:r>
        <w:rPr>
          <w:rFonts w:hint="eastAsia" w:ascii="仿宋" w:hAnsi="仿宋" w:eastAsia="仿宋" w:cs="仿宋"/>
          <w:snapToGrid/>
          <w:color w:val="auto"/>
          <w:kern w:val="2"/>
          <w:szCs w:val="24"/>
          <w:highlight w:val="none"/>
          <w:lang w:eastAsia="zh-CN"/>
        </w:rPr>
        <w:t>2. 监理人的义务</w:t>
      </w:r>
      <w:r>
        <w:rPr>
          <w:color w:val="auto"/>
          <w:highlight w:val="none"/>
        </w:rPr>
        <w:tab/>
      </w:r>
      <w:r>
        <w:rPr>
          <w:color w:val="auto"/>
          <w:highlight w:val="none"/>
        </w:rPr>
        <w:fldChar w:fldCharType="begin"/>
      </w:r>
      <w:r>
        <w:rPr>
          <w:color w:val="auto"/>
          <w:highlight w:val="none"/>
        </w:rPr>
        <w:instrText xml:space="preserve"> PAGEREF _Toc15672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FA164F3">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"_Toc22391"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2.1 监理的范围和工作内容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_Toc22391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02404520">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"_Toc23991"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2.2 监理与相关服务依据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_Toc23991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132890B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"_Toc11374"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2.3 项目监理机构和人员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_Toc11374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574A80F2">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"_Toc14993"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2.4 履行职责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_Toc14993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14:paraId="22E0D484">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"_Toc1344"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2.5 提交报告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_Toc1344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14:paraId="5A99715D">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"_Toc23070"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2.6 文件资料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_Toc23070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7C41CC57">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"_Toc16437"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2.7 使用委托人的财产</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_Toc16437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5654331A">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"_Toc5515"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2.8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_Toc5515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71866705">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"_Toc7591" </w:instrText>
      </w:r>
      <w:r>
        <w:rPr>
          <w:color w:val="auto"/>
          <w:highlight w:val="none"/>
        </w:rPr>
        <w:fldChar w:fldCharType="separate"/>
      </w:r>
      <w:r>
        <w:rPr>
          <w:rFonts w:hint="eastAsia" w:ascii="仿宋" w:hAnsi="仿宋" w:eastAsia="仿宋" w:cs="仿宋"/>
          <w:snapToGrid/>
          <w:color w:val="auto"/>
          <w:kern w:val="2"/>
          <w:szCs w:val="24"/>
          <w:highlight w:val="none"/>
          <w:lang w:eastAsia="zh-CN"/>
        </w:rPr>
        <w:t>3．委托人的义务</w:t>
      </w:r>
      <w:r>
        <w:rPr>
          <w:color w:val="auto"/>
          <w:highlight w:val="none"/>
        </w:rPr>
        <w:tab/>
      </w:r>
      <w:r>
        <w:rPr>
          <w:color w:val="auto"/>
          <w:highlight w:val="none"/>
        </w:rPr>
        <w:fldChar w:fldCharType="begin"/>
      </w:r>
      <w:r>
        <w:rPr>
          <w:color w:val="auto"/>
          <w:highlight w:val="none"/>
        </w:rPr>
        <w:instrText xml:space="preserve"> PAGEREF _Toc7591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48B102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"_Toc20519"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3.1 告知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_Toc20519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440FF016">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"_Toc28318"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★3.2 提供资料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_Toc28318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7EDD0157">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"_Toc28164"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★3.3 提供工作条件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_Toc28164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25E16A6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"_Toc10595"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3.4 委托人代表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_Toc10595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71E8B7C7">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"_Toc11455"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3.5 委托人意见或要求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_Toc11455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68527FC3">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"_Toc7091"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3.6 答复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_Toc7091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42E5E75E">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"_Toc22380"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3.7 支付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_Toc22380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1C3379F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"_Toc28531"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3.8 支付担保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_Toc28531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43A0E67F">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"_Toc22263" </w:instrText>
      </w:r>
      <w:r>
        <w:rPr>
          <w:color w:val="auto"/>
          <w:highlight w:val="none"/>
        </w:rPr>
        <w:fldChar w:fldCharType="separate"/>
      </w:r>
      <w:r>
        <w:rPr>
          <w:rFonts w:hint="eastAsia" w:ascii="仿宋" w:hAnsi="仿宋" w:eastAsia="仿宋" w:cs="仿宋"/>
          <w:snapToGrid/>
          <w:color w:val="auto"/>
          <w:kern w:val="2"/>
          <w:szCs w:val="24"/>
          <w:highlight w:val="none"/>
          <w:lang w:eastAsia="zh-CN"/>
        </w:rPr>
        <w:t>4. 违约责任</w:t>
      </w:r>
      <w:r>
        <w:rPr>
          <w:color w:val="auto"/>
          <w:highlight w:val="none"/>
        </w:rPr>
        <w:tab/>
      </w:r>
      <w:r>
        <w:rPr>
          <w:color w:val="auto"/>
          <w:highlight w:val="none"/>
        </w:rPr>
        <w:fldChar w:fldCharType="begin"/>
      </w:r>
      <w:r>
        <w:rPr>
          <w:color w:val="auto"/>
          <w:highlight w:val="none"/>
        </w:rPr>
        <w:instrText xml:space="preserve"> PAGEREF _Toc22263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2AE764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"_Toc7699"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4.1 监理人的违约责任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_Toc7699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7CF9D86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"_Toc27257"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4.2 委托人的违约责任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_Toc27257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68C066A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"_Toc4101"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4.3 除外责任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_Toc4101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172E5904">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hint="eastAsia" w:ascii="仿宋" w:hAnsi="仿宋" w:eastAsia="仿宋" w:cs="仿宋"/>
          <w:snapToGrid/>
          <w:color w:val="auto"/>
          <w:kern w:val="2"/>
          <w:szCs w:val="24"/>
          <w:highlight w:val="none"/>
          <w:lang w:eastAsia="zh-CN"/>
        </w:rPr>
        <w:t>★5. 支付</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9249134">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"_Toc20723"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5.1 支付货币</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_Toc20723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04A063F6">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"_Toc7964"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5.2 支付申请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_Toc7964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14B3913B">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"_Toc18071"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★5.3 支付酬金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_Toc18071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59595B1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"_Toc6516"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5.4 有争议部分的付款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_Toc6516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60334E0F">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"_Toc1891" </w:instrText>
      </w:r>
      <w:r>
        <w:rPr>
          <w:color w:val="auto"/>
          <w:highlight w:val="none"/>
        </w:rPr>
        <w:fldChar w:fldCharType="separate"/>
      </w:r>
      <w:r>
        <w:rPr>
          <w:rFonts w:hint="eastAsia" w:ascii="仿宋" w:hAnsi="仿宋" w:eastAsia="仿宋" w:cs="仿宋"/>
          <w:snapToGrid/>
          <w:color w:val="auto"/>
          <w:kern w:val="2"/>
          <w:szCs w:val="24"/>
          <w:highlight w:val="none"/>
          <w:lang w:eastAsia="zh-CN"/>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921A6B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"_Toc691"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6.1 生效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_Toc691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25A0F2B4">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★6.2 变更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_Toc5980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730A282B">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"_Toc964"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★6.3 暂停与解除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_Toc964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14:paraId="4EFBB79B">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6.4 终止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_Toc17618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7062CCB6">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"_Toc7808" </w:instrText>
      </w:r>
      <w:r>
        <w:rPr>
          <w:color w:val="auto"/>
          <w:highlight w:val="none"/>
        </w:rPr>
        <w:fldChar w:fldCharType="separate"/>
      </w:r>
      <w:r>
        <w:rPr>
          <w:rFonts w:hint="eastAsia" w:ascii="仿宋" w:hAnsi="仿宋" w:eastAsia="仿宋" w:cs="仿宋"/>
          <w:snapToGrid/>
          <w:color w:val="auto"/>
          <w:kern w:val="2"/>
          <w:szCs w:val="24"/>
          <w:highlight w:val="none"/>
          <w:lang w:eastAsia="zh-CN"/>
        </w:rPr>
        <w:t>7. 争议解决</w:t>
      </w:r>
      <w:r>
        <w:rPr>
          <w:color w:val="auto"/>
          <w:highlight w:val="none"/>
        </w:rPr>
        <w:tab/>
      </w:r>
      <w:r>
        <w:rPr>
          <w:color w:val="auto"/>
          <w:highlight w:val="none"/>
        </w:rPr>
        <w:fldChar w:fldCharType="begin"/>
      </w:r>
      <w:r>
        <w:rPr>
          <w:color w:val="auto"/>
          <w:highlight w:val="none"/>
        </w:rPr>
        <w:instrText xml:space="preserve"> PAGEREF _Toc7808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2F6E6EA">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"_Toc27617"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7.1 协商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_Toc27617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7C9B3FE">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7.2 调解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_Toc8626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6401551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"_Toc24277"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7.3 仲裁或诉讼</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_Toc24277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528FA635">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"_Toc8794" </w:instrText>
      </w:r>
      <w:r>
        <w:rPr>
          <w:color w:val="auto"/>
          <w:highlight w:val="none"/>
        </w:rPr>
        <w:fldChar w:fldCharType="separate"/>
      </w:r>
      <w:r>
        <w:rPr>
          <w:rFonts w:hint="eastAsia" w:ascii="仿宋" w:hAnsi="仿宋" w:eastAsia="仿宋" w:cs="仿宋"/>
          <w:snapToGrid/>
          <w:color w:val="auto"/>
          <w:kern w:val="2"/>
          <w:szCs w:val="24"/>
          <w:highlight w:val="none"/>
          <w:lang w:eastAsia="zh-CN"/>
        </w:rPr>
        <w:t>8. 其他</w:t>
      </w:r>
      <w:r>
        <w:rPr>
          <w:color w:val="auto"/>
          <w:highlight w:val="none"/>
        </w:rPr>
        <w:tab/>
      </w:r>
      <w:r>
        <w:rPr>
          <w:color w:val="auto"/>
          <w:highlight w:val="none"/>
        </w:rPr>
        <w:fldChar w:fldCharType="begin"/>
      </w:r>
      <w:r>
        <w:rPr>
          <w:color w:val="auto"/>
          <w:highlight w:val="none"/>
        </w:rPr>
        <w:instrText xml:space="preserve"> PAGEREF _Toc8794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7A6534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"_Toc25328"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8.1 外出考察费用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_Toc25328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2231918">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"_Toc19438"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8.2 检测费用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_Toc19438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4C8A3749">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"_Toc27684"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8.3 咨询费用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_Toc27684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A3389E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"_Toc10146"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8.4 奖励</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_Toc10146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42AD19F3">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"_Toc22453"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8.5 守法诚信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_Toc22453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4A7E66BE">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"_Toc15111"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_Toc15111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10A51A26">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"_Toc9445"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8.7 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_Toc9445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4AD2B74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"_Toc8313"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8.8 著作权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_Toc8313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68A4400D">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"_Toc25631"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8.9 工程获奖奖励</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_Toc25631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0F45E956">
      <w:pPr>
        <w:pStyle w:val="13"/>
        <w:tabs>
          <w:tab w:val="right" w:leader="dot" w:pos="9072"/>
        </w:tabs>
        <w:rPr>
          <w:color w:val="auto"/>
          <w:highlight w:val="none"/>
        </w:rPr>
      </w:pPr>
      <w:r>
        <w:rPr>
          <w:color w:val="auto"/>
          <w:highlight w:val="none"/>
        </w:rPr>
        <w:fldChar w:fldCharType="begin"/>
      </w:r>
      <w:r>
        <w:rPr>
          <w:color w:val="auto"/>
          <w:highlight w:val="none"/>
        </w:rPr>
        <w:instrText xml:space="preserve"> HYPERLINK \l "_Toc4155" </w:instrText>
      </w:r>
      <w:r>
        <w:rPr>
          <w:color w:val="auto"/>
          <w:highlight w:val="none"/>
        </w:rPr>
        <w:fldChar w:fldCharType="separate"/>
      </w:r>
      <w:r>
        <w:rPr>
          <w:color w:val="auto"/>
          <w:spacing w:val="8"/>
          <w:szCs w:val="35"/>
          <w:highlight w:val="none"/>
          <w14:textOutline w14:w="6540" w14:cap="sq" w14:cmpd="sng" w14:algn="ctr">
            <w14:solidFill>
              <w14:srgbClr w14:val="000000"/>
            </w14:solidFill>
            <w14:prstDash w14:val="solid"/>
            <w14:bevel/>
          </w14:textOutline>
        </w:rPr>
        <w:t>第三部分</w:t>
      </w:r>
      <w:r>
        <w:rPr>
          <w:color w:val="auto"/>
          <w:spacing w:val="8"/>
          <w:szCs w:val="35"/>
          <w:highlight w:val="none"/>
        </w:rPr>
        <w:t xml:space="preserve">  </w:t>
      </w:r>
      <w:r>
        <w:rPr>
          <w:color w:val="auto"/>
          <w:spacing w:val="8"/>
          <w:szCs w:val="35"/>
          <w:highlight w:val="none"/>
          <w14:textOutline w14:w="6540" w14:cap="sq" w14:cmpd="sng" w14:algn="ctr">
            <w14:solidFill>
              <w14:srgbClr w14:val="000000"/>
            </w14:solidFill>
            <w14:prstDash w14:val="solid"/>
            <w14:bevel/>
          </w14:textOutline>
        </w:rPr>
        <w:t>专用条款</w:t>
      </w:r>
      <w:r>
        <w:rPr>
          <w:color w:val="auto"/>
          <w:highlight w:val="none"/>
        </w:rPr>
        <w:tab/>
      </w:r>
      <w:r>
        <w:rPr>
          <w:color w:val="auto"/>
          <w:highlight w:val="none"/>
        </w:rPr>
        <w:fldChar w:fldCharType="begin"/>
      </w:r>
      <w:r>
        <w:rPr>
          <w:color w:val="auto"/>
          <w:highlight w:val="none"/>
        </w:rPr>
        <w:instrText xml:space="preserve"> PAGEREF _Toc4155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536186D">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"_Toc6190" </w:instrText>
      </w:r>
      <w:r>
        <w:rPr>
          <w:color w:val="auto"/>
          <w:highlight w:val="none"/>
        </w:rPr>
        <w:fldChar w:fldCharType="separate"/>
      </w:r>
      <w:r>
        <w:rPr>
          <w:rFonts w:hint="eastAsia" w:ascii="仿宋" w:hAnsi="仿宋" w:eastAsia="仿宋" w:cs="仿宋"/>
          <w:snapToGrid/>
          <w:color w:val="auto"/>
          <w:kern w:val="2"/>
          <w:szCs w:val="24"/>
          <w:highlight w:val="none"/>
          <w:lang w:eastAsia="zh-CN"/>
        </w:rPr>
        <w:t>1. 定义与解释</w:t>
      </w:r>
      <w:r>
        <w:rPr>
          <w:color w:val="auto"/>
          <w:highlight w:val="none"/>
        </w:rPr>
        <w:tab/>
      </w:r>
      <w:r>
        <w:rPr>
          <w:color w:val="auto"/>
          <w:highlight w:val="none"/>
        </w:rPr>
        <w:fldChar w:fldCharType="begin"/>
      </w:r>
      <w:r>
        <w:rPr>
          <w:color w:val="auto"/>
          <w:highlight w:val="none"/>
        </w:rPr>
        <w:instrText xml:space="preserve"> PAGEREF _Toc6190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E72B8B9">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"_Toc18224"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1.2 解释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_Toc18224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375705A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"_Toc25225"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 监理人义务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_Toc25225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247D29E8">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"_Toc24718"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2.2 监理与相关服务依据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_Toc24718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i w:val="0"/>
          <w:iCs w:val="0"/>
          <w:color w:val="auto"/>
          <w:highlight w:val="none"/>
        </w:rPr>
        <w:fldChar w:fldCharType="end"/>
      </w:r>
    </w:p>
    <w:p w14:paraId="2A8B1F9B">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"_Toc23237"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2.3 项目监理机构和人员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_Toc23237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i w:val="0"/>
          <w:iCs w:val="0"/>
          <w:color w:val="auto"/>
          <w:highlight w:val="none"/>
        </w:rPr>
        <w:fldChar w:fldCharType="end"/>
      </w:r>
    </w:p>
    <w:p w14:paraId="1CE71EB6">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"_Toc8704"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2.4 履行职责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_Toc8704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i w:val="0"/>
          <w:iCs w:val="0"/>
          <w:color w:val="auto"/>
          <w:highlight w:val="none"/>
        </w:rPr>
        <w:fldChar w:fldCharType="end"/>
      </w:r>
    </w:p>
    <w:p w14:paraId="59EA6758">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"_Toc12954"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2.5 提交报告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_Toc12954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i w:val="0"/>
          <w:iCs w:val="0"/>
          <w:color w:val="auto"/>
          <w:highlight w:val="none"/>
        </w:rPr>
        <w:fldChar w:fldCharType="end"/>
      </w:r>
    </w:p>
    <w:p w14:paraId="44429D1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"_Toc30233"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2.6 文件资料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_Toc30233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i w:val="0"/>
          <w:iCs w:val="0"/>
          <w:color w:val="auto"/>
          <w:highlight w:val="none"/>
        </w:rPr>
        <w:fldChar w:fldCharType="end"/>
      </w:r>
    </w:p>
    <w:p w14:paraId="5A65C6F8">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"_Toc4906"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2.7 使用委托人的财产</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_Toc4906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i w:val="0"/>
          <w:iCs w:val="0"/>
          <w:color w:val="auto"/>
          <w:highlight w:val="none"/>
        </w:rPr>
        <w:fldChar w:fldCharType="end"/>
      </w:r>
    </w:p>
    <w:p w14:paraId="596FF0BD">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"_Toc28412"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2.8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_Toc28412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i w:val="0"/>
          <w:iCs w:val="0"/>
          <w:color w:val="auto"/>
          <w:highlight w:val="none"/>
        </w:rPr>
        <w:fldChar w:fldCharType="end"/>
      </w:r>
    </w:p>
    <w:p w14:paraId="7E1BE40E">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"_Toc17769" </w:instrText>
      </w:r>
      <w:r>
        <w:rPr>
          <w:color w:val="auto"/>
          <w:highlight w:val="none"/>
        </w:rPr>
        <w:fldChar w:fldCharType="separate"/>
      </w:r>
      <w:r>
        <w:rPr>
          <w:rFonts w:hint="eastAsia" w:ascii="仿宋" w:hAnsi="仿宋" w:eastAsia="仿宋" w:cs="仿宋"/>
          <w:snapToGrid/>
          <w:color w:val="auto"/>
          <w:kern w:val="2"/>
          <w:szCs w:val="24"/>
          <w:highlight w:val="none"/>
          <w:lang w:eastAsia="zh-CN"/>
        </w:rPr>
        <w:t>3.委托人义务</w:t>
      </w:r>
      <w:r>
        <w:rPr>
          <w:color w:val="auto"/>
          <w:highlight w:val="none"/>
        </w:rPr>
        <w:tab/>
      </w:r>
      <w:r>
        <w:rPr>
          <w:color w:val="auto"/>
          <w:highlight w:val="none"/>
        </w:rPr>
        <w:fldChar w:fldCharType="begin"/>
      </w:r>
      <w:r>
        <w:rPr>
          <w:color w:val="auto"/>
          <w:highlight w:val="none"/>
        </w:rPr>
        <w:instrText xml:space="preserve"> PAGEREF _Toc17769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9C6FCF9">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"_Toc15269"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3.1提供工作条件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_Toc15269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i w:val="0"/>
          <w:iCs w:val="0"/>
          <w:color w:val="auto"/>
          <w:highlight w:val="none"/>
        </w:rPr>
        <w:fldChar w:fldCharType="end"/>
      </w:r>
    </w:p>
    <w:p w14:paraId="2BA048C1">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"_Toc1751"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3.2委托人代表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_Toc1751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i w:val="0"/>
          <w:iCs w:val="0"/>
          <w:color w:val="auto"/>
          <w:highlight w:val="none"/>
        </w:rPr>
        <w:fldChar w:fldCharType="end"/>
      </w:r>
    </w:p>
    <w:p w14:paraId="434934A1">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"_Toc3139"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3.3答复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_Toc3139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i w:val="0"/>
          <w:iCs w:val="0"/>
          <w:color w:val="auto"/>
          <w:highlight w:val="none"/>
        </w:rPr>
        <w:fldChar w:fldCharType="end"/>
      </w:r>
    </w:p>
    <w:p w14:paraId="51B81A2F">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"_Toc13541"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3.4支付担保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_Toc13541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i w:val="0"/>
          <w:iCs w:val="0"/>
          <w:color w:val="auto"/>
          <w:highlight w:val="none"/>
        </w:rPr>
        <w:fldChar w:fldCharType="end"/>
      </w:r>
    </w:p>
    <w:p w14:paraId="2ADA1893">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"_Toc1656" </w:instrText>
      </w:r>
      <w:r>
        <w:rPr>
          <w:color w:val="auto"/>
          <w:highlight w:val="none"/>
        </w:rPr>
        <w:fldChar w:fldCharType="separate"/>
      </w:r>
      <w:r>
        <w:rPr>
          <w:rFonts w:hint="eastAsia" w:ascii="仿宋" w:hAnsi="仿宋" w:eastAsia="仿宋" w:cs="仿宋"/>
          <w:snapToGrid/>
          <w:color w:val="auto"/>
          <w:kern w:val="2"/>
          <w:szCs w:val="24"/>
          <w:highlight w:val="none"/>
          <w:lang w:eastAsia="zh-CN"/>
        </w:rPr>
        <w:t>4. 违约责任</w:t>
      </w:r>
      <w:r>
        <w:rPr>
          <w:color w:val="auto"/>
          <w:highlight w:val="none"/>
        </w:rPr>
        <w:tab/>
      </w:r>
      <w:r>
        <w:rPr>
          <w:color w:val="auto"/>
          <w:highlight w:val="none"/>
        </w:rPr>
        <w:fldChar w:fldCharType="begin"/>
      </w:r>
      <w:r>
        <w:rPr>
          <w:color w:val="auto"/>
          <w:highlight w:val="none"/>
        </w:rPr>
        <w:instrText xml:space="preserve"> PAGEREF _Toc1656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DCDEC18">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"_Toc3270"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★4.1 监理人的违约责任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_Toc3270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i w:val="0"/>
          <w:iCs w:val="0"/>
          <w:color w:val="auto"/>
          <w:highlight w:val="none"/>
        </w:rPr>
        <w:fldChar w:fldCharType="end"/>
      </w:r>
    </w:p>
    <w:p w14:paraId="7F0FA301">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"_Toc12410"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★4.2 委托人的违约责任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_Toc12410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i w:val="0"/>
          <w:iCs w:val="0"/>
          <w:color w:val="auto"/>
          <w:highlight w:val="none"/>
        </w:rPr>
        <w:fldChar w:fldCharType="end"/>
      </w:r>
    </w:p>
    <w:p w14:paraId="2158F887">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"_Toc27253" </w:instrText>
      </w:r>
      <w:r>
        <w:rPr>
          <w:color w:val="auto"/>
          <w:highlight w:val="none"/>
        </w:rPr>
        <w:fldChar w:fldCharType="separate"/>
      </w:r>
      <w:r>
        <w:rPr>
          <w:rFonts w:hint="eastAsia" w:ascii="仿宋" w:hAnsi="仿宋" w:eastAsia="仿宋" w:cs="仿宋"/>
          <w:snapToGrid/>
          <w:color w:val="auto"/>
          <w:kern w:val="2"/>
          <w:szCs w:val="24"/>
          <w:highlight w:val="none"/>
          <w:lang w:eastAsia="zh-CN"/>
        </w:rPr>
        <w:t>★5. 支付</w:t>
      </w:r>
      <w:r>
        <w:rPr>
          <w:color w:val="auto"/>
          <w:highlight w:val="none"/>
        </w:rPr>
        <w:tab/>
      </w:r>
      <w:r>
        <w:rPr>
          <w:color w:val="auto"/>
          <w:highlight w:val="none"/>
        </w:rPr>
        <w:fldChar w:fldCharType="begin"/>
      </w:r>
      <w:r>
        <w:rPr>
          <w:color w:val="auto"/>
          <w:highlight w:val="none"/>
        </w:rPr>
        <w:instrText xml:space="preserve"> PAGEREF _Toc27253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83F7BDA">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"_Toc12911"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5.1 支付货币</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_Toc12911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i w:val="0"/>
          <w:iCs w:val="0"/>
          <w:color w:val="auto"/>
          <w:highlight w:val="none"/>
        </w:rPr>
        <w:fldChar w:fldCharType="end"/>
      </w:r>
    </w:p>
    <w:p w14:paraId="55DDFED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"_Toc2356"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★5.3 支付酬金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_Toc2356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i w:val="0"/>
          <w:iCs w:val="0"/>
          <w:color w:val="auto"/>
          <w:highlight w:val="none"/>
        </w:rPr>
        <w:fldChar w:fldCharType="end"/>
      </w:r>
    </w:p>
    <w:p w14:paraId="73260F62">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"_Toc17485" </w:instrText>
      </w:r>
      <w:r>
        <w:rPr>
          <w:color w:val="auto"/>
          <w:highlight w:val="none"/>
        </w:rPr>
        <w:fldChar w:fldCharType="separate"/>
      </w:r>
      <w:r>
        <w:rPr>
          <w:rFonts w:hint="eastAsia" w:ascii="仿宋" w:hAnsi="仿宋" w:eastAsia="仿宋" w:cs="仿宋"/>
          <w:snapToGrid/>
          <w:color w:val="auto"/>
          <w:kern w:val="2"/>
          <w:szCs w:val="24"/>
          <w:highlight w:val="none"/>
          <w:lang w:eastAsia="zh-CN"/>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_Toc17485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DAECB93">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"_Toc22181"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6.1 生效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_Toc22181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14:paraId="7487490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"_Toc1861"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★6.2 变更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_Toc1861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14:paraId="31284444">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"_Toc3422" </w:instrText>
      </w:r>
      <w:r>
        <w:rPr>
          <w:color w:val="auto"/>
          <w:highlight w:val="none"/>
        </w:rPr>
        <w:fldChar w:fldCharType="separate"/>
      </w:r>
      <w:r>
        <w:rPr>
          <w:rFonts w:hint="eastAsia" w:ascii="仿宋" w:hAnsi="仿宋" w:eastAsia="仿宋" w:cs="仿宋"/>
          <w:snapToGrid/>
          <w:color w:val="auto"/>
          <w:kern w:val="2"/>
          <w:szCs w:val="24"/>
          <w:highlight w:val="none"/>
          <w:lang w:eastAsia="zh-CN"/>
        </w:rPr>
        <w:t>7. 争议解决</w:t>
      </w:r>
      <w:r>
        <w:rPr>
          <w:color w:val="auto"/>
          <w:highlight w:val="none"/>
        </w:rPr>
        <w:tab/>
      </w:r>
      <w:r>
        <w:rPr>
          <w:color w:val="auto"/>
          <w:highlight w:val="none"/>
        </w:rPr>
        <w:fldChar w:fldCharType="begin"/>
      </w:r>
      <w:r>
        <w:rPr>
          <w:color w:val="auto"/>
          <w:highlight w:val="none"/>
        </w:rPr>
        <w:instrText xml:space="preserve"> PAGEREF _Toc3422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80B2A55">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"_Toc1619"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7.2 调解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_Toc1619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2F8438A0">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"_Toc16424"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7.3 仲裁或诉讼</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_Toc16424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07D807DD">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"_Toc4415" </w:instrText>
      </w:r>
      <w:r>
        <w:rPr>
          <w:color w:val="auto"/>
          <w:highlight w:val="none"/>
        </w:rPr>
        <w:fldChar w:fldCharType="separate"/>
      </w:r>
      <w:r>
        <w:rPr>
          <w:rFonts w:hint="eastAsia" w:ascii="仿宋" w:hAnsi="仿宋" w:eastAsia="仿宋" w:cs="仿宋"/>
          <w:snapToGrid/>
          <w:color w:val="auto"/>
          <w:kern w:val="2"/>
          <w:szCs w:val="24"/>
          <w:highlight w:val="none"/>
          <w:lang w:eastAsia="zh-CN"/>
        </w:rPr>
        <w:t>8. 其他</w:t>
      </w:r>
      <w:r>
        <w:rPr>
          <w:color w:val="auto"/>
          <w:highlight w:val="none"/>
        </w:rPr>
        <w:tab/>
      </w:r>
      <w:r>
        <w:rPr>
          <w:color w:val="auto"/>
          <w:highlight w:val="none"/>
        </w:rPr>
        <w:fldChar w:fldCharType="begin"/>
      </w:r>
      <w:r>
        <w:rPr>
          <w:color w:val="auto"/>
          <w:highlight w:val="none"/>
        </w:rPr>
        <w:instrText xml:space="preserve"> PAGEREF _Toc4415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72616792">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"_Toc7208"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8.2 检测费用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_Toc7208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0D77B331">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8.3 咨询费用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_Toc21265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462561AB">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"_Toc28892"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8.4 奖励</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_Toc28892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4D57ABAC">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"_Toc13211"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_Toc13211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50ABDFA9">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"_Toc11245"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8.8 著作权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_Toc11245 \h </w:instrText>
      </w:r>
      <w:r>
        <w:rPr>
          <w:i w:val="0"/>
          <w:iCs w:val="0"/>
          <w:color w:val="auto"/>
          <w:highlight w:val="none"/>
        </w:rPr>
        <w:fldChar w:fldCharType="separate"/>
      </w:r>
      <w:r>
        <w:rPr>
          <w:i w:val="0"/>
          <w:iCs w:val="0"/>
          <w:color w:val="auto"/>
          <w:highlight w:val="none"/>
        </w:rPr>
        <w:t>42</w:t>
      </w:r>
      <w:r>
        <w:rPr>
          <w:i w:val="0"/>
          <w:iCs w:val="0"/>
          <w:color w:val="auto"/>
          <w:highlight w:val="none"/>
        </w:rPr>
        <w:fldChar w:fldCharType="end"/>
      </w:r>
      <w:r>
        <w:rPr>
          <w:i w:val="0"/>
          <w:iCs w:val="0"/>
          <w:color w:val="auto"/>
          <w:highlight w:val="none"/>
        </w:rPr>
        <w:fldChar w:fldCharType="end"/>
      </w:r>
    </w:p>
    <w:p w14:paraId="47C962F0">
      <w:pPr>
        <w:pStyle w:val="9"/>
        <w:tabs>
          <w:tab w:val="right" w:leader="dot" w:pos="9072"/>
        </w:tabs>
        <w:rPr>
          <w:i w:val="0"/>
          <w:iCs w:val="0"/>
          <w:color w:val="auto"/>
          <w:highlight w:val="none"/>
        </w:rPr>
      </w:pPr>
      <w:r>
        <w:rPr>
          <w:color w:val="auto"/>
          <w:highlight w:val="none"/>
        </w:rPr>
        <w:fldChar w:fldCharType="begin"/>
      </w:r>
      <w:r>
        <w:rPr>
          <w:color w:val="auto"/>
          <w:highlight w:val="none"/>
        </w:rPr>
        <w:instrText xml:space="preserve"> HYPERLINK \l "_Toc635"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8.9 工程获奖奖励</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_Toc635 \h </w:instrText>
      </w:r>
      <w:r>
        <w:rPr>
          <w:i w:val="0"/>
          <w:iCs w:val="0"/>
          <w:color w:val="auto"/>
          <w:highlight w:val="none"/>
        </w:rPr>
        <w:fldChar w:fldCharType="separate"/>
      </w:r>
      <w:r>
        <w:rPr>
          <w:i w:val="0"/>
          <w:iCs w:val="0"/>
          <w:color w:val="auto"/>
          <w:highlight w:val="none"/>
        </w:rPr>
        <w:t>42</w:t>
      </w:r>
      <w:r>
        <w:rPr>
          <w:i w:val="0"/>
          <w:iCs w:val="0"/>
          <w:color w:val="auto"/>
          <w:highlight w:val="none"/>
        </w:rPr>
        <w:fldChar w:fldCharType="end"/>
      </w:r>
      <w:r>
        <w:rPr>
          <w:i w:val="0"/>
          <w:iCs w:val="0"/>
          <w:color w:val="auto"/>
          <w:highlight w:val="none"/>
        </w:rPr>
        <w:fldChar w:fldCharType="end"/>
      </w:r>
    </w:p>
    <w:p w14:paraId="6BFD39AD">
      <w:pPr>
        <w:pStyle w:val="14"/>
        <w:tabs>
          <w:tab w:val="right" w:leader="dot" w:pos="9072"/>
        </w:tabs>
        <w:rPr>
          <w:color w:val="auto"/>
          <w:highlight w:val="none"/>
        </w:rPr>
      </w:pPr>
      <w:r>
        <w:rPr>
          <w:color w:val="auto"/>
          <w:highlight w:val="none"/>
        </w:rPr>
        <w:fldChar w:fldCharType="begin"/>
      </w:r>
      <w:r>
        <w:rPr>
          <w:color w:val="auto"/>
          <w:highlight w:val="none"/>
        </w:rPr>
        <w:instrText xml:space="preserve"> HYPERLINK \l "_Toc31923" </w:instrText>
      </w:r>
      <w:r>
        <w:rPr>
          <w:color w:val="auto"/>
          <w:highlight w:val="none"/>
        </w:rPr>
        <w:fldChar w:fldCharType="separate"/>
      </w:r>
      <w:r>
        <w:rPr>
          <w:rFonts w:hint="eastAsia" w:ascii="仿宋" w:hAnsi="仿宋" w:eastAsia="仿宋" w:cs="仿宋"/>
          <w:snapToGrid/>
          <w:color w:val="auto"/>
          <w:kern w:val="2"/>
          <w:szCs w:val="24"/>
          <w:highlight w:val="none"/>
          <w:lang w:eastAsia="zh-CN"/>
        </w:rPr>
        <w:t>9. 补充条款</w:t>
      </w:r>
      <w:r>
        <w:rPr>
          <w:color w:val="auto"/>
          <w:highlight w:val="none"/>
        </w:rPr>
        <w:tab/>
      </w:r>
      <w:r>
        <w:rPr>
          <w:color w:val="auto"/>
          <w:highlight w:val="none"/>
        </w:rPr>
        <w:fldChar w:fldCharType="begin"/>
      </w:r>
      <w:r>
        <w:rPr>
          <w:color w:val="auto"/>
          <w:highlight w:val="none"/>
        </w:rPr>
        <w:instrText xml:space="preserve"> PAGEREF _Toc31923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EB248EE">
      <w:pPr>
        <w:pStyle w:val="9"/>
        <w:tabs>
          <w:tab w:val="right" w:leader="dot" w:pos="9072"/>
        </w:tabs>
        <w:rPr>
          <w:color w:val="auto"/>
          <w:highlight w:val="none"/>
        </w:rPr>
      </w:pPr>
      <w:r>
        <w:rPr>
          <w:color w:val="auto"/>
          <w:highlight w:val="none"/>
        </w:rPr>
        <w:fldChar w:fldCharType="begin"/>
      </w:r>
      <w:r>
        <w:rPr>
          <w:color w:val="auto"/>
          <w:highlight w:val="none"/>
        </w:rPr>
        <w:instrText xml:space="preserve"> HYPERLINK \l "_Toc7955" </w:instrText>
      </w:r>
      <w:r>
        <w:rPr>
          <w:color w:val="auto"/>
          <w:highlight w:val="none"/>
        </w:rPr>
        <w:fldChar w:fldCharType="separate"/>
      </w:r>
      <w:r>
        <w:rPr>
          <w:rFonts w:hint="eastAsia" w:ascii="仿宋" w:hAnsi="仿宋" w:eastAsia="仿宋" w:cs="Times New Roman"/>
          <w:i w:val="0"/>
          <w:iCs w:val="0"/>
          <w:snapToGrid/>
          <w:color w:val="auto"/>
          <w:kern w:val="2"/>
          <w:szCs w:val="24"/>
          <w:highlight w:val="none"/>
          <w:lang w:eastAsia="zh-CN"/>
        </w:rPr>
        <w:t>9.1 监理人保险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_Toc7955 \h </w:instrText>
      </w:r>
      <w:r>
        <w:rPr>
          <w:i w:val="0"/>
          <w:iCs w:val="0"/>
          <w:color w:val="auto"/>
          <w:highlight w:val="none"/>
        </w:rPr>
        <w:fldChar w:fldCharType="separate"/>
      </w:r>
      <w:r>
        <w:rPr>
          <w:i w:val="0"/>
          <w:iCs w:val="0"/>
          <w:color w:val="auto"/>
          <w:highlight w:val="none"/>
        </w:rPr>
        <w:t>42</w:t>
      </w:r>
      <w:r>
        <w:rPr>
          <w:i w:val="0"/>
          <w:iCs w:val="0"/>
          <w:color w:val="auto"/>
          <w:highlight w:val="none"/>
        </w:rPr>
        <w:fldChar w:fldCharType="end"/>
      </w:r>
      <w:r>
        <w:rPr>
          <w:i w:val="0"/>
          <w:iCs w:val="0"/>
          <w:color w:val="auto"/>
          <w:highlight w:val="none"/>
        </w:rPr>
        <w:fldChar w:fldCharType="end"/>
      </w:r>
    </w:p>
    <w:p w14:paraId="560F5DEF">
      <w:pPr>
        <w:pStyle w:val="13"/>
        <w:tabs>
          <w:tab w:val="right" w:leader="dot" w:pos="9072"/>
        </w:tabs>
        <w:rPr>
          <w:color w:val="auto"/>
          <w:highlight w:val="none"/>
        </w:rPr>
      </w:pPr>
    </w:p>
    <w:p w14:paraId="1328B300">
      <w:pPr>
        <w:tabs>
          <w:tab w:val="left" w:pos="3120"/>
        </w:tabs>
        <w:kinsoku/>
        <w:spacing w:line="360" w:lineRule="auto"/>
        <w:ind w:firstLine="2220" w:firstLineChars="600"/>
        <w:jc w:val="both"/>
        <w:rPr>
          <w:rFonts w:ascii="Times New Roman" w:hAnsi="Times New Roman" w:eastAsia="华文中宋" w:cs="Times New Roman"/>
          <w:caps/>
          <w:color w:val="auto"/>
          <w:spacing w:val="80"/>
          <w:sz w:val="28"/>
          <w:szCs w:val="28"/>
          <w:highlight w:val="none"/>
        </w:rPr>
        <w:sectPr>
          <w:footerReference r:id="rId4" w:type="first"/>
          <w:footerReference r:id="rId3" w:type="default"/>
          <w:pgSz w:w="11906" w:h="16838"/>
          <w:pgMar w:top="1134" w:right="1417" w:bottom="1361" w:left="1417" w:header="0" w:footer="1202" w:gutter="0"/>
          <w:pgNumType w:start="0"/>
          <w:cols w:space="0" w:num="1"/>
          <w:docGrid w:linePitch="312" w:charSpace="0"/>
        </w:sectPr>
      </w:pPr>
      <w:r>
        <w:rPr>
          <w:rFonts w:ascii="Times New Roman" w:hAnsi="Times New Roman" w:cs="Times New Roman"/>
          <w:caps/>
          <w:color w:val="auto"/>
          <w:spacing w:val="80"/>
          <w:highlight w:val="none"/>
        </w:rPr>
        <w:fldChar w:fldCharType="end"/>
      </w:r>
    </w:p>
    <w:p w14:paraId="7A772B4E">
      <w:pPr>
        <w:rPr>
          <w:color w:val="auto"/>
          <w:highlight w:val="none"/>
          <w:lang w:eastAsia="zh-CN"/>
        </w:rPr>
      </w:pPr>
    </w:p>
    <w:p w14:paraId="1B6216F7">
      <w:pPr>
        <w:pStyle w:val="3"/>
        <w:kinsoku/>
        <w:autoSpaceDE/>
        <w:autoSpaceDN/>
        <w:adjustRightInd/>
        <w:snapToGrid/>
        <w:spacing w:line="240" w:lineRule="auto"/>
        <w:jc w:val="center"/>
        <w:textAlignment w:val="auto"/>
        <w:rPr>
          <w:color w:val="auto"/>
          <w:sz w:val="21"/>
          <w:highlight w:val="none"/>
          <w:lang w:eastAsia="zh-CN"/>
        </w:rPr>
      </w:pPr>
      <w:bookmarkStart w:id="0" w:name="bookmark1"/>
      <w:bookmarkEnd w:id="0"/>
      <w:bookmarkStart w:id="1" w:name="_Toc16270"/>
      <w:r>
        <w:rPr>
          <w:rFonts w:hint="eastAsia" w:ascii="宋体" w:hAnsi="宋体" w:eastAsia="宋体" w:cs="Times New Roman"/>
          <w:snapToGrid/>
          <w:color w:val="auto"/>
          <w:kern w:val="2"/>
          <w:sz w:val="36"/>
          <w:szCs w:val="22"/>
          <w:highlight w:val="none"/>
          <w:lang w:eastAsia="zh-CN"/>
        </w:rPr>
        <w:t>第一部分  协议书</w:t>
      </w:r>
      <w:bookmarkEnd w:id="1"/>
    </w:p>
    <w:p w14:paraId="3198C0FE">
      <w:pPr>
        <w:kinsoku/>
        <w:spacing w:line="250" w:lineRule="auto"/>
        <w:jc w:val="both"/>
        <w:rPr>
          <w:color w:val="auto"/>
          <w:highlight w:val="none"/>
          <w:lang w:eastAsia="zh-CN"/>
        </w:rPr>
      </w:pPr>
    </w:p>
    <w:p w14:paraId="25FF3F8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委托人（甲方）：</w:t>
      </w:r>
      <w:r>
        <w:rPr>
          <w:rFonts w:hint="eastAsia" w:ascii="仿宋" w:hAnsi="仿宋" w:eastAsia="仿宋" w:cs="Times New Roman"/>
          <w:snapToGrid/>
          <w:color w:val="auto"/>
          <w:kern w:val="2"/>
          <w:sz w:val="24"/>
          <w:szCs w:val="24"/>
          <w:highlight w:val="none"/>
          <w:u w:val="single"/>
          <w:lang w:eastAsia="zh-CN"/>
        </w:rPr>
        <w:t>广州市增城区城苑投资发展有限公司</w:t>
      </w:r>
      <w:r>
        <w:rPr>
          <w:rFonts w:hint="eastAsia" w:ascii="仿宋" w:hAnsi="仿宋" w:eastAsia="仿宋" w:cs="Times New Roman"/>
          <w:snapToGrid/>
          <w:color w:val="auto"/>
          <w:kern w:val="2"/>
          <w:sz w:val="24"/>
          <w:szCs w:val="24"/>
          <w:highlight w:val="none"/>
          <w:lang w:eastAsia="zh-CN"/>
        </w:rPr>
        <w:t xml:space="preserve">  </w:t>
      </w:r>
    </w:p>
    <w:p w14:paraId="63F7C19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监理人（乙方）：</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w:t>
      </w:r>
    </w:p>
    <w:p w14:paraId="7BAB3A6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经公开招标 ，确定</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为</w:t>
      </w:r>
      <w:r>
        <w:rPr>
          <w:rFonts w:hint="eastAsia" w:ascii="仿宋" w:hAnsi="仿宋" w:eastAsia="仿宋" w:cs="Times New Roman"/>
          <w:snapToGrid/>
          <w:color w:val="auto"/>
          <w:kern w:val="2"/>
          <w:sz w:val="24"/>
          <w:szCs w:val="24"/>
          <w:highlight w:val="none"/>
          <w:u w:val="single"/>
          <w:lang w:eastAsia="zh-CN"/>
        </w:rPr>
        <w:t>广州市增城区荔湖街新城大道东18005200A24018号地块建设项目监理服务</w:t>
      </w:r>
      <w:r>
        <w:rPr>
          <w:rFonts w:hint="eastAsia" w:ascii="仿宋" w:hAnsi="仿宋" w:eastAsia="仿宋" w:cs="Times New Roman"/>
          <w:snapToGrid/>
          <w:color w:val="auto"/>
          <w:kern w:val="2"/>
          <w:sz w:val="24"/>
          <w:szCs w:val="24"/>
          <w:highlight w:val="none"/>
          <w:lang w:eastAsia="zh-CN"/>
        </w:rPr>
        <w:t>中标单位。</w:t>
      </w:r>
    </w:p>
    <w:p w14:paraId="2BEC6B5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根据《中华人民共和国民法典》《中华人民共和国建筑法》及其他有关法律、法规、规章和政策，遵循平等、自愿、公平和诚信的原则，为了明确双方责任，结合本工程的具体情况，特签订本监理合同。</w:t>
      </w:r>
    </w:p>
    <w:p w14:paraId="59EE787A">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2" w:name="bookmark2"/>
      <w:bookmarkEnd w:id="2"/>
      <w:bookmarkStart w:id="3" w:name="_Toc6422"/>
      <w:r>
        <w:rPr>
          <w:rFonts w:hint="eastAsia" w:ascii="仿宋" w:hAnsi="仿宋" w:eastAsia="仿宋" w:cs="仿宋"/>
          <w:snapToGrid/>
          <w:color w:val="auto"/>
          <w:kern w:val="2"/>
          <w:sz w:val="24"/>
          <w:szCs w:val="24"/>
          <w:highlight w:val="none"/>
          <w:lang w:eastAsia="zh-CN"/>
        </w:rPr>
        <w:t>一、工程概况</w:t>
      </w:r>
      <w:bookmarkEnd w:id="3"/>
    </w:p>
    <w:p w14:paraId="65CE0B8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立项批文编号：</w:t>
      </w:r>
      <w:r>
        <w:rPr>
          <w:rFonts w:hint="eastAsia" w:ascii="仿宋" w:hAnsi="仿宋" w:eastAsia="仿宋" w:cs="Times New Roman"/>
          <w:snapToGrid/>
          <w:color w:val="auto"/>
          <w:kern w:val="2"/>
          <w:sz w:val="24"/>
          <w:szCs w:val="24"/>
          <w:highlight w:val="none"/>
          <w:u w:val="single"/>
          <w:lang w:eastAsia="zh-CN"/>
        </w:rPr>
        <w:t xml:space="preserve">                    </w:t>
      </w:r>
    </w:p>
    <w:p w14:paraId="42EF535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项目名称：</w:t>
      </w:r>
      <w:r>
        <w:rPr>
          <w:rFonts w:hint="eastAsia" w:ascii="仿宋" w:hAnsi="仿宋" w:eastAsia="仿宋" w:cs="Times New Roman"/>
          <w:snapToGrid/>
          <w:color w:val="auto"/>
          <w:kern w:val="2"/>
          <w:sz w:val="24"/>
          <w:szCs w:val="24"/>
          <w:highlight w:val="none"/>
          <w:u w:val="single"/>
          <w:lang w:eastAsia="zh-CN"/>
        </w:rPr>
        <w:t>广州市增城区荔湖街新城大道东18005200A24018号地块建设项目</w:t>
      </w:r>
      <w:r>
        <w:rPr>
          <w:rFonts w:hint="eastAsia" w:ascii="仿宋" w:hAnsi="仿宋" w:eastAsia="仿宋" w:cs="Times New Roman"/>
          <w:snapToGrid/>
          <w:color w:val="auto"/>
          <w:kern w:val="2"/>
          <w:sz w:val="24"/>
          <w:szCs w:val="24"/>
          <w:highlight w:val="none"/>
          <w:lang w:eastAsia="zh-CN"/>
        </w:rPr>
        <w:t xml:space="preserve"> </w:t>
      </w:r>
    </w:p>
    <w:p w14:paraId="61CFDC8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工程规模：</w:t>
      </w:r>
      <w:r>
        <w:rPr>
          <w:rFonts w:hint="eastAsia" w:ascii="仿宋" w:hAnsi="仿宋" w:eastAsia="仿宋" w:cs="Times New Roman"/>
          <w:snapToGrid/>
          <w:color w:val="auto"/>
          <w:kern w:val="2"/>
          <w:sz w:val="24"/>
          <w:szCs w:val="24"/>
          <w:highlight w:val="none"/>
          <w:u w:val="single"/>
          <w:lang w:eastAsia="zh-CN"/>
        </w:rPr>
        <w:t>项目位于广州市增城区荔湖街新城大道东侧，总用地面积为167,497.57平方米（约251.25亩）,其中可建设用地面积141,116.50平方米（约211.67亩），总建筑面积约271,164.13平方米，计容建筑面积约143,938平方米，容积率1.02。项目规划建设总户数770套，包括小高层住宅为81,644平方米（合计505户）、低密度住宅为56,884平方米（合计265户）、配套商业2,000平方米、社区服务中心3,000平方米、物业管理用房290平方米、消防控制室120平方米，包括给排水、安装、消防、装修等配套工程。</w:t>
      </w:r>
    </w:p>
    <w:p w14:paraId="25EEA0C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投资金额：</w:t>
      </w:r>
      <w:r>
        <w:rPr>
          <w:rFonts w:hint="eastAsia" w:ascii="仿宋" w:hAnsi="仿宋" w:eastAsia="仿宋" w:cs="Times New Roman"/>
          <w:snapToGrid/>
          <w:color w:val="auto"/>
          <w:kern w:val="2"/>
          <w:sz w:val="24"/>
          <w:szCs w:val="24"/>
          <w:highlight w:val="none"/>
          <w:u w:val="single"/>
          <w:lang w:val="en-US" w:eastAsia="zh-CN" w:bidi="ar-SA"/>
        </w:rPr>
        <w:t>项目可研总投资约</w:t>
      </w:r>
      <w:r>
        <w:rPr>
          <w:rFonts w:hint="eastAsia" w:ascii="仿宋" w:hAnsi="仿宋" w:eastAsia="仿宋" w:cs="Times New Roman"/>
          <w:bCs w:val="0"/>
          <w:snapToGrid/>
          <w:color w:val="auto"/>
          <w:kern w:val="2"/>
          <w:sz w:val="24"/>
          <w:szCs w:val="24"/>
          <w:highlight w:val="none"/>
          <w:u w:val="single"/>
          <w:lang w:eastAsia="zh-CN"/>
        </w:rPr>
        <w:t>365,437.27万元</w:t>
      </w:r>
      <w:r>
        <w:rPr>
          <w:rFonts w:hint="eastAsia" w:ascii="仿宋" w:hAnsi="仿宋" w:eastAsia="仿宋" w:cs="Times New Roman"/>
          <w:snapToGrid/>
          <w:color w:val="auto"/>
          <w:kern w:val="2"/>
          <w:sz w:val="24"/>
          <w:szCs w:val="24"/>
          <w:highlight w:val="none"/>
          <w:u w:val="single"/>
          <w:lang w:val="en-US" w:eastAsia="zh-CN" w:bidi="ar-SA"/>
        </w:rPr>
        <w:t>，其中建安工程费用约165,082.4万元、工程建设其他费用约</w:t>
      </w:r>
      <w:r>
        <w:rPr>
          <w:rFonts w:hint="eastAsia" w:ascii="仿宋" w:hAnsi="仿宋" w:eastAsia="仿宋" w:cs="Times New Roman"/>
          <w:bCs w:val="0"/>
          <w:snapToGrid/>
          <w:color w:val="auto"/>
          <w:kern w:val="2"/>
          <w:sz w:val="24"/>
          <w:szCs w:val="24"/>
          <w:highlight w:val="none"/>
          <w:u w:val="single"/>
          <w:lang w:eastAsia="zh-CN"/>
        </w:rPr>
        <w:t>158,848.40</w:t>
      </w:r>
      <w:r>
        <w:rPr>
          <w:rFonts w:hint="eastAsia" w:ascii="仿宋" w:hAnsi="仿宋" w:eastAsia="仿宋" w:cs="Times New Roman"/>
          <w:snapToGrid/>
          <w:color w:val="auto"/>
          <w:kern w:val="2"/>
          <w:sz w:val="24"/>
          <w:szCs w:val="24"/>
          <w:highlight w:val="none"/>
          <w:u w:val="single"/>
          <w:lang w:val="en-US" w:eastAsia="zh-CN" w:bidi="ar-SA"/>
        </w:rPr>
        <w:t>万元（含土地费用）、预备费约</w:t>
      </w:r>
      <w:r>
        <w:rPr>
          <w:rFonts w:hint="eastAsia" w:ascii="仿宋" w:hAnsi="仿宋" w:eastAsia="仿宋" w:cs="Times New Roman"/>
          <w:bCs w:val="0"/>
          <w:snapToGrid/>
          <w:color w:val="auto"/>
          <w:kern w:val="2"/>
          <w:sz w:val="24"/>
          <w:szCs w:val="24"/>
          <w:highlight w:val="none"/>
          <w:u w:val="single"/>
          <w:lang w:eastAsia="zh-CN"/>
        </w:rPr>
        <w:t>9,221.11</w:t>
      </w:r>
      <w:r>
        <w:rPr>
          <w:rFonts w:hint="eastAsia" w:ascii="仿宋" w:hAnsi="仿宋" w:eastAsia="仿宋" w:cs="Times New Roman"/>
          <w:snapToGrid/>
          <w:color w:val="auto"/>
          <w:kern w:val="2"/>
          <w:sz w:val="24"/>
          <w:szCs w:val="24"/>
          <w:highlight w:val="none"/>
          <w:u w:val="single"/>
          <w:lang w:val="en-US" w:eastAsia="zh-CN" w:bidi="ar-SA"/>
        </w:rPr>
        <w:t>万元、建设期利息约</w:t>
      </w:r>
      <w:r>
        <w:rPr>
          <w:rFonts w:hint="eastAsia" w:ascii="仿宋" w:hAnsi="仿宋" w:eastAsia="仿宋" w:cs="Times New Roman"/>
          <w:bCs w:val="0"/>
          <w:snapToGrid/>
          <w:color w:val="auto"/>
          <w:kern w:val="2"/>
          <w:sz w:val="24"/>
          <w:szCs w:val="24"/>
          <w:highlight w:val="none"/>
          <w:u w:val="single"/>
          <w:lang w:eastAsia="zh-CN"/>
        </w:rPr>
        <w:t>32,285.36</w:t>
      </w:r>
      <w:r>
        <w:rPr>
          <w:rFonts w:hint="eastAsia" w:ascii="仿宋" w:hAnsi="仿宋" w:eastAsia="仿宋" w:cs="Times New Roman"/>
          <w:snapToGrid/>
          <w:color w:val="auto"/>
          <w:kern w:val="2"/>
          <w:sz w:val="24"/>
          <w:szCs w:val="24"/>
          <w:highlight w:val="none"/>
          <w:u w:val="single"/>
          <w:lang w:val="en-US" w:eastAsia="zh-CN" w:bidi="ar-SA"/>
        </w:rPr>
        <w:t>万元</w:t>
      </w:r>
      <w:r>
        <w:rPr>
          <w:rFonts w:hint="eastAsia" w:ascii="仿宋" w:hAnsi="仿宋" w:eastAsia="仿宋" w:cs="Times New Roman"/>
          <w:snapToGrid/>
          <w:color w:val="auto"/>
          <w:kern w:val="2"/>
          <w:sz w:val="24"/>
          <w:szCs w:val="24"/>
          <w:highlight w:val="none"/>
          <w:u w:val="single"/>
          <w:lang w:eastAsia="zh-CN"/>
        </w:rPr>
        <w:t>。</w:t>
      </w:r>
    </w:p>
    <w:p w14:paraId="0116049D">
      <w:pPr>
        <w:widowControl w:val="0"/>
        <w:kinsoku/>
        <w:autoSpaceDE/>
        <w:autoSpaceDN/>
        <w:adjustRightInd/>
        <w:snapToGrid/>
        <w:spacing w:line="360" w:lineRule="auto"/>
        <w:ind w:firstLine="480" w:firstLineChars="200"/>
        <w:jc w:val="both"/>
        <w:textAlignment w:val="auto"/>
        <w:rPr>
          <w:rFonts w:ascii="宋体" w:hAnsi="宋体" w:eastAsia="宋体" w:cs="宋体"/>
          <w:color w:val="auto"/>
          <w:spacing w:val="-6"/>
          <w:sz w:val="24"/>
          <w:szCs w:val="24"/>
          <w:highlight w:val="none"/>
          <w:lang w:eastAsia="zh-CN"/>
        </w:rPr>
      </w:pPr>
      <w:r>
        <w:rPr>
          <w:rFonts w:hint="eastAsia" w:ascii="仿宋" w:hAnsi="仿宋" w:eastAsia="仿宋" w:cs="Times New Roman"/>
          <w:snapToGrid/>
          <w:color w:val="auto"/>
          <w:kern w:val="2"/>
          <w:sz w:val="24"/>
          <w:szCs w:val="24"/>
          <w:highlight w:val="none"/>
          <w:lang w:eastAsia="zh-CN"/>
        </w:rPr>
        <w:t>资金来源：</w:t>
      </w:r>
      <w:r>
        <w:rPr>
          <w:rFonts w:hint="eastAsia" w:ascii="仿宋" w:hAnsi="仿宋" w:eastAsia="仿宋" w:cs="Times New Roman"/>
          <w:snapToGrid/>
          <w:color w:val="auto"/>
          <w:kern w:val="2"/>
          <w:sz w:val="24"/>
          <w:szCs w:val="24"/>
          <w:highlight w:val="none"/>
          <w:u w:val="single"/>
          <w:lang w:val="en-US" w:eastAsia="zh-CN"/>
        </w:rPr>
        <w:t xml:space="preserve">自筹资金    </w:t>
      </w:r>
      <w:bookmarkStart w:id="4" w:name="bookmark25"/>
      <w:bookmarkEnd w:id="4"/>
      <w:bookmarkStart w:id="5" w:name="bookmark21"/>
      <w:bookmarkEnd w:id="5"/>
      <w:bookmarkStart w:id="6" w:name="bookmark23"/>
      <w:bookmarkEnd w:id="6"/>
      <w:r>
        <w:rPr>
          <w:rFonts w:hint="eastAsia" w:ascii="仿宋" w:hAnsi="仿宋" w:eastAsia="仿宋" w:cs="Times New Roman"/>
          <w:snapToGrid/>
          <w:color w:val="auto"/>
          <w:kern w:val="2"/>
          <w:sz w:val="24"/>
          <w:szCs w:val="24"/>
          <w:highlight w:val="none"/>
          <w:u w:val="single"/>
          <w:lang w:val="en-US" w:eastAsia="zh-CN"/>
        </w:rPr>
        <w:t xml:space="preserve"> </w:t>
      </w:r>
    </w:p>
    <w:p w14:paraId="473671E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建设工期或周期：</w:t>
      </w:r>
      <w:r>
        <w:rPr>
          <w:rFonts w:hint="eastAsia" w:ascii="仿宋" w:hAnsi="仿宋" w:eastAsia="仿宋" w:cs="Times New Roman"/>
          <w:snapToGrid/>
          <w:color w:val="auto"/>
          <w:kern w:val="2"/>
          <w:sz w:val="24"/>
          <w:szCs w:val="24"/>
          <w:highlight w:val="none"/>
          <w:u w:val="single"/>
          <w:lang w:eastAsia="zh-CN"/>
        </w:rPr>
        <w:t>暂定从2025年6月1日开始至 2028年</w:t>
      </w:r>
      <w:r>
        <w:rPr>
          <w:rFonts w:hint="eastAsia" w:ascii="仿宋" w:hAnsi="仿宋" w:eastAsia="仿宋" w:cs="Times New Roman"/>
          <w:snapToGrid/>
          <w:color w:val="auto"/>
          <w:kern w:val="2"/>
          <w:sz w:val="24"/>
          <w:szCs w:val="24"/>
          <w:highlight w:val="none"/>
          <w:u w:val="single"/>
          <w:lang w:val="en-US" w:eastAsia="zh-CN"/>
        </w:rPr>
        <w:t>1</w:t>
      </w:r>
      <w:r>
        <w:rPr>
          <w:rFonts w:hint="eastAsia" w:ascii="仿宋" w:hAnsi="仿宋" w:eastAsia="仿宋" w:cs="Times New Roman"/>
          <w:snapToGrid/>
          <w:color w:val="auto"/>
          <w:kern w:val="2"/>
          <w:sz w:val="24"/>
          <w:szCs w:val="24"/>
          <w:highlight w:val="none"/>
          <w:u w:val="single"/>
          <w:lang w:eastAsia="zh-CN"/>
        </w:rPr>
        <w:t>2月30日竣工完成，</w:t>
      </w:r>
      <w:r>
        <w:rPr>
          <w:rFonts w:hint="eastAsia" w:ascii="仿宋" w:hAnsi="仿宋" w:eastAsia="仿宋" w:cs="Times New Roman"/>
          <w:snapToGrid/>
          <w:color w:val="auto"/>
          <w:kern w:val="2"/>
          <w:sz w:val="24"/>
          <w:szCs w:val="24"/>
          <w:highlight w:val="none"/>
          <w:u w:val="single"/>
          <w:lang w:val="en-US" w:eastAsia="zh-CN"/>
        </w:rPr>
        <w:t>具体以委托人</w:t>
      </w:r>
      <w:r>
        <w:rPr>
          <w:rFonts w:hint="eastAsia" w:ascii="仿宋" w:hAnsi="仿宋" w:eastAsia="仿宋" w:cs="Times New Roman"/>
          <w:snapToGrid/>
          <w:color w:val="auto"/>
          <w:kern w:val="2"/>
          <w:sz w:val="24"/>
          <w:szCs w:val="24"/>
          <w:highlight w:val="none"/>
          <w:u w:val="single"/>
          <w:lang w:eastAsia="zh-CN"/>
        </w:rPr>
        <w:t>下达开工令或开工报告之日起至项目全部完工并办理竣工验收为止。</w:t>
      </w:r>
    </w:p>
    <w:p w14:paraId="742C1B7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投资控制目标：</w:t>
      </w:r>
      <w:r>
        <w:rPr>
          <w:rFonts w:hint="eastAsia" w:ascii="仿宋" w:hAnsi="仿宋" w:eastAsia="仿宋" w:cs="Times New Roman"/>
          <w:snapToGrid/>
          <w:color w:val="auto"/>
          <w:kern w:val="2"/>
          <w:sz w:val="24"/>
          <w:szCs w:val="24"/>
          <w:highlight w:val="none"/>
          <w:u w:val="single"/>
          <w:lang w:eastAsia="zh-CN"/>
        </w:rPr>
        <w:t>工程造价控制在经委托人审批的工程概算中的建筑安装工程费总造价范围内。</w:t>
      </w:r>
    </w:p>
    <w:p w14:paraId="36606DC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u w:val="single"/>
          <w:lang w:eastAsia="zh-CN"/>
        </w:rPr>
      </w:pPr>
      <w:r>
        <w:rPr>
          <w:rFonts w:hint="eastAsia" w:ascii="仿宋" w:hAnsi="仿宋" w:eastAsia="仿宋" w:cs="Times New Roman"/>
          <w:snapToGrid/>
          <w:color w:val="auto"/>
          <w:kern w:val="2"/>
          <w:sz w:val="24"/>
          <w:szCs w:val="24"/>
          <w:highlight w:val="none"/>
          <w:lang w:eastAsia="zh-CN"/>
        </w:rPr>
        <w:t>进度控制目标：</w:t>
      </w:r>
      <w:r>
        <w:rPr>
          <w:rFonts w:hint="eastAsia" w:ascii="仿宋" w:hAnsi="仿宋" w:eastAsia="仿宋" w:cs="Times New Roman"/>
          <w:snapToGrid/>
          <w:color w:val="auto"/>
          <w:kern w:val="2"/>
          <w:sz w:val="24"/>
          <w:szCs w:val="24"/>
          <w:highlight w:val="none"/>
          <w:u w:val="single"/>
          <w:lang w:eastAsia="zh-CN"/>
        </w:rPr>
        <w:t>本项目施工期暂定为1308日历天，监理人应加强工期统筹管理，运用先进技术手段，优化工序安排和劳动力、机械、材料的合同调配，杜绝人为管理不善导致窝工停工现象，督促施工单位确保本工程按期或提前完成。</w:t>
      </w:r>
    </w:p>
    <w:p w14:paraId="5BB27AF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质量控制目标：</w:t>
      </w:r>
      <w:r>
        <w:rPr>
          <w:rFonts w:hint="eastAsia" w:ascii="仿宋" w:hAnsi="仿宋" w:eastAsia="仿宋" w:cs="Times New Roman"/>
          <w:snapToGrid/>
          <w:color w:val="auto"/>
          <w:kern w:val="2"/>
          <w:sz w:val="24"/>
          <w:szCs w:val="24"/>
          <w:highlight w:val="none"/>
          <w:u w:val="single"/>
          <w:lang w:eastAsia="zh-CN"/>
        </w:rPr>
        <w:t>按照国家最新颁布《建筑工程施工质量验收统一标准》及相应配套的各专业验收规范，一次验收合格。</w:t>
      </w:r>
    </w:p>
    <w:p w14:paraId="40FC092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u w:val="single"/>
          <w:lang w:eastAsia="zh-CN"/>
        </w:rPr>
      </w:pPr>
      <w:r>
        <w:rPr>
          <w:rFonts w:hint="eastAsia" w:ascii="仿宋" w:hAnsi="仿宋" w:eastAsia="仿宋" w:cs="Times New Roman"/>
          <w:snapToGrid/>
          <w:color w:val="auto"/>
          <w:kern w:val="2"/>
          <w:sz w:val="24"/>
          <w:szCs w:val="24"/>
          <w:highlight w:val="none"/>
          <w:lang w:eastAsia="zh-CN"/>
        </w:rPr>
        <w:t>安全管理目标：</w:t>
      </w:r>
      <w:r>
        <w:rPr>
          <w:rFonts w:hint="eastAsia" w:ascii="仿宋" w:hAnsi="仿宋" w:eastAsia="仿宋" w:cs="Times New Roman"/>
          <w:snapToGrid/>
          <w:color w:val="auto"/>
          <w:kern w:val="2"/>
          <w:sz w:val="24"/>
          <w:szCs w:val="24"/>
          <w:highlight w:val="none"/>
          <w:u w:val="single"/>
          <w:lang w:eastAsia="zh-CN"/>
        </w:rPr>
        <w:t>零死亡、零重伤、零中毒、零火灾、零坍塌、零重大机械事故、零重大财产损失及负面影响事件、零群体事件。改善劳动条件，预防职业病，工地防尘、防毒、防噪音、通风、照明、取暖、降温、防辐射及防物理因素危害等，均符合国家和地方政府主管部门颁布的相关规定，达到项目所在地安全生产文明施工示范工地标准；确保有关</w:t>
      </w:r>
      <w:r>
        <w:rPr>
          <w:rFonts w:hint="eastAsia" w:ascii="仿宋" w:hAnsi="仿宋" w:eastAsia="仿宋" w:cs="Times New Roman"/>
          <w:snapToGrid/>
          <w:color w:val="auto"/>
          <w:kern w:val="2"/>
          <w:sz w:val="24"/>
          <w:szCs w:val="24"/>
          <w:highlight w:val="none"/>
          <w:u w:val="single"/>
          <w:lang w:val="en-US" w:eastAsia="zh-CN"/>
        </w:rPr>
        <w:t>施工</w:t>
      </w:r>
      <w:r>
        <w:rPr>
          <w:rFonts w:hint="eastAsia" w:ascii="仿宋" w:hAnsi="仿宋" w:eastAsia="仿宋" w:cs="Times New Roman"/>
          <w:snapToGrid/>
          <w:color w:val="auto"/>
          <w:kern w:val="2"/>
          <w:sz w:val="24"/>
          <w:szCs w:val="24"/>
          <w:highlight w:val="none"/>
          <w:u w:val="single"/>
          <w:lang w:eastAsia="zh-CN"/>
        </w:rPr>
        <w:t>人员不违反</w:t>
      </w:r>
      <w:r>
        <w:rPr>
          <w:rFonts w:hint="eastAsia" w:ascii="仿宋" w:hAnsi="仿宋" w:eastAsia="仿宋" w:cs="Times New Roman"/>
          <w:snapToGrid/>
          <w:color w:val="auto"/>
          <w:kern w:val="2"/>
          <w:sz w:val="24"/>
          <w:szCs w:val="24"/>
          <w:highlight w:val="none"/>
          <w:u w:val="single"/>
          <w:lang w:val="en-US" w:eastAsia="zh-CN"/>
        </w:rPr>
        <w:t>建设</w:t>
      </w:r>
      <w:r>
        <w:rPr>
          <w:rFonts w:hint="eastAsia" w:ascii="仿宋" w:hAnsi="仿宋" w:eastAsia="仿宋" w:cs="Times New Roman"/>
          <w:snapToGrid/>
          <w:color w:val="auto"/>
          <w:kern w:val="2"/>
          <w:sz w:val="24"/>
          <w:szCs w:val="24"/>
          <w:highlight w:val="none"/>
          <w:u w:val="single"/>
          <w:lang w:eastAsia="zh-CN"/>
        </w:rPr>
        <w:t>单位</w:t>
      </w:r>
      <w:r>
        <w:rPr>
          <w:rFonts w:hint="eastAsia" w:ascii="仿宋" w:hAnsi="仿宋" w:eastAsia="仿宋" w:cs="Times New Roman"/>
          <w:snapToGrid/>
          <w:color w:val="auto"/>
          <w:kern w:val="2"/>
          <w:sz w:val="24"/>
          <w:szCs w:val="24"/>
          <w:highlight w:val="none"/>
          <w:u w:val="single"/>
          <w:lang w:val="en-US" w:eastAsia="zh-CN"/>
        </w:rPr>
        <w:t>及国家、行业、地方的</w:t>
      </w:r>
      <w:r>
        <w:rPr>
          <w:rFonts w:hint="eastAsia" w:ascii="仿宋" w:hAnsi="仿宋" w:eastAsia="仿宋" w:cs="Times New Roman"/>
          <w:snapToGrid/>
          <w:color w:val="auto"/>
          <w:kern w:val="2"/>
          <w:sz w:val="24"/>
          <w:szCs w:val="24"/>
          <w:highlight w:val="none"/>
          <w:u w:val="single"/>
          <w:lang w:eastAsia="zh-CN"/>
        </w:rPr>
        <w:t>安全监管规定。</w:t>
      </w:r>
    </w:p>
    <w:p w14:paraId="7B37EF7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u w:val="single"/>
          <w:lang w:eastAsia="zh-CN"/>
        </w:rPr>
      </w:pPr>
      <w:r>
        <w:rPr>
          <w:rFonts w:hint="eastAsia" w:ascii="仿宋" w:hAnsi="仿宋" w:eastAsia="仿宋" w:cs="Times New Roman"/>
          <w:snapToGrid/>
          <w:color w:val="auto"/>
          <w:kern w:val="2"/>
          <w:sz w:val="24"/>
          <w:szCs w:val="24"/>
          <w:highlight w:val="none"/>
          <w:lang w:eastAsia="zh-CN"/>
        </w:rPr>
        <w:t>文明施工管理目标：</w:t>
      </w:r>
      <w:r>
        <w:rPr>
          <w:rFonts w:hint="eastAsia" w:ascii="仿宋" w:hAnsi="仿宋" w:eastAsia="仿宋" w:cs="Times New Roman"/>
          <w:snapToGrid/>
          <w:color w:val="auto"/>
          <w:kern w:val="2"/>
          <w:sz w:val="24"/>
          <w:szCs w:val="24"/>
          <w:highlight w:val="none"/>
          <w:u w:val="single"/>
          <w:lang w:eastAsia="zh-CN"/>
        </w:rPr>
        <w:t>合格且不因工地文明施工管理问题受到有关政府、行业职能管理部门处罚。</w:t>
      </w:r>
    </w:p>
    <w:p w14:paraId="1FEAFFA9">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7" w:name="bookmark3"/>
      <w:bookmarkEnd w:id="7"/>
      <w:bookmarkStart w:id="8" w:name="_Toc24853"/>
      <w:r>
        <w:rPr>
          <w:rFonts w:hint="eastAsia" w:ascii="仿宋" w:hAnsi="仿宋" w:eastAsia="仿宋" w:cs="仿宋"/>
          <w:snapToGrid/>
          <w:color w:val="auto"/>
          <w:kern w:val="2"/>
          <w:sz w:val="24"/>
          <w:szCs w:val="24"/>
          <w:highlight w:val="none"/>
          <w:lang w:eastAsia="zh-CN"/>
        </w:rPr>
        <w:t>二、词语限定</w:t>
      </w:r>
      <w:bookmarkEnd w:id="8"/>
    </w:p>
    <w:p w14:paraId="7F0531B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协议书中相关词语的含义与通用条款、专用条款中的定义与解释相同。</w:t>
      </w:r>
    </w:p>
    <w:p w14:paraId="302812D4">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9" w:name="bookmark5"/>
      <w:bookmarkEnd w:id="9"/>
      <w:bookmarkStart w:id="10" w:name="bookmark4"/>
      <w:bookmarkEnd w:id="10"/>
      <w:bookmarkStart w:id="11" w:name="_Toc25415"/>
      <w:r>
        <w:rPr>
          <w:rFonts w:hint="eastAsia" w:ascii="仿宋" w:hAnsi="仿宋" w:eastAsia="仿宋" w:cs="仿宋"/>
          <w:snapToGrid/>
          <w:color w:val="auto"/>
          <w:kern w:val="2"/>
          <w:sz w:val="24"/>
          <w:szCs w:val="24"/>
          <w:highlight w:val="none"/>
          <w:lang w:eastAsia="zh-CN"/>
        </w:rPr>
        <w:t>三、组成本合同的文件</w:t>
      </w:r>
      <w:bookmarkEnd w:id="11"/>
    </w:p>
    <w:p w14:paraId="4453F8E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下列文件应视作本合同的组成部分，并互为补充和解释，如各文件存在冲突之处，</w:t>
      </w:r>
    </w:p>
    <w:p w14:paraId="60AC8101">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以如下排列次序在前者优先适用：</w:t>
      </w:r>
    </w:p>
    <w:p w14:paraId="2CC03B0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1.在实施过程中双方共同签署的补充协议；</w:t>
      </w:r>
    </w:p>
    <w:p w14:paraId="791775A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2.协议书；</w:t>
      </w:r>
    </w:p>
    <w:p w14:paraId="11DC90D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3.中标通知书；</w:t>
      </w:r>
    </w:p>
    <w:p w14:paraId="139A012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4.专用条款；</w:t>
      </w:r>
    </w:p>
    <w:p w14:paraId="0DF36B5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5.合同附件；</w:t>
      </w:r>
    </w:p>
    <w:p w14:paraId="3FCCA40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6.通用条款；</w:t>
      </w:r>
    </w:p>
    <w:p w14:paraId="76F52D4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7.招标文件（包括补充、修改、澄清文件、答疑纪要等）；</w:t>
      </w:r>
    </w:p>
    <w:p w14:paraId="0A16F84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8.标准规范及有关技术文件、图纸；</w:t>
      </w:r>
    </w:p>
    <w:p w14:paraId="6ECC2D4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9.法律、法规及相关管理规定；</w:t>
      </w:r>
    </w:p>
    <w:p w14:paraId="539E3C1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10.委托人制定的相关管理制度、办法及实施细则</w:t>
      </w:r>
    </w:p>
    <w:p w14:paraId="3F73580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11.投标文件及其附件；</w:t>
      </w:r>
    </w:p>
    <w:p w14:paraId="38B164F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12.经双方认可的来往传真、电报、会议纪要等。</w:t>
      </w:r>
    </w:p>
    <w:p w14:paraId="7EF100BC">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仿宋" w:hAnsi="仿宋" w:eastAsia="仿宋" w:cs="Times New Roman"/>
          <w:snapToGrid/>
          <w:color w:val="auto"/>
          <w:kern w:val="2"/>
          <w:sz w:val="24"/>
          <w:szCs w:val="24"/>
          <w:highlight w:val="none"/>
          <w:lang w:eastAsia="zh-CN"/>
        </w:rPr>
        <w:t>通过上述顺序解释仍无法明确的事项，由甲方与乙方协商解决；如协商不成，由甲方按照公平合理和有利于本工程建设的原则作出决定。</w:t>
      </w:r>
    </w:p>
    <w:p w14:paraId="6C954E7E">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12" w:name="bookmark27"/>
      <w:bookmarkEnd w:id="12"/>
      <w:bookmarkStart w:id="13" w:name="_Toc1616"/>
      <w:r>
        <w:rPr>
          <w:rFonts w:hint="eastAsia" w:ascii="仿宋" w:hAnsi="仿宋" w:eastAsia="仿宋" w:cs="仿宋"/>
          <w:snapToGrid/>
          <w:color w:val="auto"/>
          <w:kern w:val="2"/>
          <w:sz w:val="24"/>
          <w:szCs w:val="24"/>
          <w:highlight w:val="none"/>
          <w:lang w:eastAsia="zh-CN"/>
        </w:rPr>
        <w:t>四、总监理工程师</w:t>
      </w:r>
      <w:bookmarkEnd w:id="13"/>
    </w:p>
    <w:p w14:paraId="487687E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总监理工程师姓名：</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，电话：</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，身份证号码：</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，注册号：</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w:t>
      </w:r>
    </w:p>
    <w:p w14:paraId="216AB991">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14" w:name="bookmark6"/>
      <w:bookmarkEnd w:id="14"/>
      <w:bookmarkStart w:id="15" w:name="_Toc14281"/>
      <w:r>
        <w:rPr>
          <w:rFonts w:hint="eastAsia" w:ascii="仿宋" w:hAnsi="仿宋" w:eastAsia="仿宋" w:cs="仿宋"/>
          <w:snapToGrid/>
          <w:color w:val="auto"/>
          <w:kern w:val="2"/>
          <w:sz w:val="24"/>
          <w:szCs w:val="24"/>
          <w:highlight w:val="none"/>
          <w:lang w:eastAsia="zh-CN"/>
        </w:rPr>
        <w:t>五、签约酬金</w:t>
      </w:r>
      <w:bookmarkEnd w:id="15"/>
    </w:p>
    <w:p w14:paraId="2764C8C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本合同含税暂定总金额为（人民币大写）：</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，（小写）：¥</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元 )。不含税价格为：¥</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元,增值税税率为：</w:t>
      </w:r>
      <w:r>
        <w:rPr>
          <w:rFonts w:hint="eastAsia" w:ascii="仿宋" w:hAnsi="仿宋" w:eastAsia="仿宋" w:cs="Times New Roman"/>
          <w:snapToGrid/>
          <w:color w:val="auto"/>
          <w:kern w:val="2"/>
          <w:sz w:val="24"/>
          <w:szCs w:val="24"/>
          <w:highlight w:val="none"/>
          <w:u w:val="single"/>
          <w:lang w:eastAsia="zh-CN"/>
        </w:rPr>
        <w:t xml:space="preserve">       </w:t>
      </w:r>
      <w:r>
        <w:rPr>
          <w:rFonts w:ascii="仿宋" w:hAnsi="仿宋" w:eastAsia="仿宋" w:cs="Times New Roman"/>
          <w:snapToGrid/>
          <w:color w:val="auto"/>
          <w:kern w:val="2"/>
          <w:sz w:val="24"/>
          <w:szCs w:val="24"/>
          <w:highlight w:val="none"/>
          <w:lang w:eastAsia="zh-CN"/>
        </w:rPr>
        <w:t>，最终监理费结算价以委托人按合同约定审定为准</w:t>
      </w:r>
      <w:r>
        <w:rPr>
          <w:rFonts w:hint="eastAsia" w:ascii="仿宋" w:hAnsi="仿宋" w:eastAsia="仿宋" w:cs="Times New Roman"/>
          <w:snapToGrid/>
          <w:color w:val="auto"/>
          <w:kern w:val="2"/>
          <w:sz w:val="24"/>
          <w:szCs w:val="24"/>
          <w:highlight w:val="none"/>
          <w:lang w:eastAsia="zh-CN"/>
        </w:rPr>
        <w:t>。</w:t>
      </w:r>
    </w:p>
    <w:p w14:paraId="5F5EA0B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双方确认：本合同的价格已含监理人因履行合同而应承担的全部税款（包括但不限于增值税、印花税、所得税等其他各项税款及附加税金或费用）。</w:t>
      </w:r>
    </w:p>
    <w:p w14:paraId="1FA87C12">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16" w:name="bookmark7"/>
      <w:bookmarkEnd w:id="16"/>
      <w:bookmarkStart w:id="17" w:name="_Toc19796"/>
      <w:r>
        <w:rPr>
          <w:rFonts w:hint="eastAsia" w:ascii="仿宋" w:hAnsi="仿宋" w:eastAsia="仿宋" w:cs="仿宋"/>
          <w:snapToGrid/>
          <w:color w:val="auto"/>
          <w:kern w:val="2"/>
          <w:sz w:val="24"/>
          <w:szCs w:val="24"/>
          <w:highlight w:val="none"/>
          <w:lang w:eastAsia="zh-CN"/>
        </w:rPr>
        <w:t>★六、期限</w:t>
      </w:r>
      <w:bookmarkEnd w:id="17"/>
    </w:p>
    <w:p w14:paraId="5102DDB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本合同的监理业务实际开始日期以委托人下发的书面通知为准。监理服务有效期限至本工程保修期满且</w:t>
      </w:r>
      <w:r>
        <w:rPr>
          <w:rFonts w:ascii="仿宋" w:hAnsi="仿宋" w:eastAsia="仿宋" w:cs="Times New Roman"/>
          <w:snapToGrid/>
          <w:color w:val="auto"/>
          <w:kern w:val="2"/>
          <w:sz w:val="24"/>
          <w:szCs w:val="24"/>
          <w:highlight w:val="none"/>
          <w:lang w:eastAsia="zh-CN"/>
        </w:rPr>
        <w:t>本合同工程结算金额经委托人或其授权委托的第三方咨询单位审定</w:t>
      </w:r>
      <w:r>
        <w:rPr>
          <w:rFonts w:hint="eastAsia" w:ascii="仿宋" w:hAnsi="仿宋" w:eastAsia="仿宋" w:cs="Times New Roman"/>
          <w:snapToGrid/>
          <w:color w:val="auto"/>
          <w:kern w:val="2"/>
          <w:sz w:val="24"/>
          <w:szCs w:val="24"/>
          <w:highlight w:val="none"/>
          <w:lang w:eastAsia="zh-CN"/>
        </w:rPr>
        <w:t>、双方履行完毕监理合同项下的义务为止。工程通过竣工验收且实物移交完成后，监理人须积极配合工程结算、工程保修等工作。验收、移交、结算工作无具体时间期限，直至全部完成为止。</w:t>
      </w:r>
    </w:p>
    <w:p w14:paraId="30BCBB9D">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18" w:name="_Toc25020"/>
      <w:r>
        <w:rPr>
          <w:rFonts w:hint="eastAsia" w:ascii="仿宋" w:hAnsi="仿宋" w:eastAsia="仿宋" w:cs="仿宋"/>
          <w:snapToGrid/>
          <w:color w:val="auto"/>
          <w:kern w:val="2"/>
          <w:sz w:val="24"/>
          <w:szCs w:val="24"/>
          <w:highlight w:val="none"/>
          <w:lang w:eastAsia="zh-CN"/>
        </w:rPr>
        <w:t>七、双方承诺</w:t>
      </w:r>
      <w:bookmarkEnd w:id="18"/>
    </w:p>
    <w:p w14:paraId="7DB341B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1.监理人向委托人承诺，按照本合同约定提供监理与相关服务。</w:t>
      </w:r>
    </w:p>
    <w:p w14:paraId="4CB67DF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2.委托人向监理人承诺，按照本合同约定支付酬金。</w:t>
      </w:r>
    </w:p>
    <w:p w14:paraId="34FFA9A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3.监理人应服从委托人或委托人委托负责建设管理工作的单位的管理，并同意接受及执行委托人各项相关建设管理规定。</w:t>
      </w:r>
      <w:bookmarkStart w:id="19" w:name="bookmark31"/>
      <w:bookmarkEnd w:id="19"/>
      <w:bookmarkStart w:id="20" w:name="bookmark35"/>
      <w:bookmarkEnd w:id="20"/>
      <w:bookmarkStart w:id="21" w:name="bookmark29"/>
      <w:bookmarkEnd w:id="21"/>
      <w:bookmarkStart w:id="22" w:name="bookmark41"/>
      <w:bookmarkEnd w:id="22"/>
      <w:bookmarkStart w:id="23" w:name="bookmark39"/>
      <w:bookmarkEnd w:id="23"/>
      <w:bookmarkStart w:id="24" w:name="bookmark33"/>
      <w:bookmarkEnd w:id="24"/>
      <w:bookmarkStart w:id="25" w:name="bookmark8"/>
      <w:bookmarkEnd w:id="25"/>
      <w:bookmarkStart w:id="26" w:name="bookmark37"/>
      <w:bookmarkEnd w:id="26"/>
      <w:bookmarkStart w:id="27" w:name="bookmark43"/>
      <w:bookmarkEnd w:id="27"/>
      <w:bookmarkStart w:id="28" w:name="bookmark9"/>
      <w:bookmarkEnd w:id="28"/>
    </w:p>
    <w:p w14:paraId="1B4ABF73">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29" w:name="_Toc27804"/>
      <w:r>
        <w:rPr>
          <w:rFonts w:hint="eastAsia" w:ascii="仿宋" w:hAnsi="仿宋" w:eastAsia="仿宋" w:cs="仿宋"/>
          <w:snapToGrid/>
          <w:color w:val="auto"/>
          <w:kern w:val="2"/>
          <w:sz w:val="24"/>
          <w:szCs w:val="24"/>
          <w:highlight w:val="none"/>
          <w:lang w:eastAsia="zh-CN"/>
        </w:rPr>
        <w:t>八、合同生效</w:t>
      </w:r>
      <w:bookmarkEnd w:id="29"/>
    </w:p>
    <w:p w14:paraId="59A6376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w:t>
      </w:r>
      <w:r>
        <w:rPr>
          <w:rFonts w:ascii="仿宋" w:hAnsi="仿宋" w:eastAsia="仿宋" w:cs="Times New Roman"/>
          <w:snapToGrid/>
          <w:color w:val="auto"/>
          <w:kern w:val="2"/>
          <w:sz w:val="24"/>
          <w:szCs w:val="24"/>
          <w:highlight w:val="none"/>
          <w:lang w:eastAsia="zh-CN"/>
        </w:rPr>
        <w:t>.</w:t>
      </w:r>
      <w:r>
        <w:rPr>
          <w:rFonts w:hint="eastAsia" w:ascii="仿宋" w:hAnsi="仿宋" w:eastAsia="仿宋" w:cs="Times New Roman"/>
          <w:snapToGrid/>
          <w:color w:val="auto"/>
          <w:kern w:val="2"/>
          <w:sz w:val="24"/>
          <w:szCs w:val="24"/>
          <w:highlight w:val="none"/>
          <w:lang w:eastAsia="zh-CN"/>
        </w:rPr>
        <w:t>本合同订立时间：</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年</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月</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日。</w:t>
      </w:r>
    </w:p>
    <w:p w14:paraId="54F196B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w:t>
      </w:r>
      <w:r>
        <w:rPr>
          <w:rFonts w:ascii="仿宋" w:hAnsi="仿宋" w:eastAsia="仿宋" w:cs="Times New Roman"/>
          <w:snapToGrid/>
          <w:color w:val="auto"/>
          <w:kern w:val="2"/>
          <w:sz w:val="24"/>
          <w:szCs w:val="24"/>
          <w:highlight w:val="none"/>
          <w:lang w:eastAsia="zh-CN"/>
        </w:rPr>
        <w:t>.</w:t>
      </w:r>
      <w:r>
        <w:rPr>
          <w:rFonts w:hint="eastAsia" w:ascii="仿宋" w:hAnsi="仿宋" w:eastAsia="仿宋" w:cs="Times New Roman"/>
          <w:snapToGrid/>
          <w:color w:val="auto"/>
          <w:kern w:val="2"/>
          <w:sz w:val="24"/>
          <w:szCs w:val="24"/>
          <w:highlight w:val="none"/>
          <w:lang w:eastAsia="zh-CN"/>
        </w:rPr>
        <w:t>本合同订立地点：</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广州市增城区</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w:t>
      </w:r>
    </w:p>
    <w:p w14:paraId="75392A7E">
      <w:pPr>
        <w:widowControl w:val="0"/>
        <w:kinsoku/>
        <w:autoSpaceDE/>
        <w:autoSpaceDN/>
        <w:adjustRightInd/>
        <w:snapToGrid/>
        <w:spacing w:line="360" w:lineRule="auto"/>
        <w:ind w:firstLine="480" w:firstLineChars="200"/>
        <w:jc w:val="both"/>
        <w:textAlignment w:val="auto"/>
        <w:rPr>
          <w:color w:val="auto"/>
          <w:highlight w:val="none"/>
          <w:lang w:eastAsia="zh-CN"/>
        </w:rPr>
      </w:pPr>
      <w:r>
        <w:rPr>
          <w:rFonts w:hint="eastAsia" w:ascii="仿宋" w:hAnsi="仿宋" w:eastAsia="仿宋" w:cs="Times New Roman"/>
          <w:snapToGrid/>
          <w:color w:val="auto"/>
          <w:kern w:val="2"/>
          <w:sz w:val="24"/>
          <w:szCs w:val="24"/>
          <w:highlight w:val="none"/>
          <w:lang w:eastAsia="zh-CN"/>
        </w:rPr>
        <w:t>3</w:t>
      </w:r>
      <w:r>
        <w:rPr>
          <w:rFonts w:ascii="仿宋" w:hAnsi="仿宋" w:eastAsia="仿宋" w:cs="Times New Roman"/>
          <w:snapToGrid/>
          <w:color w:val="auto"/>
          <w:kern w:val="2"/>
          <w:sz w:val="24"/>
          <w:szCs w:val="24"/>
          <w:highlight w:val="none"/>
          <w:lang w:eastAsia="zh-CN"/>
        </w:rPr>
        <w:t>.</w:t>
      </w:r>
      <w:r>
        <w:rPr>
          <w:rFonts w:hint="eastAsia" w:ascii="仿宋" w:hAnsi="仿宋" w:eastAsia="仿宋" w:cs="Times New Roman"/>
          <w:snapToGrid/>
          <w:color w:val="auto"/>
          <w:kern w:val="2"/>
          <w:sz w:val="24"/>
          <w:szCs w:val="24"/>
          <w:highlight w:val="none"/>
          <w:lang w:eastAsia="zh-CN"/>
        </w:rPr>
        <w:t>合同双方当事人约定本合同自双方</w:t>
      </w:r>
      <w:r>
        <w:rPr>
          <w:rFonts w:hint="eastAsia" w:ascii="仿宋" w:hAnsi="仿宋" w:eastAsia="仿宋" w:cs="Times New Roman"/>
          <w:snapToGrid/>
          <w:color w:val="auto"/>
          <w:kern w:val="2"/>
          <w:sz w:val="24"/>
          <w:szCs w:val="24"/>
          <w:highlight w:val="none"/>
          <w:lang w:val="en-US" w:eastAsia="zh-CN"/>
        </w:rPr>
        <w:t>法定代表人或委托代理人</w:t>
      </w:r>
      <w:r>
        <w:rPr>
          <w:rFonts w:hint="eastAsia" w:ascii="仿宋" w:hAnsi="仿宋" w:eastAsia="仿宋" w:cs="Times New Roman"/>
          <w:snapToGrid/>
          <w:color w:val="auto"/>
          <w:kern w:val="2"/>
          <w:sz w:val="24"/>
          <w:szCs w:val="24"/>
          <w:highlight w:val="none"/>
          <w:lang w:eastAsia="zh-CN"/>
        </w:rPr>
        <w:t>签字</w:t>
      </w:r>
      <w:r>
        <w:rPr>
          <w:rFonts w:hint="eastAsia" w:ascii="仿宋" w:hAnsi="仿宋" w:eastAsia="仿宋" w:cs="Times New Roman"/>
          <w:snapToGrid/>
          <w:color w:val="auto"/>
          <w:kern w:val="2"/>
          <w:sz w:val="24"/>
          <w:szCs w:val="24"/>
          <w:highlight w:val="none"/>
          <w:lang w:val="en-US" w:eastAsia="zh-CN"/>
        </w:rPr>
        <w:t>/签章</w:t>
      </w:r>
      <w:r>
        <w:rPr>
          <w:rFonts w:hint="eastAsia" w:ascii="仿宋" w:hAnsi="仿宋" w:eastAsia="仿宋" w:cs="Times New Roman"/>
          <w:snapToGrid/>
          <w:color w:val="auto"/>
          <w:kern w:val="2"/>
          <w:sz w:val="24"/>
          <w:szCs w:val="24"/>
          <w:highlight w:val="none"/>
          <w:lang w:eastAsia="zh-CN"/>
        </w:rPr>
        <w:t>并</w:t>
      </w:r>
      <w:r>
        <w:rPr>
          <w:rFonts w:hint="eastAsia" w:ascii="仿宋" w:hAnsi="仿宋" w:eastAsia="仿宋" w:cs="Times New Roman"/>
          <w:snapToGrid/>
          <w:color w:val="auto"/>
          <w:kern w:val="2"/>
          <w:sz w:val="24"/>
          <w:szCs w:val="24"/>
          <w:highlight w:val="none"/>
          <w:lang w:val="en-US" w:eastAsia="zh-CN"/>
        </w:rPr>
        <w:t>加</w:t>
      </w:r>
      <w:r>
        <w:rPr>
          <w:rFonts w:hint="eastAsia" w:ascii="仿宋" w:hAnsi="仿宋" w:eastAsia="仿宋" w:cs="Times New Roman"/>
          <w:snapToGrid/>
          <w:color w:val="auto"/>
          <w:kern w:val="2"/>
          <w:sz w:val="24"/>
          <w:szCs w:val="24"/>
          <w:highlight w:val="none"/>
          <w:lang w:eastAsia="zh-CN"/>
        </w:rPr>
        <w:t>盖</w:t>
      </w:r>
      <w:r>
        <w:rPr>
          <w:rFonts w:hint="eastAsia" w:ascii="仿宋" w:hAnsi="仿宋" w:eastAsia="仿宋" w:cs="Times New Roman"/>
          <w:snapToGrid/>
          <w:color w:val="auto"/>
          <w:kern w:val="2"/>
          <w:sz w:val="24"/>
          <w:szCs w:val="24"/>
          <w:highlight w:val="none"/>
          <w:lang w:val="en-US" w:eastAsia="zh-CN"/>
        </w:rPr>
        <w:t>公</w:t>
      </w:r>
      <w:r>
        <w:rPr>
          <w:rFonts w:hint="eastAsia" w:ascii="仿宋" w:hAnsi="仿宋" w:eastAsia="仿宋" w:cs="Times New Roman"/>
          <w:snapToGrid/>
          <w:color w:val="auto"/>
          <w:kern w:val="2"/>
          <w:sz w:val="24"/>
          <w:szCs w:val="24"/>
          <w:highlight w:val="none"/>
          <w:lang w:eastAsia="zh-CN"/>
        </w:rPr>
        <w:t>章后生效。</w:t>
      </w:r>
    </w:p>
    <w:p w14:paraId="42E45B37">
      <w:pPr>
        <w:pStyle w:val="4"/>
        <w:spacing w:before="0" w:after="0" w:line="360" w:lineRule="auto"/>
        <w:ind w:firstLine="482" w:firstLineChars="200"/>
        <w:rPr>
          <w:rFonts w:ascii="仿宋" w:hAnsi="仿宋" w:eastAsia="仿宋" w:cs="仿宋"/>
          <w:snapToGrid/>
          <w:color w:val="auto"/>
          <w:kern w:val="2"/>
          <w:sz w:val="24"/>
          <w:szCs w:val="24"/>
          <w:highlight w:val="none"/>
          <w:lang w:eastAsia="zh-CN"/>
        </w:rPr>
      </w:pPr>
      <w:bookmarkStart w:id="30" w:name="_Toc24101"/>
      <w:r>
        <w:rPr>
          <w:rFonts w:hint="eastAsia" w:ascii="仿宋" w:hAnsi="仿宋" w:eastAsia="仿宋" w:cs="仿宋"/>
          <w:snapToGrid/>
          <w:color w:val="auto"/>
          <w:kern w:val="2"/>
          <w:sz w:val="24"/>
          <w:szCs w:val="24"/>
          <w:highlight w:val="none"/>
          <w:lang w:eastAsia="zh-CN"/>
        </w:rPr>
        <w:t>九、合同份数</w:t>
      </w:r>
      <w:bookmarkEnd w:id="30"/>
    </w:p>
    <w:p w14:paraId="1474BD22">
      <w:pPr>
        <w:kinsoku/>
        <w:spacing w:before="78" w:line="360" w:lineRule="auto"/>
        <w:ind w:firstLine="472" w:firstLineChars="200"/>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本合同正本</w:t>
      </w:r>
      <w:r>
        <w:rPr>
          <w:rFonts w:hint="eastAsia" w:ascii="仿宋" w:hAnsi="仿宋" w:eastAsia="仿宋" w:cs="仿宋"/>
          <w:color w:val="auto"/>
          <w:spacing w:val="-2"/>
          <w:sz w:val="24"/>
          <w:szCs w:val="24"/>
          <w:highlight w:val="none"/>
          <w:lang w:eastAsia="zh-CN"/>
        </w:rPr>
        <w:t>一式</w:t>
      </w:r>
      <w:r>
        <w:rPr>
          <w:rFonts w:hint="eastAsia" w:ascii="仿宋" w:hAnsi="仿宋" w:eastAsia="仿宋" w:cs="仿宋"/>
          <w:color w:val="auto"/>
          <w:spacing w:val="-2"/>
          <w:sz w:val="24"/>
          <w:szCs w:val="24"/>
          <w:highlight w:val="none"/>
          <w:u w:val="single"/>
          <w:lang w:eastAsia="zh-CN"/>
        </w:rPr>
        <w:t>陆</w:t>
      </w:r>
      <w:r>
        <w:rPr>
          <w:rFonts w:hint="eastAsia" w:ascii="仿宋" w:hAnsi="仿宋" w:eastAsia="仿宋" w:cs="仿宋"/>
          <w:color w:val="auto"/>
          <w:spacing w:val="-2"/>
          <w:sz w:val="24"/>
          <w:szCs w:val="24"/>
          <w:highlight w:val="none"/>
          <w:lang w:eastAsia="zh-CN"/>
        </w:rPr>
        <w:t>份，</w:t>
      </w:r>
      <w:r>
        <w:rPr>
          <w:rFonts w:ascii="仿宋" w:hAnsi="仿宋" w:eastAsia="仿宋" w:cs="仿宋"/>
          <w:color w:val="auto"/>
          <w:spacing w:val="-2"/>
          <w:sz w:val="24"/>
          <w:szCs w:val="24"/>
          <w:highlight w:val="none"/>
          <w:lang w:eastAsia="zh-CN"/>
        </w:rPr>
        <w:t>甲方执</w:t>
      </w:r>
      <w:r>
        <w:rPr>
          <w:rFonts w:hint="eastAsia" w:ascii="仿宋" w:hAnsi="仿宋" w:eastAsia="仿宋" w:cs="仿宋"/>
          <w:color w:val="auto"/>
          <w:spacing w:val="-2"/>
          <w:sz w:val="24"/>
          <w:szCs w:val="24"/>
          <w:highlight w:val="none"/>
          <w:u w:val="single"/>
          <w:lang w:eastAsia="zh-CN"/>
        </w:rPr>
        <w:t>叁</w:t>
      </w:r>
      <w:r>
        <w:rPr>
          <w:rFonts w:ascii="仿宋" w:hAnsi="仿宋" w:eastAsia="仿宋" w:cs="仿宋"/>
          <w:color w:val="auto"/>
          <w:spacing w:val="-2"/>
          <w:sz w:val="24"/>
          <w:szCs w:val="24"/>
          <w:highlight w:val="none"/>
          <w:lang w:eastAsia="zh-CN"/>
        </w:rPr>
        <w:t>份，乙方执</w:t>
      </w:r>
      <w:r>
        <w:rPr>
          <w:rFonts w:ascii="仿宋" w:hAnsi="仿宋" w:eastAsia="仿宋" w:cs="仿宋"/>
          <w:color w:val="auto"/>
          <w:spacing w:val="-1"/>
          <w:sz w:val="24"/>
          <w:szCs w:val="24"/>
          <w:highlight w:val="none"/>
          <w:u w:val="single"/>
          <w:lang w:eastAsia="zh-CN"/>
        </w:rPr>
        <w:t>叁</w:t>
      </w:r>
      <w:r>
        <w:rPr>
          <w:rFonts w:ascii="仿宋" w:hAnsi="仿宋" w:eastAsia="仿宋" w:cs="仿宋"/>
          <w:color w:val="auto"/>
          <w:spacing w:val="-1"/>
          <w:sz w:val="24"/>
          <w:szCs w:val="24"/>
          <w:highlight w:val="none"/>
          <w:lang w:eastAsia="zh-CN"/>
        </w:rPr>
        <w:t>份，每份具同等法律效力。</w:t>
      </w:r>
    </w:p>
    <w:p w14:paraId="2094B55B">
      <w:pPr>
        <w:kinsoku/>
        <w:spacing w:before="80"/>
        <w:jc w:val="both"/>
        <w:rPr>
          <w:color w:val="auto"/>
          <w:highlight w:val="none"/>
          <w:lang w:eastAsia="zh-CN"/>
        </w:rPr>
      </w:pPr>
    </w:p>
    <w:p w14:paraId="22774D28">
      <w:pPr>
        <w:kinsoku/>
        <w:spacing w:line="360" w:lineRule="auto"/>
        <w:ind w:firstLine="360" w:firstLineChars="150"/>
        <w:jc w:val="both"/>
        <w:rPr>
          <w:rFonts w:ascii="仿宋" w:hAnsi="仿宋" w:eastAsia="仿宋" w:cs="仿宋"/>
          <w:color w:val="auto"/>
          <w:sz w:val="24"/>
          <w:szCs w:val="24"/>
          <w:highlight w:val="none"/>
          <w:lang w:eastAsia="zh-CN"/>
        </w:rPr>
        <w:sectPr>
          <w:footerReference r:id="rId5" w:type="default"/>
          <w:pgSz w:w="11906" w:h="16838"/>
          <w:pgMar w:top="1417" w:right="1417" w:bottom="1417" w:left="1417" w:header="851" w:footer="992" w:gutter="0"/>
          <w:pgNumType w:start="1"/>
          <w:cols w:space="720" w:num="1"/>
          <w:docGrid w:type="lines" w:linePitch="312" w:charSpace="0"/>
        </w:sectPr>
      </w:pPr>
    </w:p>
    <w:p w14:paraId="7BD4A3FA">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委托人：（盖章）                 </w:t>
      </w:r>
    </w:p>
    <w:p w14:paraId="37DCF9F0">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法定代表人：                    </w:t>
      </w:r>
    </w:p>
    <w:p w14:paraId="7CA81D25">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委托代理人：                    </w:t>
      </w:r>
    </w:p>
    <w:p w14:paraId="40C81FEF">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电    话：                      </w:t>
      </w:r>
    </w:p>
    <w:p w14:paraId="05FC554B">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传    真：                      </w:t>
      </w:r>
    </w:p>
    <w:p w14:paraId="18ACD8BA">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开户银行：                      </w:t>
      </w:r>
    </w:p>
    <w:p w14:paraId="00F0A497">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账    号：                      </w:t>
      </w:r>
    </w:p>
    <w:p w14:paraId="2B8B9F4A">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邮政编码：                      </w:t>
      </w:r>
    </w:p>
    <w:p w14:paraId="110247C3">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地      址：：                    </w:t>
      </w:r>
    </w:p>
    <w:p w14:paraId="3DB8C90B">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电子邮箱:   </w:t>
      </w:r>
    </w:p>
    <w:p w14:paraId="559706D5">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监理人：（盖章）</w:t>
      </w:r>
    </w:p>
    <w:p w14:paraId="18B02E9E">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w:t>
      </w:r>
    </w:p>
    <w:p w14:paraId="645AA1D0">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委托代理人：</w:t>
      </w:r>
    </w:p>
    <w:p w14:paraId="76F62E3D">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    话：</w:t>
      </w:r>
    </w:p>
    <w:p w14:paraId="5E8CC0D5">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    真：</w:t>
      </w:r>
    </w:p>
    <w:p w14:paraId="6D92E2D0">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开户银行：</w:t>
      </w:r>
    </w:p>
    <w:p w14:paraId="61A3A784">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账    号：</w:t>
      </w:r>
    </w:p>
    <w:p w14:paraId="27987FA0">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邮政编码：</w:t>
      </w:r>
    </w:p>
    <w:p w14:paraId="36C0DB28">
      <w:pPr>
        <w:kinsoku/>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w:t>
      </w:r>
    </w:p>
    <w:p w14:paraId="4CF48470">
      <w:pPr>
        <w:kinsoku/>
        <w:spacing w:line="360" w:lineRule="auto"/>
        <w:jc w:val="both"/>
        <w:rPr>
          <w:color w:val="auto"/>
          <w:sz w:val="24"/>
          <w:szCs w:val="24"/>
          <w:highlight w:val="none"/>
          <w:lang w:eastAsia="zh-CN"/>
        </w:rPr>
      </w:pPr>
      <w:r>
        <w:rPr>
          <w:rFonts w:hint="eastAsia" w:ascii="仿宋" w:hAnsi="仿宋" w:eastAsia="仿宋" w:cs="仿宋"/>
          <w:color w:val="auto"/>
          <w:sz w:val="24"/>
          <w:szCs w:val="24"/>
          <w:highlight w:val="none"/>
          <w:lang w:eastAsia="zh-CN"/>
        </w:rPr>
        <w:t xml:space="preserve">电子邮箱:  </w:t>
      </w:r>
    </w:p>
    <w:p w14:paraId="2E0CC7EB">
      <w:pPr>
        <w:kinsoku/>
        <w:jc w:val="both"/>
        <w:rPr>
          <w:color w:val="auto"/>
          <w:sz w:val="24"/>
          <w:szCs w:val="24"/>
          <w:highlight w:val="none"/>
          <w:lang w:eastAsia="zh-CN"/>
        </w:rPr>
        <w:sectPr>
          <w:type w:val="continuous"/>
          <w:pgSz w:w="11906" w:h="16838"/>
          <w:pgMar w:top="1417" w:right="1417" w:bottom="1417" w:left="1417" w:header="851" w:footer="992" w:gutter="0"/>
          <w:cols w:equalWidth="0" w:num="2">
            <w:col w:w="4323" w:space="425"/>
            <w:col w:w="4323"/>
          </w:cols>
          <w:docGrid w:type="lines" w:linePitch="312" w:charSpace="0"/>
        </w:sectPr>
      </w:pPr>
    </w:p>
    <w:p w14:paraId="6A97E7D3">
      <w:pPr>
        <w:widowControl w:val="0"/>
        <w:kinsoku/>
        <w:autoSpaceDE/>
        <w:autoSpaceDN/>
        <w:spacing w:line="480" w:lineRule="auto"/>
        <w:ind w:firstLine="360" w:firstLineChars="150"/>
        <w:jc w:val="center"/>
        <w:textAlignment w:val="auto"/>
        <w:rPr>
          <w:rFonts w:ascii="仿宋" w:hAnsi="仿宋" w:eastAsia="仿宋" w:cs="仿宋"/>
          <w:color w:val="auto"/>
          <w:sz w:val="24"/>
          <w:szCs w:val="24"/>
          <w:highlight w:val="none"/>
          <w:lang w:eastAsia="zh-CN"/>
        </w:rPr>
        <w:sectPr>
          <w:type w:val="continuous"/>
          <w:pgSz w:w="11906" w:h="16838"/>
          <w:pgMar w:top="1417" w:right="1417" w:bottom="1417" w:left="1417" w:header="851" w:footer="992" w:gutter="0"/>
          <w:cols w:space="720" w:num="1"/>
          <w:docGrid w:type="lines" w:linePitch="312" w:charSpace="0"/>
        </w:sectPr>
      </w:pPr>
      <w:r>
        <w:rPr>
          <w:rFonts w:hint="eastAsia" w:ascii="仿宋" w:hAnsi="仿宋" w:eastAsia="仿宋" w:cs="仿宋"/>
          <w:color w:val="auto"/>
          <w:sz w:val="24"/>
          <w:szCs w:val="24"/>
          <w:highlight w:val="none"/>
          <w:lang w:eastAsia="zh-CN"/>
        </w:rPr>
        <w:t>签订日期：   年   月   日</w:t>
      </w:r>
    </w:p>
    <w:p w14:paraId="26622CDE">
      <w:pPr>
        <w:pStyle w:val="7"/>
        <w:kinsoku/>
        <w:spacing w:before="113" w:line="225" w:lineRule="auto"/>
        <w:jc w:val="both"/>
        <w:outlineLvl w:val="0"/>
        <w:rPr>
          <w:color w:val="auto"/>
          <w:spacing w:val="8"/>
          <w:sz w:val="35"/>
          <w:szCs w:val="35"/>
          <w:highlight w:val="none"/>
          <w:lang w:eastAsia="zh-CN"/>
          <w14:textOutline w14:w="6540" w14:cap="sq" w14:cmpd="sng" w14:algn="ctr">
            <w14:solidFill>
              <w14:srgbClr w14:val="000000"/>
            </w14:solidFill>
            <w14:prstDash w14:val="solid"/>
            <w14:bevel/>
          </w14:textOutline>
        </w:rPr>
      </w:pPr>
      <w:bookmarkStart w:id="31" w:name="bookmark47"/>
      <w:bookmarkEnd w:id="31"/>
      <w:bookmarkStart w:id="32" w:name="bookmark10"/>
      <w:bookmarkEnd w:id="32"/>
      <w:bookmarkStart w:id="33" w:name="bookmark14"/>
      <w:bookmarkEnd w:id="33"/>
      <w:bookmarkStart w:id="34" w:name="bookmark45"/>
      <w:bookmarkEnd w:id="34"/>
      <w:bookmarkStart w:id="35" w:name="bookmark12"/>
      <w:bookmarkEnd w:id="35"/>
      <w:bookmarkStart w:id="36" w:name="bookmark49"/>
      <w:bookmarkEnd w:id="36"/>
    </w:p>
    <w:p w14:paraId="6FA09A67">
      <w:pPr>
        <w:pStyle w:val="3"/>
        <w:kinsoku/>
        <w:autoSpaceDE/>
        <w:autoSpaceDN/>
        <w:adjustRightInd/>
        <w:snapToGrid/>
        <w:spacing w:line="240" w:lineRule="auto"/>
        <w:ind w:left="781" w:leftChars="205" w:hanging="351" w:hangingChars="97"/>
        <w:jc w:val="center"/>
        <w:textAlignment w:val="auto"/>
        <w:rPr>
          <w:rFonts w:ascii="宋体" w:hAnsi="宋体" w:eastAsia="宋体" w:cs="仿宋"/>
          <w:bCs/>
          <w:snapToGrid/>
          <w:color w:val="auto"/>
          <w:kern w:val="0"/>
          <w:sz w:val="36"/>
          <w:szCs w:val="36"/>
          <w:highlight w:val="none"/>
          <w:lang w:eastAsia="zh-CN"/>
        </w:rPr>
      </w:pPr>
      <w:bookmarkStart w:id="37" w:name="_Toc21440"/>
      <w:r>
        <w:rPr>
          <w:rFonts w:hint="eastAsia" w:ascii="宋体" w:hAnsi="宋体" w:eastAsia="宋体" w:cs="仿宋"/>
          <w:bCs/>
          <w:snapToGrid/>
          <w:color w:val="auto"/>
          <w:kern w:val="0"/>
          <w:sz w:val="36"/>
          <w:szCs w:val="36"/>
          <w:highlight w:val="none"/>
          <w:lang w:eastAsia="zh-CN"/>
        </w:rPr>
        <w:t>第二部分  通用条款</w:t>
      </w:r>
      <w:bookmarkEnd w:id="37"/>
    </w:p>
    <w:p w14:paraId="02AED1D8">
      <w:pPr>
        <w:kinsoku/>
        <w:spacing w:line="243" w:lineRule="auto"/>
        <w:jc w:val="both"/>
        <w:rPr>
          <w:color w:val="auto"/>
          <w:highlight w:val="none"/>
          <w:lang w:eastAsia="zh-CN"/>
        </w:rPr>
      </w:pPr>
    </w:p>
    <w:p w14:paraId="06990767">
      <w:pPr>
        <w:kinsoku/>
        <w:spacing w:line="244" w:lineRule="auto"/>
        <w:jc w:val="both"/>
        <w:rPr>
          <w:color w:val="auto"/>
          <w:highlight w:val="none"/>
          <w:lang w:eastAsia="zh-CN"/>
        </w:rPr>
      </w:pPr>
    </w:p>
    <w:p w14:paraId="7457FCB6">
      <w:pPr>
        <w:pStyle w:val="4"/>
        <w:spacing w:before="0" w:after="0" w:line="360" w:lineRule="auto"/>
        <w:ind w:firstLine="482" w:firstLineChars="200"/>
        <w:rPr>
          <w:rFonts w:ascii="仿宋" w:hAnsi="仿宋" w:eastAsia="仿宋" w:cs="仿宋"/>
          <w:color w:val="auto"/>
          <w:sz w:val="24"/>
          <w:szCs w:val="24"/>
          <w:highlight w:val="none"/>
          <w:lang w:eastAsia="zh-CN"/>
        </w:rPr>
      </w:pPr>
      <w:bookmarkStart w:id="38" w:name="_Toc21051"/>
      <w:r>
        <w:rPr>
          <w:rFonts w:hint="eastAsia" w:ascii="仿宋" w:hAnsi="仿宋" w:eastAsia="仿宋" w:cs="仿宋"/>
          <w:color w:val="auto"/>
          <w:sz w:val="24"/>
          <w:szCs w:val="24"/>
          <w:highlight w:val="none"/>
          <w:lang w:eastAsia="zh-CN"/>
        </w:rPr>
        <w:t>1. 定义与解释</w:t>
      </w:r>
      <w:bookmarkEnd w:id="38"/>
    </w:p>
    <w:p w14:paraId="4AD922A4">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39" w:name="_Toc16150"/>
      <w:r>
        <w:rPr>
          <w:rFonts w:hint="eastAsia" w:ascii="仿宋" w:hAnsi="仿宋" w:eastAsia="仿宋" w:cs="Times New Roman"/>
          <w:snapToGrid/>
          <w:color w:val="auto"/>
          <w:kern w:val="2"/>
          <w:sz w:val="24"/>
          <w:szCs w:val="24"/>
          <w:highlight w:val="none"/>
          <w:lang w:eastAsia="zh-CN"/>
        </w:rPr>
        <w:t>1.1 定义</w:t>
      </w:r>
      <w:bookmarkEnd w:id="39"/>
    </w:p>
    <w:p w14:paraId="455D463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除根据上下文另有其意义外，组成本合同的全部文件中的下列名词和用语应具有本条款所赋予的含义：</w:t>
      </w:r>
    </w:p>
    <w:p w14:paraId="0F0E6CF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 “工程”是指按照本合同约定实施监理与相关服务的建设工程。</w:t>
      </w:r>
    </w:p>
    <w:p w14:paraId="6884F9F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1.1.2 “委托人”是指本合同中委托监理与相关服务的一方，及其合法的继承人或受让人。</w:t>
      </w:r>
    </w:p>
    <w:p w14:paraId="337EED8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1.1.3 “监理人”是指本合同中提供监理与相关服务的一方，及其合法的继承人。</w:t>
      </w:r>
    </w:p>
    <w:p w14:paraId="3B05255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1.1.4 “承包人”是指在工程范围内与委托人签订勘察、设计、施工等有关合同的当事人，及其合法的继承人。</w:t>
      </w:r>
    </w:p>
    <w:p w14:paraId="0D7A8E0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7D2624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1.1.6 “相关服务”是指监理人受委托人的委托 ，按照本合同约定，在勘察、设计、保修等阶段提供的服务活动。</w:t>
      </w:r>
    </w:p>
    <w:p w14:paraId="5DFAB75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1.1.7 “正常工作”指本合同订立时通用条款和专用条款中约定的监理人的工作。</w:t>
      </w:r>
    </w:p>
    <w:p w14:paraId="547198C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1.1.8 “附加工作”是指本合同约定的正常工作以外监理人的工作。</w:t>
      </w:r>
    </w:p>
    <w:p w14:paraId="64BDF4A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1.1.9 “项目监理机构”是指监理人派驻工程负责履行本合同的组织机构。</w:t>
      </w:r>
    </w:p>
    <w:p w14:paraId="7E1A563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1.1.10 “总监理工程师”是指由监理人的法定代表人书面授权，全面负责履行本合同、主持项目监理机构工作的注册监理工程师。</w:t>
      </w:r>
    </w:p>
    <w:p w14:paraId="6D02A26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1.1.11 “酬金”是指监理人履行本合同义务，委托人按照本合同约定给付监理人的金额。</w:t>
      </w:r>
    </w:p>
    <w:p w14:paraId="037CD16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★1.1.12 “正常工作酬金”是指监理人完成正常工作，委托人应给付监理人并在协</w:t>
      </w:r>
      <w:bookmarkStart w:id="40" w:name="bookmark58"/>
      <w:bookmarkEnd w:id="40"/>
      <w:bookmarkStart w:id="41" w:name="bookmark66"/>
      <w:bookmarkEnd w:id="41"/>
      <w:bookmarkStart w:id="42" w:name="bookmark64"/>
      <w:bookmarkEnd w:id="42"/>
      <w:bookmarkStart w:id="43" w:name="bookmark68"/>
      <w:bookmarkEnd w:id="43"/>
      <w:bookmarkStart w:id="44" w:name="bookmark62"/>
      <w:bookmarkEnd w:id="44"/>
      <w:bookmarkStart w:id="45" w:name="bookmark60"/>
      <w:bookmarkEnd w:id="45"/>
      <w:r>
        <w:rPr>
          <w:rFonts w:hint="eastAsia" w:ascii="仿宋" w:hAnsi="仿宋" w:eastAsia="仿宋" w:cs="Times New Roman"/>
          <w:snapToGrid/>
          <w:color w:val="auto"/>
          <w:kern w:val="2"/>
          <w:sz w:val="24"/>
          <w:szCs w:val="24"/>
          <w:highlight w:val="none"/>
          <w:lang w:eastAsia="zh-CN"/>
        </w:rPr>
        <w:t>议书中载明的签约酬金额。</w:t>
      </w:r>
    </w:p>
    <w:p w14:paraId="5690D6B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★1.1.13 “附加工作酬金”是指监理人完成附加工作，委托人应给付监理人的金额。</w:t>
      </w:r>
    </w:p>
    <w:p w14:paraId="7B824DF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1.1.14 “一方”是指委托人或监理人；“双方”是指委托人和监理人；“第三方”是指除委托人和监理人以外的有关方。</w:t>
      </w:r>
    </w:p>
    <w:p w14:paraId="15E15AA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1.1.15 “书面形式”是指合同书、信件和数据电文（包括电报、电传、传真、电子数据交换和电子邮件）等可以有形地表现所载内容的形式。</w:t>
      </w:r>
    </w:p>
    <w:p w14:paraId="275AF88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1.1.16 “天”是指第一天零时至第二天零时的时间。</w:t>
      </w:r>
    </w:p>
    <w:p w14:paraId="4524793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1.1.17 “月”是指按公历从一个月中任何一天开始的一个公历月时间。</w:t>
      </w:r>
    </w:p>
    <w:p w14:paraId="171B353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1.1.18 不可抗力是指合同当事人在签订合同时不可预见，在合同履行过程中不可避免且不能克服的自然灾害和社会性突发事件，如地震、海啸、瘟疫、骚乱、戒严、暴动、战争等。</w:t>
      </w:r>
    </w:p>
    <w:p w14:paraId="379C882A">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46" w:name="_Toc27918"/>
      <w:r>
        <w:rPr>
          <w:rFonts w:hint="eastAsia" w:ascii="仿宋" w:hAnsi="仿宋" w:eastAsia="仿宋" w:cs="Times New Roman"/>
          <w:snapToGrid/>
          <w:color w:val="auto"/>
          <w:kern w:val="2"/>
          <w:sz w:val="24"/>
          <w:szCs w:val="24"/>
          <w:highlight w:val="none"/>
          <w:lang w:eastAsia="zh-CN"/>
        </w:rPr>
        <w:t>1.2 解释</w:t>
      </w:r>
      <w:bookmarkEnd w:id="46"/>
    </w:p>
    <w:p w14:paraId="33C53BA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1.2.1 本合同使用中文书写、解释和说明。如专用条款约定使用两种及以上语言文字时，应以中文为准。</w:t>
      </w:r>
    </w:p>
    <w:p w14:paraId="4B3D693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1.2.2 组成本合同的下列文件彼此应能相互解释、互为说明。本合同文件的解释顺序如下：</w:t>
      </w:r>
    </w:p>
    <w:p w14:paraId="7C229BD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（1）履行本合同的相关补充协议（含工程洽商记录、会议纪要、变更、现场签证、</w:t>
      </w:r>
    </w:p>
    <w:p w14:paraId="45C734DE">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索赔和合同价款调整报告等修正文件）；</w:t>
      </w:r>
    </w:p>
    <w:p w14:paraId="026C0D5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（2）协议书；</w:t>
      </w:r>
    </w:p>
    <w:p w14:paraId="6267E98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（3）中标通知书（适用于招标工程）或委托书（适用于非招标工程）；</w:t>
      </w:r>
    </w:p>
    <w:p w14:paraId="1CB7F89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（4）投标函及投标函附录（适用于招标工程）或服务建议书（适用于非招标工程）；</w:t>
      </w:r>
    </w:p>
    <w:p w14:paraId="07BBAF0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（5）专用条款及附件；</w:t>
      </w:r>
    </w:p>
    <w:p w14:paraId="3B6C813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（6）通用条款；</w:t>
      </w:r>
    </w:p>
    <w:p w14:paraId="714C46C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（7）招标文件（包括补充、修改、澄清的文件、招标图纸、答疑纪要、工作量清单及总说明等）；</w:t>
      </w:r>
    </w:p>
    <w:p w14:paraId="606DC1B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（8）专用条款约定的其他文件。</w:t>
      </w:r>
    </w:p>
    <w:p w14:paraId="52C78BD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上述各项合同文件包括合同当事人就该项合同文件所作出的补充和修改，属于同一类内容的文件，应以最新签署的为准。</w:t>
      </w:r>
    </w:p>
    <w:p w14:paraId="65AF6921">
      <w:pPr>
        <w:widowControl w:val="0"/>
        <w:numPr>
          <w:ilvl w:val="0"/>
          <w:numId w:val="1"/>
        </w:num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47" w:name="bookmark16"/>
      <w:bookmarkEnd w:id="47"/>
      <w:bookmarkStart w:id="48" w:name="_Toc15672"/>
      <w:r>
        <w:rPr>
          <w:rFonts w:hint="eastAsia" w:ascii="仿宋" w:hAnsi="仿宋" w:eastAsia="仿宋" w:cs="仿宋"/>
          <w:b/>
          <w:snapToGrid/>
          <w:color w:val="auto"/>
          <w:kern w:val="2"/>
          <w:sz w:val="24"/>
          <w:szCs w:val="24"/>
          <w:highlight w:val="none"/>
          <w:lang w:eastAsia="zh-CN"/>
        </w:rPr>
        <w:t>监理人的义务</w:t>
      </w:r>
      <w:bookmarkEnd w:id="48"/>
      <w:bookmarkStart w:id="49" w:name="bookmark70"/>
      <w:bookmarkEnd w:id="49"/>
      <w:bookmarkStart w:id="50" w:name="bookmark18"/>
      <w:bookmarkEnd w:id="50"/>
    </w:p>
    <w:p w14:paraId="7C5B44AF">
      <w:pPr>
        <w:widowControl w:val="0"/>
        <w:kinsoku/>
        <w:autoSpaceDE/>
        <w:autoSpaceDN/>
        <w:adjustRightInd/>
        <w:snapToGrid/>
        <w:spacing w:line="360" w:lineRule="auto"/>
        <w:ind w:left="420" w:leftChars="200"/>
        <w:jc w:val="both"/>
        <w:textAlignment w:val="auto"/>
        <w:outlineLvl w:val="2"/>
        <w:rPr>
          <w:rFonts w:ascii="仿宋" w:hAnsi="仿宋" w:eastAsia="仿宋" w:cs="Times New Roman"/>
          <w:snapToGrid/>
          <w:color w:val="auto"/>
          <w:kern w:val="2"/>
          <w:sz w:val="24"/>
          <w:szCs w:val="24"/>
          <w:highlight w:val="none"/>
          <w:lang w:eastAsia="zh-CN"/>
        </w:rPr>
      </w:pPr>
      <w:bookmarkStart w:id="51" w:name="_Toc22391"/>
      <w:r>
        <w:rPr>
          <w:rFonts w:hint="eastAsia" w:ascii="仿宋" w:hAnsi="仿宋" w:eastAsia="仿宋" w:cs="Times New Roman"/>
          <w:snapToGrid/>
          <w:color w:val="auto"/>
          <w:kern w:val="2"/>
          <w:sz w:val="24"/>
          <w:szCs w:val="24"/>
          <w:highlight w:val="none"/>
          <w:lang w:eastAsia="zh-CN"/>
        </w:rPr>
        <w:t>2.1 监理的范围和工作内容</w:t>
      </w:r>
      <w:bookmarkEnd w:id="51"/>
    </w:p>
    <w:p w14:paraId="7ED2E8F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根据《建设工程质量管理条例》（中华人民共和国建设部令第279号）和《建设工程监理范围和规模标准规定》（中华人民共和国建设部令第86号），按中华人民共和国国家标准GB/T50319-2013《建设工程监理规范》执行。</w:t>
      </w:r>
    </w:p>
    <w:p w14:paraId="1080DDA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2.1.1 监理范围：指施工准备期、施工期、竣工结算期、质量保修期全过程监理服务，具体内容在专用条款中约定。</w:t>
      </w:r>
    </w:p>
    <w:p w14:paraId="797045B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2.1.2 除专用条款另有约定外，监理工作内容:在施工阶段对建设工程质量、造价、进度进行控制，对合同、信息进行管理，对工程建设相关方的关系进行协调。并履行建设工程安全生产管理法定职责的服务活动，具体内容包括：</w:t>
      </w:r>
    </w:p>
    <w:p w14:paraId="642D958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（1）收到工程设计文件后编制监理规划，并在第一次工地会议7天前报委托人。根据有关规定和监理工作需要，编制监理实施细则；</w:t>
      </w:r>
    </w:p>
    <w:p w14:paraId="034598D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（2）熟悉工程设计文件，并参加由委托人主持的图纸会审和设计交底会议；</w:t>
      </w:r>
    </w:p>
    <w:p w14:paraId="08AC656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（3）参加由委托人主持的第一次工地会议；主持监理例会并根据工程需要主持或参加专题会议；</w:t>
      </w:r>
    </w:p>
    <w:p w14:paraId="1F1CCC0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00347D2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这些情况进行监督管理。对施工单位未按规定落实实名管理工作的，发出监理通知单，要求其限期整改。对施工企业逾期未整改的，向建设单位和负责该工程监管工作的住房城乡建设主管部门报告。</w:t>
      </w:r>
    </w:p>
    <w:p w14:paraId="35246F2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（6）检查施工承包人工程质量、安全生产管理制度及组织机构和人员资格；</w:t>
      </w:r>
    </w:p>
    <w:p w14:paraId="69E65D8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（7）检查施工承包人专职安全生产管理人员的配备情况；</w:t>
      </w:r>
    </w:p>
    <w:p w14:paraId="1C5F13E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（8）审查施工承包人提交的施工进度计划，核查承包人对施工进度计划的调整；</w:t>
      </w:r>
    </w:p>
    <w:p w14:paraId="50A68F4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（9）检查施工承包人的试验室；</w:t>
      </w:r>
    </w:p>
    <w:p w14:paraId="3DDB746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（10）审核施工分包人资质条件；</w:t>
      </w:r>
    </w:p>
    <w:p w14:paraId="18DD3E7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bookmarkStart w:id="52" w:name="bookmark80"/>
      <w:bookmarkEnd w:id="52"/>
      <w:bookmarkStart w:id="53" w:name="bookmark82"/>
      <w:bookmarkEnd w:id="53"/>
      <w:bookmarkStart w:id="54" w:name="bookmark86"/>
      <w:bookmarkEnd w:id="54"/>
      <w:bookmarkStart w:id="55" w:name="bookmark84"/>
      <w:bookmarkEnd w:id="55"/>
      <w:bookmarkStart w:id="56" w:name="bookmark78"/>
      <w:bookmarkEnd w:id="56"/>
      <w:bookmarkStart w:id="57" w:name="bookmark76"/>
      <w:bookmarkEnd w:id="57"/>
      <w:bookmarkStart w:id="58" w:name="bookmark74"/>
      <w:bookmarkEnd w:id="58"/>
      <w:bookmarkStart w:id="59" w:name="bookmark72"/>
      <w:bookmarkEnd w:id="59"/>
      <w:r>
        <w:rPr>
          <w:rFonts w:hint="eastAsia" w:ascii="仿宋" w:hAnsi="仿宋" w:eastAsia="仿宋" w:cs="Times New Roman"/>
          <w:snapToGrid/>
          <w:color w:val="auto"/>
          <w:kern w:val="2"/>
          <w:sz w:val="24"/>
          <w:szCs w:val="24"/>
          <w:highlight w:val="none"/>
          <w:lang w:eastAsia="zh-CN"/>
        </w:rPr>
        <w:t>（11）查验施工承包人的施工测量放线成果；</w:t>
      </w:r>
    </w:p>
    <w:p w14:paraId="6C4EC2E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（12）审查工程开工条件，对条件具备的签发开工令；</w:t>
      </w:r>
    </w:p>
    <w:p w14:paraId="5C17B82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（13）审查施工承包人报送的工程材料、构配件、设备质量证明文件的有效性和符合性，并按规定对用于工程的材料采取平行检验或见证取样方式进行抽检；</w:t>
      </w:r>
    </w:p>
    <w:p w14:paraId="4B266E5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（14）审核施工承包人提交的工程款支付申请，签发或出具工程款支付证书，并报委托人审核、批准；</w:t>
      </w:r>
    </w:p>
    <w:p w14:paraId="3A443F9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（15）在巡视、旁站和检验过程中，发现工程质量、施工安全存在事故隐患的，要求施工承包人整改并报委托人；</w:t>
      </w:r>
    </w:p>
    <w:p w14:paraId="5F7FC3A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（16）经委托人同意，签发工程暂停令和复工令</w:t>
      </w:r>
      <w:r>
        <w:rPr>
          <w:rFonts w:ascii="仿宋" w:hAnsi="仿宋" w:eastAsia="仿宋" w:cs="Times New Roman"/>
          <w:snapToGrid/>
          <w:color w:val="auto"/>
          <w:kern w:val="2"/>
          <w:sz w:val="24"/>
          <w:szCs w:val="24"/>
          <w:highlight w:val="none"/>
          <w:lang w:eastAsia="zh-CN"/>
        </w:rPr>
        <w:t>，但应事先向委托人报告</w:t>
      </w:r>
      <w:r>
        <w:rPr>
          <w:rFonts w:hint="eastAsia" w:ascii="仿宋" w:hAnsi="仿宋" w:eastAsia="仿宋" w:cs="Times New Roman"/>
          <w:snapToGrid/>
          <w:color w:val="auto"/>
          <w:kern w:val="2"/>
          <w:sz w:val="24"/>
          <w:szCs w:val="24"/>
          <w:highlight w:val="none"/>
          <w:lang w:eastAsia="zh-CN"/>
        </w:rPr>
        <w:t>；</w:t>
      </w:r>
    </w:p>
    <w:p w14:paraId="0CDD444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（17）审查施工承包人提交的采用新材料、新工艺、新技术、新设备的论证材料及相关验收标准；</w:t>
      </w:r>
    </w:p>
    <w:p w14:paraId="6642555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（18）验收隐蔽工程、分部分项工程；</w:t>
      </w:r>
    </w:p>
    <w:p w14:paraId="0FFA19F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（19）审查施工承包人提交的工程变更申请，协调处理施工进度调整、费用索赔、</w:t>
      </w:r>
    </w:p>
    <w:p w14:paraId="60CB0E5A">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合同争议等事项；</w:t>
      </w:r>
    </w:p>
    <w:p w14:paraId="4D7FCA7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（20）审查施工承包人提交的竣工验收申请，编写工程质量评估报告；</w:t>
      </w:r>
    </w:p>
    <w:p w14:paraId="6BA3347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（21）参加工程竣工验收，签署竣工验收意见；</w:t>
      </w:r>
    </w:p>
    <w:p w14:paraId="648AD0D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（22）审查施工承包人提交的竣工结算申请并报委托人；</w:t>
      </w:r>
    </w:p>
    <w:p w14:paraId="3BEA855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（23）编制、整理工程监理归档文件并报委托人。</w:t>
      </w:r>
    </w:p>
    <w:p w14:paraId="11E78C9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2.1.3 相关服务的范围和内容在专用条款中约定。</w:t>
      </w:r>
    </w:p>
    <w:p w14:paraId="6D6586C4">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60" w:name="bookmark20"/>
      <w:bookmarkEnd w:id="60"/>
      <w:bookmarkStart w:id="61" w:name="_Toc23991"/>
      <w:r>
        <w:rPr>
          <w:rFonts w:hint="eastAsia" w:ascii="仿宋" w:hAnsi="仿宋" w:eastAsia="仿宋" w:cs="Times New Roman"/>
          <w:snapToGrid/>
          <w:color w:val="auto"/>
          <w:kern w:val="2"/>
          <w:sz w:val="24"/>
          <w:szCs w:val="24"/>
          <w:highlight w:val="none"/>
          <w:lang w:eastAsia="zh-CN"/>
        </w:rPr>
        <w:t>2.2 监理与相关服务依据</w:t>
      </w:r>
      <w:bookmarkEnd w:id="61"/>
    </w:p>
    <w:p w14:paraId="0873ACE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2.2.1 监理依据包括：</w:t>
      </w:r>
    </w:p>
    <w:p w14:paraId="5778336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（1）适用的法律、行政法规及部门规章；</w:t>
      </w:r>
    </w:p>
    <w:p w14:paraId="2353645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（2）与工程有关的标准；</w:t>
      </w:r>
    </w:p>
    <w:p w14:paraId="2CABFFA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（3）工程设计及有关文件；</w:t>
      </w:r>
    </w:p>
    <w:p w14:paraId="0F27245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（4）本合同及委托人与第三方签订的与实施工程有关的其他合同。双方根据工程的行业和地域特点，在专用条款中具体约定监理依据。</w:t>
      </w:r>
    </w:p>
    <w:p w14:paraId="6BAA93E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2.2.2 相关服务依据在专用条款中约定。</w:t>
      </w:r>
    </w:p>
    <w:p w14:paraId="639A88A0">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62" w:name="bookmark22"/>
      <w:bookmarkEnd w:id="62"/>
      <w:bookmarkStart w:id="63" w:name="_Toc11374"/>
      <w:r>
        <w:rPr>
          <w:rFonts w:hint="eastAsia" w:ascii="仿宋" w:hAnsi="仿宋" w:eastAsia="仿宋" w:cs="Times New Roman"/>
          <w:snapToGrid/>
          <w:color w:val="auto"/>
          <w:kern w:val="2"/>
          <w:sz w:val="24"/>
          <w:szCs w:val="24"/>
          <w:highlight w:val="none"/>
          <w:lang w:eastAsia="zh-CN"/>
        </w:rPr>
        <w:t>2.3 项目监理机构和人员</w:t>
      </w:r>
      <w:bookmarkEnd w:id="63"/>
    </w:p>
    <w:p w14:paraId="6AB2B06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2.3.1 监理人应按附件3-1中监理人应提供人员名单组建满足工作需要的项目监理</w:t>
      </w:r>
      <w:bookmarkStart w:id="64" w:name="bookmark100"/>
      <w:bookmarkEnd w:id="64"/>
      <w:bookmarkStart w:id="65" w:name="bookmark92"/>
      <w:bookmarkEnd w:id="65"/>
      <w:bookmarkStart w:id="66" w:name="bookmark88"/>
      <w:bookmarkEnd w:id="66"/>
      <w:bookmarkStart w:id="67" w:name="bookmark98"/>
      <w:bookmarkEnd w:id="67"/>
      <w:bookmarkStart w:id="68" w:name="bookmark90"/>
      <w:bookmarkEnd w:id="68"/>
      <w:bookmarkStart w:id="69" w:name="bookmark96"/>
      <w:bookmarkEnd w:id="69"/>
      <w:bookmarkStart w:id="70" w:name="bookmark94"/>
      <w:bookmarkEnd w:id="70"/>
      <w:r>
        <w:rPr>
          <w:rFonts w:hint="eastAsia" w:ascii="仿宋" w:hAnsi="仿宋" w:eastAsia="仿宋" w:cs="Times New Roman"/>
          <w:snapToGrid/>
          <w:color w:val="auto"/>
          <w:kern w:val="2"/>
          <w:sz w:val="24"/>
          <w:szCs w:val="24"/>
          <w:highlight w:val="none"/>
          <w:lang w:eastAsia="zh-CN"/>
        </w:rPr>
        <w:t>机构，按附件3-2配备必要的检测设备。项目监理机构的主要人员应具有相应的资格条件。</w:t>
      </w:r>
    </w:p>
    <w:p w14:paraId="779184A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2.3.2 本合同履行过程中，总监理工程师及重要岗位监理人员应保持相对稳定，以保证监理工作正常进行。</w:t>
      </w:r>
    </w:p>
    <w:p w14:paraId="082FBD3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2.3.3 监理人可根据工程进展和工作需要调整项目监理机构人员。监理人更换总监 理工程师时，应提前7天向委托人书面报告，经委托人同意后方可更换；监理人更换项目监理机构其他监理人员，应以相当资格与能力的人员替换，并通知委托人。</w:t>
      </w:r>
    </w:p>
    <w:p w14:paraId="37AC131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2.3.4 监理人应及时更换有下列情形之一的监理人员：</w:t>
      </w:r>
    </w:p>
    <w:p w14:paraId="2FC67CF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（1）严重过失行为的；</w:t>
      </w:r>
    </w:p>
    <w:p w14:paraId="669E7B5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（2）有违法行为不能履行职责的；</w:t>
      </w:r>
    </w:p>
    <w:p w14:paraId="7E65355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（3）涉嫌犯罪的；</w:t>
      </w:r>
    </w:p>
    <w:p w14:paraId="092BDA9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（4）不能胜任岗位职责的；</w:t>
      </w:r>
    </w:p>
    <w:p w14:paraId="4CDEE2A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（5）严重违反职业道德的；</w:t>
      </w:r>
    </w:p>
    <w:p w14:paraId="6487FF0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（6）专用条款约定的其他情形。</w:t>
      </w:r>
    </w:p>
    <w:p w14:paraId="1BA994A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2.3.5 委托人可要求监理人更换不能胜任本职工作的项目监理机构人员。</w:t>
      </w:r>
    </w:p>
    <w:p w14:paraId="611948A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71" w:name="bookmark24"/>
      <w:bookmarkEnd w:id="71"/>
      <w:bookmarkStart w:id="72" w:name="_Toc14993"/>
      <w:r>
        <w:rPr>
          <w:rFonts w:hint="eastAsia" w:ascii="仿宋" w:hAnsi="仿宋" w:eastAsia="仿宋" w:cs="Times New Roman"/>
          <w:snapToGrid/>
          <w:color w:val="auto"/>
          <w:kern w:val="2"/>
          <w:sz w:val="24"/>
          <w:szCs w:val="24"/>
          <w:highlight w:val="none"/>
          <w:lang w:eastAsia="zh-CN"/>
        </w:rPr>
        <w:t>2.4 履行职责</w:t>
      </w:r>
      <w:bookmarkEnd w:id="72"/>
    </w:p>
    <w:p w14:paraId="34A5677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监理人应遵循职业道德准则和行为规范，严格按照法律法规、工程建设有关标准及本合同履行职责。</w:t>
      </w:r>
    </w:p>
    <w:p w14:paraId="4BD96BF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2.4.1 在监理与相关服务范围内，委托人和承包人提出的意见和要求，监理人应及时提出处置意见。当委托人与承包人之间发生合同争议时，监理人应协助委托人、承包人协商解决。</w:t>
      </w:r>
    </w:p>
    <w:p w14:paraId="07C7DC3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2.4.2 当委托人与承包人之间的合同争议提交仲裁机构仲裁或人民法院审理时，监理人应提供必要的证明资料。</w:t>
      </w:r>
    </w:p>
    <w:p w14:paraId="6E36707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★2.4.3 监理人应在专用条款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24小时内以书面形式报委托人。</w:t>
      </w:r>
    </w:p>
    <w:p w14:paraId="3766F9F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2.4.4 监理人发现工程承包人的人员不能胜任本职工作的，应将此情况及时反映给委托人，并有权要求工程承包人予以调换。</w:t>
      </w:r>
      <w:bookmarkStart w:id="73" w:name="bookmark104"/>
      <w:bookmarkEnd w:id="73"/>
      <w:bookmarkStart w:id="74" w:name="bookmark106"/>
      <w:bookmarkEnd w:id="74"/>
      <w:bookmarkStart w:id="75" w:name="bookmark108"/>
      <w:bookmarkEnd w:id="75"/>
      <w:bookmarkStart w:id="76" w:name="bookmark26"/>
      <w:bookmarkEnd w:id="76"/>
      <w:bookmarkStart w:id="77" w:name="bookmark102"/>
      <w:bookmarkEnd w:id="77"/>
      <w:bookmarkStart w:id="78" w:name="bookmark110"/>
      <w:bookmarkEnd w:id="78"/>
    </w:p>
    <w:p w14:paraId="25AA58C7">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79" w:name="_Toc1344"/>
      <w:r>
        <w:rPr>
          <w:rFonts w:hint="eastAsia" w:ascii="仿宋" w:hAnsi="仿宋" w:eastAsia="仿宋" w:cs="Times New Roman"/>
          <w:snapToGrid/>
          <w:color w:val="auto"/>
          <w:kern w:val="2"/>
          <w:sz w:val="24"/>
          <w:szCs w:val="24"/>
          <w:highlight w:val="none"/>
          <w:lang w:eastAsia="zh-CN"/>
        </w:rPr>
        <w:t>2.5 提交报告</w:t>
      </w:r>
      <w:bookmarkEnd w:id="79"/>
    </w:p>
    <w:p w14:paraId="56B2A52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监理人应按专用条款约定的种类、时间和份数向委托人提交监理与相关服务的报</w:t>
      </w:r>
      <w:bookmarkStart w:id="80" w:name="bookmark28"/>
      <w:bookmarkEnd w:id="80"/>
      <w:r>
        <w:rPr>
          <w:rFonts w:hint="eastAsia" w:ascii="仿宋" w:hAnsi="仿宋" w:eastAsia="仿宋" w:cs="Times New Roman"/>
          <w:snapToGrid/>
          <w:color w:val="auto"/>
          <w:kern w:val="2"/>
          <w:sz w:val="24"/>
          <w:szCs w:val="24"/>
          <w:highlight w:val="none"/>
          <w:lang w:eastAsia="zh-CN"/>
        </w:rPr>
        <w:t>告。</w:t>
      </w:r>
    </w:p>
    <w:p w14:paraId="752D57A4">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81" w:name="_Toc23070"/>
      <w:r>
        <w:rPr>
          <w:rFonts w:hint="eastAsia" w:ascii="仿宋" w:hAnsi="仿宋" w:eastAsia="仿宋" w:cs="Times New Roman"/>
          <w:snapToGrid/>
          <w:color w:val="auto"/>
          <w:kern w:val="2"/>
          <w:sz w:val="24"/>
          <w:szCs w:val="24"/>
          <w:highlight w:val="none"/>
          <w:lang w:eastAsia="zh-CN"/>
        </w:rPr>
        <w:t>2.6 文件资料</w:t>
      </w:r>
      <w:bookmarkEnd w:id="81"/>
    </w:p>
    <w:p w14:paraId="14902E1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在本合同履行期内，监理人应在现场保留工作所用的图纸、报告及记录监理工作的相关文件。工程竣工后，应当按照档案管理规定将监理有关文件归档。</w:t>
      </w:r>
    </w:p>
    <w:p w14:paraId="79710929">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82" w:name="bookmark30"/>
      <w:bookmarkEnd w:id="82"/>
      <w:bookmarkStart w:id="83" w:name="_Toc16437"/>
      <w:r>
        <w:rPr>
          <w:rFonts w:hint="eastAsia" w:ascii="仿宋" w:hAnsi="仿宋" w:eastAsia="仿宋" w:cs="Times New Roman"/>
          <w:snapToGrid/>
          <w:color w:val="auto"/>
          <w:kern w:val="2"/>
          <w:sz w:val="24"/>
          <w:szCs w:val="24"/>
          <w:highlight w:val="none"/>
          <w:lang w:eastAsia="zh-CN"/>
        </w:rPr>
        <w:t>2.7 使用委托人的财产</w:t>
      </w:r>
      <w:bookmarkEnd w:id="83"/>
    </w:p>
    <w:p w14:paraId="0FDBBBD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无偿使用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14:paraId="362BD7E0">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84" w:name="bookmark32"/>
      <w:bookmarkEnd w:id="84"/>
      <w:bookmarkStart w:id="85" w:name="_Toc5515"/>
      <w:r>
        <w:rPr>
          <w:rFonts w:hint="eastAsia" w:ascii="仿宋" w:hAnsi="仿宋" w:eastAsia="仿宋" w:cs="Times New Roman"/>
          <w:snapToGrid/>
          <w:color w:val="auto"/>
          <w:kern w:val="2"/>
          <w:sz w:val="24"/>
          <w:szCs w:val="24"/>
          <w:highlight w:val="none"/>
          <w:lang w:eastAsia="zh-CN"/>
        </w:rPr>
        <w:t>2.8 履约担保</w:t>
      </w:r>
      <w:bookmarkEnd w:id="85"/>
    </w:p>
    <w:p w14:paraId="5209C22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双方可在专用条款中约定履约保函、履约保证保险（</w:t>
      </w:r>
      <w:r>
        <w:rPr>
          <w:rFonts w:hint="eastAsia" w:ascii="仿宋" w:hAnsi="仿宋" w:eastAsia="仿宋" w:cs="Times New Roman"/>
          <w:snapToGrid/>
          <w:color w:val="auto"/>
          <w:kern w:val="2"/>
          <w:sz w:val="24"/>
          <w:szCs w:val="24"/>
          <w:highlight w:val="none"/>
          <w:lang w:val="en-US" w:eastAsia="zh-CN"/>
        </w:rPr>
        <w:t>如有</w:t>
      </w:r>
      <w:r>
        <w:rPr>
          <w:rFonts w:hint="eastAsia" w:ascii="仿宋" w:hAnsi="仿宋" w:eastAsia="仿宋" w:cs="Times New Roman"/>
          <w:snapToGrid/>
          <w:color w:val="auto"/>
          <w:kern w:val="2"/>
          <w:sz w:val="24"/>
          <w:szCs w:val="24"/>
          <w:highlight w:val="none"/>
          <w:lang w:eastAsia="zh-CN"/>
        </w:rPr>
        <w:t>）的具体内容。应委托人的需求，要求监理人在合同签订期间向委托人提交银行金融机构出具的履约保函或保险机构出具或担保公司出具的履约保证保险。如果监理人日后未能在施工监理期内按合同约定完成其所监理的工作内容，则委托人可根据责任情况与监理人按违约责任条款的约定确认违约金，可从履约保函、履约保证保险中扣除。</w:t>
      </w:r>
    </w:p>
    <w:p w14:paraId="66626117">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86" w:name="bookmark36"/>
      <w:bookmarkEnd w:id="86"/>
      <w:bookmarkStart w:id="87" w:name="bookmark34"/>
      <w:bookmarkEnd w:id="87"/>
      <w:bookmarkStart w:id="88" w:name="_Toc7591"/>
      <w:r>
        <w:rPr>
          <w:rFonts w:hint="eastAsia" w:ascii="仿宋" w:hAnsi="仿宋" w:eastAsia="仿宋" w:cs="仿宋"/>
          <w:b/>
          <w:snapToGrid/>
          <w:color w:val="auto"/>
          <w:kern w:val="2"/>
          <w:sz w:val="24"/>
          <w:szCs w:val="24"/>
          <w:highlight w:val="none"/>
          <w:lang w:eastAsia="zh-CN"/>
        </w:rPr>
        <w:t>3．委托人的义务</w:t>
      </w:r>
      <w:bookmarkEnd w:id="88"/>
    </w:p>
    <w:p w14:paraId="7B68B974">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89" w:name="_Toc20519"/>
      <w:r>
        <w:rPr>
          <w:rFonts w:hint="eastAsia" w:ascii="仿宋" w:hAnsi="仿宋" w:eastAsia="仿宋" w:cs="Times New Roman"/>
          <w:snapToGrid/>
          <w:color w:val="auto"/>
          <w:kern w:val="2"/>
          <w:sz w:val="24"/>
          <w:szCs w:val="24"/>
          <w:highlight w:val="none"/>
          <w:lang w:eastAsia="zh-CN"/>
        </w:rPr>
        <w:t>3.1 告知</w:t>
      </w:r>
      <w:bookmarkEnd w:id="89"/>
    </w:p>
    <w:p w14:paraId="6B1E6C8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委托人应在委托人与承包人签订的合同中明确监理人、总监理工程师和授予项目监理机构的权限。如有变更，应及时通知承包人。</w:t>
      </w:r>
    </w:p>
    <w:p w14:paraId="38F51B22">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90" w:name="bookmark38"/>
      <w:bookmarkEnd w:id="90"/>
      <w:bookmarkStart w:id="91" w:name="_Toc28318"/>
      <w:r>
        <w:rPr>
          <w:rFonts w:hint="eastAsia" w:ascii="仿宋" w:hAnsi="仿宋" w:eastAsia="仿宋" w:cs="Times New Roman"/>
          <w:snapToGrid/>
          <w:color w:val="auto"/>
          <w:kern w:val="2"/>
          <w:sz w:val="24"/>
          <w:szCs w:val="24"/>
          <w:highlight w:val="none"/>
          <w:lang w:eastAsia="zh-CN"/>
        </w:rPr>
        <w:t>★3.2 提供资料</w:t>
      </w:r>
      <w:bookmarkEnd w:id="91"/>
    </w:p>
    <w:p w14:paraId="2961C58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委托人应按照专用条款约定，无偿向监理人提供工程有关的资料。在本合同履行过程中，委托人应及时向监理人提供最新的与工程有关的资料。</w:t>
      </w:r>
    </w:p>
    <w:p w14:paraId="3AFF7DF0">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92" w:name="bookmark40"/>
      <w:bookmarkEnd w:id="92"/>
      <w:bookmarkStart w:id="93" w:name="_Toc28164"/>
      <w:r>
        <w:rPr>
          <w:rFonts w:hint="eastAsia" w:ascii="仿宋" w:hAnsi="仿宋" w:eastAsia="仿宋" w:cs="Times New Roman"/>
          <w:snapToGrid/>
          <w:color w:val="auto"/>
          <w:kern w:val="2"/>
          <w:sz w:val="24"/>
          <w:szCs w:val="24"/>
          <w:highlight w:val="none"/>
          <w:lang w:eastAsia="zh-CN"/>
        </w:rPr>
        <w:t>★3.3 提供工作条件</w:t>
      </w:r>
      <w:bookmarkEnd w:id="93"/>
    </w:p>
    <w:p w14:paraId="4F4F197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委托人应按照专用条款约定为监理人完成监理与相关服务提供必要的条件。</w:t>
      </w:r>
    </w:p>
    <w:p w14:paraId="26C59E5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3.3.1 委托人应按照附件3约定，派遣相应的人员，提供房屋、设备，供监理人无偿使用。</w:t>
      </w:r>
    </w:p>
    <w:p w14:paraId="68AD3B9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3.3.2 委托人应负责协调工程建设中所有外部关系，为监理人履行本合同提供必要的外部条件。</w:t>
      </w:r>
      <w:bookmarkStart w:id="94" w:name="bookmark42"/>
      <w:bookmarkEnd w:id="94"/>
    </w:p>
    <w:p w14:paraId="4E36182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95" w:name="_Toc10595"/>
      <w:r>
        <w:rPr>
          <w:rFonts w:hint="eastAsia" w:ascii="仿宋" w:hAnsi="仿宋" w:eastAsia="仿宋" w:cs="Times New Roman"/>
          <w:snapToGrid/>
          <w:color w:val="auto"/>
          <w:kern w:val="2"/>
          <w:sz w:val="24"/>
          <w:szCs w:val="24"/>
          <w:highlight w:val="none"/>
          <w:lang w:eastAsia="zh-CN"/>
        </w:rPr>
        <w:t>3.4 委托人代表</w:t>
      </w:r>
      <w:bookmarkEnd w:id="95"/>
    </w:p>
    <w:p w14:paraId="7E5F249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委托人应授权一名熟悉工程情况的代表，负责与监理人联系。委托人应在双方签订本合同后7天内，将委托人代表的姓名和职责书面告知监理人。当委托人更换委托人代</w:t>
      </w:r>
      <w:bookmarkStart w:id="96" w:name="bookmark44"/>
      <w:bookmarkEnd w:id="96"/>
      <w:r>
        <w:rPr>
          <w:rFonts w:hint="eastAsia" w:ascii="仿宋" w:hAnsi="仿宋" w:eastAsia="仿宋" w:cs="Times New Roman"/>
          <w:snapToGrid/>
          <w:color w:val="auto"/>
          <w:kern w:val="2"/>
          <w:sz w:val="24"/>
          <w:szCs w:val="24"/>
          <w:highlight w:val="none"/>
          <w:lang w:eastAsia="zh-CN"/>
        </w:rPr>
        <w:t>表时，应提前7天通知监理人。</w:t>
      </w:r>
    </w:p>
    <w:p w14:paraId="08466F46">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97" w:name="_Toc11455"/>
      <w:r>
        <w:rPr>
          <w:rFonts w:hint="eastAsia" w:ascii="仿宋" w:hAnsi="仿宋" w:eastAsia="仿宋" w:cs="Times New Roman"/>
          <w:snapToGrid/>
          <w:color w:val="auto"/>
          <w:kern w:val="2"/>
          <w:sz w:val="24"/>
          <w:szCs w:val="24"/>
          <w:highlight w:val="none"/>
          <w:lang w:eastAsia="zh-CN"/>
        </w:rPr>
        <w:t>3.5 委托人意见或要求</w:t>
      </w:r>
      <w:bookmarkEnd w:id="97"/>
    </w:p>
    <w:p w14:paraId="1E1AF80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在本合同约定的监理与相关服务工作范围内，委托人对承包人的任何意见或要求应通知监理人，由监理人向承包人发出相应指令。</w:t>
      </w:r>
    </w:p>
    <w:p w14:paraId="221EDA2E">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98" w:name="bookmark46"/>
      <w:bookmarkEnd w:id="98"/>
      <w:bookmarkStart w:id="99" w:name="_Toc7091"/>
      <w:r>
        <w:rPr>
          <w:rFonts w:hint="eastAsia" w:ascii="仿宋" w:hAnsi="仿宋" w:eastAsia="仿宋" w:cs="Times New Roman"/>
          <w:snapToGrid/>
          <w:color w:val="auto"/>
          <w:kern w:val="2"/>
          <w:sz w:val="24"/>
          <w:szCs w:val="24"/>
          <w:highlight w:val="none"/>
          <w:lang w:eastAsia="zh-CN"/>
        </w:rPr>
        <w:t>3.6 答复</w:t>
      </w:r>
      <w:bookmarkEnd w:id="99"/>
    </w:p>
    <w:p w14:paraId="61FBF71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委托人应在专用条款约定的时间内，对监理人以书面形式提交并要求作出决定的事宜，给予书面答复。逾期未答复的，视为委托人不予认可。</w:t>
      </w:r>
    </w:p>
    <w:p w14:paraId="599B9E7B">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00" w:name="bookmark48"/>
      <w:bookmarkEnd w:id="100"/>
      <w:bookmarkStart w:id="101" w:name="_Toc22380"/>
      <w:r>
        <w:rPr>
          <w:rFonts w:hint="eastAsia" w:ascii="仿宋" w:hAnsi="仿宋" w:eastAsia="仿宋" w:cs="Times New Roman"/>
          <w:snapToGrid/>
          <w:color w:val="auto"/>
          <w:kern w:val="2"/>
          <w:sz w:val="24"/>
          <w:szCs w:val="24"/>
          <w:highlight w:val="none"/>
          <w:lang w:eastAsia="zh-CN"/>
        </w:rPr>
        <w:t>3.7 支付</w:t>
      </w:r>
      <w:bookmarkEnd w:id="101"/>
    </w:p>
    <w:p w14:paraId="0DA999C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委托人应按本合同约定，向监理人支付酬金。</w:t>
      </w:r>
    </w:p>
    <w:p w14:paraId="5ED30E1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02" w:name="_Toc28531"/>
      <w:r>
        <w:rPr>
          <w:rFonts w:hint="eastAsia" w:ascii="仿宋" w:hAnsi="仿宋" w:eastAsia="仿宋" w:cs="Times New Roman"/>
          <w:snapToGrid/>
          <w:color w:val="auto"/>
          <w:kern w:val="2"/>
          <w:sz w:val="24"/>
          <w:szCs w:val="24"/>
          <w:highlight w:val="none"/>
          <w:lang w:eastAsia="zh-CN"/>
        </w:rPr>
        <w:t>3.8 支付担保</w:t>
      </w:r>
      <w:bookmarkEnd w:id="102"/>
    </w:p>
    <w:p w14:paraId="3A249C1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监理人按照要求提交了履约担保，委托人应向承包人提交与履约担保等值的支付担保，支付担保采用支付保函、支付保证保险的形式。</w:t>
      </w:r>
    </w:p>
    <w:p w14:paraId="20F5501B">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03" w:name="bookmark52"/>
      <w:bookmarkEnd w:id="103"/>
      <w:bookmarkStart w:id="104" w:name="bookmark51"/>
      <w:bookmarkEnd w:id="104"/>
      <w:bookmarkStart w:id="105" w:name="_Toc22263"/>
      <w:r>
        <w:rPr>
          <w:rFonts w:hint="eastAsia" w:ascii="仿宋" w:hAnsi="仿宋" w:eastAsia="仿宋" w:cs="仿宋"/>
          <w:b/>
          <w:snapToGrid/>
          <w:color w:val="auto"/>
          <w:kern w:val="2"/>
          <w:sz w:val="24"/>
          <w:szCs w:val="24"/>
          <w:highlight w:val="none"/>
          <w:lang w:eastAsia="zh-CN"/>
        </w:rPr>
        <w:t>4. 违约责任</w:t>
      </w:r>
      <w:bookmarkEnd w:id="105"/>
    </w:p>
    <w:p w14:paraId="4C8E3F5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06" w:name="_Toc7699"/>
      <w:r>
        <w:rPr>
          <w:rFonts w:hint="eastAsia" w:ascii="仿宋" w:hAnsi="仿宋" w:eastAsia="仿宋" w:cs="Times New Roman"/>
          <w:snapToGrid/>
          <w:color w:val="auto"/>
          <w:kern w:val="2"/>
          <w:sz w:val="24"/>
          <w:szCs w:val="24"/>
          <w:highlight w:val="none"/>
          <w:lang w:eastAsia="zh-CN"/>
        </w:rPr>
        <w:t>4.1 监理人的违约责任</w:t>
      </w:r>
      <w:bookmarkEnd w:id="106"/>
    </w:p>
    <w:p w14:paraId="30B5F59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监理人未履行本合同义务的，应承担相应的责任。</w:t>
      </w:r>
    </w:p>
    <w:p w14:paraId="09B9D756">
      <w:pPr>
        <w:widowControl w:val="0"/>
        <w:kinsoku/>
        <w:autoSpaceDE/>
        <w:autoSpaceDN/>
        <w:adjustRightInd/>
        <w:snapToGrid/>
        <w:spacing w:line="360" w:lineRule="auto"/>
        <w:ind w:firstLine="480" w:firstLineChars="200"/>
        <w:jc w:val="both"/>
        <w:textAlignment w:val="auto"/>
        <w:rPr>
          <w:color w:val="auto"/>
          <w:highlight w:val="none"/>
          <w:lang w:eastAsia="zh-CN"/>
        </w:rPr>
      </w:pPr>
      <w:r>
        <w:rPr>
          <w:rFonts w:hint="eastAsia" w:ascii="仿宋" w:hAnsi="仿宋" w:eastAsia="仿宋" w:cs="Times New Roman"/>
          <w:snapToGrid/>
          <w:color w:val="auto"/>
          <w:kern w:val="2"/>
          <w:sz w:val="24"/>
          <w:szCs w:val="24"/>
          <w:highlight w:val="none"/>
          <w:lang w:eastAsia="zh-CN"/>
        </w:rPr>
        <w:t>★4.1.1 因监理人违反本合同约定给委托人造成损失的，监理人应当赔偿委托人损失。赔偿金额的确定方法在专用条款中约定。</w:t>
      </w:r>
    </w:p>
    <w:p w14:paraId="07F5192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4.1.2 监理人向委托人的索赔不成立时，监理人应赔偿委托人由此发生的费用。</w:t>
      </w:r>
    </w:p>
    <w:p w14:paraId="38F4FE9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07" w:name="bookmark53"/>
      <w:bookmarkEnd w:id="107"/>
      <w:bookmarkStart w:id="108" w:name="_Toc27257"/>
      <w:r>
        <w:rPr>
          <w:rFonts w:hint="eastAsia" w:ascii="仿宋" w:hAnsi="仿宋" w:eastAsia="仿宋" w:cs="Times New Roman"/>
          <w:snapToGrid/>
          <w:color w:val="auto"/>
          <w:kern w:val="2"/>
          <w:sz w:val="24"/>
          <w:szCs w:val="24"/>
          <w:highlight w:val="none"/>
          <w:lang w:eastAsia="zh-CN"/>
        </w:rPr>
        <w:t>4.2 委托人的违约责任</w:t>
      </w:r>
      <w:bookmarkEnd w:id="108"/>
    </w:p>
    <w:p w14:paraId="66E11CB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委托人未履行本合同义务的，应承担相应的责任。</w:t>
      </w:r>
    </w:p>
    <w:p w14:paraId="01085C3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★4.2.1 除本合同另有约定外，委托人违反本合同约定造成监理人损失的，委托人应予以赔偿</w:t>
      </w:r>
      <w:r>
        <w:rPr>
          <w:rFonts w:ascii="仿宋" w:hAnsi="仿宋" w:eastAsia="仿宋" w:cs="Times New Roman"/>
          <w:snapToGrid/>
          <w:color w:val="auto"/>
          <w:kern w:val="2"/>
          <w:sz w:val="24"/>
          <w:szCs w:val="24"/>
          <w:highlight w:val="none"/>
          <w:lang w:eastAsia="zh-CN"/>
        </w:rPr>
        <w:t>，累计赔偿总额不得超过监理报酬总额（除去税金）</w:t>
      </w:r>
      <w:r>
        <w:rPr>
          <w:rFonts w:hint="eastAsia" w:ascii="仿宋" w:hAnsi="仿宋" w:eastAsia="仿宋" w:cs="Times New Roman"/>
          <w:snapToGrid/>
          <w:color w:val="auto"/>
          <w:kern w:val="2"/>
          <w:sz w:val="24"/>
          <w:szCs w:val="24"/>
          <w:highlight w:val="none"/>
          <w:lang w:eastAsia="zh-CN"/>
        </w:rPr>
        <w:t>。赔偿金额的确定方法在专用条款中约定。</w:t>
      </w:r>
    </w:p>
    <w:p w14:paraId="27B605C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4.2.2 委托人向监理人的索赔不成立时，委托人应赔偿监理人由此发生的合理且必要的费用。</w:t>
      </w:r>
    </w:p>
    <w:p w14:paraId="03B68B9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★4.2.3 委托人未能按期支付酬金超过28天，应按专用条款约定支付逾期付款利息。</w:t>
      </w:r>
      <w:bookmarkStart w:id="109" w:name="bookmark54"/>
      <w:bookmarkEnd w:id="109"/>
    </w:p>
    <w:p w14:paraId="2D24AEED">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10" w:name="_Toc4101"/>
      <w:r>
        <w:rPr>
          <w:rFonts w:hint="eastAsia" w:ascii="仿宋" w:hAnsi="仿宋" w:eastAsia="仿宋" w:cs="Times New Roman"/>
          <w:snapToGrid/>
          <w:color w:val="auto"/>
          <w:kern w:val="2"/>
          <w:sz w:val="24"/>
          <w:szCs w:val="24"/>
          <w:highlight w:val="none"/>
          <w:lang w:eastAsia="zh-CN"/>
        </w:rPr>
        <w:t>4.3 除外责任</w:t>
      </w:r>
      <w:bookmarkEnd w:id="110"/>
    </w:p>
    <w:p w14:paraId="0DB1A0A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因非监理人的原因，且监理人无过错，发生工程质量事故、安全事故、工期延误等造成的损失，监理人不承担赔偿责任。因不可抗力导致本合同全部或部分不能履行时，双方各自承担其因此而造成的损失、损害。</w:t>
      </w:r>
    </w:p>
    <w:p w14:paraId="2804594B">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11" w:name="bookmark55"/>
      <w:bookmarkEnd w:id="111"/>
      <w:bookmarkStart w:id="112" w:name="bookmark56"/>
      <w:bookmarkEnd w:id="112"/>
      <w:bookmarkStart w:id="113" w:name="_Toc28503"/>
      <w:r>
        <w:rPr>
          <w:rFonts w:hint="eastAsia" w:ascii="仿宋" w:hAnsi="仿宋" w:eastAsia="仿宋" w:cs="仿宋"/>
          <w:b/>
          <w:snapToGrid/>
          <w:color w:val="auto"/>
          <w:kern w:val="2"/>
          <w:sz w:val="24"/>
          <w:szCs w:val="24"/>
          <w:highlight w:val="none"/>
          <w:lang w:eastAsia="zh-CN"/>
        </w:rPr>
        <w:t>★5. 支付</w:t>
      </w:r>
      <w:bookmarkEnd w:id="113"/>
    </w:p>
    <w:p w14:paraId="4FCFC0F0">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14" w:name="_Toc20723"/>
      <w:r>
        <w:rPr>
          <w:rFonts w:hint="eastAsia" w:ascii="仿宋" w:hAnsi="仿宋" w:eastAsia="仿宋" w:cs="Times New Roman"/>
          <w:snapToGrid/>
          <w:color w:val="auto"/>
          <w:kern w:val="2"/>
          <w:sz w:val="24"/>
          <w:szCs w:val="24"/>
          <w:highlight w:val="none"/>
          <w:lang w:eastAsia="zh-CN"/>
        </w:rPr>
        <w:t>5.1 支付货币</w:t>
      </w:r>
      <w:bookmarkEnd w:id="114"/>
    </w:p>
    <w:p w14:paraId="1F9534D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除专用条款另有约定外，酬金均以人民币支付。涉及外币支付的，所采用的货币种</w:t>
      </w:r>
      <w:bookmarkStart w:id="115" w:name="bookmark57"/>
      <w:bookmarkEnd w:id="115"/>
      <w:r>
        <w:rPr>
          <w:rFonts w:hint="eastAsia" w:ascii="仿宋" w:hAnsi="仿宋" w:eastAsia="仿宋" w:cs="Times New Roman"/>
          <w:snapToGrid/>
          <w:color w:val="auto"/>
          <w:kern w:val="2"/>
          <w:sz w:val="24"/>
          <w:szCs w:val="24"/>
          <w:highlight w:val="none"/>
          <w:lang w:eastAsia="zh-CN"/>
        </w:rPr>
        <w:t>类、比例和汇率在专用条款中约定。</w:t>
      </w:r>
    </w:p>
    <w:p w14:paraId="42DA3AB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16" w:name="_Toc7964"/>
      <w:r>
        <w:rPr>
          <w:rFonts w:hint="eastAsia" w:ascii="仿宋" w:hAnsi="仿宋" w:eastAsia="仿宋" w:cs="Times New Roman"/>
          <w:snapToGrid/>
          <w:color w:val="auto"/>
          <w:kern w:val="2"/>
          <w:sz w:val="24"/>
          <w:szCs w:val="24"/>
          <w:highlight w:val="none"/>
          <w:lang w:eastAsia="zh-CN"/>
        </w:rPr>
        <w:t>5.2 支付申请</w:t>
      </w:r>
      <w:bookmarkEnd w:id="116"/>
    </w:p>
    <w:p w14:paraId="6AD6001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监理人应在本合同约定的每次应付款时间的7天前，向委托人提交支付申请书。支付申请书应当说明当期应付款总额，并列出当期应支付的款项及其金额。</w:t>
      </w:r>
    </w:p>
    <w:p w14:paraId="28DF9406">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17" w:name="bookmark59"/>
      <w:bookmarkEnd w:id="117"/>
      <w:bookmarkStart w:id="118" w:name="_Toc18071"/>
      <w:r>
        <w:rPr>
          <w:rFonts w:hint="eastAsia" w:ascii="仿宋" w:hAnsi="仿宋" w:eastAsia="仿宋" w:cs="Times New Roman"/>
          <w:snapToGrid/>
          <w:color w:val="auto"/>
          <w:kern w:val="2"/>
          <w:sz w:val="24"/>
          <w:szCs w:val="24"/>
          <w:highlight w:val="none"/>
          <w:lang w:eastAsia="zh-CN"/>
        </w:rPr>
        <w:t>★5.3 支付酬金</w:t>
      </w:r>
      <w:bookmarkEnd w:id="118"/>
    </w:p>
    <w:p w14:paraId="324CD72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支付的酬金包括正常工作酬金、附加工作酬金、合理化建议奖励金额及费用。</w:t>
      </w:r>
    </w:p>
    <w:p w14:paraId="421B243C">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19" w:name="bookmark61"/>
      <w:bookmarkEnd w:id="119"/>
      <w:bookmarkStart w:id="120" w:name="_Toc6516"/>
      <w:r>
        <w:rPr>
          <w:rFonts w:hint="eastAsia" w:ascii="仿宋" w:hAnsi="仿宋" w:eastAsia="仿宋" w:cs="Times New Roman"/>
          <w:snapToGrid/>
          <w:color w:val="auto"/>
          <w:kern w:val="2"/>
          <w:sz w:val="24"/>
          <w:szCs w:val="24"/>
          <w:highlight w:val="none"/>
          <w:lang w:eastAsia="zh-CN"/>
        </w:rPr>
        <w:t>5.4 有争议部分的付款</w:t>
      </w:r>
      <w:bookmarkEnd w:id="120"/>
    </w:p>
    <w:p w14:paraId="2FFDFA7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委托人对监理人提交的支付申请书有异议时，应当在收到监理人提交的支付申请书后7天内，以书面形式向监理人发出异议通知。无异议部分的款项应按期支付，有异议部分的款项按第7条约定办理。</w:t>
      </w:r>
    </w:p>
    <w:p w14:paraId="1C895361">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21" w:name="bookmark65"/>
      <w:bookmarkEnd w:id="121"/>
      <w:bookmarkStart w:id="122" w:name="bookmark63"/>
      <w:bookmarkEnd w:id="122"/>
      <w:bookmarkStart w:id="123" w:name="_Toc1891"/>
      <w:r>
        <w:rPr>
          <w:rFonts w:hint="eastAsia" w:ascii="仿宋" w:hAnsi="仿宋" w:eastAsia="仿宋" w:cs="仿宋"/>
          <w:b/>
          <w:snapToGrid/>
          <w:color w:val="auto"/>
          <w:kern w:val="2"/>
          <w:sz w:val="24"/>
          <w:szCs w:val="24"/>
          <w:highlight w:val="none"/>
          <w:lang w:eastAsia="zh-CN"/>
        </w:rPr>
        <w:t>6. 合同生效、变更、暂停、解除与终止</w:t>
      </w:r>
      <w:bookmarkEnd w:id="123"/>
    </w:p>
    <w:p w14:paraId="368BB8AD">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24" w:name="_Toc691"/>
      <w:r>
        <w:rPr>
          <w:rFonts w:hint="eastAsia" w:ascii="仿宋" w:hAnsi="仿宋" w:eastAsia="仿宋" w:cs="Times New Roman"/>
          <w:snapToGrid/>
          <w:color w:val="auto"/>
          <w:kern w:val="2"/>
          <w:sz w:val="24"/>
          <w:szCs w:val="24"/>
          <w:highlight w:val="none"/>
          <w:lang w:eastAsia="zh-CN"/>
        </w:rPr>
        <w:t>6.1 生效</w:t>
      </w:r>
      <w:bookmarkEnd w:id="124"/>
    </w:p>
    <w:p w14:paraId="1D9C1B5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除法律另有规定或者专用条款另有约定外，委托人和监理人的法定代表人或其授权代理人在协议书上签字</w:t>
      </w:r>
      <w:r>
        <w:rPr>
          <w:rFonts w:hint="eastAsia" w:ascii="仿宋" w:hAnsi="仿宋" w:eastAsia="仿宋" w:cs="Times New Roman"/>
          <w:snapToGrid/>
          <w:color w:val="auto"/>
          <w:kern w:val="2"/>
          <w:sz w:val="24"/>
          <w:szCs w:val="24"/>
          <w:highlight w:val="none"/>
          <w:lang w:val="en-US" w:eastAsia="zh-CN"/>
        </w:rPr>
        <w:t>/签章</w:t>
      </w:r>
      <w:r>
        <w:rPr>
          <w:rFonts w:hint="eastAsia" w:ascii="仿宋" w:hAnsi="仿宋" w:eastAsia="仿宋" w:cs="Times New Roman"/>
          <w:snapToGrid/>
          <w:color w:val="auto"/>
          <w:kern w:val="2"/>
          <w:sz w:val="24"/>
          <w:szCs w:val="24"/>
          <w:highlight w:val="none"/>
          <w:lang w:eastAsia="zh-CN"/>
        </w:rPr>
        <w:t>并盖单位公章后本合同生效。</w:t>
      </w:r>
    </w:p>
    <w:p w14:paraId="2FF22936">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25" w:name="bookmark67"/>
      <w:bookmarkEnd w:id="125"/>
      <w:bookmarkStart w:id="126" w:name="_Toc5980"/>
      <w:r>
        <w:rPr>
          <w:rFonts w:hint="eastAsia" w:ascii="仿宋" w:hAnsi="仿宋" w:eastAsia="仿宋" w:cs="Times New Roman"/>
          <w:snapToGrid/>
          <w:color w:val="auto"/>
          <w:kern w:val="2"/>
          <w:sz w:val="24"/>
          <w:szCs w:val="24"/>
          <w:highlight w:val="none"/>
          <w:lang w:eastAsia="zh-CN"/>
        </w:rPr>
        <w:t>★6.2 变更</w:t>
      </w:r>
      <w:bookmarkEnd w:id="126"/>
    </w:p>
    <w:p w14:paraId="389BF3E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6.2.1 任何一方提出变更请求时，双方经协商一致后可进行变更。</w:t>
      </w:r>
    </w:p>
    <w:p w14:paraId="766D480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6.2.2 除不可抗力外，因非监理人原因导致监理人履行合同期限延长、内容增加时，监理人应当将此情况与可能产生的影响及时通知委托人。经委托人和监理人双方确认后，增加的监理工作时间、工作内容应视为附加工作。附加工作酬金的确定方法在专用条款中约定。</w:t>
      </w:r>
    </w:p>
    <w:p w14:paraId="3E44171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6.2.3 合同生效后，如果实际情况发生变化使得监理人不能完成全部或部分工作时，监理人应立即通知委托人。除不可抗力外，经委托人和监理人双方确认后，监理人善后工作以及恢复服务的准备工作应为附加工作，附加工作酬金的确定方法在专用条款中约定。监理人用于恢复服务的准备时间不应超过28天。</w:t>
      </w:r>
    </w:p>
    <w:p w14:paraId="3CBF6E9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6.2.4 合同签订后，遇有与工程相关的法律法规、标准颁布或修订的，双方应遵照执行。由此引起监理与相关服务的范围、时间、酬金变化的，双方应通过协商进行相应调整。</w:t>
      </w:r>
    </w:p>
    <w:p w14:paraId="0588495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6.2.5 因非监理人原因造成工程概算投资额或建筑安装工程费增加时，经委托人和监理人双方确认后，可对正常工作酬金作相应调整。调整方法在专用条款中约定。</w:t>
      </w:r>
    </w:p>
    <w:p w14:paraId="61ACE2F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6.2.6 因工程规模、监理范围的变化导致监理人的正常工作量减少时，正常工作酬金应作相应调整。调整方法在专用条款中约定。</w:t>
      </w:r>
    </w:p>
    <w:p w14:paraId="6F97F117">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27" w:name="bookmark69"/>
      <w:bookmarkEnd w:id="127"/>
      <w:bookmarkStart w:id="128" w:name="_Toc964"/>
      <w:r>
        <w:rPr>
          <w:rFonts w:hint="eastAsia" w:ascii="仿宋" w:hAnsi="仿宋" w:eastAsia="仿宋" w:cs="Times New Roman"/>
          <w:snapToGrid/>
          <w:color w:val="auto"/>
          <w:kern w:val="2"/>
          <w:sz w:val="24"/>
          <w:szCs w:val="24"/>
          <w:highlight w:val="none"/>
          <w:lang w:eastAsia="zh-CN"/>
        </w:rPr>
        <w:t>★6.3 暂停与解除</w:t>
      </w:r>
      <w:bookmarkEnd w:id="128"/>
    </w:p>
    <w:p w14:paraId="40DBB36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除双方协商一致可以解除本合同外，当一方无正当理由未履行本合同约定的义务时，另一方可以根据本合同约定暂停履行本合同直至解除本合同。</w:t>
      </w:r>
    </w:p>
    <w:p w14:paraId="6D3F97A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6.3.1 在本合同有效期内，由于双方无法预见和控制的原因导致本合同全部或部分无法继续履行或继续履行已无意义，经双方协商一致，可以解除</w:t>
      </w:r>
      <w:r>
        <w:rPr>
          <w:rFonts w:hint="eastAsia" w:ascii="仿宋" w:hAnsi="仿宋" w:eastAsia="仿宋" w:cs="Times New Roman"/>
          <w:snapToGrid/>
          <w:color w:val="auto"/>
          <w:kern w:val="2"/>
          <w:sz w:val="24"/>
          <w:szCs w:val="24"/>
          <w:highlight w:val="none"/>
          <w:lang w:val="en-US" w:eastAsia="zh-CN"/>
        </w:rPr>
        <w:t>或部分</w:t>
      </w:r>
      <w:r>
        <w:rPr>
          <w:rFonts w:hint="eastAsia" w:ascii="仿宋" w:hAnsi="仿宋" w:eastAsia="仿宋" w:cs="Times New Roman"/>
          <w:snapToGrid/>
          <w:color w:val="auto"/>
          <w:kern w:val="2"/>
          <w:sz w:val="24"/>
          <w:szCs w:val="24"/>
          <w:highlight w:val="none"/>
          <w:lang w:eastAsia="zh-CN"/>
        </w:rPr>
        <w:t>本合同。在解除之前，监理人应作出合理安排，使开支减至最小。因解除本合同或解除监理人的部分义务导致监理人遭受的损失，除依法</w:t>
      </w:r>
      <w:r>
        <w:rPr>
          <w:rFonts w:ascii="仿宋" w:hAnsi="仿宋" w:eastAsia="仿宋" w:cs="Times New Roman"/>
          <w:snapToGrid/>
          <w:color w:val="auto"/>
          <w:kern w:val="2"/>
          <w:sz w:val="24"/>
          <w:szCs w:val="24"/>
          <w:highlight w:val="none"/>
          <w:lang w:eastAsia="zh-CN"/>
        </w:rPr>
        <w:t>结算监理人服务酬金外，委托人不作其他费用补偿或赔偿</w:t>
      </w:r>
      <w:r>
        <w:rPr>
          <w:rFonts w:hint="eastAsia" w:ascii="仿宋" w:hAnsi="仿宋" w:eastAsia="仿宋" w:cs="Times New Roman"/>
          <w:snapToGrid/>
          <w:color w:val="auto"/>
          <w:kern w:val="2"/>
          <w:sz w:val="24"/>
          <w:szCs w:val="24"/>
          <w:highlight w:val="none"/>
          <w:lang w:eastAsia="zh-CN"/>
        </w:rPr>
        <w:t>。解除本合同的协议必须采取书面形式，协议未达成之前，本合同仍然有效。</w:t>
      </w:r>
    </w:p>
    <w:p w14:paraId="6D18872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6.3.2 在本合同有效期内，因非监理人的原因导致工程施工全部或部分暂停，委托人可通知监理人要求暂停全部或部分工作，且不视为委托人违约。监理人应立即安排停止工作，并将开支减至最小。</w:t>
      </w:r>
      <w:r>
        <w:rPr>
          <w:rFonts w:hint="eastAsia" w:ascii="仿宋" w:hAnsi="仿宋" w:eastAsia="仿宋" w:cs="Times New Roman"/>
          <w:snapToGrid/>
          <w:color w:val="auto"/>
          <w:kern w:val="2"/>
          <w:sz w:val="24"/>
          <w:szCs w:val="24"/>
          <w:highlight w:val="none"/>
          <w:lang w:val="en-US" w:eastAsia="zh-CN"/>
        </w:rPr>
        <w:t>连续</w:t>
      </w:r>
      <w:r>
        <w:rPr>
          <w:rFonts w:hint="eastAsia" w:ascii="仿宋" w:hAnsi="仿宋" w:eastAsia="仿宋" w:cs="Times New Roman"/>
          <w:snapToGrid/>
          <w:color w:val="auto"/>
          <w:kern w:val="2"/>
          <w:sz w:val="24"/>
          <w:szCs w:val="24"/>
          <w:highlight w:val="none"/>
          <w:lang w:eastAsia="zh-CN"/>
        </w:rPr>
        <w:t>暂停部分监理与相关服务时间超过182天，监理人可发出解除本合同约定的该部分义务的通知；</w:t>
      </w:r>
      <w:r>
        <w:rPr>
          <w:rFonts w:hint="eastAsia" w:ascii="仿宋" w:hAnsi="仿宋" w:eastAsia="仿宋" w:cs="Times New Roman"/>
          <w:snapToGrid/>
          <w:color w:val="auto"/>
          <w:kern w:val="2"/>
          <w:sz w:val="24"/>
          <w:szCs w:val="24"/>
          <w:highlight w:val="none"/>
          <w:lang w:val="en-US" w:eastAsia="zh-CN"/>
        </w:rPr>
        <w:t>连续</w:t>
      </w:r>
      <w:r>
        <w:rPr>
          <w:rFonts w:hint="eastAsia" w:ascii="仿宋" w:hAnsi="仿宋" w:eastAsia="仿宋" w:cs="Times New Roman"/>
          <w:snapToGrid/>
          <w:color w:val="auto"/>
          <w:kern w:val="2"/>
          <w:sz w:val="24"/>
          <w:szCs w:val="24"/>
          <w:highlight w:val="none"/>
          <w:lang w:eastAsia="zh-CN"/>
        </w:rPr>
        <w:t>暂停全部工作时间超过182天，监理人可发出解除本合同的通知，本合同自通知到达委托人时解除。委托人应将监理与相关服务的酬金支付至本合同解除日，且应无需承担其他补偿或赔偿责任。</w:t>
      </w:r>
    </w:p>
    <w:p w14:paraId="35BCC6E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同时监理人应承担第4.1款约定的责任。</w:t>
      </w:r>
    </w:p>
    <w:p w14:paraId="4464838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6.3.4 监理人在专用条款5.3中约定的支付之日起28天后仍未收到委托人按本合同约定应付的款项，可向委托人发出催付通知。委托人接到通知14天后无正当理由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55BFB8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6.3.5 因不可抗力致使本合同部分或全部不能履行时，一方应立即通知另一方，可暂停或解除本合同。</w:t>
      </w:r>
    </w:p>
    <w:p w14:paraId="77C86DA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6.3.6 本合同解除后，本合同约定的有关结算、清理、争议解决方式的条件仍然有</w:t>
      </w:r>
      <w:bookmarkStart w:id="129" w:name="bookmark71"/>
      <w:bookmarkEnd w:id="129"/>
      <w:r>
        <w:rPr>
          <w:rFonts w:hint="eastAsia" w:ascii="仿宋" w:hAnsi="仿宋" w:eastAsia="仿宋" w:cs="Times New Roman"/>
          <w:snapToGrid/>
          <w:color w:val="auto"/>
          <w:kern w:val="2"/>
          <w:sz w:val="24"/>
          <w:szCs w:val="24"/>
          <w:highlight w:val="none"/>
          <w:lang w:eastAsia="zh-CN"/>
        </w:rPr>
        <w:t>效。</w:t>
      </w:r>
    </w:p>
    <w:p w14:paraId="5FC94AB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30" w:name="_Toc17618"/>
      <w:r>
        <w:rPr>
          <w:rFonts w:hint="eastAsia" w:ascii="仿宋" w:hAnsi="仿宋" w:eastAsia="仿宋" w:cs="Times New Roman"/>
          <w:snapToGrid/>
          <w:color w:val="auto"/>
          <w:kern w:val="2"/>
          <w:sz w:val="24"/>
          <w:szCs w:val="24"/>
          <w:highlight w:val="none"/>
          <w:lang w:eastAsia="zh-CN"/>
        </w:rPr>
        <w:t>6.4 终止</w:t>
      </w:r>
      <w:bookmarkEnd w:id="130"/>
    </w:p>
    <w:p w14:paraId="0DA8C4D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以下条件全部满足时，本合同即告终止：</w:t>
      </w:r>
    </w:p>
    <w:p w14:paraId="5A73446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（1）监理人完成本合同约定的全部工作；</w:t>
      </w:r>
    </w:p>
    <w:p w14:paraId="7EE84C0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（2）委托人与监理人结清并支付全部酬金。</w:t>
      </w:r>
    </w:p>
    <w:p w14:paraId="04F37DFC">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31" w:name="bookmark73"/>
      <w:bookmarkEnd w:id="131"/>
      <w:bookmarkStart w:id="132" w:name="bookmark75"/>
      <w:bookmarkEnd w:id="132"/>
      <w:bookmarkStart w:id="133" w:name="bookmark77"/>
      <w:bookmarkEnd w:id="133"/>
      <w:bookmarkStart w:id="134" w:name="_Toc7808"/>
      <w:r>
        <w:rPr>
          <w:rFonts w:hint="eastAsia" w:ascii="仿宋" w:hAnsi="仿宋" w:eastAsia="仿宋" w:cs="仿宋"/>
          <w:b/>
          <w:snapToGrid/>
          <w:color w:val="auto"/>
          <w:kern w:val="2"/>
          <w:sz w:val="24"/>
          <w:szCs w:val="24"/>
          <w:highlight w:val="none"/>
          <w:lang w:eastAsia="zh-CN"/>
        </w:rPr>
        <w:t>7. 争议解决</w:t>
      </w:r>
      <w:bookmarkEnd w:id="134"/>
    </w:p>
    <w:p w14:paraId="6178AF0D">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35" w:name="_Toc27617"/>
      <w:r>
        <w:rPr>
          <w:rFonts w:hint="eastAsia" w:ascii="仿宋" w:hAnsi="仿宋" w:eastAsia="仿宋" w:cs="Times New Roman"/>
          <w:snapToGrid/>
          <w:color w:val="auto"/>
          <w:kern w:val="2"/>
          <w:sz w:val="24"/>
          <w:szCs w:val="24"/>
          <w:highlight w:val="none"/>
          <w:lang w:eastAsia="zh-CN"/>
        </w:rPr>
        <w:t>7.1 协商</w:t>
      </w:r>
      <w:bookmarkEnd w:id="135"/>
    </w:p>
    <w:p w14:paraId="15CBE16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双方应本着诚信原则协商解决彼此间的争议。</w:t>
      </w:r>
    </w:p>
    <w:p w14:paraId="3252FF9A">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36" w:name="_Toc8626"/>
      <w:r>
        <w:rPr>
          <w:rFonts w:hint="eastAsia" w:ascii="仿宋" w:hAnsi="仿宋" w:eastAsia="仿宋" w:cs="Times New Roman"/>
          <w:snapToGrid/>
          <w:color w:val="auto"/>
          <w:kern w:val="2"/>
          <w:sz w:val="24"/>
          <w:szCs w:val="24"/>
          <w:highlight w:val="none"/>
          <w:lang w:eastAsia="zh-CN"/>
        </w:rPr>
        <w:t>7.2 调解</w:t>
      </w:r>
      <w:bookmarkEnd w:id="136"/>
    </w:p>
    <w:p w14:paraId="390610D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如果双方不能在14天内或双方商定的其他时间内解决本合同争议，可以将其提交给专用条款约定的或事后达成协议的调解人进行调解。</w:t>
      </w:r>
    </w:p>
    <w:p w14:paraId="3EA01872">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37" w:name="bookmark79"/>
      <w:bookmarkEnd w:id="137"/>
      <w:bookmarkStart w:id="138" w:name="_Toc24277"/>
      <w:r>
        <w:rPr>
          <w:rFonts w:hint="eastAsia" w:ascii="仿宋" w:hAnsi="仿宋" w:eastAsia="仿宋" w:cs="Times New Roman"/>
          <w:snapToGrid/>
          <w:color w:val="auto"/>
          <w:kern w:val="2"/>
          <w:sz w:val="24"/>
          <w:szCs w:val="24"/>
          <w:highlight w:val="none"/>
          <w:lang w:eastAsia="zh-CN"/>
        </w:rPr>
        <w:t>7.3 仲裁或诉讼</w:t>
      </w:r>
      <w:bookmarkEnd w:id="138"/>
    </w:p>
    <w:p w14:paraId="49E057DC">
      <w:pPr>
        <w:widowControl w:val="0"/>
        <w:kinsoku/>
        <w:autoSpaceDE/>
        <w:autoSpaceDN/>
        <w:adjustRightInd/>
        <w:snapToGrid/>
        <w:spacing w:line="360" w:lineRule="auto"/>
        <w:ind w:firstLine="480" w:firstLineChars="200"/>
        <w:jc w:val="both"/>
        <w:textAlignment w:val="auto"/>
        <w:rPr>
          <w:rFonts w:ascii="仿宋" w:hAnsi="仿宋" w:eastAsia="仿宋" w:cs="仿宋"/>
          <w:color w:val="auto"/>
          <w:sz w:val="24"/>
          <w:szCs w:val="24"/>
          <w:highlight w:val="none"/>
          <w:lang w:eastAsia="zh-CN"/>
        </w:rPr>
      </w:pPr>
      <w:r>
        <w:rPr>
          <w:rFonts w:hint="eastAsia" w:ascii="仿宋" w:hAnsi="仿宋" w:eastAsia="仿宋" w:cs="Times New Roman"/>
          <w:snapToGrid/>
          <w:color w:val="auto"/>
          <w:kern w:val="2"/>
          <w:sz w:val="24"/>
          <w:szCs w:val="24"/>
          <w:highlight w:val="none"/>
          <w:lang w:eastAsia="zh-CN"/>
        </w:rPr>
        <w:t>双方均有权不经调解直接向专用条款约定的仲裁机构申请仲裁或向有管辖权的人民法院提起诉讼。</w:t>
      </w:r>
    </w:p>
    <w:p w14:paraId="3CED4A43">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39" w:name="bookmark83"/>
      <w:bookmarkEnd w:id="139"/>
      <w:bookmarkStart w:id="140" w:name="bookmark85"/>
      <w:bookmarkEnd w:id="140"/>
      <w:bookmarkStart w:id="141" w:name="bookmark81"/>
      <w:bookmarkEnd w:id="141"/>
      <w:bookmarkStart w:id="142" w:name="_Toc8794"/>
      <w:r>
        <w:rPr>
          <w:rFonts w:hint="eastAsia" w:ascii="仿宋" w:hAnsi="仿宋" w:eastAsia="仿宋" w:cs="仿宋"/>
          <w:b/>
          <w:snapToGrid/>
          <w:color w:val="auto"/>
          <w:kern w:val="2"/>
          <w:sz w:val="24"/>
          <w:szCs w:val="24"/>
          <w:highlight w:val="none"/>
          <w:lang w:eastAsia="zh-CN"/>
        </w:rPr>
        <w:t>8. 其他</w:t>
      </w:r>
      <w:bookmarkEnd w:id="142"/>
    </w:p>
    <w:p w14:paraId="0D498E8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43" w:name="_Toc25328"/>
      <w:r>
        <w:rPr>
          <w:rFonts w:hint="eastAsia" w:ascii="仿宋" w:hAnsi="仿宋" w:eastAsia="仿宋" w:cs="Times New Roman"/>
          <w:snapToGrid/>
          <w:color w:val="auto"/>
          <w:kern w:val="2"/>
          <w:sz w:val="24"/>
          <w:szCs w:val="24"/>
          <w:highlight w:val="none"/>
          <w:lang w:eastAsia="zh-CN"/>
        </w:rPr>
        <w:t>8.1 外出考察费用</w:t>
      </w:r>
      <w:bookmarkEnd w:id="143"/>
    </w:p>
    <w:p w14:paraId="3FF4639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经委托人同意，监理人员外出考察发生的费用由委托人审核同意的前提下方才支付。</w:t>
      </w:r>
    </w:p>
    <w:p w14:paraId="71A025EE">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44" w:name="_Toc19438"/>
      <w:r>
        <w:rPr>
          <w:rFonts w:hint="eastAsia" w:ascii="仿宋" w:hAnsi="仿宋" w:eastAsia="仿宋" w:cs="Times New Roman"/>
          <w:snapToGrid/>
          <w:color w:val="auto"/>
          <w:kern w:val="2"/>
          <w:sz w:val="24"/>
          <w:szCs w:val="24"/>
          <w:highlight w:val="none"/>
          <w:lang w:eastAsia="zh-CN"/>
        </w:rPr>
        <w:t>8.2 检测费用</w:t>
      </w:r>
      <w:bookmarkEnd w:id="144"/>
    </w:p>
    <w:p w14:paraId="71E290C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委托人要求监理人进行的材料和设备检测所发生的费用，由委托人支付，支付时间</w:t>
      </w:r>
      <w:bookmarkStart w:id="145" w:name="bookmark87"/>
      <w:bookmarkEnd w:id="145"/>
      <w:r>
        <w:rPr>
          <w:rFonts w:hint="eastAsia" w:ascii="仿宋" w:hAnsi="仿宋" w:eastAsia="仿宋" w:cs="Times New Roman"/>
          <w:snapToGrid/>
          <w:color w:val="auto"/>
          <w:kern w:val="2"/>
          <w:sz w:val="24"/>
          <w:szCs w:val="24"/>
          <w:highlight w:val="none"/>
          <w:lang w:eastAsia="zh-CN"/>
        </w:rPr>
        <w:t>在专用条款中约定。</w:t>
      </w:r>
    </w:p>
    <w:p w14:paraId="7940EC7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46" w:name="_Toc27684"/>
      <w:r>
        <w:rPr>
          <w:rFonts w:hint="eastAsia" w:ascii="仿宋" w:hAnsi="仿宋" w:eastAsia="仿宋" w:cs="Times New Roman"/>
          <w:snapToGrid/>
          <w:color w:val="auto"/>
          <w:kern w:val="2"/>
          <w:sz w:val="24"/>
          <w:szCs w:val="24"/>
          <w:highlight w:val="none"/>
          <w:lang w:eastAsia="zh-CN"/>
        </w:rPr>
        <w:t>8.3 咨询费用</w:t>
      </w:r>
      <w:bookmarkEnd w:id="146"/>
    </w:p>
    <w:p w14:paraId="7A7D467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经委托人同意，根据工程需要由监理人组织的相关咨询论证会以及聘请相关专家等发生的费用</w:t>
      </w:r>
      <w:r>
        <w:rPr>
          <w:rFonts w:ascii="仿宋" w:hAnsi="仿宋" w:eastAsia="仿宋" w:cs="Times New Roman"/>
          <w:snapToGrid/>
          <w:color w:val="auto"/>
          <w:kern w:val="2"/>
          <w:sz w:val="24"/>
          <w:szCs w:val="24"/>
          <w:highlight w:val="none"/>
          <w:lang w:eastAsia="zh-CN"/>
        </w:rPr>
        <w:t>，由监理人聘用的，其费用由监理人承担，</w:t>
      </w:r>
      <w:r>
        <w:rPr>
          <w:rFonts w:hint="eastAsia" w:ascii="仿宋" w:hAnsi="仿宋" w:eastAsia="仿宋" w:cs="Times New Roman"/>
          <w:snapToGrid/>
          <w:color w:val="auto"/>
          <w:kern w:val="2"/>
          <w:sz w:val="24"/>
          <w:szCs w:val="24"/>
          <w:highlight w:val="none"/>
          <w:lang w:eastAsia="zh-CN"/>
        </w:rPr>
        <w:t>由委托人</w:t>
      </w:r>
      <w:r>
        <w:rPr>
          <w:rFonts w:ascii="仿宋" w:hAnsi="仿宋" w:eastAsia="仿宋" w:cs="Times New Roman"/>
          <w:snapToGrid/>
          <w:color w:val="auto"/>
          <w:kern w:val="2"/>
          <w:sz w:val="24"/>
          <w:szCs w:val="24"/>
          <w:highlight w:val="none"/>
          <w:lang w:eastAsia="zh-CN"/>
        </w:rPr>
        <w:t>聘用的，其费用由委托人</w:t>
      </w:r>
      <w:r>
        <w:rPr>
          <w:rFonts w:hint="eastAsia" w:ascii="仿宋" w:hAnsi="仿宋" w:eastAsia="仿宋" w:cs="Times New Roman"/>
          <w:snapToGrid/>
          <w:color w:val="auto"/>
          <w:kern w:val="2"/>
          <w:sz w:val="24"/>
          <w:szCs w:val="24"/>
          <w:highlight w:val="none"/>
          <w:lang w:eastAsia="zh-CN"/>
        </w:rPr>
        <w:t>支付，支付时间在专用条款中约定。</w:t>
      </w:r>
    </w:p>
    <w:p w14:paraId="4A375E9C">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47" w:name="bookmark89"/>
      <w:bookmarkEnd w:id="147"/>
      <w:bookmarkStart w:id="148" w:name="_Toc10146"/>
      <w:r>
        <w:rPr>
          <w:rFonts w:hint="eastAsia" w:ascii="仿宋" w:hAnsi="仿宋" w:eastAsia="仿宋" w:cs="Times New Roman"/>
          <w:snapToGrid/>
          <w:color w:val="auto"/>
          <w:kern w:val="2"/>
          <w:sz w:val="24"/>
          <w:szCs w:val="24"/>
          <w:highlight w:val="none"/>
          <w:lang w:eastAsia="zh-CN"/>
        </w:rPr>
        <w:t>8.4 奖励</w:t>
      </w:r>
      <w:bookmarkEnd w:id="148"/>
    </w:p>
    <w:p w14:paraId="65E4F12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监理人在服务过程中提出的合理化建议，使委托人获得经济效益的，双方在专用条款中约定奖励金额的确定方法。奖励金额在合理化建议被采纳后，与最近一期的正常工</w:t>
      </w:r>
      <w:bookmarkStart w:id="149" w:name="bookmark91"/>
      <w:bookmarkEnd w:id="149"/>
      <w:r>
        <w:rPr>
          <w:rFonts w:hint="eastAsia" w:ascii="仿宋" w:hAnsi="仿宋" w:eastAsia="仿宋" w:cs="Times New Roman"/>
          <w:snapToGrid/>
          <w:color w:val="auto"/>
          <w:kern w:val="2"/>
          <w:sz w:val="24"/>
          <w:szCs w:val="24"/>
          <w:highlight w:val="none"/>
          <w:lang w:eastAsia="zh-CN"/>
        </w:rPr>
        <w:t>作酬金同期支付。</w:t>
      </w:r>
    </w:p>
    <w:p w14:paraId="69E4E44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50" w:name="_Toc22453"/>
      <w:r>
        <w:rPr>
          <w:rFonts w:hint="eastAsia" w:ascii="仿宋" w:hAnsi="仿宋" w:eastAsia="仿宋" w:cs="Times New Roman"/>
          <w:snapToGrid/>
          <w:color w:val="auto"/>
          <w:kern w:val="2"/>
          <w:sz w:val="24"/>
          <w:szCs w:val="24"/>
          <w:highlight w:val="none"/>
          <w:lang w:eastAsia="zh-CN"/>
        </w:rPr>
        <w:t>8.5 守法诚信</w:t>
      </w:r>
      <w:bookmarkEnd w:id="150"/>
    </w:p>
    <w:p w14:paraId="09AC3AE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监理人及其工作人员不得从与实施工程有关的第三方处获得任何经济利益。</w:t>
      </w:r>
    </w:p>
    <w:p w14:paraId="32350B9F">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51" w:name="bookmark93"/>
      <w:bookmarkEnd w:id="151"/>
      <w:bookmarkStart w:id="152" w:name="_Toc15111"/>
      <w:r>
        <w:rPr>
          <w:rFonts w:hint="eastAsia" w:ascii="仿宋" w:hAnsi="仿宋" w:eastAsia="仿宋" w:cs="Times New Roman"/>
          <w:snapToGrid/>
          <w:color w:val="auto"/>
          <w:kern w:val="2"/>
          <w:sz w:val="24"/>
          <w:szCs w:val="24"/>
          <w:highlight w:val="none"/>
          <w:lang w:eastAsia="zh-CN"/>
        </w:rPr>
        <w:t>8.6 保密</w:t>
      </w:r>
      <w:bookmarkEnd w:id="152"/>
    </w:p>
    <w:p w14:paraId="59FE959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双方不得泄露对方申明的保密资料，亦不得泄露与实施工程有关的第三方所提供的保密资料，保密事项在专用条款中约定。</w:t>
      </w:r>
    </w:p>
    <w:p w14:paraId="6AA7602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53" w:name="bookmark95"/>
      <w:bookmarkEnd w:id="153"/>
      <w:bookmarkStart w:id="154" w:name="_Toc9445"/>
      <w:r>
        <w:rPr>
          <w:rFonts w:hint="eastAsia" w:ascii="仿宋" w:hAnsi="仿宋" w:eastAsia="仿宋" w:cs="Times New Roman"/>
          <w:snapToGrid/>
          <w:color w:val="auto"/>
          <w:kern w:val="2"/>
          <w:sz w:val="24"/>
          <w:szCs w:val="24"/>
          <w:highlight w:val="none"/>
          <w:lang w:eastAsia="zh-CN"/>
        </w:rPr>
        <w:t>8.7 通知</w:t>
      </w:r>
      <w:bookmarkEnd w:id="154"/>
    </w:p>
    <w:p w14:paraId="176C893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本合同涉及的通知均应当采用书面形式，并在送达对方时生效，收件人应书面签收。</w:t>
      </w:r>
    </w:p>
    <w:p w14:paraId="22519C5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55" w:name="bookmark97"/>
      <w:bookmarkEnd w:id="155"/>
      <w:bookmarkStart w:id="156" w:name="_Toc8313"/>
      <w:r>
        <w:rPr>
          <w:rFonts w:hint="eastAsia" w:ascii="仿宋" w:hAnsi="仿宋" w:eastAsia="仿宋" w:cs="Times New Roman"/>
          <w:snapToGrid/>
          <w:color w:val="auto"/>
          <w:kern w:val="2"/>
          <w:sz w:val="24"/>
          <w:szCs w:val="24"/>
          <w:highlight w:val="none"/>
          <w:lang w:eastAsia="zh-CN"/>
        </w:rPr>
        <w:t>8.8 著作权</w:t>
      </w:r>
      <w:bookmarkEnd w:id="156"/>
    </w:p>
    <w:p w14:paraId="3AD5AE2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合同涉及的著作权的归属由双方在专用条款另行约定。</w:t>
      </w:r>
    </w:p>
    <w:p w14:paraId="16EC4BB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57" w:name="bookmark99"/>
      <w:bookmarkEnd w:id="157"/>
      <w:bookmarkStart w:id="158" w:name="_Toc25631"/>
      <w:r>
        <w:rPr>
          <w:rFonts w:hint="eastAsia" w:ascii="仿宋" w:hAnsi="仿宋" w:eastAsia="仿宋" w:cs="Times New Roman"/>
          <w:snapToGrid/>
          <w:color w:val="auto"/>
          <w:kern w:val="2"/>
          <w:sz w:val="24"/>
          <w:szCs w:val="24"/>
          <w:highlight w:val="none"/>
          <w:lang w:eastAsia="zh-CN"/>
        </w:rPr>
        <w:t>8.9 工程获奖奖励</w:t>
      </w:r>
      <w:bookmarkEnd w:id="158"/>
    </w:p>
    <w:p w14:paraId="012740B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bookmarkStart w:id="159" w:name="bookmark101"/>
      <w:bookmarkEnd w:id="159"/>
      <w:r>
        <w:rPr>
          <w:rFonts w:hint="eastAsia" w:ascii="仿宋" w:hAnsi="仿宋" w:eastAsia="仿宋" w:cs="Times New Roman"/>
          <w:snapToGrid/>
          <w:color w:val="auto"/>
          <w:kern w:val="2"/>
          <w:sz w:val="24"/>
          <w:szCs w:val="24"/>
          <w:highlight w:val="none"/>
          <w:lang w:eastAsia="zh-CN"/>
        </w:rPr>
        <w:t>根据工程获得的不同级别的质量或管理奖项，按次数给予监理人一定的奖励。</w:t>
      </w:r>
    </w:p>
    <w:p w14:paraId="19070822">
      <w:pPr>
        <w:widowControl w:val="0"/>
        <w:kinsoku/>
        <w:autoSpaceDE/>
        <w:autoSpaceDN/>
        <w:adjustRightInd/>
        <w:snapToGrid/>
        <w:spacing w:line="360" w:lineRule="auto"/>
        <w:ind w:firstLine="420"/>
        <w:jc w:val="both"/>
        <w:textAlignment w:val="auto"/>
        <w:rPr>
          <w:rFonts w:ascii="仿宋" w:hAnsi="仿宋" w:eastAsia="仿宋" w:cs="Times New Roman"/>
          <w:snapToGrid/>
          <w:color w:val="auto"/>
          <w:kern w:val="2"/>
          <w:sz w:val="24"/>
          <w:szCs w:val="24"/>
          <w:highlight w:val="none"/>
          <w:lang w:eastAsia="zh-CN"/>
        </w:rPr>
        <w:sectPr>
          <w:pgSz w:w="11906" w:h="16838"/>
          <w:pgMar w:top="1134" w:right="1417" w:bottom="1361" w:left="1417" w:header="0" w:footer="1202" w:gutter="0"/>
          <w:cols w:space="0" w:num="1"/>
        </w:sectPr>
      </w:pPr>
    </w:p>
    <w:p w14:paraId="14235114">
      <w:pPr>
        <w:kinsoku/>
        <w:spacing w:line="339" w:lineRule="auto"/>
        <w:jc w:val="both"/>
        <w:rPr>
          <w:color w:val="auto"/>
          <w:highlight w:val="none"/>
          <w:lang w:eastAsia="zh-CN"/>
        </w:rPr>
      </w:pPr>
    </w:p>
    <w:p w14:paraId="1E5A74A1">
      <w:pPr>
        <w:pStyle w:val="7"/>
        <w:kinsoku/>
        <w:spacing w:before="114" w:line="226" w:lineRule="auto"/>
        <w:ind w:left="2914"/>
        <w:jc w:val="both"/>
        <w:outlineLvl w:val="0"/>
        <w:rPr>
          <w:color w:val="auto"/>
          <w:sz w:val="35"/>
          <w:szCs w:val="35"/>
          <w:highlight w:val="none"/>
          <w:lang w:eastAsia="zh-CN"/>
        </w:rPr>
      </w:pPr>
      <w:bookmarkStart w:id="160" w:name="bookmark114"/>
      <w:bookmarkEnd w:id="160"/>
      <w:bookmarkStart w:id="161" w:name="bookmark112"/>
      <w:bookmarkEnd w:id="161"/>
      <w:bookmarkStart w:id="162" w:name="bookmark105"/>
      <w:bookmarkEnd w:id="162"/>
      <w:bookmarkStart w:id="163" w:name="bookmark103"/>
      <w:bookmarkEnd w:id="163"/>
      <w:bookmarkStart w:id="164" w:name="_Toc4155"/>
      <w:r>
        <w:rPr>
          <w:color w:val="auto"/>
          <w:spacing w:val="8"/>
          <w:sz w:val="35"/>
          <w:szCs w:val="35"/>
          <w:highlight w:val="none"/>
          <w:lang w:eastAsia="zh-CN"/>
          <w14:textOutline w14:w="6540" w14:cap="sq" w14:cmpd="sng" w14:algn="ctr">
            <w14:solidFill>
              <w14:srgbClr w14:val="000000"/>
            </w14:solidFill>
            <w14:prstDash w14:val="solid"/>
            <w14:bevel/>
          </w14:textOutline>
        </w:rPr>
        <w:t>第三部分</w:t>
      </w:r>
      <w:r>
        <w:rPr>
          <w:color w:val="auto"/>
          <w:spacing w:val="8"/>
          <w:sz w:val="35"/>
          <w:szCs w:val="35"/>
          <w:highlight w:val="none"/>
          <w:lang w:eastAsia="zh-CN"/>
        </w:rPr>
        <w:t xml:space="preserve">  </w:t>
      </w:r>
      <w:r>
        <w:rPr>
          <w:color w:val="auto"/>
          <w:spacing w:val="8"/>
          <w:sz w:val="35"/>
          <w:szCs w:val="35"/>
          <w:highlight w:val="none"/>
          <w:lang w:eastAsia="zh-CN"/>
          <w14:textOutline w14:w="6540" w14:cap="sq" w14:cmpd="sng" w14:algn="ctr">
            <w14:solidFill>
              <w14:srgbClr w14:val="000000"/>
            </w14:solidFill>
            <w14:prstDash w14:val="solid"/>
            <w14:bevel/>
          </w14:textOutline>
        </w:rPr>
        <w:t>专用条款</w:t>
      </w:r>
      <w:bookmarkEnd w:id="164"/>
    </w:p>
    <w:p w14:paraId="109B8993">
      <w:pPr>
        <w:kinsoku/>
        <w:jc w:val="both"/>
        <w:rPr>
          <w:color w:val="auto"/>
          <w:highlight w:val="none"/>
          <w:lang w:eastAsia="zh-CN"/>
        </w:rPr>
      </w:pPr>
    </w:p>
    <w:p w14:paraId="053DEC8A">
      <w:pPr>
        <w:kinsoku/>
        <w:spacing w:line="241" w:lineRule="auto"/>
        <w:jc w:val="both"/>
        <w:rPr>
          <w:color w:val="auto"/>
          <w:highlight w:val="none"/>
          <w:lang w:eastAsia="zh-CN"/>
        </w:rPr>
      </w:pPr>
    </w:p>
    <w:p w14:paraId="67BE212E">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65" w:name="_Toc6190"/>
      <w:r>
        <w:rPr>
          <w:rFonts w:hint="eastAsia" w:ascii="仿宋" w:hAnsi="仿宋" w:eastAsia="仿宋" w:cs="仿宋"/>
          <w:b/>
          <w:snapToGrid/>
          <w:color w:val="auto"/>
          <w:kern w:val="2"/>
          <w:sz w:val="24"/>
          <w:szCs w:val="24"/>
          <w:highlight w:val="none"/>
          <w:lang w:eastAsia="zh-CN"/>
        </w:rPr>
        <w:t>1. 定义与解释</w:t>
      </w:r>
      <w:bookmarkEnd w:id="165"/>
    </w:p>
    <w:p w14:paraId="0BDC9F84">
      <w:pPr>
        <w:widowControl w:val="0"/>
        <w:kinsoku/>
        <w:autoSpaceDE/>
        <w:autoSpaceDN/>
        <w:adjustRightInd/>
        <w:snapToGrid/>
        <w:spacing w:line="360" w:lineRule="auto"/>
        <w:ind w:firstLine="480" w:firstLineChars="200"/>
        <w:jc w:val="both"/>
        <w:textAlignment w:val="auto"/>
        <w:outlineLvl w:val="2"/>
        <w:rPr>
          <w:rFonts w:hint="eastAsia" w:ascii="仿宋" w:hAnsi="仿宋" w:eastAsia="仿宋" w:cs="Times New Roman"/>
          <w:snapToGrid/>
          <w:color w:val="auto"/>
          <w:kern w:val="2"/>
          <w:sz w:val="24"/>
          <w:szCs w:val="24"/>
          <w:highlight w:val="none"/>
          <w:lang w:val="en-US" w:eastAsia="zh-CN"/>
        </w:rPr>
      </w:pPr>
      <w:bookmarkStart w:id="166" w:name="_Toc18224"/>
      <w:r>
        <w:rPr>
          <w:rFonts w:hint="eastAsia" w:ascii="仿宋" w:hAnsi="仿宋" w:eastAsia="仿宋" w:cs="Times New Roman"/>
          <w:snapToGrid/>
          <w:color w:val="auto"/>
          <w:kern w:val="2"/>
          <w:sz w:val="24"/>
          <w:szCs w:val="24"/>
          <w:highlight w:val="none"/>
          <w:lang w:val="en-US" w:eastAsia="zh-CN"/>
        </w:rPr>
        <w:t>1.1定义</w:t>
      </w:r>
    </w:p>
    <w:p w14:paraId="0C7D8EDD">
      <w:pPr>
        <w:widowControl w:val="0"/>
        <w:kinsoku/>
        <w:autoSpaceDE/>
        <w:autoSpaceDN/>
        <w:adjustRightInd/>
        <w:snapToGrid/>
        <w:spacing w:line="360" w:lineRule="auto"/>
        <w:ind w:firstLine="480" w:firstLineChars="200"/>
        <w:jc w:val="both"/>
        <w:textAlignment w:val="auto"/>
        <w:outlineLvl w:val="2"/>
        <w:rPr>
          <w:rFonts w:hint="eastAsia" w:ascii="仿宋" w:hAnsi="仿宋" w:eastAsia="仿宋" w:cs="Times New Roman"/>
          <w:snapToGrid/>
          <w:color w:val="auto"/>
          <w:kern w:val="2"/>
          <w:sz w:val="24"/>
          <w:szCs w:val="24"/>
          <w:highlight w:val="none"/>
          <w:lang w:val="en-US" w:eastAsia="zh-CN"/>
        </w:rPr>
      </w:pPr>
      <w:r>
        <w:rPr>
          <w:rFonts w:hint="eastAsia" w:ascii="仿宋" w:hAnsi="仿宋" w:eastAsia="仿宋" w:cs="Times New Roman"/>
          <w:snapToGrid/>
          <w:color w:val="auto"/>
          <w:kern w:val="2"/>
          <w:sz w:val="24"/>
          <w:szCs w:val="24"/>
          <w:highlight w:val="none"/>
          <w:lang w:val="en-US" w:eastAsia="zh-CN"/>
        </w:rPr>
        <w:t>增加以下定义</w:t>
      </w:r>
    </w:p>
    <w:p w14:paraId="250CB5E0">
      <w:pPr>
        <w:widowControl w:val="0"/>
        <w:kinsoku/>
        <w:autoSpaceDE/>
        <w:autoSpaceDN/>
        <w:adjustRightInd/>
        <w:snapToGrid/>
        <w:spacing w:line="360" w:lineRule="auto"/>
        <w:ind w:firstLine="480" w:firstLineChars="200"/>
        <w:jc w:val="both"/>
        <w:textAlignment w:val="auto"/>
        <w:outlineLvl w:val="2"/>
        <w:rPr>
          <w:rFonts w:hint="default" w:ascii="仿宋" w:hAnsi="仿宋" w:eastAsia="仿宋" w:cs="Times New Roman"/>
          <w:snapToGrid/>
          <w:color w:val="auto"/>
          <w:kern w:val="2"/>
          <w:sz w:val="24"/>
          <w:szCs w:val="24"/>
          <w:highlight w:val="none"/>
          <w:lang w:val="en-US" w:eastAsia="zh-CN"/>
        </w:rPr>
      </w:pPr>
      <w:r>
        <w:rPr>
          <w:rFonts w:hint="eastAsia" w:ascii="仿宋" w:hAnsi="仿宋" w:eastAsia="仿宋" w:cs="Times New Roman"/>
          <w:snapToGrid/>
          <w:color w:val="auto"/>
          <w:kern w:val="2"/>
          <w:sz w:val="24"/>
          <w:szCs w:val="24"/>
          <w:highlight w:val="none"/>
          <w:lang w:eastAsia="zh-CN"/>
        </w:rPr>
        <w:t>1.1.1</w:t>
      </w:r>
      <w:r>
        <w:rPr>
          <w:rFonts w:hint="eastAsia" w:ascii="仿宋" w:hAnsi="仿宋" w:eastAsia="仿宋" w:cs="Times New Roman"/>
          <w:snapToGrid/>
          <w:color w:val="auto"/>
          <w:kern w:val="2"/>
          <w:sz w:val="24"/>
          <w:szCs w:val="24"/>
          <w:highlight w:val="none"/>
          <w:lang w:val="en-US" w:eastAsia="zh-CN"/>
        </w:rPr>
        <w:t>9施工合同：专指委托人就本合同项下工程与总包单位签订的建设工程施工合同。</w:t>
      </w:r>
    </w:p>
    <w:p w14:paraId="1F9A4913">
      <w:pPr>
        <w:widowControl w:val="0"/>
        <w:kinsoku/>
        <w:autoSpaceDE/>
        <w:autoSpaceDN/>
        <w:adjustRightInd/>
        <w:snapToGrid/>
        <w:spacing w:line="360" w:lineRule="auto"/>
        <w:ind w:firstLine="480" w:firstLineChars="200"/>
        <w:jc w:val="both"/>
        <w:textAlignment w:val="auto"/>
        <w:outlineLvl w:val="2"/>
        <w:rPr>
          <w:rFonts w:hint="default" w:ascii="仿宋" w:hAnsi="仿宋" w:eastAsia="仿宋" w:cs="Times New Roman"/>
          <w:snapToGrid/>
          <w:color w:val="auto"/>
          <w:kern w:val="2"/>
          <w:sz w:val="24"/>
          <w:szCs w:val="24"/>
          <w:highlight w:val="none"/>
          <w:lang w:val="en-US" w:eastAsia="zh-CN"/>
        </w:rPr>
      </w:pPr>
      <w:r>
        <w:rPr>
          <w:rFonts w:hint="eastAsia" w:ascii="仿宋" w:hAnsi="仿宋" w:eastAsia="仿宋" w:cs="Times New Roman"/>
          <w:snapToGrid/>
          <w:color w:val="auto"/>
          <w:kern w:val="2"/>
          <w:sz w:val="24"/>
          <w:szCs w:val="24"/>
          <w:highlight w:val="none"/>
          <w:lang w:val="en-US" w:eastAsia="zh-CN"/>
        </w:rPr>
        <w:t>1.1.20</w:t>
      </w:r>
      <w:r>
        <w:rPr>
          <w:rFonts w:hint="eastAsia" w:ascii="仿宋" w:hAnsi="仿宋" w:eastAsia="仿宋" w:cs="Times New Roman"/>
          <w:snapToGrid/>
          <w:color w:val="auto"/>
          <w:kern w:val="2"/>
          <w:sz w:val="24"/>
          <w:szCs w:val="24"/>
          <w:highlight w:val="none"/>
          <w:lang w:eastAsia="zh-CN"/>
        </w:rPr>
        <w:t>竣工验收合格：</w:t>
      </w:r>
      <w:r>
        <w:rPr>
          <w:rFonts w:hint="eastAsia" w:ascii="仿宋" w:hAnsi="仿宋" w:eastAsia="仿宋" w:cs="Times New Roman"/>
          <w:snapToGrid/>
          <w:color w:val="auto"/>
          <w:kern w:val="2"/>
          <w:sz w:val="24"/>
          <w:szCs w:val="24"/>
          <w:highlight w:val="none"/>
          <w:lang w:val="en-US" w:eastAsia="zh-CN"/>
        </w:rPr>
        <w:t>以</w:t>
      </w:r>
      <w:r>
        <w:rPr>
          <w:rFonts w:hint="eastAsia" w:ascii="仿宋" w:hAnsi="仿宋" w:eastAsia="仿宋" w:cs="Times New Roman"/>
          <w:snapToGrid/>
          <w:color w:val="auto"/>
          <w:kern w:val="2"/>
          <w:sz w:val="24"/>
          <w:szCs w:val="24"/>
          <w:highlight w:val="none"/>
          <w:lang w:eastAsia="zh-CN"/>
        </w:rPr>
        <w:t>本</w:t>
      </w:r>
      <w:r>
        <w:rPr>
          <w:rFonts w:hint="eastAsia" w:ascii="仿宋" w:hAnsi="仿宋" w:eastAsia="仿宋" w:cs="Times New Roman"/>
          <w:snapToGrid/>
          <w:color w:val="auto"/>
          <w:kern w:val="2"/>
          <w:sz w:val="24"/>
          <w:szCs w:val="24"/>
          <w:highlight w:val="none"/>
          <w:lang w:val="en-US" w:eastAsia="zh-CN"/>
        </w:rPr>
        <w:t>项目</w:t>
      </w:r>
      <w:r>
        <w:rPr>
          <w:rFonts w:hint="eastAsia" w:ascii="仿宋" w:hAnsi="仿宋" w:eastAsia="仿宋" w:cs="Times New Roman"/>
          <w:snapToGrid/>
          <w:color w:val="auto"/>
          <w:kern w:val="2"/>
          <w:sz w:val="24"/>
          <w:szCs w:val="24"/>
          <w:highlight w:val="none"/>
          <w:lang w:eastAsia="zh-CN"/>
        </w:rPr>
        <w:t>全部工程竣工</w:t>
      </w:r>
      <w:r>
        <w:rPr>
          <w:rFonts w:hint="eastAsia" w:ascii="仿宋" w:hAnsi="仿宋" w:eastAsia="仿宋" w:cs="Times New Roman"/>
          <w:snapToGrid/>
          <w:color w:val="auto"/>
          <w:kern w:val="2"/>
          <w:sz w:val="24"/>
          <w:szCs w:val="24"/>
          <w:highlight w:val="none"/>
          <w:lang w:val="en-US" w:eastAsia="zh-CN"/>
        </w:rPr>
        <w:t>并</w:t>
      </w:r>
      <w:r>
        <w:rPr>
          <w:rFonts w:hint="eastAsia" w:ascii="仿宋" w:hAnsi="仿宋" w:eastAsia="仿宋" w:cs="仿宋"/>
          <w:color w:val="auto"/>
          <w:sz w:val="24"/>
          <w:szCs w:val="24"/>
          <w:highlight w:val="none"/>
          <w:lang w:val="en-US" w:eastAsia="zh-CN"/>
        </w:rPr>
        <w:t>取得竣工</w:t>
      </w:r>
      <w:r>
        <w:rPr>
          <w:rFonts w:hint="eastAsia" w:ascii="仿宋" w:hAnsi="仿宋" w:eastAsia="仿宋" w:cs="Times New Roman"/>
          <w:snapToGrid/>
          <w:color w:val="auto"/>
          <w:kern w:val="2"/>
          <w:sz w:val="24"/>
          <w:szCs w:val="24"/>
          <w:highlight w:val="none"/>
          <w:lang w:eastAsia="zh-CN"/>
        </w:rPr>
        <w:t>联合验收意见书</w:t>
      </w:r>
      <w:r>
        <w:rPr>
          <w:rFonts w:hint="eastAsia" w:ascii="仿宋" w:hAnsi="仿宋" w:eastAsia="仿宋" w:cs="Times New Roman"/>
          <w:snapToGrid/>
          <w:color w:val="auto"/>
          <w:kern w:val="2"/>
          <w:sz w:val="24"/>
          <w:szCs w:val="24"/>
          <w:highlight w:val="none"/>
          <w:lang w:val="en-US" w:eastAsia="zh-CN"/>
        </w:rPr>
        <w:t>为准。</w:t>
      </w:r>
    </w:p>
    <w:p w14:paraId="05A27FDB">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 解释</w:t>
      </w:r>
      <w:bookmarkEnd w:id="166"/>
    </w:p>
    <w:p w14:paraId="732319C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1.2.1 本合同文件除使用中文外，还可用</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w:t>
      </w:r>
    </w:p>
    <w:p w14:paraId="5A5128B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1.2.2 组成本合同的下列文件彼此应能相互解释、互为说明。本合同文件的解释顺序如下：按协议书约定。</w:t>
      </w:r>
    </w:p>
    <w:p w14:paraId="0E1AC32F">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67" w:name="bookmark109"/>
      <w:bookmarkEnd w:id="167"/>
      <w:bookmarkStart w:id="168" w:name="bookmark107"/>
      <w:bookmarkEnd w:id="168"/>
      <w:bookmarkStart w:id="169" w:name="_Toc25225"/>
      <w:r>
        <w:rPr>
          <w:rFonts w:hint="eastAsia" w:ascii="仿宋" w:hAnsi="仿宋" w:eastAsia="仿宋" w:cs="Times New Roman"/>
          <w:snapToGrid/>
          <w:color w:val="auto"/>
          <w:kern w:val="2"/>
          <w:sz w:val="24"/>
          <w:szCs w:val="24"/>
          <w:highlight w:val="none"/>
          <w:lang w:eastAsia="zh-CN"/>
        </w:rPr>
        <w:t>2. 监理人义务</w:t>
      </w:r>
      <w:bookmarkEnd w:id="169"/>
    </w:p>
    <w:p w14:paraId="67850B2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 监理的范围和内容</w:t>
      </w:r>
    </w:p>
    <w:p w14:paraId="6CFAD4B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2.1.1 监理范围包括：</w:t>
      </w:r>
    </w:p>
    <w:p w14:paraId="41A0D1B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（1）工程范围：项目位于广州市增城区荔湖街新城大道东侧，</w:t>
      </w:r>
      <w:r>
        <w:rPr>
          <w:rFonts w:hint="eastAsia" w:ascii="仿宋" w:hAnsi="仿宋" w:eastAsia="仿宋" w:cs="Times New Roman"/>
          <w:snapToGrid/>
          <w:color w:val="auto"/>
          <w:kern w:val="2"/>
          <w:sz w:val="24"/>
          <w:szCs w:val="24"/>
          <w:highlight w:val="none"/>
          <w:u w:val="single"/>
          <w:lang w:eastAsia="zh-CN"/>
        </w:rPr>
        <w:t>总用地面积为167,497.57平方米（约251.25亩）,其中可建设用地面积141,116.50平方米（约211.67亩），总建筑面积约271,164.13平方米，计容建筑面积约143,938平方米，容积率1.02。项目规划建设总户数770套，包括小高层住宅为81,644平方米（合计505户）、低密度住宅为56,884平方米（合计265户）、配套商业2,000平方米、社区服务中心3,000平方米、物业管理用房290平方米、消防控制室120平方米，包括给排水、安装、消防、装修等配套工程</w:t>
      </w:r>
      <w:r>
        <w:rPr>
          <w:rFonts w:hint="eastAsia" w:ascii="仿宋" w:hAnsi="仿宋" w:eastAsia="仿宋" w:cs="Times New Roman"/>
          <w:snapToGrid/>
          <w:color w:val="auto"/>
          <w:kern w:val="2"/>
          <w:sz w:val="24"/>
          <w:szCs w:val="24"/>
          <w:highlight w:val="none"/>
          <w:lang w:eastAsia="zh-CN"/>
        </w:rPr>
        <w:t>。</w:t>
      </w:r>
    </w:p>
    <w:p w14:paraId="3DA428F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（2）服务范围：</w:t>
      </w:r>
      <w:r>
        <w:rPr>
          <w:rFonts w:hint="eastAsia" w:ascii="仿宋" w:hAnsi="仿宋" w:eastAsia="仿宋" w:cs="Times New Roman"/>
          <w:snapToGrid/>
          <w:color w:val="auto"/>
          <w:kern w:val="2"/>
          <w:sz w:val="24"/>
          <w:szCs w:val="24"/>
          <w:highlight w:val="none"/>
          <w:lang w:val="en-US" w:eastAsia="zh-CN"/>
        </w:rPr>
        <w:t>本</w:t>
      </w:r>
      <w:r>
        <w:rPr>
          <w:rFonts w:hint="eastAsia" w:ascii="仿宋" w:hAnsi="仿宋" w:eastAsia="仿宋" w:cs="Times New Roman"/>
          <w:snapToGrid/>
          <w:color w:val="auto"/>
          <w:kern w:val="2"/>
          <w:sz w:val="24"/>
          <w:szCs w:val="24"/>
          <w:highlight w:val="none"/>
          <w:lang w:eastAsia="zh-CN"/>
        </w:rPr>
        <w:t>项目所有工程，包括但不限于项目准备阶段（含勘察阶段、设计阶段）、施工准备阶段、施工阶段、工程收尾阶段（包括但不限于竣工验收、整改、工程移交及实物移交等）及工程质量保修阶段的质量控制、安全生产监督管理、进度控制、施工过程造价</w:t>
      </w:r>
      <w:r>
        <w:rPr>
          <w:rFonts w:hint="eastAsia" w:ascii="仿宋" w:hAnsi="仿宋" w:eastAsia="仿宋" w:cs="Times New Roman"/>
          <w:snapToGrid/>
          <w:color w:val="auto"/>
          <w:kern w:val="2"/>
          <w:sz w:val="24"/>
          <w:szCs w:val="24"/>
          <w:highlight w:val="none"/>
          <w:lang w:val="en-US" w:eastAsia="zh-CN"/>
        </w:rPr>
        <w:t>审核及</w:t>
      </w:r>
      <w:r>
        <w:rPr>
          <w:rFonts w:hint="eastAsia" w:ascii="仿宋" w:hAnsi="仿宋" w:eastAsia="仿宋" w:cs="Times New Roman"/>
          <w:snapToGrid/>
          <w:color w:val="auto"/>
          <w:kern w:val="2"/>
          <w:sz w:val="24"/>
          <w:szCs w:val="24"/>
          <w:highlight w:val="none"/>
          <w:lang w:eastAsia="zh-CN"/>
        </w:rPr>
        <w:t>控制、</w:t>
      </w:r>
      <w:r>
        <w:rPr>
          <w:rFonts w:hint="eastAsia" w:ascii="仿宋" w:hAnsi="仿宋" w:eastAsia="仿宋" w:cs="Times New Roman"/>
          <w:snapToGrid/>
          <w:color w:val="auto"/>
          <w:kern w:val="2"/>
          <w:sz w:val="24"/>
          <w:szCs w:val="24"/>
          <w:highlight w:val="none"/>
          <w:lang w:val="en-US" w:eastAsia="zh-CN"/>
        </w:rPr>
        <w:t>概算/预算/</w:t>
      </w:r>
      <w:r>
        <w:rPr>
          <w:rFonts w:hint="eastAsia" w:ascii="仿宋" w:hAnsi="仿宋" w:eastAsia="仿宋" w:cs="Times New Roman"/>
          <w:snapToGrid/>
          <w:color w:val="auto"/>
          <w:kern w:val="2"/>
          <w:sz w:val="24"/>
          <w:szCs w:val="24"/>
          <w:highlight w:val="none"/>
          <w:lang w:eastAsia="zh-CN"/>
        </w:rPr>
        <w:t>结算审核（含进度款审核、变更签证造价审核）、合同管理、信息管理、组织协调、档案整理、归档及管理等监理工作。全部工程包括但不限于本项目勘察设计施工总承包（EPC）合同涉及的所有工程内容（包含因工程建设所需的红线外永久/临时工程，展示区及样板房工程等）、由委托人发包的第三方专业分包工程等。</w:t>
      </w:r>
    </w:p>
    <w:p w14:paraId="63F9EDE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工程监理服务期：监理业务开始时间以委托人下发的书面通知为准。监理服务有效期限至本工程保修期满且本合同工程结算金额经委托人或其授权委托的第三方咨询单位审定、双方履行完毕监理合同项下的义务为止。工程通过竣工验收且实物移交完成后，</w:t>
      </w:r>
      <w:r>
        <w:rPr>
          <w:rFonts w:hint="eastAsia" w:ascii="仿宋" w:hAnsi="仿宋" w:eastAsia="仿宋" w:cs="Times New Roman"/>
          <w:snapToGrid/>
          <w:color w:val="auto"/>
          <w:kern w:val="2"/>
          <w:sz w:val="24"/>
          <w:szCs w:val="24"/>
          <w:highlight w:val="none"/>
          <w:lang w:val="en-US" w:eastAsia="zh-CN"/>
        </w:rPr>
        <w:t>监理人</w:t>
      </w:r>
      <w:r>
        <w:rPr>
          <w:rFonts w:hint="eastAsia" w:ascii="仿宋" w:hAnsi="仿宋" w:eastAsia="仿宋" w:cs="Times New Roman"/>
          <w:snapToGrid/>
          <w:color w:val="auto"/>
          <w:kern w:val="2"/>
          <w:sz w:val="24"/>
          <w:szCs w:val="24"/>
          <w:highlight w:val="none"/>
          <w:lang w:eastAsia="zh-CN"/>
        </w:rPr>
        <w:t>须积极配合工程结算、工程保修等工作。验收、移交、结算工作无具体时间期限，直至全部完成为止。</w:t>
      </w:r>
    </w:p>
    <w:p w14:paraId="5CDFD09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①</w:t>
      </w:r>
      <w:r>
        <w:rPr>
          <w:rFonts w:hint="eastAsia" w:ascii="仿宋" w:hAnsi="仿宋" w:eastAsia="仿宋" w:cs="Times New Roman"/>
          <w:snapToGrid/>
          <w:color w:val="auto"/>
          <w:kern w:val="2"/>
          <w:sz w:val="24"/>
          <w:szCs w:val="24"/>
          <w:highlight w:val="none"/>
          <w:lang w:eastAsia="zh-CN"/>
        </w:rPr>
        <w:t>施工准备阶段：从中标通知书发出到委托人下达开工令或开工报告审批之日。</w:t>
      </w:r>
    </w:p>
    <w:p w14:paraId="347D840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②</w:t>
      </w:r>
      <w:r>
        <w:rPr>
          <w:rFonts w:hint="eastAsia" w:ascii="仿宋" w:hAnsi="仿宋" w:eastAsia="仿宋" w:cs="Times New Roman"/>
          <w:snapToGrid/>
          <w:color w:val="auto"/>
          <w:kern w:val="2"/>
          <w:sz w:val="24"/>
          <w:szCs w:val="24"/>
          <w:highlight w:val="none"/>
          <w:lang w:eastAsia="zh-CN"/>
        </w:rPr>
        <w:t>施工阶段监理服务期：从委托人下达开工令或开工报告审批之日起至施工项目全部完工并办理竣工验收、备案管理等为止。</w:t>
      </w:r>
    </w:p>
    <w:p w14:paraId="751EDC4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③</w:t>
      </w:r>
      <w:r>
        <w:rPr>
          <w:rFonts w:hint="eastAsia" w:ascii="仿宋" w:hAnsi="仿宋" w:eastAsia="仿宋" w:cs="Times New Roman"/>
          <w:snapToGrid/>
          <w:color w:val="auto"/>
          <w:kern w:val="2"/>
          <w:sz w:val="24"/>
          <w:szCs w:val="24"/>
          <w:highlight w:val="none"/>
          <w:lang w:eastAsia="zh-CN"/>
        </w:rPr>
        <w:t>竣工结算期：从工程竣工验收合格至委托人（或其委托的第三方）审定结算为止。</w:t>
      </w:r>
    </w:p>
    <w:p w14:paraId="1CD62D07">
      <w:pPr>
        <w:widowControl w:val="0"/>
        <w:kinsoku/>
        <w:autoSpaceDE/>
        <w:autoSpaceDN/>
        <w:adjustRightInd/>
        <w:snapToGrid/>
        <w:spacing w:line="360" w:lineRule="auto"/>
        <w:ind w:firstLine="480" w:firstLineChars="200"/>
        <w:jc w:val="both"/>
        <w:textAlignment w:val="auto"/>
        <w:rPr>
          <w:rFonts w:hint="default" w:ascii="仿宋" w:hAnsi="仿宋" w:eastAsia="仿宋" w:cs="Times New Roman"/>
          <w:snapToGrid/>
          <w:color w:val="auto"/>
          <w:kern w:val="2"/>
          <w:sz w:val="24"/>
          <w:szCs w:val="24"/>
          <w:highlight w:val="none"/>
          <w:lang w:val="en-US" w:eastAsia="zh-CN"/>
        </w:rPr>
      </w:pPr>
      <w:r>
        <w:rPr>
          <w:rFonts w:hint="eastAsia" w:ascii="微软雅黑" w:hAnsi="微软雅黑" w:eastAsia="微软雅黑" w:cs="微软雅黑"/>
          <w:snapToGrid/>
          <w:color w:val="auto"/>
          <w:kern w:val="2"/>
          <w:sz w:val="24"/>
          <w:szCs w:val="24"/>
          <w:highlight w:val="none"/>
          <w:lang w:eastAsia="zh-CN"/>
        </w:rPr>
        <w:t>④</w:t>
      </w:r>
      <w:r>
        <w:rPr>
          <w:rFonts w:hint="eastAsia" w:ascii="仿宋" w:hAnsi="仿宋" w:eastAsia="仿宋" w:cs="Times New Roman"/>
          <w:snapToGrid/>
          <w:color w:val="auto"/>
          <w:kern w:val="2"/>
          <w:sz w:val="24"/>
          <w:szCs w:val="24"/>
          <w:highlight w:val="none"/>
          <w:lang w:eastAsia="zh-CN"/>
        </w:rPr>
        <w:t>保修阶段监理服务期：从工程竣工验收合格、备案管理完成之日起至完成保修期服务为止。</w:t>
      </w:r>
      <w:r>
        <w:rPr>
          <w:rFonts w:hint="eastAsia" w:ascii="仿宋" w:hAnsi="仿宋" w:eastAsia="仿宋" w:cs="Times New Roman"/>
          <w:snapToGrid/>
          <w:color w:val="auto"/>
          <w:kern w:val="2"/>
          <w:sz w:val="24"/>
          <w:szCs w:val="24"/>
          <w:highlight w:val="none"/>
          <w:lang w:val="en-US" w:eastAsia="zh-CN"/>
        </w:rPr>
        <w:t>其中缺陷责任期为工程竣工验收合格之日起两年。</w:t>
      </w:r>
    </w:p>
    <w:p w14:paraId="69E68D3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⑤</w:t>
      </w:r>
      <w:r>
        <w:rPr>
          <w:rFonts w:hint="eastAsia" w:ascii="仿宋" w:hAnsi="仿宋" w:eastAsia="仿宋" w:cs="Times New Roman"/>
          <w:snapToGrid/>
          <w:color w:val="auto"/>
          <w:kern w:val="2"/>
          <w:sz w:val="24"/>
          <w:szCs w:val="24"/>
          <w:highlight w:val="none"/>
          <w:lang w:eastAsia="zh-CN"/>
        </w:rPr>
        <w:t>监理服务周期必须满足实际施工要求。</w:t>
      </w:r>
    </w:p>
    <w:p w14:paraId="6EFC322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（3）委托人保留根据相关依据调整监理范围的权利，监理人应无条件接受。</w:t>
      </w:r>
    </w:p>
    <w:p w14:paraId="3AAA12D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2.1.2 监理工作内容：</w:t>
      </w:r>
    </w:p>
    <w:p w14:paraId="11EEAFA5">
      <w:pPr>
        <w:widowControl w:val="0"/>
        <w:kinsoku/>
        <w:autoSpaceDE/>
        <w:autoSpaceDN/>
        <w:adjustRightInd/>
        <w:snapToGrid/>
        <w:spacing w:line="360" w:lineRule="auto"/>
        <w:ind w:firstLine="482" w:firstLineChars="200"/>
        <w:jc w:val="both"/>
        <w:textAlignment w:val="auto"/>
        <w:rPr>
          <w:rFonts w:ascii="仿宋" w:hAnsi="仿宋" w:eastAsia="仿宋" w:cs="Times New Roman"/>
          <w:b/>
          <w:bCs/>
          <w:snapToGrid/>
          <w:color w:val="auto"/>
          <w:kern w:val="2"/>
          <w:sz w:val="24"/>
          <w:szCs w:val="24"/>
          <w:highlight w:val="none"/>
          <w:lang w:eastAsia="zh-CN"/>
        </w:rPr>
      </w:pPr>
      <w:r>
        <w:rPr>
          <w:rFonts w:hint="eastAsia" w:ascii="仿宋" w:hAnsi="仿宋" w:eastAsia="仿宋" w:cs="Times New Roman"/>
          <w:b/>
          <w:bCs/>
          <w:snapToGrid/>
          <w:color w:val="auto"/>
          <w:kern w:val="2"/>
          <w:sz w:val="24"/>
          <w:szCs w:val="24"/>
          <w:highlight w:val="none"/>
          <w:lang w:eastAsia="zh-CN"/>
        </w:rPr>
        <w:t>（1）施工准备阶段的监理工作内容包括但不限于：</w:t>
      </w:r>
    </w:p>
    <w:p w14:paraId="53318CD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①</w:t>
      </w:r>
      <w:r>
        <w:rPr>
          <w:rFonts w:hint="eastAsia" w:ascii="仿宋" w:hAnsi="仿宋" w:eastAsia="仿宋" w:cs="Times New Roman"/>
          <w:snapToGrid/>
          <w:color w:val="auto"/>
          <w:kern w:val="2"/>
          <w:sz w:val="24"/>
          <w:szCs w:val="24"/>
          <w:highlight w:val="none"/>
          <w:lang w:eastAsia="zh-CN"/>
        </w:rPr>
        <w:t>按国家《建设工程监理规范》及广东省、广州市、增城区有关工程监理规定和要求完成本合同项下的监理工作，组织建立项目监理机构，委派驻现场监理，作全过程的质量、安全、文明施工、工期、投资的监控及合同的管理。在执行和遵守国家有关建设法规的前提下，维护委托人的正当权益。</w:t>
      </w:r>
    </w:p>
    <w:p w14:paraId="762A510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②</w:t>
      </w:r>
      <w:r>
        <w:rPr>
          <w:rFonts w:hint="eastAsia" w:ascii="仿宋" w:hAnsi="仿宋" w:eastAsia="仿宋" w:cs="Times New Roman"/>
          <w:snapToGrid/>
          <w:color w:val="auto"/>
          <w:kern w:val="2"/>
          <w:sz w:val="24"/>
          <w:szCs w:val="24"/>
          <w:highlight w:val="none"/>
          <w:lang w:eastAsia="zh-CN"/>
        </w:rPr>
        <w:t>根据工程规模、进展情况及委托人要求，派驻不低于投标文件相应数量的监理人员于现场，保证监理的管理力度，直到工程完成。</w:t>
      </w:r>
    </w:p>
    <w:p w14:paraId="08E0B41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bookmarkStart w:id="170" w:name="bookmark116"/>
      <w:bookmarkEnd w:id="170"/>
      <w:r>
        <w:rPr>
          <w:rFonts w:hint="eastAsia" w:ascii="微软雅黑" w:hAnsi="微软雅黑" w:eastAsia="微软雅黑" w:cs="微软雅黑"/>
          <w:snapToGrid/>
          <w:color w:val="auto"/>
          <w:kern w:val="2"/>
          <w:sz w:val="24"/>
          <w:szCs w:val="24"/>
          <w:highlight w:val="none"/>
          <w:lang w:eastAsia="zh-CN"/>
        </w:rPr>
        <w:t>③</w:t>
      </w:r>
      <w:r>
        <w:rPr>
          <w:rFonts w:hint="eastAsia" w:ascii="仿宋" w:hAnsi="仿宋" w:eastAsia="仿宋" w:cs="Times New Roman"/>
          <w:snapToGrid/>
          <w:color w:val="auto"/>
          <w:kern w:val="2"/>
          <w:sz w:val="24"/>
          <w:szCs w:val="24"/>
          <w:highlight w:val="none"/>
          <w:lang w:eastAsia="zh-CN"/>
        </w:rPr>
        <w:t>在合同签订后15天内，由总监理工程师主持编制本合同约定范围内的《监理总体规划》，重点包含监理机构组织、人员组建、质量控制标准与体系建设、进度控制标准与体系建设、安全控制标准与体系建设、文明施工管理标准与体系建设、绿色施工管理标准与体系建设、施工单位及服务单位管理与体系建设等标准化、管控性内容，并报委托人审批后，作为监理总体纲要予以实施。</w:t>
      </w:r>
    </w:p>
    <w:p w14:paraId="5D852A1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④</w:t>
      </w:r>
      <w:r>
        <w:rPr>
          <w:rFonts w:hint="eastAsia" w:ascii="仿宋" w:hAnsi="仿宋" w:eastAsia="仿宋" w:cs="Times New Roman"/>
          <w:snapToGrid/>
          <w:color w:val="auto"/>
          <w:kern w:val="2"/>
          <w:sz w:val="24"/>
          <w:szCs w:val="24"/>
          <w:highlight w:val="none"/>
          <w:lang w:eastAsia="zh-CN"/>
        </w:rPr>
        <w:t>监理人收到项目勘察设计文件后15天内，在《监理总体规划》纲要范围内，编制《监理实施细则》，结合项目特点，具体阐述、落实控制方法，且在第一次工地会议7天前报委托人审批，核查勘察方案并监督实施和进行相应的控制，参与验收勘察成果。</w:t>
      </w:r>
    </w:p>
    <w:p w14:paraId="2B52318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⑤</w:t>
      </w:r>
      <w:r>
        <w:rPr>
          <w:rFonts w:hint="eastAsia" w:ascii="仿宋" w:hAnsi="仿宋" w:eastAsia="仿宋" w:cs="Times New Roman"/>
          <w:snapToGrid/>
          <w:color w:val="auto"/>
          <w:kern w:val="2"/>
          <w:sz w:val="24"/>
          <w:szCs w:val="24"/>
          <w:highlight w:val="none"/>
          <w:lang w:eastAsia="zh-CN"/>
        </w:rPr>
        <w:t>审查设计监督计划并监督实施，监理人收到设计文件后7天内，组织监理部技术、经济人员全面审核施工图纸，并提交书面《图纸会审意见》，派相关人员参加委托人组织的图纸会审和设计交底会议，就工程设计图纸中的问题与建设单位及设计单位沟通，充分理解建设单位意图和设计思想，提出合理化建议，对工程功能及系统组成做到全面、深入的了解和掌握。</w:t>
      </w:r>
    </w:p>
    <w:p w14:paraId="575DD97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⑥</w:t>
      </w:r>
      <w:r>
        <w:rPr>
          <w:rFonts w:hint="eastAsia" w:ascii="仿宋" w:hAnsi="仿宋" w:eastAsia="仿宋" w:cs="Times New Roman"/>
          <w:snapToGrid/>
          <w:color w:val="auto"/>
          <w:kern w:val="2"/>
          <w:sz w:val="24"/>
          <w:szCs w:val="24"/>
          <w:highlight w:val="none"/>
          <w:lang w:eastAsia="zh-CN"/>
        </w:rPr>
        <w:t>参与或根据委托人要求，审核工程概算以及施工图预算，并提出书面审核意见；协助委托人选择有能力、有经验的承包商；协助委托人办理与项目相关的协调工作、报批报建等所需手续。</w:t>
      </w:r>
    </w:p>
    <w:p w14:paraId="7EA7A21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⑦</w:t>
      </w:r>
      <w:r>
        <w:rPr>
          <w:rFonts w:hint="eastAsia" w:ascii="仿宋" w:hAnsi="仿宋" w:eastAsia="仿宋" w:cs="Times New Roman"/>
          <w:snapToGrid/>
          <w:color w:val="auto"/>
          <w:kern w:val="2"/>
          <w:sz w:val="24"/>
          <w:szCs w:val="24"/>
          <w:highlight w:val="none"/>
          <w:lang w:eastAsia="zh-CN"/>
        </w:rPr>
        <w:t>认真做好施工队伍（特别是</w:t>
      </w:r>
      <w:r>
        <w:rPr>
          <w:rFonts w:hint="eastAsia" w:ascii="仿宋" w:hAnsi="仿宋" w:eastAsia="仿宋" w:cs="Times New Roman"/>
          <w:snapToGrid/>
          <w:color w:val="auto"/>
          <w:kern w:val="2"/>
          <w:sz w:val="24"/>
          <w:szCs w:val="24"/>
          <w:highlight w:val="none"/>
          <w:lang w:val="en-US" w:eastAsia="zh-CN"/>
        </w:rPr>
        <w:t>EPC</w:t>
      </w:r>
      <w:r>
        <w:rPr>
          <w:rFonts w:hint="eastAsia" w:ascii="仿宋" w:hAnsi="仿宋" w:eastAsia="仿宋" w:cs="Times New Roman"/>
          <w:snapToGrid/>
          <w:color w:val="auto"/>
          <w:kern w:val="2"/>
          <w:sz w:val="24"/>
          <w:szCs w:val="24"/>
          <w:highlight w:val="none"/>
          <w:lang w:eastAsia="zh-CN"/>
        </w:rPr>
        <w:t>总承包商）的资质审查工作，包括人员、技术、施工设备，确保人机证齐全合一、施工队伍素质与工程要求基本相适应。</w:t>
      </w:r>
    </w:p>
    <w:p w14:paraId="7B43909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⑧</w:t>
      </w:r>
      <w:r>
        <w:rPr>
          <w:rFonts w:hint="eastAsia" w:ascii="仿宋" w:hAnsi="仿宋" w:eastAsia="仿宋" w:cs="Times New Roman"/>
          <w:snapToGrid/>
          <w:color w:val="auto"/>
          <w:kern w:val="2"/>
          <w:sz w:val="24"/>
          <w:szCs w:val="24"/>
          <w:highlight w:val="none"/>
          <w:lang w:eastAsia="zh-CN"/>
        </w:rPr>
        <w:t>认真审核经承包单位技术部门审批盖章的施工组织设计（施工方案）、施工进度计划、质量保证措施和安全技术措施，施工现场的布置、劳动人安排，工具材料准备、预制中、半成品的生产等，确保工程质量符合设计和规范与工程建设总进度。</w:t>
      </w:r>
    </w:p>
    <w:p w14:paraId="5EF5CA1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⑨</w:t>
      </w:r>
      <w:r>
        <w:rPr>
          <w:rFonts w:hint="eastAsia" w:ascii="仿宋" w:hAnsi="仿宋" w:eastAsia="仿宋" w:cs="Times New Roman"/>
          <w:snapToGrid/>
          <w:color w:val="auto"/>
          <w:kern w:val="2"/>
          <w:sz w:val="24"/>
          <w:szCs w:val="24"/>
          <w:highlight w:val="none"/>
          <w:lang w:eastAsia="zh-CN"/>
        </w:rPr>
        <w:t>督促总承包单位认真做好作业前的技术交底，使每个施工人员清楚各自工作的具体要求。</w:t>
      </w:r>
    </w:p>
    <w:p w14:paraId="40126D7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⑩</w:t>
      </w:r>
      <w:r>
        <w:rPr>
          <w:rFonts w:hint="eastAsia" w:ascii="仿宋" w:hAnsi="仿宋" w:eastAsia="仿宋" w:cs="Times New Roman"/>
          <w:snapToGrid/>
          <w:color w:val="auto"/>
          <w:kern w:val="2"/>
          <w:sz w:val="24"/>
          <w:szCs w:val="24"/>
          <w:highlight w:val="none"/>
          <w:lang w:eastAsia="zh-CN"/>
        </w:rPr>
        <w:t>督促施工单位准时报送人员计划、材料进场计划、机械进场计划、资金使用计划、施工进度计划、产值计划等各项计划，并根据委托人下达的建设目标进行分解和审核，督促、监督和落实各项计划。</w:t>
      </w:r>
    </w:p>
    <w:p w14:paraId="23AC382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⑪</w:t>
      </w:r>
      <w:r>
        <w:rPr>
          <w:rFonts w:hint="eastAsia" w:ascii="仿宋" w:hAnsi="仿宋" w:eastAsia="仿宋" w:cs="Times New Roman"/>
          <w:snapToGrid/>
          <w:color w:val="auto"/>
          <w:kern w:val="2"/>
          <w:sz w:val="24"/>
          <w:szCs w:val="24"/>
          <w:highlight w:val="none"/>
          <w:lang w:eastAsia="zh-CN"/>
        </w:rPr>
        <w:t>协助委托人移交与项目施工有关的测量控制网点，并负责控制网点的复核；审查承包人提交的测量实施报告，并依据监理规范要求检查和复核有关测量成果。</w:t>
      </w:r>
    </w:p>
    <w:p w14:paraId="6B85C24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⑫</w:t>
      </w:r>
      <w:r>
        <w:rPr>
          <w:rFonts w:hint="eastAsia" w:ascii="仿宋" w:hAnsi="仿宋" w:eastAsia="仿宋" w:cs="Times New Roman"/>
          <w:snapToGrid/>
          <w:color w:val="auto"/>
          <w:kern w:val="2"/>
          <w:sz w:val="24"/>
          <w:szCs w:val="24"/>
          <w:highlight w:val="none"/>
          <w:lang w:eastAsia="zh-CN"/>
        </w:rPr>
        <w:t>督促并审查工程开工条件，对条件具备的按时签发开工令。</w:t>
      </w:r>
      <w:bookmarkStart w:id="171" w:name="bookmark118"/>
      <w:bookmarkEnd w:id="171"/>
    </w:p>
    <w:p w14:paraId="73B11C99">
      <w:pPr>
        <w:widowControl w:val="0"/>
        <w:kinsoku/>
        <w:autoSpaceDE/>
        <w:autoSpaceDN/>
        <w:adjustRightInd/>
        <w:snapToGrid/>
        <w:spacing w:line="360" w:lineRule="auto"/>
        <w:ind w:firstLine="482" w:firstLineChars="200"/>
        <w:jc w:val="both"/>
        <w:textAlignment w:val="auto"/>
        <w:rPr>
          <w:rFonts w:ascii="仿宋" w:hAnsi="仿宋" w:eastAsia="仿宋" w:cs="Times New Roman"/>
          <w:b/>
          <w:bCs/>
          <w:snapToGrid/>
          <w:color w:val="auto"/>
          <w:kern w:val="2"/>
          <w:sz w:val="24"/>
          <w:szCs w:val="24"/>
          <w:highlight w:val="none"/>
          <w:lang w:eastAsia="zh-CN"/>
        </w:rPr>
      </w:pPr>
      <w:r>
        <w:rPr>
          <w:rFonts w:hint="eastAsia" w:ascii="仿宋" w:hAnsi="仿宋" w:eastAsia="仿宋" w:cs="Times New Roman"/>
          <w:b/>
          <w:bCs/>
          <w:snapToGrid/>
          <w:color w:val="auto"/>
          <w:kern w:val="2"/>
          <w:sz w:val="24"/>
          <w:szCs w:val="24"/>
          <w:highlight w:val="none"/>
          <w:lang w:eastAsia="zh-CN"/>
        </w:rPr>
        <w:t>（2）施工阶段的监理工作内容包括但不限于：</w:t>
      </w:r>
    </w:p>
    <w:p w14:paraId="0B703BF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①</w:t>
      </w:r>
      <w:r>
        <w:rPr>
          <w:rFonts w:hint="eastAsia" w:ascii="仿宋" w:hAnsi="仿宋" w:eastAsia="仿宋" w:cs="Times New Roman"/>
          <w:snapToGrid/>
          <w:color w:val="auto"/>
          <w:kern w:val="2"/>
          <w:sz w:val="24"/>
          <w:szCs w:val="24"/>
          <w:highlight w:val="none"/>
          <w:lang w:eastAsia="zh-CN"/>
        </w:rPr>
        <w:t>建立全面的监理例会制度，主持每周的监理例会，对质量、安全、进度、投资等方面及存在问题提出监理意见，结合参建各方意见，解决技术问题，形成监理例会纪要。监理人根据工程建设和管理需要，自行组织质量管理、进度、安全、投资等方面的专题会议，必要时通知委托人参与。</w:t>
      </w:r>
    </w:p>
    <w:p w14:paraId="5B42CF7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②</w:t>
      </w:r>
      <w:r>
        <w:rPr>
          <w:rFonts w:hint="eastAsia" w:ascii="仿宋" w:hAnsi="仿宋" w:eastAsia="仿宋" w:cs="Times New Roman"/>
          <w:snapToGrid/>
          <w:color w:val="auto"/>
          <w:kern w:val="2"/>
          <w:sz w:val="24"/>
          <w:szCs w:val="24"/>
          <w:highlight w:val="none"/>
          <w:lang w:eastAsia="zh-CN"/>
        </w:rPr>
        <w:t>建立监理日志制度，现场监理人员每日如实填写，以便查验。编制项目监理周报、监理月报、项目总结及其他委托人要求的专项报告。监理周报、月报分别需在例会前1天内、每月30日前报送委托人。其中监理月报内容应涵盖当月形象进度情况、产值完成情况、质量管理情况、安全管理情况、现场文明施工情况、绿色施工、投资管理、服务单位（检测、监测等）管理情况以及相应检查情况、相关指示落实情况等。其他报告根据委托人提出的时间与要求落实。</w:t>
      </w:r>
    </w:p>
    <w:p w14:paraId="21D7D51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③</w:t>
      </w:r>
      <w:r>
        <w:rPr>
          <w:rFonts w:hint="eastAsia" w:ascii="仿宋" w:hAnsi="仿宋" w:eastAsia="仿宋" w:cs="Times New Roman"/>
          <w:snapToGrid/>
          <w:color w:val="auto"/>
          <w:kern w:val="2"/>
          <w:sz w:val="24"/>
          <w:szCs w:val="24"/>
          <w:highlight w:val="none"/>
          <w:lang w:eastAsia="zh-CN"/>
        </w:rPr>
        <w:t>建立相应检查制度及对施工单位的日常考勤考核制度，不定期检查或审核施工承包人工程质量、安全生产等管理制度建设情况，组织机构及人员资格情况，人员、物资配备情况，施工单位试验室情况，分包人资质条件情况等内容，并将相应检查结果纳入监理月报。</w:t>
      </w:r>
    </w:p>
    <w:p w14:paraId="47177AF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④</w:t>
      </w:r>
      <w:r>
        <w:rPr>
          <w:rFonts w:hint="eastAsia" w:ascii="仿宋" w:hAnsi="仿宋" w:eastAsia="仿宋" w:cs="Times New Roman"/>
          <w:snapToGrid/>
          <w:color w:val="auto"/>
          <w:kern w:val="2"/>
          <w:sz w:val="24"/>
          <w:szCs w:val="24"/>
          <w:highlight w:val="none"/>
          <w:lang w:eastAsia="zh-CN"/>
        </w:rPr>
        <w:t>根据材料、实体检测规范要求及施工图纸内容，结合工程建设实际，审核材料、实体检测清单。严格审核施工单位材料进场计划与检验批次的适配性、检测范围和必检参数。严格管理材料进场计划，避免材料分散采购而导致检测批次无限增加，避免将应由施工单位自行检测的内容纳入委托人检测范围，避免不该检或不必检项目纳入检测范围。</w:t>
      </w:r>
    </w:p>
    <w:p w14:paraId="0EA4630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⑤</w:t>
      </w:r>
      <w:r>
        <w:rPr>
          <w:rFonts w:hint="eastAsia" w:ascii="仿宋" w:hAnsi="仿宋" w:eastAsia="仿宋" w:cs="Times New Roman"/>
          <w:snapToGrid/>
          <w:color w:val="auto"/>
          <w:kern w:val="2"/>
          <w:sz w:val="24"/>
          <w:szCs w:val="24"/>
          <w:highlight w:val="none"/>
          <w:lang w:eastAsia="zh-CN"/>
        </w:rPr>
        <w:t>根据监测规范要求及施工图纸、施工工艺要求，严格审核监测方案的合理性和经济性，过程中严格记录和检查施工现场是否按监测方案予以落实，客观工作、实事求是地签署相应监测记录。</w:t>
      </w:r>
    </w:p>
    <w:p w14:paraId="25D578B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⑥</w:t>
      </w:r>
      <w:r>
        <w:rPr>
          <w:rFonts w:hint="eastAsia" w:ascii="仿宋" w:hAnsi="仿宋" w:eastAsia="仿宋" w:cs="Times New Roman"/>
          <w:snapToGrid/>
          <w:color w:val="auto"/>
          <w:kern w:val="2"/>
          <w:sz w:val="24"/>
          <w:szCs w:val="24"/>
          <w:highlight w:val="none"/>
          <w:lang w:eastAsia="zh-CN"/>
        </w:rPr>
        <w:t>严格把控工程质量关和见证取样试验关。严格审查施工单位报送的工程原材料、构配件、设备质量证明文件的有效性和符合性。按规定见证取样及送样，对用于永久工程的材料、结构性或质量关键部位，抽检其特性，并与第三方检测单位的实验值进行比较，严禁将不合格的材料、设备用于工程（含临时工程）。对检验和监测中发现的不合格品，根据实际情况需要进行标识、记录或下令停工，报送委托人并给出返修、加固、返工、让步接受或报废等措施处置意见。</w:t>
      </w:r>
    </w:p>
    <w:p w14:paraId="766A189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bookmarkStart w:id="172" w:name="bookmark122"/>
      <w:bookmarkEnd w:id="172"/>
      <w:bookmarkStart w:id="173" w:name="bookmark120"/>
      <w:bookmarkEnd w:id="173"/>
      <w:bookmarkStart w:id="174" w:name="bookmark124"/>
      <w:bookmarkEnd w:id="174"/>
      <w:r>
        <w:rPr>
          <w:rFonts w:hint="eastAsia" w:ascii="微软雅黑" w:hAnsi="微软雅黑" w:eastAsia="微软雅黑" w:cs="微软雅黑"/>
          <w:snapToGrid/>
          <w:color w:val="auto"/>
          <w:kern w:val="2"/>
          <w:sz w:val="24"/>
          <w:szCs w:val="24"/>
          <w:highlight w:val="none"/>
          <w:lang w:eastAsia="zh-CN"/>
        </w:rPr>
        <w:t>⑦</w:t>
      </w:r>
      <w:r>
        <w:rPr>
          <w:rFonts w:hint="eastAsia" w:ascii="仿宋" w:hAnsi="仿宋" w:eastAsia="仿宋" w:cs="Times New Roman"/>
          <w:snapToGrid/>
          <w:color w:val="auto"/>
          <w:kern w:val="2"/>
          <w:sz w:val="24"/>
          <w:szCs w:val="24"/>
          <w:highlight w:val="none"/>
          <w:lang w:eastAsia="zh-CN"/>
        </w:rPr>
        <w:t>检查本工程采用的主要设备及关键材料是否符合设计文件或招、投标文件所规定的厂家、型号、规格、数量以及质量标准，在承包人或委托人订货前，视乎需要并经委托人同意可对生产厂家进行了解考察，但所发生的差旅费用由采购方负担。</w:t>
      </w:r>
    </w:p>
    <w:p w14:paraId="5541ED7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⑧</w:t>
      </w:r>
      <w:r>
        <w:rPr>
          <w:rFonts w:hint="eastAsia" w:ascii="仿宋" w:hAnsi="仿宋" w:eastAsia="仿宋" w:cs="Times New Roman"/>
          <w:snapToGrid/>
          <w:color w:val="auto"/>
          <w:kern w:val="2"/>
          <w:sz w:val="24"/>
          <w:szCs w:val="24"/>
          <w:highlight w:val="none"/>
          <w:lang w:eastAsia="zh-CN"/>
        </w:rPr>
        <w:t>督促施工单位严格执行合同和严格按照国家技术规范、标准、地方建筑安装规程以及设计图纸文件的要求进行施工、安装，并检查其实施情况；核查施工过程中的主要部位、环节以及隐蔽工程的施工验收签证，对于关键部位工序进行全过程旁站管理，控制工程质量。在巡视、旁站和检验过程中，发现工程质量、施工安全隐患，应拍照或取证，可视质量问题的大小和轻重，以“监理工作联系单”和“监理通知单”的形式通知施工方、委托人，并监督解决。根据项目实际情况，经委托人书面同意，签发工程暂停令和复工令，紧急情况下，可下达口头停工令。</w:t>
      </w:r>
    </w:p>
    <w:p w14:paraId="1D978FF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⑨</w:t>
      </w:r>
      <w:r>
        <w:rPr>
          <w:rFonts w:hint="eastAsia" w:ascii="仿宋" w:hAnsi="仿宋" w:eastAsia="仿宋" w:cs="Times New Roman"/>
          <w:snapToGrid/>
          <w:color w:val="auto"/>
          <w:kern w:val="2"/>
          <w:sz w:val="24"/>
          <w:szCs w:val="24"/>
          <w:highlight w:val="none"/>
          <w:lang w:eastAsia="zh-CN"/>
        </w:rPr>
        <w:t>监督检查工程的文明施工及安全防护措施，若发生安全事故时，迅速采取措施，减少事故对工程的影响，并及时上报，事后配合有关部门查明事故原因，恢复施工生产。协助委托人组织施工承包单位、设计单位研究处理工程质量、安全事故，监督整改方案的实施，并监督检查整改工作实施；</w:t>
      </w:r>
    </w:p>
    <w:p w14:paraId="1B7BF8B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⑩</w:t>
      </w:r>
      <w:r>
        <w:rPr>
          <w:rFonts w:hint="eastAsia" w:ascii="仿宋" w:hAnsi="仿宋" w:eastAsia="仿宋" w:cs="Times New Roman"/>
          <w:snapToGrid/>
          <w:color w:val="auto"/>
          <w:kern w:val="2"/>
          <w:sz w:val="24"/>
          <w:szCs w:val="24"/>
          <w:highlight w:val="none"/>
          <w:lang w:eastAsia="zh-CN"/>
        </w:rPr>
        <w:t>审查施工单位提交的采用新材料、新工艺、新技术、新设备的论证材料及相关验收标准，结合工程实际，确认能产生质量、投资、工期方面的效益后，书面报委托人批准使用。</w:t>
      </w:r>
    </w:p>
    <w:p w14:paraId="2943E24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⑪</w:t>
      </w:r>
      <w:r>
        <w:rPr>
          <w:rFonts w:hint="eastAsia" w:ascii="仿宋" w:hAnsi="仿宋" w:eastAsia="仿宋" w:cs="Times New Roman"/>
          <w:snapToGrid/>
          <w:color w:val="auto"/>
          <w:kern w:val="2"/>
          <w:sz w:val="24"/>
          <w:szCs w:val="24"/>
          <w:highlight w:val="none"/>
          <w:lang w:eastAsia="zh-CN"/>
        </w:rPr>
        <w:t>审核施工进度计量及检测监测等服务类项目计量、变更、结算审核等工作，出具工程款支付证书或审查意见，并报委托人审核、批准，并做好计量支付审核台账（含工程量、单价、设计变更）。审核过程中，对于特殊问题、有争议的问题应先查证相关资料，提出相关处理意见或建议，积极与委托人沟通、协调。</w:t>
      </w:r>
    </w:p>
    <w:p w14:paraId="2992781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⑫</w:t>
      </w:r>
      <w:r>
        <w:rPr>
          <w:rFonts w:hint="eastAsia" w:ascii="仿宋" w:hAnsi="仿宋" w:eastAsia="仿宋" w:cs="Times New Roman"/>
          <w:snapToGrid/>
          <w:color w:val="auto"/>
          <w:kern w:val="2"/>
          <w:sz w:val="24"/>
          <w:szCs w:val="24"/>
          <w:highlight w:val="none"/>
          <w:lang w:eastAsia="zh-CN"/>
        </w:rPr>
        <w:t>对本工程的重大设计修改和技术洽商向委托人提出监理意见，按委托人制定的工程变更管理办法等规定，严格控制设计变更和现场签证，对设计变更要做出合理性、必要性审核意见后报委托人书面审核确认，对现场签证应与委托人现场代表及甲方委托的第三方（如有）共同现场计量核实后共同签证。未经委托人代表签证的设计变更、现场签证，均为无效。</w:t>
      </w:r>
    </w:p>
    <w:p w14:paraId="5FFBBE3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⑬</w:t>
      </w:r>
      <w:r>
        <w:rPr>
          <w:rFonts w:hint="eastAsia" w:ascii="仿宋" w:hAnsi="仿宋" w:eastAsia="仿宋" w:cs="Times New Roman"/>
          <w:snapToGrid/>
          <w:color w:val="auto"/>
          <w:kern w:val="2"/>
          <w:sz w:val="24"/>
          <w:szCs w:val="24"/>
          <w:highlight w:val="none"/>
          <w:lang w:eastAsia="zh-CN"/>
        </w:rPr>
        <w:t>按规定，组织隐蔽工程、分部分项工程及专项验收。审查施工单位提交的竣工验收申请，组织工程竣工预验收，编写工程质量评估报告，签署竣工验收意见。</w:t>
      </w:r>
    </w:p>
    <w:p w14:paraId="6F6BB92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⑭</w:t>
      </w:r>
      <w:r>
        <w:rPr>
          <w:rFonts w:hint="eastAsia" w:ascii="仿宋" w:hAnsi="仿宋" w:eastAsia="仿宋" w:cs="Times New Roman"/>
          <w:snapToGrid/>
          <w:color w:val="auto"/>
          <w:kern w:val="2"/>
          <w:sz w:val="24"/>
          <w:szCs w:val="24"/>
          <w:highlight w:val="none"/>
          <w:lang w:eastAsia="zh-CN"/>
        </w:rPr>
        <w:t>按委托人制定的结算管理制度等相关规定，审核竣工结算材料，出具书面审核</w:t>
      </w:r>
      <w:bookmarkStart w:id="175" w:name="bookmark126"/>
      <w:bookmarkEnd w:id="175"/>
      <w:bookmarkStart w:id="176" w:name="bookmark130"/>
      <w:bookmarkEnd w:id="176"/>
      <w:bookmarkStart w:id="177" w:name="bookmark128"/>
      <w:bookmarkEnd w:id="177"/>
      <w:r>
        <w:rPr>
          <w:rFonts w:hint="eastAsia" w:ascii="仿宋" w:hAnsi="仿宋" w:eastAsia="仿宋" w:cs="Times New Roman"/>
          <w:snapToGrid/>
          <w:color w:val="auto"/>
          <w:kern w:val="2"/>
          <w:sz w:val="24"/>
          <w:szCs w:val="24"/>
          <w:highlight w:val="none"/>
          <w:lang w:eastAsia="zh-CN"/>
        </w:rPr>
        <w:t>报告。审核过程中，对于特殊问题、有争议的问题应先查证相关资料，提出相关处理意见或建议，积极与委托人沟通、协调，后签署书面意见。</w:t>
      </w:r>
    </w:p>
    <w:p w14:paraId="3FF4139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⑮</w:t>
      </w:r>
      <w:r>
        <w:rPr>
          <w:rFonts w:hint="eastAsia" w:ascii="仿宋" w:hAnsi="仿宋" w:eastAsia="仿宋" w:cs="Times New Roman"/>
          <w:snapToGrid/>
          <w:color w:val="auto"/>
          <w:kern w:val="2"/>
          <w:sz w:val="24"/>
          <w:szCs w:val="24"/>
          <w:highlight w:val="none"/>
          <w:lang w:eastAsia="zh-CN"/>
        </w:rPr>
        <w:t>严格按委托人制定的建设项目样板引路实施细则等规定建立工序质量样板，在工序样板引路的基础上，指导施工单位实施分项分部子单位样板引路。</w:t>
      </w:r>
    </w:p>
    <w:p w14:paraId="7E31646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⑯</w:t>
      </w:r>
      <w:r>
        <w:rPr>
          <w:rFonts w:hint="eastAsia" w:ascii="仿宋" w:hAnsi="仿宋" w:eastAsia="仿宋" w:cs="Times New Roman"/>
          <w:snapToGrid/>
          <w:color w:val="auto"/>
          <w:kern w:val="2"/>
          <w:sz w:val="24"/>
          <w:szCs w:val="24"/>
          <w:highlight w:val="none"/>
          <w:lang w:eastAsia="zh-CN"/>
        </w:rPr>
        <w:t>督促施工单位应按照国家、部委及地方相关规定，做好安全文明施工工作，并按照最新《广州市建设工程安全文明施工标准化图集》及其他有效的管理文件实施，审核施工单位安全文明施工费用列支情况。督促项目范围内的建筑工程、市政工程、景观绿化工程争创广州市安全文明样板工地奖。</w:t>
      </w:r>
    </w:p>
    <w:p w14:paraId="07B5AB1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⑰</w:t>
      </w:r>
      <w:r>
        <w:rPr>
          <w:rFonts w:hint="eastAsia" w:ascii="仿宋" w:hAnsi="仿宋" w:eastAsia="仿宋" w:cs="Times New Roman"/>
          <w:snapToGrid/>
          <w:color w:val="auto"/>
          <w:kern w:val="2"/>
          <w:sz w:val="24"/>
          <w:szCs w:val="24"/>
          <w:highlight w:val="none"/>
          <w:lang w:eastAsia="zh-CN"/>
        </w:rPr>
        <w:t>督促施工单位建立治安管理机构、日常工作机制，制定突发治安事件的紧急预案，抓好日常管理和联防排查工作，尽量避免在施工现场范围内或承包人驻地范围内发生暴乱、爆炸等恐怖事件，以及群殴、械斗等群体性治安事件。同时，杜绝发生较大事故等级及以上的伤亡事故且工伤责任事故死亡人数为零。</w:t>
      </w:r>
    </w:p>
    <w:p w14:paraId="2FACDFC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⑱</w:t>
      </w:r>
      <w:r>
        <w:rPr>
          <w:rFonts w:hint="eastAsia" w:ascii="仿宋" w:hAnsi="仿宋" w:eastAsia="仿宋" w:cs="Times New Roman"/>
          <w:snapToGrid/>
          <w:color w:val="auto"/>
          <w:kern w:val="2"/>
          <w:sz w:val="24"/>
          <w:szCs w:val="24"/>
          <w:highlight w:val="none"/>
          <w:lang w:eastAsia="zh-CN"/>
        </w:rPr>
        <w:t>协助委托人与外部有关部门，如消防、人防、环保、地震、供水、供电、供气、市政排水、通讯、卫生、建筑管理等部门之间的协调工作；协助委托人处理有关合同索赔事宜、工程保险索赔、合同纠纷。协助委托人按相关规定监督施工单位工人工资支付分账管理事宜。</w:t>
      </w:r>
    </w:p>
    <w:p w14:paraId="024C01D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⑲</w:t>
      </w:r>
      <w:r>
        <w:rPr>
          <w:rFonts w:hint="eastAsia" w:ascii="仿宋" w:hAnsi="仿宋" w:eastAsia="仿宋" w:cs="Times New Roman"/>
          <w:snapToGrid/>
          <w:color w:val="auto"/>
          <w:kern w:val="2"/>
          <w:sz w:val="24"/>
          <w:szCs w:val="24"/>
          <w:highlight w:val="none"/>
          <w:lang w:eastAsia="zh-CN"/>
        </w:rPr>
        <w:t>对承包单位报来的各项工程报验单，隐蔽单，监理工程师都要以施工图纸和规范及施工工艺设计要求认真审查，工程质量不符合要求未经监理工程师签字，不得进行下道工序施工。</w:t>
      </w:r>
    </w:p>
    <w:p w14:paraId="2F7A116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⑳</w:t>
      </w:r>
      <w:r>
        <w:rPr>
          <w:rFonts w:hint="eastAsia" w:ascii="仿宋" w:hAnsi="仿宋" w:eastAsia="仿宋" w:cs="Times New Roman"/>
          <w:snapToGrid/>
          <w:color w:val="auto"/>
          <w:kern w:val="2"/>
          <w:sz w:val="24"/>
          <w:szCs w:val="24"/>
          <w:highlight w:val="none"/>
          <w:lang w:eastAsia="zh-CN"/>
        </w:rPr>
        <w:t>做好并督促检查承包单位完成各阶段的过程资料，按照广州市工程档案相关规定要求，编制、整理工程监理归档文件并报委托人。不定期组织检查施工单位档案归档情况，参与委托人组织的档案检查工作。</w:t>
      </w:r>
    </w:p>
    <w:p w14:paraId="32F7CA78">
      <w:pPr>
        <w:widowControl w:val="0"/>
        <w:kinsoku/>
        <w:autoSpaceDE/>
        <w:autoSpaceDN/>
        <w:adjustRightInd/>
        <w:snapToGrid/>
        <w:spacing w:line="360" w:lineRule="auto"/>
        <w:ind w:firstLine="482" w:firstLineChars="200"/>
        <w:jc w:val="both"/>
        <w:textAlignment w:val="auto"/>
        <w:rPr>
          <w:rFonts w:ascii="仿宋" w:hAnsi="仿宋" w:eastAsia="仿宋" w:cs="Times New Roman"/>
          <w:b/>
          <w:bCs/>
          <w:snapToGrid/>
          <w:color w:val="auto"/>
          <w:kern w:val="2"/>
          <w:sz w:val="24"/>
          <w:szCs w:val="24"/>
          <w:highlight w:val="none"/>
          <w:lang w:eastAsia="zh-CN"/>
        </w:rPr>
      </w:pPr>
      <w:r>
        <w:rPr>
          <w:rFonts w:hint="eastAsia" w:ascii="仿宋" w:hAnsi="仿宋" w:eastAsia="仿宋" w:cs="Times New Roman"/>
          <w:b/>
          <w:bCs/>
          <w:snapToGrid/>
          <w:color w:val="auto"/>
          <w:kern w:val="2"/>
          <w:sz w:val="24"/>
          <w:szCs w:val="24"/>
          <w:highlight w:val="none"/>
          <w:lang w:eastAsia="zh-CN"/>
        </w:rPr>
        <w:t>（3）竣工验收、质量保修期阶段的监理工作内容包括但不限于：</w:t>
      </w:r>
    </w:p>
    <w:p w14:paraId="0B86D1A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①</w:t>
      </w:r>
      <w:r>
        <w:rPr>
          <w:rFonts w:hint="eastAsia" w:ascii="仿宋" w:hAnsi="仿宋" w:eastAsia="仿宋" w:cs="Times New Roman"/>
          <w:snapToGrid/>
          <w:color w:val="auto"/>
          <w:kern w:val="2"/>
          <w:sz w:val="24"/>
          <w:szCs w:val="24"/>
          <w:highlight w:val="none"/>
          <w:lang w:eastAsia="zh-CN"/>
        </w:rPr>
        <w:t>对已完工程进行工程质量评估，并及时提供分部、单位工程质量评估报告及监理工作总结。</w:t>
      </w:r>
    </w:p>
    <w:p w14:paraId="77DF84E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②</w:t>
      </w:r>
      <w:r>
        <w:rPr>
          <w:rFonts w:hint="eastAsia" w:ascii="仿宋" w:hAnsi="仿宋" w:eastAsia="仿宋" w:cs="Times New Roman"/>
          <w:snapToGrid/>
          <w:color w:val="auto"/>
          <w:kern w:val="2"/>
          <w:sz w:val="24"/>
          <w:szCs w:val="24"/>
          <w:highlight w:val="none"/>
          <w:lang w:eastAsia="zh-CN"/>
        </w:rPr>
        <w:t>提供专业检测仪器和工具，协助委托人在竣工验收、每月的例行检查时对工程实体进行实测实量。</w:t>
      </w:r>
    </w:p>
    <w:p w14:paraId="306555C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③</w:t>
      </w:r>
      <w:r>
        <w:rPr>
          <w:rFonts w:hint="eastAsia" w:ascii="仿宋" w:hAnsi="仿宋" w:eastAsia="仿宋" w:cs="Times New Roman"/>
          <w:snapToGrid/>
          <w:color w:val="auto"/>
          <w:kern w:val="2"/>
          <w:sz w:val="24"/>
          <w:szCs w:val="24"/>
          <w:highlight w:val="none"/>
          <w:lang w:eastAsia="zh-CN"/>
        </w:rPr>
        <w:t>根据规范和强制性标准条文对承包单位报送的完工工程的实物质量进行竣工预验收、竣工资料进行审查，并对存在的问题整改的结果进行复验合格的基础上，向委托</w:t>
      </w:r>
      <w:bookmarkStart w:id="178" w:name="bookmark133"/>
      <w:bookmarkEnd w:id="178"/>
      <w:bookmarkStart w:id="179" w:name="bookmark132"/>
      <w:bookmarkEnd w:id="179"/>
      <w:r>
        <w:rPr>
          <w:rFonts w:hint="eastAsia" w:ascii="仿宋" w:hAnsi="仿宋" w:eastAsia="仿宋" w:cs="Times New Roman"/>
          <w:snapToGrid/>
          <w:color w:val="auto"/>
          <w:kern w:val="2"/>
          <w:sz w:val="24"/>
          <w:szCs w:val="24"/>
          <w:highlight w:val="none"/>
          <w:lang w:eastAsia="zh-CN"/>
        </w:rPr>
        <w:t>人提出竣工验收的建议。协助委托人组织竣工验收。</w:t>
      </w:r>
    </w:p>
    <w:p w14:paraId="76EB137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④</w:t>
      </w:r>
      <w:r>
        <w:rPr>
          <w:rFonts w:hint="eastAsia" w:ascii="仿宋" w:hAnsi="仿宋" w:eastAsia="仿宋" w:cs="Times New Roman"/>
          <w:snapToGrid/>
          <w:color w:val="auto"/>
          <w:kern w:val="2"/>
          <w:sz w:val="24"/>
          <w:szCs w:val="24"/>
          <w:highlight w:val="none"/>
          <w:lang w:eastAsia="zh-CN"/>
        </w:rPr>
        <w:t>督促承包单位完成各阶段及全套竣工图、工程结算及各种必须归档的资料编制工作，审核工程结算书的真实性、合理性与依据性，保证其正确无误，并及时提交委托人。</w:t>
      </w:r>
    </w:p>
    <w:p w14:paraId="080624A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⑤</w:t>
      </w:r>
      <w:r>
        <w:rPr>
          <w:rFonts w:hint="eastAsia" w:ascii="仿宋" w:hAnsi="仿宋" w:eastAsia="仿宋" w:cs="Times New Roman"/>
          <w:snapToGrid/>
          <w:color w:val="auto"/>
          <w:kern w:val="2"/>
          <w:sz w:val="24"/>
          <w:szCs w:val="24"/>
          <w:highlight w:val="none"/>
          <w:lang w:eastAsia="zh-CN"/>
        </w:rPr>
        <w:t>工程竣工验收结束后7日内，监理人向委托人移交监理工作的试验检测资料、质量过程资料、监理程序资料、监理工作的验收评定资料、工程款计量支付资料、监理工作的影像资料，以及一式两套完整且符合广州市城建档案馆要求或增城区档案管理部门</w:t>
      </w:r>
      <w:bookmarkStart w:id="180" w:name="bookmark111"/>
      <w:bookmarkEnd w:id="180"/>
      <w:r>
        <w:rPr>
          <w:rFonts w:hint="eastAsia" w:ascii="仿宋" w:hAnsi="仿宋" w:eastAsia="仿宋" w:cs="Times New Roman"/>
          <w:snapToGrid/>
          <w:color w:val="auto"/>
          <w:kern w:val="2"/>
          <w:sz w:val="24"/>
          <w:szCs w:val="24"/>
          <w:highlight w:val="none"/>
          <w:lang w:eastAsia="zh-CN"/>
        </w:rPr>
        <w:t>要求的纸质档案及电子文件。</w:t>
      </w:r>
    </w:p>
    <w:p w14:paraId="4E4F903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⑥</w:t>
      </w:r>
      <w:r>
        <w:rPr>
          <w:rFonts w:hint="eastAsia" w:ascii="仿宋" w:hAnsi="仿宋" w:eastAsia="仿宋" w:cs="Times New Roman"/>
          <w:snapToGrid/>
          <w:color w:val="auto"/>
          <w:kern w:val="2"/>
          <w:sz w:val="24"/>
          <w:szCs w:val="24"/>
          <w:highlight w:val="none"/>
          <w:lang w:eastAsia="zh-CN"/>
        </w:rPr>
        <w:t>监理人需无条件配合委托人完成向广州市城建档案馆或增城区档案管理部门移交本项目工程文件的工作。若提交的资料不符合委托人或本合同约定要求的，监理人自委托人通知之日起7日内须无条件免费按前述要求补充完善。</w:t>
      </w:r>
    </w:p>
    <w:p w14:paraId="32D9E06D">
      <w:pPr>
        <w:widowControl w:val="0"/>
        <w:kinsoku/>
        <w:autoSpaceDE/>
        <w:autoSpaceDN/>
        <w:adjustRightInd/>
        <w:snapToGrid/>
        <w:spacing w:line="360" w:lineRule="auto"/>
        <w:ind w:firstLine="480" w:firstLineChars="200"/>
        <w:jc w:val="both"/>
        <w:textAlignment w:val="auto"/>
        <w:rPr>
          <w:rFonts w:hint="eastAsia"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⑦</w:t>
      </w:r>
      <w:r>
        <w:rPr>
          <w:rFonts w:hint="eastAsia" w:ascii="仿宋" w:hAnsi="仿宋" w:eastAsia="仿宋" w:cs="Times New Roman"/>
          <w:snapToGrid/>
          <w:color w:val="auto"/>
          <w:kern w:val="2"/>
          <w:sz w:val="24"/>
          <w:szCs w:val="24"/>
          <w:highlight w:val="none"/>
          <w:lang w:eastAsia="zh-CN"/>
        </w:rPr>
        <w:t>工程质量保修期内监理人根据监理合同约定，当委托人在使用中对工程质量提出异议或监理人在回访中，发现影响使用的质量缺陷时，将派专人进行现场查验。其结果在保修范围内，则通知承包单位进行保修并进行旁站监督实施。保修阶段的监理工作（包括但不限于以下内容）检查和记录工程质量缺陷，对缺陷原因进行调查分析并确定责任归属，审核修复方案，监督修复过程并验收，审核修复费用</w:t>
      </w:r>
      <w:r>
        <w:rPr>
          <w:rFonts w:hint="eastAsia" w:ascii="仿宋" w:hAnsi="仿宋" w:eastAsia="仿宋" w:cs="Times New Roman"/>
          <w:snapToGrid/>
          <w:color w:val="auto"/>
          <w:kern w:val="2"/>
          <w:sz w:val="24"/>
          <w:szCs w:val="24"/>
          <w:highlight w:val="none"/>
          <w:lang w:val="en-US" w:eastAsia="zh-CN"/>
        </w:rPr>
        <w:t>等</w:t>
      </w:r>
      <w:r>
        <w:rPr>
          <w:rFonts w:hint="eastAsia" w:ascii="仿宋" w:hAnsi="仿宋" w:eastAsia="仿宋" w:cs="Times New Roman"/>
          <w:snapToGrid/>
          <w:color w:val="auto"/>
          <w:kern w:val="2"/>
          <w:sz w:val="24"/>
          <w:szCs w:val="24"/>
          <w:highlight w:val="none"/>
          <w:lang w:eastAsia="zh-CN"/>
        </w:rPr>
        <w:t>。</w:t>
      </w:r>
    </w:p>
    <w:p w14:paraId="6EBE4D27">
      <w:pPr>
        <w:widowControl w:val="0"/>
        <w:kinsoku/>
        <w:autoSpaceDE/>
        <w:autoSpaceDN/>
        <w:adjustRightInd/>
        <w:snapToGrid/>
        <w:spacing w:line="360" w:lineRule="auto"/>
        <w:ind w:firstLine="480" w:firstLineChars="200"/>
        <w:jc w:val="both"/>
        <w:textAlignment w:val="auto"/>
        <w:rPr>
          <w:rFonts w:hint="default" w:ascii="仿宋" w:hAnsi="仿宋" w:eastAsia="仿宋" w:cs="Times New Roman"/>
          <w:snapToGrid/>
          <w:color w:val="auto"/>
          <w:kern w:val="2"/>
          <w:sz w:val="24"/>
          <w:szCs w:val="24"/>
          <w:highlight w:val="none"/>
          <w:lang w:val="en-US" w:eastAsia="zh-CN"/>
        </w:rPr>
      </w:pPr>
      <w:r>
        <w:rPr>
          <w:rFonts w:hint="eastAsia" w:ascii="微软雅黑" w:hAnsi="微软雅黑" w:eastAsia="微软雅黑" w:cs="微软雅黑"/>
          <w:snapToGrid/>
          <w:color w:val="auto"/>
          <w:kern w:val="2"/>
          <w:sz w:val="24"/>
          <w:szCs w:val="24"/>
          <w:highlight w:val="none"/>
          <w:lang w:val="en-US" w:eastAsia="zh-CN"/>
        </w:rPr>
        <w:t>⑧</w:t>
      </w:r>
      <w:r>
        <w:rPr>
          <w:rFonts w:hint="eastAsia" w:ascii="仿宋" w:hAnsi="仿宋" w:eastAsia="仿宋" w:cs="Times New Roman"/>
          <w:snapToGrid/>
          <w:color w:val="auto"/>
          <w:kern w:val="2"/>
          <w:sz w:val="24"/>
          <w:szCs w:val="24"/>
          <w:highlight w:val="none"/>
          <w:lang w:val="en-US" w:eastAsia="zh-CN"/>
        </w:rPr>
        <w:t>敦促施工单位将竣工验收后的工程移交给委托人。</w:t>
      </w:r>
    </w:p>
    <w:p w14:paraId="12FD1A75">
      <w:pPr>
        <w:widowControl w:val="0"/>
        <w:kinsoku/>
        <w:autoSpaceDE/>
        <w:autoSpaceDN/>
        <w:adjustRightInd/>
        <w:snapToGrid/>
        <w:spacing w:line="360" w:lineRule="auto"/>
        <w:ind w:firstLine="482" w:firstLineChars="200"/>
        <w:jc w:val="both"/>
        <w:textAlignment w:val="auto"/>
        <w:rPr>
          <w:rFonts w:ascii="仿宋" w:hAnsi="仿宋" w:eastAsia="仿宋" w:cs="Times New Roman"/>
          <w:b/>
          <w:bCs/>
          <w:snapToGrid/>
          <w:color w:val="auto"/>
          <w:kern w:val="2"/>
          <w:sz w:val="24"/>
          <w:szCs w:val="24"/>
          <w:highlight w:val="none"/>
          <w:lang w:eastAsia="zh-CN"/>
        </w:rPr>
      </w:pPr>
      <w:r>
        <w:rPr>
          <w:rFonts w:hint="eastAsia" w:ascii="仿宋" w:hAnsi="仿宋" w:eastAsia="仿宋" w:cs="Times New Roman"/>
          <w:b/>
          <w:bCs/>
          <w:snapToGrid/>
          <w:color w:val="auto"/>
          <w:kern w:val="2"/>
          <w:sz w:val="24"/>
          <w:szCs w:val="24"/>
          <w:highlight w:val="none"/>
          <w:lang w:eastAsia="zh-CN"/>
        </w:rPr>
        <w:t>（4）其他内容详见附件《监理任务书》。</w:t>
      </w:r>
    </w:p>
    <w:p w14:paraId="23522BDE">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1" w:name="_Toc24718"/>
      <w:r>
        <w:rPr>
          <w:rFonts w:hint="eastAsia" w:ascii="仿宋" w:hAnsi="仿宋" w:eastAsia="仿宋" w:cs="Times New Roman"/>
          <w:snapToGrid/>
          <w:color w:val="auto"/>
          <w:kern w:val="2"/>
          <w:sz w:val="24"/>
          <w:szCs w:val="24"/>
          <w:highlight w:val="none"/>
          <w:lang w:eastAsia="zh-CN"/>
        </w:rPr>
        <w:t>2.2 监理与相关服务依据</w:t>
      </w:r>
      <w:bookmarkEnd w:id="181"/>
    </w:p>
    <w:p w14:paraId="074F3C2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2.2.1 监理依据包括：</w:t>
      </w:r>
    </w:p>
    <w:p w14:paraId="2C1FC0C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（1）适用法规：国家颁布的有关法律、行政法规，建设部（或专业部门）部门规章及工程所在地的地方性（省、市、区）法规、规章；</w:t>
      </w:r>
    </w:p>
    <w:p w14:paraId="5AE0307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（2）经上级有关部门及建设行政主管部门批准的项目可行性研究报告、方案设计批复、初步设计及批复、概预算书、建设计划、设计施工图纸和地质勘察报告等有关技术经济文件；</w:t>
      </w:r>
    </w:p>
    <w:p w14:paraId="08F57CA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（3）国家和地方现行的工程设计、建筑安装技术标准及验收规范、工程质量检验评定标准；</w:t>
      </w:r>
    </w:p>
    <w:p w14:paraId="76D18A1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（4）工程招投标文件及有关答疑、补充资料；</w:t>
      </w:r>
    </w:p>
    <w:p w14:paraId="19231EF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（5）现行的概预算定额、单位估价表、取费标准及有关建设工程造价的管理办法；</w:t>
      </w:r>
    </w:p>
    <w:p w14:paraId="1C0942D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（6）依法成立的工程承发包合同（施工合同）和协议；</w:t>
      </w:r>
    </w:p>
    <w:p w14:paraId="6CFB839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（7）依法成立的工程建设监理合同（或协议）。</w:t>
      </w:r>
    </w:p>
    <w:p w14:paraId="4360CE5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2.2.2 相关服务依据包括：相关技术标准、规程、规范 。</w:t>
      </w:r>
    </w:p>
    <w:p w14:paraId="47D0577A">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2" w:name="bookmark113"/>
      <w:bookmarkEnd w:id="182"/>
      <w:bookmarkStart w:id="183" w:name="_Toc23237"/>
      <w:r>
        <w:rPr>
          <w:rFonts w:hint="eastAsia" w:ascii="仿宋" w:hAnsi="仿宋" w:eastAsia="仿宋" w:cs="Times New Roman"/>
          <w:snapToGrid/>
          <w:color w:val="auto"/>
          <w:kern w:val="2"/>
          <w:sz w:val="24"/>
          <w:szCs w:val="24"/>
          <w:highlight w:val="none"/>
          <w:lang w:eastAsia="zh-CN"/>
        </w:rPr>
        <w:t>2.3 项目监理机构和人员</w:t>
      </w:r>
      <w:bookmarkEnd w:id="183"/>
    </w:p>
    <w:p w14:paraId="7F78A04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2.3.1 监理人必须成立项目监理机构并驻施工现场办公，同时监理人须在施工现场或施工现场5公里范围内设置办公场所。监理机构在完成委托监理合同约定的监理工作后30天内撤离施工现场。如监理人在施工现场自建办公场所的，须经委托人批准，且场地取得和归还等应符合委托人的相关要求。项目监理机构应设置总监理工程师1名，总监理工程师代表至少1名，以及与工程建设进度和建设工作量相适应的专业监理工程师（土建、机电、给排水、安全、造价工程师等）等主要管理人员，主要人员必须具备相应执业资格条件。监理人应在中标后，合同签订前，办理完毕项目部专用章启用程序，总监理工程师任职和授权书(需报委托人审核同意)，以及总监理工程个人用章、执业资格章，同时办理项目部专用章电子章以及总监理工程师电子签名章，并报委托人备案。</w:t>
      </w:r>
    </w:p>
    <w:p w14:paraId="3F75692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p>
    <w:p w14:paraId="226BCD9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项目部专用章样式：                     其电子章样式：</w:t>
      </w:r>
    </w:p>
    <w:p w14:paraId="25F57CC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p>
    <w:p w14:paraId="3E55DDC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总监理工程师个人用章样式：             其电子章样式：</w:t>
      </w:r>
    </w:p>
    <w:p w14:paraId="09A2EB4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p>
    <w:p w14:paraId="60DA2B8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总监理工程师个人签名样式：</w:t>
      </w:r>
    </w:p>
    <w:p w14:paraId="3E6F95D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p>
    <w:p w14:paraId="69C3EF8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上述具体样式须在监理人相关授权书中予以明确。</w:t>
      </w:r>
    </w:p>
    <w:p w14:paraId="335215D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2.3.2 监理人在投标时已确定的拟投入本项目的总监理工程师必须为专职，</w:t>
      </w:r>
      <w:r>
        <w:rPr>
          <w:rFonts w:hint="eastAsia" w:ascii="仿宋" w:hAnsi="仿宋" w:eastAsia="仿宋" w:cs="Times New Roman"/>
          <w:snapToGrid/>
          <w:color w:val="auto"/>
          <w:kern w:val="2"/>
          <w:sz w:val="24"/>
          <w:szCs w:val="24"/>
          <w:highlight w:val="none"/>
          <w:lang w:val="en-US" w:eastAsia="zh-CN"/>
        </w:rPr>
        <w:t>且驻场办公</w:t>
      </w:r>
      <w:r>
        <w:rPr>
          <w:rFonts w:hint="eastAsia" w:ascii="仿宋" w:hAnsi="仿宋" w:eastAsia="仿宋" w:cs="Times New Roman"/>
          <w:snapToGrid/>
          <w:color w:val="auto"/>
          <w:kern w:val="2"/>
          <w:sz w:val="24"/>
          <w:szCs w:val="24"/>
          <w:highlight w:val="none"/>
          <w:lang w:eastAsia="zh-CN"/>
        </w:rPr>
        <w:t>，项目竣工验收之前，除非委托人要求更换，一律不得以任何理由擅自更换。监理组织机构及主要监理人员一览表中约定投入的专业监理工程师外，拟投入本项目的其余专业监理工程师应在各专业施工前3个月内将其相关资历、业绩、执业资格等报委托人审核，经同意后才能投入本项目，一旦投入本项目，施工期间除非委托人书面同意，否则，一律不得以任何理由擅自更换。监理人应根据工程建设进展及工作量大小按需投入监理员，并将其工作业绩情况、任职资格情况报备委托人。委托人可根据工程建设进展及工作量大小要求监理人投入专业监理工程师以及监理人员，监理人必须接受，且应在14天内投入到位。</w:t>
      </w:r>
    </w:p>
    <w:p w14:paraId="6DDDC5A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2.3.3 经委托人书面同意更换监理人员或应委托人书面要求须更换监理人员的，更换的监理人员资格和能力不得低于原监理人员。</w:t>
      </w:r>
    </w:p>
    <w:p w14:paraId="2EEE19A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2.3.4 监理人应及时更换有下列情形之一的监理人员：</w:t>
      </w:r>
    </w:p>
    <w:p w14:paraId="3E4A0E8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（1）有严重过失行为的；</w:t>
      </w:r>
    </w:p>
    <w:p w14:paraId="0507086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（2）有违法行为不能履行职责的；</w:t>
      </w:r>
    </w:p>
    <w:p w14:paraId="4E01BDE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（3）涉嫌犯罪的；</w:t>
      </w:r>
    </w:p>
    <w:p w14:paraId="19B167C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（4）不能胜任岗位职责的；</w:t>
      </w:r>
    </w:p>
    <w:p w14:paraId="0F390F5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（5）严重违反职业道德的；</w:t>
      </w:r>
    </w:p>
    <w:p w14:paraId="3EA5210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（6）因重病或重伤（持有县、区以上医院证明）两个月以上不能履行职责的；</w:t>
      </w:r>
    </w:p>
    <w:p w14:paraId="400B5AB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（7）离职或死亡。</w:t>
      </w:r>
    </w:p>
    <w:p w14:paraId="699DC10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2.3.5 委托人可要求监理人更换不能胜任本职工作的项目监理机构人员。监理人应不得拒绝，且必须在14天内更换到位，并经委托人审核同意。</w:t>
      </w:r>
    </w:p>
    <w:p w14:paraId="372E329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2.3.6 项目监理部总监、总监代表及专业监理（在专业实施阶段）人员必须驻守现场，项目监理部必须建立考勤制度，并报备委托人，派驻的监理人员实行打卡考勤，委托人有权不定期检查监理人的考勤记录情况。原则上，总监及总监代表每月在岗时间不得少于26天，其他监理人员在岗时间不得少于26天。每日工作时间原则上不得低于8小时。总监及总监代表离开现场必须书面向委托人请假，并指定委托授权人在请假期间代履行其职责，征得委托人同意后方可离开。专业监理工程师及监理员离开现场必须经总监或总监代表书面同意，并将意见书交由委托人备案后方可离开。</w:t>
      </w:r>
    </w:p>
    <w:p w14:paraId="280482F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4" w:name="bookmark115"/>
      <w:bookmarkEnd w:id="184"/>
      <w:bookmarkStart w:id="185" w:name="_Toc8704"/>
      <w:r>
        <w:rPr>
          <w:rFonts w:hint="eastAsia" w:ascii="仿宋" w:hAnsi="仿宋" w:eastAsia="仿宋" w:cs="Times New Roman"/>
          <w:snapToGrid/>
          <w:color w:val="auto"/>
          <w:kern w:val="2"/>
          <w:sz w:val="24"/>
          <w:szCs w:val="24"/>
          <w:highlight w:val="none"/>
          <w:lang w:eastAsia="zh-CN"/>
        </w:rPr>
        <w:t>2.4 履行职责</w:t>
      </w:r>
      <w:bookmarkEnd w:id="185"/>
    </w:p>
    <w:p w14:paraId="55E57DF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2.4.3 对监理人的授权范围：</w:t>
      </w:r>
    </w:p>
    <w:p w14:paraId="11B091F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（1）在工程质量监理上，委托人授予监理人《建设工程监理规范》（GB/T50319—2013）及本合同专用条款第2.1.2条要求的全部职责和权力。委托人在遵循技术规范的前提下保留质量问题的一票否决权。</w:t>
      </w:r>
    </w:p>
    <w:p w14:paraId="1E5CAAF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在工程进度监理上，委托人授予监理人《建设工程监理规范》（GB/T50319—2013）及本合同专用条款第2.1.2条要求的全部职责和权力。委托人保留要求施工单位和总监理工程师因工程进度滞后而采取进一步措施的权力。</w:t>
      </w:r>
    </w:p>
    <w:p w14:paraId="28B4F6E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在工程费用监理上，委托人授权监理人现场计量过程中核实合同规定的任何已完工工程的数量和造价（但上述核实工作不视为对现场已完工工程的价款的确认），初审承包人每期计量支付证书，对不符合合同文件要求的施工活动，有权暂停计量支付，为委托人严把计量支付关。委托人授权监理人按照施工合同条件、市场情况、项目情况审核初步设计概算、工程建设投资及材料设备价格的初审权，对于不合理的计价活动，有权要求整改。委托人授权监理人按照施工合同条件、项目完工情况审核工程竣工资料及工程竣工结算的初审权，对于不合理、不符合实际情况及要求的计价活动，有权要求整改。委托人保留费用审核的终审权。</w:t>
      </w:r>
    </w:p>
    <w:p w14:paraId="2E6901C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在工程施工安全监理上，委托人授予监理人《安全生产法》、《建设工程监理规范》（GB/T50319—2013）等及本合同专用条款第2.1.2条要求的全部职责和权力。委托人授予监理人督促承包人建立、健全施工安全制度，落实安全预防措施的职责和权力，对不符合施工安全要求的施工活动，有权采用指令停工、暂停支付等措施，以督促其整改。委托人在遵循国家有关法律、法规、规章、政策和安全操作规程的前提下，保留安全问题上的一票否决权。</w:t>
      </w:r>
    </w:p>
    <w:p w14:paraId="77009AE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在工程合同管理上，委托人授予总监理工程师《建设工程监理规范》（GB/T50319—2013）及本合同专用条款第2.1.2条要求的全部职责和权力。委托人授权监理人对工程变更的方案、数量、单价、金额的初审权，委托人保留对工程变更的终审权。</w:t>
      </w:r>
    </w:p>
    <w:p w14:paraId="4618D56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（6）委托人授予监理人对用于本工程的主要材料、构件的出厂合格证、材质检测等进行核定的权力。如发现不实之处，有权责成施工单位对材质进行再检测(并指定检 测单位)，防止不合格的材料、构件等用于本工程。检测合格者，检测费用由委托人支付；不合格者，除检测费用由施工单位支付外，施工单位还须无条件更换合格的材料、构件。</w:t>
      </w:r>
    </w:p>
    <w:p w14:paraId="17704DF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委托方授予监理人检查本工程采用的主要设备及材料是否符合合同约定、设计文件、招投标文件等所规定的厂家、型号、规格、数量以及质量标准，在施工单位或委托人订货前，视乎需要并经委托人同意可对生产厂家进行了解考察，但所发生的差旅费用由采购方负担。</w:t>
      </w:r>
    </w:p>
    <w:p w14:paraId="046E53F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（8）在合同履行期间，委托人授予监理人对施工单位人员任免建议权。</w:t>
      </w:r>
    </w:p>
    <w:p w14:paraId="68FACC2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9）其他方面，委托人授予监理人遵循本合同专用条款第2.1.2条以及委托人制定的有关管理制度、办法、实施细则要求的全部职责和权力。监理人有权根据委托人或自身管理需要，建立对施工单位、服务单位的考核制度，并报委托人审批后实施，对于检查不到位、考勤不符合以及其他违规、违约现象，可根据考核制度作出相应处罚，或</w:t>
      </w:r>
      <w:bookmarkStart w:id="186" w:name="bookmark117"/>
      <w:bookmarkEnd w:id="186"/>
      <w:r>
        <w:rPr>
          <w:rFonts w:hint="eastAsia" w:ascii="仿宋" w:hAnsi="仿宋" w:eastAsia="仿宋" w:cs="Times New Roman"/>
          <w:snapToGrid/>
          <w:color w:val="auto"/>
          <w:kern w:val="2"/>
          <w:sz w:val="24"/>
          <w:szCs w:val="24"/>
          <w:highlight w:val="none"/>
          <w:lang w:eastAsia="zh-CN"/>
        </w:rPr>
        <w:t>者根据施工合同相关约定书面通知委托人作出相应违约处罚。</w:t>
      </w:r>
    </w:p>
    <w:p w14:paraId="237FD72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7" w:name="_Toc12954"/>
      <w:r>
        <w:rPr>
          <w:rFonts w:hint="eastAsia" w:ascii="仿宋" w:hAnsi="仿宋" w:eastAsia="仿宋" w:cs="Times New Roman"/>
          <w:snapToGrid/>
          <w:color w:val="auto"/>
          <w:kern w:val="2"/>
          <w:sz w:val="24"/>
          <w:szCs w:val="24"/>
          <w:highlight w:val="none"/>
          <w:lang w:eastAsia="zh-CN"/>
        </w:rPr>
        <w:t>2.5 提交报告</w:t>
      </w:r>
      <w:bookmarkEnd w:id="187"/>
    </w:p>
    <w:p w14:paraId="6E83714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监理人应提交给委托人的报告种类、提交时间和份数：</w:t>
      </w:r>
    </w:p>
    <w:p w14:paraId="219F3903">
      <w:pPr>
        <w:kinsoku/>
        <w:spacing w:line="15" w:lineRule="exact"/>
        <w:jc w:val="both"/>
        <w:rPr>
          <w:color w:val="auto"/>
          <w:highlight w:val="none"/>
          <w:lang w:eastAsia="zh-CN"/>
        </w:rPr>
      </w:pPr>
    </w:p>
    <w:tbl>
      <w:tblPr>
        <w:tblStyle w:val="23"/>
        <w:tblW w:w="8374" w:type="dxa"/>
        <w:tblInd w:w="3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344"/>
        <w:gridCol w:w="983"/>
        <w:gridCol w:w="4343"/>
      </w:tblGrid>
      <w:tr w14:paraId="44D09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4" w:type="dxa"/>
          </w:tcPr>
          <w:p w14:paraId="65A8D6A7">
            <w:pPr>
              <w:pStyle w:val="24"/>
              <w:kinsoku/>
              <w:spacing w:before="185" w:line="222" w:lineRule="auto"/>
              <w:ind w:left="126"/>
              <w:jc w:val="both"/>
              <w:rPr>
                <w:color w:val="auto"/>
                <w:highlight w:val="none"/>
              </w:rPr>
            </w:pPr>
            <w:r>
              <w:rPr>
                <w:color w:val="auto"/>
                <w:spacing w:val="-8"/>
                <w:highlight w:val="none"/>
                <w14:textOutline w14:w="4356" w14:cap="sq" w14:cmpd="sng" w14:algn="ctr">
                  <w14:solidFill>
                    <w14:srgbClr w14:val="000000"/>
                  </w14:solidFill>
                  <w14:prstDash w14:val="solid"/>
                  <w14:bevel/>
                </w14:textOutline>
              </w:rPr>
              <w:t>序号</w:t>
            </w:r>
          </w:p>
        </w:tc>
        <w:tc>
          <w:tcPr>
            <w:tcW w:w="2344" w:type="dxa"/>
          </w:tcPr>
          <w:p w14:paraId="0F17436B">
            <w:pPr>
              <w:pStyle w:val="24"/>
              <w:kinsoku/>
              <w:spacing w:before="184" w:line="221" w:lineRule="auto"/>
              <w:ind w:left="945"/>
              <w:jc w:val="both"/>
              <w:rPr>
                <w:color w:val="auto"/>
                <w:highlight w:val="none"/>
              </w:rPr>
            </w:pPr>
            <w:r>
              <w:rPr>
                <w:color w:val="auto"/>
                <w:spacing w:val="-9"/>
                <w:highlight w:val="none"/>
                <w14:textOutline w14:w="4356" w14:cap="sq" w14:cmpd="sng" w14:algn="ctr">
                  <w14:solidFill>
                    <w14:srgbClr w14:val="000000"/>
                  </w14:solidFill>
                  <w14:prstDash w14:val="solid"/>
                  <w14:bevel/>
                </w14:textOutline>
              </w:rPr>
              <w:t>种类</w:t>
            </w:r>
          </w:p>
        </w:tc>
        <w:tc>
          <w:tcPr>
            <w:tcW w:w="983" w:type="dxa"/>
          </w:tcPr>
          <w:p w14:paraId="31A6227E">
            <w:pPr>
              <w:pStyle w:val="24"/>
              <w:kinsoku/>
              <w:spacing w:before="185" w:line="222" w:lineRule="auto"/>
              <w:ind w:left="265"/>
              <w:jc w:val="both"/>
              <w:rPr>
                <w:color w:val="auto"/>
                <w:highlight w:val="none"/>
              </w:rPr>
            </w:pPr>
            <w:r>
              <w:rPr>
                <w:color w:val="auto"/>
                <w:spacing w:val="-8"/>
                <w:highlight w:val="none"/>
                <w14:textOutline w14:w="4356" w14:cap="sq" w14:cmpd="sng" w14:algn="ctr">
                  <w14:solidFill>
                    <w14:srgbClr w14:val="000000"/>
                  </w14:solidFill>
                  <w14:prstDash w14:val="solid"/>
                  <w14:bevel/>
                </w14:textOutline>
              </w:rPr>
              <w:t>份数</w:t>
            </w:r>
          </w:p>
        </w:tc>
        <w:tc>
          <w:tcPr>
            <w:tcW w:w="4343" w:type="dxa"/>
          </w:tcPr>
          <w:p w14:paraId="4B267A21">
            <w:pPr>
              <w:pStyle w:val="24"/>
              <w:kinsoku/>
              <w:spacing w:before="184" w:line="223" w:lineRule="auto"/>
              <w:ind w:left="1705"/>
              <w:jc w:val="both"/>
              <w:rPr>
                <w:color w:val="auto"/>
                <w:highlight w:val="none"/>
              </w:rPr>
            </w:pPr>
            <w:r>
              <w:rPr>
                <w:color w:val="auto"/>
                <w:spacing w:val="-5"/>
                <w:highlight w:val="none"/>
                <w14:textOutline w14:w="4356" w14:cap="sq" w14:cmpd="sng" w14:algn="ctr">
                  <w14:solidFill>
                    <w14:srgbClr w14:val="000000"/>
                  </w14:solidFill>
                  <w14:prstDash w14:val="solid"/>
                  <w14:bevel/>
                </w14:textOutline>
              </w:rPr>
              <w:t>提交时间</w:t>
            </w:r>
          </w:p>
        </w:tc>
      </w:tr>
      <w:tr w14:paraId="63576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04" w:type="dxa"/>
          </w:tcPr>
          <w:p w14:paraId="5979E280">
            <w:pPr>
              <w:pStyle w:val="24"/>
              <w:kinsoku/>
              <w:spacing w:before="221" w:line="181" w:lineRule="auto"/>
              <w:ind w:left="316"/>
              <w:jc w:val="both"/>
              <w:rPr>
                <w:color w:val="auto"/>
                <w:highlight w:val="none"/>
              </w:rPr>
            </w:pPr>
            <w:r>
              <w:rPr>
                <w:color w:val="auto"/>
                <w:highlight w:val="none"/>
                <w14:textOutline w14:w="4356" w14:cap="sq" w14:cmpd="sng" w14:algn="ctr">
                  <w14:solidFill>
                    <w14:srgbClr w14:val="000000"/>
                  </w14:solidFill>
                  <w14:prstDash w14:val="solid"/>
                  <w14:bevel/>
                </w14:textOutline>
              </w:rPr>
              <w:t>1</w:t>
            </w:r>
          </w:p>
        </w:tc>
        <w:tc>
          <w:tcPr>
            <w:tcW w:w="2344" w:type="dxa"/>
          </w:tcPr>
          <w:p w14:paraId="21274388">
            <w:pPr>
              <w:pStyle w:val="24"/>
              <w:kinsoku/>
              <w:spacing w:before="180" w:line="222" w:lineRule="auto"/>
              <w:ind w:left="119"/>
              <w:jc w:val="both"/>
              <w:rPr>
                <w:color w:val="auto"/>
                <w:highlight w:val="none"/>
              </w:rPr>
            </w:pPr>
            <w:r>
              <w:rPr>
                <w:color w:val="auto"/>
                <w:spacing w:val="-2"/>
                <w:highlight w:val="none"/>
              </w:rPr>
              <w:t>《监理总体规划》</w:t>
            </w:r>
          </w:p>
        </w:tc>
        <w:tc>
          <w:tcPr>
            <w:tcW w:w="983" w:type="dxa"/>
          </w:tcPr>
          <w:p w14:paraId="4B01F4ED">
            <w:pPr>
              <w:pStyle w:val="24"/>
              <w:kinsoku/>
              <w:spacing w:before="180" w:line="222" w:lineRule="auto"/>
              <w:ind w:left="118"/>
              <w:jc w:val="both"/>
              <w:rPr>
                <w:color w:val="auto"/>
                <w:highlight w:val="none"/>
              </w:rPr>
            </w:pPr>
            <w:r>
              <w:rPr>
                <w:color w:val="auto"/>
                <w:spacing w:val="-7"/>
                <w:highlight w:val="none"/>
              </w:rPr>
              <w:t>3份</w:t>
            </w:r>
          </w:p>
        </w:tc>
        <w:tc>
          <w:tcPr>
            <w:tcW w:w="4343" w:type="dxa"/>
          </w:tcPr>
          <w:p w14:paraId="0A74F1E2">
            <w:pPr>
              <w:pStyle w:val="24"/>
              <w:kinsoku/>
              <w:spacing w:before="180" w:line="480" w:lineRule="exact"/>
              <w:ind w:left="128"/>
              <w:jc w:val="both"/>
              <w:rPr>
                <w:color w:val="auto"/>
                <w:highlight w:val="none"/>
              </w:rPr>
            </w:pPr>
            <w:r>
              <w:rPr>
                <w:rFonts w:hint="eastAsia"/>
                <w:color w:val="auto"/>
                <w:spacing w:val="-3"/>
                <w:position w:val="0"/>
                <w:highlight w:val="none"/>
                <w:lang w:val="en-US" w:eastAsia="zh-CN"/>
              </w:rPr>
              <w:t>合同签订</w:t>
            </w:r>
            <w:r>
              <w:rPr>
                <w:color w:val="auto"/>
                <w:spacing w:val="-3"/>
                <w:position w:val="0"/>
                <w:highlight w:val="none"/>
                <w:lang w:eastAsia="zh-CN"/>
              </w:rPr>
              <w:t>后15天</w:t>
            </w:r>
            <w:r>
              <w:rPr>
                <w:color w:val="auto"/>
                <w:spacing w:val="-23"/>
                <w:highlight w:val="none"/>
              </w:rPr>
              <w:t>内。</w:t>
            </w:r>
          </w:p>
        </w:tc>
      </w:tr>
      <w:tr w14:paraId="7339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4" w:type="dxa"/>
          </w:tcPr>
          <w:p w14:paraId="7696C12D">
            <w:pPr>
              <w:pStyle w:val="24"/>
              <w:kinsoku/>
              <w:spacing w:before="222" w:line="180" w:lineRule="auto"/>
              <w:ind w:left="301"/>
              <w:jc w:val="both"/>
              <w:rPr>
                <w:color w:val="auto"/>
                <w:highlight w:val="none"/>
              </w:rPr>
            </w:pPr>
            <w:r>
              <w:rPr>
                <w:color w:val="auto"/>
                <w:highlight w:val="none"/>
                <w14:textOutline w14:w="4356" w14:cap="sq" w14:cmpd="sng" w14:algn="ctr">
                  <w14:solidFill>
                    <w14:srgbClr w14:val="000000"/>
                  </w14:solidFill>
                  <w14:prstDash w14:val="solid"/>
                  <w14:bevel/>
                </w14:textOutline>
              </w:rPr>
              <w:t>2</w:t>
            </w:r>
          </w:p>
        </w:tc>
        <w:tc>
          <w:tcPr>
            <w:tcW w:w="2344" w:type="dxa"/>
          </w:tcPr>
          <w:p w14:paraId="3B079C77">
            <w:pPr>
              <w:pStyle w:val="24"/>
              <w:kinsoku/>
              <w:spacing w:before="181" w:line="222" w:lineRule="auto"/>
              <w:ind w:left="119"/>
              <w:jc w:val="both"/>
              <w:rPr>
                <w:color w:val="auto"/>
                <w:highlight w:val="none"/>
              </w:rPr>
            </w:pPr>
            <w:r>
              <w:rPr>
                <w:color w:val="auto"/>
                <w:spacing w:val="-2"/>
                <w:highlight w:val="none"/>
              </w:rPr>
              <w:t>《监理实施细则》</w:t>
            </w:r>
          </w:p>
        </w:tc>
        <w:tc>
          <w:tcPr>
            <w:tcW w:w="983" w:type="dxa"/>
          </w:tcPr>
          <w:p w14:paraId="56A00D70">
            <w:pPr>
              <w:pStyle w:val="24"/>
              <w:kinsoku/>
              <w:spacing w:before="181" w:line="222" w:lineRule="auto"/>
              <w:ind w:left="118"/>
              <w:jc w:val="both"/>
              <w:rPr>
                <w:color w:val="auto"/>
                <w:highlight w:val="none"/>
              </w:rPr>
            </w:pPr>
            <w:r>
              <w:rPr>
                <w:color w:val="auto"/>
                <w:spacing w:val="-7"/>
                <w:highlight w:val="none"/>
              </w:rPr>
              <w:t>3份</w:t>
            </w:r>
          </w:p>
        </w:tc>
        <w:tc>
          <w:tcPr>
            <w:tcW w:w="4343" w:type="dxa"/>
          </w:tcPr>
          <w:p w14:paraId="026E16A1">
            <w:pPr>
              <w:pStyle w:val="24"/>
              <w:kinsoku/>
              <w:spacing w:before="180" w:line="221" w:lineRule="auto"/>
              <w:ind w:left="124"/>
              <w:jc w:val="both"/>
              <w:rPr>
                <w:color w:val="auto"/>
                <w:highlight w:val="none"/>
                <w:lang w:eastAsia="zh-CN"/>
              </w:rPr>
            </w:pPr>
            <w:r>
              <w:rPr>
                <w:color w:val="auto"/>
                <w:spacing w:val="-2"/>
                <w:highlight w:val="none"/>
                <w:lang w:eastAsia="zh-CN"/>
              </w:rPr>
              <w:t>提交时间根据委托人要求实施。</w:t>
            </w:r>
          </w:p>
        </w:tc>
      </w:tr>
      <w:tr w14:paraId="5C86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4" w:type="dxa"/>
          </w:tcPr>
          <w:p w14:paraId="03132145">
            <w:pPr>
              <w:pStyle w:val="24"/>
              <w:kinsoku/>
              <w:spacing w:before="223" w:line="180" w:lineRule="auto"/>
              <w:ind w:left="303"/>
              <w:jc w:val="both"/>
              <w:rPr>
                <w:color w:val="auto"/>
                <w:highlight w:val="none"/>
              </w:rPr>
            </w:pPr>
            <w:r>
              <w:rPr>
                <w:color w:val="auto"/>
                <w:highlight w:val="none"/>
                <w14:textOutline w14:w="4356" w14:cap="sq" w14:cmpd="sng" w14:algn="ctr">
                  <w14:solidFill>
                    <w14:srgbClr w14:val="000000"/>
                  </w14:solidFill>
                  <w14:prstDash w14:val="solid"/>
                  <w14:bevel/>
                </w14:textOutline>
              </w:rPr>
              <w:t>3</w:t>
            </w:r>
          </w:p>
        </w:tc>
        <w:tc>
          <w:tcPr>
            <w:tcW w:w="2344" w:type="dxa"/>
          </w:tcPr>
          <w:p w14:paraId="4CF648DB">
            <w:pPr>
              <w:pStyle w:val="24"/>
              <w:kinsoku/>
              <w:spacing w:before="182" w:line="222" w:lineRule="auto"/>
              <w:ind w:left="119"/>
              <w:jc w:val="both"/>
              <w:rPr>
                <w:color w:val="auto"/>
                <w:highlight w:val="none"/>
              </w:rPr>
            </w:pPr>
            <w:r>
              <w:rPr>
                <w:color w:val="auto"/>
                <w:spacing w:val="-2"/>
                <w:highlight w:val="none"/>
              </w:rPr>
              <w:t>《图纸会审意见》</w:t>
            </w:r>
          </w:p>
        </w:tc>
        <w:tc>
          <w:tcPr>
            <w:tcW w:w="983" w:type="dxa"/>
          </w:tcPr>
          <w:p w14:paraId="31CB82C5">
            <w:pPr>
              <w:pStyle w:val="24"/>
              <w:kinsoku/>
              <w:spacing w:before="182" w:line="222" w:lineRule="auto"/>
              <w:ind w:left="118"/>
              <w:jc w:val="both"/>
              <w:rPr>
                <w:color w:val="auto"/>
                <w:highlight w:val="none"/>
              </w:rPr>
            </w:pPr>
            <w:r>
              <w:rPr>
                <w:color w:val="auto"/>
                <w:spacing w:val="-7"/>
                <w:highlight w:val="none"/>
              </w:rPr>
              <w:t>3份</w:t>
            </w:r>
          </w:p>
        </w:tc>
        <w:tc>
          <w:tcPr>
            <w:tcW w:w="4343" w:type="dxa"/>
          </w:tcPr>
          <w:p w14:paraId="6F386096">
            <w:pPr>
              <w:pStyle w:val="24"/>
              <w:kinsoku/>
              <w:spacing w:before="182" w:line="222" w:lineRule="auto"/>
              <w:ind w:left="128"/>
              <w:jc w:val="both"/>
              <w:rPr>
                <w:color w:val="auto"/>
                <w:highlight w:val="none"/>
                <w:lang w:eastAsia="zh-CN"/>
              </w:rPr>
            </w:pPr>
            <w:r>
              <w:rPr>
                <w:color w:val="auto"/>
                <w:spacing w:val="-4"/>
                <w:highlight w:val="none"/>
                <w:lang w:eastAsia="zh-CN"/>
              </w:rPr>
              <w:t>监理人收到设计文件后7天内。</w:t>
            </w:r>
          </w:p>
        </w:tc>
      </w:tr>
      <w:tr w14:paraId="5404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4" w:type="dxa"/>
          </w:tcPr>
          <w:p w14:paraId="6D3C328C">
            <w:pPr>
              <w:pStyle w:val="24"/>
              <w:kinsoku/>
              <w:spacing w:before="223" w:line="180" w:lineRule="auto"/>
              <w:ind w:left="297"/>
              <w:jc w:val="both"/>
              <w:rPr>
                <w:color w:val="auto"/>
                <w:highlight w:val="none"/>
              </w:rPr>
            </w:pPr>
            <w:r>
              <w:rPr>
                <w:color w:val="auto"/>
                <w:highlight w:val="none"/>
                <w14:textOutline w14:w="4356" w14:cap="sq" w14:cmpd="sng" w14:algn="ctr">
                  <w14:solidFill>
                    <w14:srgbClr w14:val="000000"/>
                  </w14:solidFill>
                  <w14:prstDash w14:val="solid"/>
                  <w14:bevel/>
                </w14:textOutline>
              </w:rPr>
              <w:t>4</w:t>
            </w:r>
          </w:p>
        </w:tc>
        <w:tc>
          <w:tcPr>
            <w:tcW w:w="2344" w:type="dxa"/>
          </w:tcPr>
          <w:p w14:paraId="5F04003D">
            <w:pPr>
              <w:pStyle w:val="24"/>
              <w:kinsoku/>
              <w:spacing w:before="181" w:line="222" w:lineRule="auto"/>
              <w:ind w:left="119"/>
              <w:jc w:val="both"/>
              <w:rPr>
                <w:color w:val="auto"/>
                <w:highlight w:val="none"/>
              </w:rPr>
            </w:pPr>
            <w:r>
              <w:rPr>
                <w:color w:val="auto"/>
                <w:spacing w:val="-2"/>
                <w:highlight w:val="none"/>
              </w:rPr>
              <w:t>《月度监理报告》</w:t>
            </w:r>
          </w:p>
        </w:tc>
        <w:tc>
          <w:tcPr>
            <w:tcW w:w="983" w:type="dxa"/>
          </w:tcPr>
          <w:p w14:paraId="38627513">
            <w:pPr>
              <w:pStyle w:val="24"/>
              <w:kinsoku/>
              <w:spacing w:before="181" w:line="222" w:lineRule="auto"/>
              <w:ind w:left="118"/>
              <w:jc w:val="both"/>
              <w:rPr>
                <w:color w:val="auto"/>
                <w:highlight w:val="none"/>
              </w:rPr>
            </w:pPr>
            <w:r>
              <w:rPr>
                <w:color w:val="auto"/>
                <w:spacing w:val="-7"/>
                <w:highlight w:val="none"/>
              </w:rPr>
              <w:t>3份</w:t>
            </w:r>
          </w:p>
        </w:tc>
        <w:tc>
          <w:tcPr>
            <w:tcW w:w="4343" w:type="dxa"/>
          </w:tcPr>
          <w:p w14:paraId="6268A51B">
            <w:pPr>
              <w:pStyle w:val="24"/>
              <w:kinsoku/>
              <w:spacing w:before="181" w:line="221" w:lineRule="auto"/>
              <w:ind w:left="124"/>
              <w:jc w:val="both"/>
              <w:rPr>
                <w:color w:val="auto"/>
                <w:highlight w:val="none"/>
                <w:lang w:eastAsia="zh-CN"/>
              </w:rPr>
            </w:pPr>
            <w:r>
              <w:rPr>
                <w:color w:val="auto"/>
                <w:spacing w:val="-2"/>
                <w:highlight w:val="none"/>
                <w:lang w:eastAsia="zh-CN"/>
              </w:rPr>
              <w:t>提交时间根据委托人要求实施。</w:t>
            </w:r>
          </w:p>
        </w:tc>
      </w:tr>
      <w:tr w14:paraId="6135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04" w:type="dxa"/>
          </w:tcPr>
          <w:p w14:paraId="0010CAC9">
            <w:pPr>
              <w:pStyle w:val="24"/>
              <w:kinsoku/>
              <w:spacing w:before="223" w:line="179" w:lineRule="auto"/>
              <w:ind w:left="303"/>
              <w:jc w:val="both"/>
              <w:rPr>
                <w:color w:val="auto"/>
                <w:highlight w:val="none"/>
              </w:rPr>
            </w:pPr>
            <w:r>
              <w:rPr>
                <w:color w:val="auto"/>
                <w:highlight w:val="none"/>
                <w14:textOutline w14:w="4356" w14:cap="sq" w14:cmpd="sng" w14:algn="ctr">
                  <w14:solidFill>
                    <w14:srgbClr w14:val="000000"/>
                  </w14:solidFill>
                  <w14:prstDash w14:val="solid"/>
                  <w14:bevel/>
                </w14:textOutline>
              </w:rPr>
              <w:t>5</w:t>
            </w:r>
          </w:p>
        </w:tc>
        <w:tc>
          <w:tcPr>
            <w:tcW w:w="2344" w:type="dxa"/>
          </w:tcPr>
          <w:p w14:paraId="3A40AE7C">
            <w:pPr>
              <w:pStyle w:val="24"/>
              <w:kinsoku/>
              <w:spacing w:before="180" w:line="222" w:lineRule="auto"/>
              <w:ind w:left="122"/>
              <w:jc w:val="both"/>
              <w:rPr>
                <w:color w:val="auto"/>
                <w:highlight w:val="none"/>
              </w:rPr>
            </w:pPr>
            <w:r>
              <w:rPr>
                <w:color w:val="auto"/>
                <w:spacing w:val="-3"/>
                <w:highlight w:val="none"/>
              </w:rPr>
              <w:t>相关会议纪要</w:t>
            </w:r>
          </w:p>
        </w:tc>
        <w:tc>
          <w:tcPr>
            <w:tcW w:w="983" w:type="dxa"/>
          </w:tcPr>
          <w:p w14:paraId="718C5E4E">
            <w:pPr>
              <w:kinsoku/>
              <w:spacing w:before="207" w:line="443" w:lineRule="auto"/>
              <w:ind w:left="114" w:right="105" w:hanging="1"/>
              <w:jc w:val="both"/>
              <w:rPr>
                <w:rFonts w:ascii="仿宋" w:hAnsi="仿宋" w:eastAsia="仿宋" w:cs="仿宋"/>
                <w:color w:val="auto"/>
                <w:spacing w:val="-45"/>
                <w:sz w:val="24"/>
                <w:szCs w:val="24"/>
                <w:highlight w:val="none"/>
              </w:rPr>
            </w:pPr>
            <w:r>
              <w:rPr>
                <w:rFonts w:ascii="仿宋" w:hAnsi="仿宋" w:eastAsia="仿宋" w:cs="仿宋"/>
                <w:color w:val="auto"/>
                <w:spacing w:val="-45"/>
                <w:sz w:val="24"/>
                <w:szCs w:val="24"/>
                <w:highlight w:val="none"/>
              </w:rPr>
              <w:t>全部会议各1</w:t>
            </w:r>
          </w:p>
          <w:p w14:paraId="74FD51DF">
            <w:pPr>
              <w:kinsoku/>
              <w:spacing w:before="207" w:line="443" w:lineRule="auto"/>
              <w:ind w:left="114" w:right="105" w:hanging="1"/>
              <w:jc w:val="both"/>
              <w:rPr>
                <w:rFonts w:ascii="宋体" w:hAnsi="宋体" w:eastAsia="宋体" w:cs="宋体"/>
                <w:color w:val="auto"/>
                <w:sz w:val="20"/>
                <w:szCs w:val="20"/>
                <w:highlight w:val="none"/>
              </w:rPr>
            </w:pPr>
            <w:r>
              <w:rPr>
                <w:rFonts w:ascii="仿宋" w:hAnsi="仿宋" w:eastAsia="仿宋" w:cs="仿宋"/>
                <w:color w:val="auto"/>
                <w:spacing w:val="-45"/>
                <w:sz w:val="24"/>
                <w:szCs w:val="24"/>
                <w:highlight w:val="none"/>
              </w:rPr>
              <w:t>份</w:t>
            </w:r>
          </w:p>
        </w:tc>
        <w:tc>
          <w:tcPr>
            <w:tcW w:w="4343" w:type="dxa"/>
          </w:tcPr>
          <w:p w14:paraId="3B54B5DA">
            <w:pPr>
              <w:pStyle w:val="24"/>
              <w:kinsoku/>
              <w:spacing w:before="180" w:line="221" w:lineRule="auto"/>
              <w:ind w:left="124"/>
              <w:jc w:val="both"/>
              <w:rPr>
                <w:color w:val="auto"/>
                <w:highlight w:val="none"/>
                <w:lang w:eastAsia="zh-CN"/>
              </w:rPr>
            </w:pPr>
            <w:r>
              <w:rPr>
                <w:color w:val="auto"/>
                <w:spacing w:val="-2"/>
                <w:highlight w:val="none"/>
                <w:lang w:eastAsia="zh-CN"/>
              </w:rPr>
              <w:t>提交时间根据委托人要求实施。</w:t>
            </w:r>
          </w:p>
        </w:tc>
      </w:tr>
      <w:tr w14:paraId="4FCAE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04" w:type="dxa"/>
          </w:tcPr>
          <w:p w14:paraId="6297D1F3">
            <w:pPr>
              <w:pStyle w:val="24"/>
              <w:kinsoku/>
              <w:spacing w:before="225" w:line="180" w:lineRule="auto"/>
              <w:ind w:left="300"/>
              <w:jc w:val="both"/>
              <w:rPr>
                <w:color w:val="auto"/>
                <w:highlight w:val="none"/>
              </w:rPr>
            </w:pPr>
            <w:r>
              <w:rPr>
                <w:color w:val="auto"/>
                <w:highlight w:val="none"/>
              </w:rPr>
              <w:t>6</w:t>
            </w:r>
          </w:p>
        </w:tc>
        <w:tc>
          <w:tcPr>
            <w:tcW w:w="2344" w:type="dxa"/>
          </w:tcPr>
          <w:p w14:paraId="319DC4A8">
            <w:pPr>
              <w:pStyle w:val="24"/>
              <w:kinsoku/>
              <w:spacing w:before="183" w:line="222" w:lineRule="auto"/>
              <w:ind w:left="122"/>
              <w:jc w:val="both"/>
              <w:rPr>
                <w:color w:val="auto"/>
                <w:highlight w:val="none"/>
              </w:rPr>
            </w:pPr>
            <w:r>
              <w:rPr>
                <w:color w:val="auto"/>
                <w:spacing w:val="-3"/>
                <w:highlight w:val="none"/>
              </w:rPr>
              <w:t>相关审核意见</w:t>
            </w:r>
          </w:p>
        </w:tc>
        <w:tc>
          <w:tcPr>
            <w:tcW w:w="5326" w:type="dxa"/>
            <w:gridSpan w:val="2"/>
          </w:tcPr>
          <w:p w14:paraId="0DD5F038">
            <w:pPr>
              <w:pStyle w:val="24"/>
              <w:kinsoku/>
              <w:spacing w:before="184" w:line="369" w:lineRule="auto"/>
              <w:ind w:left="118" w:right="106"/>
              <w:jc w:val="both"/>
              <w:rPr>
                <w:color w:val="auto"/>
                <w:highlight w:val="none"/>
                <w:lang w:eastAsia="zh-CN"/>
              </w:rPr>
            </w:pPr>
            <w:r>
              <w:rPr>
                <w:color w:val="auto"/>
                <w:spacing w:val="2"/>
                <w:highlight w:val="none"/>
                <w:lang w:eastAsia="zh-CN"/>
              </w:rPr>
              <w:t>有制度、办法或实施细则规定的，从其规定；没</w:t>
            </w:r>
            <w:r>
              <w:rPr>
                <w:color w:val="auto"/>
                <w:highlight w:val="none"/>
                <w:lang w:eastAsia="zh-CN"/>
              </w:rPr>
              <w:t>有规定的，原则上3份，报送时间为在收到【相</w:t>
            </w:r>
          </w:p>
          <w:p w14:paraId="6389B4F3">
            <w:pPr>
              <w:pStyle w:val="24"/>
              <w:kinsoku/>
              <w:spacing w:line="222" w:lineRule="auto"/>
              <w:ind w:left="127"/>
              <w:jc w:val="both"/>
              <w:rPr>
                <w:color w:val="auto"/>
                <w:highlight w:val="none"/>
              </w:rPr>
            </w:pPr>
            <w:r>
              <w:rPr>
                <w:color w:val="auto"/>
                <w:spacing w:val="-10"/>
                <w:highlight w:val="none"/>
              </w:rPr>
              <w:t>关规定】后5日内。</w:t>
            </w:r>
          </w:p>
        </w:tc>
      </w:tr>
      <w:tr w14:paraId="712E6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4" w:type="dxa"/>
          </w:tcPr>
          <w:p w14:paraId="7293A8F0">
            <w:pPr>
              <w:pStyle w:val="24"/>
              <w:kinsoku/>
              <w:spacing w:before="227" w:line="179" w:lineRule="auto"/>
              <w:ind w:left="304"/>
              <w:jc w:val="both"/>
              <w:rPr>
                <w:color w:val="auto"/>
                <w:highlight w:val="none"/>
              </w:rPr>
            </w:pPr>
            <w:r>
              <w:rPr>
                <w:color w:val="auto"/>
                <w:highlight w:val="none"/>
              </w:rPr>
              <w:t>7</w:t>
            </w:r>
          </w:p>
        </w:tc>
        <w:tc>
          <w:tcPr>
            <w:tcW w:w="2344" w:type="dxa"/>
          </w:tcPr>
          <w:p w14:paraId="086D5192">
            <w:pPr>
              <w:pStyle w:val="24"/>
              <w:kinsoku/>
              <w:spacing w:before="184" w:line="220" w:lineRule="auto"/>
              <w:ind w:left="122"/>
              <w:jc w:val="both"/>
              <w:rPr>
                <w:color w:val="auto"/>
                <w:highlight w:val="none"/>
              </w:rPr>
            </w:pPr>
            <w:r>
              <w:rPr>
                <w:color w:val="auto"/>
                <w:spacing w:val="-5"/>
                <w:highlight w:val="none"/>
              </w:rPr>
              <w:t>其他资料</w:t>
            </w:r>
          </w:p>
        </w:tc>
        <w:tc>
          <w:tcPr>
            <w:tcW w:w="5326" w:type="dxa"/>
            <w:gridSpan w:val="2"/>
          </w:tcPr>
          <w:p w14:paraId="36149E56">
            <w:pPr>
              <w:pStyle w:val="24"/>
              <w:kinsoku/>
              <w:spacing w:before="184" w:line="222" w:lineRule="auto"/>
              <w:ind w:left="145"/>
              <w:jc w:val="both"/>
              <w:rPr>
                <w:color w:val="auto"/>
                <w:highlight w:val="none"/>
              </w:rPr>
            </w:pPr>
            <w:r>
              <w:rPr>
                <w:color w:val="auto"/>
                <w:spacing w:val="-5"/>
                <w:highlight w:val="none"/>
              </w:rPr>
              <w:t>以委托人通知为准。</w:t>
            </w:r>
          </w:p>
        </w:tc>
      </w:tr>
    </w:tbl>
    <w:p w14:paraId="163ABE8E">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p>
    <w:p w14:paraId="1A715720">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8" w:name="_Toc30233"/>
      <w:r>
        <w:rPr>
          <w:rFonts w:hint="eastAsia" w:ascii="仿宋" w:hAnsi="仿宋" w:eastAsia="仿宋" w:cs="Times New Roman"/>
          <w:snapToGrid/>
          <w:color w:val="auto"/>
          <w:kern w:val="2"/>
          <w:sz w:val="24"/>
          <w:szCs w:val="24"/>
          <w:highlight w:val="none"/>
          <w:lang w:eastAsia="zh-CN"/>
        </w:rPr>
        <w:t>2.6 文件资料</w:t>
      </w:r>
      <w:bookmarkEnd w:id="188"/>
    </w:p>
    <w:p w14:paraId="66CA5B5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履行期内，监理人应妥善保管委托人提供的相关文件资料，合同履行完毕，根据委托人要求予以归还或销毁。同时，监理人应妥善保管自身的相关文件或档案存档，注意防水、防潮、防盗、防火等，因监理人原因造成监理档案遗失或受损的，监理人应向委托人承担赔偿责任并负责重做和补齐。</w:t>
      </w:r>
    </w:p>
    <w:p w14:paraId="05B6E5AC">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89" w:name="bookmark121"/>
      <w:bookmarkEnd w:id="189"/>
      <w:bookmarkStart w:id="190" w:name="bookmark119"/>
      <w:bookmarkEnd w:id="190"/>
      <w:bookmarkStart w:id="191" w:name="_Toc4906"/>
      <w:r>
        <w:rPr>
          <w:rFonts w:hint="eastAsia" w:ascii="仿宋" w:hAnsi="仿宋" w:eastAsia="仿宋" w:cs="Times New Roman"/>
          <w:snapToGrid/>
          <w:color w:val="auto"/>
          <w:kern w:val="2"/>
          <w:sz w:val="24"/>
          <w:szCs w:val="24"/>
          <w:highlight w:val="none"/>
          <w:lang w:eastAsia="zh-CN"/>
        </w:rPr>
        <w:t>2.7 使用委托人的财产</w:t>
      </w:r>
      <w:bookmarkEnd w:id="191"/>
    </w:p>
    <w:p w14:paraId="702AE30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委托人不提供房屋、设备等。</w:t>
      </w:r>
    </w:p>
    <w:p w14:paraId="1DCD6C7C">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92" w:name="bookmark123"/>
      <w:bookmarkEnd w:id="192"/>
      <w:bookmarkStart w:id="193" w:name="_Toc28412"/>
      <w:r>
        <w:rPr>
          <w:rFonts w:hint="eastAsia" w:ascii="仿宋" w:hAnsi="仿宋" w:eastAsia="仿宋" w:cs="Times New Roman"/>
          <w:snapToGrid/>
          <w:color w:val="auto"/>
          <w:kern w:val="2"/>
          <w:sz w:val="24"/>
          <w:szCs w:val="24"/>
          <w:highlight w:val="none"/>
          <w:lang w:eastAsia="zh-CN"/>
        </w:rPr>
        <w:t>2.8 履约担保</w:t>
      </w:r>
      <w:bookmarkEnd w:id="193"/>
    </w:p>
    <w:p w14:paraId="3A07D50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 xml:space="preserve">2.8.1 监理人是否提供履约担保： </w:t>
      </w:r>
      <w:r>
        <w:rPr>
          <w:rFonts w:hint="eastAsia" w:ascii="仿宋" w:hAnsi="仿宋" w:eastAsia="仿宋" w:cs="Times New Roman"/>
          <w:snapToGrid/>
          <w:color w:val="auto"/>
          <w:kern w:val="2"/>
          <w:sz w:val="24"/>
          <w:szCs w:val="24"/>
          <w:highlight w:val="none"/>
          <w:lang w:eastAsia="zh-CN"/>
        </w:rPr>
        <w:sym w:font="Wingdings" w:char="00FE"/>
      </w:r>
      <w:r>
        <w:rPr>
          <w:rFonts w:hint="eastAsia" w:ascii="仿宋" w:hAnsi="仿宋" w:eastAsia="仿宋" w:cs="Times New Roman"/>
          <w:snapToGrid/>
          <w:color w:val="auto"/>
          <w:kern w:val="2"/>
          <w:sz w:val="24"/>
          <w:szCs w:val="24"/>
          <w:highlight w:val="none"/>
          <w:lang w:eastAsia="zh-CN"/>
        </w:rPr>
        <w:t>提供；</w:t>
      </w:r>
      <w:r>
        <w:rPr>
          <w:rFonts w:hint="eastAsia" w:ascii="仿宋" w:hAnsi="仿宋" w:eastAsia="仿宋" w:cs="Times New Roman"/>
          <w:snapToGrid/>
          <w:color w:val="auto"/>
          <w:kern w:val="2"/>
          <w:sz w:val="24"/>
          <w:szCs w:val="24"/>
          <w:highlight w:val="none"/>
          <w:lang w:eastAsia="zh-CN"/>
        </w:rPr>
        <w:sym w:font="Wingdings" w:char="00A8"/>
      </w:r>
      <w:r>
        <w:rPr>
          <w:rFonts w:hint="eastAsia" w:ascii="仿宋" w:hAnsi="仿宋" w:eastAsia="仿宋" w:cs="Times New Roman"/>
          <w:snapToGrid/>
          <w:color w:val="auto"/>
          <w:kern w:val="2"/>
          <w:sz w:val="24"/>
          <w:szCs w:val="24"/>
          <w:highlight w:val="none"/>
          <w:lang w:eastAsia="zh-CN"/>
        </w:rPr>
        <w:t>不提供。</w:t>
      </w:r>
    </w:p>
    <w:p w14:paraId="5E19C738">
      <w:pPr>
        <w:widowControl w:val="0"/>
        <w:kinsoku/>
        <w:autoSpaceDE/>
        <w:autoSpaceDN/>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Times New Roman"/>
          <w:snapToGrid/>
          <w:color w:val="auto"/>
          <w:kern w:val="2"/>
          <w:sz w:val="24"/>
          <w:szCs w:val="24"/>
          <w:highlight w:val="none"/>
          <w:lang w:eastAsia="zh-CN"/>
        </w:rPr>
        <w:t>2.8.2 监理人提供履约担保的形式、金额及期限:</w:t>
      </w:r>
      <w:r>
        <w:rPr>
          <w:rFonts w:hint="eastAsia" w:ascii="仿宋" w:hAnsi="仿宋" w:eastAsia="仿宋" w:cs="Times New Roman"/>
          <w:snapToGrid/>
          <w:color w:val="auto"/>
          <w:kern w:val="2"/>
          <w:sz w:val="24"/>
          <w:szCs w:val="24"/>
          <w:highlight w:val="none"/>
          <w:u w:val="single"/>
          <w:lang w:eastAsia="zh-CN"/>
        </w:rPr>
        <w:t>监理人需在本合同签订后</w:t>
      </w:r>
      <w:r>
        <w:rPr>
          <w:rFonts w:hint="eastAsia" w:ascii="仿宋" w:hAnsi="仿宋" w:eastAsia="仿宋" w:cs="Times New Roman"/>
          <w:snapToGrid/>
          <w:color w:val="auto"/>
          <w:kern w:val="2"/>
          <w:sz w:val="24"/>
          <w:szCs w:val="24"/>
          <w:highlight w:val="none"/>
          <w:u w:val="single"/>
          <w:lang w:val="en-US" w:eastAsia="zh-CN"/>
        </w:rPr>
        <w:t>15</w:t>
      </w:r>
      <w:r>
        <w:rPr>
          <w:rFonts w:hint="eastAsia" w:ascii="仿宋" w:hAnsi="仿宋" w:eastAsia="仿宋" w:cs="Times New Roman"/>
          <w:snapToGrid/>
          <w:color w:val="auto"/>
          <w:kern w:val="2"/>
          <w:sz w:val="24"/>
          <w:szCs w:val="24"/>
          <w:highlight w:val="none"/>
          <w:u w:val="single"/>
          <w:lang w:eastAsia="zh-CN"/>
        </w:rPr>
        <w:t>日</w:t>
      </w:r>
      <w:r>
        <w:rPr>
          <w:rFonts w:hint="eastAsia" w:ascii="仿宋" w:hAnsi="仿宋" w:eastAsia="仿宋" w:cs="Times New Roman"/>
          <w:snapToGrid/>
          <w:color w:val="auto"/>
          <w:kern w:val="2"/>
          <w:sz w:val="24"/>
          <w:szCs w:val="24"/>
          <w:highlight w:val="none"/>
          <w:u w:val="single"/>
          <w:lang w:val="en-US" w:eastAsia="zh-CN"/>
        </w:rPr>
        <w:t>历天</w:t>
      </w:r>
      <w:r>
        <w:rPr>
          <w:rFonts w:hint="eastAsia" w:ascii="仿宋" w:hAnsi="仿宋" w:eastAsia="仿宋" w:cs="Times New Roman"/>
          <w:snapToGrid/>
          <w:color w:val="auto"/>
          <w:kern w:val="2"/>
          <w:sz w:val="24"/>
          <w:szCs w:val="24"/>
          <w:highlight w:val="none"/>
          <w:u w:val="single"/>
          <w:lang w:eastAsia="zh-CN"/>
        </w:rPr>
        <w:t>内向</w:t>
      </w:r>
      <w:r>
        <w:rPr>
          <w:rFonts w:hint="eastAsia" w:ascii="仿宋" w:hAnsi="仿宋" w:eastAsia="仿宋" w:cs="Times New Roman"/>
          <w:snapToGrid/>
          <w:color w:val="auto"/>
          <w:kern w:val="2"/>
          <w:sz w:val="24"/>
          <w:szCs w:val="24"/>
          <w:highlight w:val="none"/>
          <w:u w:val="single"/>
          <w:lang w:val="en-US" w:eastAsia="zh-CN"/>
        </w:rPr>
        <w:t>委托</w:t>
      </w:r>
      <w:r>
        <w:rPr>
          <w:rFonts w:hint="eastAsia" w:ascii="仿宋" w:hAnsi="仿宋" w:eastAsia="仿宋" w:cs="Times New Roman"/>
          <w:snapToGrid/>
          <w:color w:val="auto"/>
          <w:kern w:val="2"/>
          <w:sz w:val="24"/>
          <w:szCs w:val="24"/>
          <w:highlight w:val="none"/>
          <w:u w:val="single"/>
          <w:lang w:eastAsia="zh-CN"/>
        </w:rPr>
        <w:t>人提交履约担保（履约担保形式包含担保保函、银行保函）</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监理人</w:t>
      </w:r>
      <w:r>
        <w:rPr>
          <w:rFonts w:hint="eastAsia" w:ascii="仿宋" w:hAnsi="仿宋" w:eastAsia="仿宋" w:cs="仿宋"/>
          <w:color w:val="auto"/>
          <w:sz w:val="24"/>
          <w:szCs w:val="24"/>
          <w:highlight w:val="none"/>
          <w:u w:val="single"/>
          <w:lang w:eastAsia="zh-CN"/>
        </w:rPr>
        <w:t>提供的履约担保金额为合同中标价款的10%。</w:t>
      </w:r>
    </w:p>
    <w:p w14:paraId="7D84318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2.8.3 保函的要求</w:t>
      </w:r>
    </w:p>
    <w:p w14:paraId="491F0C3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提交的履约担保的期限应与合同履行期限一致至保修期满且本合同工程结算金额经委托人或其授权委托的第三方咨询单位审定、双方履行完毕监理合同项下的义务为止。履约担保作为本合同的组成文件之一。</w:t>
      </w:r>
    </w:p>
    <w:p w14:paraId="0E5EAF7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2.8.4 履约担保的退还</w:t>
      </w:r>
    </w:p>
    <w:p w14:paraId="15ADC23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于项目完成移交、办理完工程结算且保修期满、监理人不存在违约应扣未扣款项、本合同工程结算金额经委托人或其授权委托的第三方咨询单位审定、双方履行完毕监理合同项下的全部义务后一个月内退还，不计利息。</w:t>
      </w:r>
    </w:p>
    <w:p w14:paraId="0A9DA09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2.8.5 监理人提交的履约担保是对本合同约定的监理人的全部义务(包括但不限于监理人违约后应支付的违约金和赔偿金)的担保，监理人的任何一次不履行或不完全履行合同义务的行为，委托人均有权向出函单位提出索赔。</w:t>
      </w:r>
    </w:p>
    <w:p w14:paraId="6CF58EE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2.8.6 监理人不履行或不完全履行合同义务的行为导致履约担保金额少于合同暂定总金额的10%的，监理人应在收到委托人通知之日起在7天内补足。如监理人未依本协议要求按时完成续保手续或未能按时补足履约担保金额的，</w:t>
      </w:r>
      <w:r>
        <w:rPr>
          <w:rFonts w:hint="eastAsia" w:ascii="仿宋" w:hAnsi="仿宋" w:eastAsia="仿宋" w:cs="Times New Roman"/>
          <w:snapToGrid/>
          <w:color w:val="auto"/>
          <w:kern w:val="2"/>
          <w:sz w:val="24"/>
          <w:szCs w:val="24"/>
          <w:highlight w:val="none"/>
          <w:lang w:val="en-US" w:eastAsia="zh-CN"/>
        </w:rPr>
        <w:t>委托人</w:t>
      </w:r>
      <w:r>
        <w:rPr>
          <w:rFonts w:hint="eastAsia" w:ascii="仿宋" w:hAnsi="仿宋" w:eastAsia="仿宋" w:cs="Times New Roman"/>
          <w:snapToGrid/>
          <w:color w:val="auto"/>
          <w:kern w:val="2"/>
          <w:sz w:val="24"/>
          <w:szCs w:val="24"/>
          <w:highlight w:val="none"/>
          <w:lang w:eastAsia="zh-CN"/>
        </w:rPr>
        <w:t>有权选择：</w:t>
      </w:r>
    </w:p>
    <w:p w14:paraId="548EDF8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①单方解除本合同并要求监理人按本合同暂定总金额的10%支付违约金，并追究法律责任。</w:t>
      </w:r>
    </w:p>
    <w:p w14:paraId="6994B67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②不解除合同，暂停支付合同款项，直至监理人按本合同及委托人的要求开具合法有效的履约保函。</w:t>
      </w:r>
    </w:p>
    <w:p w14:paraId="25C9F31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③不解除合同，</w:t>
      </w:r>
      <w:r>
        <w:rPr>
          <w:rFonts w:hint="eastAsia" w:ascii="仿宋" w:hAnsi="仿宋" w:eastAsia="仿宋" w:cs="Times New Roman"/>
          <w:snapToGrid/>
          <w:color w:val="auto"/>
          <w:kern w:val="2"/>
          <w:sz w:val="24"/>
          <w:szCs w:val="24"/>
          <w:highlight w:val="none"/>
          <w:lang w:val="en-US" w:eastAsia="zh-CN"/>
        </w:rPr>
        <w:t>委托</w:t>
      </w:r>
      <w:r>
        <w:rPr>
          <w:rFonts w:hint="eastAsia" w:ascii="仿宋" w:hAnsi="仿宋" w:eastAsia="仿宋" w:cs="Times New Roman"/>
          <w:snapToGrid/>
          <w:color w:val="auto"/>
          <w:kern w:val="2"/>
          <w:sz w:val="24"/>
          <w:szCs w:val="24"/>
          <w:highlight w:val="none"/>
          <w:lang w:eastAsia="zh-CN"/>
        </w:rPr>
        <w:t>人有权从监理费用中等额扣除与履约担保金额一致的款项，待监理期限届满一个月内一次性无息退还给监理人。</w:t>
      </w:r>
    </w:p>
    <w:p w14:paraId="1819566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如委托人选择前述第②或者第③项的，监理人除需按前述要求提供履约担保外，委托人还有权要求监理人支付违约金50万元。</w:t>
      </w:r>
    </w:p>
    <w:p w14:paraId="6652D95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委托人依据履约担保向出具担保单位索赔保函金额的一部分或者全部的，监理人必须在委托人发出通知之日起7日内补充提交履约担保，使得本合同履行期间有效的履约担保金额等于</w:t>
      </w:r>
      <w:r>
        <w:rPr>
          <w:rFonts w:hint="eastAsia" w:ascii="仿宋" w:hAnsi="仿宋" w:eastAsia="仿宋" w:cs="Times New Roman"/>
          <w:snapToGrid/>
          <w:color w:val="auto"/>
          <w:kern w:val="2"/>
          <w:sz w:val="24"/>
          <w:szCs w:val="24"/>
          <w:highlight w:val="none"/>
          <w:lang w:val="en-US" w:eastAsia="zh-CN"/>
        </w:rPr>
        <w:t>本合同约定的</w:t>
      </w:r>
      <w:r>
        <w:rPr>
          <w:rFonts w:hint="eastAsia" w:ascii="仿宋" w:hAnsi="仿宋" w:eastAsia="仿宋" w:cs="Times New Roman"/>
          <w:snapToGrid/>
          <w:color w:val="auto"/>
          <w:kern w:val="2"/>
          <w:sz w:val="24"/>
          <w:szCs w:val="24"/>
          <w:highlight w:val="none"/>
          <w:lang w:eastAsia="zh-CN"/>
        </w:rPr>
        <w:t>担保金额。</w:t>
      </w:r>
    </w:p>
    <w:p w14:paraId="4AB356F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2.8.7 监理人提交的履约担保的担保期限应与合同履行期限一致，如履约担保的担保期限到期时本项目还未达到退保的条件，监理人应于履约担保有效期到期前30日内无条件完成续保手续。</w:t>
      </w:r>
    </w:p>
    <w:p w14:paraId="6FF6DAB4">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194" w:name="bookmark125"/>
      <w:bookmarkEnd w:id="194"/>
      <w:bookmarkStart w:id="195" w:name="_Toc17769"/>
      <w:r>
        <w:rPr>
          <w:rFonts w:hint="eastAsia" w:ascii="仿宋" w:hAnsi="仿宋" w:eastAsia="仿宋" w:cs="仿宋"/>
          <w:b/>
          <w:snapToGrid/>
          <w:color w:val="auto"/>
          <w:kern w:val="2"/>
          <w:sz w:val="24"/>
          <w:szCs w:val="24"/>
          <w:highlight w:val="none"/>
          <w:lang w:eastAsia="zh-CN"/>
        </w:rPr>
        <w:t>3.委托人义务</w:t>
      </w:r>
      <w:bookmarkEnd w:id="195"/>
    </w:p>
    <w:p w14:paraId="225F05C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96" w:name="_Toc15269"/>
      <w:r>
        <w:rPr>
          <w:rFonts w:hint="eastAsia" w:ascii="仿宋" w:hAnsi="仿宋" w:eastAsia="仿宋" w:cs="Times New Roman"/>
          <w:snapToGrid/>
          <w:color w:val="auto"/>
          <w:kern w:val="2"/>
          <w:sz w:val="24"/>
          <w:szCs w:val="24"/>
          <w:highlight w:val="none"/>
          <w:lang w:eastAsia="zh-CN"/>
        </w:rPr>
        <w:t>3.</w:t>
      </w:r>
      <w:r>
        <w:rPr>
          <w:rFonts w:hint="eastAsia" w:ascii="仿宋" w:hAnsi="仿宋" w:eastAsia="仿宋" w:cs="Times New Roman"/>
          <w:snapToGrid/>
          <w:color w:val="auto"/>
          <w:kern w:val="2"/>
          <w:sz w:val="24"/>
          <w:szCs w:val="24"/>
          <w:highlight w:val="none"/>
          <w:lang w:val="en-US" w:eastAsia="zh-CN"/>
        </w:rPr>
        <w:t>3</w:t>
      </w:r>
      <w:r>
        <w:rPr>
          <w:rFonts w:hint="eastAsia" w:ascii="仿宋" w:hAnsi="仿宋" w:eastAsia="仿宋" w:cs="Times New Roman"/>
          <w:snapToGrid/>
          <w:color w:val="auto"/>
          <w:kern w:val="2"/>
          <w:sz w:val="24"/>
          <w:szCs w:val="24"/>
          <w:highlight w:val="none"/>
          <w:lang w:eastAsia="zh-CN"/>
        </w:rPr>
        <w:t>提供工作条件</w:t>
      </w:r>
      <w:bookmarkEnd w:id="196"/>
    </w:p>
    <w:p w14:paraId="7AB10FC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（1）委托人不派遣人员，不提供房屋、设备。</w:t>
      </w:r>
    </w:p>
    <w:p w14:paraId="1E15090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（2）监理人负责工程建设中外部关系协调。</w:t>
      </w:r>
    </w:p>
    <w:p w14:paraId="739F753E">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97" w:name="bookmark127"/>
      <w:bookmarkEnd w:id="197"/>
      <w:bookmarkStart w:id="198" w:name="_Toc1751"/>
      <w:r>
        <w:rPr>
          <w:rFonts w:hint="eastAsia" w:ascii="仿宋" w:hAnsi="仿宋" w:eastAsia="仿宋" w:cs="Times New Roman"/>
          <w:snapToGrid/>
          <w:color w:val="auto"/>
          <w:kern w:val="2"/>
          <w:sz w:val="24"/>
          <w:szCs w:val="24"/>
          <w:highlight w:val="none"/>
          <w:lang w:eastAsia="zh-CN"/>
        </w:rPr>
        <w:t>3.</w:t>
      </w:r>
      <w:r>
        <w:rPr>
          <w:rFonts w:hint="eastAsia" w:ascii="仿宋" w:hAnsi="仿宋" w:eastAsia="仿宋" w:cs="Times New Roman"/>
          <w:snapToGrid/>
          <w:color w:val="auto"/>
          <w:kern w:val="2"/>
          <w:sz w:val="24"/>
          <w:szCs w:val="24"/>
          <w:highlight w:val="none"/>
          <w:lang w:val="en-US" w:eastAsia="zh-CN"/>
        </w:rPr>
        <w:t>4</w:t>
      </w:r>
      <w:r>
        <w:rPr>
          <w:rFonts w:hint="eastAsia" w:ascii="仿宋" w:hAnsi="仿宋" w:eastAsia="仿宋" w:cs="Times New Roman"/>
          <w:snapToGrid/>
          <w:color w:val="auto"/>
          <w:kern w:val="2"/>
          <w:sz w:val="24"/>
          <w:szCs w:val="24"/>
          <w:highlight w:val="none"/>
          <w:lang w:eastAsia="zh-CN"/>
        </w:rPr>
        <w:t>委托人代表</w:t>
      </w:r>
      <w:bookmarkEnd w:id="198"/>
    </w:p>
    <w:p w14:paraId="4BE5DAA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委托人指定一名授权代表：</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（联系电话：</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）与监理人建立工作联系，负责本项目有关工作事项，并对双方往来文件进行签收。委托人代表职责、权利与义务按委托人相关管理制度、办法、实施细则执行。</w:t>
      </w:r>
    </w:p>
    <w:p w14:paraId="32AEABA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199" w:name="bookmark129"/>
      <w:bookmarkEnd w:id="199"/>
      <w:bookmarkStart w:id="200" w:name="_Toc3139"/>
      <w:r>
        <w:rPr>
          <w:rFonts w:hint="eastAsia" w:ascii="仿宋" w:hAnsi="仿宋" w:eastAsia="仿宋" w:cs="Times New Roman"/>
          <w:snapToGrid/>
          <w:color w:val="auto"/>
          <w:kern w:val="2"/>
          <w:sz w:val="24"/>
          <w:szCs w:val="24"/>
          <w:highlight w:val="none"/>
          <w:lang w:eastAsia="zh-CN"/>
        </w:rPr>
        <w:t>3.</w:t>
      </w:r>
      <w:r>
        <w:rPr>
          <w:rFonts w:hint="eastAsia" w:ascii="仿宋" w:hAnsi="仿宋" w:eastAsia="仿宋" w:cs="Times New Roman"/>
          <w:snapToGrid/>
          <w:color w:val="auto"/>
          <w:kern w:val="2"/>
          <w:sz w:val="24"/>
          <w:szCs w:val="24"/>
          <w:highlight w:val="none"/>
          <w:lang w:val="en-US" w:eastAsia="zh-CN"/>
        </w:rPr>
        <w:t>6</w:t>
      </w:r>
      <w:r>
        <w:rPr>
          <w:rFonts w:hint="eastAsia" w:ascii="仿宋" w:hAnsi="仿宋" w:eastAsia="仿宋" w:cs="Times New Roman"/>
          <w:snapToGrid/>
          <w:color w:val="auto"/>
          <w:kern w:val="2"/>
          <w:sz w:val="24"/>
          <w:szCs w:val="24"/>
          <w:highlight w:val="none"/>
          <w:lang w:eastAsia="zh-CN"/>
        </w:rPr>
        <w:t>答复</w:t>
      </w:r>
      <w:bookmarkEnd w:id="200"/>
    </w:p>
    <w:p w14:paraId="6E45619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委托人原则上应在10天内对监理人书面提交并要求作出决定的事宜作出书面答复，重大事件回复时间可以适当延长。</w:t>
      </w:r>
    </w:p>
    <w:p w14:paraId="456705CD">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01" w:name="_Toc13541"/>
      <w:r>
        <w:rPr>
          <w:rFonts w:hint="eastAsia" w:ascii="仿宋" w:hAnsi="仿宋" w:eastAsia="仿宋" w:cs="Times New Roman"/>
          <w:snapToGrid/>
          <w:color w:val="auto"/>
          <w:kern w:val="2"/>
          <w:sz w:val="24"/>
          <w:szCs w:val="24"/>
          <w:highlight w:val="none"/>
          <w:lang w:eastAsia="zh-CN"/>
        </w:rPr>
        <w:t>3.</w:t>
      </w:r>
      <w:r>
        <w:rPr>
          <w:rFonts w:hint="eastAsia" w:ascii="仿宋" w:hAnsi="仿宋" w:eastAsia="仿宋" w:cs="Times New Roman"/>
          <w:snapToGrid/>
          <w:color w:val="auto"/>
          <w:kern w:val="2"/>
          <w:sz w:val="24"/>
          <w:szCs w:val="24"/>
          <w:highlight w:val="none"/>
          <w:lang w:val="en-US" w:eastAsia="zh-CN"/>
        </w:rPr>
        <w:t>8</w:t>
      </w:r>
      <w:r>
        <w:rPr>
          <w:rFonts w:hint="eastAsia" w:ascii="仿宋" w:hAnsi="仿宋" w:eastAsia="仿宋" w:cs="Times New Roman"/>
          <w:snapToGrid/>
          <w:color w:val="auto"/>
          <w:kern w:val="2"/>
          <w:sz w:val="24"/>
          <w:szCs w:val="24"/>
          <w:highlight w:val="none"/>
          <w:lang w:eastAsia="zh-CN"/>
        </w:rPr>
        <w:t>支付担保</w:t>
      </w:r>
      <w:bookmarkEnd w:id="201"/>
    </w:p>
    <w:p w14:paraId="2C14CE1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支付担保按下列方式</w:t>
      </w:r>
      <w:r>
        <w:rPr>
          <w:rFonts w:hint="eastAsia" w:ascii="仿宋" w:hAnsi="仿宋" w:eastAsia="仿宋" w:cs="Times New Roman"/>
          <w:snapToGrid/>
          <w:color w:val="auto"/>
          <w:kern w:val="2"/>
          <w:sz w:val="24"/>
          <w:szCs w:val="24"/>
          <w:highlight w:val="none"/>
          <w:u w:val="single"/>
          <w:lang w:eastAsia="zh-CN"/>
        </w:rPr>
        <w:t xml:space="preserve">  ① ③ </w:t>
      </w:r>
      <w:r>
        <w:rPr>
          <w:rFonts w:hint="eastAsia" w:ascii="仿宋" w:hAnsi="仿宋" w:eastAsia="仿宋" w:cs="Times New Roman"/>
          <w:snapToGrid/>
          <w:color w:val="auto"/>
          <w:kern w:val="2"/>
          <w:sz w:val="24"/>
          <w:szCs w:val="24"/>
          <w:highlight w:val="none"/>
          <w:lang w:eastAsia="zh-CN"/>
        </w:rPr>
        <w:t>进行办理：</w:t>
      </w:r>
    </w:p>
    <w:p w14:paraId="2F29F18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①委托人不需要出具支付保函；</w:t>
      </w:r>
    </w:p>
    <w:p w14:paraId="397D5D4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②委托人需要出具支付保函的，委托人应在签订本合同后二个月内向监理人提交在中国注册的银行开出的担保金额为合同价款的</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%（不高于</w:t>
      </w:r>
      <w:r>
        <w:rPr>
          <w:rFonts w:hint="eastAsia" w:ascii="仿宋" w:hAnsi="仿宋" w:eastAsia="仿宋" w:cs="Times New Roman"/>
          <w:snapToGrid/>
          <w:color w:val="auto"/>
          <w:kern w:val="2"/>
          <w:sz w:val="24"/>
          <w:szCs w:val="24"/>
          <w:highlight w:val="none"/>
          <w:u w:val="single"/>
          <w:lang w:eastAsia="zh-CN"/>
        </w:rPr>
        <w:t>10%</w:t>
      </w:r>
      <w:r>
        <w:rPr>
          <w:rFonts w:hint="eastAsia" w:ascii="仿宋" w:hAnsi="仿宋" w:eastAsia="仿宋" w:cs="Times New Roman"/>
          <w:snapToGrid/>
          <w:color w:val="auto"/>
          <w:kern w:val="2"/>
          <w:sz w:val="24"/>
          <w:szCs w:val="24"/>
          <w:highlight w:val="none"/>
          <w:lang w:eastAsia="zh-CN"/>
        </w:rPr>
        <w:t>）,即人民币</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元的支付保函原件。保函期限以壹年为期限，根据工期每年到期后再续开下一年度的保函，可连续出具。委托人支付保函解除条件：</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，支付保函解除</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%；办理退回支付保函条件：</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w:t>
      </w:r>
    </w:p>
    <w:p w14:paraId="592DAE4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③委托人不需要出具支付保证保险；</w:t>
      </w:r>
    </w:p>
    <w:p w14:paraId="68542555">
      <w:pPr>
        <w:widowControl w:val="0"/>
        <w:kinsoku/>
        <w:autoSpaceDE/>
        <w:autoSpaceDN/>
        <w:adjustRightInd/>
        <w:snapToGrid/>
        <w:spacing w:line="360" w:lineRule="auto"/>
        <w:ind w:firstLine="480" w:firstLineChars="200"/>
        <w:jc w:val="both"/>
        <w:textAlignment w:val="auto"/>
        <w:rPr>
          <w:color w:val="auto"/>
          <w:highlight w:val="none"/>
          <w:lang w:eastAsia="zh-CN"/>
        </w:rPr>
      </w:pPr>
      <w:r>
        <w:rPr>
          <w:rFonts w:hint="eastAsia" w:ascii="仿宋" w:hAnsi="仿宋" w:eastAsia="仿宋" w:cs="Times New Roman"/>
          <w:snapToGrid/>
          <w:color w:val="auto"/>
          <w:kern w:val="2"/>
          <w:sz w:val="24"/>
          <w:szCs w:val="24"/>
          <w:highlight w:val="none"/>
          <w:lang w:eastAsia="zh-CN"/>
        </w:rPr>
        <w:t>④委托人需要出具支付保证保险的，委托人应在签订本合同后二个月内向监理人提交支付保证保险资料原件，保证保险担保金额：</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；保证保险期限 </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w:t>
      </w:r>
    </w:p>
    <w:p w14:paraId="32862CB4">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02" w:name="bookmark131"/>
      <w:bookmarkEnd w:id="202"/>
      <w:bookmarkStart w:id="203" w:name="_Toc1656"/>
      <w:r>
        <w:rPr>
          <w:rFonts w:hint="eastAsia" w:ascii="仿宋" w:hAnsi="仿宋" w:eastAsia="仿宋" w:cs="仿宋"/>
          <w:b/>
          <w:snapToGrid/>
          <w:color w:val="auto"/>
          <w:kern w:val="2"/>
          <w:sz w:val="24"/>
          <w:szCs w:val="24"/>
          <w:highlight w:val="none"/>
          <w:lang w:eastAsia="zh-CN"/>
        </w:rPr>
        <w:t>4. 违约责任</w:t>
      </w:r>
      <w:bookmarkEnd w:id="203"/>
    </w:p>
    <w:p w14:paraId="758A2AB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04" w:name="_Toc3270"/>
      <w:r>
        <w:rPr>
          <w:rFonts w:hint="eastAsia" w:ascii="仿宋" w:hAnsi="仿宋" w:eastAsia="仿宋" w:cs="Times New Roman"/>
          <w:snapToGrid/>
          <w:color w:val="auto"/>
          <w:kern w:val="2"/>
          <w:sz w:val="24"/>
          <w:szCs w:val="24"/>
          <w:highlight w:val="none"/>
          <w:lang w:eastAsia="zh-CN"/>
        </w:rPr>
        <w:t>★4.1 监理人的违约责任</w:t>
      </w:r>
      <w:bookmarkEnd w:id="204"/>
    </w:p>
    <w:p w14:paraId="5F487A9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4.1.1 监理人赔偿金额的计算方法：本合同约定的监理人承担违约方式包括但不限于以下几种：</w:t>
      </w:r>
    </w:p>
    <w:p w14:paraId="0071B38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限期改正。监理人未履行或未按时履行或未按质履行义务时，委托人及其项目常驻代表人有权提出书面警告，监理人必须在委托人及其项目常驻代表人限定的时间内履行义务。每一次书面警告必须向委托人交纳违约金0.5万元。</w:t>
      </w:r>
    </w:p>
    <w:p w14:paraId="45F6291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（2）一般违约责任。监理人按本合同约定应当承担一般违约责任时，必须向委托人交纳违约金人民币1万元/次。</w:t>
      </w:r>
    </w:p>
    <w:p w14:paraId="31E66B4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（3）严重违约责任。监理人按本合同约定应当承担严重违约责任时，必须向委托人交纳违约金人民币5万元/次。</w:t>
      </w:r>
    </w:p>
    <w:p w14:paraId="33450FD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部分解除合同。委托人向监理人发出部分解除合同通知后，本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并且委托人有权视情况全部解除合同；因监理人拒交或延误交接现场工作和有关资料而引致委托人工期延误及其它方面的损失，委托人有权要求监理人赔偿全部损失。委托人在发出部分解除合同的通知后，委托人即可委托新的监理人承接该部分工程。同时，监理人不得影响或阻碍新的监理人办理进场手续和相关工作。</w:t>
      </w:r>
    </w:p>
    <w:p w14:paraId="4EF1427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（5）解除合同。委托人向监理人发出解除合同通知后，本合同即解除，监理人必须在</w:t>
      </w:r>
      <w:r>
        <w:rPr>
          <w:rFonts w:hint="eastAsia" w:ascii="仿宋" w:hAnsi="仿宋" w:eastAsia="仿宋" w:cs="Times New Roman"/>
          <w:snapToGrid/>
          <w:color w:val="auto"/>
          <w:kern w:val="2"/>
          <w:sz w:val="24"/>
          <w:szCs w:val="24"/>
          <w:highlight w:val="none"/>
          <w:lang w:val="en-US" w:eastAsia="zh-CN"/>
        </w:rPr>
        <w:t>委托人发出解除通知之日起</w:t>
      </w:r>
      <w:r>
        <w:rPr>
          <w:rFonts w:hint="eastAsia" w:ascii="仿宋" w:hAnsi="仿宋" w:eastAsia="仿宋" w:cs="Times New Roman"/>
          <w:snapToGrid/>
          <w:color w:val="auto"/>
          <w:kern w:val="2"/>
          <w:sz w:val="24"/>
          <w:szCs w:val="24"/>
          <w:highlight w:val="none"/>
          <w:lang w:eastAsia="zh-CN"/>
        </w:rPr>
        <w:t>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w:t>
      </w:r>
      <w:r>
        <w:rPr>
          <w:rFonts w:hint="eastAsia" w:ascii="仿宋" w:hAnsi="仿宋" w:eastAsia="仿宋" w:cs="Times New Roman"/>
          <w:snapToGrid/>
          <w:color w:val="auto"/>
          <w:kern w:val="2"/>
          <w:sz w:val="24"/>
          <w:szCs w:val="24"/>
          <w:highlight w:val="none"/>
          <w:lang w:val="en-US" w:eastAsia="zh-CN"/>
        </w:rPr>
        <w:t>有权</w:t>
      </w:r>
      <w:r>
        <w:rPr>
          <w:rFonts w:hint="eastAsia" w:ascii="仿宋" w:hAnsi="仿宋" w:eastAsia="仿宋" w:cs="Times New Roman"/>
          <w:snapToGrid/>
          <w:color w:val="auto"/>
          <w:kern w:val="2"/>
          <w:sz w:val="24"/>
          <w:szCs w:val="24"/>
          <w:highlight w:val="none"/>
          <w:lang w:eastAsia="zh-CN"/>
        </w:rPr>
        <w:t>要求监理人赔偿</w:t>
      </w:r>
      <w:r>
        <w:rPr>
          <w:rFonts w:hint="eastAsia" w:ascii="仿宋" w:hAnsi="仿宋" w:eastAsia="仿宋" w:cs="Times New Roman"/>
          <w:snapToGrid/>
          <w:color w:val="auto"/>
          <w:kern w:val="2"/>
          <w:sz w:val="24"/>
          <w:szCs w:val="24"/>
          <w:highlight w:val="none"/>
          <w:lang w:val="en-US" w:eastAsia="zh-CN"/>
        </w:rPr>
        <w:t>全部</w:t>
      </w:r>
      <w:r>
        <w:rPr>
          <w:rFonts w:hint="eastAsia" w:ascii="仿宋" w:hAnsi="仿宋" w:eastAsia="仿宋" w:cs="Times New Roman"/>
          <w:snapToGrid/>
          <w:color w:val="auto"/>
          <w:kern w:val="2"/>
          <w:sz w:val="24"/>
          <w:szCs w:val="24"/>
          <w:highlight w:val="none"/>
          <w:lang w:eastAsia="zh-CN"/>
        </w:rPr>
        <w:t>损失。委托人在发出解除合同的通知后，委托人即可委托新的监理人承接该工程。同时，监理人不得影响或阻碍新的监理人办理进场手续和相关工作。</w:t>
      </w:r>
    </w:p>
    <w:p w14:paraId="599CF0E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（6）赔偿损失。</w:t>
      </w:r>
    </w:p>
    <w:p w14:paraId="6CBCAA1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三次限期改正责任承担一次一般违约责任，三次一般违约责任承担一次严重违约责任，累计三次严重违约责任，委托人有权单方部分或全部解除合同。监理人的违约事实若造成委托人的经济损失，监理人同意按受损工程相应监理费的1～5倍向委托人予以赔偿，委托人可视监理人造成的实际经济损失的情况，有权确定</w:t>
      </w:r>
      <w:r>
        <w:rPr>
          <w:rFonts w:hint="eastAsia" w:ascii="仿宋" w:hAnsi="仿宋" w:eastAsia="仿宋" w:cs="Times New Roman"/>
          <w:snapToGrid/>
          <w:color w:val="auto"/>
          <w:kern w:val="2"/>
          <w:sz w:val="24"/>
          <w:szCs w:val="24"/>
          <w:highlight w:val="none"/>
          <w:lang w:val="en-US" w:eastAsia="zh-CN"/>
        </w:rPr>
        <w:t>根据</w:t>
      </w:r>
      <w:r>
        <w:rPr>
          <w:rFonts w:hint="eastAsia" w:ascii="仿宋" w:hAnsi="仿宋" w:eastAsia="仿宋" w:cs="Times New Roman"/>
          <w:snapToGrid/>
          <w:color w:val="auto"/>
          <w:kern w:val="2"/>
          <w:sz w:val="24"/>
          <w:szCs w:val="24"/>
          <w:highlight w:val="none"/>
          <w:lang w:eastAsia="zh-CN"/>
        </w:rPr>
        <w:t>受损工程相应监理酬金所应计取的赔偿倍数（以委托人的书面通知为准）。原则上累计赔偿金总额不超过监理酬金的结算总价（除去税金），若监理酬金的结算总价（除去税金）无法覆盖委托人的全部经济损失，监理人应继续承担赔偿责任直至损失全部覆盖。若损失是由于监理人故意</w:t>
      </w:r>
      <w:r>
        <w:rPr>
          <w:rFonts w:hint="eastAsia" w:ascii="仿宋" w:hAnsi="仿宋" w:eastAsia="仿宋" w:cs="Times New Roman"/>
          <w:snapToGrid/>
          <w:color w:val="auto"/>
          <w:kern w:val="2"/>
          <w:sz w:val="24"/>
          <w:szCs w:val="24"/>
          <w:highlight w:val="none"/>
          <w:lang w:val="en-US" w:eastAsia="zh-CN"/>
        </w:rPr>
        <w:t>或过失</w:t>
      </w:r>
      <w:r>
        <w:rPr>
          <w:rFonts w:hint="eastAsia" w:ascii="仿宋" w:hAnsi="仿宋" w:eastAsia="仿宋" w:cs="Times New Roman"/>
          <w:snapToGrid/>
          <w:color w:val="auto"/>
          <w:kern w:val="2"/>
          <w:sz w:val="24"/>
          <w:szCs w:val="24"/>
          <w:highlight w:val="none"/>
          <w:lang w:eastAsia="zh-CN"/>
        </w:rPr>
        <w:t>造成的，监理人应向委托人承担全部赔偿责任。具体计算办法如下：</w:t>
      </w:r>
    </w:p>
    <w:p w14:paraId="36E40C3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赔偿金=受损工程相应监理酬金×（1～5）倍</w:t>
      </w:r>
    </w:p>
    <w:p w14:paraId="604F274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受损工程相应监理酬金=（受损工程相应的工程建安费用／施工合同总价）×监理酬金总价</w:t>
      </w:r>
    </w:p>
    <w:p w14:paraId="7649008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监理人违约责任的认定方式及送达程序：</w:t>
      </w:r>
    </w:p>
    <w:p w14:paraId="4A55818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①认定方式：以委托人发出的通知、通报、会议纪要等书面文件确定的内容为准。</w:t>
      </w:r>
    </w:p>
    <w:p w14:paraId="121638A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②送达程序：委托人通过下列方式之一将书面违约处理决定送达监理人：</w:t>
      </w:r>
    </w:p>
    <w:p w14:paraId="52D3F5E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A.监理人现场管理机构工作人员签收；</w:t>
      </w:r>
      <w:bookmarkStart w:id="205" w:name="bookmark139"/>
      <w:bookmarkEnd w:id="205"/>
      <w:bookmarkStart w:id="206" w:name="bookmark137"/>
      <w:bookmarkEnd w:id="206"/>
      <w:bookmarkStart w:id="207" w:name="bookmark141"/>
      <w:bookmarkEnd w:id="207"/>
      <w:bookmarkStart w:id="208" w:name="bookmark135"/>
      <w:bookmarkEnd w:id="208"/>
      <w:r>
        <w:rPr>
          <w:rFonts w:hint="eastAsia" w:ascii="仿宋" w:hAnsi="仿宋" w:eastAsia="仿宋" w:cs="Times New Roman"/>
          <w:snapToGrid/>
          <w:color w:val="auto"/>
          <w:kern w:val="2"/>
          <w:sz w:val="24"/>
          <w:szCs w:val="24"/>
          <w:highlight w:val="none"/>
          <w:lang w:eastAsia="zh-CN"/>
        </w:rPr>
        <w:t>B.监理人其他工作人员签收；</w:t>
      </w:r>
    </w:p>
    <w:p w14:paraId="3E0111A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C.委托人邮寄送达。</w:t>
      </w:r>
    </w:p>
    <w:p w14:paraId="5669144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作出书面决定并通知监理人，并以委托人书面决定意见为准。</w:t>
      </w:r>
    </w:p>
    <w:p w14:paraId="7130E53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监理人承诺严格按照合同和招投标文件规定履行义务，并同意委托人将其执行国家强制性规范、标准和履行合同、招投标文件义务的情况（包括但不限于由委托人组织的考核、考评通报、违约责任处理决定等）在委托人网站和建设项目合法继承人网站及其他媒体上公开披露。</w:t>
      </w:r>
    </w:p>
    <w:p w14:paraId="62EACF4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4.1.2 如下事项属于监理人违约责任</w:t>
      </w:r>
    </w:p>
    <w:p w14:paraId="6205B63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 监理人在监理工作中，应充分深入和掌控现场实际情况，督促并配合承包人。</w:t>
      </w:r>
    </w:p>
    <w:p w14:paraId="72E7B037">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对于施工现场出现的情况，凡未发现或发现后未及时上报，导致工程返工而造成损失的，视其损失程度和监理人责任的比重，按4.1.1的规定，分别承担限期改正、一般违约、严重违约、部分解除合同、全部解除合同、赔偿损失的责任。</w:t>
      </w:r>
    </w:p>
    <w:p w14:paraId="5A27C7C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 为保证建设项目有序、规范和顺利进行，监理人必须主动支持委托人工作，对委托人的指令和书面通知，若无正当理由又未提前报告、得到认可，而公开或变相拒不执行，按监理人严重违约处理，同时，监理人还要承担委托人由此造成的一切经济损失。</w:t>
      </w:r>
    </w:p>
    <w:p w14:paraId="078E404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 监理人未按承诺建立组织架构、派驻足够符合岗位条件的监理人员和投入设备，监理人必须按委托人要求限期整改，并承担相应违约责任。具体约定为：</w:t>
      </w:r>
    </w:p>
    <w:p w14:paraId="587B209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监理项目部机构组成人员的人数、资质、资格，未满足招标条件、投标文件、合同约定的，委托人有权拒付监理费用，并要求监理人做出书面解释并限期整改，监理人承担严重违约责任1次，且承担由此产生的质量安全事故责任;如果监理人拒不整改，情节严重，影响工程进度和质量的，委托人将要求监理人承担严重违约责任直至解除合同，并要求监理人承担由此造成的委托人损失。</w:t>
      </w:r>
    </w:p>
    <w:p w14:paraId="2059B6B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在委托人书面通知监理人进场后3日内，监理人承诺的总监理工程师不到位，或到位后又离开，造成该岗位空缺。委托人一旦发现，将要求监理人做出书面解释并保证人员限期到位，同时将要求监理人承担一般违约责任1次；如果监理人拒不配合，未在委托人提出限期改正的期限内进行整改的，监理人应承担严重违约责任1次，情节严重，影响工程进度和质量的，委托人将要求监理人承担严重违约责任直至解除合同，并要求监理人承担由此造成的委托人损失。</w:t>
      </w:r>
    </w:p>
    <w:p w14:paraId="7459E17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总监理工程师必须负责本项目的日常监理工作，不得违反有关规定兼任其他项目总监。否则委托人一经发现，除必须限期纠正外，每发生1次监理人必须承担一般违约责任1次；限期内未纠正或被委托人再次发现的，委托人有权解除合同，由此造成委托人的损失由监理人承担。</w:t>
      </w:r>
    </w:p>
    <w:p w14:paraId="36E2443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④在委托人书面通知监理人进场后3天内，监理人承诺的主要监理人员不到位，或到位后又离开，造成该岗位空缺，以及未按承诺依时、足额投入有关设备，委托人一经发现将要求监理人做出书面解释并保证人员、设备限期到位；上述情况每发生1次，监理人应承担限期改正责任1次；上述情况每累计出现三次，监理人承担一般违约责任1次；如果监理人拒不配合，未在委托人提出限期改正的期限内进行整改的，影响工程进度和质量的，监理人承担严重违约责任1次，直至解除合同，由此造成委托人的损失由监理人承担。</w:t>
      </w:r>
    </w:p>
    <w:p w14:paraId="446A88E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⑤非因不可抗力因素一般不得调换总监或更换主要监理人员。在原总监理工程师及主要监理人员因疾病、身故、调离或其他不可抗力而不能履行职务时，监理人可向委托人申请更换。监理人如需要调换总监理工程师及主要监理人员，必须事先征得委托人书面同意。监理人更换的监理工程师的资质必须不低于原监理工程师。如监理人未经委托人书面同意，擅自调换总监理工程师及主要监理人员，除必须限期改正外，每发生1次监理人必须承担严重违约责任1次。如非前述原因而要求更换总监理工程师或主要监理人员的，虽经委托人批准，监理人仍需承担一般违约责任一次。</w:t>
      </w:r>
    </w:p>
    <w:p w14:paraId="05FD8C3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⑥总监理工程师必须常驻工地，离开工地3天上需以书面报告报委托人项目负责人书面批准，每月总请假日数不得超过7日（含节假日）。在其请假离开的时间段内应书面委托其他驻场监理工程师全权代表其行使职权。如擅自离开工地一次，委托人将要求监理人承担一般违约责任1次。擅自离开工地累计超过三次者，处予监理人承担严重违约责任1次，并有权要求监理人撤换总监或总监代表。</w:t>
      </w:r>
    </w:p>
    <w:p w14:paraId="1D0B49A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⑦其他主要监理工程师必须常驻工地，离开工地2天上需以书面报告报委托人项目负责人书面批准，每月总请假日数不得超过4日（含节假日）。在其请假离开的时间段内应书面委托其他驻场监理代表全权代表其行使相应职权。如擅自离开工地一次，委托人将要求监理人承担一般违约责任1次，同一监理人员擅自离开工地累计超过三次者，处予监理人承担严重违约责任1次，并有权要求监理人撤换该监理人员。</w:t>
      </w:r>
    </w:p>
    <w:p w14:paraId="7FB4DD4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⑧工程施工期间，监理人应合理安排工作，保证有足够的人员轮值，确保工序验收不受影响，促进工程顺利实施，不得影响监理服务质量。若监理单位人员不足，不能保证人员数量或素质满足工作要求，发现一次则处予监理人承担一般违约责任1次，并责令立即整改，监理人拒不整改者，委托人有权单方解除合同，并由监理人承担由此造成的一切损失。</w:t>
      </w:r>
    </w:p>
    <w:p w14:paraId="1415111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(4)委托人要求总监理工程师或主要监理工程师必须参加的会议，总监理工程师或主要监理工程师应到会，未经委托人同意不到会者，每发生1次监理人应当承担限期改正责任1次。</w:t>
      </w:r>
    </w:p>
    <w:p w14:paraId="70D7DD0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(5)监理人在自己职责范围内应当作出决定的事项故意拖延或者不做出明确的处理意见，每发生1次委托人有权要求监理人承担一般违约责任1次，造成损失的监理人应承担相应的责任。</w:t>
      </w:r>
    </w:p>
    <w:p w14:paraId="61B8AF2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监理人违反上述规定，经委托人警告限期改正后拒不整改的, 每发生1次按严重违约1次处理。</w:t>
      </w:r>
    </w:p>
    <w:p w14:paraId="231FBD6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(7)监理人必须加强监理人员职业操守的教育，本项目监理人员需共同遵守监理人员职业道德守则，并严格遵守以下规定：</w:t>
      </w:r>
    </w:p>
    <w:p w14:paraId="7496148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①禁止向委托人及承包人推销材料、设备，或采用具有倾向性、排他性的工作方式进行变相推销；</w:t>
      </w:r>
    </w:p>
    <w:p w14:paraId="751F9C3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②禁止与承包人串通，对不合格材料、产品、工程进行包庇及验收；</w:t>
      </w:r>
    </w:p>
    <w:p w14:paraId="1F4C673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③禁止与承包人串通，对材料用量、工程量进行虚假签认；</w:t>
      </w:r>
    </w:p>
    <w:p w14:paraId="11AB925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④禁止与承包人串通，不合理提高施工难度及增加材料用量，以增大施工费用。</w:t>
      </w:r>
    </w:p>
    <w:p w14:paraId="56F232F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⑤禁止接受承包人的请吃送礼，或变相受礼；</w:t>
      </w:r>
    </w:p>
    <w:p w14:paraId="2BC87BB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⑥禁止向承包人介绍分包人；</w:t>
      </w:r>
    </w:p>
    <w:p w14:paraId="65C4E79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⑦禁止故意刁难承包人以谋取私利，损害委托人的合法利益。</w:t>
      </w:r>
    </w:p>
    <w:p w14:paraId="3B72B7F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凡违反以上任一规定者，一经查实，每发生1次按一次严重违约处理，并将该监理人员清除出场。情节严重的，委托人有权部分或全部解除合同，有权向有关部门反映情况，追究监</w:t>
      </w:r>
      <w:bookmarkStart w:id="209" w:name="bookmark143"/>
      <w:bookmarkEnd w:id="209"/>
      <w:bookmarkStart w:id="210" w:name="bookmark147"/>
      <w:bookmarkEnd w:id="210"/>
      <w:bookmarkStart w:id="211" w:name="bookmark145"/>
      <w:bookmarkEnd w:id="211"/>
      <w:r>
        <w:rPr>
          <w:rFonts w:hint="eastAsia" w:ascii="仿宋" w:hAnsi="仿宋" w:eastAsia="仿宋" w:cs="Times New Roman"/>
          <w:snapToGrid/>
          <w:color w:val="auto"/>
          <w:kern w:val="2"/>
          <w:sz w:val="24"/>
          <w:szCs w:val="24"/>
          <w:highlight w:val="none"/>
          <w:lang w:eastAsia="zh-CN"/>
        </w:rPr>
        <w:t>理人及相关人员的责任，有权要求赔偿相应损失，有权将上述违反职业道德的行为通过新闻媒体公诸于众，情节严重者移交司法机关追究法律责任。</w:t>
      </w:r>
    </w:p>
    <w:p w14:paraId="4D50F03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(8)承包人的施工质量，经监理人检验为合格，但经委托人或工程质量监督机构抽查，发现质量有不合格、或未按设计要求和有关规范进行施工的，监理人应承担严重违约责任1次，同时，承包人和监理人应赔偿委托人的经济损失。</w:t>
      </w:r>
    </w:p>
    <w:p w14:paraId="05EFAA3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(9)工程施工的关键线路工期因承包人原因比计划滞后5日以上（包括5日），监理人未及时预见、未及时提出整改措施，未及时监督承包人整改，未及时向委托人报告，对整个工程的按期完工不能起到监管作用，除必须限期纠正外，每发生1次监理人必须承担一般违约责任1次。由此出现关键工期滞后10天以上（含10天），每发生1次监理人必须承担严重违约责任1次。由此出现关键线路工期滞后20天以上（含20天）并确实表明监理人在工期控制上作用失效，委托人有权部分或全部解除合同。</w:t>
      </w:r>
    </w:p>
    <w:p w14:paraId="13B575A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(10)监理人应当按时对承包人的申报事项予以审批，因监理人的原因造成关键工期延误5日（含5日）以上10日以下的，每发生1次监理人应当承担一般违约责任1次；延期超过10日（含10日）的，每发生1次监理人应承担严重违约责任1次。</w:t>
      </w:r>
    </w:p>
    <w:p w14:paraId="6FF0201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(11)对于承包人提交的请款报告，监理人不按实际完成的工作量进行审核，不按本合同要求签署拨款意见，被审查发现后，除必须限期改正外，每出现2次，监理人必须承担一般违约责任1次；如造成委托人超形象进度、超合同支付工程款10万元以上，监理人必须承担严重违约责任1次。若由此给委托人造成10万元以上（含10万元）损失的，监理人除必须承担相应的经济赔偿外，委托人将视情况部分或全部解除合同。</w:t>
      </w:r>
    </w:p>
    <w:p w14:paraId="63D0482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(12)监理人违约行为的直接责任人，其违约行为达到严重违约（或相当于严重违约）1次，主管人员因其下属的严重违约（或相当于严重违约）累计次数达到3次，则委托人有权认为该直接责任人或主管人员已不适于继续担任本工程的监理工作，并有权要求监理人限期更换该人员，监理人必须无条件接受，并承担由此引起的后果及费用；如监理人拒不执行，则自收到委托人的更换要求7日后，委托人可认为该岗位已空缺，按缺勤条款规定处罚。</w:t>
      </w:r>
    </w:p>
    <w:p w14:paraId="02F7A37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(13)因下列监理人原因：</w:t>
      </w:r>
    </w:p>
    <w:p w14:paraId="0FC2333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①在施工过程中，监理人发出错误指令或指令不及时；</w:t>
      </w:r>
    </w:p>
    <w:p w14:paraId="672D3AB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②监理人越权审批签署设计变更或签证；</w:t>
      </w:r>
    </w:p>
    <w:p w14:paraId="7EB6DBD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③旁站不到位；</w:t>
      </w:r>
      <w:bookmarkStart w:id="212" w:name="bookmark151"/>
      <w:bookmarkEnd w:id="212"/>
      <w:bookmarkStart w:id="213" w:name="bookmark153"/>
      <w:bookmarkEnd w:id="213"/>
      <w:bookmarkStart w:id="214" w:name="bookmark149"/>
      <w:bookmarkEnd w:id="214"/>
    </w:p>
    <w:p w14:paraId="4EB1783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④其它因监理人自身失误造成的原因。致使本工程在投资、工期、质量、安全、文明施工等方面给委托人造成损失的，委托人将要求监理人进行赔偿，累计赔偿总额不受监理总额的限制。具体约定为：</w:t>
      </w:r>
    </w:p>
    <w:p w14:paraId="7A5AD1B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因监理人原因造成工程投资增加的，委托人将根据新增工程投资与原合同价款的比率，按相应比例双倍扣减监理费；若新增工程投资比率超过原合同价款的10%时，委托人有权单方解除监理合同，并要求监理人赔偿委托人由此遭受的实际损失中的50%。</w:t>
      </w:r>
    </w:p>
    <w:p w14:paraId="796E725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因监理人责任导致工期延误，其中工期延误天数占总工期的30%时，则委托人有权扣除工程监理费的60%；分段工期延误天数达到该段总工期的50%时，则委托人有权单方解除本合同。因监理人责任导致工程竣工拖延的，依据拖延的天数，监理人应每天按监理费总额的1%向委托人支付违约金。由于监理人责任导致工期延误，致使委托人要承担赔偿第三方责任的，监理人必须承担赔偿委托人由此遭受的实际损失。</w:t>
      </w:r>
    </w:p>
    <w:p w14:paraId="1FF7952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工程（包括各分部、单位及整体工程）质量一次性验收不符合质量标准时，按相应工程占总工程的比例扣除监理人监理报酬；若导致工程（包括各分部、单位及整体工程）质量一次性验收不合格而造成委托人的直接损失达50万元时，委托人有权单方解除本合同，并要求监理人赔偿委托人由此遭受的实际损失。</w:t>
      </w:r>
    </w:p>
    <w:p w14:paraId="3F8FE7D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(14)当监理人无正当理由而不履行或没有充分履行其相关承诺及监理义务、合同条款中约定的监理工作内容，委托人可书面通知监理人，指明其未能履约的内容和委托人要求其承担违约责任的等级。</w:t>
      </w:r>
    </w:p>
    <w:p w14:paraId="27EEF82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监理人具体违约行为所需承担违约责任的约定如下：</w:t>
      </w:r>
    </w:p>
    <w:p w14:paraId="6DA2E8D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①</w:t>
      </w:r>
      <w:r>
        <w:rPr>
          <w:rFonts w:hint="eastAsia" w:ascii="仿宋" w:hAnsi="仿宋" w:eastAsia="仿宋" w:cs="Times New Roman"/>
          <w:snapToGrid/>
          <w:color w:val="auto"/>
          <w:kern w:val="2"/>
          <w:sz w:val="24"/>
          <w:szCs w:val="24"/>
          <w:highlight w:val="none"/>
          <w:lang w:eastAsia="zh-CN"/>
        </w:rPr>
        <w:t>工程施工承包人未按经审批的施工组织方案的承诺投入机械、设备、材料等，监理人对此不进行检查、督促、处理，不向委托人报告，被委托人发现后，监理人除必须限期改正外，每发生1次应承担限期改正责任1次。</w:t>
      </w:r>
    </w:p>
    <w:p w14:paraId="52A906D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②</w:t>
      </w:r>
      <w:r>
        <w:rPr>
          <w:rFonts w:hint="eastAsia" w:ascii="仿宋" w:hAnsi="仿宋" w:eastAsia="仿宋" w:cs="Times New Roman"/>
          <w:snapToGrid/>
          <w:color w:val="auto"/>
          <w:kern w:val="2"/>
          <w:sz w:val="24"/>
          <w:szCs w:val="24"/>
          <w:highlight w:val="none"/>
          <w:lang w:eastAsia="zh-CN"/>
        </w:rPr>
        <w:t>监理对标段的单项工程的抽验频率达不到合同要求或试验、检测弄虚作假，每个分项工程处予监理人承担一般违约责任1次，同时必须按规范要求进行补检。</w:t>
      </w:r>
    </w:p>
    <w:p w14:paraId="3303C5C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③</w:t>
      </w:r>
      <w:r>
        <w:rPr>
          <w:rFonts w:hint="eastAsia" w:ascii="仿宋" w:hAnsi="仿宋" w:eastAsia="仿宋" w:cs="Times New Roman"/>
          <w:snapToGrid/>
          <w:color w:val="auto"/>
          <w:kern w:val="2"/>
          <w:sz w:val="24"/>
          <w:szCs w:val="24"/>
          <w:highlight w:val="none"/>
          <w:lang w:eastAsia="zh-CN"/>
        </w:rPr>
        <w:t>对于工程施工承包人每次进场材料，监理人不进行检查和登记；对已进场的材料，监理人不按有关规定及时进行抽查、送检，每发生1次监理人承担一般违约责任1次。如由此出现不合格材料使用于工程上并造成质量缺陷，视为质量事故，每发生1次监理人必须承担一般违约责任1次。若出现质量事故或经济损失一次10万元以上的，每发生1次监理人必须承担严重违约责任1次。造成重大质量安全事故（按国家规定界定），委托人视情况部分或全部解除合同，同时，并保留追究当事人和监理人的经济及法律责任的权力。</w:t>
      </w:r>
    </w:p>
    <w:p w14:paraId="4924E73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④</w:t>
      </w:r>
      <w:r>
        <w:rPr>
          <w:rFonts w:hint="eastAsia" w:ascii="仿宋" w:hAnsi="仿宋" w:eastAsia="仿宋" w:cs="Times New Roman"/>
          <w:snapToGrid/>
          <w:color w:val="auto"/>
          <w:kern w:val="2"/>
          <w:sz w:val="24"/>
          <w:szCs w:val="24"/>
          <w:highlight w:val="none"/>
          <w:lang w:eastAsia="zh-CN"/>
        </w:rPr>
        <w:t>监理人在编制项目实施细则中，应按监理规范列明需监理人旁站的工序，并应得到委托人的批准。工程施工过程中，按有关规定需要监理人进行旁站监督的，监理人没有到场，或者到场后没有进行监督，或发现质量问题后没有及时处理，没有向委托人报告，被委托人发现后，每发生1次监理人必须承担一般违约责任1次。累计三次，委托人将要求监理人承担严重违约责任1次。</w:t>
      </w:r>
    </w:p>
    <w:p w14:paraId="1145B37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⑤</w:t>
      </w:r>
      <w:r>
        <w:rPr>
          <w:rFonts w:hint="eastAsia" w:ascii="仿宋" w:hAnsi="仿宋" w:eastAsia="仿宋" w:cs="Times New Roman"/>
          <w:snapToGrid/>
          <w:color w:val="auto"/>
          <w:kern w:val="2"/>
          <w:sz w:val="24"/>
          <w:szCs w:val="24"/>
          <w:highlight w:val="none"/>
          <w:lang w:eastAsia="zh-CN"/>
        </w:rPr>
        <w:t>对于工程施工现场的管理机构人员不到位、擅自离场，管理人员工作能力、工作态度存在严重不足，监理人不进行检查、督促、处理，不向委托人报告，被委托人发现后，监理人除必须限期纠正外，每累计三次，监理人承担一般违约责任1次。</w:t>
      </w:r>
    </w:p>
    <w:p w14:paraId="3388689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⑥</w:t>
      </w:r>
      <w:r>
        <w:rPr>
          <w:rFonts w:hint="eastAsia" w:ascii="仿宋" w:hAnsi="仿宋" w:eastAsia="仿宋" w:cs="Times New Roman"/>
          <w:snapToGrid/>
          <w:color w:val="auto"/>
          <w:kern w:val="2"/>
          <w:sz w:val="24"/>
          <w:szCs w:val="24"/>
          <w:highlight w:val="none"/>
          <w:lang w:eastAsia="zh-CN"/>
        </w:rPr>
        <w:t>对于承包人提交的现场签证资料，监理人未有准确、真实的现场原始记录或不进行现场复核就给予签认，经委托人检查后，发现签证文件有误的，除必须立即改正外，每发生1次监理人必须承担一般违约责任1次。对签证错误有可能给委托人造成直接经济损失10万元（含10万元）以上的按严重违约1次处理，如因监理人故意造成则按4.1.2（8）规定执行。对于现场签证未经过注册造价工程师审核、或经过注册造价工程师审核但未 在规定时间内报送委托人，除必须立即改正外，每累计出现2次监理人必须承担严重违约责任1次。</w:t>
      </w:r>
    </w:p>
    <w:p w14:paraId="6F25E1B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⑦</w:t>
      </w:r>
      <w:r>
        <w:rPr>
          <w:rFonts w:hint="eastAsia" w:ascii="仿宋" w:hAnsi="仿宋" w:eastAsia="仿宋" w:cs="Times New Roman"/>
          <w:snapToGrid/>
          <w:color w:val="auto"/>
          <w:kern w:val="2"/>
          <w:sz w:val="24"/>
          <w:szCs w:val="24"/>
          <w:highlight w:val="none"/>
          <w:lang w:eastAsia="zh-CN"/>
        </w:rPr>
        <w:t>对承包人提交的施工方案、设计变更，监理人对其中明显不符合现场实际情况的部分，或者与招投标文件不符、会导致投资增加和工期延误的部分，不进行认真审核、未进行优化就给予同意，经审查发现后，除必须限期改正外，每发生1次监理人必须承担严重违约责任1次。</w:t>
      </w:r>
    </w:p>
    <w:p w14:paraId="400CB75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⑧</w:t>
      </w:r>
      <w:r>
        <w:rPr>
          <w:rFonts w:hint="eastAsia" w:ascii="仿宋" w:hAnsi="仿宋" w:eastAsia="仿宋" w:cs="Times New Roman"/>
          <w:snapToGrid/>
          <w:color w:val="auto"/>
          <w:kern w:val="2"/>
          <w:sz w:val="24"/>
          <w:szCs w:val="24"/>
          <w:highlight w:val="none"/>
          <w:lang w:eastAsia="zh-CN"/>
        </w:rPr>
        <w:t>监理人负责审核专项安全生产措施费、工程进度款、变更工程预算，审核工作应在5个工作日内完成并向委托人出具意见。对于承包人提交的请款报告，监理人不按实际完成的工作量进行审核，不按合同要求签署拨款意见，被审查发现后，除必须限期纠正外，每发生1次监理人必须承担严重违约责任1次；如造成委托人超进度支付工程款，监理人必须承担严重违约责任2次。</w:t>
      </w:r>
    </w:p>
    <w:p w14:paraId="0E36E75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⑨</w:t>
      </w:r>
      <w:r>
        <w:rPr>
          <w:rFonts w:hint="eastAsia" w:ascii="仿宋" w:hAnsi="仿宋" w:eastAsia="仿宋" w:cs="Times New Roman"/>
          <w:snapToGrid/>
          <w:color w:val="auto"/>
          <w:kern w:val="2"/>
          <w:sz w:val="24"/>
          <w:szCs w:val="24"/>
          <w:highlight w:val="none"/>
          <w:lang w:eastAsia="zh-CN"/>
        </w:rPr>
        <w:t>当监理人同时出现了</w:t>
      </w:r>
      <w:r>
        <w:rPr>
          <w:rFonts w:hint="eastAsia" w:ascii="仿宋" w:hAnsi="仿宋" w:eastAsia="仿宋" w:cs="Times New Roman"/>
          <w:snapToGrid/>
          <w:color w:val="auto"/>
          <w:kern w:val="2"/>
          <w:sz w:val="24"/>
          <w:szCs w:val="24"/>
          <w:highlight w:val="none"/>
          <w:lang w:val="en-US" w:eastAsia="zh-CN"/>
        </w:rPr>
        <w:t>6</w:t>
      </w:r>
      <w:r>
        <w:rPr>
          <w:rFonts w:hint="eastAsia" w:ascii="仿宋" w:hAnsi="仿宋" w:eastAsia="仿宋" w:cs="Times New Roman"/>
          <w:snapToGrid/>
          <w:color w:val="auto"/>
          <w:kern w:val="2"/>
          <w:sz w:val="24"/>
          <w:szCs w:val="24"/>
          <w:highlight w:val="none"/>
          <w:lang w:eastAsia="zh-CN"/>
        </w:rPr>
        <w:t>、</w:t>
      </w:r>
      <w:r>
        <w:rPr>
          <w:rFonts w:hint="eastAsia" w:ascii="仿宋" w:hAnsi="仿宋" w:eastAsia="仿宋" w:cs="Times New Roman"/>
          <w:snapToGrid/>
          <w:color w:val="auto"/>
          <w:kern w:val="2"/>
          <w:sz w:val="24"/>
          <w:szCs w:val="24"/>
          <w:highlight w:val="none"/>
          <w:lang w:val="en-US" w:eastAsia="zh-CN"/>
        </w:rPr>
        <w:t>7</w:t>
      </w:r>
      <w:r>
        <w:rPr>
          <w:rFonts w:hint="eastAsia" w:ascii="仿宋" w:hAnsi="仿宋" w:eastAsia="仿宋" w:cs="Times New Roman"/>
          <w:snapToGrid/>
          <w:color w:val="auto"/>
          <w:kern w:val="2"/>
          <w:sz w:val="24"/>
          <w:szCs w:val="24"/>
          <w:highlight w:val="none"/>
          <w:lang w:eastAsia="zh-CN"/>
        </w:rPr>
        <w:t>和</w:t>
      </w:r>
      <w:r>
        <w:rPr>
          <w:rFonts w:hint="eastAsia" w:ascii="仿宋" w:hAnsi="仿宋" w:eastAsia="仿宋" w:cs="Times New Roman"/>
          <w:snapToGrid/>
          <w:color w:val="auto"/>
          <w:kern w:val="2"/>
          <w:sz w:val="24"/>
          <w:szCs w:val="24"/>
          <w:highlight w:val="none"/>
          <w:lang w:val="en-US" w:eastAsia="zh-CN"/>
        </w:rPr>
        <w:t>8</w:t>
      </w:r>
      <w:r>
        <w:rPr>
          <w:rFonts w:hint="eastAsia" w:ascii="仿宋" w:hAnsi="仿宋" w:eastAsia="仿宋" w:cs="Times New Roman"/>
          <w:snapToGrid/>
          <w:color w:val="auto"/>
          <w:kern w:val="2"/>
          <w:sz w:val="24"/>
          <w:szCs w:val="24"/>
          <w:highlight w:val="none"/>
          <w:lang w:eastAsia="zh-CN"/>
        </w:rPr>
        <w:t>三项的行为，并且情节严重的，将视为监理人和承包人串通作假，委托人有权单方解除合同，造成委托人损失的，委托人可按4.1.2（7）中的各条款要求监理人承担赔偿责任。</w:t>
      </w:r>
    </w:p>
    <w:p w14:paraId="5B24E02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⑩</w:t>
      </w:r>
      <w:r>
        <w:rPr>
          <w:rFonts w:hint="eastAsia" w:ascii="仿宋" w:hAnsi="仿宋" w:eastAsia="仿宋" w:cs="Times New Roman"/>
          <w:snapToGrid/>
          <w:color w:val="auto"/>
          <w:kern w:val="2"/>
          <w:sz w:val="24"/>
          <w:szCs w:val="24"/>
          <w:highlight w:val="none"/>
          <w:lang w:eastAsia="zh-CN"/>
        </w:rPr>
        <w:t>监理人应按照政府有关部门对安全生产文明施工监理的要求，对安全文明施工进行监理，并承担安全文明施工监理责任。工程承包人未按经审批的施工组织方案的承诺做好安全防护、文明施工措施，没有按有关规定做到安全生产，监理人未及时发现、发现后不督促施工单位进行整改，不及时作出处理，不及时向委托人报告，被委托人发现后，监理人除必须限期纠正外，每发生一次，监理人必须承担限期改正责任1次。由此 而发生安全生产事故，或被上级主管部门通报批评，或被新闻媒体曝光的，委托人将要求监理人承担严重违约责任1次。情节严重的，委托人有权部分或全部解除合同。</w:t>
      </w:r>
    </w:p>
    <w:p w14:paraId="58C124A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⑪</w:t>
      </w:r>
      <w:r>
        <w:rPr>
          <w:rFonts w:hint="eastAsia" w:ascii="仿宋" w:hAnsi="仿宋" w:eastAsia="仿宋" w:cs="Times New Roman"/>
          <w:snapToGrid/>
          <w:color w:val="auto"/>
          <w:kern w:val="2"/>
          <w:sz w:val="24"/>
          <w:szCs w:val="24"/>
          <w:highlight w:val="none"/>
          <w:lang w:eastAsia="zh-CN"/>
        </w:rPr>
        <w:t>工程验收不合格或工地发生重大质量或安全事故的，监理人除按照专用条件4.1.2（6）向委托人支付赔偿金外，还须向委托人全额退回已收取的监理酬金；工地因严重违反文明施工管理规定受到政府管理部门处罚的，每处罚一次，监理承担严重违约1次。</w:t>
      </w:r>
    </w:p>
    <w:p w14:paraId="5D7B49B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⑫</w:t>
      </w:r>
      <w:r>
        <w:rPr>
          <w:rFonts w:hint="eastAsia" w:ascii="仿宋" w:hAnsi="仿宋" w:eastAsia="仿宋" w:cs="Times New Roman"/>
          <w:snapToGrid/>
          <w:color w:val="auto"/>
          <w:kern w:val="2"/>
          <w:sz w:val="24"/>
          <w:szCs w:val="24"/>
          <w:highlight w:val="none"/>
          <w:lang w:eastAsia="zh-CN"/>
        </w:rPr>
        <w:t>监理人须认真审核施工单位编制的工程结算书并对审核结果的准确性负责。工程结算书经委托人或其委托的第三方审核后，调整金额超过10%的，超出部分的评审费用由监理人承担。</w:t>
      </w:r>
    </w:p>
    <w:p w14:paraId="14C6239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eastAsia="zh-CN"/>
        </w:rPr>
        <w:t>⑬</w:t>
      </w:r>
      <w:r>
        <w:rPr>
          <w:rFonts w:hint="eastAsia" w:ascii="仿宋" w:hAnsi="仿宋" w:eastAsia="仿宋" w:cs="Times New Roman"/>
          <w:snapToGrid/>
          <w:color w:val="auto"/>
          <w:kern w:val="2"/>
          <w:sz w:val="24"/>
          <w:szCs w:val="24"/>
          <w:highlight w:val="none"/>
          <w:lang w:eastAsia="zh-CN"/>
        </w:rPr>
        <w:t>监理人要按照《建设工程文件归档整理规范》、《广东省建筑安全资料统一用表》、《广东省建筑工程施工及验收技术资料统一用表》、《广东省建筑工程竣工验收技术资料统一用表》等要求，与工程进度同步做好监理资料，委托人有权随时抽查，抽查一次未及时完成，处罚3000元，并责令限期整改，监理人拒不整改者，处予承担一般违约责任一次。</w:t>
      </w:r>
    </w:p>
    <w:p w14:paraId="5967DE3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(15)监理人需严格执行区卫生部门防控防治工作。自身做好并监督施工单位做好施工现场卫生管理、人员出入及行程登记。</w:t>
      </w:r>
    </w:p>
    <w:p w14:paraId="236428C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(16)监理人违约需向委托人支付违约金时，监理人于5日内交付现金至委托人。当累计赔偿金额达到监理费用总额时，委托人有权单方面终止本施工监理合同，并追究监理人由此而造成的一切经济损失。</w:t>
      </w:r>
    </w:p>
    <w:p w14:paraId="45C1EB6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(17)因施工方导致工期延误，监理人需承担一定责任，依据拖延的天数，监理人应每天按监理费总额的0.02%向委托人进行赔偿，累计赔偿总额不应超过监理报酬总额</w:t>
      </w:r>
      <w:bookmarkStart w:id="215" w:name="bookmark134"/>
      <w:bookmarkEnd w:id="215"/>
      <w:r>
        <w:rPr>
          <w:rFonts w:hint="eastAsia" w:ascii="仿宋" w:hAnsi="仿宋" w:eastAsia="仿宋" w:cs="Times New Roman"/>
          <w:snapToGrid/>
          <w:color w:val="auto"/>
          <w:kern w:val="2"/>
          <w:sz w:val="24"/>
          <w:szCs w:val="24"/>
          <w:highlight w:val="none"/>
          <w:lang w:eastAsia="zh-CN"/>
        </w:rPr>
        <w:t>（除去税金）。</w:t>
      </w:r>
    </w:p>
    <w:p w14:paraId="4AA356F1">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16" w:name="_Toc12410"/>
      <w:r>
        <w:rPr>
          <w:rFonts w:hint="eastAsia" w:ascii="仿宋" w:hAnsi="仿宋" w:eastAsia="仿宋" w:cs="Times New Roman"/>
          <w:snapToGrid/>
          <w:color w:val="auto"/>
          <w:kern w:val="2"/>
          <w:sz w:val="24"/>
          <w:szCs w:val="24"/>
          <w:highlight w:val="none"/>
          <w:lang w:eastAsia="zh-CN"/>
        </w:rPr>
        <w:t>★4.2 委托人的违约责任</w:t>
      </w:r>
      <w:bookmarkEnd w:id="216"/>
    </w:p>
    <w:p w14:paraId="55479D2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4.2.1 委托人赔偿金额的计算方法：</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w:t>
      </w:r>
    </w:p>
    <w:p w14:paraId="3453F11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★4.2.3 委托人逾期付款利息按下列方法确定：</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w:t>
      </w:r>
    </w:p>
    <w:p w14:paraId="2CCAA34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（1）逾期付款利息＝当期应付款总额×同期央行公布的基准活期存款利率×拖延支付天数</w:t>
      </w:r>
    </w:p>
    <w:p w14:paraId="6FE9D6D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（2）其它计算方法</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w:t>
      </w:r>
    </w:p>
    <w:p w14:paraId="1E7B2A4F">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17" w:name="bookmark136"/>
      <w:bookmarkEnd w:id="217"/>
      <w:bookmarkStart w:id="218" w:name="bookmark138"/>
      <w:bookmarkEnd w:id="218"/>
      <w:bookmarkStart w:id="219" w:name="bookmark140"/>
      <w:bookmarkEnd w:id="219"/>
      <w:bookmarkStart w:id="220" w:name="_Toc27253"/>
      <w:r>
        <w:rPr>
          <w:rFonts w:hint="eastAsia" w:ascii="仿宋" w:hAnsi="仿宋" w:eastAsia="仿宋" w:cs="仿宋"/>
          <w:b/>
          <w:snapToGrid/>
          <w:color w:val="auto"/>
          <w:kern w:val="2"/>
          <w:sz w:val="24"/>
          <w:szCs w:val="24"/>
          <w:highlight w:val="none"/>
          <w:lang w:eastAsia="zh-CN"/>
        </w:rPr>
        <w:t>★5. 支付</w:t>
      </w:r>
      <w:bookmarkEnd w:id="220"/>
    </w:p>
    <w:p w14:paraId="5EB54D5A">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21" w:name="_Toc12911"/>
      <w:r>
        <w:rPr>
          <w:rFonts w:hint="eastAsia" w:ascii="仿宋" w:hAnsi="仿宋" w:eastAsia="仿宋" w:cs="Times New Roman"/>
          <w:snapToGrid/>
          <w:color w:val="auto"/>
          <w:kern w:val="2"/>
          <w:sz w:val="24"/>
          <w:szCs w:val="24"/>
          <w:highlight w:val="none"/>
          <w:lang w:eastAsia="zh-CN"/>
        </w:rPr>
        <w:t>5.1 支付货币</w:t>
      </w:r>
      <w:bookmarkEnd w:id="221"/>
    </w:p>
    <w:p w14:paraId="77D34E7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币种为：人民币，比例为：</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 xml:space="preserve"> ，汇率为：</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，支付方式：</w:t>
      </w:r>
      <w:r>
        <w:rPr>
          <w:rFonts w:hint="eastAsia" w:ascii="仿宋" w:hAnsi="仿宋" w:eastAsia="仿宋" w:cs="Times New Roman"/>
          <w:snapToGrid/>
          <w:color w:val="auto"/>
          <w:kern w:val="2"/>
          <w:sz w:val="24"/>
          <w:szCs w:val="24"/>
          <w:highlight w:val="none"/>
          <w:lang w:val="en-US" w:eastAsia="zh-CN"/>
        </w:rPr>
        <w:t>甲方</w:t>
      </w:r>
      <w:r>
        <w:rPr>
          <w:rFonts w:hint="eastAsia" w:ascii="仿宋" w:hAnsi="仿宋" w:eastAsia="仿宋" w:cs="Times New Roman"/>
          <w:snapToGrid/>
          <w:color w:val="auto"/>
          <w:kern w:val="2"/>
          <w:sz w:val="24"/>
          <w:szCs w:val="24"/>
          <w:highlight w:val="none"/>
          <w:lang w:eastAsia="zh-CN"/>
        </w:rPr>
        <w:t>有权通过银行承兑汇票、商业承兑汇票或银行账户转账方式支付。</w:t>
      </w:r>
    </w:p>
    <w:p w14:paraId="798E826A">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22" w:name="_Toc2356"/>
      <w:r>
        <w:rPr>
          <w:rFonts w:hint="eastAsia" w:ascii="仿宋" w:hAnsi="仿宋" w:eastAsia="仿宋" w:cs="Times New Roman"/>
          <w:snapToGrid/>
          <w:color w:val="auto"/>
          <w:kern w:val="2"/>
          <w:sz w:val="24"/>
          <w:szCs w:val="24"/>
          <w:highlight w:val="none"/>
          <w:lang w:eastAsia="zh-CN"/>
        </w:rPr>
        <w:t>★5.3 支付酬金</w:t>
      </w:r>
      <w:bookmarkEnd w:id="222"/>
    </w:p>
    <w:p w14:paraId="65A04C0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正常工作酬金（以暂定合同价计算）的支付按下列</w:t>
      </w:r>
      <w:r>
        <w:rPr>
          <w:rFonts w:hint="eastAsia" w:ascii="仿宋" w:hAnsi="仿宋" w:eastAsia="仿宋" w:cs="Times New Roman"/>
          <w:snapToGrid/>
          <w:color w:val="auto"/>
          <w:kern w:val="2"/>
          <w:sz w:val="24"/>
          <w:szCs w:val="24"/>
          <w:highlight w:val="none"/>
          <w:u w:val="single"/>
          <w:lang w:eastAsia="zh-CN"/>
        </w:rPr>
        <w:t xml:space="preserve">    （3）    </w:t>
      </w:r>
      <w:r>
        <w:rPr>
          <w:rFonts w:hint="eastAsia" w:ascii="仿宋" w:hAnsi="仿宋" w:eastAsia="仿宋" w:cs="Times New Roman"/>
          <w:snapToGrid/>
          <w:color w:val="auto"/>
          <w:kern w:val="2"/>
          <w:sz w:val="24"/>
          <w:szCs w:val="24"/>
          <w:highlight w:val="none"/>
          <w:lang w:eastAsia="zh-CN"/>
        </w:rPr>
        <w:t>方法确定：</w:t>
      </w:r>
    </w:p>
    <w:p w14:paraId="16FF029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甲方付款前，乙方须按甲方要求提供等额合法有效增值税专用发票，因乙方未及时提供符合要求的发票等原因致使甲方逾期付款的，责任由乙方承担；乙方未提供符合要求的发票给甲方的，甲方可以顺延付款日期。因乙方提供发票不规范、不合法引起税务问题的，乙方应承担向甲方赔偿的责任，包括但不限于税金、滞纳金、罚款及相关损失等。</w:t>
      </w:r>
    </w:p>
    <w:p w14:paraId="395602F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（1）按□季度或□月度等比例支付：</w:t>
      </w:r>
    </w:p>
    <w:p w14:paraId="1831BF9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本合同签订后 7 天内，支付首期监理酬金，首期监理酬金为监理酬金总额的</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w:t>
      </w:r>
    </w:p>
    <w:p w14:paraId="076E2B89">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支付首期监理酬金后，在监理期限内按</w:t>
      </w:r>
      <w:r>
        <w:rPr>
          <w:rFonts w:hint="eastAsia" w:ascii="仿宋" w:hAnsi="仿宋" w:eastAsia="仿宋" w:cs="仿宋"/>
          <w:color w:val="auto"/>
          <w:sz w:val="24"/>
          <w:szCs w:val="24"/>
          <w:highlight w:val="none"/>
        </w:rPr>
        <w:sym w:font="Wingdings 2" w:char="00A3"/>
      </w:r>
      <w:r>
        <w:rPr>
          <w:rFonts w:hint="eastAsia" w:ascii="仿宋" w:hAnsi="仿宋" w:eastAsia="仿宋" w:cs="Times New Roman"/>
          <w:snapToGrid/>
          <w:color w:val="auto"/>
          <w:kern w:val="2"/>
          <w:sz w:val="24"/>
          <w:szCs w:val="24"/>
          <w:highlight w:val="none"/>
          <w:lang w:eastAsia="zh-CN"/>
        </w:rPr>
        <w:t>季度或</w:t>
      </w:r>
      <w:r>
        <w:rPr>
          <w:rFonts w:hint="eastAsia" w:ascii="仿宋" w:hAnsi="仿宋" w:eastAsia="仿宋" w:cs="仿宋"/>
          <w:color w:val="auto"/>
          <w:sz w:val="24"/>
          <w:szCs w:val="24"/>
          <w:highlight w:val="none"/>
        </w:rPr>
        <w:sym w:font="Wingdings 2" w:char="00A3"/>
      </w:r>
      <w:r>
        <w:rPr>
          <w:rFonts w:hint="eastAsia" w:ascii="仿宋" w:hAnsi="仿宋" w:eastAsia="仿宋" w:cs="Times New Roman"/>
          <w:snapToGrid/>
          <w:color w:val="auto"/>
          <w:kern w:val="2"/>
          <w:sz w:val="24"/>
          <w:szCs w:val="24"/>
          <w:highlight w:val="none"/>
          <w:lang w:eastAsia="zh-CN"/>
        </w:rPr>
        <w:t>月度等比例于 7 日前支付监理酬金为：</w:t>
      </w:r>
    </w:p>
    <w:p w14:paraId="4431487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每期(□季度或□月度）支付的监理酬金=监理酬金总额×</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%，在工程竣工验收或交付使用前，累计支付监理酬金</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%。项目竣工结算后，监理人按委托人要求提交监理费结算资料，经委托人或相关部门审定后，支付至结算金额的 97%。工程缺陷责任期满，支付余款。</w:t>
      </w:r>
    </w:p>
    <w:p w14:paraId="5082316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（2）按□季度或□月度完成的工程量支付：</w:t>
      </w:r>
    </w:p>
    <w:p w14:paraId="5DC7CA8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本合同签订后7天内，支付首期监理酬金，首期监理酬金为监理酬金总额的 10 %</w:t>
      </w:r>
    </w:p>
    <w:p w14:paraId="7C8B9C6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（不低于10%）；支付首期监理酬金后，在监理期限内按每期(□季度或□月度)完成工程量的比例于7日前支付监理酬金为：</w:t>
      </w:r>
    </w:p>
    <w:p w14:paraId="1672280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每期(□季度或□月度）支付的监理酬金=当(□季度或□月度）完成的工程量/项目建筑安装工程费×监理酬金总额×</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%（不高于80%）,累计支付监理酬金</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%(不低于90%)。余下10%的监理费，在工程竣工验收或交付使用时，支付监理酬金</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%(不低于5%)；在办理结算或监理与相关服务期届满14天内，付清监理结算款。</w:t>
      </w:r>
    </w:p>
    <w:p w14:paraId="22AD569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（3）按每期工程量与相应比例单次支付：</w:t>
      </w:r>
    </w:p>
    <w:p w14:paraId="20733CCA">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23" w:name="_Toc15595"/>
      <w:bookmarkStart w:id="224" w:name="_Toc1914"/>
      <w:r>
        <w:rPr>
          <w:rFonts w:hint="eastAsia" w:ascii="仿宋" w:hAnsi="仿宋" w:eastAsia="仿宋" w:cs="仿宋"/>
          <w:b/>
          <w:snapToGrid/>
          <w:color w:val="auto"/>
          <w:kern w:val="2"/>
          <w:sz w:val="24"/>
          <w:szCs w:val="24"/>
          <w:highlight w:val="none"/>
          <w:lang w:eastAsia="zh-CN"/>
        </w:rPr>
        <w:t>委托人按开发的工程节点支付监理酬金进度款，具体方法如下：</w:t>
      </w:r>
      <w:bookmarkEnd w:id="223"/>
      <w:bookmarkEnd w:id="224"/>
    </w:p>
    <w:p w14:paraId="28104C5F">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25" w:name="_Toc6363"/>
      <w:bookmarkStart w:id="226" w:name="_Toc922"/>
      <w:r>
        <w:rPr>
          <w:rFonts w:hint="eastAsia" w:ascii="仿宋" w:hAnsi="仿宋" w:eastAsia="仿宋" w:cs="仿宋"/>
          <w:b/>
          <w:snapToGrid/>
          <w:color w:val="auto"/>
          <w:kern w:val="2"/>
          <w:sz w:val="24"/>
          <w:szCs w:val="24"/>
          <w:highlight w:val="none"/>
          <w:lang w:eastAsia="zh-CN"/>
        </w:rPr>
        <w:t>监理酬金暂以中标价作为监理酬金暂定金额；结算时以项目实际工程结算建安费用作为监理服务收费的计费额，按《建设工程监理与相关服务收费管理规定》[2007]670号文件下浮20%后计算出基本监理费，并执行投标下浮率作为监理费结算合同价，结算合同价已包含监理服务有效期限内全部费用。其中：专业调整系数（取1.0)、工程复杂程度调整系数（取1.0）、高程调整系数（取1.0）。若本项目合同结算涉及财政评审，则结算价以财政评审最终审定的结算费用为准。最终以合同暂定价、概算评审价和结算</w:t>
      </w:r>
      <w:r>
        <w:rPr>
          <w:rFonts w:hint="eastAsia" w:ascii="仿宋" w:hAnsi="仿宋" w:eastAsia="仿宋" w:cs="仿宋"/>
          <w:b/>
          <w:snapToGrid/>
          <w:color w:val="auto"/>
          <w:kern w:val="2"/>
          <w:sz w:val="24"/>
          <w:szCs w:val="24"/>
          <w:highlight w:val="none"/>
          <w:lang w:val="en-US" w:eastAsia="zh-CN"/>
        </w:rPr>
        <w:t>合同</w:t>
      </w:r>
      <w:r>
        <w:rPr>
          <w:rFonts w:hint="eastAsia" w:ascii="仿宋" w:hAnsi="仿宋" w:eastAsia="仿宋" w:cs="仿宋"/>
          <w:b/>
          <w:snapToGrid/>
          <w:color w:val="auto"/>
          <w:kern w:val="2"/>
          <w:sz w:val="24"/>
          <w:szCs w:val="24"/>
          <w:highlight w:val="none"/>
          <w:lang w:eastAsia="zh-CN"/>
        </w:rPr>
        <w:t>价较低者进行结算。</w:t>
      </w:r>
      <w:bookmarkEnd w:id="225"/>
      <w:bookmarkEnd w:id="226"/>
      <w:r>
        <w:rPr>
          <w:rFonts w:hint="eastAsia" w:ascii="仿宋" w:hAnsi="仿宋" w:eastAsia="仿宋" w:cs="仿宋"/>
          <w:b/>
          <w:snapToGrid/>
          <w:color w:val="auto"/>
          <w:kern w:val="2"/>
          <w:sz w:val="24"/>
          <w:szCs w:val="24"/>
          <w:highlight w:val="none"/>
          <w:lang w:eastAsia="zh-CN"/>
        </w:rPr>
        <w:t>在合同履行期间，如遇国家的税率政策调整，合同不含税价格不因国家税率变化而变化，合同含税价格按国家的税率政策进行调整。</w:t>
      </w:r>
    </w:p>
    <w:p w14:paraId="45B2C46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①签订合同监理人提供履约担保及请款资料经委托人审核后15工作日，支付合同暂定总金额10%的预付款；</w:t>
      </w:r>
    </w:p>
    <w:p w14:paraId="74B8D9F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②工程量完成30%时，支付至合同暂定总金额的20%；（若项目分期开发，则当期工程量完成30%时，支付至当期合同总价款的20%。）</w:t>
      </w:r>
    </w:p>
    <w:p w14:paraId="48394C1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③工程量完成50%时，支付至合同暂定总金额的30%；（若项目分期开发，则当期工程量完成50%时，支付至当期合同总价款的30%。）</w:t>
      </w:r>
    </w:p>
    <w:p w14:paraId="447491C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④工程量完成80%时，支付至合同暂定总金额的60%；（若项目分期开发，则当期工程量完成80%时，支付至当期合同总价款的60%。）</w:t>
      </w:r>
    </w:p>
    <w:p w14:paraId="674909A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⑤工程完工后，支付至合同暂定总金额的80%；（若项目分期开发，则当期工程完工后，支付至当期合同总价款的80%。）</w:t>
      </w:r>
    </w:p>
    <w:p w14:paraId="02CC716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⑥工程联合竣工验收合格，支付至合同暂定总金额的90%；（若项目分期竣工联合验收，则当期联合竣工验收合格后，支付至本期合同总价款的90%。）</w:t>
      </w:r>
    </w:p>
    <w:p w14:paraId="212B0625">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⑦工程结算审核后，本项目勘察、设计施工总承包结算经委托人审定且监理费结算办理完毕后，支付至监理结算总价款的97%；支付本期监理费时，需附监理人盖章确认的违约台账，如有违约罚金，需缴清结算阶段的违约金后方可支付。</w:t>
      </w:r>
    </w:p>
    <w:p w14:paraId="790614EB">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⑧工程</w:t>
      </w:r>
      <w:r>
        <w:rPr>
          <w:rFonts w:hint="default" w:ascii="仿宋" w:hAnsi="仿宋" w:eastAsia="仿宋" w:cs="Times New Roman"/>
          <w:snapToGrid/>
          <w:color w:val="auto"/>
          <w:kern w:val="2"/>
          <w:sz w:val="24"/>
          <w:szCs w:val="24"/>
          <w:highlight w:val="none"/>
          <w:lang w:val="en-US" w:eastAsia="zh-CN"/>
        </w:rPr>
        <w:t>缺陷责任</w:t>
      </w:r>
      <w:r>
        <w:rPr>
          <w:rFonts w:hint="eastAsia" w:ascii="仿宋" w:hAnsi="仿宋" w:eastAsia="仿宋" w:cs="Times New Roman"/>
          <w:snapToGrid/>
          <w:color w:val="auto"/>
          <w:kern w:val="2"/>
          <w:sz w:val="24"/>
          <w:szCs w:val="24"/>
          <w:highlight w:val="none"/>
          <w:lang w:eastAsia="zh-CN"/>
        </w:rPr>
        <w:t>期满，且本合同工程竣工结算经委托人或其授权单位审定满60日并且经委托人书面确认监理人的责任、义务履行完毕，监理人协助委托人完成工程竣工档案备案后，支付本合同结算总价款的余款。</w:t>
      </w:r>
    </w:p>
    <w:p w14:paraId="34A6BE66">
      <w:pPr>
        <w:widowControl w:val="0"/>
        <w:kinsoku/>
        <w:autoSpaceDE/>
        <w:autoSpaceDN/>
        <w:adjustRightInd/>
        <w:snapToGrid/>
        <w:spacing w:line="360" w:lineRule="auto"/>
        <w:ind w:firstLine="480" w:firstLineChars="200"/>
        <w:jc w:val="both"/>
        <w:textAlignment w:val="auto"/>
        <w:rPr>
          <w:rFonts w:hint="eastAsia"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备注：工程量的确定根据施工单位实际完成的累计合同产值占施工合同价的比例计算。若分期开发，当期工程量的确定根据施工单位实际完成的累计合同产值占当期施工合同价的比例计算。当期合同总价款=合同总价款X</w:t>
      </w:r>
      <w:r>
        <w:rPr>
          <w:rFonts w:hint="eastAsia" w:ascii="仿宋" w:hAnsi="仿宋" w:eastAsia="仿宋" w:cs="Times New Roman"/>
          <w:b w:val="0"/>
          <w:bCs w:val="0"/>
          <w:snapToGrid/>
          <w:color w:val="auto"/>
          <w:kern w:val="2"/>
          <w:sz w:val="24"/>
          <w:szCs w:val="24"/>
          <w:highlight w:val="none"/>
          <w:u w:val="none"/>
          <w:lang w:eastAsia="zh-CN"/>
        </w:rPr>
        <w:t>(当期建筑面积/总建筑面积）</w:t>
      </w:r>
      <w:r>
        <w:rPr>
          <w:rFonts w:hint="eastAsia" w:ascii="仿宋" w:hAnsi="仿宋" w:eastAsia="仿宋" w:cs="Times New Roman"/>
          <w:snapToGrid/>
          <w:color w:val="auto"/>
          <w:kern w:val="2"/>
          <w:sz w:val="24"/>
          <w:szCs w:val="24"/>
          <w:highlight w:val="none"/>
          <w:lang w:eastAsia="zh-CN"/>
        </w:rPr>
        <w:t>。</w:t>
      </w:r>
    </w:p>
    <w:p w14:paraId="1786DA1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（4）其它支付方式：</w:t>
      </w:r>
    </w:p>
    <w:p w14:paraId="71B8F53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①进度款：以现场施工实际进度为依据，按季度计费（按照自然季计算），监理人应于下季度的首月15日之内提交请款资料，支付金额按上季度委托人确认的现场施工 实际完成工程造价×中标比率（监理中标价÷招标文件暂定建安费，保留两位小数）×70%。若实际监理范围所对应的监理服务费明显小于合同暂定金额，则累计付款不超过经重新确认的暂定金额的70%。</w:t>
      </w:r>
    </w:p>
    <w:p w14:paraId="1850D66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②项目竣工结算后，监理人按委托人要求提交监理费结算资料，经委托人或相关部门审定后，支付至结算金额的90%。</w:t>
      </w:r>
    </w:p>
    <w:p w14:paraId="7D05F1A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③工程缺陷责任期满，支付余款。</w:t>
      </w:r>
    </w:p>
    <w:p w14:paraId="575DFD2D">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④以上付款均应扣减监理人相应违约金、罚款及赔偿费。</w:t>
      </w:r>
    </w:p>
    <w:p w14:paraId="34BF260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⑤每次付款前，监理人应按委托人要求报送完整的相关申请资料或结算资料，否则委托人有权顺延付款时间。</w:t>
      </w:r>
    </w:p>
    <w:p w14:paraId="271F47B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⑥甲方付款前，乙方须按甲方要求提供等额合法有效增值税专用发票，因乙方未及时提供符合要求的发票等原因致使甲方逾期付款的，责任由乙方承担；乙方未提供符合要求的发票给甲方的，甲方可以顺延付款日期。因乙方提供发票不规范、不合法引起税务问题的，乙方应承担向甲方赔偿的责任，包括但不限于税金、滞纳金、罚款及相关损失等。除本合同专用条款第8.4条规定的相应奖励款外，委托人不再额外支付结算费用以</w:t>
      </w:r>
      <w:bookmarkStart w:id="227" w:name="bookmark142"/>
      <w:bookmarkEnd w:id="227"/>
      <w:r>
        <w:rPr>
          <w:rFonts w:hint="eastAsia" w:ascii="仿宋" w:hAnsi="仿宋" w:eastAsia="仿宋" w:cs="Times New Roman"/>
          <w:snapToGrid/>
          <w:color w:val="auto"/>
          <w:kern w:val="2"/>
          <w:sz w:val="24"/>
          <w:szCs w:val="24"/>
          <w:highlight w:val="none"/>
          <w:lang w:eastAsia="zh-CN"/>
        </w:rPr>
        <w:t>外的其他任何费用。</w:t>
      </w:r>
    </w:p>
    <w:p w14:paraId="661DA3D5">
      <w:pPr>
        <w:widowControl w:val="0"/>
        <w:numPr>
          <w:ilvl w:val="0"/>
          <w:numId w:val="2"/>
        </w:numPr>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甲方开票信息如下：</w:t>
      </w:r>
    </w:p>
    <w:tbl>
      <w:tblPr>
        <w:tblStyle w:val="18"/>
        <w:tblW w:w="7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3"/>
        <w:gridCol w:w="4814"/>
      </w:tblGrid>
      <w:tr w14:paraId="69AC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6625912A">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公司名称</w:t>
            </w:r>
          </w:p>
        </w:tc>
        <w:tc>
          <w:tcPr>
            <w:tcW w:w="4814" w:type="dxa"/>
            <w:vAlign w:val="center"/>
          </w:tcPr>
          <w:p w14:paraId="0F2939EF">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广州市增城区城苑投资发展有限公司</w:t>
            </w:r>
          </w:p>
        </w:tc>
      </w:tr>
      <w:tr w14:paraId="544E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2FC1A8A6">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税号</w:t>
            </w:r>
          </w:p>
        </w:tc>
        <w:tc>
          <w:tcPr>
            <w:tcW w:w="4814" w:type="dxa"/>
            <w:vAlign w:val="center"/>
          </w:tcPr>
          <w:p w14:paraId="0D9D44CF">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91440118MA9YDJU831</w:t>
            </w:r>
          </w:p>
        </w:tc>
      </w:tr>
      <w:tr w14:paraId="04F53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205AA312">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地址</w:t>
            </w:r>
          </w:p>
        </w:tc>
        <w:tc>
          <w:tcPr>
            <w:tcW w:w="4814" w:type="dxa"/>
            <w:vAlign w:val="center"/>
          </w:tcPr>
          <w:p w14:paraId="3E909853">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荔湖街新城大道400号新城创业中心12号楼405单元</w:t>
            </w:r>
          </w:p>
        </w:tc>
      </w:tr>
      <w:tr w14:paraId="7F50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275E96DA">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电话</w:t>
            </w:r>
          </w:p>
        </w:tc>
        <w:tc>
          <w:tcPr>
            <w:tcW w:w="4814" w:type="dxa"/>
            <w:vAlign w:val="center"/>
          </w:tcPr>
          <w:p w14:paraId="001259D0">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020-66321320</w:t>
            </w:r>
          </w:p>
        </w:tc>
      </w:tr>
      <w:tr w14:paraId="2BAD1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347996BB">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开户银行</w:t>
            </w:r>
          </w:p>
        </w:tc>
        <w:tc>
          <w:tcPr>
            <w:tcW w:w="4814" w:type="dxa"/>
            <w:vAlign w:val="center"/>
          </w:tcPr>
          <w:p w14:paraId="3713CD73">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中国工商银行股份有限公司广州新塘支行</w:t>
            </w:r>
          </w:p>
        </w:tc>
      </w:tr>
      <w:tr w14:paraId="5271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19370EB0">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银行账号</w:t>
            </w:r>
          </w:p>
        </w:tc>
        <w:tc>
          <w:tcPr>
            <w:tcW w:w="4814" w:type="dxa"/>
            <w:vAlign w:val="center"/>
          </w:tcPr>
          <w:p w14:paraId="4C322767">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3602015509200831483</w:t>
            </w:r>
          </w:p>
        </w:tc>
      </w:tr>
    </w:tbl>
    <w:p w14:paraId="738FF875">
      <w:pPr>
        <w:pStyle w:val="2"/>
        <w:spacing w:line="360" w:lineRule="auto"/>
        <w:rPr>
          <w:color w:val="auto"/>
          <w:highlight w:val="none"/>
          <w:lang w:eastAsia="zh-CN"/>
        </w:rPr>
      </w:pPr>
    </w:p>
    <w:p w14:paraId="53A78F1F">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（6）乙方指定收款账户为：</w:t>
      </w:r>
    </w:p>
    <w:p w14:paraId="7175F06B">
      <w:pPr>
        <w:kinsoku/>
        <w:spacing w:line="360" w:lineRule="auto"/>
        <w:ind w:firstLine="448" w:firstLineChars="200"/>
        <w:jc w:val="both"/>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账户名称：</w:t>
      </w:r>
      <w:r>
        <w:rPr>
          <w:rFonts w:hint="eastAsia" w:ascii="仿宋" w:hAnsi="仿宋" w:eastAsia="仿宋" w:cs="仿宋"/>
          <w:color w:val="auto"/>
          <w:spacing w:val="-8"/>
          <w:sz w:val="24"/>
          <w:szCs w:val="24"/>
          <w:highlight w:val="none"/>
          <w:u w:val="single"/>
          <w:lang w:eastAsia="zh-CN"/>
        </w:rPr>
        <w:t xml:space="preserve">                             </w:t>
      </w:r>
    </w:p>
    <w:p w14:paraId="5B5AAD3A">
      <w:pPr>
        <w:kinsoku/>
        <w:spacing w:line="360" w:lineRule="auto"/>
        <w:ind w:firstLine="448" w:firstLineChars="200"/>
        <w:jc w:val="both"/>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开户银行：</w:t>
      </w:r>
      <w:r>
        <w:rPr>
          <w:rFonts w:hint="eastAsia" w:ascii="仿宋" w:hAnsi="仿宋" w:eastAsia="仿宋" w:cs="仿宋"/>
          <w:color w:val="auto"/>
          <w:spacing w:val="-8"/>
          <w:sz w:val="24"/>
          <w:szCs w:val="24"/>
          <w:highlight w:val="none"/>
          <w:u w:val="single"/>
          <w:lang w:eastAsia="zh-CN"/>
        </w:rPr>
        <w:t xml:space="preserve">                             </w:t>
      </w:r>
    </w:p>
    <w:p w14:paraId="05898B7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银行账号：</w:t>
      </w:r>
      <w:r>
        <w:rPr>
          <w:rFonts w:hint="eastAsia" w:ascii="仿宋" w:hAnsi="仿宋" w:eastAsia="仿宋" w:cs="Times New Roman"/>
          <w:snapToGrid/>
          <w:color w:val="auto"/>
          <w:kern w:val="2"/>
          <w:sz w:val="24"/>
          <w:szCs w:val="24"/>
          <w:highlight w:val="none"/>
          <w:u w:val="single"/>
          <w:lang w:eastAsia="zh-CN"/>
        </w:rPr>
        <w:t xml:space="preserve">                           </w:t>
      </w:r>
    </w:p>
    <w:p w14:paraId="481AEB5B">
      <w:pPr>
        <w:widowControl w:val="0"/>
        <w:kinsoku/>
        <w:autoSpaceDE/>
        <w:autoSpaceDN/>
        <w:adjustRightInd/>
        <w:snapToGrid/>
        <w:spacing w:line="360" w:lineRule="auto"/>
        <w:ind w:firstLine="480" w:firstLineChars="200"/>
        <w:jc w:val="both"/>
        <w:textAlignment w:val="auto"/>
        <w:rPr>
          <w:rFonts w:ascii="仿宋" w:hAnsi="仿宋" w:eastAsia="仿宋" w:cs="仿宋"/>
          <w:b/>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统一社会信用代码：</w:t>
      </w:r>
      <w:r>
        <w:rPr>
          <w:rFonts w:hint="eastAsia" w:ascii="仿宋" w:hAnsi="仿宋" w:eastAsia="仿宋" w:cs="Times New Roman"/>
          <w:snapToGrid/>
          <w:color w:val="auto"/>
          <w:kern w:val="2"/>
          <w:sz w:val="24"/>
          <w:szCs w:val="24"/>
          <w:highlight w:val="none"/>
          <w:u w:val="single"/>
          <w:lang w:eastAsia="zh-CN"/>
        </w:rPr>
        <w:t xml:space="preserve">                   </w:t>
      </w:r>
    </w:p>
    <w:p w14:paraId="42B12DCF">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28" w:name="_Toc17485"/>
      <w:r>
        <w:rPr>
          <w:rFonts w:hint="eastAsia" w:ascii="仿宋" w:hAnsi="仿宋" w:eastAsia="仿宋" w:cs="仿宋"/>
          <w:b/>
          <w:snapToGrid/>
          <w:color w:val="auto"/>
          <w:kern w:val="2"/>
          <w:sz w:val="24"/>
          <w:szCs w:val="24"/>
          <w:highlight w:val="none"/>
          <w:lang w:eastAsia="zh-CN"/>
        </w:rPr>
        <w:t>6. 合同生效、变更、暂停、解除与终止</w:t>
      </w:r>
      <w:bookmarkEnd w:id="228"/>
    </w:p>
    <w:p w14:paraId="5EF2C01D">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29" w:name="_Toc22181"/>
      <w:r>
        <w:rPr>
          <w:rFonts w:hint="eastAsia" w:ascii="仿宋" w:hAnsi="仿宋" w:eastAsia="仿宋" w:cs="Times New Roman"/>
          <w:snapToGrid/>
          <w:color w:val="auto"/>
          <w:kern w:val="2"/>
          <w:sz w:val="24"/>
          <w:szCs w:val="24"/>
          <w:highlight w:val="none"/>
          <w:lang w:eastAsia="zh-CN"/>
        </w:rPr>
        <w:t>6.1 生效</w:t>
      </w:r>
      <w:bookmarkEnd w:id="229"/>
    </w:p>
    <w:p w14:paraId="4268AD2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本合同生效条件：委托人和监理人的法定代表人或其授权代理人在协议书上签字</w:t>
      </w:r>
      <w:bookmarkStart w:id="230" w:name="bookmark146"/>
      <w:bookmarkEnd w:id="230"/>
      <w:r>
        <w:rPr>
          <w:rFonts w:hint="eastAsia" w:ascii="仿宋" w:hAnsi="仿宋" w:eastAsia="仿宋" w:cs="Times New Roman"/>
          <w:snapToGrid/>
          <w:color w:val="auto"/>
          <w:kern w:val="2"/>
          <w:sz w:val="24"/>
          <w:szCs w:val="24"/>
          <w:highlight w:val="none"/>
          <w:lang w:eastAsia="zh-CN"/>
        </w:rPr>
        <w:t>并盖单位公章后本合同生效。</w:t>
      </w:r>
    </w:p>
    <w:p w14:paraId="1DAF8FC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31" w:name="_Toc1861"/>
      <w:r>
        <w:rPr>
          <w:rFonts w:hint="eastAsia" w:ascii="仿宋" w:hAnsi="仿宋" w:eastAsia="仿宋" w:cs="Times New Roman"/>
          <w:snapToGrid/>
          <w:color w:val="auto"/>
          <w:kern w:val="2"/>
          <w:sz w:val="24"/>
          <w:szCs w:val="24"/>
          <w:highlight w:val="none"/>
          <w:lang w:eastAsia="zh-CN"/>
        </w:rPr>
        <w:t>★6.2 变更</w:t>
      </w:r>
      <w:bookmarkEnd w:id="231"/>
    </w:p>
    <w:p w14:paraId="152CB1D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6.2.2 除不可抗力外，由于受到资金、设计修改变更、施工图延误等非监理人原因导致本合同期限延长、内容增加时，委托人不支付附加工作酬金。</w:t>
      </w:r>
    </w:p>
    <w:p w14:paraId="22FA2AF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6.2.3 监理人由于非自身的原因而暂停或终止执行监理业务，其善后工作以及恢复执行监理业务的工作，视为附加工作，附加工作酬金按下列</w:t>
      </w:r>
      <w:r>
        <w:rPr>
          <w:rFonts w:hint="eastAsia" w:ascii="仿宋" w:hAnsi="仿宋" w:eastAsia="仿宋" w:cs="Times New Roman"/>
          <w:snapToGrid/>
          <w:color w:val="auto"/>
          <w:kern w:val="2"/>
          <w:sz w:val="24"/>
          <w:szCs w:val="24"/>
          <w:highlight w:val="none"/>
          <w:u w:val="single"/>
          <w:lang w:eastAsia="zh-CN"/>
        </w:rPr>
        <w:t xml:space="preserve">  (3)  </w:t>
      </w:r>
      <w:r>
        <w:rPr>
          <w:rFonts w:hint="eastAsia" w:ascii="仿宋" w:hAnsi="仿宋" w:eastAsia="仿宋" w:cs="Times New Roman"/>
          <w:snapToGrid/>
          <w:color w:val="auto"/>
          <w:kern w:val="2"/>
          <w:sz w:val="24"/>
          <w:szCs w:val="24"/>
          <w:highlight w:val="none"/>
          <w:lang w:eastAsia="zh-CN"/>
        </w:rPr>
        <w:t>方法确定：</w:t>
      </w:r>
    </w:p>
    <w:p w14:paraId="6E6B7FDA">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（1）按“监理期限延长时间 ”计算附加工作酬金：</w:t>
      </w:r>
    </w:p>
    <w:p w14:paraId="3AFD9DF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① 附加工作酬金（监理服务）=善后工作及恢复服务的准备工作时间（天）×监理工作酬金÷协议书约定的监理期限（天）</w:t>
      </w:r>
    </w:p>
    <w:p w14:paraId="5202B30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② 附加工作酬金（相关服务）=善后工作及恢复服务的准备工作时间（天）×相关服务工作酬金÷相关服务期限（天）</w:t>
      </w:r>
    </w:p>
    <w:p w14:paraId="25F741B0">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（2）按“人员综合费用法”计算附加工作酬金：</w:t>
      </w:r>
    </w:p>
    <w:p w14:paraId="1A8D9E2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根据善后工作及恢复服务的准备工作时间内,监理人投入的监理人员数量及服务时间，参照：□附录中“人员综合费用法 ”计算；□双方约定的人员综合费用</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。企业管理费率按</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%取值，企业利润率按</w:t>
      </w:r>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lang w:eastAsia="zh-CN"/>
        </w:rPr>
        <w:t xml:space="preserve"> %取值。</w:t>
      </w:r>
    </w:p>
    <w:p w14:paraId="4A8341A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（3）</w:t>
      </w:r>
      <w:r>
        <w:rPr>
          <w:rFonts w:hint="eastAsia" w:ascii="仿宋" w:hAnsi="仿宋" w:eastAsia="仿宋" w:cs="Times New Roman"/>
          <w:snapToGrid/>
          <w:color w:val="auto"/>
          <w:kern w:val="2"/>
          <w:sz w:val="24"/>
          <w:szCs w:val="24"/>
          <w:highlight w:val="none"/>
          <w:u w:val="single"/>
          <w:lang w:eastAsia="zh-CN"/>
        </w:rPr>
        <w:t>其它计算及支付方式按照6.2.2条款约定计算</w:t>
      </w:r>
      <w:r>
        <w:rPr>
          <w:rFonts w:hint="eastAsia" w:ascii="仿宋" w:hAnsi="仿宋" w:eastAsia="仿宋" w:cs="Times New Roman"/>
          <w:snapToGrid/>
          <w:color w:val="auto"/>
          <w:kern w:val="2"/>
          <w:sz w:val="24"/>
          <w:szCs w:val="24"/>
          <w:highlight w:val="none"/>
          <w:lang w:eastAsia="zh-CN"/>
        </w:rPr>
        <w:t>。</w:t>
      </w:r>
    </w:p>
    <w:p w14:paraId="332ECF3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6.2.5 正常工作酬金增加额按下列方法确定：</w:t>
      </w:r>
    </w:p>
    <w:p w14:paraId="12D309E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正常工作酬金增加额=建筑安装工程费增加额×正常工作酬金÷建筑安装工程费</w:t>
      </w:r>
    </w:p>
    <w:p w14:paraId="0CEBAA0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6.2.6 因工程规模、监理范围的变化导致监理人的正常工作量减少时，按减少工作量的比例从协议书约定的正常工作酬金中扣减相同比例的酬金。</w:t>
      </w:r>
    </w:p>
    <w:p w14:paraId="4FD22976">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32" w:name="bookmark148"/>
      <w:bookmarkEnd w:id="232"/>
      <w:bookmarkStart w:id="233" w:name="bookmark150"/>
      <w:bookmarkEnd w:id="233"/>
      <w:bookmarkStart w:id="234" w:name="_Toc3422"/>
      <w:r>
        <w:rPr>
          <w:rFonts w:hint="eastAsia" w:ascii="仿宋" w:hAnsi="仿宋" w:eastAsia="仿宋" w:cs="仿宋"/>
          <w:b/>
          <w:snapToGrid/>
          <w:color w:val="auto"/>
          <w:kern w:val="2"/>
          <w:sz w:val="24"/>
          <w:szCs w:val="24"/>
          <w:highlight w:val="none"/>
          <w:lang w:eastAsia="zh-CN"/>
        </w:rPr>
        <w:t>7. 争议解决</w:t>
      </w:r>
      <w:bookmarkEnd w:id="234"/>
    </w:p>
    <w:p w14:paraId="4197C029">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35" w:name="_Toc1619"/>
      <w:r>
        <w:rPr>
          <w:rFonts w:hint="eastAsia" w:ascii="仿宋" w:hAnsi="仿宋" w:eastAsia="仿宋" w:cs="Times New Roman"/>
          <w:snapToGrid/>
          <w:color w:val="auto"/>
          <w:kern w:val="2"/>
          <w:sz w:val="24"/>
          <w:szCs w:val="24"/>
          <w:highlight w:val="none"/>
          <w:lang w:eastAsia="zh-CN"/>
        </w:rPr>
        <w:t>7.2 调解</w:t>
      </w:r>
      <w:bookmarkEnd w:id="235"/>
    </w:p>
    <w:p w14:paraId="1F5554E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本合同争议进行调解时，可提交项目所在地的行业行政主管部门进行调</w:t>
      </w:r>
      <w:bookmarkStart w:id="236" w:name="bookmark152"/>
      <w:bookmarkEnd w:id="236"/>
      <w:r>
        <w:rPr>
          <w:rFonts w:hint="eastAsia" w:ascii="仿宋" w:hAnsi="仿宋" w:eastAsia="仿宋" w:cs="Times New Roman"/>
          <w:snapToGrid/>
          <w:color w:val="auto"/>
          <w:kern w:val="2"/>
          <w:sz w:val="24"/>
          <w:szCs w:val="24"/>
          <w:highlight w:val="none"/>
          <w:lang w:eastAsia="zh-CN"/>
        </w:rPr>
        <w:t>解。</w:t>
      </w:r>
    </w:p>
    <w:p w14:paraId="3FC00EC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37" w:name="_Toc16424"/>
      <w:r>
        <w:rPr>
          <w:rFonts w:hint="eastAsia" w:ascii="仿宋" w:hAnsi="仿宋" w:eastAsia="仿宋" w:cs="Times New Roman"/>
          <w:snapToGrid/>
          <w:color w:val="auto"/>
          <w:kern w:val="2"/>
          <w:sz w:val="24"/>
          <w:szCs w:val="24"/>
          <w:highlight w:val="none"/>
          <w:lang w:eastAsia="zh-CN"/>
        </w:rPr>
        <w:t>7.3 仲裁或诉讼</w:t>
      </w:r>
      <w:bookmarkEnd w:id="237"/>
    </w:p>
    <w:p w14:paraId="753EE559">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合同争议的最终解决方式为下列第(2)种方式：</w:t>
      </w:r>
    </w:p>
    <w:p w14:paraId="37E0532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（1）提请中国广州仲裁委员会进行仲裁。</w:t>
      </w:r>
    </w:p>
    <w:p w14:paraId="359F6811">
      <w:pPr>
        <w:widowControl w:val="0"/>
        <w:kinsoku/>
        <w:autoSpaceDE/>
        <w:autoSpaceDN/>
        <w:adjustRightInd/>
        <w:snapToGrid/>
        <w:spacing w:line="360" w:lineRule="auto"/>
        <w:ind w:firstLine="480" w:firstLineChars="200"/>
        <w:jc w:val="both"/>
        <w:textAlignment w:val="auto"/>
        <w:rPr>
          <w:color w:val="auto"/>
          <w:highlight w:val="none"/>
          <w:lang w:eastAsia="zh-CN"/>
        </w:rPr>
      </w:pPr>
      <w:r>
        <w:rPr>
          <w:rFonts w:hint="eastAsia" w:ascii="仿宋" w:hAnsi="仿宋" w:eastAsia="仿宋" w:cs="Times New Roman"/>
          <w:snapToGrid/>
          <w:color w:val="auto"/>
          <w:kern w:val="2"/>
          <w:sz w:val="24"/>
          <w:szCs w:val="24"/>
          <w:highlight w:val="none"/>
          <w:lang w:eastAsia="zh-CN"/>
        </w:rPr>
        <w:t>（2）向合同工程所在地人民法院提起诉讼。</w:t>
      </w:r>
    </w:p>
    <w:p w14:paraId="08DAB206">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38" w:name="bookmark155"/>
      <w:bookmarkEnd w:id="238"/>
      <w:bookmarkStart w:id="239" w:name="bookmark156"/>
      <w:bookmarkEnd w:id="239"/>
      <w:bookmarkStart w:id="240" w:name="bookmark154"/>
      <w:bookmarkEnd w:id="240"/>
      <w:bookmarkStart w:id="241" w:name="_Toc4415"/>
      <w:r>
        <w:rPr>
          <w:rFonts w:hint="eastAsia" w:ascii="仿宋" w:hAnsi="仿宋" w:eastAsia="仿宋" w:cs="仿宋"/>
          <w:b/>
          <w:snapToGrid/>
          <w:color w:val="auto"/>
          <w:kern w:val="2"/>
          <w:sz w:val="24"/>
          <w:szCs w:val="24"/>
          <w:highlight w:val="none"/>
          <w:lang w:eastAsia="zh-CN"/>
        </w:rPr>
        <w:t>8. 其他</w:t>
      </w:r>
      <w:bookmarkEnd w:id="241"/>
    </w:p>
    <w:p w14:paraId="34AB40AC">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42" w:name="_Toc7208"/>
      <w:r>
        <w:rPr>
          <w:rFonts w:hint="eastAsia" w:ascii="仿宋" w:hAnsi="仿宋" w:eastAsia="仿宋" w:cs="Times New Roman"/>
          <w:snapToGrid/>
          <w:color w:val="auto"/>
          <w:kern w:val="2"/>
          <w:sz w:val="24"/>
          <w:szCs w:val="24"/>
          <w:highlight w:val="none"/>
          <w:lang w:eastAsia="zh-CN"/>
        </w:rPr>
        <w:t>8.2 检测费用</w:t>
      </w:r>
      <w:bookmarkEnd w:id="242"/>
    </w:p>
    <w:p w14:paraId="6CB5B2E3">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委托人应在检测工作完成后</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天内支付检测费用。</w:t>
      </w:r>
    </w:p>
    <w:p w14:paraId="2B832A37">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43" w:name="_Toc21265"/>
      <w:r>
        <w:rPr>
          <w:rFonts w:hint="eastAsia" w:ascii="仿宋" w:hAnsi="仿宋" w:eastAsia="仿宋" w:cs="Times New Roman"/>
          <w:snapToGrid/>
          <w:color w:val="auto"/>
          <w:kern w:val="2"/>
          <w:sz w:val="24"/>
          <w:szCs w:val="24"/>
          <w:highlight w:val="none"/>
          <w:lang w:eastAsia="zh-CN"/>
        </w:rPr>
        <w:t>8.3 咨询费用</w:t>
      </w:r>
      <w:bookmarkEnd w:id="243"/>
    </w:p>
    <w:p w14:paraId="26F86862">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委托人应在咨询工作完成后</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天内支付咨询费用。</w:t>
      </w:r>
    </w:p>
    <w:p w14:paraId="73E3F1F7">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44" w:name="bookmark157"/>
      <w:bookmarkEnd w:id="244"/>
      <w:bookmarkStart w:id="245" w:name="_Toc28892"/>
      <w:r>
        <w:rPr>
          <w:rFonts w:hint="eastAsia" w:ascii="仿宋" w:hAnsi="仿宋" w:eastAsia="仿宋" w:cs="Times New Roman"/>
          <w:snapToGrid/>
          <w:color w:val="auto"/>
          <w:kern w:val="2"/>
          <w:sz w:val="24"/>
          <w:szCs w:val="24"/>
          <w:highlight w:val="none"/>
          <w:lang w:eastAsia="zh-CN"/>
        </w:rPr>
        <w:t>8.4 奖励</w:t>
      </w:r>
      <w:bookmarkEnd w:id="245"/>
    </w:p>
    <w:p w14:paraId="6652DDA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本项目不适用奖励条款。</w:t>
      </w:r>
    </w:p>
    <w:p w14:paraId="155B848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46" w:name="bookmark158"/>
      <w:bookmarkEnd w:id="246"/>
      <w:bookmarkStart w:id="247" w:name="_Toc13211"/>
      <w:r>
        <w:rPr>
          <w:rFonts w:hint="eastAsia" w:ascii="仿宋" w:hAnsi="仿宋" w:eastAsia="仿宋" w:cs="Times New Roman"/>
          <w:snapToGrid/>
          <w:color w:val="auto"/>
          <w:kern w:val="2"/>
          <w:sz w:val="24"/>
          <w:szCs w:val="24"/>
          <w:highlight w:val="none"/>
          <w:lang w:eastAsia="zh-CN"/>
        </w:rPr>
        <w:t>8.6 保密</w:t>
      </w:r>
      <w:bookmarkEnd w:id="247"/>
    </w:p>
    <w:p w14:paraId="5E33D266">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委托人申明的保密事项和期限：</w:t>
      </w:r>
      <w:r>
        <w:rPr>
          <w:rFonts w:hint="eastAsia" w:ascii="仿宋" w:hAnsi="仿宋" w:eastAsia="仿宋" w:cs="Times New Roman"/>
          <w:snapToGrid/>
          <w:color w:val="auto"/>
          <w:kern w:val="2"/>
          <w:sz w:val="24"/>
          <w:szCs w:val="24"/>
          <w:highlight w:val="none"/>
          <w:u w:val="single"/>
          <w:lang w:eastAsia="zh-CN"/>
        </w:rPr>
        <w:t>在合同期内或合同终止后，未征得有关方书面同意，不得泄露与本工程、本合同业务有关的保密资料</w:t>
      </w:r>
      <w:r>
        <w:rPr>
          <w:rFonts w:hint="eastAsia" w:ascii="仿宋" w:hAnsi="仿宋" w:eastAsia="仿宋" w:cs="Times New Roman"/>
          <w:snapToGrid/>
          <w:color w:val="auto"/>
          <w:kern w:val="2"/>
          <w:sz w:val="24"/>
          <w:szCs w:val="24"/>
          <w:highlight w:val="none"/>
          <w:lang w:eastAsia="zh-CN"/>
        </w:rPr>
        <w:t>。</w:t>
      </w:r>
    </w:p>
    <w:p w14:paraId="5F4F19EE">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监理人申明的保密事项和期限：</w:t>
      </w:r>
      <w:r>
        <w:rPr>
          <w:rFonts w:hint="eastAsia" w:ascii="仿宋" w:hAnsi="仿宋" w:eastAsia="仿宋" w:cs="Times New Roman"/>
          <w:snapToGrid/>
          <w:color w:val="auto"/>
          <w:kern w:val="2"/>
          <w:sz w:val="24"/>
          <w:szCs w:val="24"/>
          <w:highlight w:val="none"/>
          <w:u w:val="single"/>
          <w:lang w:eastAsia="zh-CN"/>
        </w:rPr>
        <w:t>在合同期内或合同终止后，未征得有关方书面同意，不得泄露与本工程、本合同业务有关的保密资料</w:t>
      </w:r>
      <w:r>
        <w:rPr>
          <w:rFonts w:hint="eastAsia" w:ascii="仿宋" w:hAnsi="仿宋" w:eastAsia="仿宋" w:cs="Times New Roman"/>
          <w:snapToGrid/>
          <w:color w:val="auto"/>
          <w:kern w:val="2"/>
          <w:sz w:val="24"/>
          <w:szCs w:val="24"/>
          <w:highlight w:val="none"/>
          <w:lang w:eastAsia="zh-CN"/>
        </w:rPr>
        <w:t>。</w:t>
      </w:r>
    </w:p>
    <w:p w14:paraId="667E5204">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第三方申明的保密事项和期限：</w:t>
      </w:r>
      <w:r>
        <w:rPr>
          <w:rFonts w:hint="eastAsia" w:ascii="仿宋" w:hAnsi="仿宋" w:eastAsia="仿宋" w:cs="Times New Roman"/>
          <w:snapToGrid/>
          <w:color w:val="auto"/>
          <w:kern w:val="2"/>
          <w:sz w:val="24"/>
          <w:szCs w:val="24"/>
          <w:highlight w:val="none"/>
          <w:u w:val="single"/>
          <w:lang w:eastAsia="zh-CN"/>
        </w:rPr>
        <w:t>在合同期内或合同终止后，未征得有关方书面同意，不得泄露与本工程、本合同业务有关的保密资料</w:t>
      </w:r>
      <w:r>
        <w:rPr>
          <w:rFonts w:hint="eastAsia" w:ascii="仿宋" w:hAnsi="仿宋" w:eastAsia="仿宋" w:cs="Times New Roman"/>
          <w:snapToGrid/>
          <w:color w:val="auto"/>
          <w:kern w:val="2"/>
          <w:sz w:val="24"/>
          <w:szCs w:val="24"/>
          <w:highlight w:val="none"/>
          <w:lang w:eastAsia="zh-CN"/>
        </w:rPr>
        <w:t>。</w:t>
      </w:r>
    </w:p>
    <w:p w14:paraId="68F26D33">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48" w:name="bookmark159"/>
      <w:bookmarkEnd w:id="248"/>
      <w:bookmarkStart w:id="249" w:name="_Toc11245"/>
      <w:r>
        <w:rPr>
          <w:rFonts w:hint="eastAsia" w:ascii="仿宋" w:hAnsi="仿宋" w:eastAsia="仿宋" w:cs="Times New Roman"/>
          <w:snapToGrid/>
          <w:color w:val="auto"/>
          <w:kern w:val="2"/>
          <w:sz w:val="24"/>
          <w:szCs w:val="24"/>
          <w:highlight w:val="none"/>
          <w:lang w:eastAsia="zh-CN"/>
        </w:rPr>
        <w:t>8.8 著作权</w:t>
      </w:r>
      <w:bookmarkEnd w:id="249"/>
    </w:p>
    <w:p w14:paraId="6ECE6218">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监理人为履行本合同约定而编制的文件，其著作权属于</w:t>
      </w:r>
      <w:r>
        <w:rPr>
          <w:rFonts w:hint="eastAsia" w:ascii="仿宋" w:hAnsi="仿宋" w:eastAsia="仿宋" w:cs="Times New Roman"/>
          <w:snapToGrid/>
          <w:color w:val="auto"/>
          <w:kern w:val="2"/>
          <w:sz w:val="24"/>
          <w:szCs w:val="24"/>
          <w:highlight w:val="none"/>
          <w:u w:val="single"/>
          <w:lang w:eastAsia="zh-CN"/>
        </w:rPr>
        <w:t xml:space="preserve"> 委托人 </w:t>
      </w:r>
      <w:r>
        <w:rPr>
          <w:rFonts w:hint="eastAsia" w:ascii="仿宋" w:hAnsi="仿宋" w:eastAsia="仿宋" w:cs="Times New Roman"/>
          <w:snapToGrid/>
          <w:color w:val="auto"/>
          <w:kern w:val="2"/>
          <w:sz w:val="24"/>
          <w:szCs w:val="24"/>
          <w:highlight w:val="none"/>
          <w:lang w:eastAsia="zh-CN"/>
        </w:rPr>
        <w:t>。</w:t>
      </w:r>
    </w:p>
    <w:p w14:paraId="31D5A6FC">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监理人在本合同履行期间及本合同终止后两年内出版涉及本工程的有关监理与相关服务的资料的限制条件：</w:t>
      </w:r>
      <w:bookmarkStart w:id="250" w:name="bookmark160"/>
      <w:bookmarkEnd w:id="250"/>
      <w:r>
        <w:rPr>
          <w:rFonts w:hint="eastAsia" w:ascii="仿宋" w:hAnsi="仿宋" w:eastAsia="仿宋" w:cs="Times New Roman"/>
          <w:snapToGrid/>
          <w:color w:val="auto"/>
          <w:kern w:val="2"/>
          <w:sz w:val="24"/>
          <w:szCs w:val="24"/>
          <w:highlight w:val="none"/>
          <w:u w:val="single"/>
          <w:lang w:eastAsia="zh-CN"/>
        </w:rPr>
        <w:t xml:space="preserve">  </w:t>
      </w:r>
      <w:r>
        <w:rPr>
          <w:rFonts w:hint="eastAsia" w:ascii="仿宋" w:hAnsi="仿宋" w:eastAsia="仿宋" w:cs="Times New Roman"/>
          <w:snapToGrid/>
          <w:color w:val="auto"/>
          <w:kern w:val="2"/>
          <w:sz w:val="24"/>
          <w:szCs w:val="24"/>
          <w:highlight w:val="none"/>
          <w:u w:val="single"/>
          <w:lang w:val="en-US" w:eastAsia="zh-CN"/>
        </w:rPr>
        <w:t>未经委托人书面同意不得披露</w:t>
      </w:r>
      <w:r>
        <w:rPr>
          <w:rFonts w:hint="eastAsia" w:ascii="仿宋" w:hAnsi="仿宋" w:eastAsia="仿宋" w:cs="Times New Roman"/>
          <w:snapToGrid/>
          <w:color w:val="auto"/>
          <w:kern w:val="2"/>
          <w:sz w:val="24"/>
          <w:szCs w:val="24"/>
          <w:highlight w:val="none"/>
          <w:u w:val="single"/>
          <w:lang w:eastAsia="zh-CN"/>
        </w:rPr>
        <w:t xml:space="preserve">  </w:t>
      </w:r>
    </w:p>
    <w:p w14:paraId="37EECFA8">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51" w:name="_Toc635"/>
      <w:r>
        <w:rPr>
          <w:rFonts w:hint="eastAsia" w:ascii="仿宋" w:hAnsi="仿宋" w:eastAsia="仿宋" w:cs="Times New Roman"/>
          <w:snapToGrid/>
          <w:color w:val="auto"/>
          <w:kern w:val="2"/>
          <w:sz w:val="24"/>
          <w:szCs w:val="24"/>
          <w:highlight w:val="none"/>
          <w:lang w:eastAsia="zh-CN"/>
        </w:rPr>
        <w:t>8.9 工程获奖奖励</w:t>
      </w:r>
      <w:bookmarkEnd w:id="251"/>
    </w:p>
    <w:p w14:paraId="452CC2D7">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监理人所监理的项目获得国家级质量奖或安全文明工地等质量或管理称号，对监理人奖励人民币</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元/次；省级质量奖或安全文明工地等质量或管理称号，对监理人奖励人民币</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元/次；市级质量奖或安全文明工地等质量或管理称号，对监理人奖励人民币</w:t>
      </w:r>
      <w:r>
        <w:rPr>
          <w:rFonts w:hint="eastAsia" w:ascii="仿宋" w:hAnsi="仿宋" w:eastAsia="仿宋" w:cs="Times New Roman"/>
          <w:snapToGrid/>
          <w:color w:val="auto"/>
          <w:kern w:val="2"/>
          <w:sz w:val="24"/>
          <w:szCs w:val="24"/>
          <w:highlight w:val="none"/>
          <w:u w:val="single"/>
          <w:lang w:eastAsia="zh-CN"/>
        </w:rPr>
        <w:t xml:space="preserve">  /  </w:t>
      </w:r>
      <w:r>
        <w:rPr>
          <w:rFonts w:hint="eastAsia" w:ascii="仿宋" w:hAnsi="仿宋" w:eastAsia="仿宋" w:cs="Times New Roman"/>
          <w:snapToGrid/>
          <w:color w:val="auto"/>
          <w:kern w:val="2"/>
          <w:sz w:val="24"/>
          <w:szCs w:val="24"/>
          <w:highlight w:val="none"/>
          <w:lang w:eastAsia="zh-CN"/>
        </w:rPr>
        <w:t>元/次。</w:t>
      </w:r>
    </w:p>
    <w:p w14:paraId="2CD3A263">
      <w:pPr>
        <w:kinsoku/>
        <w:autoSpaceDE/>
        <w:autoSpaceDN/>
        <w:adjustRightInd/>
        <w:snapToGrid/>
        <w:spacing w:line="360" w:lineRule="auto"/>
        <w:ind w:firstLine="482" w:firstLineChars="200"/>
        <w:jc w:val="both"/>
        <w:textAlignment w:val="auto"/>
        <w:outlineLvl w:val="1"/>
        <w:rPr>
          <w:rFonts w:ascii="仿宋" w:hAnsi="仿宋" w:eastAsia="仿宋" w:cs="仿宋"/>
          <w:b/>
          <w:snapToGrid/>
          <w:color w:val="auto"/>
          <w:kern w:val="2"/>
          <w:sz w:val="24"/>
          <w:szCs w:val="24"/>
          <w:highlight w:val="none"/>
          <w:lang w:eastAsia="zh-CN"/>
        </w:rPr>
      </w:pPr>
      <w:bookmarkStart w:id="252" w:name="bookmark161"/>
      <w:bookmarkEnd w:id="252"/>
      <w:bookmarkStart w:id="253" w:name="_Toc31923"/>
      <w:r>
        <w:rPr>
          <w:rFonts w:hint="eastAsia" w:ascii="仿宋" w:hAnsi="仿宋" w:eastAsia="仿宋" w:cs="仿宋"/>
          <w:b/>
          <w:snapToGrid/>
          <w:color w:val="auto"/>
          <w:kern w:val="2"/>
          <w:sz w:val="24"/>
          <w:szCs w:val="24"/>
          <w:highlight w:val="none"/>
          <w:lang w:eastAsia="zh-CN"/>
        </w:rPr>
        <w:t>9. 补充条款</w:t>
      </w:r>
      <w:bookmarkEnd w:id="253"/>
    </w:p>
    <w:p w14:paraId="11E8BA25">
      <w:pPr>
        <w:widowControl w:val="0"/>
        <w:kinsoku/>
        <w:autoSpaceDE/>
        <w:autoSpaceDN/>
        <w:adjustRightInd/>
        <w:snapToGrid/>
        <w:spacing w:line="360" w:lineRule="auto"/>
        <w:ind w:firstLine="480" w:firstLineChars="200"/>
        <w:jc w:val="both"/>
        <w:textAlignment w:val="auto"/>
        <w:outlineLvl w:val="2"/>
        <w:rPr>
          <w:rFonts w:ascii="仿宋" w:hAnsi="仿宋" w:eastAsia="仿宋" w:cs="Times New Roman"/>
          <w:snapToGrid/>
          <w:color w:val="auto"/>
          <w:kern w:val="2"/>
          <w:sz w:val="24"/>
          <w:szCs w:val="24"/>
          <w:highlight w:val="none"/>
          <w:lang w:eastAsia="zh-CN"/>
        </w:rPr>
      </w:pPr>
      <w:bookmarkStart w:id="254" w:name="_Toc7955"/>
      <w:r>
        <w:rPr>
          <w:rFonts w:hint="eastAsia" w:ascii="仿宋" w:hAnsi="仿宋" w:eastAsia="仿宋" w:cs="Times New Roman"/>
          <w:snapToGrid/>
          <w:color w:val="auto"/>
          <w:kern w:val="2"/>
          <w:sz w:val="24"/>
          <w:szCs w:val="24"/>
          <w:highlight w:val="none"/>
          <w:lang w:eastAsia="zh-CN"/>
        </w:rPr>
        <w:t>9.1 监理人保险</w:t>
      </w:r>
      <w:bookmarkEnd w:id="254"/>
    </w:p>
    <w:p w14:paraId="54021371">
      <w:pPr>
        <w:widowControl w:val="0"/>
        <w:kinsoku/>
        <w:autoSpaceDE/>
        <w:autoSpaceDN/>
        <w:adjustRightInd/>
        <w:snapToGrid/>
        <w:spacing w:line="360" w:lineRule="auto"/>
        <w:ind w:firstLine="480" w:firstLineChars="200"/>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监理人应在监理服务期内，办理派驻到项目所在地人员人身和自备财产的有关保险，保险时间应随服务时间的延长而顺延，并在出险后自行办理索赔。如果监理人不办理上述保险，则应对有关风险及后果负全责。</w:t>
      </w:r>
    </w:p>
    <w:p w14:paraId="5575453B">
      <w:pPr>
        <w:kinsoku/>
        <w:spacing w:line="241" w:lineRule="auto"/>
        <w:jc w:val="both"/>
        <w:rPr>
          <w:color w:val="auto"/>
          <w:highlight w:val="none"/>
          <w:lang w:eastAsia="zh-CN"/>
        </w:rPr>
      </w:pPr>
    </w:p>
    <w:p w14:paraId="238C03F4">
      <w:pPr>
        <w:rPr>
          <w:color w:val="auto"/>
          <w:highlight w:val="none"/>
          <w:lang w:eastAsia="zh-CN"/>
        </w:rPr>
      </w:pPr>
      <w:r>
        <w:rPr>
          <w:color w:val="auto"/>
          <w:highlight w:val="none"/>
          <w:lang w:eastAsia="zh-CN"/>
        </w:rPr>
        <w:br w:type="page"/>
      </w:r>
    </w:p>
    <w:p w14:paraId="5D82D1EB">
      <w:pPr>
        <w:rPr>
          <w:color w:val="auto"/>
          <w:highlight w:val="none"/>
          <w:lang w:eastAsia="zh-CN"/>
        </w:rPr>
      </w:pPr>
    </w:p>
    <w:p w14:paraId="181C9525">
      <w:pPr>
        <w:kinsoku/>
        <w:spacing w:line="241" w:lineRule="auto"/>
        <w:jc w:val="both"/>
        <w:rPr>
          <w:color w:val="auto"/>
          <w:highlight w:val="none"/>
          <w:lang w:eastAsia="zh-CN"/>
        </w:rPr>
      </w:pPr>
    </w:p>
    <w:p w14:paraId="2BD4092E">
      <w:pPr>
        <w:kinsoku/>
        <w:spacing w:before="78" w:line="224" w:lineRule="auto"/>
        <w:ind w:left="11"/>
        <w:jc w:val="both"/>
        <w:outlineLvl w:val="0"/>
        <w:rPr>
          <w:rFonts w:ascii="仿宋" w:hAnsi="仿宋" w:eastAsia="仿宋" w:cs="仿宋"/>
          <w:color w:val="auto"/>
          <w:sz w:val="24"/>
          <w:szCs w:val="24"/>
          <w:highlight w:val="none"/>
          <w:lang w:eastAsia="zh-CN"/>
        </w:rPr>
      </w:pPr>
      <w:bookmarkStart w:id="255" w:name="_Toc9421"/>
      <w:r>
        <w:rPr>
          <w:rFonts w:ascii="仿宋" w:hAnsi="仿宋" w:eastAsia="仿宋" w:cs="仿宋"/>
          <w:color w:val="auto"/>
          <w:spacing w:val="-14"/>
          <w:sz w:val="24"/>
          <w:szCs w:val="24"/>
          <w:highlight w:val="none"/>
          <w:lang w:eastAsia="zh-CN"/>
          <w14:textOutline w14:w="4356" w14:cap="sq" w14:cmpd="sng" w14:algn="ctr">
            <w14:solidFill>
              <w14:srgbClr w14:val="000000"/>
            </w14:solidFill>
            <w14:prstDash w14:val="solid"/>
            <w14:bevel/>
          </w14:textOutline>
        </w:rPr>
        <w:t>附件</w:t>
      </w:r>
      <w:r>
        <w:rPr>
          <w:rFonts w:ascii="仿宋" w:hAnsi="仿宋" w:eastAsia="仿宋" w:cs="仿宋"/>
          <w:color w:val="auto"/>
          <w:spacing w:val="-29"/>
          <w:sz w:val="24"/>
          <w:szCs w:val="24"/>
          <w:highlight w:val="none"/>
          <w:lang w:eastAsia="zh-CN"/>
        </w:rPr>
        <w:t xml:space="preserve"> </w:t>
      </w:r>
      <w:r>
        <w:rPr>
          <w:rFonts w:ascii="仿宋" w:hAnsi="仿宋" w:eastAsia="仿宋" w:cs="仿宋"/>
          <w:color w:val="auto"/>
          <w:spacing w:val="-14"/>
          <w:sz w:val="24"/>
          <w:szCs w:val="24"/>
          <w:highlight w:val="none"/>
          <w:lang w:eastAsia="zh-CN"/>
          <w14:textOutline w14:w="4356" w14:cap="sq" w14:cmpd="sng" w14:algn="ctr">
            <w14:solidFill>
              <w14:srgbClr w14:val="000000"/>
            </w14:solidFill>
            <w14:prstDash w14:val="solid"/>
            <w14:bevel/>
          </w14:textOutline>
        </w:rPr>
        <w:t>1：</w:t>
      </w:r>
      <w:r>
        <w:rPr>
          <w:rFonts w:hint="eastAsia" w:ascii="仿宋" w:hAnsi="仿宋" w:eastAsia="仿宋" w:cs="仿宋"/>
          <w:color w:val="auto"/>
          <w:spacing w:val="-14"/>
          <w:sz w:val="24"/>
          <w:szCs w:val="24"/>
          <w:highlight w:val="none"/>
          <w:lang w:eastAsia="zh-CN"/>
          <w14:textOutline w14:w="4356" w14:cap="sq" w14:cmpd="sng" w14:algn="ctr">
            <w14:solidFill>
              <w14:srgbClr w14:val="000000"/>
            </w14:solidFill>
            <w14:prstDash w14:val="solid"/>
            <w14:bevel/>
          </w14:textOutline>
        </w:rPr>
        <w:t>廉洁责任合同</w:t>
      </w:r>
      <w:bookmarkEnd w:id="255"/>
    </w:p>
    <w:p w14:paraId="7CFB42C1">
      <w:pPr>
        <w:kinsoku/>
        <w:spacing w:line="255" w:lineRule="auto"/>
        <w:jc w:val="both"/>
        <w:rPr>
          <w:color w:val="auto"/>
          <w:highlight w:val="none"/>
          <w:lang w:eastAsia="zh-CN"/>
        </w:rPr>
      </w:pPr>
    </w:p>
    <w:p w14:paraId="7BBD6DD9">
      <w:pPr>
        <w:pStyle w:val="7"/>
        <w:kinsoku/>
        <w:spacing w:line="360" w:lineRule="auto"/>
        <w:ind w:firstLine="476" w:firstLineChars="200"/>
        <w:jc w:val="center"/>
        <w:rPr>
          <w:color w:val="auto"/>
          <w:sz w:val="24"/>
          <w:szCs w:val="24"/>
          <w:highlight w:val="none"/>
          <w:lang w:eastAsia="zh-CN"/>
        </w:rPr>
      </w:pPr>
      <w:r>
        <w:rPr>
          <w:color w:val="auto"/>
          <w:spacing w:val="-1"/>
          <w:sz w:val="24"/>
          <w:szCs w:val="24"/>
          <w:highlight w:val="none"/>
          <w:lang w:eastAsia="zh-CN"/>
          <w14:textOutline w14:w="4356" w14:cap="sq" w14:cmpd="sng" w14:algn="ctr">
            <w14:solidFill>
              <w14:srgbClr w14:val="000000"/>
            </w14:solidFill>
            <w14:prstDash w14:val="solid"/>
            <w14:bevel/>
          </w14:textOutline>
        </w:rPr>
        <w:t>廉洁责任合同</w:t>
      </w:r>
    </w:p>
    <w:p w14:paraId="68DD2AB3">
      <w:pPr>
        <w:kinsoku/>
        <w:spacing w:line="360" w:lineRule="auto"/>
        <w:ind w:firstLine="420" w:firstLineChars="200"/>
        <w:jc w:val="both"/>
        <w:rPr>
          <w:color w:val="auto"/>
          <w:highlight w:val="none"/>
          <w:lang w:eastAsia="zh-CN"/>
        </w:rPr>
      </w:pPr>
    </w:p>
    <w:p w14:paraId="143F8CB3">
      <w:pPr>
        <w:kinsoku/>
        <w:spacing w:line="360" w:lineRule="auto"/>
        <w:ind w:firstLine="428" w:firstLineChars="200"/>
        <w:jc w:val="both"/>
        <w:rPr>
          <w:rFonts w:ascii="仿宋" w:hAnsi="仿宋" w:eastAsia="仿宋" w:cs="仿宋"/>
          <w:color w:val="auto"/>
          <w:spacing w:val="7"/>
          <w:sz w:val="20"/>
          <w:szCs w:val="20"/>
          <w:highlight w:val="none"/>
          <w:lang w:eastAsia="zh-CN"/>
        </w:rPr>
      </w:pPr>
      <w:r>
        <w:rPr>
          <w:rFonts w:ascii="仿宋" w:hAnsi="仿宋" w:eastAsia="仿宋" w:cs="仿宋"/>
          <w:color w:val="auto"/>
          <w:spacing w:val="7"/>
          <w:sz w:val="20"/>
          <w:szCs w:val="20"/>
          <w:highlight w:val="none"/>
          <w:lang w:eastAsia="zh-CN"/>
        </w:rPr>
        <w:t>发包人（委托人</w:t>
      </w:r>
      <w:r>
        <w:rPr>
          <w:rFonts w:ascii="仿宋" w:hAnsi="仿宋" w:eastAsia="仿宋" w:cs="仿宋"/>
          <w:color w:val="auto"/>
          <w:spacing w:val="-10"/>
          <w:sz w:val="20"/>
          <w:szCs w:val="20"/>
          <w:highlight w:val="none"/>
          <w:lang w:eastAsia="zh-CN"/>
        </w:rPr>
        <w:t>）</w:t>
      </w:r>
      <w:r>
        <w:rPr>
          <w:rFonts w:ascii="仿宋" w:hAnsi="仿宋" w:eastAsia="仿宋" w:cs="仿宋"/>
          <w:color w:val="auto"/>
          <w:spacing w:val="-59"/>
          <w:sz w:val="20"/>
          <w:szCs w:val="20"/>
          <w:highlight w:val="none"/>
          <w:lang w:eastAsia="zh-CN"/>
        </w:rPr>
        <w:t xml:space="preserve"> </w:t>
      </w:r>
      <w:r>
        <w:rPr>
          <w:rFonts w:ascii="仿宋" w:hAnsi="仿宋" w:eastAsia="仿宋" w:cs="仿宋"/>
          <w:color w:val="auto"/>
          <w:spacing w:val="-10"/>
          <w:sz w:val="20"/>
          <w:szCs w:val="20"/>
          <w:highlight w:val="none"/>
          <w:lang w:eastAsia="zh-CN"/>
        </w:rPr>
        <w:t>：</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5091D2DE">
      <w:pPr>
        <w:kinsoku/>
        <w:spacing w:line="360" w:lineRule="auto"/>
        <w:ind w:firstLine="428" w:firstLineChars="200"/>
        <w:jc w:val="both"/>
        <w:rPr>
          <w:color w:val="auto"/>
          <w:highlight w:val="none"/>
          <w:lang w:eastAsia="zh-CN"/>
        </w:rPr>
      </w:pPr>
      <w:r>
        <w:rPr>
          <w:rFonts w:ascii="仿宋" w:hAnsi="仿宋" w:eastAsia="仿宋" w:cs="仿宋"/>
          <w:color w:val="auto"/>
          <w:spacing w:val="7"/>
          <w:sz w:val="20"/>
          <w:szCs w:val="20"/>
          <w:highlight w:val="none"/>
          <w:lang w:eastAsia="zh-CN"/>
        </w:rPr>
        <w:t>承包人（监理人</w:t>
      </w:r>
      <w:r>
        <w:rPr>
          <w:rFonts w:ascii="仿宋" w:hAnsi="仿宋" w:eastAsia="仿宋" w:cs="仿宋"/>
          <w:color w:val="auto"/>
          <w:spacing w:val="-7"/>
          <w:sz w:val="20"/>
          <w:szCs w:val="20"/>
          <w:highlight w:val="none"/>
          <w:lang w:eastAsia="zh-CN"/>
        </w:rPr>
        <w:t>）</w:t>
      </w:r>
      <w:r>
        <w:rPr>
          <w:rFonts w:ascii="仿宋" w:hAnsi="仿宋" w:eastAsia="仿宋" w:cs="仿宋"/>
          <w:color w:val="auto"/>
          <w:spacing w:val="-59"/>
          <w:sz w:val="20"/>
          <w:szCs w:val="20"/>
          <w:highlight w:val="none"/>
          <w:lang w:eastAsia="zh-CN"/>
        </w:rPr>
        <w:t xml:space="preserve"> </w:t>
      </w:r>
      <w:r>
        <w:rPr>
          <w:rFonts w:ascii="仿宋" w:hAnsi="仿宋" w:eastAsia="仿宋" w:cs="仿宋"/>
          <w:color w:val="auto"/>
          <w:spacing w:val="-7"/>
          <w:sz w:val="20"/>
          <w:szCs w:val="20"/>
          <w:highlight w:val="none"/>
          <w:lang w:eastAsia="zh-CN"/>
        </w:rPr>
        <w:t>：</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2B06C6DF">
      <w:pPr>
        <w:kinsoku/>
        <w:spacing w:line="360" w:lineRule="auto"/>
        <w:ind w:firstLine="432" w:firstLineChars="200"/>
        <w:jc w:val="both"/>
        <w:rPr>
          <w:rFonts w:ascii="仿宋" w:hAnsi="仿宋" w:eastAsia="仿宋" w:cs="仿宋"/>
          <w:color w:val="auto"/>
          <w:sz w:val="20"/>
          <w:szCs w:val="20"/>
          <w:highlight w:val="none"/>
          <w:u w:val="single"/>
          <w:lang w:eastAsia="zh-CN"/>
        </w:rPr>
      </w:pPr>
      <w:r>
        <w:rPr>
          <w:rFonts w:ascii="仿宋" w:hAnsi="仿宋" w:eastAsia="仿宋" w:cs="仿宋"/>
          <w:color w:val="auto"/>
          <w:spacing w:val="8"/>
          <w:sz w:val="20"/>
          <w:szCs w:val="20"/>
          <w:highlight w:val="none"/>
          <w:lang w:eastAsia="zh-CN"/>
        </w:rPr>
        <w:t>建设工程项目：</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06A14A91">
      <w:pPr>
        <w:pStyle w:val="2"/>
        <w:spacing w:line="360" w:lineRule="auto"/>
        <w:ind w:firstLine="400" w:firstLineChars="200"/>
        <w:jc w:val="both"/>
        <w:rPr>
          <w:rFonts w:eastAsia="仿宋"/>
          <w:color w:val="auto"/>
          <w:highlight w:val="none"/>
          <w:lang w:eastAsia="zh-CN"/>
        </w:rPr>
      </w:pPr>
      <w:r>
        <w:rPr>
          <w:rFonts w:hint="eastAsia" w:ascii="仿宋" w:hAnsi="仿宋" w:eastAsia="仿宋" w:cs="仿宋"/>
          <w:color w:val="auto"/>
          <w:sz w:val="20"/>
          <w:szCs w:val="20"/>
          <w:highlight w:val="none"/>
          <w:lang w:eastAsia="zh-CN"/>
        </w:rPr>
        <w:t>建设工程地点：</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0B1F65AB">
      <w:pPr>
        <w:kinsoku/>
        <w:spacing w:line="360" w:lineRule="auto"/>
        <w:jc w:val="both"/>
        <w:rPr>
          <w:color w:val="auto"/>
          <w:highlight w:val="none"/>
          <w:lang w:eastAsia="zh-CN"/>
        </w:rPr>
      </w:pPr>
    </w:p>
    <w:p w14:paraId="55AA5117">
      <w:pPr>
        <w:kinsoku/>
        <w:spacing w:line="360" w:lineRule="auto"/>
        <w:ind w:firstLine="432"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8"/>
          <w:sz w:val="20"/>
          <w:szCs w:val="20"/>
          <w:highlight w:val="none"/>
          <w:lang w:eastAsia="zh-CN"/>
        </w:rPr>
        <w:t>为贯彻落实国家、省、市有关廉洁规定，加强工程建设领域廉洁</w:t>
      </w:r>
      <w:r>
        <w:rPr>
          <w:rFonts w:ascii="仿宋" w:hAnsi="仿宋" w:eastAsia="仿宋" w:cs="仿宋"/>
          <w:color w:val="auto"/>
          <w:spacing w:val="7"/>
          <w:sz w:val="20"/>
          <w:szCs w:val="20"/>
          <w:highlight w:val="none"/>
          <w:lang w:eastAsia="zh-CN"/>
        </w:rPr>
        <w:t>风险防控，构建亲清政商关系，</w:t>
      </w:r>
      <w:r>
        <w:rPr>
          <w:rFonts w:ascii="仿宋" w:hAnsi="仿宋" w:eastAsia="仿宋" w:cs="仿宋"/>
          <w:color w:val="auto"/>
          <w:spacing w:val="8"/>
          <w:sz w:val="20"/>
          <w:szCs w:val="20"/>
          <w:highlight w:val="none"/>
          <w:lang w:eastAsia="zh-CN"/>
        </w:rPr>
        <w:t>营造风清气正的市场环境，根据《中华人民共和国反不正当竞争法》《中华人民共</w:t>
      </w:r>
      <w:r>
        <w:rPr>
          <w:rFonts w:ascii="仿宋" w:hAnsi="仿宋" w:eastAsia="仿宋" w:cs="仿宋"/>
          <w:color w:val="auto"/>
          <w:spacing w:val="7"/>
          <w:sz w:val="20"/>
          <w:szCs w:val="20"/>
          <w:highlight w:val="none"/>
          <w:lang w:eastAsia="zh-CN"/>
        </w:rPr>
        <w:t>和国招标投标法》</w:t>
      </w:r>
      <w:r>
        <w:rPr>
          <w:rFonts w:ascii="仿宋" w:hAnsi="仿宋" w:eastAsia="仿宋" w:cs="仿宋"/>
          <w:color w:val="auto"/>
          <w:spacing w:val="9"/>
          <w:sz w:val="20"/>
          <w:szCs w:val="20"/>
          <w:highlight w:val="none"/>
          <w:lang w:eastAsia="zh-CN"/>
        </w:rPr>
        <w:t>及其实施条例等法律法规及政策的规定，双方同意签订本合同。</w:t>
      </w:r>
    </w:p>
    <w:p w14:paraId="06E88184">
      <w:pPr>
        <w:kinsoku/>
        <w:spacing w:line="360" w:lineRule="auto"/>
        <w:ind w:firstLine="416"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4"/>
          <w:sz w:val="20"/>
          <w:szCs w:val="20"/>
          <w:highlight w:val="none"/>
          <w:lang w:eastAsia="zh-CN"/>
          <w14:textOutline w14:w="3797" w14:cap="sq" w14:cmpd="sng" w14:algn="ctr">
            <w14:solidFill>
              <w14:srgbClr w14:val="000000"/>
            </w14:solidFill>
            <w14:prstDash w14:val="solid"/>
            <w14:bevel/>
          </w14:textOutline>
        </w:rPr>
        <w:t>第一条</w:t>
      </w:r>
      <w:r>
        <w:rPr>
          <w:rFonts w:ascii="仿宋" w:hAnsi="仿宋" w:eastAsia="仿宋" w:cs="仿宋"/>
          <w:color w:val="auto"/>
          <w:spacing w:val="27"/>
          <w:sz w:val="20"/>
          <w:szCs w:val="20"/>
          <w:highlight w:val="none"/>
          <w:lang w:eastAsia="zh-CN"/>
        </w:rPr>
        <w:t xml:space="preserve">  </w:t>
      </w:r>
      <w:r>
        <w:rPr>
          <w:rFonts w:ascii="仿宋" w:hAnsi="仿宋" w:eastAsia="仿宋" w:cs="仿宋"/>
          <w:color w:val="auto"/>
          <w:spacing w:val="4"/>
          <w:sz w:val="20"/>
          <w:szCs w:val="20"/>
          <w:highlight w:val="none"/>
          <w:lang w:eastAsia="zh-CN"/>
          <w14:textOutline w14:w="3797" w14:cap="sq" w14:cmpd="sng" w14:algn="ctr">
            <w14:solidFill>
              <w14:srgbClr w14:val="000000"/>
            </w14:solidFill>
            <w14:prstDash w14:val="solid"/>
            <w14:bevel/>
          </w14:textOutline>
        </w:rPr>
        <w:t>甲乙双方的责任</w:t>
      </w:r>
    </w:p>
    <w:p w14:paraId="561C65F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 应严格遵守国家关于市场准入、项目情况、工程建设和市场活动等有关法律、法规、相关政策，以及廉政建设的各项规定。</w:t>
      </w:r>
    </w:p>
    <w:p w14:paraId="573AB10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 严格执行本项目的合同文件，自觉按合同办事。</w:t>
      </w:r>
    </w:p>
    <w:p w14:paraId="6F621C0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 业务活动必须坚持公开、公平、公正、诚信、透明的原则（除法律法规另有规定者外），不得为获取不正当的利益，损害国家、集体和对方利益，不得违反工程建设管理的各种规章制度。</w:t>
      </w:r>
    </w:p>
    <w:p w14:paraId="2CB911C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 发现对方在业务活动中违规、违纪、违法行为的，应及时提醒对方，情节严重的，应向其上级主管部门或纪检监察、司法等有关机关举报。</w:t>
      </w:r>
    </w:p>
    <w:p w14:paraId="4633A13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第二条</w:t>
      </w:r>
      <w:r>
        <w:rPr>
          <w:rFonts w:ascii="仿宋" w:hAnsi="仿宋" w:eastAsia="仿宋" w:cs="仿宋"/>
          <w:color w:val="auto"/>
          <w:sz w:val="20"/>
          <w:szCs w:val="20"/>
          <w:highlight w:val="none"/>
          <w:lang w:eastAsia="zh-CN"/>
        </w:rPr>
        <w:t xml:space="preserve">  </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发包人及其工作人员不得利用项目或职权为本人及亲属谋取不正当利益，包括下列行为：</w:t>
      </w:r>
    </w:p>
    <w:p w14:paraId="77E0577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2.1 索取、接受或者以借为名占用承包人的财物，包括但不限于任何形式的礼品礼金、好处费、回扣、各种有价证券、购物卡及其他支付凭证、房产、车辆、贵重物品等；</w:t>
      </w:r>
    </w:p>
    <w:p w14:paraId="6812C17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2.2 接受承包人宴请（工作餐除外）及旅游、健身、娱乐等活动安排；</w:t>
      </w:r>
    </w:p>
    <w:p w14:paraId="237D974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2.3 向承包人报销任何应由自身承担、支付的费用；</w:t>
      </w:r>
    </w:p>
    <w:p w14:paraId="7698873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2.4 向承包人推荐分包人，推销材料和设备，要求承包人购买指定的材料和设备；</w:t>
      </w:r>
    </w:p>
    <w:p w14:paraId="7EA03BC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2.5 私自为建设工程安排施工队伍，从事与建设工程有关的各种有偿中介服务；</w:t>
      </w:r>
    </w:p>
    <w:p w14:paraId="457C934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2.6 要求或者暗示承包人为本人或亲属的工作安排、职务晋升、经商办企业、出国出境、旅游、留学、探亲、定居等提供资助或便利；</w:t>
      </w:r>
    </w:p>
    <w:p w14:paraId="75909A3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2.7 默许、纵容、授意亲属收受承包人财物，或从事与建设工程有关的材料和设备供应、工程分包、劳务等经济活动；</w:t>
      </w:r>
    </w:p>
    <w:p w14:paraId="5EC6B4F6">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2.8 其他利用项目或职权谋取不正当利益的行为。</w:t>
      </w:r>
    </w:p>
    <w:p w14:paraId="6C50EFE4">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第三条</w:t>
      </w:r>
      <w:r>
        <w:rPr>
          <w:rFonts w:ascii="仿宋" w:hAnsi="仿宋" w:eastAsia="仿宋" w:cs="仿宋"/>
          <w:color w:val="auto"/>
          <w:sz w:val="20"/>
          <w:szCs w:val="20"/>
          <w:highlight w:val="none"/>
          <w:lang w:eastAsia="zh-CN"/>
        </w:rPr>
        <w:t xml:space="preserve">  </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承包人及其工作人员不得通过商业贿赂等不正当手段谋取利益，包括下列行为：</w:t>
      </w:r>
    </w:p>
    <w:p w14:paraId="688F19B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3.1 同意或主动向发包人及其工作人员提供第二条约定的禁止性行为；</w:t>
      </w:r>
    </w:p>
    <w:p w14:paraId="47BC491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2938F1D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3.3 接受与建设工程相关的代建、施工、监理（项目管理）、勘察、设计、咨询等有关单位及其工作人员的商业贿赂。</w:t>
      </w:r>
    </w:p>
    <w:p w14:paraId="4E263E94">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3.4 接受分包（工程分包、劳务分包等）单位、材料设备供应单位等单位及其工作人员的商业贿赂。</w:t>
      </w:r>
    </w:p>
    <w:p w14:paraId="5222B31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3.5 其他通过不正当手段谋取利益的行为。</w:t>
      </w:r>
    </w:p>
    <w:p w14:paraId="248AC74C">
      <w:pPr>
        <w:kinsoku/>
        <w:spacing w:line="360" w:lineRule="auto"/>
        <w:ind w:firstLine="400" w:firstLineChars="200"/>
        <w:jc w:val="both"/>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第四条  发包人、承包人及双方工作人员不得违规干预或插手建设工程招投标活动，禁止串通投标（围标）等不正当竞争行为。</w:t>
      </w:r>
    </w:p>
    <w:p w14:paraId="065CC0D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第五条</w:t>
      </w:r>
      <w:r>
        <w:rPr>
          <w:rFonts w:ascii="仿宋" w:hAnsi="仿宋" w:eastAsia="仿宋" w:cs="仿宋"/>
          <w:color w:val="auto"/>
          <w:sz w:val="20"/>
          <w:szCs w:val="20"/>
          <w:highlight w:val="none"/>
          <w:lang w:eastAsia="zh-CN"/>
        </w:rPr>
        <w:t xml:space="preserve">  </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廉洁风险防控机制</w:t>
      </w:r>
    </w:p>
    <w:p w14:paraId="1E6859D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75ADAA8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第六条</w:t>
      </w:r>
      <w:r>
        <w:rPr>
          <w:rFonts w:ascii="仿宋" w:hAnsi="仿宋" w:eastAsia="仿宋" w:cs="仿宋"/>
          <w:color w:val="auto"/>
          <w:sz w:val="20"/>
          <w:szCs w:val="20"/>
          <w:highlight w:val="none"/>
          <w:lang w:eastAsia="zh-CN"/>
        </w:rPr>
        <w:t xml:space="preserve">  </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廉洁违约责任</w:t>
      </w:r>
    </w:p>
    <w:p w14:paraId="44908D0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6.1 发包人及其工作人员违反本合同第二条和第四条规定，相关责任人应受到相应的党纪政务（纪）处分，涉嫌犯罪的，移送司法机关依法处理；给承包人造成经济损失的，应承担相应的赔偿责任。</w:t>
      </w:r>
    </w:p>
    <w:p w14:paraId="49DA806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w:t>
      </w:r>
    </w:p>
    <w:p w14:paraId="0412FB31">
      <w:pPr>
        <w:kinsoku/>
        <w:spacing w:line="360" w:lineRule="auto"/>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（2）</w:t>
      </w:r>
      <w:r>
        <w:rPr>
          <w:rFonts w:ascii="仿宋" w:hAnsi="仿宋" w:eastAsia="仿宋" w:cs="仿宋"/>
          <w:color w:val="auto"/>
          <w:sz w:val="20"/>
          <w:szCs w:val="20"/>
          <w:highlight w:val="none"/>
          <w:lang w:eastAsia="zh-CN"/>
        </w:rPr>
        <w:t>将承包人的履约评价评为不合格，并拒绝其参与发包人负责实施项目的投标或摇珠；</w:t>
      </w:r>
    </w:p>
    <w:p w14:paraId="4FE57132">
      <w:pPr>
        <w:kinsoku/>
        <w:spacing w:line="360" w:lineRule="auto"/>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（3）将有关情况报相关主管部门记录，作为企业诚信评分考核，建议给予通报并向社会进行公示。</w:t>
      </w:r>
    </w:p>
    <w:p w14:paraId="40E98A2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第七条</w:t>
      </w:r>
      <w:r>
        <w:rPr>
          <w:rFonts w:ascii="仿宋" w:hAnsi="仿宋" w:eastAsia="仿宋" w:cs="仿宋"/>
          <w:color w:val="auto"/>
          <w:sz w:val="20"/>
          <w:szCs w:val="20"/>
          <w:highlight w:val="none"/>
          <w:lang w:eastAsia="zh-CN"/>
        </w:rPr>
        <w:t xml:space="preserve">  </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监督举报</w:t>
      </w:r>
    </w:p>
    <w:p w14:paraId="580D7E3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发包人、承包人均有监督举报的权利和义务，发现对方有违反本合同的行为，可向增城区纪委监委举报。</w:t>
      </w:r>
    </w:p>
    <w:p w14:paraId="41A5D3AC">
      <w:pPr>
        <w:kinsoku/>
        <w:spacing w:line="360" w:lineRule="auto"/>
        <w:ind w:firstLine="408"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2"/>
          <w:sz w:val="20"/>
          <w:szCs w:val="20"/>
          <w:highlight w:val="none"/>
        </w:rPr>
        <w:t>甲方（公章）</w:t>
      </w:r>
      <w:r>
        <w:rPr>
          <w:rFonts w:hint="eastAsia" w:ascii="仿宋" w:hAnsi="仿宋" w:eastAsia="仿宋" w:cs="仿宋"/>
          <w:color w:val="auto"/>
          <w:spacing w:val="2"/>
          <w:sz w:val="20"/>
          <w:szCs w:val="20"/>
          <w:highlight w:val="none"/>
          <w:lang w:eastAsia="zh-CN"/>
        </w:rPr>
        <w:t xml:space="preserve"> </w:t>
      </w:r>
      <w:r>
        <w:rPr>
          <w:rFonts w:ascii="仿宋" w:hAnsi="仿宋" w:eastAsia="仿宋" w:cs="仿宋"/>
          <w:color w:val="auto"/>
          <w:spacing w:val="1"/>
          <w:sz w:val="20"/>
          <w:szCs w:val="20"/>
          <w:highlight w:val="none"/>
        </w:rPr>
        <w:t xml:space="preserve">         </w:t>
      </w:r>
      <w:r>
        <w:rPr>
          <w:rFonts w:hint="eastAsia" w:ascii="仿宋" w:hAnsi="仿宋" w:eastAsia="仿宋" w:cs="仿宋"/>
          <w:color w:val="auto"/>
          <w:spacing w:val="1"/>
          <w:sz w:val="20"/>
          <w:szCs w:val="20"/>
          <w:highlight w:val="none"/>
          <w:lang w:eastAsia="zh-CN"/>
        </w:rPr>
        <w:t xml:space="preserve">                        </w:t>
      </w:r>
      <w:r>
        <w:rPr>
          <w:rFonts w:ascii="仿宋" w:hAnsi="仿宋" w:eastAsia="仿宋" w:cs="仿宋"/>
          <w:color w:val="auto"/>
          <w:spacing w:val="1"/>
          <w:sz w:val="20"/>
          <w:szCs w:val="20"/>
          <w:highlight w:val="none"/>
        </w:rPr>
        <w:t xml:space="preserve"> </w:t>
      </w:r>
      <w:r>
        <w:rPr>
          <w:rFonts w:ascii="仿宋" w:hAnsi="仿宋" w:eastAsia="仿宋" w:cs="仿宋"/>
          <w:color w:val="auto"/>
          <w:spacing w:val="2"/>
          <w:sz w:val="20"/>
          <w:szCs w:val="20"/>
          <w:highlight w:val="none"/>
        </w:rPr>
        <w:t>乙方（公章）</w:t>
      </w:r>
    </w:p>
    <w:p w14:paraId="69542C77">
      <w:pPr>
        <w:kinsoku/>
        <w:spacing w:line="360" w:lineRule="auto"/>
        <w:ind w:firstLine="0" w:firstLineChars="0"/>
        <w:jc w:val="both"/>
        <w:rPr>
          <w:color w:val="auto"/>
          <w:highlight w:val="none"/>
        </w:rPr>
      </w:pPr>
    </w:p>
    <w:p w14:paraId="3F7B147A">
      <w:pPr>
        <w:kinsoku/>
        <w:spacing w:line="360" w:lineRule="auto"/>
        <w:ind w:firstLine="432" w:firstLineChars="200"/>
        <w:jc w:val="both"/>
        <w:rPr>
          <w:color w:val="auto"/>
          <w:highlight w:val="none"/>
          <w:lang w:eastAsia="zh-CN"/>
        </w:rPr>
      </w:pPr>
      <w:r>
        <w:rPr>
          <w:rFonts w:ascii="仿宋" w:hAnsi="仿宋" w:eastAsia="仿宋" w:cs="仿宋"/>
          <w:color w:val="auto"/>
          <w:spacing w:val="8"/>
          <w:sz w:val="20"/>
          <w:szCs w:val="20"/>
          <w:highlight w:val="none"/>
          <w:lang w:eastAsia="zh-CN"/>
        </w:rPr>
        <w:t>法定代表人（签字或盖章</w:t>
      </w:r>
      <w:r>
        <w:rPr>
          <w:rFonts w:ascii="仿宋" w:hAnsi="仿宋" w:eastAsia="仿宋" w:cs="仿宋"/>
          <w:color w:val="auto"/>
          <w:spacing w:val="-7"/>
          <w:sz w:val="20"/>
          <w:szCs w:val="20"/>
          <w:highlight w:val="none"/>
          <w:lang w:eastAsia="zh-CN"/>
        </w:rPr>
        <w:t>）</w:t>
      </w:r>
      <w:r>
        <w:rPr>
          <w:rFonts w:ascii="仿宋" w:hAnsi="仿宋" w:eastAsia="仿宋" w:cs="仿宋"/>
          <w:color w:val="auto"/>
          <w:spacing w:val="-59"/>
          <w:sz w:val="20"/>
          <w:szCs w:val="20"/>
          <w:highlight w:val="none"/>
          <w:lang w:eastAsia="zh-CN"/>
        </w:rPr>
        <w:t xml:space="preserve"> </w:t>
      </w:r>
      <w:r>
        <w:rPr>
          <w:rFonts w:ascii="仿宋" w:hAnsi="仿宋" w:eastAsia="仿宋" w:cs="仿宋"/>
          <w:color w:val="auto"/>
          <w:spacing w:val="-7"/>
          <w:sz w:val="20"/>
          <w:szCs w:val="20"/>
          <w:highlight w:val="none"/>
          <w:lang w:eastAsia="zh-CN"/>
        </w:rPr>
        <w:t>：</w:t>
      </w:r>
      <w:r>
        <w:rPr>
          <w:rFonts w:ascii="仿宋" w:hAnsi="仿宋" w:eastAsia="仿宋" w:cs="仿宋"/>
          <w:color w:val="auto"/>
          <w:spacing w:val="2"/>
          <w:sz w:val="20"/>
          <w:szCs w:val="20"/>
          <w:highlight w:val="none"/>
          <w:lang w:eastAsia="zh-CN"/>
        </w:rPr>
        <w:t xml:space="preserve">                    </w:t>
      </w:r>
      <w:r>
        <w:rPr>
          <w:rFonts w:ascii="仿宋" w:hAnsi="仿宋" w:eastAsia="仿宋" w:cs="仿宋"/>
          <w:color w:val="auto"/>
          <w:spacing w:val="8"/>
          <w:sz w:val="20"/>
          <w:szCs w:val="20"/>
          <w:highlight w:val="none"/>
          <w:lang w:eastAsia="zh-CN"/>
        </w:rPr>
        <w:t>法定代表人（签字或盖章</w:t>
      </w:r>
      <w:r>
        <w:rPr>
          <w:rFonts w:ascii="仿宋" w:hAnsi="仿宋" w:eastAsia="仿宋" w:cs="仿宋"/>
          <w:color w:val="auto"/>
          <w:spacing w:val="-7"/>
          <w:sz w:val="20"/>
          <w:szCs w:val="20"/>
          <w:highlight w:val="none"/>
          <w:lang w:eastAsia="zh-CN"/>
        </w:rPr>
        <w:t>）：</w:t>
      </w:r>
    </w:p>
    <w:p w14:paraId="6B48CA30">
      <w:pPr>
        <w:kinsoku/>
        <w:spacing w:line="360" w:lineRule="auto"/>
        <w:ind w:firstLine="420" w:firstLineChars="200"/>
        <w:jc w:val="both"/>
        <w:rPr>
          <w:color w:val="auto"/>
          <w:highlight w:val="none"/>
          <w:lang w:eastAsia="zh-CN"/>
        </w:rPr>
      </w:pPr>
    </w:p>
    <w:p w14:paraId="124589FF">
      <w:pPr>
        <w:kinsoku/>
        <w:spacing w:line="360" w:lineRule="auto"/>
        <w:ind w:firstLine="432"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8"/>
          <w:sz w:val="20"/>
          <w:szCs w:val="20"/>
          <w:highlight w:val="none"/>
          <w:lang w:eastAsia="zh-CN"/>
        </w:rPr>
        <w:t>授权代理人（签字或盖章）</w:t>
      </w:r>
      <w:r>
        <w:rPr>
          <w:rFonts w:ascii="仿宋" w:hAnsi="仿宋" w:eastAsia="仿宋" w:cs="仿宋"/>
          <w:color w:val="auto"/>
          <w:spacing w:val="2"/>
          <w:sz w:val="20"/>
          <w:szCs w:val="20"/>
          <w:highlight w:val="none"/>
          <w:lang w:eastAsia="zh-CN"/>
        </w:rPr>
        <w:t xml:space="preserve">                      </w:t>
      </w:r>
      <w:r>
        <w:rPr>
          <w:rFonts w:ascii="仿宋" w:hAnsi="仿宋" w:eastAsia="仿宋" w:cs="仿宋"/>
          <w:color w:val="auto"/>
          <w:spacing w:val="8"/>
          <w:sz w:val="20"/>
          <w:szCs w:val="20"/>
          <w:highlight w:val="none"/>
          <w:lang w:eastAsia="zh-CN"/>
        </w:rPr>
        <w:t>授权代理人（签字或盖章</w:t>
      </w:r>
      <w:r>
        <w:rPr>
          <w:rFonts w:ascii="仿宋" w:hAnsi="仿宋" w:eastAsia="仿宋" w:cs="仿宋"/>
          <w:color w:val="auto"/>
          <w:spacing w:val="2"/>
          <w:sz w:val="20"/>
          <w:szCs w:val="20"/>
          <w:highlight w:val="none"/>
          <w:lang w:eastAsia="zh-CN"/>
        </w:rPr>
        <w:t>）：</w:t>
      </w:r>
    </w:p>
    <w:p w14:paraId="4573A3BE">
      <w:pPr>
        <w:kinsoku/>
        <w:spacing w:line="360" w:lineRule="auto"/>
        <w:ind w:firstLine="0" w:firstLineChars="0"/>
        <w:jc w:val="both"/>
        <w:rPr>
          <w:color w:val="auto"/>
          <w:highlight w:val="none"/>
          <w:lang w:eastAsia="zh-CN"/>
        </w:rPr>
      </w:pPr>
    </w:p>
    <w:p w14:paraId="2B2082F1">
      <w:pPr>
        <w:kinsoku/>
        <w:spacing w:line="360" w:lineRule="auto"/>
        <w:ind w:firstLine="396" w:firstLineChars="200"/>
        <w:jc w:val="both"/>
        <w:rPr>
          <w:rFonts w:ascii="仿宋" w:hAnsi="仿宋" w:eastAsia="仿宋" w:cs="仿宋"/>
          <w:color w:val="auto"/>
          <w:sz w:val="20"/>
          <w:szCs w:val="20"/>
          <w:highlight w:val="none"/>
          <w:lang w:eastAsia="zh-CN"/>
        </w:rPr>
        <w:sectPr>
          <w:headerReference r:id="rId6" w:type="default"/>
          <w:pgSz w:w="11906" w:h="16838"/>
          <w:pgMar w:top="850" w:right="1701" w:bottom="850" w:left="1701" w:header="0" w:footer="1202" w:gutter="0"/>
          <w:cols w:space="0" w:num="1"/>
        </w:sectPr>
      </w:pPr>
      <w:r>
        <w:rPr>
          <w:rFonts w:ascii="仿宋" w:hAnsi="仿宋" w:eastAsia="仿宋" w:cs="仿宋"/>
          <w:color w:val="auto"/>
          <w:spacing w:val="-1"/>
          <w:sz w:val="20"/>
          <w:szCs w:val="20"/>
          <w:highlight w:val="none"/>
          <w:lang w:eastAsia="zh-CN"/>
        </w:rPr>
        <w:t>签订日期：</w:t>
      </w:r>
      <w:r>
        <w:rPr>
          <w:rFonts w:hint="eastAsia" w:ascii="仿宋" w:hAnsi="仿宋" w:eastAsia="仿宋" w:cs="仿宋"/>
          <w:color w:val="auto"/>
          <w:spacing w:val="-1"/>
          <w:sz w:val="20"/>
          <w:szCs w:val="20"/>
          <w:highlight w:val="none"/>
          <w:lang w:eastAsia="zh-CN"/>
        </w:rPr>
        <w:t xml:space="preserve">   </w:t>
      </w:r>
      <w:r>
        <w:rPr>
          <w:rFonts w:ascii="仿宋" w:hAnsi="仿宋" w:eastAsia="仿宋" w:cs="仿宋"/>
          <w:color w:val="auto"/>
          <w:spacing w:val="-1"/>
          <w:sz w:val="20"/>
          <w:szCs w:val="20"/>
          <w:highlight w:val="none"/>
          <w:lang w:eastAsia="zh-CN"/>
        </w:rPr>
        <w:t>年</w:t>
      </w:r>
      <w:r>
        <w:rPr>
          <w:rFonts w:hint="eastAsia" w:ascii="仿宋" w:hAnsi="仿宋" w:eastAsia="仿宋" w:cs="仿宋"/>
          <w:color w:val="auto"/>
          <w:spacing w:val="-1"/>
          <w:sz w:val="20"/>
          <w:szCs w:val="20"/>
          <w:highlight w:val="none"/>
          <w:lang w:eastAsia="zh-CN"/>
        </w:rPr>
        <w:t xml:space="preserve">   </w:t>
      </w:r>
      <w:r>
        <w:rPr>
          <w:rFonts w:ascii="仿宋" w:hAnsi="仿宋" w:eastAsia="仿宋" w:cs="仿宋"/>
          <w:color w:val="auto"/>
          <w:spacing w:val="-1"/>
          <w:sz w:val="20"/>
          <w:szCs w:val="20"/>
          <w:highlight w:val="none"/>
          <w:lang w:eastAsia="zh-CN"/>
        </w:rPr>
        <w:t>月</w:t>
      </w:r>
      <w:r>
        <w:rPr>
          <w:rFonts w:ascii="仿宋" w:hAnsi="仿宋" w:eastAsia="仿宋" w:cs="仿宋"/>
          <w:color w:val="auto"/>
          <w:spacing w:val="25"/>
          <w:sz w:val="20"/>
          <w:szCs w:val="20"/>
          <w:highlight w:val="none"/>
          <w:lang w:eastAsia="zh-CN"/>
        </w:rPr>
        <w:t xml:space="preserve">   </w:t>
      </w:r>
      <w:r>
        <w:rPr>
          <w:rFonts w:ascii="仿宋" w:hAnsi="仿宋" w:eastAsia="仿宋" w:cs="仿宋"/>
          <w:color w:val="auto"/>
          <w:spacing w:val="-1"/>
          <w:sz w:val="20"/>
          <w:szCs w:val="20"/>
          <w:highlight w:val="none"/>
          <w:lang w:eastAsia="zh-CN"/>
        </w:rPr>
        <w:t>日</w:t>
      </w:r>
    </w:p>
    <w:p w14:paraId="2E28BCC7">
      <w:pPr>
        <w:kinsoku/>
        <w:spacing w:line="360" w:lineRule="auto"/>
        <w:jc w:val="both"/>
        <w:rPr>
          <w:color w:val="auto"/>
          <w:highlight w:val="none"/>
          <w:lang w:eastAsia="zh-CN"/>
        </w:rPr>
      </w:pPr>
    </w:p>
    <w:p w14:paraId="51D659D9">
      <w:pPr>
        <w:kinsoku/>
        <w:spacing w:line="360" w:lineRule="auto"/>
        <w:ind w:firstLine="440" w:firstLineChars="200"/>
        <w:jc w:val="both"/>
        <w:outlineLvl w:val="0"/>
        <w:rPr>
          <w:rFonts w:ascii="仿宋" w:hAnsi="仿宋" w:eastAsia="仿宋" w:cs="仿宋"/>
          <w:color w:val="auto"/>
          <w:sz w:val="24"/>
          <w:szCs w:val="24"/>
          <w:highlight w:val="none"/>
          <w:lang w:eastAsia="zh-CN"/>
        </w:rPr>
      </w:pPr>
      <w:bookmarkStart w:id="256" w:name="_Toc11583"/>
      <w:r>
        <w:rPr>
          <w:rFonts w:ascii="仿宋" w:hAnsi="仿宋" w:eastAsia="仿宋" w:cs="仿宋"/>
          <w:color w:val="auto"/>
          <w:spacing w:val="-10"/>
          <w:sz w:val="24"/>
          <w:szCs w:val="24"/>
          <w:highlight w:val="none"/>
          <w:lang w:eastAsia="zh-CN"/>
          <w14:textOutline w14:w="4356" w14:cap="sq" w14:cmpd="sng" w14:algn="ctr">
            <w14:solidFill>
              <w14:srgbClr w14:val="000000"/>
            </w14:solidFill>
            <w14:prstDash w14:val="solid"/>
            <w14:bevel/>
          </w14:textOutline>
        </w:rPr>
        <w:t>附件</w:t>
      </w:r>
      <w:r>
        <w:rPr>
          <w:rFonts w:ascii="仿宋" w:hAnsi="仿宋" w:eastAsia="仿宋" w:cs="仿宋"/>
          <w:color w:val="auto"/>
          <w:spacing w:val="-48"/>
          <w:sz w:val="24"/>
          <w:szCs w:val="24"/>
          <w:highlight w:val="none"/>
          <w:lang w:eastAsia="zh-CN"/>
        </w:rPr>
        <w:t xml:space="preserve"> </w:t>
      </w:r>
      <w:r>
        <w:rPr>
          <w:rFonts w:ascii="仿宋" w:hAnsi="仿宋" w:eastAsia="仿宋" w:cs="仿宋"/>
          <w:color w:val="auto"/>
          <w:spacing w:val="-10"/>
          <w:sz w:val="24"/>
          <w:szCs w:val="24"/>
          <w:highlight w:val="none"/>
          <w:lang w:eastAsia="zh-CN"/>
          <w14:textOutline w14:w="4356" w14:cap="sq" w14:cmpd="sng" w14:algn="ctr">
            <w14:solidFill>
              <w14:srgbClr w14:val="000000"/>
            </w14:solidFill>
            <w14:prstDash w14:val="solid"/>
            <w14:bevel/>
          </w14:textOutline>
        </w:rPr>
        <w:t>2：</w:t>
      </w:r>
      <w:r>
        <w:rPr>
          <w:rFonts w:hint="eastAsia" w:ascii="仿宋" w:hAnsi="仿宋" w:eastAsia="仿宋" w:cs="仿宋"/>
          <w:color w:val="auto"/>
          <w:spacing w:val="-10"/>
          <w:sz w:val="24"/>
          <w:szCs w:val="24"/>
          <w:highlight w:val="none"/>
          <w:lang w:eastAsia="zh-CN"/>
          <w14:textOutline w14:w="4356" w14:cap="sq" w14:cmpd="sng" w14:algn="ctr">
            <w14:solidFill>
              <w14:srgbClr w14:val="000000"/>
            </w14:solidFill>
            <w14:prstDash w14:val="solid"/>
            <w14:bevel/>
          </w14:textOutline>
        </w:rPr>
        <w:t>安全生产文明施工协议</w:t>
      </w:r>
      <w:bookmarkEnd w:id="256"/>
    </w:p>
    <w:p w14:paraId="66231E9E">
      <w:pPr>
        <w:pStyle w:val="7"/>
        <w:kinsoku/>
        <w:spacing w:line="360" w:lineRule="auto"/>
        <w:ind w:firstLine="476" w:firstLineChars="200"/>
        <w:jc w:val="center"/>
        <w:rPr>
          <w:color w:val="auto"/>
          <w:sz w:val="24"/>
          <w:szCs w:val="24"/>
          <w:highlight w:val="none"/>
          <w:lang w:eastAsia="zh-CN"/>
        </w:rPr>
      </w:pPr>
      <w:r>
        <w:rPr>
          <w:color w:val="auto"/>
          <w:spacing w:val="-1"/>
          <w:sz w:val="24"/>
          <w:szCs w:val="24"/>
          <w:highlight w:val="none"/>
          <w:lang w:eastAsia="zh-CN"/>
          <w14:textOutline w14:w="4356" w14:cap="sq" w14:cmpd="sng" w14:algn="ctr">
            <w14:solidFill>
              <w14:srgbClr w14:val="000000"/>
            </w14:solidFill>
            <w14:prstDash w14:val="solid"/>
            <w14:bevel/>
          </w14:textOutline>
        </w:rPr>
        <w:t>安全生产文明施工协议</w:t>
      </w:r>
    </w:p>
    <w:p w14:paraId="418086F1">
      <w:pPr>
        <w:kinsoku/>
        <w:spacing w:line="360" w:lineRule="auto"/>
        <w:ind w:firstLine="420" w:firstLineChars="200"/>
        <w:jc w:val="both"/>
        <w:rPr>
          <w:color w:val="auto"/>
          <w:highlight w:val="none"/>
          <w:lang w:eastAsia="zh-CN"/>
        </w:rPr>
      </w:pPr>
    </w:p>
    <w:p w14:paraId="472653AD">
      <w:pPr>
        <w:kinsoku/>
        <w:spacing w:line="360" w:lineRule="auto"/>
        <w:ind w:firstLine="420" w:firstLineChars="200"/>
        <w:jc w:val="both"/>
        <w:rPr>
          <w:color w:val="auto"/>
          <w:highlight w:val="none"/>
          <w:lang w:eastAsia="zh-CN"/>
        </w:rPr>
      </w:pPr>
    </w:p>
    <w:p w14:paraId="35614E41">
      <w:pPr>
        <w:kinsoku/>
        <w:spacing w:line="360" w:lineRule="auto"/>
        <w:ind w:firstLine="412"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3"/>
          <w:sz w:val="20"/>
          <w:szCs w:val="20"/>
          <w:highlight w:val="none"/>
          <w:lang w:eastAsia="zh-CN"/>
        </w:rPr>
        <w:t>甲方</w:t>
      </w:r>
      <w:r>
        <w:rPr>
          <w:rFonts w:ascii="仿宋" w:hAnsi="仿宋" w:eastAsia="仿宋" w:cs="仿宋"/>
          <w:color w:val="auto"/>
          <w:spacing w:val="3"/>
          <w:sz w:val="20"/>
          <w:szCs w:val="20"/>
          <w:highlight w:val="none"/>
          <w:u w:val="single"/>
          <w:lang w:eastAsia="zh-CN"/>
        </w:rPr>
        <w:t>（委托人</w:t>
      </w:r>
      <w:r>
        <w:rPr>
          <w:rFonts w:ascii="仿宋" w:hAnsi="仿宋" w:eastAsia="仿宋" w:cs="仿宋"/>
          <w:color w:val="auto"/>
          <w:spacing w:val="-11"/>
          <w:sz w:val="20"/>
          <w:szCs w:val="20"/>
          <w:highlight w:val="none"/>
          <w:u w:val="single"/>
          <w:lang w:eastAsia="zh-CN"/>
        </w:rPr>
        <w:t>）</w:t>
      </w:r>
      <w:r>
        <w:rPr>
          <w:rFonts w:ascii="仿宋" w:hAnsi="仿宋" w:eastAsia="仿宋" w:cs="仿宋"/>
          <w:color w:val="auto"/>
          <w:spacing w:val="-59"/>
          <w:sz w:val="20"/>
          <w:szCs w:val="20"/>
          <w:highlight w:val="none"/>
          <w:u w:val="single"/>
          <w:lang w:eastAsia="zh-CN"/>
        </w:rPr>
        <w:t xml:space="preserve"> </w:t>
      </w:r>
      <w:r>
        <w:rPr>
          <w:rFonts w:ascii="仿宋" w:hAnsi="仿宋" w:eastAsia="仿宋" w:cs="仿宋"/>
          <w:color w:val="auto"/>
          <w:spacing w:val="-11"/>
          <w:sz w:val="20"/>
          <w:szCs w:val="20"/>
          <w:highlight w:val="none"/>
          <w:lang w:eastAsia="zh-CN"/>
        </w:rPr>
        <w:t>：</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5901C30D">
      <w:pPr>
        <w:kinsoku/>
        <w:spacing w:line="360" w:lineRule="auto"/>
        <w:ind w:firstLine="416"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4"/>
          <w:sz w:val="20"/>
          <w:szCs w:val="20"/>
          <w:highlight w:val="none"/>
          <w:lang w:eastAsia="zh-CN"/>
        </w:rPr>
        <w:t>乙方</w:t>
      </w:r>
      <w:r>
        <w:rPr>
          <w:rFonts w:ascii="仿宋" w:hAnsi="仿宋" w:eastAsia="仿宋" w:cs="仿宋"/>
          <w:color w:val="auto"/>
          <w:spacing w:val="4"/>
          <w:sz w:val="20"/>
          <w:szCs w:val="20"/>
          <w:highlight w:val="none"/>
          <w:u w:val="single"/>
          <w:lang w:eastAsia="zh-CN"/>
        </w:rPr>
        <w:t>（监理人</w:t>
      </w:r>
      <w:r>
        <w:rPr>
          <w:rFonts w:ascii="仿宋" w:hAnsi="仿宋" w:eastAsia="仿宋" w:cs="仿宋"/>
          <w:color w:val="auto"/>
          <w:spacing w:val="-9"/>
          <w:sz w:val="20"/>
          <w:szCs w:val="20"/>
          <w:highlight w:val="none"/>
          <w:u w:val="single"/>
          <w:lang w:eastAsia="zh-CN"/>
        </w:rPr>
        <w:t>）</w:t>
      </w:r>
      <w:r>
        <w:rPr>
          <w:rFonts w:ascii="仿宋" w:hAnsi="仿宋" w:eastAsia="仿宋" w:cs="仿宋"/>
          <w:color w:val="auto"/>
          <w:spacing w:val="-56"/>
          <w:sz w:val="20"/>
          <w:szCs w:val="20"/>
          <w:highlight w:val="none"/>
          <w:u w:val="single"/>
          <w:lang w:eastAsia="zh-CN"/>
        </w:rPr>
        <w:t xml:space="preserve"> </w:t>
      </w:r>
      <w:r>
        <w:rPr>
          <w:rFonts w:ascii="仿宋" w:hAnsi="仿宋" w:eastAsia="仿宋" w:cs="仿宋"/>
          <w:color w:val="auto"/>
          <w:spacing w:val="-9"/>
          <w:sz w:val="20"/>
          <w:szCs w:val="20"/>
          <w:highlight w:val="none"/>
          <w:lang w:eastAsia="zh-CN"/>
        </w:rPr>
        <w:t>：</w:t>
      </w:r>
      <w:r>
        <w:rPr>
          <w:rFonts w:ascii="仿宋" w:hAnsi="仿宋" w:eastAsia="仿宋" w:cs="仿宋"/>
          <w:color w:val="auto"/>
          <w:sz w:val="20"/>
          <w:szCs w:val="20"/>
          <w:highlight w:val="none"/>
          <w:u w:val="single"/>
          <w:lang w:eastAsia="zh-CN"/>
        </w:rPr>
        <w:t xml:space="preserve">  </w:t>
      </w:r>
      <w:r>
        <w:rPr>
          <w:rFonts w:hint="eastAsia" w:ascii="仿宋" w:hAnsi="仿宋" w:eastAsia="仿宋" w:cs="仿宋"/>
          <w:color w:val="auto"/>
          <w:sz w:val="20"/>
          <w:szCs w:val="20"/>
          <w:highlight w:val="none"/>
          <w:u w:val="single"/>
          <w:lang w:eastAsia="zh-CN"/>
        </w:rPr>
        <w:t xml:space="preserve">                        </w:t>
      </w:r>
      <w:r>
        <w:rPr>
          <w:rFonts w:ascii="仿宋" w:hAnsi="仿宋" w:eastAsia="仿宋" w:cs="仿宋"/>
          <w:color w:val="auto"/>
          <w:sz w:val="20"/>
          <w:szCs w:val="20"/>
          <w:highlight w:val="none"/>
          <w:u w:val="single"/>
          <w:lang w:eastAsia="zh-CN"/>
        </w:rPr>
        <w:t xml:space="preserve">    </w:t>
      </w:r>
    </w:p>
    <w:p w14:paraId="31758230">
      <w:pPr>
        <w:kinsoku/>
        <w:spacing w:line="360" w:lineRule="auto"/>
        <w:ind w:firstLine="444" w:firstLineChars="200"/>
        <w:jc w:val="both"/>
        <w:rPr>
          <w:rFonts w:ascii="仿宋" w:hAnsi="仿宋" w:eastAsia="仿宋" w:cs="仿宋"/>
          <w:color w:val="auto"/>
          <w:spacing w:val="11"/>
          <w:sz w:val="20"/>
          <w:szCs w:val="20"/>
          <w:highlight w:val="none"/>
          <w:lang w:eastAsia="zh-CN"/>
        </w:rPr>
      </w:pPr>
    </w:p>
    <w:p w14:paraId="2BD4B550">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根据《中华人民共和国安全生产法》、《广东省安全生产条例》有关规定，为明确甲、乙双方的安全生产责任，落实安全生产责任制，特签订本安全生产协议书。</w:t>
      </w:r>
    </w:p>
    <w:p w14:paraId="332F0923">
      <w:pPr>
        <w:kinsoku/>
        <w:spacing w:line="360" w:lineRule="auto"/>
        <w:ind w:firstLine="396"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1"/>
          <w:sz w:val="20"/>
          <w:szCs w:val="20"/>
          <w:highlight w:val="none"/>
          <w:lang w:eastAsia="zh-CN"/>
          <w14:textOutline w14:w="3797" w14:cap="sq" w14:cmpd="sng" w14:algn="ctr">
            <w14:solidFill>
              <w14:srgbClr w14:val="000000"/>
            </w14:solidFill>
            <w14:prstDash w14:val="solid"/>
            <w14:bevel/>
          </w14:textOutline>
        </w:rPr>
        <w:t>一、</w:t>
      </w:r>
      <w:r>
        <w:rPr>
          <w:rFonts w:ascii="仿宋" w:hAnsi="仿宋" w:eastAsia="仿宋" w:cs="仿宋"/>
          <w:color w:val="auto"/>
          <w:spacing w:val="-50"/>
          <w:sz w:val="20"/>
          <w:szCs w:val="20"/>
          <w:highlight w:val="none"/>
          <w:lang w:eastAsia="zh-CN"/>
        </w:rPr>
        <w:t xml:space="preserve"> </w:t>
      </w:r>
      <w:r>
        <w:rPr>
          <w:rFonts w:ascii="仿宋" w:hAnsi="仿宋" w:eastAsia="仿宋" w:cs="仿宋"/>
          <w:color w:val="auto"/>
          <w:spacing w:val="-1"/>
          <w:sz w:val="20"/>
          <w:szCs w:val="20"/>
          <w:highlight w:val="none"/>
          <w:lang w:eastAsia="zh-CN"/>
          <w14:textOutline w14:w="3797" w14:cap="sq" w14:cmpd="sng" w14:algn="ctr">
            <w14:solidFill>
              <w14:srgbClr w14:val="000000"/>
            </w14:solidFill>
            <w14:prstDash w14:val="solid"/>
            <w14:bevel/>
          </w14:textOutline>
        </w:rPr>
        <w:t>甲方权责</w:t>
      </w:r>
    </w:p>
    <w:p w14:paraId="754B2B0E">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（一）严格遵守国家有关安全生产的法律、法规、规章和政策，认真执行工程发包合同中的有关安全要求。</w:t>
      </w:r>
    </w:p>
    <w:p w14:paraId="6518057F">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（二）按照“安全第一、预防为主”和坚持“管生产必须管安全”的原则进行安全生产管理，做到生产与安全工作同时计划、布置、检查、总结和评比。</w:t>
      </w:r>
    </w:p>
    <w:p w14:paraId="22EF4E84">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（三）重要的安全设施必须坚持与主体工程“三同时”的原则，即：同时设计、审批，同时施工，同时验收，投入使用。</w:t>
      </w:r>
    </w:p>
    <w:p w14:paraId="3EF98EBB">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（四）组织召开安全生产会议，及时传达政府部门用上级有关安全生产的指示精神。</w:t>
      </w:r>
    </w:p>
    <w:p w14:paraId="0F1B8339">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五）根据国家、省、市、地方的有关安全法律、法规、规章和政策及委托人公司的各项安全生产管理规章制度、办法对乙方的安全生产工作进行监督、检查、指导，对违规、违章进行处罚，对检查发现的安全隐患和安全管理存在的问题有权要求乙方有关人员进行限期整改。</w:t>
      </w:r>
    </w:p>
    <w:p w14:paraId="49506BE5">
      <w:pPr>
        <w:kinsoku/>
        <w:spacing w:line="360" w:lineRule="auto"/>
        <w:ind w:firstLine="428"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14:textOutline w14:w="3797" w14:cap="sq" w14:cmpd="sng" w14:algn="ctr">
            <w14:solidFill>
              <w14:srgbClr w14:val="000000"/>
            </w14:solidFill>
            <w14:prstDash w14:val="solid"/>
            <w14:bevel/>
          </w14:textOutline>
        </w:rPr>
        <w:t>二、乙方权责</w:t>
      </w:r>
    </w:p>
    <w:p w14:paraId="09D62656">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乙方项目总监为本项目安全生产监管第一责任人，对本项目安全生产监督管理全面负责；分管安全生产的项目副总监为本项目安全生产监管直接责任人，对本项目的安全生产负监督管理具体责任；专职安全监理具体负责本项目的安全生产监督管理工作。</w:t>
      </w:r>
    </w:p>
    <w:p w14:paraId="0FB37CBE">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1、严格遵守《中华人民共和国安全生产法》、《建设工程安全生产管理条例》、《广东省安全生产条例》等国家及地方相关安全生产的法律、法规、规章和政策的规定。认真执行监理合同及本项目的《项目安全监理方案》、《安全监理实施细则》中有关的安全要求。</w:t>
      </w:r>
    </w:p>
    <w:p w14:paraId="2C2E7472">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2、负责监督施工单位建立健全各项安全管理制度、责任制，及突发事件、重大安全事故处理应急预案，完善施工现场安全生产保证体系，确保安全生产。并对工程项目的各项制度、措施、方案进行审批、监督实施，严格履行监理职责。</w:t>
      </w:r>
    </w:p>
    <w:p w14:paraId="2B471333">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3、配备专职安全监理人员，建立完善的安全管理制度和体系。督促施工单位加强对施工作业人员的工程质量和施工安全教育培训，定期考核施工作业人员的劳动技能，加强工程质量和施工安全管理。</w:t>
      </w:r>
    </w:p>
    <w:p w14:paraId="15001CF8">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4、与建设单位签订《安全生产责任书》，主要内容包括：安全责任主体、权责、安全生产管理目标与考核。同时督促施工单位应提交《安全责任承诺书》。</w:t>
      </w:r>
    </w:p>
    <w:p w14:paraId="4D26D98B">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5、严格对进入现场施工的单位进行施工资质、安全生产许可证以及从业人员上岗资格等方面合法合规的审查工作，杜绝无资质或超资质承揽工程及违规作业。</w:t>
      </w:r>
    </w:p>
    <w:p w14:paraId="3BFE0B71">
      <w:pPr>
        <w:kinsoku/>
        <w:spacing w:line="360" w:lineRule="auto"/>
        <w:ind w:firstLine="444" w:firstLineChars="200"/>
        <w:jc w:val="both"/>
        <w:rPr>
          <w:rFonts w:ascii="仿宋" w:hAnsi="仿宋" w:eastAsia="仿宋" w:cs="仿宋"/>
          <w:color w:val="auto"/>
          <w:spacing w:val="11"/>
          <w:sz w:val="20"/>
          <w:szCs w:val="20"/>
          <w:highlight w:val="none"/>
          <w:lang w:eastAsia="zh-CN"/>
        </w:rPr>
      </w:pPr>
      <w:r>
        <w:rPr>
          <w:rFonts w:ascii="仿宋" w:hAnsi="仿宋" w:eastAsia="仿宋" w:cs="仿宋"/>
          <w:color w:val="auto"/>
          <w:spacing w:val="11"/>
          <w:sz w:val="20"/>
          <w:szCs w:val="20"/>
          <w:highlight w:val="none"/>
          <w:lang w:eastAsia="zh-CN"/>
        </w:rPr>
        <w:t>6、必须定期组织召开工程项目安全生产工作会，研究、分析、布置、督促检查建设工程的安全生产工作，对会议所确定的各项工作安排进行监督，会议要有文字记录。</w:t>
      </w:r>
    </w:p>
    <w:p w14:paraId="52F60400">
      <w:pPr>
        <w:kinsoku/>
        <w:spacing w:line="360" w:lineRule="auto"/>
        <w:ind w:firstLine="432"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8"/>
          <w:sz w:val="20"/>
          <w:szCs w:val="20"/>
          <w:highlight w:val="none"/>
          <w:lang w:eastAsia="zh-CN"/>
        </w:rPr>
        <w:t>7、乙方要宣传贯彻国家及地方有关安全生产的各项法律、法规和强制性规范标准，加强对施工</w:t>
      </w:r>
      <w:r>
        <w:rPr>
          <w:rFonts w:ascii="仿宋" w:hAnsi="仿宋" w:eastAsia="仿宋" w:cs="仿宋"/>
          <w:color w:val="auto"/>
          <w:spacing w:val="11"/>
          <w:sz w:val="20"/>
          <w:szCs w:val="20"/>
          <w:highlight w:val="none"/>
          <w:lang w:eastAsia="zh-CN"/>
        </w:rPr>
        <w:t>现场的重点工序、重点部位的旁站监理，对重大安全隐患</w:t>
      </w:r>
      <w:r>
        <w:rPr>
          <w:rFonts w:ascii="仿宋" w:hAnsi="仿宋" w:eastAsia="仿宋" w:cs="仿宋"/>
          <w:color w:val="auto"/>
          <w:spacing w:val="10"/>
          <w:sz w:val="20"/>
          <w:szCs w:val="20"/>
          <w:highlight w:val="none"/>
          <w:lang w:eastAsia="zh-CN"/>
        </w:rPr>
        <w:t>要立即下达书面停工通知单，并及时组织力量加以排除，及时制止施工现场各类违章指挥和违</w:t>
      </w:r>
      <w:r>
        <w:rPr>
          <w:rFonts w:ascii="仿宋" w:hAnsi="仿宋" w:eastAsia="仿宋" w:cs="仿宋"/>
          <w:color w:val="auto"/>
          <w:spacing w:val="9"/>
          <w:sz w:val="20"/>
          <w:szCs w:val="20"/>
          <w:highlight w:val="none"/>
          <w:lang w:eastAsia="zh-CN"/>
        </w:rPr>
        <w:t>章操作的行为，</w:t>
      </w:r>
      <w:r>
        <w:rPr>
          <w:rFonts w:ascii="仿宋" w:hAnsi="仿宋" w:eastAsia="仿宋" w:cs="仿宋"/>
          <w:color w:val="auto"/>
          <w:spacing w:val="-55"/>
          <w:sz w:val="20"/>
          <w:szCs w:val="20"/>
          <w:highlight w:val="none"/>
          <w:lang w:eastAsia="zh-CN"/>
        </w:rPr>
        <w:t xml:space="preserve"> </w:t>
      </w:r>
      <w:r>
        <w:rPr>
          <w:rFonts w:ascii="仿宋" w:hAnsi="仿宋" w:eastAsia="仿宋" w:cs="仿宋"/>
          <w:color w:val="auto"/>
          <w:spacing w:val="9"/>
          <w:sz w:val="20"/>
          <w:szCs w:val="20"/>
          <w:highlight w:val="none"/>
          <w:lang w:eastAsia="zh-CN"/>
        </w:rPr>
        <w:t>同时要向甲方、行业主管及有</w:t>
      </w:r>
      <w:r>
        <w:rPr>
          <w:rFonts w:ascii="仿宋" w:hAnsi="仿宋" w:eastAsia="仿宋" w:cs="仿宋"/>
          <w:color w:val="auto"/>
          <w:spacing w:val="7"/>
          <w:sz w:val="20"/>
          <w:szCs w:val="20"/>
          <w:highlight w:val="none"/>
          <w:lang w:eastAsia="zh-CN"/>
        </w:rPr>
        <w:t>关部门报告。对乙方提出的安全隐患，施工单位拒不整改，乙方监理人员又不向有关主管部门汇报，</w:t>
      </w:r>
      <w:r>
        <w:rPr>
          <w:rFonts w:ascii="仿宋" w:hAnsi="仿宋" w:eastAsia="仿宋" w:cs="仿宋"/>
          <w:color w:val="auto"/>
          <w:spacing w:val="5"/>
          <w:sz w:val="20"/>
          <w:szCs w:val="20"/>
          <w:highlight w:val="none"/>
          <w:lang w:eastAsia="zh-CN"/>
        </w:rPr>
        <w:t>乙方将负相关责任。</w:t>
      </w:r>
    </w:p>
    <w:p w14:paraId="2E983D10">
      <w:pPr>
        <w:kinsoku/>
        <w:spacing w:line="360" w:lineRule="auto"/>
        <w:ind w:firstLine="432"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8"/>
          <w:sz w:val="20"/>
          <w:szCs w:val="20"/>
          <w:highlight w:val="none"/>
          <w:lang w:eastAsia="zh-CN"/>
        </w:rPr>
        <w:t>8、定期按规定和要求向甲方汇报安全生产情况，报送相关安全生产台账。积极配合、接受甲方</w:t>
      </w:r>
      <w:r>
        <w:rPr>
          <w:rFonts w:ascii="仿宋" w:hAnsi="仿宋" w:eastAsia="仿宋" w:cs="仿宋"/>
          <w:color w:val="auto"/>
          <w:spacing w:val="10"/>
          <w:sz w:val="20"/>
          <w:szCs w:val="20"/>
          <w:highlight w:val="none"/>
          <w:lang w:eastAsia="zh-CN"/>
        </w:rPr>
        <w:t>的安全生产和文明施工的监督管理，及时对甲方的安全隐患整改和文明施工的要求进行彻底的整改</w:t>
      </w:r>
      <w:r>
        <w:rPr>
          <w:rFonts w:ascii="仿宋" w:hAnsi="仿宋" w:eastAsia="仿宋" w:cs="仿宋"/>
          <w:color w:val="auto"/>
          <w:spacing w:val="3"/>
          <w:sz w:val="20"/>
          <w:szCs w:val="20"/>
          <w:highlight w:val="none"/>
          <w:lang w:eastAsia="zh-CN"/>
        </w:rPr>
        <w:t>和落实。</w:t>
      </w:r>
    </w:p>
    <w:p w14:paraId="08461C56">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9、如发生事故，按法律法规规定上报，启动应急预案，组织力量抢救，积极协助有关部门进行事故处理。</w:t>
      </w:r>
    </w:p>
    <w:p w14:paraId="4DB97F80">
      <w:pPr>
        <w:kinsoku/>
        <w:spacing w:line="360" w:lineRule="auto"/>
        <w:ind w:firstLine="436" w:firstLineChars="200"/>
        <w:jc w:val="both"/>
        <w:rPr>
          <w:rFonts w:ascii="仿宋" w:hAnsi="仿宋" w:eastAsia="仿宋" w:cs="仿宋"/>
          <w:color w:val="auto"/>
          <w:sz w:val="20"/>
          <w:szCs w:val="20"/>
          <w:highlight w:val="none"/>
          <w:lang w:eastAsia="zh-CN"/>
        </w:rPr>
      </w:pPr>
      <w:r>
        <w:rPr>
          <w:rFonts w:ascii="仿宋" w:hAnsi="仿宋" w:eastAsia="仿宋" w:cs="仿宋"/>
          <w:color w:val="auto"/>
          <w:spacing w:val="9"/>
          <w:sz w:val="20"/>
          <w:szCs w:val="20"/>
          <w:highlight w:val="none"/>
          <w:lang w:eastAsia="zh-CN"/>
          <w14:textOutline w14:w="3797" w14:cap="sq" w14:cmpd="sng" w14:algn="ctr">
            <w14:solidFill>
              <w14:srgbClr w14:val="000000"/>
            </w14:solidFill>
            <w14:prstDash w14:val="solid"/>
            <w14:bevel/>
          </w14:textOutline>
        </w:rPr>
        <w:t>三、安全生产管理目标与考核</w:t>
      </w:r>
    </w:p>
    <w:p w14:paraId="0709C9FD">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（一）杜绝发生较大事故等级以上的上安全生产事故且工伤责任事故死亡人数为零、不发生基坑坍塌、支架坍塌等责任事故；不发生重大设备责任事故、重大交通责任事故及火灾责任事故；</w:t>
      </w:r>
    </w:p>
    <w:p w14:paraId="40CC9928">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（二）安全生产量化控制指标</w:t>
      </w:r>
    </w:p>
    <w:p w14:paraId="6E88F96D">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1、杜绝发生较大事故等级以上的安全生产事故且工伤责任事故死亡人数为零。</w:t>
      </w:r>
    </w:p>
    <w:p w14:paraId="6F3AA9EA">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2、年重伤率（包括急性工业中毒）不大于千分之一。</w:t>
      </w:r>
    </w:p>
    <w:p w14:paraId="614F7300">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3、一次设备责任事故直接经济损失≤50万元。</w:t>
      </w:r>
    </w:p>
    <w:p w14:paraId="101E274F">
      <w:pPr>
        <w:kinsoku/>
        <w:spacing w:line="360" w:lineRule="auto"/>
        <w:ind w:firstLine="432" w:firstLineChars="200"/>
        <w:jc w:val="both"/>
        <w:rPr>
          <w:rFonts w:ascii="仿宋" w:hAnsi="仿宋" w:eastAsia="仿宋" w:cs="仿宋"/>
          <w:color w:val="auto"/>
          <w:spacing w:val="8"/>
          <w:sz w:val="20"/>
          <w:szCs w:val="20"/>
          <w:highlight w:val="none"/>
          <w:lang w:eastAsia="zh-CN"/>
        </w:rPr>
      </w:pPr>
      <w:r>
        <w:rPr>
          <w:rFonts w:ascii="仿宋" w:hAnsi="仿宋" w:eastAsia="仿宋" w:cs="仿宋"/>
          <w:color w:val="auto"/>
          <w:spacing w:val="8"/>
          <w:sz w:val="20"/>
          <w:szCs w:val="20"/>
          <w:highlight w:val="none"/>
          <w:lang w:eastAsia="zh-CN"/>
        </w:rPr>
        <w:t>如上述安全生产目标未实现，视为乙方严重违约。具体考核按本监理合同及委托人公司相关考核办法执行。</w:t>
      </w:r>
    </w:p>
    <w:p w14:paraId="54D67F7F">
      <w:pPr>
        <w:kinsoku/>
        <w:spacing w:line="360" w:lineRule="auto"/>
        <w:ind w:firstLine="416" w:firstLineChars="200"/>
        <w:jc w:val="both"/>
        <w:rPr>
          <w:color w:val="auto"/>
          <w:highlight w:val="none"/>
          <w:lang w:eastAsia="zh-CN"/>
        </w:rPr>
      </w:pPr>
      <w:r>
        <w:rPr>
          <w:rFonts w:ascii="仿宋" w:hAnsi="仿宋" w:eastAsia="仿宋" w:cs="仿宋"/>
          <w:color w:val="auto"/>
          <w:spacing w:val="4"/>
          <w:sz w:val="20"/>
          <w:szCs w:val="20"/>
          <w:highlight w:val="none"/>
          <w:lang w:eastAsia="zh-CN"/>
          <w14:textOutline w14:w="3797" w14:cap="sq" w14:cmpd="sng" w14:algn="ctr">
            <w14:solidFill>
              <w14:srgbClr w14:val="000000"/>
            </w14:solidFill>
            <w14:prstDash w14:val="solid"/>
            <w14:bevel/>
          </w14:textOutline>
        </w:rPr>
        <w:t>四、违约责任</w:t>
      </w:r>
    </w:p>
    <w:p w14:paraId="5351A468">
      <w:pPr>
        <w:kinsoku/>
        <w:spacing w:line="360" w:lineRule="auto"/>
        <w:ind w:left="399" w:leftChars="190"/>
        <w:jc w:val="both"/>
        <w:rPr>
          <w:rFonts w:ascii="仿宋" w:hAnsi="仿宋" w:eastAsia="仿宋" w:cs="仿宋"/>
          <w:b/>
          <w:bCs/>
          <w:color w:val="auto"/>
          <w:spacing w:val="8"/>
          <w:sz w:val="20"/>
          <w:szCs w:val="20"/>
          <w:highlight w:val="none"/>
          <w:lang w:eastAsia="zh-CN"/>
        </w:rPr>
      </w:pPr>
      <w:r>
        <w:rPr>
          <w:rFonts w:ascii="仿宋" w:hAnsi="仿宋" w:eastAsia="仿宋" w:cs="仿宋"/>
          <w:color w:val="auto"/>
          <w:spacing w:val="8"/>
          <w:sz w:val="20"/>
          <w:szCs w:val="20"/>
          <w:highlight w:val="none"/>
          <w:lang w:eastAsia="zh-CN"/>
        </w:rPr>
        <w:t xml:space="preserve">如因甲方或乙方违约造成安全事故，将依法追究责任。具体违约责任按照本监理合同约定执行。 </w:t>
      </w:r>
      <w:r>
        <w:rPr>
          <w:rFonts w:ascii="仿宋" w:hAnsi="仿宋" w:eastAsia="仿宋" w:cs="仿宋"/>
          <w:b/>
          <w:bCs/>
          <w:color w:val="auto"/>
          <w:spacing w:val="8"/>
          <w:sz w:val="20"/>
          <w:szCs w:val="20"/>
          <w:highlight w:val="none"/>
          <w:lang w:eastAsia="zh-CN"/>
        </w:rPr>
        <w:t>五、本协议是本监理合同中安全责任的重要补充，如与监理合同不符之处， 以监理合同为准。</w:t>
      </w:r>
    </w:p>
    <w:p w14:paraId="721BC5EB">
      <w:pPr>
        <w:kinsoku/>
        <w:spacing w:line="360" w:lineRule="auto"/>
        <w:ind w:firstLine="434" w:firstLineChars="200"/>
        <w:jc w:val="both"/>
        <w:rPr>
          <w:rFonts w:ascii="仿宋" w:hAnsi="仿宋" w:eastAsia="仿宋" w:cs="仿宋"/>
          <w:b/>
          <w:bCs/>
          <w:color w:val="auto"/>
          <w:spacing w:val="8"/>
          <w:sz w:val="20"/>
          <w:szCs w:val="20"/>
          <w:highlight w:val="none"/>
          <w:lang w:eastAsia="zh-CN"/>
        </w:rPr>
      </w:pPr>
      <w:r>
        <w:rPr>
          <w:rFonts w:ascii="仿宋" w:hAnsi="仿宋" w:eastAsia="仿宋" w:cs="仿宋"/>
          <w:b/>
          <w:bCs/>
          <w:color w:val="auto"/>
          <w:spacing w:val="8"/>
          <w:sz w:val="20"/>
          <w:szCs w:val="20"/>
          <w:highlight w:val="none"/>
          <w:lang w:eastAsia="zh-CN"/>
        </w:rPr>
        <w:t>六、本协议由双方法定代表人或其授权的代理人签署并加盖单位公章后生效，全部工程竣工验收后失效。</w:t>
      </w:r>
    </w:p>
    <w:p w14:paraId="2768C51D">
      <w:pPr>
        <w:kinsoku/>
        <w:spacing w:line="360" w:lineRule="auto"/>
        <w:ind w:firstLine="420" w:firstLineChars="200"/>
        <w:jc w:val="both"/>
        <w:rPr>
          <w:color w:val="auto"/>
          <w:highlight w:val="none"/>
          <w:lang w:eastAsia="zh-CN"/>
        </w:rPr>
        <w:sectPr>
          <w:pgSz w:w="11906" w:h="16838"/>
          <w:pgMar w:top="1134" w:right="1029" w:bottom="1361" w:left="1417" w:header="0" w:footer="1202" w:gutter="0"/>
          <w:cols w:space="0" w:num="1"/>
        </w:sectPr>
      </w:pPr>
    </w:p>
    <w:p w14:paraId="352AE92B">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甲方（委托人）： （盖章）                       </w:t>
      </w:r>
    </w:p>
    <w:p w14:paraId="0F34EBB7">
      <w:pPr>
        <w:kinsoku/>
        <w:spacing w:line="360" w:lineRule="auto"/>
        <w:ind w:firstLine="420" w:firstLineChars="200"/>
        <w:jc w:val="both"/>
        <w:rPr>
          <w:rFonts w:ascii="仿宋" w:hAnsi="仿宋" w:eastAsia="仿宋" w:cs="仿宋"/>
          <w:color w:val="auto"/>
          <w:highlight w:val="none"/>
          <w:lang w:eastAsia="zh-CN"/>
        </w:rPr>
      </w:pPr>
    </w:p>
    <w:p w14:paraId="0494A385">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法定代表（委托代理人）：                </w:t>
      </w:r>
    </w:p>
    <w:p w14:paraId="03D8DF3A">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乙方（监理人）：（盖章）</w:t>
      </w:r>
    </w:p>
    <w:p w14:paraId="22CDF7EB">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01387B4">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法定代表（委托代理人）：                </w:t>
      </w:r>
    </w:p>
    <w:p w14:paraId="78493F3D">
      <w:pPr>
        <w:kinsoku/>
        <w:spacing w:line="360" w:lineRule="auto"/>
        <w:ind w:firstLine="420" w:firstLineChars="200"/>
        <w:jc w:val="both"/>
        <w:rPr>
          <w:rFonts w:ascii="仿宋" w:hAnsi="仿宋" w:eastAsia="仿宋" w:cs="仿宋"/>
          <w:color w:val="auto"/>
          <w:highlight w:val="none"/>
          <w:lang w:eastAsia="zh-CN"/>
        </w:rPr>
        <w:sectPr>
          <w:type w:val="continuous"/>
          <w:pgSz w:w="11906" w:h="16838"/>
          <w:pgMar w:top="1417" w:right="1417" w:bottom="1417" w:left="1417" w:header="851" w:footer="992" w:gutter="0"/>
          <w:cols w:equalWidth="0" w:num="2">
            <w:col w:w="4323" w:space="425"/>
            <w:col w:w="4323"/>
          </w:cols>
          <w:docGrid w:type="lines" w:linePitch="312" w:charSpace="0"/>
        </w:sectPr>
      </w:pPr>
    </w:p>
    <w:p w14:paraId="3748EBC1">
      <w:pPr>
        <w:pStyle w:val="25"/>
        <w:kinsoku/>
        <w:spacing w:line="360" w:lineRule="auto"/>
        <w:ind w:firstLine="420" w:firstLineChars="200"/>
        <w:jc w:val="both"/>
        <w:rPr>
          <w:color w:val="auto"/>
          <w:highlight w:val="none"/>
          <w:lang w:eastAsia="zh-CN"/>
        </w:rPr>
      </w:pPr>
    </w:p>
    <w:p w14:paraId="4DB86676">
      <w:pPr>
        <w:kinsoku/>
        <w:spacing w:line="360" w:lineRule="auto"/>
        <w:ind w:firstLine="480" w:firstLineChars="200"/>
        <w:jc w:val="both"/>
        <w:rPr>
          <w:color w:val="auto"/>
          <w:sz w:val="24"/>
          <w:szCs w:val="24"/>
          <w:highlight w:val="none"/>
          <w:lang w:eastAsia="zh-CN"/>
        </w:rPr>
      </w:pPr>
    </w:p>
    <w:p w14:paraId="34CC3A21">
      <w:pPr>
        <w:kinsoku/>
        <w:spacing w:line="360" w:lineRule="auto"/>
        <w:ind w:firstLine="420"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签订日期：   年    月   日</w:t>
      </w:r>
    </w:p>
    <w:p w14:paraId="6ADEC63A">
      <w:pPr>
        <w:kinsoku/>
        <w:spacing w:line="360" w:lineRule="auto"/>
        <w:ind w:firstLine="400" w:firstLineChars="200"/>
        <w:jc w:val="both"/>
        <w:rPr>
          <w:rFonts w:ascii="仿宋" w:hAnsi="仿宋" w:eastAsia="仿宋" w:cs="仿宋"/>
          <w:color w:val="auto"/>
          <w:sz w:val="20"/>
          <w:szCs w:val="20"/>
          <w:highlight w:val="none"/>
          <w:lang w:eastAsia="zh-CN"/>
        </w:rPr>
        <w:sectPr>
          <w:type w:val="continuous"/>
          <w:pgSz w:w="11906" w:h="16838"/>
          <w:pgMar w:top="1134" w:right="1417" w:bottom="1361" w:left="1417" w:header="0" w:footer="1202" w:gutter="0"/>
          <w:cols w:space="0" w:num="1"/>
        </w:sectPr>
      </w:pPr>
    </w:p>
    <w:p w14:paraId="1A36E427">
      <w:pPr>
        <w:kinsoku/>
        <w:spacing w:line="360" w:lineRule="auto"/>
        <w:ind w:firstLine="420" w:firstLineChars="200"/>
        <w:jc w:val="both"/>
        <w:rPr>
          <w:color w:val="auto"/>
          <w:highlight w:val="none"/>
          <w:lang w:eastAsia="zh-CN"/>
        </w:rPr>
      </w:pPr>
    </w:p>
    <w:p w14:paraId="441FDF42">
      <w:pPr>
        <w:kinsoku/>
        <w:spacing w:line="262" w:lineRule="auto"/>
        <w:jc w:val="both"/>
        <w:rPr>
          <w:color w:val="auto"/>
          <w:highlight w:val="none"/>
          <w:lang w:eastAsia="zh-CN"/>
        </w:rPr>
      </w:pPr>
    </w:p>
    <w:p w14:paraId="5B7AD0A7">
      <w:pPr>
        <w:kinsoku/>
        <w:spacing w:before="78" w:line="224" w:lineRule="auto"/>
        <w:ind w:left="266"/>
        <w:jc w:val="both"/>
        <w:outlineLvl w:val="0"/>
        <w:rPr>
          <w:rFonts w:ascii="仿宋" w:hAnsi="仿宋" w:eastAsia="仿宋" w:cs="仿宋"/>
          <w:color w:val="auto"/>
          <w:sz w:val="24"/>
          <w:szCs w:val="24"/>
          <w:highlight w:val="none"/>
          <w:lang w:eastAsia="zh-CN"/>
        </w:rPr>
      </w:pPr>
      <w:bookmarkStart w:id="257" w:name="_Toc26230"/>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附件</w:t>
      </w:r>
      <w:r>
        <w:rPr>
          <w:rFonts w:ascii="仿宋" w:hAnsi="仿宋" w:eastAsia="仿宋" w:cs="仿宋"/>
          <w:color w:val="auto"/>
          <w:spacing w:val="-35"/>
          <w:sz w:val="24"/>
          <w:szCs w:val="24"/>
          <w:highlight w:val="none"/>
          <w:lang w:eastAsia="zh-CN"/>
        </w:rPr>
        <w:t xml:space="preserve"> </w:t>
      </w: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3</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监理人派遣的人员和提供的设备</w:t>
      </w:r>
      <w:bookmarkEnd w:id="257"/>
    </w:p>
    <w:p w14:paraId="1484140E">
      <w:pPr>
        <w:kinsoku/>
        <w:spacing w:line="292" w:lineRule="auto"/>
        <w:jc w:val="both"/>
        <w:rPr>
          <w:color w:val="auto"/>
          <w:highlight w:val="none"/>
          <w:lang w:eastAsia="zh-CN"/>
        </w:rPr>
      </w:pPr>
    </w:p>
    <w:p w14:paraId="06403FB4">
      <w:pPr>
        <w:kinsoku/>
        <w:spacing w:before="78" w:line="224" w:lineRule="auto"/>
        <w:ind w:left="249"/>
        <w:jc w:val="both"/>
        <w:outlineLvl w:val="2"/>
        <w:rPr>
          <w:rFonts w:ascii="仿宋" w:hAnsi="仿宋" w:eastAsia="仿宋" w:cs="仿宋"/>
          <w:color w:val="auto"/>
          <w:sz w:val="24"/>
          <w:szCs w:val="24"/>
          <w:highlight w:val="none"/>
          <w:lang w:eastAsia="zh-CN"/>
        </w:rPr>
      </w:pPr>
      <w:bookmarkStart w:id="258" w:name="_Toc9436"/>
      <w:r>
        <w:rPr>
          <w:rFonts w:ascii="仿宋" w:hAnsi="仿宋" w:eastAsia="仿宋" w:cs="仿宋"/>
          <w:color w:val="auto"/>
          <w:sz w:val="24"/>
          <w:szCs w:val="24"/>
          <w:highlight w:val="none"/>
          <w:lang w:eastAsia="zh-CN"/>
          <w14:textOutline w14:w="4356" w14:cap="sq" w14:cmpd="sng" w14:algn="ctr">
            <w14:solidFill>
              <w14:srgbClr w14:val="000000"/>
            </w14:solidFill>
            <w14:prstDash w14:val="solid"/>
            <w14:bevel/>
          </w14:textOutline>
        </w:rPr>
        <w:t>3-1</w:t>
      </w:r>
      <w:r>
        <w:rPr>
          <w:rFonts w:ascii="仿宋" w:hAnsi="仿宋" w:eastAsia="仿宋" w:cs="仿宋"/>
          <w:color w:val="auto"/>
          <w:sz w:val="24"/>
          <w:szCs w:val="24"/>
          <w:highlight w:val="none"/>
          <w:lang w:eastAsia="zh-CN"/>
        </w:rPr>
        <w:t xml:space="preserve">  </w:t>
      </w:r>
      <w:r>
        <w:rPr>
          <w:rFonts w:ascii="仿宋" w:hAnsi="仿宋" w:eastAsia="仿宋" w:cs="仿宋"/>
          <w:color w:val="auto"/>
          <w:sz w:val="24"/>
          <w:szCs w:val="24"/>
          <w:highlight w:val="none"/>
          <w:lang w:eastAsia="zh-CN"/>
          <w14:textOutline w14:w="4356" w14:cap="sq" w14:cmpd="sng" w14:algn="ctr">
            <w14:solidFill>
              <w14:srgbClr w14:val="000000"/>
            </w14:solidFill>
            <w14:prstDash w14:val="solid"/>
            <w14:bevel/>
          </w14:textOutline>
        </w:rPr>
        <w:t>监理人派遣的人员配备情况表</w:t>
      </w:r>
      <w:bookmarkEnd w:id="258"/>
    </w:p>
    <w:p w14:paraId="1E4350C6">
      <w:pPr>
        <w:kinsoku/>
        <w:spacing w:line="63" w:lineRule="exact"/>
        <w:jc w:val="both"/>
        <w:rPr>
          <w:color w:val="auto"/>
          <w:highlight w:val="none"/>
          <w:lang w:eastAsia="zh-CN"/>
        </w:rPr>
      </w:pPr>
    </w:p>
    <w:tbl>
      <w:tblPr>
        <w:tblStyle w:val="23"/>
        <w:tblW w:w="9790"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38"/>
        <w:gridCol w:w="1319"/>
        <w:gridCol w:w="931"/>
        <w:gridCol w:w="1647"/>
        <w:gridCol w:w="1379"/>
        <w:gridCol w:w="1402"/>
        <w:gridCol w:w="1687"/>
      </w:tblGrid>
      <w:tr w14:paraId="01AA2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87" w:type="dxa"/>
            <w:vMerge w:val="restart"/>
            <w:tcBorders>
              <w:bottom w:val="nil"/>
            </w:tcBorders>
            <w:textDirection w:val="tbRlV"/>
          </w:tcPr>
          <w:p w14:paraId="3821F05C">
            <w:pPr>
              <w:pStyle w:val="24"/>
              <w:kinsoku/>
              <w:spacing w:before="100" w:line="208" w:lineRule="auto"/>
              <w:ind w:left="203"/>
              <w:jc w:val="both"/>
              <w:rPr>
                <w:color w:val="auto"/>
                <w:sz w:val="28"/>
                <w:szCs w:val="28"/>
                <w:highlight w:val="none"/>
              </w:rPr>
            </w:pPr>
            <w:r>
              <w:rPr>
                <w:color w:val="auto"/>
                <w:spacing w:val="-1"/>
                <w:sz w:val="28"/>
                <w:szCs w:val="28"/>
                <w:highlight w:val="none"/>
              </w:rPr>
              <w:t>序</w:t>
            </w:r>
            <w:r>
              <w:rPr>
                <w:color w:val="auto"/>
                <w:spacing w:val="33"/>
                <w:sz w:val="28"/>
                <w:szCs w:val="28"/>
                <w:highlight w:val="none"/>
              </w:rPr>
              <w:t xml:space="preserve">   </w:t>
            </w:r>
            <w:r>
              <w:rPr>
                <w:color w:val="auto"/>
                <w:spacing w:val="-1"/>
                <w:sz w:val="28"/>
                <w:szCs w:val="28"/>
                <w:highlight w:val="none"/>
              </w:rPr>
              <w:t>号</w:t>
            </w:r>
          </w:p>
        </w:tc>
        <w:tc>
          <w:tcPr>
            <w:tcW w:w="838" w:type="dxa"/>
            <w:vMerge w:val="restart"/>
            <w:tcBorders>
              <w:bottom w:val="nil"/>
            </w:tcBorders>
            <w:textDirection w:val="tbRlV"/>
          </w:tcPr>
          <w:p w14:paraId="186010EC">
            <w:pPr>
              <w:pStyle w:val="24"/>
              <w:kinsoku/>
              <w:spacing w:before="297" w:line="212" w:lineRule="auto"/>
              <w:ind w:left="402"/>
              <w:jc w:val="both"/>
              <w:rPr>
                <w:color w:val="auto"/>
                <w:sz w:val="28"/>
                <w:szCs w:val="28"/>
                <w:highlight w:val="none"/>
              </w:rPr>
            </w:pPr>
            <w:r>
              <w:rPr>
                <w:color w:val="auto"/>
                <w:spacing w:val="-1"/>
                <w:sz w:val="28"/>
                <w:szCs w:val="28"/>
                <w:highlight w:val="none"/>
              </w:rPr>
              <w:t>姓</w:t>
            </w:r>
            <w:r>
              <w:rPr>
                <w:color w:val="auto"/>
                <w:spacing w:val="-19"/>
                <w:sz w:val="28"/>
                <w:szCs w:val="28"/>
                <w:highlight w:val="none"/>
              </w:rPr>
              <w:t xml:space="preserve"> </w:t>
            </w:r>
            <w:r>
              <w:rPr>
                <w:color w:val="auto"/>
                <w:spacing w:val="-1"/>
                <w:sz w:val="28"/>
                <w:szCs w:val="28"/>
                <w:highlight w:val="none"/>
              </w:rPr>
              <w:t>名</w:t>
            </w:r>
          </w:p>
        </w:tc>
        <w:tc>
          <w:tcPr>
            <w:tcW w:w="1319" w:type="dxa"/>
            <w:vMerge w:val="restart"/>
            <w:tcBorders>
              <w:bottom w:val="nil"/>
            </w:tcBorders>
          </w:tcPr>
          <w:p w14:paraId="25A2B0C3">
            <w:pPr>
              <w:kinsoku/>
              <w:spacing w:line="254" w:lineRule="auto"/>
              <w:jc w:val="both"/>
              <w:rPr>
                <w:color w:val="auto"/>
                <w:highlight w:val="none"/>
              </w:rPr>
            </w:pPr>
          </w:p>
          <w:p w14:paraId="32A2F1E6">
            <w:pPr>
              <w:kinsoku/>
              <w:spacing w:line="254" w:lineRule="auto"/>
              <w:jc w:val="both"/>
              <w:rPr>
                <w:color w:val="auto"/>
                <w:highlight w:val="none"/>
              </w:rPr>
            </w:pPr>
          </w:p>
          <w:p w14:paraId="2A23D333">
            <w:pPr>
              <w:pStyle w:val="24"/>
              <w:kinsoku/>
              <w:spacing w:before="91" w:line="219" w:lineRule="auto"/>
              <w:ind w:left="288"/>
              <w:jc w:val="both"/>
              <w:rPr>
                <w:color w:val="auto"/>
                <w:sz w:val="28"/>
                <w:szCs w:val="28"/>
                <w:highlight w:val="none"/>
              </w:rPr>
            </w:pPr>
            <w:r>
              <w:rPr>
                <w:color w:val="auto"/>
                <w:spacing w:val="-9"/>
                <w:sz w:val="28"/>
                <w:szCs w:val="28"/>
                <w:highlight w:val="none"/>
              </w:rPr>
              <w:t>专业</w:t>
            </w:r>
          </w:p>
        </w:tc>
        <w:tc>
          <w:tcPr>
            <w:tcW w:w="931" w:type="dxa"/>
            <w:vMerge w:val="restart"/>
            <w:tcBorders>
              <w:bottom w:val="nil"/>
            </w:tcBorders>
          </w:tcPr>
          <w:p w14:paraId="702F9EE7">
            <w:pPr>
              <w:kinsoku/>
              <w:spacing w:line="254" w:lineRule="auto"/>
              <w:jc w:val="both"/>
              <w:rPr>
                <w:color w:val="auto"/>
                <w:highlight w:val="none"/>
              </w:rPr>
            </w:pPr>
          </w:p>
          <w:p w14:paraId="5590EEAA">
            <w:pPr>
              <w:kinsoku/>
              <w:spacing w:line="254" w:lineRule="auto"/>
              <w:jc w:val="both"/>
              <w:rPr>
                <w:color w:val="auto"/>
                <w:highlight w:val="none"/>
              </w:rPr>
            </w:pPr>
          </w:p>
          <w:p w14:paraId="16CFC95C">
            <w:pPr>
              <w:pStyle w:val="24"/>
              <w:kinsoku/>
              <w:spacing w:before="91" w:line="216" w:lineRule="auto"/>
              <w:jc w:val="both"/>
              <w:rPr>
                <w:color w:val="auto"/>
                <w:sz w:val="28"/>
                <w:szCs w:val="28"/>
                <w:highlight w:val="none"/>
              </w:rPr>
            </w:pPr>
            <w:r>
              <w:rPr>
                <w:color w:val="auto"/>
                <w:spacing w:val="-12"/>
                <w:sz w:val="28"/>
                <w:szCs w:val="28"/>
                <w:highlight w:val="none"/>
              </w:rPr>
              <w:t>职</w:t>
            </w:r>
            <w:r>
              <w:rPr>
                <w:color w:val="auto"/>
                <w:spacing w:val="14"/>
                <w:sz w:val="28"/>
                <w:szCs w:val="28"/>
                <w:highlight w:val="none"/>
              </w:rPr>
              <w:t xml:space="preserve"> </w:t>
            </w:r>
            <w:r>
              <w:rPr>
                <w:color w:val="auto"/>
                <w:spacing w:val="-12"/>
                <w:sz w:val="28"/>
                <w:szCs w:val="28"/>
                <w:highlight w:val="none"/>
              </w:rPr>
              <w:t>称</w:t>
            </w:r>
          </w:p>
        </w:tc>
        <w:tc>
          <w:tcPr>
            <w:tcW w:w="4428" w:type="dxa"/>
            <w:gridSpan w:val="3"/>
          </w:tcPr>
          <w:p w14:paraId="69C6E1E0">
            <w:pPr>
              <w:pStyle w:val="24"/>
              <w:kinsoku/>
              <w:spacing w:before="284" w:line="218" w:lineRule="auto"/>
              <w:ind w:left="1395"/>
              <w:jc w:val="both"/>
              <w:rPr>
                <w:color w:val="auto"/>
                <w:sz w:val="28"/>
                <w:szCs w:val="28"/>
                <w:highlight w:val="none"/>
              </w:rPr>
            </w:pPr>
            <w:r>
              <w:rPr>
                <w:color w:val="auto"/>
                <w:spacing w:val="-2"/>
                <w:sz w:val="28"/>
                <w:szCs w:val="28"/>
                <w:highlight w:val="none"/>
              </w:rPr>
              <w:t>执业或职业资格证明</w:t>
            </w:r>
          </w:p>
        </w:tc>
        <w:tc>
          <w:tcPr>
            <w:tcW w:w="1687" w:type="dxa"/>
          </w:tcPr>
          <w:p w14:paraId="3B3FB632">
            <w:pPr>
              <w:pStyle w:val="24"/>
              <w:kinsoku/>
              <w:spacing w:before="86" w:line="235" w:lineRule="auto"/>
              <w:ind w:left="267" w:right="253" w:firstLine="5"/>
              <w:jc w:val="both"/>
              <w:rPr>
                <w:color w:val="auto"/>
                <w:sz w:val="28"/>
                <w:szCs w:val="28"/>
                <w:highlight w:val="none"/>
              </w:rPr>
            </w:pPr>
            <w:r>
              <w:rPr>
                <w:color w:val="auto"/>
                <w:spacing w:val="-5"/>
                <w:sz w:val="28"/>
                <w:szCs w:val="28"/>
                <w:highlight w:val="none"/>
              </w:rPr>
              <w:t>拟担任本</w:t>
            </w:r>
            <w:r>
              <w:rPr>
                <w:color w:val="auto"/>
                <w:sz w:val="28"/>
                <w:szCs w:val="28"/>
                <w:highlight w:val="none"/>
              </w:rPr>
              <w:t xml:space="preserve"> </w:t>
            </w:r>
            <w:r>
              <w:rPr>
                <w:color w:val="auto"/>
                <w:spacing w:val="-4"/>
                <w:sz w:val="28"/>
                <w:szCs w:val="28"/>
                <w:highlight w:val="none"/>
              </w:rPr>
              <w:t>项目职务</w:t>
            </w:r>
          </w:p>
        </w:tc>
      </w:tr>
      <w:tr w14:paraId="18B9A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7" w:type="dxa"/>
            <w:vMerge w:val="continue"/>
            <w:tcBorders>
              <w:top w:val="nil"/>
            </w:tcBorders>
            <w:textDirection w:val="tbRlV"/>
          </w:tcPr>
          <w:p w14:paraId="71801F99">
            <w:pPr>
              <w:kinsoku/>
              <w:jc w:val="both"/>
              <w:rPr>
                <w:color w:val="auto"/>
                <w:highlight w:val="none"/>
              </w:rPr>
            </w:pPr>
          </w:p>
        </w:tc>
        <w:tc>
          <w:tcPr>
            <w:tcW w:w="838" w:type="dxa"/>
            <w:vMerge w:val="continue"/>
            <w:tcBorders>
              <w:top w:val="nil"/>
            </w:tcBorders>
            <w:textDirection w:val="tbRlV"/>
          </w:tcPr>
          <w:p w14:paraId="4129709B">
            <w:pPr>
              <w:kinsoku/>
              <w:jc w:val="both"/>
              <w:rPr>
                <w:color w:val="auto"/>
                <w:highlight w:val="none"/>
              </w:rPr>
            </w:pPr>
          </w:p>
        </w:tc>
        <w:tc>
          <w:tcPr>
            <w:tcW w:w="1319" w:type="dxa"/>
            <w:vMerge w:val="continue"/>
            <w:tcBorders>
              <w:top w:val="nil"/>
            </w:tcBorders>
          </w:tcPr>
          <w:p w14:paraId="117CEAE8">
            <w:pPr>
              <w:kinsoku/>
              <w:jc w:val="both"/>
              <w:rPr>
                <w:color w:val="auto"/>
                <w:highlight w:val="none"/>
              </w:rPr>
            </w:pPr>
          </w:p>
        </w:tc>
        <w:tc>
          <w:tcPr>
            <w:tcW w:w="931" w:type="dxa"/>
            <w:vMerge w:val="continue"/>
            <w:tcBorders>
              <w:top w:val="nil"/>
            </w:tcBorders>
          </w:tcPr>
          <w:p w14:paraId="00353DF5">
            <w:pPr>
              <w:kinsoku/>
              <w:jc w:val="both"/>
              <w:rPr>
                <w:color w:val="auto"/>
                <w:highlight w:val="none"/>
              </w:rPr>
            </w:pPr>
          </w:p>
        </w:tc>
        <w:tc>
          <w:tcPr>
            <w:tcW w:w="1647" w:type="dxa"/>
          </w:tcPr>
          <w:p w14:paraId="79B285D3">
            <w:pPr>
              <w:pStyle w:val="24"/>
              <w:kinsoku/>
              <w:spacing w:before="174" w:line="216" w:lineRule="auto"/>
              <w:ind w:left="137"/>
              <w:jc w:val="both"/>
              <w:rPr>
                <w:color w:val="auto"/>
                <w:sz w:val="28"/>
                <w:szCs w:val="28"/>
                <w:highlight w:val="none"/>
              </w:rPr>
            </w:pPr>
            <w:r>
              <w:rPr>
                <w:color w:val="auto"/>
                <w:spacing w:val="-5"/>
                <w:sz w:val="28"/>
                <w:szCs w:val="28"/>
                <w:highlight w:val="none"/>
              </w:rPr>
              <w:t>证书名称</w:t>
            </w:r>
          </w:p>
        </w:tc>
        <w:tc>
          <w:tcPr>
            <w:tcW w:w="1379" w:type="dxa"/>
          </w:tcPr>
          <w:p w14:paraId="786161C0">
            <w:pPr>
              <w:pStyle w:val="24"/>
              <w:kinsoku/>
              <w:spacing w:before="174" w:line="219" w:lineRule="auto"/>
              <w:ind w:left="146"/>
              <w:jc w:val="both"/>
              <w:rPr>
                <w:color w:val="auto"/>
                <w:sz w:val="28"/>
                <w:szCs w:val="28"/>
                <w:highlight w:val="none"/>
              </w:rPr>
            </w:pPr>
            <w:r>
              <w:rPr>
                <w:color w:val="auto"/>
                <w:spacing w:val="-5"/>
                <w:sz w:val="28"/>
                <w:szCs w:val="28"/>
                <w:highlight w:val="none"/>
              </w:rPr>
              <w:t>证书编号</w:t>
            </w:r>
          </w:p>
        </w:tc>
        <w:tc>
          <w:tcPr>
            <w:tcW w:w="1402" w:type="dxa"/>
          </w:tcPr>
          <w:p w14:paraId="6EAC3987">
            <w:pPr>
              <w:pStyle w:val="24"/>
              <w:kinsoku/>
              <w:spacing w:before="173" w:line="219" w:lineRule="auto"/>
              <w:ind w:left="642"/>
              <w:jc w:val="both"/>
              <w:rPr>
                <w:color w:val="auto"/>
                <w:sz w:val="28"/>
                <w:szCs w:val="28"/>
                <w:highlight w:val="none"/>
              </w:rPr>
            </w:pPr>
            <w:r>
              <w:rPr>
                <w:color w:val="auto"/>
                <w:spacing w:val="-11"/>
                <w:sz w:val="28"/>
                <w:szCs w:val="28"/>
                <w:highlight w:val="none"/>
              </w:rPr>
              <w:t>级别</w:t>
            </w:r>
          </w:p>
        </w:tc>
        <w:tc>
          <w:tcPr>
            <w:tcW w:w="1687" w:type="dxa"/>
          </w:tcPr>
          <w:p w14:paraId="59FED6FC">
            <w:pPr>
              <w:kinsoku/>
              <w:jc w:val="both"/>
              <w:rPr>
                <w:color w:val="auto"/>
                <w:highlight w:val="none"/>
              </w:rPr>
            </w:pPr>
          </w:p>
        </w:tc>
      </w:tr>
      <w:tr w14:paraId="4CAB0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77C23F88">
            <w:pPr>
              <w:kinsoku/>
              <w:jc w:val="both"/>
              <w:rPr>
                <w:rFonts w:eastAsia="宋体"/>
                <w:color w:val="auto"/>
                <w:highlight w:val="none"/>
              </w:rPr>
            </w:pPr>
          </w:p>
        </w:tc>
        <w:tc>
          <w:tcPr>
            <w:tcW w:w="838" w:type="dxa"/>
            <w:vAlign w:val="center"/>
          </w:tcPr>
          <w:p w14:paraId="7258D1BB">
            <w:pPr>
              <w:kinsoku/>
              <w:jc w:val="both"/>
              <w:rPr>
                <w:rFonts w:eastAsia="宋体"/>
                <w:color w:val="auto"/>
                <w:highlight w:val="none"/>
                <w:lang w:eastAsia="zh-CN"/>
              </w:rPr>
            </w:pPr>
          </w:p>
        </w:tc>
        <w:tc>
          <w:tcPr>
            <w:tcW w:w="1319" w:type="dxa"/>
            <w:vAlign w:val="center"/>
          </w:tcPr>
          <w:p w14:paraId="26940EA9">
            <w:pPr>
              <w:kinsoku/>
              <w:jc w:val="both"/>
              <w:rPr>
                <w:rFonts w:eastAsia="宋体"/>
                <w:color w:val="auto"/>
                <w:highlight w:val="none"/>
                <w:lang w:eastAsia="zh-CN"/>
              </w:rPr>
            </w:pPr>
          </w:p>
        </w:tc>
        <w:tc>
          <w:tcPr>
            <w:tcW w:w="931" w:type="dxa"/>
            <w:vAlign w:val="center"/>
          </w:tcPr>
          <w:p w14:paraId="366A8441">
            <w:pPr>
              <w:kinsoku/>
              <w:jc w:val="both"/>
              <w:rPr>
                <w:rFonts w:eastAsia="宋体"/>
                <w:color w:val="auto"/>
                <w:highlight w:val="none"/>
                <w:lang w:eastAsia="zh-CN"/>
              </w:rPr>
            </w:pPr>
          </w:p>
        </w:tc>
        <w:tc>
          <w:tcPr>
            <w:tcW w:w="1647" w:type="dxa"/>
            <w:vAlign w:val="center"/>
          </w:tcPr>
          <w:p w14:paraId="0E9E8FE0">
            <w:pPr>
              <w:kinsoku/>
              <w:jc w:val="both"/>
              <w:rPr>
                <w:rFonts w:eastAsia="宋体"/>
                <w:color w:val="auto"/>
                <w:highlight w:val="none"/>
                <w:lang w:eastAsia="zh-CN"/>
              </w:rPr>
            </w:pPr>
          </w:p>
        </w:tc>
        <w:tc>
          <w:tcPr>
            <w:tcW w:w="1379" w:type="dxa"/>
            <w:vAlign w:val="center"/>
          </w:tcPr>
          <w:p w14:paraId="17FB0977">
            <w:pPr>
              <w:kinsoku/>
              <w:jc w:val="both"/>
              <w:rPr>
                <w:rFonts w:eastAsia="宋体"/>
                <w:color w:val="auto"/>
                <w:highlight w:val="none"/>
                <w:lang w:eastAsia="zh-CN"/>
              </w:rPr>
            </w:pPr>
          </w:p>
        </w:tc>
        <w:tc>
          <w:tcPr>
            <w:tcW w:w="1402" w:type="dxa"/>
            <w:vAlign w:val="center"/>
          </w:tcPr>
          <w:p w14:paraId="63832EF9">
            <w:pPr>
              <w:kinsoku/>
              <w:jc w:val="both"/>
              <w:rPr>
                <w:rFonts w:eastAsia="宋体"/>
                <w:color w:val="auto"/>
                <w:highlight w:val="none"/>
                <w:lang w:eastAsia="zh-CN"/>
              </w:rPr>
            </w:pPr>
          </w:p>
        </w:tc>
        <w:tc>
          <w:tcPr>
            <w:tcW w:w="1687" w:type="dxa"/>
            <w:vAlign w:val="center"/>
          </w:tcPr>
          <w:p w14:paraId="6724A633">
            <w:pPr>
              <w:kinsoku/>
              <w:jc w:val="both"/>
              <w:rPr>
                <w:rFonts w:eastAsia="宋体"/>
                <w:color w:val="auto"/>
                <w:highlight w:val="none"/>
                <w:lang w:eastAsia="zh-CN"/>
              </w:rPr>
            </w:pPr>
          </w:p>
        </w:tc>
      </w:tr>
      <w:tr w14:paraId="6D374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6E41A66D">
            <w:pPr>
              <w:kinsoku/>
              <w:jc w:val="both"/>
              <w:rPr>
                <w:rFonts w:eastAsia="宋体"/>
                <w:color w:val="auto"/>
                <w:highlight w:val="none"/>
              </w:rPr>
            </w:pPr>
          </w:p>
        </w:tc>
        <w:tc>
          <w:tcPr>
            <w:tcW w:w="838" w:type="dxa"/>
            <w:vAlign w:val="center"/>
          </w:tcPr>
          <w:p w14:paraId="3A250459">
            <w:pPr>
              <w:kinsoku/>
              <w:jc w:val="both"/>
              <w:rPr>
                <w:rFonts w:eastAsia="宋体"/>
                <w:color w:val="auto"/>
                <w:highlight w:val="none"/>
              </w:rPr>
            </w:pPr>
          </w:p>
        </w:tc>
        <w:tc>
          <w:tcPr>
            <w:tcW w:w="1319" w:type="dxa"/>
            <w:vAlign w:val="center"/>
          </w:tcPr>
          <w:p w14:paraId="702254A7">
            <w:pPr>
              <w:kinsoku/>
              <w:jc w:val="both"/>
              <w:rPr>
                <w:rFonts w:eastAsia="宋体"/>
                <w:color w:val="auto"/>
                <w:highlight w:val="none"/>
                <w:lang w:eastAsia="zh-CN"/>
              </w:rPr>
            </w:pPr>
          </w:p>
        </w:tc>
        <w:tc>
          <w:tcPr>
            <w:tcW w:w="931" w:type="dxa"/>
            <w:vAlign w:val="center"/>
          </w:tcPr>
          <w:p w14:paraId="4CCDD2A8">
            <w:pPr>
              <w:kinsoku/>
              <w:jc w:val="both"/>
              <w:rPr>
                <w:rFonts w:eastAsia="宋体"/>
                <w:color w:val="auto"/>
                <w:highlight w:val="none"/>
                <w:lang w:eastAsia="zh-CN"/>
              </w:rPr>
            </w:pPr>
          </w:p>
        </w:tc>
        <w:tc>
          <w:tcPr>
            <w:tcW w:w="1647" w:type="dxa"/>
            <w:vAlign w:val="center"/>
          </w:tcPr>
          <w:p w14:paraId="02B278D1">
            <w:pPr>
              <w:kinsoku/>
              <w:jc w:val="both"/>
              <w:rPr>
                <w:rFonts w:eastAsia="宋体"/>
                <w:color w:val="auto"/>
                <w:highlight w:val="none"/>
                <w:lang w:eastAsia="zh-CN"/>
              </w:rPr>
            </w:pPr>
          </w:p>
        </w:tc>
        <w:tc>
          <w:tcPr>
            <w:tcW w:w="1379" w:type="dxa"/>
            <w:vAlign w:val="center"/>
          </w:tcPr>
          <w:p w14:paraId="14AAF6B5">
            <w:pPr>
              <w:kinsoku/>
              <w:jc w:val="both"/>
              <w:rPr>
                <w:rFonts w:eastAsia="宋体"/>
                <w:color w:val="auto"/>
                <w:highlight w:val="none"/>
                <w:lang w:eastAsia="zh-CN"/>
              </w:rPr>
            </w:pPr>
          </w:p>
        </w:tc>
        <w:tc>
          <w:tcPr>
            <w:tcW w:w="1402" w:type="dxa"/>
            <w:vAlign w:val="center"/>
          </w:tcPr>
          <w:p w14:paraId="72973700">
            <w:pPr>
              <w:kinsoku/>
              <w:jc w:val="both"/>
              <w:rPr>
                <w:rFonts w:eastAsia="宋体"/>
                <w:color w:val="auto"/>
                <w:highlight w:val="none"/>
                <w:lang w:eastAsia="zh-CN"/>
              </w:rPr>
            </w:pPr>
          </w:p>
        </w:tc>
        <w:tc>
          <w:tcPr>
            <w:tcW w:w="1687" w:type="dxa"/>
            <w:vAlign w:val="center"/>
          </w:tcPr>
          <w:p w14:paraId="35BC3B87">
            <w:pPr>
              <w:kinsoku/>
              <w:jc w:val="both"/>
              <w:rPr>
                <w:rFonts w:eastAsia="宋体"/>
                <w:color w:val="auto"/>
                <w:highlight w:val="none"/>
              </w:rPr>
            </w:pPr>
          </w:p>
        </w:tc>
      </w:tr>
      <w:tr w14:paraId="0A685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48C6D177">
            <w:pPr>
              <w:kinsoku/>
              <w:jc w:val="both"/>
              <w:rPr>
                <w:rFonts w:eastAsia="宋体"/>
                <w:color w:val="auto"/>
                <w:highlight w:val="none"/>
              </w:rPr>
            </w:pPr>
          </w:p>
        </w:tc>
        <w:tc>
          <w:tcPr>
            <w:tcW w:w="838" w:type="dxa"/>
            <w:vAlign w:val="center"/>
          </w:tcPr>
          <w:p w14:paraId="1F5C53B6">
            <w:pPr>
              <w:kinsoku/>
              <w:jc w:val="both"/>
              <w:rPr>
                <w:rFonts w:eastAsia="宋体"/>
                <w:color w:val="auto"/>
                <w:highlight w:val="none"/>
              </w:rPr>
            </w:pPr>
          </w:p>
        </w:tc>
        <w:tc>
          <w:tcPr>
            <w:tcW w:w="1319" w:type="dxa"/>
            <w:vAlign w:val="center"/>
          </w:tcPr>
          <w:p w14:paraId="09A06336">
            <w:pPr>
              <w:kinsoku/>
              <w:jc w:val="both"/>
              <w:rPr>
                <w:rFonts w:eastAsia="宋体"/>
                <w:color w:val="auto"/>
                <w:highlight w:val="none"/>
                <w:lang w:eastAsia="zh-CN"/>
              </w:rPr>
            </w:pPr>
          </w:p>
        </w:tc>
        <w:tc>
          <w:tcPr>
            <w:tcW w:w="931" w:type="dxa"/>
            <w:vAlign w:val="center"/>
          </w:tcPr>
          <w:p w14:paraId="2AB920D7">
            <w:pPr>
              <w:kinsoku/>
              <w:jc w:val="both"/>
              <w:rPr>
                <w:rFonts w:eastAsia="宋体"/>
                <w:color w:val="auto"/>
                <w:highlight w:val="none"/>
                <w:lang w:eastAsia="zh-CN"/>
              </w:rPr>
            </w:pPr>
          </w:p>
        </w:tc>
        <w:tc>
          <w:tcPr>
            <w:tcW w:w="1647" w:type="dxa"/>
            <w:vAlign w:val="center"/>
          </w:tcPr>
          <w:p w14:paraId="7CC56340">
            <w:pPr>
              <w:kinsoku/>
              <w:jc w:val="both"/>
              <w:rPr>
                <w:rFonts w:eastAsia="宋体"/>
                <w:color w:val="auto"/>
                <w:highlight w:val="none"/>
                <w:lang w:eastAsia="zh-CN"/>
              </w:rPr>
            </w:pPr>
          </w:p>
        </w:tc>
        <w:tc>
          <w:tcPr>
            <w:tcW w:w="1379" w:type="dxa"/>
            <w:vAlign w:val="center"/>
          </w:tcPr>
          <w:p w14:paraId="7116E58C">
            <w:pPr>
              <w:kinsoku/>
              <w:jc w:val="both"/>
              <w:rPr>
                <w:rFonts w:eastAsia="宋体"/>
                <w:color w:val="auto"/>
                <w:highlight w:val="none"/>
                <w:lang w:eastAsia="zh-CN"/>
              </w:rPr>
            </w:pPr>
          </w:p>
        </w:tc>
        <w:tc>
          <w:tcPr>
            <w:tcW w:w="1402" w:type="dxa"/>
            <w:vAlign w:val="center"/>
          </w:tcPr>
          <w:p w14:paraId="740BFCD0">
            <w:pPr>
              <w:kinsoku/>
              <w:jc w:val="both"/>
              <w:rPr>
                <w:rFonts w:eastAsia="宋体"/>
                <w:color w:val="auto"/>
                <w:highlight w:val="none"/>
                <w:lang w:eastAsia="zh-CN"/>
              </w:rPr>
            </w:pPr>
          </w:p>
        </w:tc>
        <w:tc>
          <w:tcPr>
            <w:tcW w:w="1687" w:type="dxa"/>
            <w:vAlign w:val="center"/>
          </w:tcPr>
          <w:p w14:paraId="56431827">
            <w:pPr>
              <w:kinsoku/>
              <w:jc w:val="both"/>
              <w:rPr>
                <w:rFonts w:eastAsia="宋体"/>
                <w:color w:val="auto"/>
                <w:highlight w:val="none"/>
                <w:lang w:eastAsia="zh-CN"/>
              </w:rPr>
            </w:pPr>
          </w:p>
        </w:tc>
      </w:tr>
      <w:tr w14:paraId="264D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6E31178F">
            <w:pPr>
              <w:kinsoku/>
              <w:jc w:val="both"/>
              <w:rPr>
                <w:rFonts w:eastAsia="宋体"/>
                <w:color w:val="auto"/>
                <w:highlight w:val="none"/>
              </w:rPr>
            </w:pPr>
          </w:p>
        </w:tc>
        <w:tc>
          <w:tcPr>
            <w:tcW w:w="838" w:type="dxa"/>
            <w:vAlign w:val="center"/>
          </w:tcPr>
          <w:p w14:paraId="474D95DB">
            <w:pPr>
              <w:kinsoku/>
              <w:jc w:val="both"/>
              <w:rPr>
                <w:rFonts w:eastAsia="宋体"/>
                <w:color w:val="auto"/>
                <w:highlight w:val="none"/>
              </w:rPr>
            </w:pPr>
          </w:p>
        </w:tc>
        <w:tc>
          <w:tcPr>
            <w:tcW w:w="1319" w:type="dxa"/>
            <w:vAlign w:val="center"/>
          </w:tcPr>
          <w:p w14:paraId="672E3B96">
            <w:pPr>
              <w:kinsoku/>
              <w:jc w:val="both"/>
              <w:rPr>
                <w:rFonts w:eastAsia="宋体"/>
                <w:color w:val="auto"/>
                <w:highlight w:val="none"/>
                <w:lang w:eastAsia="zh-CN"/>
              </w:rPr>
            </w:pPr>
          </w:p>
        </w:tc>
        <w:tc>
          <w:tcPr>
            <w:tcW w:w="931" w:type="dxa"/>
            <w:vAlign w:val="center"/>
          </w:tcPr>
          <w:p w14:paraId="2FE472DC">
            <w:pPr>
              <w:kinsoku/>
              <w:jc w:val="both"/>
              <w:rPr>
                <w:rFonts w:eastAsia="宋体"/>
                <w:color w:val="auto"/>
                <w:highlight w:val="none"/>
              </w:rPr>
            </w:pPr>
          </w:p>
        </w:tc>
        <w:tc>
          <w:tcPr>
            <w:tcW w:w="1647" w:type="dxa"/>
            <w:vAlign w:val="center"/>
          </w:tcPr>
          <w:p w14:paraId="547E0548">
            <w:pPr>
              <w:kinsoku/>
              <w:jc w:val="both"/>
              <w:rPr>
                <w:rFonts w:eastAsia="宋体"/>
                <w:color w:val="auto"/>
                <w:highlight w:val="none"/>
                <w:lang w:eastAsia="zh-CN"/>
              </w:rPr>
            </w:pPr>
          </w:p>
        </w:tc>
        <w:tc>
          <w:tcPr>
            <w:tcW w:w="1379" w:type="dxa"/>
            <w:vAlign w:val="center"/>
          </w:tcPr>
          <w:p w14:paraId="4ADA7BE8">
            <w:pPr>
              <w:kinsoku/>
              <w:jc w:val="both"/>
              <w:rPr>
                <w:rFonts w:eastAsia="宋体"/>
                <w:color w:val="auto"/>
                <w:highlight w:val="none"/>
                <w:lang w:eastAsia="zh-CN"/>
              </w:rPr>
            </w:pPr>
          </w:p>
        </w:tc>
        <w:tc>
          <w:tcPr>
            <w:tcW w:w="1402" w:type="dxa"/>
            <w:vAlign w:val="center"/>
          </w:tcPr>
          <w:p w14:paraId="3CDADF85">
            <w:pPr>
              <w:kinsoku/>
              <w:jc w:val="both"/>
              <w:rPr>
                <w:rFonts w:eastAsia="宋体"/>
                <w:color w:val="auto"/>
                <w:highlight w:val="none"/>
                <w:lang w:eastAsia="zh-CN"/>
              </w:rPr>
            </w:pPr>
          </w:p>
        </w:tc>
        <w:tc>
          <w:tcPr>
            <w:tcW w:w="1687" w:type="dxa"/>
            <w:vAlign w:val="center"/>
          </w:tcPr>
          <w:p w14:paraId="39A55EFB">
            <w:pPr>
              <w:kinsoku/>
              <w:jc w:val="both"/>
              <w:rPr>
                <w:rFonts w:eastAsia="宋体"/>
                <w:color w:val="auto"/>
                <w:highlight w:val="none"/>
              </w:rPr>
            </w:pPr>
          </w:p>
        </w:tc>
      </w:tr>
      <w:tr w14:paraId="33038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1FC1CDC9">
            <w:pPr>
              <w:kinsoku/>
              <w:jc w:val="both"/>
              <w:rPr>
                <w:rFonts w:eastAsia="宋体"/>
                <w:color w:val="auto"/>
                <w:highlight w:val="none"/>
                <w:lang w:eastAsia="zh-CN"/>
              </w:rPr>
            </w:pPr>
          </w:p>
        </w:tc>
        <w:tc>
          <w:tcPr>
            <w:tcW w:w="838" w:type="dxa"/>
            <w:vAlign w:val="center"/>
          </w:tcPr>
          <w:p w14:paraId="13265F7C">
            <w:pPr>
              <w:kinsoku/>
              <w:jc w:val="both"/>
              <w:rPr>
                <w:rFonts w:eastAsia="宋体"/>
                <w:color w:val="auto"/>
                <w:highlight w:val="none"/>
              </w:rPr>
            </w:pPr>
          </w:p>
        </w:tc>
        <w:tc>
          <w:tcPr>
            <w:tcW w:w="1319" w:type="dxa"/>
            <w:vAlign w:val="center"/>
          </w:tcPr>
          <w:p w14:paraId="2B41780A">
            <w:pPr>
              <w:kinsoku/>
              <w:jc w:val="both"/>
              <w:rPr>
                <w:rFonts w:eastAsia="宋体"/>
                <w:color w:val="auto"/>
                <w:highlight w:val="none"/>
                <w:lang w:eastAsia="zh-CN"/>
              </w:rPr>
            </w:pPr>
          </w:p>
        </w:tc>
        <w:tc>
          <w:tcPr>
            <w:tcW w:w="931" w:type="dxa"/>
            <w:vAlign w:val="center"/>
          </w:tcPr>
          <w:p w14:paraId="31DA8989">
            <w:pPr>
              <w:kinsoku/>
              <w:jc w:val="both"/>
              <w:rPr>
                <w:rFonts w:eastAsia="宋体"/>
                <w:color w:val="auto"/>
                <w:highlight w:val="none"/>
              </w:rPr>
            </w:pPr>
          </w:p>
        </w:tc>
        <w:tc>
          <w:tcPr>
            <w:tcW w:w="1647" w:type="dxa"/>
            <w:vAlign w:val="center"/>
          </w:tcPr>
          <w:p w14:paraId="590502F6">
            <w:pPr>
              <w:kinsoku/>
              <w:jc w:val="both"/>
              <w:rPr>
                <w:rFonts w:eastAsia="宋体"/>
                <w:color w:val="auto"/>
                <w:highlight w:val="none"/>
                <w:lang w:eastAsia="zh-CN"/>
              </w:rPr>
            </w:pPr>
          </w:p>
        </w:tc>
        <w:tc>
          <w:tcPr>
            <w:tcW w:w="1379" w:type="dxa"/>
            <w:vAlign w:val="center"/>
          </w:tcPr>
          <w:p w14:paraId="5176087C">
            <w:pPr>
              <w:kinsoku/>
              <w:jc w:val="both"/>
              <w:rPr>
                <w:rFonts w:eastAsia="宋体"/>
                <w:color w:val="auto"/>
                <w:highlight w:val="none"/>
                <w:lang w:eastAsia="zh-CN"/>
              </w:rPr>
            </w:pPr>
          </w:p>
        </w:tc>
        <w:tc>
          <w:tcPr>
            <w:tcW w:w="1402" w:type="dxa"/>
            <w:vAlign w:val="center"/>
          </w:tcPr>
          <w:p w14:paraId="56F26FE1">
            <w:pPr>
              <w:kinsoku/>
              <w:jc w:val="both"/>
              <w:rPr>
                <w:rFonts w:eastAsia="宋体"/>
                <w:color w:val="auto"/>
                <w:highlight w:val="none"/>
                <w:lang w:eastAsia="zh-CN"/>
              </w:rPr>
            </w:pPr>
          </w:p>
        </w:tc>
        <w:tc>
          <w:tcPr>
            <w:tcW w:w="1687" w:type="dxa"/>
            <w:vAlign w:val="center"/>
          </w:tcPr>
          <w:p w14:paraId="4D3F3ED8">
            <w:pPr>
              <w:kinsoku/>
              <w:jc w:val="both"/>
              <w:rPr>
                <w:rFonts w:eastAsia="宋体"/>
                <w:color w:val="auto"/>
                <w:highlight w:val="none"/>
              </w:rPr>
            </w:pPr>
          </w:p>
        </w:tc>
      </w:tr>
      <w:tr w14:paraId="0F1B8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587" w:type="dxa"/>
            <w:vAlign w:val="center"/>
          </w:tcPr>
          <w:p w14:paraId="29D097B1">
            <w:pPr>
              <w:kinsoku/>
              <w:jc w:val="both"/>
              <w:rPr>
                <w:rFonts w:eastAsia="宋体"/>
                <w:color w:val="auto"/>
                <w:highlight w:val="none"/>
                <w:lang w:eastAsia="zh-CN"/>
              </w:rPr>
            </w:pPr>
          </w:p>
        </w:tc>
        <w:tc>
          <w:tcPr>
            <w:tcW w:w="838" w:type="dxa"/>
            <w:vAlign w:val="center"/>
          </w:tcPr>
          <w:p w14:paraId="4800310D">
            <w:pPr>
              <w:kinsoku/>
              <w:jc w:val="both"/>
              <w:rPr>
                <w:rFonts w:eastAsia="宋体"/>
                <w:color w:val="auto"/>
                <w:highlight w:val="none"/>
              </w:rPr>
            </w:pPr>
          </w:p>
        </w:tc>
        <w:tc>
          <w:tcPr>
            <w:tcW w:w="1319" w:type="dxa"/>
            <w:vAlign w:val="center"/>
          </w:tcPr>
          <w:p w14:paraId="1D3E5167">
            <w:pPr>
              <w:kinsoku/>
              <w:jc w:val="both"/>
              <w:rPr>
                <w:rFonts w:eastAsia="宋体"/>
                <w:color w:val="auto"/>
                <w:highlight w:val="none"/>
                <w:lang w:eastAsia="zh-CN"/>
              </w:rPr>
            </w:pPr>
          </w:p>
        </w:tc>
        <w:tc>
          <w:tcPr>
            <w:tcW w:w="931" w:type="dxa"/>
            <w:vAlign w:val="center"/>
          </w:tcPr>
          <w:p w14:paraId="2611DD6B">
            <w:pPr>
              <w:kinsoku/>
              <w:jc w:val="both"/>
              <w:rPr>
                <w:rFonts w:eastAsia="宋体"/>
                <w:color w:val="auto"/>
                <w:highlight w:val="none"/>
              </w:rPr>
            </w:pPr>
          </w:p>
        </w:tc>
        <w:tc>
          <w:tcPr>
            <w:tcW w:w="1647" w:type="dxa"/>
            <w:vAlign w:val="center"/>
          </w:tcPr>
          <w:p w14:paraId="58A8DFFC">
            <w:pPr>
              <w:kinsoku/>
              <w:jc w:val="both"/>
              <w:rPr>
                <w:rFonts w:eastAsia="宋体"/>
                <w:color w:val="auto"/>
                <w:highlight w:val="none"/>
                <w:lang w:eastAsia="zh-CN"/>
              </w:rPr>
            </w:pPr>
          </w:p>
        </w:tc>
        <w:tc>
          <w:tcPr>
            <w:tcW w:w="1379" w:type="dxa"/>
            <w:vAlign w:val="center"/>
          </w:tcPr>
          <w:p w14:paraId="3ED2B93E">
            <w:pPr>
              <w:kinsoku/>
              <w:jc w:val="both"/>
              <w:rPr>
                <w:rFonts w:eastAsia="宋体"/>
                <w:color w:val="auto"/>
                <w:highlight w:val="none"/>
                <w:lang w:eastAsia="zh-CN"/>
              </w:rPr>
            </w:pPr>
          </w:p>
        </w:tc>
        <w:tc>
          <w:tcPr>
            <w:tcW w:w="1402" w:type="dxa"/>
            <w:vAlign w:val="center"/>
          </w:tcPr>
          <w:p w14:paraId="2C49DF5D">
            <w:pPr>
              <w:kinsoku/>
              <w:jc w:val="both"/>
              <w:rPr>
                <w:rFonts w:eastAsia="宋体"/>
                <w:color w:val="auto"/>
                <w:highlight w:val="none"/>
                <w:lang w:eastAsia="zh-CN"/>
              </w:rPr>
            </w:pPr>
          </w:p>
        </w:tc>
        <w:tc>
          <w:tcPr>
            <w:tcW w:w="1687" w:type="dxa"/>
            <w:vAlign w:val="center"/>
          </w:tcPr>
          <w:p w14:paraId="60F77171">
            <w:pPr>
              <w:kinsoku/>
              <w:jc w:val="both"/>
              <w:rPr>
                <w:rFonts w:eastAsia="宋体"/>
                <w:color w:val="auto"/>
                <w:highlight w:val="none"/>
              </w:rPr>
            </w:pPr>
          </w:p>
        </w:tc>
      </w:tr>
    </w:tbl>
    <w:p w14:paraId="460C7B4F">
      <w:pPr>
        <w:kinsoku/>
        <w:spacing w:line="250" w:lineRule="auto"/>
        <w:jc w:val="both"/>
        <w:rPr>
          <w:color w:val="auto"/>
          <w:highlight w:val="none"/>
        </w:rPr>
      </w:pPr>
    </w:p>
    <w:p w14:paraId="0460D95F">
      <w:pPr>
        <w:kinsoku/>
        <w:spacing w:line="251" w:lineRule="auto"/>
        <w:jc w:val="both"/>
        <w:rPr>
          <w:color w:val="auto"/>
          <w:highlight w:val="none"/>
        </w:rPr>
      </w:pPr>
    </w:p>
    <w:p w14:paraId="2CDD7035">
      <w:pPr>
        <w:kinsoku/>
        <w:spacing w:before="78" w:line="221" w:lineRule="auto"/>
        <w:ind w:left="255"/>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说明：1.表中人员如需变换，应按照通用</w:t>
      </w:r>
      <w:r>
        <w:rPr>
          <w:rFonts w:ascii="仿宋" w:hAnsi="仿宋" w:eastAsia="仿宋" w:cs="仿宋"/>
          <w:color w:val="auto"/>
          <w:spacing w:val="-2"/>
          <w:sz w:val="24"/>
          <w:szCs w:val="24"/>
          <w:highlight w:val="none"/>
          <w:lang w:eastAsia="zh-CN"/>
        </w:rPr>
        <w:t>条款第 2.3.3</w:t>
      </w:r>
      <w:r>
        <w:rPr>
          <w:rFonts w:ascii="仿宋" w:hAnsi="仿宋" w:eastAsia="仿宋" w:cs="仿宋"/>
          <w:color w:val="auto"/>
          <w:spacing w:val="34"/>
          <w:sz w:val="24"/>
          <w:szCs w:val="24"/>
          <w:highlight w:val="none"/>
          <w:lang w:eastAsia="zh-CN"/>
        </w:rPr>
        <w:t xml:space="preserve"> </w:t>
      </w:r>
      <w:r>
        <w:rPr>
          <w:rFonts w:ascii="仿宋" w:hAnsi="仿宋" w:eastAsia="仿宋" w:cs="仿宋"/>
          <w:color w:val="auto"/>
          <w:spacing w:val="-2"/>
          <w:sz w:val="24"/>
          <w:szCs w:val="24"/>
          <w:highlight w:val="none"/>
          <w:lang w:eastAsia="zh-CN"/>
        </w:rPr>
        <w:t>、2.3</w:t>
      </w:r>
      <w:r>
        <w:rPr>
          <w:rFonts w:hint="eastAsia" w:ascii="仿宋" w:hAnsi="仿宋" w:eastAsia="仿宋" w:cs="仿宋"/>
          <w:color w:val="auto"/>
          <w:spacing w:val="-2"/>
          <w:sz w:val="24"/>
          <w:szCs w:val="24"/>
          <w:highlight w:val="none"/>
          <w:lang w:eastAsia="zh-CN"/>
        </w:rPr>
        <w:t>.</w:t>
      </w:r>
      <w:r>
        <w:rPr>
          <w:rFonts w:ascii="仿宋" w:hAnsi="仿宋" w:eastAsia="仿宋" w:cs="仿宋"/>
          <w:color w:val="auto"/>
          <w:spacing w:val="-2"/>
          <w:sz w:val="24"/>
          <w:szCs w:val="24"/>
          <w:highlight w:val="none"/>
          <w:lang w:eastAsia="zh-CN"/>
        </w:rPr>
        <w:t>4、2.3.5</w:t>
      </w:r>
      <w:r>
        <w:rPr>
          <w:rFonts w:ascii="仿宋" w:hAnsi="仿宋" w:eastAsia="仿宋" w:cs="仿宋"/>
          <w:color w:val="auto"/>
          <w:spacing w:val="-41"/>
          <w:sz w:val="24"/>
          <w:szCs w:val="24"/>
          <w:highlight w:val="none"/>
          <w:lang w:eastAsia="zh-CN"/>
        </w:rPr>
        <w:t xml:space="preserve"> </w:t>
      </w:r>
      <w:r>
        <w:rPr>
          <w:rFonts w:ascii="仿宋" w:hAnsi="仿宋" w:eastAsia="仿宋" w:cs="仿宋"/>
          <w:color w:val="auto"/>
          <w:spacing w:val="-2"/>
          <w:sz w:val="24"/>
          <w:szCs w:val="24"/>
          <w:highlight w:val="none"/>
          <w:lang w:eastAsia="zh-CN"/>
        </w:rPr>
        <w:t>条规定执行。</w:t>
      </w:r>
    </w:p>
    <w:p w14:paraId="7867C2CB">
      <w:pPr>
        <w:kinsoku/>
        <w:jc w:val="both"/>
        <w:rPr>
          <w:color w:val="auto"/>
          <w:highlight w:val="none"/>
          <w:lang w:eastAsia="zh-CN"/>
        </w:rPr>
      </w:pPr>
    </w:p>
    <w:p w14:paraId="700B869F">
      <w:pPr>
        <w:kinsoku/>
        <w:spacing w:line="241" w:lineRule="auto"/>
        <w:jc w:val="both"/>
        <w:rPr>
          <w:color w:val="auto"/>
          <w:highlight w:val="none"/>
          <w:lang w:eastAsia="zh-CN"/>
        </w:rPr>
      </w:pPr>
    </w:p>
    <w:p w14:paraId="417373E4">
      <w:pPr>
        <w:kinsoku/>
        <w:spacing w:line="241" w:lineRule="auto"/>
        <w:jc w:val="both"/>
        <w:rPr>
          <w:color w:val="auto"/>
          <w:highlight w:val="none"/>
          <w:lang w:eastAsia="zh-CN"/>
        </w:rPr>
      </w:pPr>
    </w:p>
    <w:p w14:paraId="5AA3141D">
      <w:pPr>
        <w:kinsoku/>
        <w:jc w:val="both"/>
        <w:rPr>
          <w:rFonts w:ascii="仿宋" w:hAnsi="仿宋" w:eastAsia="仿宋" w:cs="仿宋"/>
          <w:color w:val="auto"/>
          <w:spacing w:val="-3"/>
          <w:sz w:val="24"/>
          <w:szCs w:val="24"/>
          <w:highlight w:val="none"/>
          <w:lang w:eastAsia="zh-CN"/>
          <w14:textOutline w14:w="4356" w14:cap="sq" w14:cmpd="sng" w14:algn="ctr">
            <w14:solidFill>
              <w14:srgbClr w14:val="000000"/>
            </w14:solidFill>
            <w14:prstDash w14:val="solid"/>
            <w14:bevel/>
          </w14:textOutline>
        </w:rPr>
      </w:pPr>
      <w:r>
        <w:rPr>
          <w:rFonts w:ascii="仿宋" w:hAnsi="仿宋" w:eastAsia="仿宋" w:cs="仿宋"/>
          <w:color w:val="auto"/>
          <w:spacing w:val="-3"/>
          <w:sz w:val="24"/>
          <w:szCs w:val="24"/>
          <w:highlight w:val="none"/>
          <w:lang w:eastAsia="zh-CN"/>
          <w14:textOutline w14:w="4356" w14:cap="sq" w14:cmpd="sng" w14:algn="ctr">
            <w14:solidFill>
              <w14:srgbClr w14:val="000000"/>
            </w14:solidFill>
            <w14:prstDash w14:val="solid"/>
            <w14:bevel/>
          </w14:textOutline>
        </w:rPr>
        <w:br w:type="page"/>
      </w:r>
    </w:p>
    <w:p w14:paraId="3770184A">
      <w:pPr>
        <w:kinsoku/>
        <w:spacing w:before="78" w:line="224" w:lineRule="auto"/>
        <w:ind w:left="249"/>
        <w:jc w:val="both"/>
        <w:outlineLvl w:val="2"/>
        <w:rPr>
          <w:rFonts w:ascii="仿宋" w:hAnsi="仿宋" w:eastAsia="仿宋" w:cs="仿宋"/>
          <w:color w:val="auto"/>
          <w:sz w:val="24"/>
          <w:szCs w:val="24"/>
          <w:highlight w:val="none"/>
        </w:rPr>
      </w:pPr>
      <w:bookmarkStart w:id="259" w:name="_Toc18044"/>
      <w:r>
        <w:rPr>
          <w:rFonts w:ascii="仿宋" w:hAnsi="仿宋" w:eastAsia="仿宋" w:cs="仿宋"/>
          <w:color w:val="auto"/>
          <w:spacing w:val="-3"/>
          <w:sz w:val="24"/>
          <w:szCs w:val="24"/>
          <w:highlight w:val="none"/>
          <w14:textOutline w14:w="4356" w14:cap="sq" w14:cmpd="sng" w14:algn="ctr">
            <w14:solidFill>
              <w14:srgbClr w14:val="000000"/>
            </w14:solidFill>
            <w14:prstDash w14:val="solid"/>
            <w14:bevel/>
          </w14:textOutline>
        </w:rPr>
        <w:t>3-2</w:t>
      </w:r>
      <w:r>
        <w:rPr>
          <w:rFonts w:ascii="仿宋" w:hAnsi="仿宋" w:eastAsia="仿宋" w:cs="仿宋"/>
          <w:color w:val="auto"/>
          <w:spacing w:val="30"/>
          <w:sz w:val="24"/>
          <w:szCs w:val="24"/>
          <w:highlight w:val="none"/>
        </w:rPr>
        <w:t xml:space="preserve"> </w:t>
      </w:r>
      <w:r>
        <w:rPr>
          <w:rFonts w:ascii="仿宋" w:hAnsi="仿宋" w:eastAsia="仿宋" w:cs="仿宋"/>
          <w:color w:val="auto"/>
          <w:spacing w:val="-3"/>
          <w:sz w:val="24"/>
          <w:szCs w:val="24"/>
          <w:highlight w:val="none"/>
          <w14:textOutline w14:w="4356" w14:cap="sq" w14:cmpd="sng" w14:algn="ctr">
            <w14:solidFill>
              <w14:srgbClr w14:val="000000"/>
            </w14:solidFill>
            <w14:prstDash w14:val="solid"/>
            <w14:bevel/>
          </w14:textOutline>
        </w:rPr>
        <w:t>监理人提供的设备</w:t>
      </w:r>
      <w:bookmarkEnd w:id="259"/>
    </w:p>
    <w:p w14:paraId="5E50B086">
      <w:pPr>
        <w:kinsoku/>
        <w:spacing w:line="62" w:lineRule="exact"/>
        <w:jc w:val="both"/>
        <w:rPr>
          <w:color w:val="auto"/>
          <w:highlight w:val="none"/>
        </w:rPr>
      </w:pPr>
    </w:p>
    <w:tbl>
      <w:tblPr>
        <w:tblStyle w:val="23"/>
        <w:tblW w:w="8572"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1589"/>
        <w:gridCol w:w="2129"/>
        <w:gridCol w:w="1863"/>
      </w:tblGrid>
      <w:tr w14:paraId="2C48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tcPr>
          <w:p w14:paraId="60480627">
            <w:pPr>
              <w:pStyle w:val="24"/>
              <w:kinsoku/>
              <w:spacing w:before="119" w:line="221" w:lineRule="auto"/>
              <w:ind w:left="1270"/>
              <w:jc w:val="both"/>
              <w:rPr>
                <w:color w:val="auto"/>
                <w:highlight w:val="none"/>
              </w:rPr>
            </w:pPr>
            <w:r>
              <w:rPr>
                <w:color w:val="auto"/>
                <w:spacing w:val="-9"/>
                <w:highlight w:val="none"/>
              </w:rPr>
              <w:t>名称</w:t>
            </w:r>
          </w:p>
        </w:tc>
        <w:tc>
          <w:tcPr>
            <w:tcW w:w="1589" w:type="dxa"/>
          </w:tcPr>
          <w:p w14:paraId="50A93078">
            <w:pPr>
              <w:pStyle w:val="24"/>
              <w:kinsoku/>
              <w:spacing w:before="119" w:line="223" w:lineRule="auto"/>
              <w:ind w:left="567"/>
              <w:jc w:val="both"/>
              <w:rPr>
                <w:color w:val="auto"/>
                <w:highlight w:val="none"/>
              </w:rPr>
            </w:pPr>
            <w:r>
              <w:rPr>
                <w:color w:val="auto"/>
                <w:spacing w:val="-8"/>
                <w:highlight w:val="none"/>
              </w:rPr>
              <w:t>数量</w:t>
            </w:r>
          </w:p>
        </w:tc>
        <w:tc>
          <w:tcPr>
            <w:tcW w:w="2129" w:type="dxa"/>
          </w:tcPr>
          <w:p w14:paraId="69B364A3">
            <w:pPr>
              <w:pStyle w:val="24"/>
              <w:kinsoku/>
              <w:spacing w:before="119" w:line="222" w:lineRule="auto"/>
              <w:ind w:left="490"/>
              <w:jc w:val="both"/>
              <w:rPr>
                <w:color w:val="auto"/>
                <w:highlight w:val="none"/>
              </w:rPr>
            </w:pPr>
            <w:r>
              <w:rPr>
                <w:color w:val="auto"/>
                <w:spacing w:val="-6"/>
                <w:highlight w:val="none"/>
              </w:rPr>
              <w:t>型号与规格</w:t>
            </w:r>
          </w:p>
        </w:tc>
        <w:tc>
          <w:tcPr>
            <w:tcW w:w="1863" w:type="dxa"/>
          </w:tcPr>
          <w:p w14:paraId="6B83A896">
            <w:pPr>
              <w:pStyle w:val="24"/>
              <w:kinsoku/>
              <w:spacing w:before="119" w:line="223" w:lineRule="auto"/>
              <w:ind w:left="466"/>
              <w:jc w:val="both"/>
              <w:rPr>
                <w:color w:val="auto"/>
                <w:highlight w:val="none"/>
              </w:rPr>
            </w:pPr>
            <w:r>
              <w:rPr>
                <w:color w:val="auto"/>
                <w:spacing w:val="-5"/>
                <w:highlight w:val="none"/>
              </w:rPr>
              <w:t>提供时间</w:t>
            </w:r>
          </w:p>
        </w:tc>
      </w:tr>
      <w:tr w14:paraId="0BBF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1" w:type="dxa"/>
            <w:vAlign w:val="center"/>
          </w:tcPr>
          <w:p w14:paraId="001C006C">
            <w:pPr>
              <w:kinsoku/>
              <w:jc w:val="both"/>
              <w:rPr>
                <w:rFonts w:ascii="仿宋" w:hAnsi="仿宋" w:eastAsia="仿宋" w:cs="仿宋"/>
                <w:color w:val="auto"/>
                <w:spacing w:val="-9"/>
                <w:sz w:val="24"/>
                <w:szCs w:val="24"/>
                <w:highlight w:val="none"/>
                <w:lang w:eastAsia="zh-CN"/>
              </w:rPr>
            </w:pPr>
          </w:p>
        </w:tc>
        <w:tc>
          <w:tcPr>
            <w:tcW w:w="1589" w:type="dxa"/>
            <w:vAlign w:val="center"/>
          </w:tcPr>
          <w:p w14:paraId="1D4706B0">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7A48BF8C">
            <w:pPr>
              <w:kinsoku/>
              <w:jc w:val="both"/>
              <w:rPr>
                <w:rFonts w:ascii="仿宋" w:hAnsi="仿宋" w:eastAsia="仿宋" w:cs="仿宋"/>
                <w:color w:val="auto"/>
                <w:spacing w:val="-9"/>
                <w:sz w:val="24"/>
                <w:szCs w:val="24"/>
                <w:highlight w:val="none"/>
                <w:lang w:eastAsia="zh-CN"/>
              </w:rPr>
            </w:pPr>
          </w:p>
        </w:tc>
        <w:tc>
          <w:tcPr>
            <w:tcW w:w="1863" w:type="dxa"/>
          </w:tcPr>
          <w:p w14:paraId="42F54B38">
            <w:pPr>
              <w:kinsoku/>
              <w:jc w:val="both"/>
              <w:rPr>
                <w:rFonts w:ascii="仿宋" w:hAnsi="仿宋" w:eastAsia="仿宋" w:cs="仿宋"/>
                <w:color w:val="auto"/>
                <w:spacing w:val="-9"/>
                <w:sz w:val="24"/>
                <w:szCs w:val="24"/>
                <w:highlight w:val="none"/>
                <w:lang w:eastAsia="zh-CN"/>
              </w:rPr>
            </w:pPr>
            <w:r>
              <w:rPr>
                <w:rFonts w:hint="eastAsia" w:ascii="仿宋" w:hAnsi="仿宋" w:eastAsia="仿宋" w:cs="仿宋"/>
                <w:color w:val="auto"/>
                <w:spacing w:val="-9"/>
                <w:sz w:val="24"/>
                <w:szCs w:val="24"/>
                <w:highlight w:val="none"/>
                <w:lang w:eastAsia="zh-CN"/>
              </w:rPr>
              <w:t>按工程实际需要</w:t>
            </w:r>
          </w:p>
        </w:tc>
      </w:tr>
      <w:tr w14:paraId="354B2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1" w:type="dxa"/>
            <w:vAlign w:val="center"/>
          </w:tcPr>
          <w:p w14:paraId="3E347AF4">
            <w:pPr>
              <w:kinsoku/>
              <w:jc w:val="both"/>
              <w:rPr>
                <w:rFonts w:ascii="仿宋" w:hAnsi="仿宋" w:eastAsia="仿宋" w:cs="仿宋"/>
                <w:color w:val="auto"/>
                <w:spacing w:val="-9"/>
                <w:sz w:val="24"/>
                <w:szCs w:val="24"/>
                <w:highlight w:val="none"/>
                <w:lang w:eastAsia="zh-CN"/>
              </w:rPr>
            </w:pPr>
          </w:p>
        </w:tc>
        <w:tc>
          <w:tcPr>
            <w:tcW w:w="1589" w:type="dxa"/>
            <w:vAlign w:val="center"/>
          </w:tcPr>
          <w:p w14:paraId="6FF96CBC">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2BBB298A">
            <w:pPr>
              <w:kinsoku/>
              <w:jc w:val="both"/>
              <w:rPr>
                <w:rFonts w:ascii="仿宋" w:hAnsi="仿宋" w:eastAsia="仿宋" w:cs="仿宋"/>
                <w:color w:val="auto"/>
                <w:spacing w:val="-9"/>
                <w:sz w:val="24"/>
                <w:szCs w:val="24"/>
                <w:highlight w:val="none"/>
                <w:lang w:eastAsia="zh-CN"/>
              </w:rPr>
            </w:pPr>
          </w:p>
        </w:tc>
        <w:tc>
          <w:tcPr>
            <w:tcW w:w="1863" w:type="dxa"/>
          </w:tcPr>
          <w:p w14:paraId="5862A55D">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72FFB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1" w:type="dxa"/>
            <w:vAlign w:val="center"/>
          </w:tcPr>
          <w:p w14:paraId="6CBDB7C4">
            <w:pPr>
              <w:kinsoku/>
              <w:jc w:val="both"/>
              <w:rPr>
                <w:rFonts w:ascii="仿宋" w:hAnsi="仿宋" w:eastAsia="仿宋" w:cs="仿宋"/>
                <w:color w:val="auto"/>
                <w:spacing w:val="-9"/>
                <w:sz w:val="24"/>
                <w:szCs w:val="24"/>
                <w:highlight w:val="none"/>
                <w:lang w:eastAsia="zh-CN"/>
              </w:rPr>
            </w:pPr>
          </w:p>
        </w:tc>
        <w:tc>
          <w:tcPr>
            <w:tcW w:w="1589" w:type="dxa"/>
            <w:vAlign w:val="center"/>
          </w:tcPr>
          <w:p w14:paraId="5C39E315">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45C62580">
            <w:pPr>
              <w:kinsoku/>
              <w:jc w:val="both"/>
              <w:rPr>
                <w:rFonts w:ascii="仿宋" w:hAnsi="仿宋" w:eastAsia="仿宋" w:cs="仿宋"/>
                <w:color w:val="auto"/>
                <w:spacing w:val="-9"/>
                <w:sz w:val="24"/>
                <w:szCs w:val="24"/>
                <w:highlight w:val="none"/>
                <w:lang w:eastAsia="zh-CN"/>
              </w:rPr>
            </w:pPr>
          </w:p>
        </w:tc>
        <w:tc>
          <w:tcPr>
            <w:tcW w:w="1863" w:type="dxa"/>
          </w:tcPr>
          <w:p w14:paraId="616CB0BC">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664D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1" w:type="dxa"/>
            <w:vAlign w:val="center"/>
          </w:tcPr>
          <w:p w14:paraId="126BE890">
            <w:pPr>
              <w:kinsoku/>
              <w:jc w:val="both"/>
              <w:rPr>
                <w:rFonts w:ascii="仿宋" w:hAnsi="仿宋" w:eastAsia="仿宋" w:cs="仿宋"/>
                <w:color w:val="auto"/>
                <w:spacing w:val="-9"/>
                <w:sz w:val="24"/>
                <w:szCs w:val="24"/>
                <w:highlight w:val="none"/>
                <w:lang w:eastAsia="zh-CN"/>
              </w:rPr>
            </w:pPr>
          </w:p>
        </w:tc>
        <w:tc>
          <w:tcPr>
            <w:tcW w:w="1589" w:type="dxa"/>
            <w:vAlign w:val="center"/>
          </w:tcPr>
          <w:p w14:paraId="686FD2AC">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1A92D660">
            <w:pPr>
              <w:kinsoku/>
              <w:jc w:val="both"/>
              <w:rPr>
                <w:rFonts w:ascii="仿宋" w:hAnsi="仿宋" w:eastAsia="仿宋" w:cs="仿宋"/>
                <w:color w:val="auto"/>
                <w:spacing w:val="-9"/>
                <w:sz w:val="24"/>
                <w:szCs w:val="24"/>
                <w:highlight w:val="none"/>
                <w:lang w:eastAsia="zh-CN"/>
              </w:rPr>
            </w:pPr>
          </w:p>
        </w:tc>
        <w:tc>
          <w:tcPr>
            <w:tcW w:w="1863" w:type="dxa"/>
          </w:tcPr>
          <w:p w14:paraId="77BC2609">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34087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689B6B0E">
            <w:pPr>
              <w:kinsoku/>
              <w:jc w:val="both"/>
              <w:rPr>
                <w:rFonts w:ascii="仿宋" w:hAnsi="仿宋" w:eastAsia="仿宋" w:cs="仿宋"/>
                <w:color w:val="auto"/>
                <w:spacing w:val="-9"/>
                <w:sz w:val="24"/>
                <w:szCs w:val="24"/>
                <w:highlight w:val="none"/>
                <w:lang w:eastAsia="zh-CN"/>
              </w:rPr>
            </w:pPr>
          </w:p>
        </w:tc>
        <w:tc>
          <w:tcPr>
            <w:tcW w:w="1589" w:type="dxa"/>
            <w:vAlign w:val="center"/>
          </w:tcPr>
          <w:p w14:paraId="40BFB4B6">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37C98718">
            <w:pPr>
              <w:kinsoku/>
              <w:jc w:val="both"/>
              <w:rPr>
                <w:rFonts w:ascii="仿宋" w:hAnsi="仿宋" w:eastAsia="仿宋" w:cs="仿宋"/>
                <w:color w:val="auto"/>
                <w:spacing w:val="-9"/>
                <w:sz w:val="24"/>
                <w:szCs w:val="24"/>
                <w:highlight w:val="none"/>
                <w:lang w:eastAsia="zh-CN"/>
              </w:rPr>
            </w:pPr>
          </w:p>
        </w:tc>
        <w:tc>
          <w:tcPr>
            <w:tcW w:w="1863" w:type="dxa"/>
          </w:tcPr>
          <w:p w14:paraId="246B9376">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1940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1D19E8E1">
            <w:pPr>
              <w:kinsoku/>
              <w:jc w:val="both"/>
              <w:rPr>
                <w:rFonts w:ascii="仿宋" w:hAnsi="仿宋" w:eastAsia="仿宋" w:cs="仿宋"/>
                <w:color w:val="auto"/>
                <w:spacing w:val="-9"/>
                <w:sz w:val="24"/>
                <w:szCs w:val="24"/>
                <w:highlight w:val="none"/>
                <w:lang w:eastAsia="zh-CN"/>
              </w:rPr>
            </w:pPr>
          </w:p>
        </w:tc>
        <w:tc>
          <w:tcPr>
            <w:tcW w:w="1589" w:type="dxa"/>
            <w:vAlign w:val="center"/>
          </w:tcPr>
          <w:p w14:paraId="21BB069E">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7768ACEA">
            <w:pPr>
              <w:kinsoku/>
              <w:jc w:val="both"/>
              <w:rPr>
                <w:rFonts w:ascii="仿宋" w:hAnsi="仿宋" w:eastAsia="仿宋" w:cs="仿宋"/>
                <w:color w:val="auto"/>
                <w:spacing w:val="-9"/>
                <w:sz w:val="24"/>
                <w:szCs w:val="24"/>
                <w:highlight w:val="none"/>
                <w:lang w:eastAsia="zh-CN"/>
              </w:rPr>
            </w:pPr>
          </w:p>
        </w:tc>
        <w:tc>
          <w:tcPr>
            <w:tcW w:w="1863" w:type="dxa"/>
          </w:tcPr>
          <w:p w14:paraId="39C90FC3">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76A2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37B98886">
            <w:pPr>
              <w:kinsoku/>
              <w:jc w:val="both"/>
              <w:rPr>
                <w:rFonts w:ascii="仿宋" w:hAnsi="仿宋" w:eastAsia="仿宋" w:cs="仿宋"/>
                <w:color w:val="auto"/>
                <w:spacing w:val="-9"/>
                <w:sz w:val="24"/>
                <w:szCs w:val="24"/>
                <w:highlight w:val="none"/>
                <w:lang w:eastAsia="zh-CN"/>
              </w:rPr>
            </w:pPr>
          </w:p>
        </w:tc>
        <w:tc>
          <w:tcPr>
            <w:tcW w:w="1589" w:type="dxa"/>
            <w:vAlign w:val="center"/>
          </w:tcPr>
          <w:p w14:paraId="7622BCB8">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4E9E950F">
            <w:pPr>
              <w:kinsoku/>
              <w:jc w:val="both"/>
              <w:rPr>
                <w:rFonts w:ascii="仿宋" w:hAnsi="仿宋" w:eastAsia="仿宋" w:cs="仿宋"/>
                <w:color w:val="auto"/>
                <w:spacing w:val="-9"/>
                <w:sz w:val="24"/>
                <w:szCs w:val="24"/>
                <w:highlight w:val="none"/>
                <w:lang w:eastAsia="zh-CN"/>
              </w:rPr>
            </w:pPr>
          </w:p>
        </w:tc>
        <w:tc>
          <w:tcPr>
            <w:tcW w:w="1863" w:type="dxa"/>
          </w:tcPr>
          <w:p w14:paraId="37B5DCE3">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10DD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12100780">
            <w:pPr>
              <w:kinsoku/>
              <w:jc w:val="both"/>
              <w:rPr>
                <w:rFonts w:ascii="仿宋" w:hAnsi="仿宋" w:eastAsia="仿宋" w:cs="仿宋"/>
                <w:color w:val="auto"/>
                <w:spacing w:val="-9"/>
                <w:sz w:val="24"/>
                <w:szCs w:val="24"/>
                <w:highlight w:val="none"/>
                <w:lang w:eastAsia="zh-CN"/>
              </w:rPr>
            </w:pPr>
          </w:p>
        </w:tc>
        <w:tc>
          <w:tcPr>
            <w:tcW w:w="1589" w:type="dxa"/>
            <w:vAlign w:val="center"/>
          </w:tcPr>
          <w:p w14:paraId="2AC16611">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15370040">
            <w:pPr>
              <w:kinsoku/>
              <w:jc w:val="both"/>
              <w:rPr>
                <w:rFonts w:ascii="仿宋" w:hAnsi="仿宋" w:eastAsia="仿宋" w:cs="仿宋"/>
                <w:color w:val="auto"/>
                <w:spacing w:val="-9"/>
                <w:sz w:val="24"/>
                <w:szCs w:val="24"/>
                <w:highlight w:val="none"/>
                <w:lang w:eastAsia="zh-CN"/>
              </w:rPr>
            </w:pPr>
          </w:p>
        </w:tc>
        <w:tc>
          <w:tcPr>
            <w:tcW w:w="1863" w:type="dxa"/>
          </w:tcPr>
          <w:p w14:paraId="750CABBD">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5F98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02E9058D">
            <w:pPr>
              <w:kinsoku/>
              <w:jc w:val="both"/>
              <w:rPr>
                <w:rFonts w:ascii="仿宋" w:hAnsi="仿宋" w:eastAsia="仿宋" w:cs="仿宋"/>
                <w:color w:val="auto"/>
                <w:spacing w:val="-9"/>
                <w:sz w:val="24"/>
                <w:szCs w:val="24"/>
                <w:highlight w:val="none"/>
                <w:lang w:eastAsia="zh-CN"/>
              </w:rPr>
            </w:pPr>
          </w:p>
        </w:tc>
        <w:tc>
          <w:tcPr>
            <w:tcW w:w="1589" w:type="dxa"/>
            <w:vAlign w:val="center"/>
          </w:tcPr>
          <w:p w14:paraId="1B24DEAA">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1AC7E253">
            <w:pPr>
              <w:kinsoku/>
              <w:jc w:val="both"/>
              <w:rPr>
                <w:rFonts w:ascii="仿宋" w:hAnsi="仿宋" w:eastAsia="仿宋" w:cs="仿宋"/>
                <w:color w:val="auto"/>
                <w:spacing w:val="-9"/>
                <w:sz w:val="24"/>
                <w:szCs w:val="24"/>
                <w:highlight w:val="none"/>
                <w:lang w:eastAsia="zh-CN"/>
              </w:rPr>
            </w:pPr>
          </w:p>
        </w:tc>
        <w:tc>
          <w:tcPr>
            <w:tcW w:w="1863" w:type="dxa"/>
          </w:tcPr>
          <w:p w14:paraId="74578796">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7964C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004F9983">
            <w:pPr>
              <w:kinsoku/>
              <w:jc w:val="both"/>
              <w:rPr>
                <w:rFonts w:ascii="仿宋" w:hAnsi="仿宋" w:eastAsia="仿宋" w:cs="仿宋"/>
                <w:color w:val="auto"/>
                <w:spacing w:val="-9"/>
                <w:sz w:val="24"/>
                <w:szCs w:val="24"/>
                <w:highlight w:val="none"/>
                <w:lang w:eastAsia="zh-CN"/>
              </w:rPr>
            </w:pPr>
          </w:p>
        </w:tc>
        <w:tc>
          <w:tcPr>
            <w:tcW w:w="1589" w:type="dxa"/>
            <w:vAlign w:val="center"/>
          </w:tcPr>
          <w:p w14:paraId="6317EC9E">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331070A6">
            <w:pPr>
              <w:kinsoku/>
              <w:jc w:val="both"/>
              <w:rPr>
                <w:rFonts w:ascii="仿宋" w:hAnsi="仿宋" w:eastAsia="仿宋" w:cs="仿宋"/>
                <w:color w:val="auto"/>
                <w:spacing w:val="-9"/>
                <w:sz w:val="24"/>
                <w:szCs w:val="24"/>
                <w:highlight w:val="none"/>
                <w:lang w:eastAsia="zh-CN"/>
              </w:rPr>
            </w:pPr>
          </w:p>
        </w:tc>
        <w:tc>
          <w:tcPr>
            <w:tcW w:w="1863" w:type="dxa"/>
          </w:tcPr>
          <w:p w14:paraId="37E641FD">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4048A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7D05704F">
            <w:pPr>
              <w:kinsoku/>
              <w:jc w:val="both"/>
              <w:rPr>
                <w:rFonts w:ascii="仿宋" w:hAnsi="仿宋" w:eastAsia="仿宋" w:cs="仿宋"/>
                <w:color w:val="auto"/>
                <w:spacing w:val="-9"/>
                <w:sz w:val="24"/>
                <w:szCs w:val="24"/>
                <w:highlight w:val="none"/>
                <w:lang w:eastAsia="zh-CN"/>
              </w:rPr>
            </w:pPr>
          </w:p>
        </w:tc>
        <w:tc>
          <w:tcPr>
            <w:tcW w:w="1589" w:type="dxa"/>
            <w:vAlign w:val="center"/>
          </w:tcPr>
          <w:p w14:paraId="18F498CC">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035125A7">
            <w:pPr>
              <w:kinsoku/>
              <w:jc w:val="both"/>
              <w:rPr>
                <w:rFonts w:ascii="仿宋" w:hAnsi="仿宋" w:eastAsia="仿宋" w:cs="仿宋"/>
                <w:color w:val="auto"/>
                <w:spacing w:val="-9"/>
                <w:sz w:val="24"/>
                <w:szCs w:val="24"/>
                <w:highlight w:val="none"/>
                <w:lang w:eastAsia="zh-CN"/>
              </w:rPr>
            </w:pPr>
          </w:p>
        </w:tc>
        <w:tc>
          <w:tcPr>
            <w:tcW w:w="1863" w:type="dxa"/>
          </w:tcPr>
          <w:p w14:paraId="63255EC6">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2F6EA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26579ECC">
            <w:pPr>
              <w:kinsoku/>
              <w:jc w:val="both"/>
              <w:rPr>
                <w:rFonts w:ascii="仿宋" w:hAnsi="仿宋" w:eastAsia="仿宋" w:cs="仿宋"/>
                <w:color w:val="auto"/>
                <w:spacing w:val="-9"/>
                <w:sz w:val="24"/>
                <w:szCs w:val="24"/>
                <w:highlight w:val="none"/>
                <w:lang w:eastAsia="zh-CN"/>
              </w:rPr>
            </w:pPr>
          </w:p>
        </w:tc>
        <w:tc>
          <w:tcPr>
            <w:tcW w:w="1589" w:type="dxa"/>
            <w:vAlign w:val="center"/>
          </w:tcPr>
          <w:p w14:paraId="1E8AF198">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1BCE0B19">
            <w:pPr>
              <w:kinsoku/>
              <w:jc w:val="both"/>
              <w:rPr>
                <w:rFonts w:ascii="仿宋" w:hAnsi="仿宋" w:eastAsia="仿宋" w:cs="仿宋"/>
                <w:color w:val="auto"/>
                <w:spacing w:val="-9"/>
                <w:sz w:val="24"/>
                <w:szCs w:val="24"/>
                <w:highlight w:val="none"/>
                <w:lang w:eastAsia="zh-CN"/>
              </w:rPr>
            </w:pPr>
          </w:p>
        </w:tc>
        <w:tc>
          <w:tcPr>
            <w:tcW w:w="1863" w:type="dxa"/>
          </w:tcPr>
          <w:p w14:paraId="31743FC4">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43289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1894673F">
            <w:pPr>
              <w:kinsoku/>
              <w:jc w:val="both"/>
              <w:rPr>
                <w:rFonts w:ascii="仿宋" w:hAnsi="仿宋" w:eastAsia="仿宋" w:cs="仿宋"/>
                <w:color w:val="auto"/>
                <w:spacing w:val="-9"/>
                <w:sz w:val="24"/>
                <w:szCs w:val="24"/>
                <w:highlight w:val="none"/>
                <w:lang w:eastAsia="zh-CN"/>
              </w:rPr>
            </w:pPr>
          </w:p>
        </w:tc>
        <w:tc>
          <w:tcPr>
            <w:tcW w:w="1589" w:type="dxa"/>
            <w:vAlign w:val="center"/>
          </w:tcPr>
          <w:p w14:paraId="0ECB67FA">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6D452401">
            <w:pPr>
              <w:kinsoku/>
              <w:jc w:val="both"/>
              <w:rPr>
                <w:rFonts w:ascii="仿宋" w:hAnsi="仿宋" w:eastAsia="仿宋" w:cs="仿宋"/>
                <w:color w:val="auto"/>
                <w:spacing w:val="-9"/>
                <w:sz w:val="24"/>
                <w:szCs w:val="24"/>
                <w:highlight w:val="none"/>
                <w:lang w:eastAsia="zh-CN"/>
              </w:rPr>
            </w:pPr>
          </w:p>
        </w:tc>
        <w:tc>
          <w:tcPr>
            <w:tcW w:w="1863" w:type="dxa"/>
          </w:tcPr>
          <w:p w14:paraId="04CE1740">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r w14:paraId="5DDCE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91" w:type="dxa"/>
            <w:vAlign w:val="center"/>
          </w:tcPr>
          <w:p w14:paraId="11A3477F">
            <w:pPr>
              <w:kinsoku/>
              <w:jc w:val="both"/>
              <w:rPr>
                <w:rFonts w:ascii="仿宋" w:hAnsi="仿宋" w:eastAsia="仿宋" w:cs="仿宋"/>
                <w:color w:val="auto"/>
                <w:spacing w:val="-9"/>
                <w:sz w:val="24"/>
                <w:szCs w:val="24"/>
                <w:highlight w:val="none"/>
                <w:lang w:eastAsia="zh-CN"/>
              </w:rPr>
            </w:pPr>
          </w:p>
        </w:tc>
        <w:tc>
          <w:tcPr>
            <w:tcW w:w="1589" w:type="dxa"/>
            <w:vAlign w:val="center"/>
          </w:tcPr>
          <w:p w14:paraId="491DF63B">
            <w:pPr>
              <w:kinsoku/>
              <w:ind w:left="42" w:leftChars="20"/>
              <w:jc w:val="both"/>
              <w:rPr>
                <w:rFonts w:ascii="仿宋" w:hAnsi="仿宋" w:eastAsia="仿宋" w:cs="仿宋"/>
                <w:color w:val="auto"/>
                <w:spacing w:val="-9"/>
                <w:sz w:val="24"/>
                <w:szCs w:val="24"/>
                <w:highlight w:val="none"/>
                <w:lang w:eastAsia="zh-CN"/>
              </w:rPr>
            </w:pPr>
          </w:p>
        </w:tc>
        <w:tc>
          <w:tcPr>
            <w:tcW w:w="2129" w:type="dxa"/>
            <w:vAlign w:val="center"/>
          </w:tcPr>
          <w:p w14:paraId="3EF8BB18">
            <w:pPr>
              <w:kinsoku/>
              <w:jc w:val="both"/>
              <w:rPr>
                <w:rFonts w:ascii="仿宋" w:hAnsi="仿宋" w:eastAsia="仿宋" w:cs="仿宋"/>
                <w:color w:val="auto"/>
                <w:spacing w:val="-9"/>
                <w:sz w:val="24"/>
                <w:szCs w:val="24"/>
                <w:highlight w:val="none"/>
                <w:lang w:eastAsia="zh-CN"/>
              </w:rPr>
            </w:pPr>
          </w:p>
        </w:tc>
        <w:tc>
          <w:tcPr>
            <w:tcW w:w="1863" w:type="dxa"/>
          </w:tcPr>
          <w:p w14:paraId="3EB6B7B8">
            <w:pPr>
              <w:kinsoku/>
              <w:jc w:val="both"/>
              <w:rPr>
                <w:rFonts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eastAsia="zh-CN"/>
              </w:rPr>
              <w:t>按工程实际需要</w:t>
            </w:r>
          </w:p>
        </w:tc>
      </w:tr>
    </w:tbl>
    <w:p w14:paraId="116A61B0">
      <w:pPr>
        <w:kinsoku/>
        <w:jc w:val="both"/>
        <w:rPr>
          <w:color w:val="auto"/>
          <w:highlight w:val="none"/>
        </w:rPr>
      </w:pPr>
    </w:p>
    <w:p w14:paraId="0F9003CF">
      <w:pPr>
        <w:kinsoku/>
        <w:jc w:val="both"/>
        <w:rPr>
          <w:color w:val="auto"/>
          <w:highlight w:val="none"/>
        </w:rPr>
        <w:sectPr>
          <w:pgSz w:w="11906" w:h="16838"/>
          <w:pgMar w:top="1134" w:right="1417" w:bottom="1361" w:left="1417" w:header="0" w:footer="1202" w:gutter="0"/>
          <w:cols w:space="0" w:num="1"/>
        </w:sectPr>
      </w:pPr>
    </w:p>
    <w:p w14:paraId="14A48D3E">
      <w:pPr>
        <w:kinsoku/>
        <w:spacing w:line="245" w:lineRule="auto"/>
        <w:jc w:val="both"/>
        <w:rPr>
          <w:color w:val="auto"/>
          <w:highlight w:val="none"/>
        </w:rPr>
      </w:pPr>
    </w:p>
    <w:p w14:paraId="57682DC0">
      <w:pPr>
        <w:kinsoku/>
        <w:spacing w:before="78" w:line="224" w:lineRule="auto"/>
        <w:ind w:left="11"/>
        <w:jc w:val="both"/>
        <w:outlineLvl w:val="0"/>
        <w:rPr>
          <w:rFonts w:ascii="仿宋" w:hAnsi="仿宋" w:eastAsia="仿宋" w:cs="仿宋"/>
          <w:color w:val="auto"/>
          <w:sz w:val="24"/>
          <w:szCs w:val="24"/>
          <w:highlight w:val="none"/>
          <w:lang w:eastAsia="zh-CN"/>
        </w:rPr>
      </w:pPr>
      <w:bookmarkStart w:id="260" w:name="_Toc14934"/>
      <w:r>
        <w:rPr>
          <w:rFonts w:ascii="仿宋" w:hAnsi="仿宋" w:eastAsia="仿宋" w:cs="仿宋"/>
          <w:color w:val="auto"/>
          <w:sz w:val="24"/>
          <w:szCs w:val="24"/>
          <w:highlight w:val="none"/>
          <w14:textOutline w14:w="4356" w14:cap="sq" w14:cmpd="sng" w14:algn="ctr">
            <w14:solidFill>
              <w14:srgbClr w14:val="000000"/>
            </w14:solidFill>
            <w14:prstDash w14:val="solid"/>
            <w14:bevel/>
          </w14:textOutline>
        </w:rPr>
        <w:t>附件</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14:textOutline w14:w="4356" w14:cap="sq" w14:cmpd="sng" w14:algn="ctr">
            <w14:solidFill>
              <w14:srgbClr w14:val="000000"/>
            </w14:solidFill>
            <w14:prstDash w14:val="solid"/>
            <w14:bevel/>
          </w14:textOutline>
        </w:rPr>
        <w:t>4</w:t>
      </w:r>
      <w:r>
        <w:rPr>
          <w:rFonts w:hint="eastAsia" w:ascii="仿宋" w:hAnsi="仿宋" w:eastAsia="仿宋" w:cs="仿宋"/>
          <w:color w:val="auto"/>
          <w:sz w:val="24"/>
          <w:szCs w:val="24"/>
          <w:highlight w:val="none"/>
          <w:lang w:eastAsia="zh-CN"/>
          <w14:textOutline w14:w="4356" w14:cap="sq" w14:cmpd="sng" w14:algn="ctr">
            <w14:solidFill>
              <w14:srgbClr w14:val="000000"/>
            </w14:solidFill>
            <w14:prstDash w14:val="solid"/>
            <w14:bevel/>
          </w14:textOutline>
        </w:rPr>
        <w:t>：监理任务书</w:t>
      </w:r>
      <w:bookmarkEnd w:id="260"/>
    </w:p>
    <w:p w14:paraId="38CD3B9E">
      <w:pPr>
        <w:kinsoku/>
        <w:spacing w:line="380" w:lineRule="auto"/>
        <w:jc w:val="both"/>
        <w:rPr>
          <w:color w:val="auto"/>
          <w:highlight w:val="none"/>
        </w:rPr>
      </w:pPr>
    </w:p>
    <w:p w14:paraId="50AC28F5">
      <w:pPr>
        <w:kinsoku/>
        <w:spacing w:before="97" w:line="223" w:lineRule="auto"/>
        <w:ind w:left="3799"/>
        <w:jc w:val="both"/>
        <w:rPr>
          <w:rFonts w:ascii="仿宋" w:hAnsi="仿宋" w:eastAsia="仿宋" w:cs="仿宋"/>
          <w:color w:val="auto"/>
          <w:sz w:val="30"/>
          <w:szCs w:val="30"/>
          <w:highlight w:val="none"/>
        </w:rPr>
      </w:pPr>
      <w:r>
        <w:rPr>
          <w:rFonts w:ascii="仿宋" w:hAnsi="仿宋" w:eastAsia="仿宋" w:cs="仿宋"/>
          <w:color w:val="auto"/>
          <w:sz w:val="30"/>
          <w:szCs w:val="30"/>
          <w:highlight w:val="none"/>
          <w14:textOutline w14:w="5448" w14:cap="sq" w14:cmpd="sng" w14:algn="ctr">
            <w14:solidFill>
              <w14:srgbClr w14:val="000000"/>
            </w14:solidFill>
            <w14:prstDash w14:val="solid"/>
            <w14:bevel/>
          </w14:textOutline>
        </w:rPr>
        <w:t>监理任务书</w:t>
      </w:r>
    </w:p>
    <w:p w14:paraId="2187B0A0">
      <w:pPr>
        <w:kinsoku/>
        <w:spacing w:line="360" w:lineRule="auto"/>
        <w:ind w:firstLine="400" w:firstLineChars="200"/>
        <w:jc w:val="both"/>
        <w:rPr>
          <w:rFonts w:ascii="仿宋" w:hAnsi="仿宋" w:eastAsia="仿宋" w:cs="仿宋"/>
          <w:color w:val="auto"/>
          <w:sz w:val="20"/>
          <w:szCs w:val="20"/>
          <w:highlight w:val="none"/>
        </w:rPr>
      </w:pPr>
      <w:r>
        <w:rPr>
          <w:rFonts w:ascii="仿宋" w:hAnsi="仿宋" w:eastAsia="仿宋" w:cs="仿宋"/>
          <w:color w:val="auto"/>
          <w:sz w:val="20"/>
          <w:szCs w:val="20"/>
          <w:highlight w:val="none"/>
          <w14:textOutline w14:w="3797" w14:cap="sq" w14:cmpd="sng" w14:algn="ctr">
            <w14:solidFill>
              <w14:srgbClr w14:val="000000"/>
            </w14:solidFill>
            <w14:prstDash w14:val="solid"/>
            <w14:bevel/>
          </w14:textOutline>
        </w:rPr>
        <w:t>一、工程概况</w:t>
      </w:r>
    </w:p>
    <w:p w14:paraId="0538A8B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1．工程名称：</w:t>
      </w:r>
      <w:r>
        <w:rPr>
          <w:rFonts w:hint="eastAsia" w:ascii="仿宋" w:hAnsi="仿宋" w:eastAsia="仿宋" w:cs="仿宋"/>
          <w:color w:val="auto"/>
          <w:sz w:val="20"/>
          <w:szCs w:val="20"/>
          <w:highlight w:val="none"/>
          <w:lang w:eastAsia="zh-CN"/>
        </w:rPr>
        <w:t>广州市增城区荔湖街新城大道东侧18005200A24018号地块建设项目（增城区荔湖街新城大道东侧251亩地块项目）</w:t>
      </w:r>
    </w:p>
    <w:p w14:paraId="4BA5DCE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2．工程地点：</w:t>
      </w:r>
      <w:r>
        <w:rPr>
          <w:rFonts w:hint="eastAsia" w:ascii="仿宋" w:hAnsi="仿宋" w:eastAsia="仿宋" w:cs="仿宋"/>
          <w:color w:val="auto"/>
          <w:sz w:val="20"/>
          <w:szCs w:val="20"/>
          <w:highlight w:val="none"/>
          <w:lang w:eastAsia="zh-CN"/>
        </w:rPr>
        <w:t>广州市增城区荔湖街新城大道东侧</w:t>
      </w:r>
    </w:p>
    <w:p w14:paraId="53B5F509">
      <w:pPr>
        <w:pStyle w:val="2"/>
        <w:spacing w:line="360" w:lineRule="auto"/>
        <w:ind w:firstLine="420" w:firstLineChars="200"/>
        <w:rPr>
          <w:color w:val="auto"/>
          <w:highlight w:val="none"/>
          <w:lang w:eastAsia="zh-CN"/>
        </w:rPr>
      </w:pPr>
      <w:r>
        <w:rPr>
          <w:rFonts w:hint="eastAsia" w:eastAsia="仿宋"/>
          <w:color w:val="auto"/>
          <w:highlight w:val="none"/>
          <w:lang w:eastAsia="zh-CN"/>
        </w:rPr>
        <w:t>3.工程概况：</w:t>
      </w:r>
      <w:r>
        <w:rPr>
          <w:rFonts w:hint="eastAsia" w:ascii="仿宋" w:hAnsi="仿宋" w:eastAsia="仿宋" w:cs="仿宋"/>
          <w:color w:val="auto"/>
          <w:sz w:val="20"/>
          <w:szCs w:val="20"/>
          <w:highlight w:val="none"/>
          <w:lang w:val="en-US" w:eastAsia="zh-CN"/>
        </w:rPr>
        <w:t>项</w:t>
      </w:r>
      <w:r>
        <w:rPr>
          <w:rFonts w:hint="eastAsia" w:ascii="仿宋" w:hAnsi="仿宋" w:eastAsia="仿宋" w:cs="仿宋"/>
          <w:b w:val="0"/>
          <w:bCs w:val="0"/>
          <w:color w:val="auto"/>
          <w:sz w:val="20"/>
          <w:szCs w:val="20"/>
          <w:highlight w:val="none"/>
          <w:lang w:eastAsia="zh-CN"/>
        </w:rPr>
        <w:t>目位于广州市增城区荔湖街新城大道东侧，</w:t>
      </w:r>
      <w:r>
        <w:rPr>
          <w:rFonts w:hint="eastAsia" w:ascii="仿宋" w:hAnsi="仿宋" w:eastAsia="仿宋" w:cs="仿宋"/>
          <w:bCs w:val="0"/>
          <w:color w:val="auto"/>
          <w:sz w:val="20"/>
          <w:szCs w:val="20"/>
          <w:highlight w:val="none"/>
          <w:lang w:eastAsia="zh-CN"/>
        </w:rPr>
        <w:t>总用地面积为167,497.57平方米（</w:t>
      </w:r>
      <w:r>
        <w:rPr>
          <w:rFonts w:hint="eastAsia" w:ascii="仿宋" w:hAnsi="仿宋" w:eastAsia="仿宋" w:cs="仿宋"/>
          <w:bCs w:val="0"/>
          <w:color w:val="auto"/>
          <w:sz w:val="20"/>
          <w:szCs w:val="20"/>
          <w:highlight w:val="none"/>
          <w:lang w:val="en-US" w:eastAsia="zh-CN"/>
        </w:rPr>
        <w:t>约</w:t>
      </w:r>
      <w:r>
        <w:rPr>
          <w:rFonts w:hint="eastAsia" w:ascii="仿宋" w:hAnsi="仿宋" w:eastAsia="仿宋" w:cs="仿宋"/>
          <w:bCs w:val="0"/>
          <w:color w:val="auto"/>
          <w:sz w:val="20"/>
          <w:szCs w:val="20"/>
          <w:highlight w:val="none"/>
          <w:lang w:eastAsia="zh-CN"/>
        </w:rPr>
        <w:t>251.25亩）,其中可建设用地面积141,116.50平方米（</w:t>
      </w:r>
      <w:r>
        <w:rPr>
          <w:rFonts w:hint="eastAsia" w:ascii="仿宋" w:hAnsi="仿宋" w:eastAsia="仿宋" w:cs="仿宋"/>
          <w:bCs w:val="0"/>
          <w:color w:val="auto"/>
          <w:sz w:val="20"/>
          <w:szCs w:val="20"/>
          <w:highlight w:val="none"/>
          <w:lang w:val="en-US" w:eastAsia="zh-CN"/>
        </w:rPr>
        <w:t>约</w:t>
      </w:r>
      <w:r>
        <w:rPr>
          <w:rFonts w:hint="eastAsia" w:ascii="仿宋" w:hAnsi="仿宋" w:eastAsia="仿宋" w:cs="仿宋"/>
          <w:bCs w:val="0"/>
          <w:color w:val="auto"/>
          <w:sz w:val="20"/>
          <w:szCs w:val="20"/>
          <w:highlight w:val="none"/>
          <w:lang w:eastAsia="zh-CN"/>
        </w:rPr>
        <w:t>211.67亩）</w:t>
      </w:r>
      <w:r>
        <w:rPr>
          <w:rFonts w:hint="eastAsia" w:ascii="仿宋" w:hAnsi="仿宋" w:eastAsia="仿宋" w:cs="仿宋"/>
          <w:color w:val="auto"/>
          <w:kern w:val="0"/>
          <w:sz w:val="20"/>
          <w:szCs w:val="20"/>
          <w:highlight w:val="none"/>
          <w:lang w:val="en-US" w:eastAsia="zh-CN" w:bidi="ar-SA"/>
        </w:rPr>
        <w:t>，总建筑面积约</w:t>
      </w:r>
      <w:r>
        <w:rPr>
          <w:rFonts w:hint="eastAsia" w:ascii="仿宋" w:hAnsi="仿宋" w:eastAsia="仿宋" w:cs="仿宋"/>
          <w:bCs w:val="0"/>
          <w:color w:val="auto"/>
          <w:sz w:val="20"/>
          <w:szCs w:val="20"/>
          <w:highlight w:val="none"/>
          <w:lang w:eastAsia="zh-CN"/>
        </w:rPr>
        <w:t>271,164.13平方米</w:t>
      </w:r>
      <w:r>
        <w:rPr>
          <w:rFonts w:hint="eastAsia" w:ascii="仿宋" w:hAnsi="仿宋" w:eastAsia="仿宋" w:cs="仿宋"/>
          <w:color w:val="auto"/>
          <w:kern w:val="0"/>
          <w:sz w:val="20"/>
          <w:szCs w:val="20"/>
          <w:highlight w:val="none"/>
          <w:lang w:val="en-US" w:eastAsia="zh-CN" w:bidi="ar-SA"/>
        </w:rPr>
        <w:t>，计容建筑面积约</w:t>
      </w:r>
      <w:r>
        <w:rPr>
          <w:rFonts w:hint="eastAsia" w:ascii="仿宋" w:hAnsi="仿宋" w:eastAsia="仿宋" w:cs="仿宋"/>
          <w:bCs w:val="0"/>
          <w:color w:val="auto"/>
          <w:sz w:val="20"/>
          <w:szCs w:val="20"/>
          <w:highlight w:val="none"/>
          <w:lang w:eastAsia="zh-CN"/>
        </w:rPr>
        <w:t>143,938</w:t>
      </w:r>
      <w:r>
        <w:rPr>
          <w:rFonts w:hint="eastAsia" w:ascii="仿宋" w:hAnsi="仿宋" w:eastAsia="仿宋" w:cs="仿宋"/>
          <w:color w:val="auto"/>
          <w:kern w:val="0"/>
          <w:sz w:val="20"/>
          <w:szCs w:val="20"/>
          <w:highlight w:val="none"/>
          <w:lang w:val="en-US" w:eastAsia="zh-CN" w:bidi="ar-SA"/>
        </w:rPr>
        <w:t>平方米，容积率</w:t>
      </w:r>
      <w:r>
        <w:rPr>
          <w:rFonts w:hint="eastAsia" w:ascii="仿宋" w:hAnsi="仿宋" w:eastAsia="仿宋" w:cs="仿宋"/>
          <w:color w:val="auto"/>
          <w:sz w:val="20"/>
          <w:szCs w:val="20"/>
          <w:highlight w:val="none"/>
          <w:lang w:val="en-US" w:eastAsia="zh-CN"/>
        </w:rPr>
        <w:t>1.02</w:t>
      </w:r>
      <w:r>
        <w:rPr>
          <w:rFonts w:hint="eastAsia" w:ascii="仿宋" w:hAnsi="仿宋" w:eastAsia="仿宋" w:cs="仿宋"/>
          <w:color w:val="auto"/>
          <w:kern w:val="0"/>
          <w:sz w:val="20"/>
          <w:szCs w:val="20"/>
          <w:highlight w:val="none"/>
          <w:lang w:val="en-US" w:eastAsia="zh-CN" w:bidi="ar-SA"/>
        </w:rPr>
        <w:t>。项目规划建设</w:t>
      </w:r>
      <w:r>
        <w:rPr>
          <w:rFonts w:hint="eastAsia" w:ascii="仿宋" w:hAnsi="仿宋" w:eastAsia="仿宋" w:cs="仿宋"/>
          <w:bCs w:val="0"/>
          <w:color w:val="auto"/>
          <w:sz w:val="20"/>
          <w:szCs w:val="20"/>
          <w:highlight w:val="none"/>
          <w:lang w:eastAsia="zh-CN"/>
        </w:rPr>
        <w:t>总户数770套，包括小高层住宅为81,644平方米（合计505户）、低密度住宅为56,884平方米（合计265户）、配套商业2,000平方米、社区服务中心3,000平方米、物业管理用房290平方米、消防控制室120平方米</w:t>
      </w:r>
      <w:r>
        <w:rPr>
          <w:rFonts w:hint="eastAsia" w:ascii="仿宋" w:hAnsi="仿宋" w:eastAsia="仿宋" w:cs="仿宋"/>
          <w:color w:val="auto"/>
          <w:kern w:val="0"/>
          <w:sz w:val="20"/>
          <w:szCs w:val="20"/>
          <w:highlight w:val="none"/>
          <w:lang w:val="en-US" w:eastAsia="zh-CN" w:bidi="ar-SA"/>
        </w:rPr>
        <w:t>，包括给排水、安装、消防、装修等配套工程</w:t>
      </w:r>
      <w:r>
        <w:rPr>
          <w:rFonts w:hint="eastAsia" w:ascii="仿宋" w:hAnsi="仿宋" w:eastAsia="仿宋" w:cs="仿宋"/>
          <w:color w:val="auto"/>
          <w:sz w:val="20"/>
          <w:szCs w:val="20"/>
          <w:highlight w:val="none"/>
          <w:lang w:eastAsia="zh-CN"/>
        </w:rPr>
        <w:t>。</w:t>
      </w:r>
    </w:p>
    <w:p w14:paraId="345A051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二、监理工作范围</w:t>
      </w:r>
    </w:p>
    <w:p w14:paraId="07E472F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监理工程范围：工程建设的质量控制、进度控制、投资控制、安全管理、合同管理、信息管理、组织协调、质量保修期的监理等全过程监理。负责协调与工程有关的参建单位（包括委托人、各查验单位、施工、设计、勘察等单位），并协助委托人协调政府职能部门（包括质检、安监、造价、档案、环保、消防、人防、建设、计划、规划等部门）与本工程有关事项。</w:t>
      </w:r>
    </w:p>
    <w:p w14:paraId="18B32639">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监理内容包括但不限于以下内容：</w:t>
      </w:r>
      <w:r>
        <w:rPr>
          <w:rFonts w:hint="eastAsia" w:ascii="仿宋" w:hAnsi="仿宋" w:eastAsia="仿宋" w:cs="仿宋"/>
          <w:color w:val="auto"/>
          <w:sz w:val="20"/>
          <w:szCs w:val="20"/>
          <w:highlight w:val="none"/>
          <w:lang w:val="en-US" w:eastAsia="zh-CN"/>
        </w:rPr>
        <w:t>本</w:t>
      </w:r>
      <w:r>
        <w:rPr>
          <w:rFonts w:hint="eastAsia" w:ascii="仿宋" w:hAnsi="仿宋" w:eastAsia="仿宋" w:cs="仿宋"/>
          <w:color w:val="auto"/>
          <w:sz w:val="20"/>
          <w:szCs w:val="20"/>
          <w:highlight w:val="none"/>
          <w:lang w:eastAsia="zh-CN"/>
        </w:rPr>
        <w:t>项目所有工程，包括项目准备阶段（含勘察阶段、设计阶段）、施工准备阶段、施工阶段、工程收尾阶段（包括但不限于竣工验收、整改、工程移交及实物移交等）及工程质量保修阶段的质量控制、安全生产监督管理、进度控制、施工过程造价</w:t>
      </w:r>
      <w:r>
        <w:rPr>
          <w:rFonts w:hint="eastAsia" w:ascii="仿宋" w:hAnsi="仿宋" w:eastAsia="仿宋" w:cs="仿宋"/>
          <w:color w:val="auto"/>
          <w:sz w:val="20"/>
          <w:szCs w:val="20"/>
          <w:highlight w:val="none"/>
          <w:lang w:val="en-US" w:eastAsia="zh-CN"/>
        </w:rPr>
        <w:t>审核及</w:t>
      </w:r>
      <w:r>
        <w:rPr>
          <w:rFonts w:hint="eastAsia" w:ascii="仿宋" w:hAnsi="仿宋" w:eastAsia="仿宋" w:cs="仿宋"/>
          <w:color w:val="auto"/>
          <w:sz w:val="20"/>
          <w:szCs w:val="20"/>
          <w:highlight w:val="none"/>
          <w:lang w:eastAsia="zh-CN"/>
        </w:rPr>
        <w:t>控制、</w:t>
      </w:r>
      <w:r>
        <w:rPr>
          <w:rFonts w:hint="eastAsia" w:ascii="仿宋" w:hAnsi="仿宋" w:eastAsia="仿宋" w:cs="仿宋"/>
          <w:color w:val="auto"/>
          <w:sz w:val="20"/>
          <w:szCs w:val="20"/>
          <w:highlight w:val="none"/>
          <w:lang w:val="en-US" w:eastAsia="zh-CN"/>
        </w:rPr>
        <w:t>概算/预算/</w:t>
      </w:r>
      <w:r>
        <w:rPr>
          <w:rFonts w:hint="eastAsia" w:ascii="仿宋" w:hAnsi="仿宋" w:eastAsia="仿宋" w:cs="仿宋"/>
          <w:color w:val="auto"/>
          <w:sz w:val="20"/>
          <w:szCs w:val="20"/>
          <w:highlight w:val="none"/>
          <w:lang w:eastAsia="zh-CN"/>
        </w:rPr>
        <w:t>结算审核（含进度款审核、变更签证造价审核）、合同管理、信息管理、组织协调、协助建设单位进行档案整理、归档及管理等监理工作 。全部工程包括但不限于本项目勘察设计施工总承包合同涉及的所有工程内容（包含因工程建设所需的红线外永久/临时工程，展示区及样板房工程等）、由发包方发包的第三方专业分包工程等</w:t>
      </w:r>
      <w:r>
        <w:rPr>
          <w:rFonts w:ascii="仿宋" w:hAnsi="仿宋" w:eastAsia="仿宋" w:cs="仿宋"/>
          <w:color w:val="auto"/>
          <w:sz w:val="20"/>
          <w:szCs w:val="20"/>
          <w:highlight w:val="none"/>
          <w:lang w:eastAsia="zh-CN"/>
        </w:rPr>
        <w:t>。</w:t>
      </w:r>
    </w:p>
    <w:p w14:paraId="71E741C2">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专业包含但不限于：</w:t>
      </w:r>
    </w:p>
    <w:p w14:paraId="068A6540">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（1）土建工程：土方工程、基坑支护、地基与基础工程，主体结构，屋面工程，门窗工程，墙体工程，装修装饰工程，楼地面工程（含散水、台阶等）及室外场地、围墙等。</w:t>
      </w:r>
    </w:p>
    <w:p w14:paraId="52F40EDE">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（2）钢结构工程（如有）。</w:t>
      </w:r>
    </w:p>
    <w:p w14:paraId="22BA8C35">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（3）设备安装工程：消防工程、电气工程（临时供电、永久供电等）、泛光照明工程、给排水工程（含临时供水、永久供水等），弱电工程（含智能化、网络等），通风空调设备安装工程、电梯安装工程等。</w:t>
      </w:r>
    </w:p>
    <w:p w14:paraId="1FCD8117">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（4）专业工程:基坑支护、供电、智能化、幕墙、燃气、空调通风、发电机房、厨房、抗震支架、综合管线、标识系统、地面处理、交通划线、人防工程、防水工程等。</w:t>
      </w:r>
    </w:p>
    <w:p w14:paraId="184B0C56">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（5）建筑装修工程、精装修工程及交付使用的各项配套工程。</w:t>
      </w:r>
    </w:p>
    <w:p w14:paraId="55D4E3B7">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（6）</w:t>
      </w:r>
      <w:r>
        <w:rPr>
          <w:rFonts w:hint="eastAsia" w:ascii="仿宋" w:hAnsi="仿宋" w:eastAsia="仿宋" w:cs="仿宋"/>
          <w:color w:val="auto"/>
          <w:sz w:val="20"/>
          <w:szCs w:val="20"/>
          <w:highlight w:val="none"/>
          <w:lang w:val="en-US" w:eastAsia="zh-CN"/>
        </w:rPr>
        <w:t>市政</w:t>
      </w:r>
      <w:r>
        <w:rPr>
          <w:rFonts w:hint="eastAsia" w:ascii="仿宋" w:hAnsi="仿宋" w:eastAsia="仿宋" w:cs="仿宋"/>
          <w:color w:val="auto"/>
          <w:sz w:val="20"/>
          <w:szCs w:val="20"/>
          <w:highlight w:val="none"/>
          <w:lang w:eastAsia="zh-CN"/>
        </w:rPr>
        <w:t>道路、市政供电、市政给排水、景观、园林绿化等工程（含红线外接驳）、</w:t>
      </w:r>
      <w:r>
        <w:rPr>
          <w:rFonts w:hint="eastAsia" w:ascii="仿宋" w:hAnsi="仿宋" w:eastAsia="仿宋" w:cs="仿宋"/>
          <w:color w:val="auto"/>
          <w:sz w:val="20"/>
          <w:szCs w:val="20"/>
          <w:highlight w:val="none"/>
          <w:lang w:val="en-US" w:eastAsia="zh-CN"/>
        </w:rPr>
        <w:t>水坝结构提升、地质灾害防治治理</w:t>
      </w:r>
      <w:r>
        <w:rPr>
          <w:rFonts w:hint="eastAsia" w:ascii="仿宋" w:hAnsi="仿宋" w:eastAsia="仿宋" w:cs="仿宋"/>
          <w:color w:val="auto"/>
          <w:sz w:val="20"/>
          <w:szCs w:val="20"/>
          <w:highlight w:val="none"/>
          <w:lang w:eastAsia="zh-CN"/>
        </w:rPr>
        <w:t>。</w:t>
      </w:r>
    </w:p>
    <w:p w14:paraId="3D532781">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三、委托监理工作内容</w:t>
      </w:r>
    </w:p>
    <w:p w14:paraId="6B3406A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1．在施工阶段监理人主要任务是全面负责对工程的监督、管理和检查，协调各方的关系。其主要内容包括：</w:t>
      </w:r>
    </w:p>
    <w:p w14:paraId="065BA19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 审查施工组织设计</w:t>
      </w:r>
    </w:p>
    <w:p w14:paraId="2431BC0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1.1.1 工程开工前及时审核施工单位提交的施工组织设计，包括施工技术方案、施工进度计划、安全及文明生产措施，将审查结果书面答复施工单位，并抄送委托人；</w:t>
      </w:r>
    </w:p>
    <w:p w14:paraId="104DEF9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1.1.2 工程的重点或关键部位，应要求施工单位提出具体方案，经监理人审查认定后方可施工；</w:t>
      </w:r>
    </w:p>
    <w:p w14:paraId="777DD133">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1.1.3 审查施工单位各项施工准备工作，协助委托人下达开工令；</w:t>
      </w:r>
    </w:p>
    <w:p w14:paraId="519A0A6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1.1.4勘察阶段协助发包人编制勘察要求、选择勘察单位，核查勘察方案并监督实施和进行相应的控制，参与验收勘察成果。</w:t>
      </w:r>
    </w:p>
    <w:p w14:paraId="75F350D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1.1.5设计阶段包括但不限于组织评选设计方案，监督合同履行，审查设计监督计划和监督实施，核查设计大纲和设计深度、使用技术规范合理性，提出设计评估报告，协助审核设计概算。</w:t>
      </w:r>
    </w:p>
    <w:p w14:paraId="650520D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 控制工程进度</w:t>
      </w:r>
    </w:p>
    <w:p w14:paraId="6EB9E8C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1.2.1 审核施工单位提出工程总进度计划，对总进度计划是否满足规定竣工日期要求提出意见；</w:t>
      </w:r>
    </w:p>
    <w:p w14:paraId="02D40F6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1.2.2 在总进度计划的前提下，审核施工单位月、周进度计划的可行性，如发现执行过程中不能完成工程计划时，应检查分析原因，督促施工单位及时调整计划和采取补救措施， 以保证工程进度的实现；</w:t>
      </w:r>
    </w:p>
    <w:p w14:paraId="658EC2A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1.2.3 每周定期主持与设计院、各施工单位间的有关施工进度、质量及安全的协调会议并做好会议记录，及时协调处理相关的问题。若情况特殊，监理人应能立即研究并提出召开现场会议，协调解决有关问题， 同时报委托人签字认可；</w:t>
      </w:r>
    </w:p>
    <w:p w14:paraId="02964B5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1.2.4 建立工程监理日记制度，详细记录工程进度、质量、设计修改、工地洽商、安全及文明施工方面等问题和其它有关施工过程中必须记录的问题；</w:t>
      </w:r>
    </w:p>
    <w:p w14:paraId="78D05A8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1.2.5 每月向委托人提交一份监理工作月报。要求监理人做到图文并茂，切实反映每月工程质量、进度状况、安全生产、建设资金使用等方面情况， 以实际与计划作比较，发现偏差，及时找出原因，加以调整，确保工程进展顺利。方便委托人直观、系统地了解整个工程面貌；</w:t>
      </w:r>
    </w:p>
    <w:p w14:paraId="6D8D4C0B">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 控制工程质量</w:t>
      </w:r>
    </w:p>
    <w:p w14:paraId="758D9C64">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1.3.1 根据施工图纸、国家及相关施工规范和本工程施工承包合同中《施工技术操作规范》（如有）的要求严格监理施工质量，督促施工单位确保工程合格。同时配合委托人进行施工质量100％细部检查工作，经委托人批准的检查表单须完整、真实填写，分项工程结束10天内将表单提交给委托人备查；</w:t>
      </w:r>
      <w:r>
        <w:rPr>
          <w:rFonts w:hint="eastAsia" w:ascii="仿宋" w:hAnsi="仿宋" w:eastAsia="仿宋" w:cs="仿宋"/>
          <w:color w:val="auto"/>
          <w:sz w:val="20"/>
          <w:szCs w:val="20"/>
          <w:highlight w:val="none"/>
          <w:lang w:eastAsia="zh-CN"/>
        </w:rPr>
        <w:t>监理人设备要求：至少应配置：靠尺、水准仪、经纬仪、回弹仪、混凝土坍落筒、数字万用表、裂缝宽度测量仪、测厚仪、测距仪、弯沉仪、多功能检测器、全站仪各两台</w:t>
      </w:r>
    </w:p>
    <w:p w14:paraId="384DA90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1.3.2 分现场各阶段制订详细的、有针对性的现场监理实施细则和相应的检查表单（按分项工程写），并严格按此进行操作。每个分部工程开工前须提交一份该分部工程的质量通病或可能产生的质量问题、采取的预防措施和施工过程中有针对性的办法；</w:t>
      </w:r>
    </w:p>
    <w:p w14:paraId="39A2434D">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1.3.3 监理人必须在各分项工程、特殊的工艺、重要的部位及新材料新工艺的应用等方面把好样板审核关，明确工艺流程和质量标准，经审查合格后方可大面积展开；</w:t>
      </w:r>
    </w:p>
    <w:p w14:paraId="41D09906">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1.3.4 必须用水准仪、全站仪等复核、验收工程角点的定位放线。做好沉降观测等复核工作；</w:t>
      </w:r>
    </w:p>
    <w:p w14:paraId="13D79B7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1.3.5 监理人在开工后，应及时制定施工单位管理人员及工程质量的考核细则提交委托人。并定期进行一次考核，将考核情况上报给委托人；</w:t>
      </w:r>
    </w:p>
    <w:p w14:paraId="3169FB5B">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1.3.6 审查主要建筑材料、主要设备的订货和核定其性能；</w:t>
      </w:r>
    </w:p>
    <w:p w14:paraId="07ADCB6B">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1.3.7 审查施工承包单位提出的材料和设备计划和清单，以满足现场施工的需要；</w:t>
      </w:r>
    </w:p>
    <w:p w14:paraId="247DB9D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1.3.8 对工程使用的原材料、半成品、构配件，进场时必须检查其出厂合格证、质保书、材质化验单，同时进行见证取样、送样（由见证员进行），并按规定进行抽查和复验；</w:t>
      </w:r>
    </w:p>
    <w:p w14:paraId="45D80C36">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1.3.9 检查工程上所采用的主要设备、半成品、构配件是否符合设计文件或标书所规定的厂家、型号规格和标准。对进口设备必须检查其海关商检书；</w:t>
      </w:r>
    </w:p>
    <w:p w14:paraId="302993FD">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 监督检查安全和文明施工</w:t>
      </w:r>
    </w:p>
    <w:p w14:paraId="224702F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1.4.1 监督和定期（每周一次）检查各施工单位现场施工的安全、文明施工等措施的落实情况并做好记录，在施工过程中严格执行省安全文明施工管理条例；</w:t>
      </w:r>
    </w:p>
    <w:p w14:paraId="3112BF1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1.4.2 督促施工单位施工管理制度和质量、安全、文明施工保证体系的建立、健全与实施。</w:t>
      </w:r>
    </w:p>
    <w:p w14:paraId="3246C56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1.4.3 按照国务院关于《建筑工程安全生产管理条例》的要求进行监控；</w:t>
      </w:r>
    </w:p>
    <w:p w14:paraId="19EB9163">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1.4.4 认真执行《广州市建设工程绿色施工围蔽指导图集(V2.0版)》、《安全文明施工标准》 （JGJ 59-2011）、《建设工程施工现场环境与卫生标准》（JGJ 146-2013）及省、市、地方相关规 定要求，严格监督现场落实围蔽工作、安全文明施工，控制工地的施工噪声和扬尘，工地时时刻刻做到整洁卫生；</w:t>
      </w:r>
    </w:p>
    <w:p w14:paraId="21F6BEB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1.4.5 杜绝发生较大事故；</w:t>
      </w:r>
    </w:p>
    <w:p w14:paraId="63519D9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1.4.6总监理工程师应安排监理人员对施工过程进行巡视和检查。对基础工程中土方回填，混凝土灌注桩浇筑，预制桩接桩、地下连续墙、土钉墙、后浇带及其他结构混凝土、防水混凝土浇筑，卷材防水层细部构造处理，钢结构安装和主体结构工程中梁柱节点钢筋隐蔽过程，混凝土浇筑，预应力张拉，装配式结构安装，钢结构安装，网架结构安装，索膜安装等，应安排监理员进行旁站，做好旁站监理记录和监理日记，保存旁站监理原始资料。旁站监理人员应当认真履行职责，对需要实施旁站监理的关键部位、关键工序在施工现场跟班监督，及时发现和处理旁站监理过程中出现的问题，发现工程质量、施工安全存在事故隐患的，责令施工企业进行整改并报委托人。</w:t>
      </w:r>
    </w:p>
    <w:p w14:paraId="6C9E0F1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1.5 投资控制</w:t>
      </w:r>
    </w:p>
    <w:p w14:paraId="70AB6751">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1.5.1 复核施工承包单位工程月报及已完工程量，并提出书面意见；</w:t>
      </w:r>
    </w:p>
    <w:p w14:paraId="10BDDBD2">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1.5.2 负责现场技术核定及工程签证，对超出承包合同之外的设计修改、工地洽商，如涉及费用的须提醒委托人并征得委托人签证认可方为有效；</w:t>
      </w:r>
    </w:p>
    <w:p w14:paraId="3F5F01B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1.5.3 监理人会签有关各种设计变更，应侧重审查对工程质量、进度、投资是否有不利影响，如发现有不利影响时，应明确提出监理意见，及时向委托人反映；</w:t>
      </w:r>
    </w:p>
    <w:p w14:paraId="633F4749">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 工程验收及工程质量事故处理</w:t>
      </w:r>
    </w:p>
    <w:p w14:paraId="6DA4BCA6">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1.6.1 负责隐蔽工程验收、中间验收和竣工初验，并督促整改。对工程施工质量、安全、文明施工提出评估意见；</w:t>
      </w:r>
    </w:p>
    <w:p w14:paraId="1E6836B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1.6.2 配合委托人进行单位工程竣工验收工作；</w:t>
      </w:r>
    </w:p>
    <w:p w14:paraId="6C03E39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1.6.3 提供专业检测仪器和工具，协助委托人在中间验收、竣工验收、每月的例行检查时对工程实体进行实测实量；</w:t>
      </w:r>
    </w:p>
    <w:p w14:paraId="7DF252C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1.6.4 审查承包单位编制的竣工图，保证其正确无误，并及时提交委托人；</w:t>
      </w:r>
    </w:p>
    <w:p w14:paraId="7AFDD21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1.6.5 负责工程监理文件的整理和归档，经委托人书面认可后移交委托人；</w:t>
      </w:r>
    </w:p>
    <w:p w14:paraId="1730B67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1.6.6 协助委托人组织施工承包单位、设计单位研究处理工程质量、安全事故，监督整改方案的实施，并监督检查整改工作实施</w:t>
      </w:r>
      <w:r>
        <w:rPr>
          <w:rFonts w:hint="eastAsia" w:ascii="仿宋" w:hAnsi="仿宋" w:eastAsia="仿宋" w:cs="仿宋"/>
          <w:color w:val="auto"/>
          <w:sz w:val="20"/>
          <w:szCs w:val="20"/>
          <w:highlight w:val="none"/>
          <w:lang w:eastAsia="zh-CN"/>
        </w:rPr>
        <w:t>。</w:t>
      </w:r>
    </w:p>
    <w:p w14:paraId="504918B6">
      <w:pPr>
        <w:pStyle w:val="2"/>
        <w:spacing w:line="360" w:lineRule="auto"/>
        <w:ind w:firstLine="400" w:firstLineChars="200"/>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1.7对合同管理实施控制工作程序化、规范化，建立定期和不定期的协商会办制度，根据合同文件的约定及委托人要求的图纸批准程序、工程变更程序、承包人索赔程序、承包人的账单审查程序、进度付款账单的审查批准程序、工程问题的请示报告程序等制定相关表格。</w:t>
      </w:r>
    </w:p>
    <w:p w14:paraId="665ED76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2．工程保修阶段监理人的职责（本工程的质量保修期执行国务院《建设工程质量管理条例》第40条的规定，没有规定质量保修期的各分部工程为竣工验收合格之日起两年。）</w:t>
      </w:r>
    </w:p>
    <w:p w14:paraId="5048A20E">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2.1 负责工程保修期内工程量的确认和施工质量监督；</w:t>
      </w:r>
    </w:p>
    <w:p w14:paraId="3E6C34AB">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 xml:space="preserve">2.2 </w:t>
      </w:r>
      <w:r>
        <w:rPr>
          <w:rFonts w:hint="eastAsia" w:ascii="仿宋" w:hAnsi="仿宋" w:eastAsia="仿宋" w:cs="仿宋"/>
          <w:color w:val="auto"/>
          <w:sz w:val="20"/>
          <w:szCs w:val="20"/>
          <w:highlight w:val="none"/>
          <w:lang w:eastAsia="zh-CN"/>
        </w:rPr>
        <w:t>保修期内</w:t>
      </w:r>
      <w:r>
        <w:rPr>
          <w:rFonts w:ascii="仿宋" w:hAnsi="仿宋" w:eastAsia="仿宋" w:cs="仿宋"/>
          <w:color w:val="auto"/>
          <w:sz w:val="20"/>
          <w:szCs w:val="20"/>
          <w:highlight w:val="none"/>
          <w:lang w:eastAsia="zh-CN"/>
        </w:rPr>
        <w:t>，监理人留</w:t>
      </w:r>
      <w:r>
        <w:rPr>
          <w:rFonts w:hint="eastAsia" w:ascii="仿宋" w:hAnsi="仿宋" w:eastAsia="仿宋" w:cs="仿宋"/>
          <w:color w:val="auto"/>
          <w:sz w:val="20"/>
          <w:szCs w:val="20"/>
          <w:highlight w:val="none"/>
          <w:lang w:eastAsia="zh-CN"/>
        </w:rPr>
        <w:t>土建工程师、</w:t>
      </w:r>
      <w:r>
        <w:rPr>
          <w:rFonts w:ascii="仿宋" w:hAnsi="仿宋" w:eastAsia="仿宋" w:cs="仿宋"/>
          <w:color w:val="auto"/>
          <w:sz w:val="20"/>
          <w:szCs w:val="20"/>
          <w:highlight w:val="none"/>
          <w:lang w:eastAsia="zh-CN"/>
        </w:rPr>
        <w:t>机电工程师、装修工程师共</w:t>
      </w:r>
      <w:r>
        <w:rPr>
          <w:rFonts w:hint="eastAsia" w:ascii="仿宋" w:hAnsi="仿宋" w:eastAsia="仿宋" w:cs="仿宋"/>
          <w:color w:val="auto"/>
          <w:sz w:val="20"/>
          <w:szCs w:val="20"/>
          <w:highlight w:val="none"/>
          <w:lang w:eastAsia="zh-CN"/>
        </w:rPr>
        <w:t>3</w:t>
      </w:r>
      <w:r>
        <w:rPr>
          <w:rFonts w:ascii="仿宋" w:hAnsi="仿宋" w:eastAsia="仿宋" w:cs="仿宋"/>
          <w:color w:val="auto"/>
          <w:sz w:val="20"/>
          <w:szCs w:val="20"/>
          <w:highlight w:val="none"/>
          <w:lang w:eastAsia="zh-CN"/>
        </w:rPr>
        <w:t>人配合委托人做好运行工作；对使用单位提出的质量问题进行技术解答，督促施工单位对发现的质量问题进行整改修复。监理人应对使用时所发现的问题做好汇总，并在这项工作完成后半个月内向委托人提交这项工作的评估析报告；</w:t>
      </w:r>
    </w:p>
    <w:p w14:paraId="0DF45387">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2.3 保修期内安排负责人审核维修方案，对工程维修工作量进行确认，对维修过程进行监督，并以书面形式向委托人汇报维修工作结果；</w:t>
      </w:r>
    </w:p>
    <w:p w14:paraId="6103279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2.4 参加工程保维修期内的质量回访，并将回访记录提交委托人。</w:t>
      </w:r>
    </w:p>
    <w:p w14:paraId="1A898FA8">
      <w:pPr>
        <w:pStyle w:val="2"/>
        <w:spacing w:line="360" w:lineRule="auto"/>
        <w:ind w:firstLine="400" w:firstLineChars="200"/>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3.报建报批管理</w:t>
      </w:r>
    </w:p>
    <w:p w14:paraId="36E2BEAA">
      <w:pPr>
        <w:pStyle w:val="2"/>
        <w:spacing w:line="360" w:lineRule="auto"/>
        <w:ind w:firstLine="400" w:firstLineChars="200"/>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3.1对各项目建设需要开展的相关专题研究以及需要办理的相关手续进行梳理，根据总体工作计划要求进行报批报建工作策划。</w:t>
      </w:r>
    </w:p>
    <w:p w14:paraId="3C840935">
      <w:pPr>
        <w:pStyle w:val="2"/>
        <w:spacing w:line="360" w:lineRule="auto"/>
        <w:ind w:firstLine="400" w:firstLineChars="200"/>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3.2根据各项目建设内容编制报建报批工作计划，督促审核设计施工总承包单位及时办理项目前期及工程建设期间的各项报批报建手续（包括但不限于：办理土地、规划、城市轨道交通、建设、环保、人防、消防、航空、气象、用电、用水、路口、水土保持、市政接驳等）。</w:t>
      </w:r>
    </w:p>
    <w:p w14:paraId="553608D5">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四、监理人员配置要求</w:t>
      </w:r>
    </w:p>
    <w:p w14:paraId="627DB0E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1．现场监理人员均为固定在本工程施工现场的监理人员，未征得委托人书面同意不得更换，否则将按有关条款进行违约处罚；</w:t>
      </w:r>
    </w:p>
    <w:p w14:paraId="1D1B631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工程监理机构人数配备，除应符合广州市建设行政部门相关的规定外，还要求专业配套人数不少于下列要求。监理组人员配置要求如下（以下人员数量为最低要求的总和，若不能满足现场监管需要，人员应无条件相应增加）：</w:t>
      </w:r>
    </w:p>
    <w:p w14:paraId="5C616BAC">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（1）施工</w:t>
      </w:r>
      <w:r>
        <w:rPr>
          <w:rFonts w:hint="eastAsia" w:ascii="仿宋" w:hAnsi="仿宋" w:eastAsia="仿宋" w:cs="仿宋"/>
          <w:color w:val="auto"/>
          <w:sz w:val="20"/>
          <w:szCs w:val="20"/>
          <w:highlight w:val="none"/>
          <w:lang w:eastAsia="zh-CN"/>
        </w:rPr>
        <w:t>准备</w:t>
      </w:r>
      <w:r>
        <w:rPr>
          <w:rFonts w:ascii="仿宋" w:hAnsi="仿宋" w:eastAsia="仿宋" w:cs="仿宋"/>
          <w:color w:val="auto"/>
          <w:sz w:val="20"/>
          <w:szCs w:val="20"/>
          <w:highlight w:val="none"/>
          <w:lang w:eastAsia="zh-CN"/>
        </w:rPr>
        <w:t>期间监理人员配备：</w:t>
      </w:r>
    </w:p>
    <w:p w14:paraId="26F8D330">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总监理工程师1名（持有注册监理工程师证书）、土建类专业监理工程师2名、安装类专业监理工程师1名、安全</w:t>
      </w:r>
      <w:r>
        <w:rPr>
          <w:rFonts w:hint="eastAsia" w:ascii="仿宋" w:hAnsi="仿宋" w:eastAsia="仿宋" w:cs="仿宋"/>
          <w:color w:val="auto"/>
          <w:sz w:val="20"/>
          <w:szCs w:val="20"/>
          <w:highlight w:val="none"/>
          <w:lang w:val="en-US" w:eastAsia="zh-CN"/>
        </w:rPr>
        <w:t>监理员</w:t>
      </w:r>
      <w:r>
        <w:rPr>
          <w:rFonts w:hint="eastAsia" w:ascii="仿宋" w:hAnsi="仿宋" w:eastAsia="仿宋" w:cs="仿宋"/>
          <w:color w:val="auto"/>
          <w:sz w:val="20"/>
          <w:szCs w:val="20"/>
          <w:highlight w:val="none"/>
          <w:lang w:eastAsia="zh-CN"/>
        </w:rPr>
        <w:t>工程师1名、监理员2名、资料员1名。</w:t>
      </w:r>
    </w:p>
    <w:p w14:paraId="04F08FFD">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eastAsia="zh-CN"/>
        </w:rPr>
        <w:t>2</w:t>
      </w:r>
      <w:r>
        <w:rPr>
          <w:rFonts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eastAsia="zh-CN"/>
        </w:rPr>
        <w:t>监理机构人员配备要求表</w:t>
      </w:r>
      <w:r>
        <w:rPr>
          <w:rFonts w:ascii="仿宋" w:hAnsi="仿宋" w:eastAsia="仿宋" w:cs="仿宋"/>
          <w:color w:val="auto"/>
          <w:sz w:val="20"/>
          <w:szCs w:val="20"/>
          <w:highlight w:val="none"/>
          <w:lang w:eastAsia="zh-CN"/>
        </w:rPr>
        <w:t>：</w:t>
      </w:r>
    </w:p>
    <w:tbl>
      <w:tblPr>
        <w:tblStyle w:val="1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61"/>
        <w:gridCol w:w="1107"/>
        <w:gridCol w:w="3291"/>
        <w:gridCol w:w="2478"/>
      </w:tblGrid>
      <w:tr w14:paraId="4AEA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4D19D11">
            <w:pPr>
              <w:jc w:val="center"/>
              <w:rPr>
                <w:rFonts w:ascii="仿宋" w:hAnsi="仿宋" w:eastAsia="仿宋" w:cs="仿宋"/>
                <w:b/>
                <w:color w:val="auto"/>
                <w:highlight w:val="none"/>
              </w:rPr>
            </w:pPr>
            <w:r>
              <w:rPr>
                <w:rFonts w:hint="eastAsia" w:ascii="仿宋" w:hAnsi="仿宋" w:eastAsia="仿宋" w:cs="仿宋"/>
                <w:b/>
                <w:color w:val="auto"/>
                <w:highlight w:val="none"/>
              </w:rPr>
              <w:t>序号</w:t>
            </w:r>
          </w:p>
        </w:tc>
        <w:tc>
          <w:tcPr>
            <w:tcW w:w="1661" w:type="dxa"/>
            <w:tcBorders>
              <w:top w:val="single" w:color="auto" w:sz="4" w:space="0"/>
              <w:left w:val="single" w:color="auto" w:sz="4" w:space="0"/>
              <w:bottom w:val="single" w:color="auto" w:sz="4" w:space="0"/>
              <w:right w:val="single" w:color="auto" w:sz="4" w:space="0"/>
            </w:tcBorders>
            <w:vAlign w:val="center"/>
          </w:tcPr>
          <w:p w14:paraId="4BA5764A">
            <w:pPr>
              <w:jc w:val="center"/>
              <w:rPr>
                <w:rFonts w:ascii="仿宋" w:hAnsi="仿宋" w:eastAsia="仿宋" w:cs="仿宋"/>
                <w:b/>
                <w:color w:val="auto"/>
                <w:highlight w:val="none"/>
              </w:rPr>
            </w:pPr>
            <w:r>
              <w:rPr>
                <w:rFonts w:hint="eastAsia" w:ascii="仿宋" w:hAnsi="仿宋" w:eastAsia="仿宋" w:cs="仿宋"/>
                <w:b/>
                <w:color w:val="auto"/>
                <w:highlight w:val="none"/>
              </w:rPr>
              <w:t>岗位</w:t>
            </w:r>
          </w:p>
        </w:tc>
        <w:tc>
          <w:tcPr>
            <w:tcW w:w="1107" w:type="dxa"/>
            <w:tcBorders>
              <w:top w:val="single" w:color="auto" w:sz="4" w:space="0"/>
              <w:left w:val="single" w:color="auto" w:sz="4" w:space="0"/>
              <w:bottom w:val="single" w:color="auto" w:sz="4" w:space="0"/>
              <w:right w:val="single" w:color="auto" w:sz="4" w:space="0"/>
            </w:tcBorders>
            <w:vAlign w:val="center"/>
          </w:tcPr>
          <w:p w14:paraId="45E41CB3">
            <w:pPr>
              <w:jc w:val="center"/>
              <w:rPr>
                <w:rFonts w:ascii="仿宋" w:hAnsi="仿宋" w:eastAsia="仿宋" w:cs="仿宋"/>
                <w:b/>
                <w:color w:val="auto"/>
                <w:highlight w:val="none"/>
              </w:rPr>
            </w:pPr>
            <w:r>
              <w:rPr>
                <w:rFonts w:hint="eastAsia" w:ascii="仿宋" w:hAnsi="仿宋" w:eastAsia="仿宋" w:cs="仿宋"/>
                <w:b/>
                <w:color w:val="auto"/>
                <w:highlight w:val="none"/>
              </w:rPr>
              <w:t>最低要求数量</w:t>
            </w:r>
          </w:p>
        </w:tc>
        <w:tc>
          <w:tcPr>
            <w:tcW w:w="3291" w:type="dxa"/>
            <w:tcBorders>
              <w:top w:val="single" w:color="auto" w:sz="4" w:space="0"/>
              <w:left w:val="single" w:color="auto" w:sz="4" w:space="0"/>
              <w:bottom w:val="single" w:color="auto" w:sz="4" w:space="0"/>
              <w:right w:val="single" w:color="auto" w:sz="4" w:space="0"/>
            </w:tcBorders>
            <w:vAlign w:val="center"/>
          </w:tcPr>
          <w:p w14:paraId="637EA7A2">
            <w:pPr>
              <w:jc w:val="center"/>
              <w:rPr>
                <w:rFonts w:ascii="仿宋" w:hAnsi="仿宋" w:eastAsia="仿宋" w:cs="仿宋"/>
                <w:b/>
                <w:color w:val="auto"/>
                <w:highlight w:val="none"/>
              </w:rPr>
            </w:pPr>
            <w:r>
              <w:rPr>
                <w:rFonts w:hint="eastAsia" w:ascii="仿宋" w:hAnsi="仿宋" w:eastAsia="仿宋" w:cs="仿宋"/>
                <w:b/>
                <w:color w:val="auto"/>
                <w:highlight w:val="none"/>
              </w:rPr>
              <w:t>基本要求</w:t>
            </w:r>
          </w:p>
        </w:tc>
        <w:tc>
          <w:tcPr>
            <w:tcW w:w="2478" w:type="dxa"/>
            <w:tcBorders>
              <w:top w:val="single" w:color="auto" w:sz="4" w:space="0"/>
              <w:left w:val="single" w:color="auto" w:sz="4" w:space="0"/>
              <w:bottom w:val="single" w:color="auto" w:sz="4" w:space="0"/>
              <w:right w:val="single" w:color="auto" w:sz="4" w:space="0"/>
            </w:tcBorders>
          </w:tcPr>
          <w:p w14:paraId="4B5BB265">
            <w:pPr>
              <w:jc w:val="center"/>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备注（应提供如下证明材料等）</w:t>
            </w:r>
          </w:p>
        </w:tc>
      </w:tr>
      <w:tr w14:paraId="44A7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D635707">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61" w:type="dxa"/>
            <w:tcBorders>
              <w:top w:val="single" w:color="auto" w:sz="4" w:space="0"/>
              <w:left w:val="single" w:color="auto" w:sz="4" w:space="0"/>
              <w:bottom w:val="single" w:color="auto" w:sz="4" w:space="0"/>
              <w:right w:val="single" w:color="auto" w:sz="4" w:space="0"/>
            </w:tcBorders>
            <w:vAlign w:val="center"/>
          </w:tcPr>
          <w:p w14:paraId="1DA6AED8">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总监理工程师</w:t>
            </w:r>
          </w:p>
        </w:tc>
        <w:tc>
          <w:tcPr>
            <w:tcW w:w="1107" w:type="dxa"/>
            <w:tcBorders>
              <w:top w:val="single" w:color="auto" w:sz="4" w:space="0"/>
              <w:left w:val="single" w:color="auto" w:sz="4" w:space="0"/>
              <w:bottom w:val="single" w:color="auto" w:sz="4" w:space="0"/>
              <w:right w:val="single" w:color="auto" w:sz="4" w:space="0"/>
            </w:tcBorders>
            <w:vAlign w:val="center"/>
          </w:tcPr>
          <w:p w14:paraId="357B4703">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1名</w:t>
            </w:r>
          </w:p>
        </w:tc>
        <w:tc>
          <w:tcPr>
            <w:tcW w:w="3291" w:type="dxa"/>
            <w:tcBorders>
              <w:top w:val="single" w:color="auto" w:sz="4" w:space="0"/>
              <w:left w:val="single" w:color="auto" w:sz="4" w:space="0"/>
              <w:bottom w:val="single" w:color="auto" w:sz="4" w:space="0"/>
              <w:right w:val="single" w:color="auto" w:sz="4" w:space="0"/>
            </w:tcBorders>
            <w:vAlign w:val="center"/>
          </w:tcPr>
          <w:p w14:paraId="79EC5541">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资格要求与招标公告要求一致；</w:t>
            </w:r>
          </w:p>
        </w:tc>
        <w:tc>
          <w:tcPr>
            <w:tcW w:w="2478" w:type="dxa"/>
            <w:tcBorders>
              <w:top w:val="single" w:color="auto" w:sz="4" w:space="0"/>
              <w:left w:val="single" w:color="auto" w:sz="4" w:space="0"/>
              <w:bottom w:val="single" w:color="auto" w:sz="4" w:space="0"/>
              <w:right w:val="single" w:color="auto" w:sz="4" w:space="0"/>
            </w:tcBorders>
            <w:vAlign w:val="center"/>
          </w:tcPr>
          <w:p w14:paraId="0B63704A">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注册监理工程师执业证书</w:t>
            </w:r>
          </w:p>
        </w:tc>
      </w:tr>
      <w:tr w14:paraId="5748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A67F539">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61" w:type="dxa"/>
            <w:tcBorders>
              <w:top w:val="single" w:color="auto" w:sz="4" w:space="0"/>
              <w:left w:val="single" w:color="auto" w:sz="4" w:space="0"/>
              <w:bottom w:val="single" w:color="auto" w:sz="4" w:space="0"/>
              <w:right w:val="single" w:color="auto" w:sz="4" w:space="0"/>
            </w:tcBorders>
            <w:vAlign w:val="center"/>
          </w:tcPr>
          <w:p w14:paraId="68F2E7E3">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总监理工程师代表</w:t>
            </w:r>
          </w:p>
        </w:tc>
        <w:tc>
          <w:tcPr>
            <w:tcW w:w="1107" w:type="dxa"/>
            <w:tcBorders>
              <w:top w:val="single" w:color="auto" w:sz="4" w:space="0"/>
              <w:left w:val="single" w:color="auto" w:sz="4" w:space="0"/>
              <w:bottom w:val="single" w:color="auto" w:sz="4" w:space="0"/>
              <w:right w:val="single" w:color="auto" w:sz="4" w:space="0"/>
            </w:tcBorders>
            <w:vAlign w:val="center"/>
          </w:tcPr>
          <w:p w14:paraId="0BB30BAD">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1名</w:t>
            </w:r>
          </w:p>
        </w:tc>
        <w:tc>
          <w:tcPr>
            <w:tcW w:w="3291" w:type="dxa"/>
            <w:tcBorders>
              <w:top w:val="single" w:color="auto" w:sz="4" w:space="0"/>
              <w:left w:val="single" w:color="auto" w:sz="4" w:space="0"/>
              <w:bottom w:val="single" w:color="auto" w:sz="4" w:space="0"/>
              <w:right w:val="single" w:color="auto" w:sz="4" w:space="0"/>
            </w:tcBorders>
            <w:vAlign w:val="center"/>
          </w:tcPr>
          <w:p w14:paraId="12F1A829">
            <w:pPr>
              <w:adjustRightInd w:val="0"/>
              <w:snapToGrid w:val="0"/>
              <w:rPr>
                <w:rFonts w:ascii="仿宋" w:hAnsi="仿宋" w:eastAsia="仿宋" w:cs="仿宋"/>
                <w:color w:val="auto"/>
                <w:highlight w:val="none"/>
                <w:lang w:eastAsia="zh-CN"/>
              </w:rPr>
            </w:pPr>
            <w:r>
              <w:rPr>
                <w:rFonts w:hint="eastAsia" w:ascii="宋体" w:hAnsi="宋体" w:cs="宋体"/>
                <w:color w:val="auto"/>
                <w:kern w:val="0"/>
                <w:szCs w:val="21"/>
                <w:highlight w:val="none"/>
              </w:rPr>
              <w:t>具有中级或以上技术职称</w:t>
            </w:r>
            <w:r>
              <w:rPr>
                <w:rFonts w:hint="eastAsia" w:ascii="宋体" w:eastAsia="宋体" w:cs="Times New Roman"/>
                <w:color w:val="auto"/>
                <w:szCs w:val="21"/>
                <w:highlight w:val="none"/>
              </w:rPr>
              <w:t>或持有注册监理工程师证书（专业为房屋建筑工程相关专业）。</w:t>
            </w:r>
          </w:p>
        </w:tc>
        <w:tc>
          <w:tcPr>
            <w:tcW w:w="2478" w:type="dxa"/>
            <w:tcBorders>
              <w:top w:val="single" w:color="auto" w:sz="4" w:space="0"/>
              <w:left w:val="single" w:color="auto" w:sz="4" w:space="0"/>
              <w:bottom w:val="single" w:color="auto" w:sz="4" w:space="0"/>
              <w:right w:val="single" w:color="auto" w:sz="4" w:space="0"/>
            </w:tcBorders>
            <w:vAlign w:val="center"/>
          </w:tcPr>
          <w:p w14:paraId="226A4760">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注册监理工程师执业证书或职称证</w:t>
            </w:r>
          </w:p>
        </w:tc>
      </w:tr>
      <w:tr w14:paraId="4935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0DBDEA9">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661" w:type="dxa"/>
            <w:tcBorders>
              <w:top w:val="single" w:color="auto" w:sz="4" w:space="0"/>
              <w:left w:val="single" w:color="auto" w:sz="4" w:space="0"/>
              <w:bottom w:val="single" w:color="auto" w:sz="4" w:space="0"/>
              <w:right w:val="single" w:color="auto" w:sz="4" w:space="0"/>
            </w:tcBorders>
            <w:vAlign w:val="center"/>
          </w:tcPr>
          <w:p w14:paraId="5CC8251A">
            <w:pPr>
              <w:adjustRightInd w:val="0"/>
              <w:snapToGrid w:val="0"/>
              <w:jc w:val="center"/>
              <w:rPr>
                <w:rFonts w:ascii="仿宋" w:hAnsi="仿宋" w:eastAsia="仿宋" w:cs="仿宋"/>
                <w:color w:val="auto"/>
                <w:highlight w:val="none"/>
                <w:lang w:eastAsia="zh-CN"/>
              </w:rPr>
            </w:pPr>
            <w:r>
              <w:rPr>
                <w:rFonts w:hint="eastAsia" w:ascii="宋体" w:eastAsia="宋体" w:cs="Times New Roman"/>
                <w:color w:val="auto"/>
                <w:szCs w:val="21"/>
                <w:highlight w:val="none"/>
              </w:rPr>
              <w:t>土建类或装修类专业监理工程师</w:t>
            </w:r>
          </w:p>
        </w:tc>
        <w:tc>
          <w:tcPr>
            <w:tcW w:w="1107" w:type="dxa"/>
            <w:tcBorders>
              <w:top w:val="single" w:color="auto" w:sz="4" w:space="0"/>
              <w:left w:val="single" w:color="auto" w:sz="4" w:space="0"/>
              <w:bottom w:val="single" w:color="auto" w:sz="4" w:space="0"/>
              <w:right w:val="single" w:color="auto" w:sz="4" w:space="0"/>
            </w:tcBorders>
            <w:vAlign w:val="center"/>
          </w:tcPr>
          <w:p w14:paraId="1CDA0B82">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w:t>
            </w:r>
          </w:p>
        </w:tc>
        <w:tc>
          <w:tcPr>
            <w:tcW w:w="3291" w:type="dxa"/>
            <w:tcBorders>
              <w:top w:val="single" w:color="auto" w:sz="4" w:space="0"/>
              <w:left w:val="single" w:color="auto" w:sz="4" w:space="0"/>
              <w:bottom w:val="single" w:color="auto" w:sz="4" w:space="0"/>
              <w:right w:val="single" w:color="auto" w:sz="4" w:space="0"/>
            </w:tcBorders>
            <w:vAlign w:val="center"/>
          </w:tcPr>
          <w:p w14:paraId="3B03A36A">
            <w:pPr>
              <w:adjustRightInd w:val="0"/>
              <w:snapToGrid w:val="0"/>
              <w:rPr>
                <w:rFonts w:ascii="仿宋" w:hAnsi="仿宋" w:eastAsia="仿宋" w:cs="仿宋"/>
                <w:color w:val="auto"/>
                <w:highlight w:val="none"/>
                <w:lang w:eastAsia="zh-CN"/>
              </w:rPr>
            </w:pPr>
            <w:r>
              <w:rPr>
                <w:rFonts w:hint="eastAsia" w:ascii="宋体" w:hAnsi="宋体" w:cs="宋体"/>
                <w:color w:val="auto"/>
                <w:kern w:val="0"/>
                <w:szCs w:val="21"/>
                <w:highlight w:val="none"/>
              </w:rPr>
              <w:t>具有中级或以上技术职称</w:t>
            </w:r>
            <w:r>
              <w:rPr>
                <w:rFonts w:hint="eastAsia" w:ascii="宋体" w:eastAsia="宋体" w:cs="Times New Roman"/>
                <w:color w:val="auto"/>
                <w:szCs w:val="21"/>
                <w:highlight w:val="none"/>
              </w:rPr>
              <w:t>或持有注册监理工程师证书（专业为房屋建筑工程相关专业）。</w:t>
            </w:r>
          </w:p>
        </w:tc>
        <w:tc>
          <w:tcPr>
            <w:tcW w:w="2478" w:type="dxa"/>
            <w:tcBorders>
              <w:top w:val="single" w:color="auto" w:sz="4" w:space="0"/>
              <w:left w:val="single" w:color="auto" w:sz="4" w:space="0"/>
              <w:bottom w:val="single" w:color="auto" w:sz="4" w:space="0"/>
              <w:right w:val="single" w:color="auto" w:sz="4" w:space="0"/>
            </w:tcBorders>
            <w:vAlign w:val="center"/>
          </w:tcPr>
          <w:p w14:paraId="0454C752">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注册监理工程师执业证书或职称证</w:t>
            </w:r>
          </w:p>
        </w:tc>
      </w:tr>
      <w:tr w14:paraId="5DFA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C969428">
            <w:pPr>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661" w:type="dxa"/>
            <w:tcBorders>
              <w:top w:val="single" w:color="auto" w:sz="4" w:space="0"/>
              <w:left w:val="single" w:color="auto" w:sz="4" w:space="0"/>
              <w:bottom w:val="single" w:color="auto" w:sz="4" w:space="0"/>
              <w:right w:val="single" w:color="auto" w:sz="4" w:space="0"/>
            </w:tcBorders>
            <w:vAlign w:val="center"/>
          </w:tcPr>
          <w:p w14:paraId="68D65013">
            <w:pPr>
              <w:adjustRightInd w:val="0"/>
              <w:snapToGrid w:val="0"/>
              <w:jc w:val="center"/>
              <w:rPr>
                <w:rFonts w:ascii="仿宋" w:hAnsi="仿宋" w:eastAsia="仿宋" w:cs="仿宋"/>
                <w:color w:val="auto"/>
                <w:highlight w:val="none"/>
                <w:lang w:eastAsia="zh-CN"/>
              </w:rPr>
            </w:pPr>
            <w:r>
              <w:rPr>
                <w:rFonts w:hint="eastAsia" w:ascii="宋体" w:eastAsia="宋体" w:cs="Times New Roman"/>
                <w:color w:val="auto"/>
                <w:szCs w:val="21"/>
                <w:highlight w:val="none"/>
              </w:rPr>
              <w:t>机电类专业监理工程师</w:t>
            </w:r>
          </w:p>
        </w:tc>
        <w:tc>
          <w:tcPr>
            <w:tcW w:w="1107" w:type="dxa"/>
            <w:tcBorders>
              <w:top w:val="single" w:color="auto" w:sz="4" w:space="0"/>
              <w:left w:val="single" w:color="auto" w:sz="4" w:space="0"/>
              <w:bottom w:val="single" w:color="auto" w:sz="4" w:space="0"/>
              <w:right w:val="single" w:color="auto" w:sz="4" w:space="0"/>
            </w:tcBorders>
            <w:vAlign w:val="center"/>
          </w:tcPr>
          <w:p w14:paraId="3B62DBE9">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w:t>
            </w:r>
          </w:p>
        </w:tc>
        <w:tc>
          <w:tcPr>
            <w:tcW w:w="3291" w:type="dxa"/>
            <w:tcBorders>
              <w:top w:val="single" w:color="auto" w:sz="4" w:space="0"/>
              <w:left w:val="single" w:color="auto" w:sz="4" w:space="0"/>
              <w:bottom w:val="single" w:color="auto" w:sz="4" w:space="0"/>
              <w:right w:val="single" w:color="auto" w:sz="4" w:space="0"/>
            </w:tcBorders>
            <w:vAlign w:val="center"/>
          </w:tcPr>
          <w:p w14:paraId="66B33F3F">
            <w:pPr>
              <w:adjustRightInd w:val="0"/>
              <w:snapToGrid w:val="0"/>
              <w:rPr>
                <w:rFonts w:ascii="仿宋" w:hAnsi="仿宋" w:eastAsia="仿宋" w:cs="仿宋"/>
                <w:color w:val="auto"/>
                <w:highlight w:val="none"/>
                <w:lang w:eastAsia="zh-CN"/>
              </w:rPr>
            </w:pPr>
            <w:r>
              <w:rPr>
                <w:rFonts w:hint="eastAsia" w:ascii="宋体" w:hAnsi="宋体" w:cs="宋体"/>
                <w:color w:val="auto"/>
                <w:kern w:val="0"/>
                <w:szCs w:val="21"/>
                <w:highlight w:val="none"/>
              </w:rPr>
              <w:t>具有中级或以上技术职称</w:t>
            </w:r>
            <w:r>
              <w:rPr>
                <w:rFonts w:hint="eastAsia" w:ascii="宋体" w:eastAsia="宋体" w:cs="Times New Roman"/>
                <w:color w:val="auto"/>
                <w:szCs w:val="21"/>
                <w:highlight w:val="none"/>
              </w:rPr>
              <w:t>或持有注册监理工程师证书（专业为机电安装工程相关专业）。</w:t>
            </w:r>
          </w:p>
        </w:tc>
        <w:tc>
          <w:tcPr>
            <w:tcW w:w="2478" w:type="dxa"/>
            <w:tcBorders>
              <w:top w:val="single" w:color="auto" w:sz="4" w:space="0"/>
              <w:left w:val="single" w:color="auto" w:sz="4" w:space="0"/>
              <w:bottom w:val="single" w:color="auto" w:sz="4" w:space="0"/>
              <w:right w:val="single" w:color="auto" w:sz="4" w:space="0"/>
            </w:tcBorders>
            <w:vAlign w:val="center"/>
          </w:tcPr>
          <w:p w14:paraId="17E0F221">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注册监理工程师执业证书</w:t>
            </w:r>
            <w:r>
              <w:rPr>
                <w:rFonts w:hint="eastAsia" w:ascii="宋体" w:eastAsia="宋体" w:cs="Times New Roman"/>
                <w:color w:val="auto"/>
                <w:szCs w:val="21"/>
                <w:highlight w:val="none"/>
                <w:lang w:val="en-US" w:eastAsia="zh-CN"/>
              </w:rPr>
              <w:t>或职称证</w:t>
            </w:r>
          </w:p>
        </w:tc>
      </w:tr>
      <w:tr w14:paraId="369E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C01F3DC">
            <w:pPr>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661" w:type="dxa"/>
            <w:tcBorders>
              <w:top w:val="single" w:color="auto" w:sz="4" w:space="0"/>
              <w:left w:val="single" w:color="auto" w:sz="4" w:space="0"/>
              <w:bottom w:val="single" w:color="auto" w:sz="4" w:space="0"/>
              <w:right w:val="single" w:color="auto" w:sz="4" w:space="0"/>
            </w:tcBorders>
            <w:vAlign w:val="center"/>
          </w:tcPr>
          <w:p w14:paraId="7915EB77">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安全监理员</w:t>
            </w:r>
          </w:p>
        </w:tc>
        <w:tc>
          <w:tcPr>
            <w:tcW w:w="1107" w:type="dxa"/>
            <w:tcBorders>
              <w:top w:val="single" w:color="auto" w:sz="4" w:space="0"/>
              <w:left w:val="single" w:color="auto" w:sz="4" w:space="0"/>
              <w:bottom w:val="single" w:color="auto" w:sz="4" w:space="0"/>
              <w:right w:val="single" w:color="auto" w:sz="4" w:space="0"/>
            </w:tcBorders>
            <w:vAlign w:val="center"/>
          </w:tcPr>
          <w:p w14:paraId="455253FA">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1名</w:t>
            </w:r>
          </w:p>
        </w:tc>
        <w:tc>
          <w:tcPr>
            <w:tcW w:w="3291" w:type="dxa"/>
            <w:tcBorders>
              <w:top w:val="single" w:color="auto" w:sz="4" w:space="0"/>
              <w:left w:val="single" w:color="auto" w:sz="4" w:space="0"/>
              <w:bottom w:val="single" w:color="auto" w:sz="4" w:space="0"/>
              <w:right w:val="single" w:color="auto" w:sz="4" w:space="0"/>
            </w:tcBorders>
            <w:vAlign w:val="center"/>
          </w:tcPr>
          <w:p w14:paraId="3F51C700">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持有注册安全工程师证书或安全</w:t>
            </w:r>
            <w:r>
              <w:rPr>
                <w:rFonts w:hint="eastAsia" w:ascii="宋体" w:eastAsia="宋体" w:cs="Times New Roman"/>
                <w:color w:val="auto"/>
                <w:szCs w:val="21"/>
                <w:highlight w:val="none"/>
                <w:lang w:val="en-US" w:eastAsia="zh-CN"/>
              </w:rPr>
              <w:t>监理员</w:t>
            </w:r>
            <w:r>
              <w:rPr>
                <w:rFonts w:hint="eastAsia" w:ascii="宋体" w:eastAsia="宋体" w:cs="Times New Roman"/>
                <w:color w:val="auto"/>
                <w:szCs w:val="21"/>
                <w:highlight w:val="none"/>
              </w:rPr>
              <w:t>上岗证。</w:t>
            </w:r>
          </w:p>
        </w:tc>
        <w:tc>
          <w:tcPr>
            <w:tcW w:w="2478" w:type="dxa"/>
            <w:tcBorders>
              <w:top w:val="single" w:color="auto" w:sz="4" w:space="0"/>
              <w:left w:val="single" w:color="auto" w:sz="4" w:space="0"/>
              <w:bottom w:val="single" w:color="auto" w:sz="4" w:space="0"/>
              <w:right w:val="single" w:color="auto" w:sz="4" w:space="0"/>
            </w:tcBorders>
            <w:vAlign w:val="center"/>
          </w:tcPr>
          <w:p w14:paraId="02E07A5B">
            <w:pPr>
              <w:adjustRightInd w:val="0"/>
              <w:snapToGrid w:val="0"/>
              <w:rPr>
                <w:rFonts w:ascii="仿宋" w:hAnsi="仿宋" w:eastAsia="仿宋" w:cs="仿宋"/>
                <w:color w:val="auto"/>
                <w:highlight w:val="none"/>
              </w:rPr>
            </w:pPr>
            <w:r>
              <w:rPr>
                <w:rFonts w:hint="eastAsia" w:ascii="宋体" w:eastAsia="宋体" w:cs="Times New Roman"/>
                <w:color w:val="auto"/>
                <w:szCs w:val="21"/>
                <w:highlight w:val="none"/>
              </w:rPr>
              <w:t>上岗证或注册证</w:t>
            </w:r>
          </w:p>
        </w:tc>
      </w:tr>
      <w:tr w14:paraId="19A7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9E786BF">
            <w:pPr>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661" w:type="dxa"/>
            <w:tcBorders>
              <w:top w:val="single" w:color="auto" w:sz="4" w:space="0"/>
              <w:left w:val="single" w:color="auto" w:sz="4" w:space="0"/>
              <w:bottom w:val="single" w:color="auto" w:sz="4" w:space="0"/>
              <w:right w:val="single" w:color="auto" w:sz="4" w:space="0"/>
            </w:tcBorders>
            <w:vAlign w:val="center"/>
          </w:tcPr>
          <w:p w14:paraId="0FA57016">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rPr>
              <w:t>监理员</w:t>
            </w:r>
          </w:p>
        </w:tc>
        <w:tc>
          <w:tcPr>
            <w:tcW w:w="1107" w:type="dxa"/>
            <w:tcBorders>
              <w:top w:val="single" w:color="auto" w:sz="4" w:space="0"/>
              <w:left w:val="single" w:color="auto" w:sz="4" w:space="0"/>
              <w:bottom w:val="single" w:color="auto" w:sz="4" w:space="0"/>
              <w:right w:val="single" w:color="auto" w:sz="4" w:space="0"/>
            </w:tcBorders>
            <w:vAlign w:val="center"/>
          </w:tcPr>
          <w:p w14:paraId="43DF9E96">
            <w:pPr>
              <w:adjustRightInd w:val="0"/>
              <w:snapToGrid w:val="0"/>
              <w:jc w:val="center"/>
              <w:rPr>
                <w:rFonts w:ascii="仿宋" w:hAnsi="仿宋" w:eastAsia="仿宋" w:cs="仿宋"/>
                <w:color w:val="auto"/>
                <w:highlight w:val="none"/>
              </w:rPr>
            </w:pPr>
            <w:r>
              <w:rPr>
                <w:rFonts w:hint="eastAsia" w:ascii="宋体" w:eastAsia="宋体" w:cs="Times New Roman"/>
                <w:color w:val="auto"/>
                <w:szCs w:val="21"/>
                <w:highlight w:val="none"/>
                <w:lang w:val="en-US" w:eastAsia="zh-CN"/>
              </w:rPr>
              <w:t>4</w:t>
            </w:r>
            <w:r>
              <w:rPr>
                <w:rFonts w:hint="eastAsia" w:ascii="宋体" w:eastAsia="宋体" w:cs="Times New Roman"/>
                <w:color w:val="auto"/>
                <w:szCs w:val="21"/>
                <w:highlight w:val="none"/>
              </w:rPr>
              <w:t>名</w:t>
            </w:r>
          </w:p>
        </w:tc>
        <w:tc>
          <w:tcPr>
            <w:tcW w:w="3291" w:type="dxa"/>
            <w:tcBorders>
              <w:top w:val="single" w:color="auto" w:sz="4" w:space="0"/>
              <w:left w:val="single" w:color="auto" w:sz="4" w:space="0"/>
              <w:bottom w:val="single" w:color="auto" w:sz="4" w:space="0"/>
              <w:right w:val="single" w:color="auto" w:sz="4" w:space="0"/>
            </w:tcBorders>
            <w:vAlign w:val="center"/>
          </w:tcPr>
          <w:p w14:paraId="52301CFD">
            <w:pPr>
              <w:adjustRightInd w:val="0"/>
              <w:snapToGrid w:val="0"/>
              <w:rPr>
                <w:rFonts w:ascii="仿宋" w:hAnsi="仿宋" w:eastAsia="仿宋" w:cs="仿宋"/>
                <w:color w:val="auto"/>
                <w:highlight w:val="none"/>
              </w:rPr>
            </w:pPr>
            <w:r>
              <w:rPr>
                <w:rFonts w:hint="eastAsia" w:ascii="宋体" w:eastAsia="宋体" w:cs="Times New Roman"/>
                <w:color w:val="auto"/>
                <w:szCs w:val="21"/>
                <w:highlight w:val="none"/>
              </w:rPr>
              <w:t>持有</w:t>
            </w:r>
            <w:r>
              <w:rPr>
                <w:rFonts w:hint="eastAsia" w:ascii="宋体" w:eastAsia="宋体" w:cs="Times New Roman"/>
                <w:color w:val="auto"/>
                <w:szCs w:val="21"/>
                <w:highlight w:val="none"/>
                <w:lang w:val="en-US" w:eastAsia="zh-CN"/>
              </w:rPr>
              <w:t>监理员</w:t>
            </w:r>
            <w:r>
              <w:rPr>
                <w:rFonts w:hint="eastAsia" w:ascii="宋体" w:eastAsia="宋体" w:cs="Times New Roman"/>
                <w:color w:val="auto"/>
                <w:szCs w:val="21"/>
                <w:highlight w:val="none"/>
              </w:rPr>
              <w:t>上岗证</w:t>
            </w:r>
            <w:r>
              <w:rPr>
                <w:rFonts w:hint="eastAsia" w:ascii="宋体" w:eastAsia="宋体" w:cs="Times New Roman"/>
                <w:color w:val="auto"/>
                <w:szCs w:val="21"/>
                <w:highlight w:val="none"/>
                <w:lang w:val="en-US" w:eastAsia="zh-CN"/>
              </w:rPr>
              <w:t>或注册证</w:t>
            </w:r>
            <w:r>
              <w:rPr>
                <w:rFonts w:hint="eastAsia" w:ascii="宋体" w:eastAsia="宋体" w:cs="Times New Roman"/>
                <w:color w:val="auto"/>
                <w:szCs w:val="21"/>
                <w:highlight w:val="none"/>
              </w:rPr>
              <w:t>。</w:t>
            </w:r>
          </w:p>
        </w:tc>
        <w:tc>
          <w:tcPr>
            <w:tcW w:w="2478" w:type="dxa"/>
            <w:tcBorders>
              <w:top w:val="single" w:color="auto" w:sz="4" w:space="0"/>
              <w:left w:val="single" w:color="auto" w:sz="4" w:space="0"/>
              <w:bottom w:val="single" w:color="auto" w:sz="4" w:space="0"/>
              <w:right w:val="single" w:color="auto" w:sz="4" w:space="0"/>
            </w:tcBorders>
            <w:vAlign w:val="center"/>
          </w:tcPr>
          <w:p w14:paraId="328B0165">
            <w:pPr>
              <w:adjustRightInd w:val="0"/>
              <w:snapToGrid w:val="0"/>
              <w:rPr>
                <w:rFonts w:ascii="仿宋" w:hAnsi="仿宋" w:eastAsia="仿宋" w:cs="仿宋"/>
                <w:color w:val="auto"/>
                <w:highlight w:val="none"/>
              </w:rPr>
            </w:pPr>
            <w:r>
              <w:rPr>
                <w:rFonts w:hint="eastAsia" w:ascii="宋体" w:eastAsia="宋体" w:cs="Times New Roman"/>
                <w:color w:val="auto"/>
                <w:szCs w:val="21"/>
                <w:highlight w:val="none"/>
              </w:rPr>
              <w:t>上岗证或注册证</w:t>
            </w:r>
          </w:p>
        </w:tc>
      </w:tr>
      <w:tr w14:paraId="1818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9AF2D24">
            <w:pPr>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661" w:type="dxa"/>
            <w:tcBorders>
              <w:top w:val="single" w:color="auto" w:sz="4" w:space="0"/>
              <w:left w:val="single" w:color="auto" w:sz="4" w:space="0"/>
              <w:bottom w:val="single" w:color="auto" w:sz="4" w:space="0"/>
              <w:right w:val="single" w:color="auto" w:sz="4" w:space="0"/>
            </w:tcBorders>
            <w:vAlign w:val="center"/>
          </w:tcPr>
          <w:p w14:paraId="3285D508">
            <w:pPr>
              <w:widowControl/>
              <w:jc w:val="center"/>
              <w:rPr>
                <w:rFonts w:ascii="仿宋" w:hAnsi="仿宋" w:eastAsia="仿宋" w:cs="仿宋"/>
                <w:color w:val="auto"/>
                <w:highlight w:val="none"/>
              </w:rPr>
            </w:pPr>
            <w:r>
              <w:rPr>
                <w:rFonts w:hint="eastAsia" w:ascii="宋体" w:eastAsia="宋体" w:cs="Times New Roman"/>
                <w:color w:val="auto"/>
                <w:szCs w:val="21"/>
                <w:highlight w:val="none"/>
              </w:rPr>
              <w:t>资料员</w:t>
            </w:r>
          </w:p>
        </w:tc>
        <w:tc>
          <w:tcPr>
            <w:tcW w:w="1107" w:type="dxa"/>
            <w:tcBorders>
              <w:top w:val="single" w:color="auto" w:sz="4" w:space="0"/>
              <w:left w:val="single" w:color="auto" w:sz="4" w:space="0"/>
              <w:bottom w:val="single" w:color="auto" w:sz="4" w:space="0"/>
              <w:right w:val="single" w:color="auto" w:sz="4" w:space="0"/>
            </w:tcBorders>
            <w:vAlign w:val="center"/>
          </w:tcPr>
          <w:p w14:paraId="01570B94">
            <w:pPr>
              <w:widowControl w:val="0"/>
              <w:adjustRightInd w:val="0"/>
              <w:snapToGrid w:val="0"/>
              <w:spacing w:line="260" w:lineRule="exact"/>
              <w:jc w:val="center"/>
              <w:rPr>
                <w:rFonts w:ascii="仿宋" w:hAnsi="仿宋" w:eastAsia="仿宋" w:cs="仿宋"/>
                <w:color w:val="auto"/>
                <w:highlight w:val="none"/>
              </w:rPr>
            </w:pPr>
            <w:r>
              <w:rPr>
                <w:rFonts w:hint="eastAsia" w:ascii="宋体" w:hAnsi="Calibri" w:eastAsia="宋体" w:cs="Times New Roman"/>
                <w:color w:val="auto"/>
                <w:kern w:val="2"/>
                <w:sz w:val="21"/>
                <w:szCs w:val="21"/>
                <w:highlight w:val="none"/>
                <w:lang w:val="en-US" w:eastAsia="zh-CN" w:bidi="ar-SA"/>
              </w:rPr>
              <w:t>1名</w:t>
            </w:r>
          </w:p>
        </w:tc>
        <w:tc>
          <w:tcPr>
            <w:tcW w:w="3291" w:type="dxa"/>
            <w:tcBorders>
              <w:top w:val="single" w:color="auto" w:sz="4" w:space="0"/>
              <w:left w:val="single" w:color="auto" w:sz="4" w:space="0"/>
              <w:bottom w:val="single" w:color="auto" w:sz="4" w:space="0"/>
              <w:right w:val="single" w:color="auto" w:sz="4" w:space="0"/>
            </w:tcBorders>
            <w:vAlign w:val="center"/>
          </w:tcPr>
          <w:p w14:paraId="12F35AD9">
            <w:pPr>
              <w:widowControl w:val="0"/>
              <w:spacing w:line="260" w:lineRule="exact"/>
              <w:jc w:val="both"/>
              <w:rPr>
                <w:rFonts w:ascii="仿宋" w:hAnsi="仿宋" w:eastAsia="仿宋" w:cs="仿宋"/>
                <w:color w:val="auto"/>
                <w:highlight w:val="none"/>
              </w:rPr>
            </w:pPr>
            <w:r>
              <w:rPr>
                <w:rFonts w:hint="eastAsia" w:ascii="宋体" w:hAnsi="Calibri" w:eastAsia="宋体" w:cs="Times New Roman"/>
                <w:color w:val="auto"/>
                <w:kern w:val="2"/>
                <w:sz w:val="21"/>
                <w:szCs w:val="21"/>
                <w:highlight w:val="none"/>
                <w:lang w:val="en-US" w:eastAsia="zh-CN" w:bidi="ar-SA"/>
              </w:rPr>
              <w:t>无</w:t>
            </w:r>
          </w:p>
        </w:tc>
        <w:tc>
          <w:tcPr>
            <w:tcW w:w="2478" w:type="dxa"/>
            <w:tcBorders>
              <w:top w:val="single" w:color="auto" w:sz="4" w:space="0"/>
              <w:left w:val="single" w:color="auto" w:sz="4" w:space="0"/>
              <w:bottom w:val="single" w:color="auto" w:sz="4" w:space="0"/>
              <w:right w:val="single" w:color="auto" w:sz="4" w:space="0"/>
            </w:tcBorders>
            <w:vAlign w:val="center"/>
          </w:tcPr>
          <w:p w14:paraId="04428426">
            <w:pPr>
              <w:adjustRightInd w:val="0"/>
              <w:snapToGrid w:val="0"/>
              <w:rPr>
                <w:rFonts w:ascii="仿宋" w:hAnsi="仿宋" w:eastAsia="仿宋" w:cs="仿宋"/>
                <w:color w:val="auto"/>
                <w:highlight w:val="none"/>
              </w:rPr>
            </w:pPr>
            <w:r>
              <w:rPr>
                <w:rFonts w:hint="eastAsia" w:ascii="宋体" w:eastAsia="宋体" w:cs="Times New Roman"/>
                <w:color w:val="auto"/>
                <w:szCs w:val="21"/>
                <w:highlight w:val="none"/>
              </w:rPr>
              <w:t>无</w:t>
            </w:r>
          </w:p>
        </w:tc>
      </w:tr>
      <w:tr w14:paraId="14F6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39E1053">
            <w:pPr>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661" w:type="dxa"/>
            <w:tcBorders>
              <w:top w:val="single" w:color="auto" w:sz="4" w:space="0"/>
              <w:left w:val="single" w:color="auto" w:sz="4" w:space="0"/>
              <w:bottom w:val="single" w:color="auto" w:sz="4" w:space="0"/>
              <w:right w:val="single" w:color="auto" w:sz="4" w:space="0"/>
            </w:tcBorders>
            <w:vAlign w:val="center"/>
          </w:tcPr>
          <w:p w14:paraId="065D29A5">
            <w:pPr>
              <w:adjustRightInd w:val="0"/>
              <w:snapToGrid w:val="0"/>
              <w:spacing w:line="300" w:lineRule="exact"/>
              <w:jc w:val="center"/>
              <w:rPr>
                <w:rFonts w:ascii="仿宋" w:hAnsi="仿宋" w:eastAsia="仿宋" w:cs="仿宋"/>
                <w:color w:val="auto"/>
                <w:highlight w:val="none"/>
              </w:rPr>
            </w:pPr>
            <w:r>
              <w:rPr>
                <w:rFonts w:hint="eastAsia" w:ascii="宋体" w:eastAsia="宋体" w:cs="Times New Roman"/>
                <w:color w:val="auto"/>
                <w:szCs w:val="21"/>
                <w:highlight w:val="none"/>
              </w:rPr>
              <w:t>造价工程师</w:t>
            </w:r>
          </w:p>
        </w:tc>
        <w:tc>
          <w:tcPr>
            <w:tcW w:w="1107" w:type="dxa"/>
            <w:tcBorders>
              <w:top w:val="single" w:color="auto" w:sz="4" w:space="0"/>
              <w:left w:val="single" w:color="auto" w:sz="4" w:space="0"/>
              <w:bottom w:val="single" w:color="auto" w:sz="4" w:space="0"/>
              <w:right w:val="single" w:color="auto" w:sz="4" w:space="0"/>
            </w:tcBorders>
            <w:vAlign w:val="center"/>
          </w:tcPr>
          <w:p w14:paraId="4E5E91D0">
            <w:pPr>
              <w:widowControl w:val="0"/>
              <w:adjustRightInd w:val="0"/>
              <w:snapToGrid w:val="0"/>
              <w:spacing w:line="260" w:lineRule="exact"/>
              <w:jc w:val="center"/>
              <w:rPr>
                <w:rFonts w:ascii="仿宋" w:hAnsi="仿宋" w:eastAsia="仿宋" w:cs="仿宋"/>
                <w:color w:val="auto"/>
                <w:highlight w:val="none"/>
              </w:rPr>
            </w:pPr>
            <w:r>
              <w:rPr>
                <w:rFonts w:hint="eastAsia" w:ascii="宋体" w:hAnsi="Calibri" w:eastAsia="宋体" w:cs="Times New Roman"/>
                <w:color w:val="auto"/>
                <w:kern w:val="2"/>
                <w:sz w:val="21"/>
                <w:szCs w:val="21"/>
                <w:highlight w:val="none"/>
                <w:lang w:val="en-US" w:eastAsia="zh-CN" w:bidi="ar-SA"/>
              </w:rPr>
              <w:t>1名</w:t>
            </w:r>
          </w:p>
        </w:tc>
        <w:tc>
          <w:tcPr>
            <w:tcW w:w="3291" w:type="dxa"/>
            <w:tcBorders>
              <w:top w:val="single" w:color="auto" w:sz="4" w:space="0"/>
              <w:left w:val="single" w:color="auto" w:sz="4" w:space="0"/>
              <w:bottom w:val="single" w:color="auto" w:sz="4" w:space="0"/>
              <w:right w:val="single" w:color="auto" w:sz="4" w:space="0"/>
            </w:tcBorders>
            <w:vAlign w:val="center"/>
          </w:tcPr>
          <w:p w14:paraId="521BCB4F">
            <w:pPr>
              <w:widowControl w:val="0"/>
              <w:adjustRightInd w:val="0"/>
              <w:snapToGrid w:val="0"/>
              <w:spacing w:line="260" w:lineRule="exact"/>
              <w:jc w:val="both"/>
              <w:rPr>
                <w:rFonts w:ascii="仿宋" w:hAnsi="仿宋" w:eastAsia="仿宋" w:cs="仿宋"/>
                <w:color w:val="auto"/>
                <w:highlight w:val="none"/>
                <w:lang w:eastAsia="zh-CN"/>
              </w:rPr>
            </w:pPr>
            <w:r>
              <w:rPr>
                <w:rFonts w:hint="eastAsia" w:ascii="宋体" w:hAnsi="Calibri" w:eastAsia="宋体" w:cs="Times New Roman"/>
                <w:color w:val="auto"/>
                <w:kern w:val="2"/>
                <w:sz w:val="21"/>
                <w:szCs w:val="21"/>
                <w:highlight w:val="none"/>
                <w:lang w:val="en-US" w:eastAsia="zh-CN" w:bidi="ar-SA"/>
              </w:rPr>
              <w:t>持有注册造价工程师或注册一级造价工程师资格</w:t>
            </w:r>
          </w:p>
        </w:tc>
        <w:tc>
          <w:tcPr>
            <w:tcW w:w="2478" w:type="dxa"/>
            <w:tcBorders>
              <w:top w:val="single" w:color="auto" w:sz="4" w:space="0"/>
              <w:left w:val="single" w:color="auto" w:sz="4" w:space="0"/>
              <w:bottom w:val="single" w:color="auto" w:sz="4" w:space="0"/>
              <w:right w:val="single" w:color="auto" w:sz="4" w:space="0"/>
            </w:tcBorders>
            <w:vAlign w:val="center"/>
          </w:tcPr>
          <w:p w14:paraId="3C6BB7AA">
            <w:pPr>
              <w:adjustRightInd w:val="0"/>
              <w:snapToGrid w:val="0"/>
              <w:rPr>
                <w:rFonts w:ascii="仿宋" w:hAnsi="仿宋" w:eastAsia="仿宋" w:cs="仿宋"/>
                <w:color w:val="auto"/>
                <w:highlight w:val="none"/>
                <w:lang w:eastAsia="zh-CN"/>
              </w:rPr>
            </w:pPr>
            <w:r>
              <w:rPr>
                <w:rFonts w:hint="eastAsia" w:ascii="宋体" w:eastAsia="宋体" w:cs="Times New Roman"/>
                <w:color w:val="auto"/>
                <w:szCs w:val="21"/>
                <w:highlight w:val="none"/>
              </w:rPr>
              <w:t>注册造价工程师或注册一级造价工程师执业证书</w:t>
            </w:r>
          </w:p>
        </w:tc>
      </w:tr>
    </w:tbl>
    <w:p w14:paraId="37B2F6A3">
      <w:pPr>
        <w:kinsoku/>
        <w:spacing w:line="360" w:lineRule="auto"/>
        <w:jc w:val="both"/>
        <w:rPr>
          <w:rFonts w:ascii="仿宋" w:hAnsi="仿宋" w:eastAsia="仿宋" w:cs="仿宋"/>
          <w:color w:val="auto"/>
          <w:sz w:val="20"/>
          <w:szCs w:val="20"/>
          <w:highlight w:val="none"/>
          <w:lang w:eastAsia="zh-CN"/>
        </w:rPr>
      </w:pPr>
    </w:p>
    <w:p w14:paraId="68A5D93B">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总监理工程师1名（持有注册监理工程师证书）、总监理工程师代表1名（具有中级或以上技术职称或持有注册监理工程师证书（专业为房屋建筑工程相关专业））、土建类专业监理工程师</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lang w:eastAsia="zh-CN"/>
        </w:rPr>
        <w:t>名（具有中级或以上技术职称或持有注册监理工程师证书（专业为房屋建筑工程、装饰装修相关专业））、机电类专业监理工程师</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lang w:eastAsia="zh-CN"/>
        </w:rPr>
        <w:t>名（具有中级或以上技术职称或持有注册监理工程师证书（专业为机电安装工程相关专业））、安全工程师</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lang w:eastAsia="zh-CN"/>
        </w:rPr>
        <w:t>名（持有注册安全工程师证书或安全</w:t>
      </w:r>
      <w:r>
        <w:rPr>
          <w:rFonts w:hint="eastAsia" w:ascii="仿宋" w:hAnsi="仿宋" w:eastAsia="仿宋" w:cs="仿宋"/>
          <w:color w:val="auto"/>
          <w:sz w:val="20"/>
          <w:szCs w:val="20"/>
          <w:highlight w:val="none"/>
          <w:lang w:val="en-US" w:eastAsia="zh-CN"/>
        </w:rPr>
        <w:t>监理</w:t>
      </w:r>
      <w:r>
        <w:rPr>
          <w:rFonts w:hint="eastAsia" w:ascii="仿宋" w:hAnsi="仿宋" w:eastAsia="仿宋" w:cs="仿宋"/>
          <w:color w:val="auto"/>
          <w:sz w:val="20"/>
          <w:szCs w:val="20"/>
          <w:highlight w:val="none"/>
          <w:lang w:eastAsia="zh-CN"/>
        </w:rPr>
        <w:t>员上岗证）、监理员</w:t>
      </w: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lang w:eastAsia="zh-CN"/>
        </w:rPr>
        <w:t>名（土建</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lang w:eastAsia="zh-CN"/>
        </w:rPr>
        <w:t>人，机电</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lang w:eastAsia="zh-CN"/>
        </w:rPr>
        <w:t>人，装饰装修1人监理员上岗证</w:t>
      </w:r>
      <w:r>
        <w:rPr>
          <w:rFonts w:hint="eastAsia" w:ascii="仿宋" w:hAnsi="仿宋" w:eastAsia="仿宋" w:cs="仿宋"/>
          <w:color w:val="auto"/>
          <w:sz w:val="20"/>
          <w:szCs w:val="20"/>
          <w:highlight w:val="none"/>
          <w:lang w:val="en-US" w:eastAsia="zh-CN"/>
        </w:rPr>
        <w:t>或注册证</w:t>
      </w:r>
      <w:r>
        <w:rPr>
          <w:rFonts w:hint="eastAsia" w:ascii="仿宋" w:hAnsi="仿宋" w:eastAsia="仿宋" w:cs="仿宋"/>
          <w:color w:val="auto"/>
          <w:sz w:val="20"/>
          <w:szCs w:val="20"/>
          <w:highlight w:val="none"/>
          <w:lang w:eastAsia="zh-CN"/>
        </w:rPr>
        <w:t>），资料员1名，</w:t>
      </w:r>
      <w:r>
        <w:rPr>
          <w:rFonts w:hint="eastAsia" w:ascii="仿宋" w:hAnsi="仿宋" w:eastAsia="仿宋" w:cs="仿宋"/>
          <w:color w:val="auto"/>
          <w:sz w:val="20"/>
          <w:szCs w:val="20"/>
          <w:highlight w:val="none"/>
          <w:lang w:val="en-US" w:eastAsia="zh-CN"/>
        </w:rPr>
        <w:t>造价工程师1名，</w:t>
      </w:r>
      <w:r>
        <w:rPr>
          <w:rFonts w:hint="eastAsia" w:ascii="仿宋" w:hAnsi="仿宋" w:eastAsia="仿宋" w:cs="仿宋"/>
          <w:color w:val="auto"/>
          <w:sz w:val="20"/>
          <w:szCs w:val="20"/>
          <w:highlight w:val="none"/>
          <w:lang w:eastAsia="zh-CN"/>
        </w:rPr>
        <w:t>示范区、园建施工期间需配备景观工程师1名。</w:t>
      </w:r>
    </w:p>
    <w:p w14:paraId="237CCA3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（2）</w:t>
      </w:r>
      <w:r>
        <w:rPr>
          <w:rFonts w:hint="eastAsia" w:ascii="仿宋" w:hAnsi="仿宋" w:eastAsia="仿宋" w:cs="仿宋"/>
          <w:color w:val="auto"/>
          <w:sz w:val="20"/>
          <w:szCs w:val="20"/>
          <w:highlight w:val="none"/>
          <w:lang w:eastAsia="zh-CN"/>
        </w:rPr>
        <w:t>竣备至交付</w:t>
      </w:r>
      <w:r>
        <w:rPr>
          <w:rFonts w:ascii="仿宋" w:hAnsi="仿宋" w:eastAsia="仿宋" w:cs="仿宋"/>
          <w:color w:val="auto"/>
          <w:sz w:val="20"/>
          <w:szCs w:val="20"/>
          <w:highlight w:val="none"/>
          <w:lang w:eastAsia="zh-CN"/>
        </w:rPr>
        <w:t>阶段监理人员配备：</w:t>
      </w:r>
    </w:p>
    <w:p w14:paraId="359E9155">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须配备足够人员跟进整改确保我司顺利交付，土建类专业监理工程师1名，精装修类专业监理工程师1名，机电类专业工程师1名；监理员人员配置标准：不少于1名监理员/80户。</w:t>
      </w:r>
    </w:p>
    <w:p w14:paraId="59CA9036">
      <w:pPr>
        <w:numPr>
          <w:ilvl w:val="0"/>
          <w:numId w:val="3"/>
        </w:num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保修期监理人员配备：</w:t>
      </w:r>
    </w:p>
    <w:p w14:paraId="39011C90">
      <w:pPr>
        <w:numPr>
          <w:ilvl w:val="255"/>
          <w:numId w:val="0"/>
        </w:num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土建类专业监理工程师1名，精装修类专业监理工程师1名，机电类专业工程师1名。</w:t>
      </w:r>
    </w:p>
    <w:p w14:paraId="624792D4">
      <w:pPr>
        <w:numPr>
          <w:ilvl w:val="255"/>
          <w:numId w:val="0"/>
        </w:num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（4）以上低限度要求；项目内人员不得兼任；中标单位可根据实际施工阶段及专业需求分阶段投入人员，各阶段投入人员的要求按建设方要求。</w:t>
      </w:r>
    </w:p>
    <w:p w14:paraId="0C101E80">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3．委托人有权更换委托人认为不合格或不称职的现场监理人员，监理单位必须予以更换并书面</w:t>
      </w:r>
    </w:p>
    <w:p w14:paraId="2CB4B33A">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通知委托人；</w:t>
      </w:r>
    </w:p>
    <w:p w14:paraId="5722F75A">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4.</w:t>
      </w:r>
      <w:r>
        <w:rPr>
          <w:rFonts w:ascii="仿宋" w:hAnsi="仿宋" w:eastAsia="仿宋" w:cs="仿宋"/>
          <w:color w:val="auto"/>
          <w:sz w:val="20"/>
          <w:szCs w:val="20"/>
          <w:highlight w:val="none"/>
          <w:lang w:eastAsia="zh-CN"/>
        </w:rPr>
        <w:t>监理人要按所承诺的人员配置，逐一落实进驻现场并实行挂牌上岗；由委托人随时考核登记，若出现人员不到岗情况、缺勤情况严重的委托人有权单方解除监理合同；派驻本项目的监理人员均应持证、并经过委托人面试通过后上岗。监理驻场人员，由委托人考核，并作为监理费请款的依据。外出需向委托人项目负责人请假，否则以缺岗处理。不得安排非工程专业毕业生，监理部所有人员参加工作不得低于2年。</w:t>
      </w:r>
    </w:p>
    <w:p w14:paraId="1909D1D8">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5．保证中标之后密切配合委托人及施工单位开展工作，保证项目总监理工程师亲自负责本项目的报建报批工作；</w:t>
      </w:r>
      <w:r>
        <w:rPr>
          <w:rFonts w:hint="eastAsia" w:ascii="仿宋" w:hAnsi="仿宋" w:eastAsia="仿宋" w:cs="仿宋"/>
          <w:color w:val="auto"/>
          <w:sz w:val="20"/>
          <w:szCs w:val="20"/>
          <w:highlight w:val="none"/>
          <w:lang w:eastAsia="zh-CN"/>
        </w:rPr>
        <w:t>投标人在投标前须确保总监理工程师满足报建要求，否则因投标人总监理工程师原因而耽误项目进展的，需承担因此造成的经济损失。</w:t>
      </w:r>
    </w:p>
    <w:p w14:paraId="70163F4F">
      <w:pPr>
        <w:kinsoku/>
        <w:spacing w:line="360" w:lineRule="auto"/>
        <w:ind w:firstLine="400" w:firstLineChars="200"/>
        <w:jc w:val="both"/>
        <w:rPr>
          <w:rFonts w:ascii="仿宋" w:hAnsi="仿宋" w:eastAsia="仿宋" w:cs="仿宋"/>
          <w:color w:val="auto"/>
          <w:sz w:val="20"/>
          <w:szCs w:val="20"/>
          <w:highlight w:val="none"/>
          <w:lang w:eastAsia="zh-CN"/>
        </w:rPr>
      </w:pPr>
      <w:r>
        <w:rPr>
          <w:rFonts w:ascii="仿宋" w:hAnsi="仿宋" w:eastAsia="仿宋" w:cs="仿宋"/>
          <w:color w:val="auto"/>
          <w:sz w:val="20"/>
          <w:szCs w:val="20"/>
          <w:highlight w:val="none"/>
          <w:lang w:eastAsia="zh-CN"/>
        </w:rPr>
        <w:t>6．保证按招标文件及监理合同约定的原则处理监理服务费调整事宜，不发生签署监理合同之后恶意提高监理服务费用的行为。</w:t>
      </w:r>
    </w:p>
    <w:p w14:paraId="6D98A761">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五</w:t>
      </w:r>
      <w:r>
        <w:rPr>
          <w:rFonts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w:t>
      </w:r>
      <w:r>
        <w:rPr>
          <w:rFonts w:hint="eastAsia" w:ascii="仿宋" w:hAnsi="仿宋" w:eastAsia="仿宋" w:cs="仿宋"/>
          <w:color w:val="auto"/>
          <w:sz w:val="20"/>
          <w:szCs w:val="20"/>
          <w:highlight w:val="none"/>
          <w:lang w:eastAsia="zh-CN"/>
          <w14:textOutline w14:w="3797" w14:cap="sq" w14:cmpd="sng" w14:algn="ctr">
            <w14:solidFill>
              <w14:srgbClr w14:val="000000"/>
            </w14:solidFill>
            <w14:prstDash w14:val="solid"/>
            <w14:bevel/>
          </w14:textOutline>
        </w:rPr>
        <w:t>其他管理要求</w:t>
      </w:r>
    </w:p>
    <w:p w14:paraId="730F8C11">
      <w:pPr>
        <w:kinsoku/>
        <w:spacing w:line="360" w:lineRule="auto"/>
        <w:ind w:firstLine="400" w:firstLineChars="200"/>
        <w:jc w:val="both"/>
        <w:rPr>
          <w:rFonts w:ascii="仿宋" w:hAnsi="仿宋" w:eastAsia="仿宋" w:cs="仿宋"/>
          <w:color w:val="auto"/>
          <w:sz w:val="20"/>
          <w:szCs w:val="20"/>
          <w:highlight w:val="none"/>
          <w:lang w:eastAsia="zh-CN"/>
        </w:rPr>
      </w:pPr>
      <w:bookmarkStart w:id="261" w:name="_Toc9984"/>
      <w:r>
        <w:rPr>
          <w:rFonts w:hint="eastAsia" w:ascii="仿宋" w:hAnsi="仿宋" w:eastAsia="仿宋" w:cs="仿宋"/>
          <w:color w:val="auto"/>
          <w:sz w:val="20"/>
          <w:szCs w:val="20"/>
          <w:highlight w:val="none"/>
          <w:lang w:eastAsia="zh-CN"/>
        </w:rPr>
        <w:t>1.工程巡检及交付评估、履约评价要求</w:t>
      </w:r>
      <w:bookmarkEnd w:id="261"/>
    </w:p>
    <w:p w14:paraId="2E1F8141">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委托人有权根据实际需要，组织第三方对项目进行工程巡检综合评估（月度或季度，具体以发包人通知为准），评估内容包括但不仅限于进度管理、质量管理、安全文明施工管理、材料管理、人员配置、管理行为等，监理人应确保综合评估成绩总分达到优秀水平。</w:t>
      </w:r>
    </w:p>
    <w:p w14:paraId="3A0BB3EF">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为确保项目顺利交付，委托人有权在交付前组织第三方对项目进行交付评估及分户验收，评估内容包括但不仅限于实测实量、户内观感、公共部位观感、外立面观感、园建绿化等，具体以委托人通知为准。</w:t>
      </w:r>
    </w:p>
    <w:p w14:paraId="23C9F7E1">
      <w:pPr>
        <w:kinsoku/>
        <w:spacing w:line="360" w:lineRule="auto"/>
        <w:ind w:firstLine="400" w:firstLineChars="200"/>
        <w:jc w:val="both"/>
        <w:rPr>
          <w:rFonts w:ascii="仿宋" w:hAnsi="仿宋" w:eastAsia="仿宋" w:cs="仿宋"/>
          <w:color w:val="auto"/>
          <w:sz w:val="20"/>
          <w:szCs w:val="20"/>
          <w:highlight w:val="none"/>
          <w:lang w:eastAsia="zh-CN"/>
        </w:rPr>
      </w:pPr>
      <w:bookmarkStart w:id="262" w:name="_Toc13598"/>
      <w:r>
        <w:rPr>
          <w:rFonts w:hint="eastAsia" w:ascii="仿宋" w:hAnsi="仿宋" w:eastAsia="仿宋" w:cs="仿宋"/>
          <w:color w:val="auto"/>
          <w:sz w:val="20"/>
          <w:szCs w:val="20"/>
          <w:highlight w:val="none"/>
          <w:lang w:eastAsia="zh-CN"/>
        </w:rPr>
        <w:t>2.监理人需执行或落实的管理动作包括但不仅限于：</w:t>
      </w:r>
      <w:bookmarkEnd w:id="262"/>
    </w:p>
    <w:p w14:paraId="24A9A785">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8个1：①每天1次安全晨会。②每周1次安全周自检。③每周1次安全周复检。④每周1次资料自检。⑤每周1次监理/工程例会。⑥每月1次公司层级的安全隐患排查治理。⑦每月1次监理履约评估。⑧每季度1次消防演练。</w:t>
      </w:r>
    </w:p>
    <w:p w14:paraId="48D47EF2">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（2）7个先行：①工程策划先行。②招标先行。③设计/技术交底先行。④深化设计先行。⑤图纸会审先行。⑥施工/材料样板先行。⑦施工方案先行。</w:t>
      </w:r>
    </w:p>
    <w:p w14:paraId="6F38185B">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6个必须：①每逢重大节假日前必进行安全隐患排查治理。②每逢恶劣天气前必须进行安全隐患排查治理。③每逢恶劣天气后必须进行安全隐患排查治理后再复工。④管生产必须管安全。⑤作业面移交必须书面移交。⑥精装修必须带压施工。</w:t>
      </w:r>
    </w:p>
    <w:p w14:paraId="5139EC5F">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（4）5个影像记录：①材料/设备进场验收举牌。②样板验收举牌。③隐蔽验收举牌。④试水闭水验收举牌。⑤装配式构件安装视频验收（如有）。</w:t>
      </w:r>
    </w:p>
    <w:p w14:paraId="667689BF">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（5）3个挂牌：①材料进场验收合格挂牌。②重点工序验收合格挂牌。③重大危险源部位公示挂牌。</w:t>
      </w:r>
    </w:p>
    <w:p w14:paraId="6D1EB80E">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（6）3个当天：①当天会议当天出会议纪要。②当天需协调问题当天落实责任部门/人。③当天检查当天出整改通知单并落实整改责任人、整改方案及整改期限。</w:t>
      </w:r>
    </w:p>
    <w:p w14:paraId="7890056A">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7）危大工程“六不施工”：①未落实前期保障措施不施工。②未编制专项施工方案、未按规定审批或论证方案、未按方案落实有关措施不施工。③未进行安全技术交底不施工。④未进行现场监督不施工。⑤未进行第三方监测不施工。⑥未经验收合格不施工。</w:t>
      </w:r>
    </w:p>
    <w:p w14:paraId="53C7F9AE">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（8）高处作业“五个必须”：①必须培训持证上岗。②必须实行作业审批。③必须做好个人防护。④必须落实工程措施。⑤必须安排专人监护。</w:t>
      </w:r>
    </w:p>
    <w:p w14:paraId="78547E55">
      <w:pPr>
        <w:kinsoku/>
        <w:spacing w:line="360" w:lineRule="auto"/>
        <w:ind w:firstLine="400" w:firstLineChars="200"/>
        <w:jc w:val="both"/>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（9）扬尘防治“6个100%”：①施工现场100%围蔽。②工地路面100%硬化。③工地砂土、物料100%覆盖。④施工作业100%洒水。⑤出工地车辆100%冲净车轮车身。⑥长期裸土100%覆盖或绿化。</w:t>
      </w:r>
    </w:p>
    <w:p w14:paraId="31089747">
      <w:pPr>
        <w:pStyle w:val="2"/>
        <w:kinsoku/>
        <w:spacing w:line="360" w:lineRule="auto"/>
        <w:ind w:firstLine="420" w:firstLineChars="200"/>
        <w:jc w:val="both"/>
        <w:rPr>
          <w:color w:val="auto"/>
          <w:highlight w:val="none"/>
          <w:lang w:eastAsia="zh-CN"/>
        </w:rPr>
      </w:pPr>
    </w:p>
    <w:p w14:paraId="28C7BB5D">
      <w:pPr>
        <w:kinsoku/>
        <w:spacing w:line="360" w:lineRule="auto"/>
        <w:ind w:firstLine="420" w:firstLineChars="200"/>
        <w:jc w:val="both"/>
        <w:rPr>
          <w:color w:val="auto"/>
          <w:highlight w:val="none"/>
          <w:lang w:eastAsia="zh-CN"/>
        </w:rPr>
      </w:pPr>
      <w:r>
        <w:rPr>
          <w:color w:val="auto"/>
          <w:highlight w:val="none"/>
          <w:lang w:eastAsia="zh-CN"/>
        </w:rPr>
        <w:br w:type="page"/>
      </w:r>
    </w:p>
    <w:p w14:paraId="489B873A">
      <w:pPr>
        <w:pStyle w:val="2"/>
        <w:kinsoku/>
        <w:jc w:val="both"/>
        <w:rPr>
          <w:color w:val="auto"/>
          <w:highlight w:val="none"/>
          <w:lang w:eastAsia="zh-CN"/>
        </w:rPr>
      </w:pPr>
    </w:p>
    <w:p w14:paraId="3A86C0A1">
      <w:pPr>
        <w:kinsoku/>
        <w:spacing w:before="78" w:line="221" w:lineRule="auto"/>
        <w:ind w:left="26"/>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附件</w:t>
      </w:r>
      <w:r>
        <w:rPr>
          <w:rFonts w:ascii="仿宋" w:hAnsi="仿宋" w:eastAsia="仿宋" w:cs="仿宋"/>
          <w:color w:val="auto"/>
          <w:spacing w:val="-33"/>
          <w:sz w:val="24"/>
          <w:szCs w:val="24"/>
          <w:highlight w:val="none"/>
          <w:lang w:eastAsia="zh-CN"/>
        </w:rPr>
        <w:t xml:space="preserve"> </w:t>
      </w: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5</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监理人违约金、赔偿金通知单格式</w:t>
      </w:r>
    </w:p>
    <w:p w14:paraId="4F1F090C">
      <w:pPr>
        <w:kinsoku/>
        <w:spacing w:line="266" w:lineRule="auto"/>
        <w:jc w:val="both"/>
        <w:rPr>
          <w:color w:val="auto"/>
          <w:highlight w:val="none"/>
          <w:lang w:eastAsia="zh-CN"/>
        </w:rPr>
      </w:pPr>
    </w:p>
    <w:p w14:paraId="5C42945F">
      <w:pPr>
        <w:kinsoku/>
        <w:spacing w:line="267" w:lineRule="auto"/>
        <w:jc w:val="both"/>
        <w:rPr>
          <w:color w:val="auto"/>
          <w:highlight w:val="none"/>
          <w:lang w:eastAsia="zh-CN"/>
        </w:rPr>
      </w:pPr>
    </w:p>
    <w:p w14:paraId="57D97D25">
      <w:pPr>
        <w:kinsoku/>
        <w:spacing w:line="267" w:lineRule="auto"/>
        <w:jc w:val="both"/>
        <w:rPr>
          <w:color w:val="auto"/>
          <w:highlight w:val="none"/>
          <w:lang w:eastAsia="zh-CN"/>
        </w:rPr>
      </w:pPr>
    </w:p>
    <w:p w14:paraId="50504AAD">
      <w:pPr>
        <w:kinsoku/>
        <w:spacing w:before="78" w:line="221" w:lineRule="auto"/>
        <w:ind w:left="1978"/>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14:textOutline w14:w="4356" w14:cap="sq" w14:cmpd="sng" w14:algn="ctr">
            <w14:solidFill>
              <w14:srgbClr w14:val="000000"/>
            </w14:solidFill>
            <w14:prstDash w14:val="solid"/>
            <w14:bevel/>
          </w14:textOutline>
        </w:rPr>
        <w:t>监理人违约金(赔偿金/免收监理酬金)通知单</w:t>
      </w:r>
      <w:r>
        <w:rPr>
          <w:rFonts w:ascii="仿宋" w:hAnsi="仿宋" w:eastAsia="仿宋" w:cs="仿宋"/>
          <w:color w:val="auto"/>
          <w:spacing w:val="-1"/>
          <w:sz w:val="24"/>
          <w:szCs w:val="24"/>
          <w:highlight w:val="none"/>
          <w:lang w:eastAsia="zh-CN"/>
          <w14:textOutline w14:w="4356" w14:cap="sq" w14:cmpd="sng" w14:algn="ctr">
            <w14:solidFill>
              <w14:srgbClr w14:val="000000"/>
            </w14:solidFill>
            <w14:prstDash w14:val="solid"/>
            <w14:bevel/>
          </w14:textOutline>
        </w:rPr>
        <w:t>格式</w:t>
      </w:r>
    </w:p>
    <w:p w14:paraId="322DEBC9">
      <w:pPr>
        <w:tabs>
          <w:tab w:val="left" w:pos="1095"/>
        </w:tabs>
        <w:kinsoku/>
        <w:spacing w:before="257" w:line="221" w:lineRule="auto"/>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u w:val="single"/>
          <w:lang w:eastAsia="zh-CN"/>
        </w:rPr>
        <w:tab/>
      </w:r>
      <w:r>
        <w:rPr>
          <w:rFonts w:ascii="仿宋" w:hAnsi="仿宋" w:eastAsia="仿宋" w:cs="仿宋"/>
          <w:color w:val="auto"/>
          <w:spacing w:val="-23"/>
          <w:sz w:val="24"/>
          <w:szCs w:val="24"/>
          <w:highlight w:val="none"/>
          <w:u w:val="single"/>
          <w:lang w:eastAsia="zh-CN"/>
        </w:rPr>
        <w:t>（监理人名称</w:t>
      </w:r>
      <w:r>
        <w:rPr>
          <w:rFonts w:ascii="仿宋" w:hAnsi="仿宋" w:eastAsia="仿宋" w:cs="仿宋"/>
          <w:color w:val="auto"/>
          <w:spacing w:val="1"/>
          <w:sz w:val="24"/>
          <w:szCs w:val="24"/>
          <w:highlight w:val="none"/>
          <w:u w:val="single"/>
          <w:lang w:eastAsia="zh-CN"/>
        </w:rPr>
        <w:t>）</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1"/>
          <w:sz w:val="24"/>
          <w:szCs w:val="24"/>
          <w:highlight w:val="none"/>
          <w:lang w:eastAsia="zh-CN"/>
        </w:rPr>
        <w:t>：</w:t>
      </w:r>
    </w:p>
    <w:p w14:paraId="247E4101">
      <w:pPr>
        <w:kinsoku/>
        <w:spacing w:line="335" w:lineRule="auto"/>
        <w:jc w:val="both"/>
        <w:rPr>
          <w:color w:val="auto"/>
          <w:highlight w:val="none"/>
          <w:lang w:eastAsia="zh-CN"/>
        </w:rPr>
      </w:pPr>
    </w:p>
    <w:p w14:paraId="08528E9E">
      <w:pPr>
        <w:kinsoku/>
        <w:spacing w:before="78" w:line="360" w:lineRule="auto"/>
        <w:ind w:left="21" w:firstLine="474"/>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贵司在</w:t>
      </w:r>
      <w:r>
        <w:rPr>
          <w:rFonts w:ascii="仿宋" w:hAnsi="仿宋" w:eastAsia="仿宋" w:cs="仿宋"/>
          <w:color w:val="auto"/>
          <w:spacing w:val="-2"/>
          <w:sz w:val="24"/>
          <w:szCs w:val="24"/>
          <w:highlight w:val="none"/>
          <w:u w:val="single"/>
          <w:lang w:eastAsia="zh-CN"/>
        </w:rPr>
        <w:t xml:space="preserve">         （工程名称）            </w:t>
      </w:r>
      <w:r>
        <w:rPr>
          <w:rFonts w:ascii="仿宋" w:hAnsi="仿宋" w:eastAsia="仿宋" w:cs="仿宋"/>
          <w:color w:val="auto"/>
          <w:spacing w:val="-90"/>
          <w:sz w:val="24"/>
          <w:szCs w:val="24"/>
          <w:highlight w:val="none"/>
          <w:lang w:eastAsia="zh-CN"/>
        </w:rPr>
        <w:t xml:space="preserve"> </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3"/>
          <w:sz w:val="24"/>
          <w:szCs w:val="24"/>
          <w:highlight w:val="none"/>
          <w:lang w:eastAsia="zh-CN"/>
        </w:rPr>
        <w:t>监理过程中，存在</w:t>
      </w:r>
      <w:r>
        <w:rPr>
          <w:rFonts w:ascii="仿宋" w:hAnsi="仿宋" w:eastAsia="仿宋" w:cs="仿宋"/>
          <w:color w:val="auto"/>
          <w:spacing w:val="-3"/>
          <w:sz w:val="24"/>
          <w:szCs w:val="24"/>
          <w:highlight w:val="none"/>
          <w:u w:val="single"/>
          <w:lang w:eastAsia="zh-CN"/>
        </w:rPr>
        <w:t xml:space="preserve">    （情况说明）</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6"/>
          <w:sz w:val="24"/>
          <w:szCs w:val="24"/>
          <w:highlight w:val="none"/>
          <w:lang w:eastAsia="zh-CN"/>
        </w:rPr>
        <w:t>情况，违反了监理合同</w:t>
      </w:r>
      <w:r>
        <w:rPr>
          <w:rFonts w:ascii="仿宋" w:hAnsi="仿宋" w:eastAsia="仿宋" w:cs="仿宋"/>
          <w:color w:val="auto"/>
          <w:spacing w:val="64"/>
          <w:sz w:val="24"/>
          <w:szCs w:val="24"/>
          <w:highlight w:val="none"/>
          <w:u w:val="single"/>
          <w:lang w:eastAsia="zh-CN"/>
        </w:rPr>
        <w:t xml:space="preserve"> </w:t>
      </w:r>
      <w:r>
        <w:rPr>
          <w:rFonts w:ascii="仿宋" w:hAnsi="仿宋" w:eastAsia="仿宋" w:cs="仿宋"/>
          <w:color w:val="auto"/>
          <w:spacing w:val="-6"/>
          <w:sz w:val="24"/>
          <w:szCs w:val="24"/>
          <w:highlight w:val="none"/>
          <w:u w:val="single"/>
          <w:lang w:eastAsia="zh-CN"/>
        </w:rPr>
        <w:t>（合同第几部分第几条）</w:t>
      </w:r>
      <w:r>
        <w:rPr>
          <w:rFonts w:ascii="仿宋" w:hAnsi="仿宋" w:eastAsia="仿宋" w:cs="仿宋"/>
          <w:color w:val="auto"/>
          <w:spacing w:val="61"/>
          <w:sz w:val="24"/>
          <w:szCs w:val="24"/>
          <w:highlight w:val="none"/>
          <w:u w:val="single"/>
          <w:lang w:eastAsia="zh-CN"/>
        </w:rPr>
        <w:t xml:space="preserve"> </w:t>
      </w:r>
      <w:r>
        <w:rPr>
          <w:rFonts w:ascii="仿宋" w:hAnsi="仿宋" w:eastAsia="仿宋" w:cs="仿宋"/>
          <w:color w:val="auto"/>
          <w:spacing w:val="-89"/>
          <w:sz w:val="24"/>
          <w:szCs w:val="24"/>
          <w:highlight w:val="none"/>
          <w:lang w:eastAsia="zh-CN"/>
        </w:rPr>
        <w:t xml:space="preserve"> </w:t>
      </w:r>
      <w:r>
        <w:rPr>
          <w:rFonts w:ascii="仿宋" w:hAnsi="仿宋" w:eastAsia="仿宋" w:cs="仿宋"/>
          <w:color w:val="auto"/>
          <w:spacing w:val="-6"/>
          <w:sz w:val="24"/>
          <w:szCs w:val="24"/>
          <w:highlight w:val="none"/>
          <w:lang w:eastAsia="zh-CN"/>
        </w:rPr>
        <w:t xml:space="preserve">的有关规定，贵司须承担人民币（大 </w:t>
      </w:r>
      <w:r>
        <w:rPr>
          <w:rFonts w:ascii="仿宋" w:hAnsi="仿宋" w:eastAsia="仿宋" w:cs="仿宋"/>
          <w:color w:val="auto"/>
          <w:spacing w:val="-3"/>
          <w:sz w:val="24"/>
          <w:szCs w:val="24"/>
          <w:highlight w:val="none"/>
          <w:lang w:eastAsia="zh-CN"/>
        </w:rPr>
        <w:t>写）</w:t>
      </w:r>
      <w:r>
        <w:rPr>
          <w:rFonts w:ascii="仿宋" w:hAnsi="仿宋" w:eastAsia="仿宋" w:cs="仿宋"/>
          <w:color w:val="auto"/>
          <w:spacing w:val="-3"/>
          <w:sz w:val="24"/>
          <w:szCs w:val="24"/>
          <w:highlight w:val="none"/>
          <w:u w:val="single"/>
          <w:lang w:eastAsia="zh-CN"/>
        </w:rPr>
        <w:t xml:space="preserve">                </w:t>
      </w:r>
      <w:r>
        <w:rPr>
          <w:rFonts w:ascii="仿宋" w:hAnsi="仿宋" w:eastAsia="仿宋" w:cs="仿宋"/>
          <w:color w:val="auto"/>
          <w:spacing w:val="-100"/>
          <w:sz w:val="24"/>
          <w:szCs w:val="24"/>
          <w:highlight w:val="none"/>
          <w:lang w:eastAsia="zh-CN"/>
        </w:rPr>
        <w:t xml:space="preserve"> </w:t>
      </w:r>
      <w:r>
        <w:rPr>
          <w:rFonts w:ascii="仿宋" w:hAnsi="仿宋" w:eastAsia="仿宋" w:cs="仿宋"/>
          <w:color w:val="auto"/>
          <w:spacing w:val="-3"/>
          <w:sz w:val="24"/>
          <w:szCs w:val="24"/>
          <w:highlight w:val="none"/>
          <w:lang w:eastAsia="zh-CN"/>
        </w:rPr>
        <w:t>元（小写：￥</w:t>
      </w:r>
      <w:r>
        <w:rPr>
          <w:rFonts w:ascii="仿宋" w:hAnsi="仿宋" w:eastAsia="仿宋" w:cs="仿宋"/>
          <w:color w:val="auto"/>
          <w:spacing w:val="-89"/>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0"/>
          <w:sz w:val="24"/>
          <w:szCs w:val="24"/>
          <w:highlight w:val="none"/>
          <w:lang w:eastAsia="zh-CN"/>
        </w:rPr>
        <w:t xml:space="preserve"> </w:t>
      </w:r>
      <w:r>
        <w:rPr>
          <w:rFonts w:ascii="仿宋" w:hAnsi="仿宋" w:eastAsia="仿宋" w:cs="仿宋"/>
          <w:color w:val="auto"/>
          <w:spacing w:val="-3"/>
          <w:sz w:val="24"/>
          <w:szCs w:val="24"/>
          <w:highlight w:val="none"/>
          <w:lang w:eastAsia="zh-CN"/>
        </w:rPr>
        <w:t>元）</w:t>
      </w:r>
      <w:r>
        <w:rPr>
          <w:rFonts w:ascii="仿宋" w:hAnsi="仿宋" w:eastAsia="仿宋" w:cs="仿宋"/>
          <w:color w:val="auto"/>
          <w:spacing w:val="-4"/>
          <w:sz w:val="24"/>
          <w:szCs w:val="24"/>
          <w:highlight w:val="none"/>
          <w:lang w:eastAsia="zh-CN"/>
        </w:rPr>
        <w:t>的违约金（或赔偿金、或乙方免收的</w:t>
      </w:r>
    </w:p>
    <w:p w14:paraId="2E00BCC8">
      <w:pPr>
        <w:kinsoku/>
        <w:spacing w:before="1" w:line="221" w:lineRule="auto"/>
        <w:ind w:left="22"/>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监理酬金</w:t>
      </w:r>
      <w:r>
        <w:rPr>
          <w:rFonts w:ascii="仿宋" w:hAnsi="仿宋" w:eastAsia="仿宋" w:cs="仿宋"/>
          <w:color w:val="auto"/>
          <w:spacing w:val="9"/>
          <w:sz w:val="24"/>
          <w:szCs w:val="24"/>
          <w:highlight w:val="none"/>
          <w:lang w:eastAsia="zh-CN"/>
        </w:rPr>
        <w:t>），</w:t>
      </w:r>
      <w:r>
        <w:rPr>
          <w:rFonts w:ascii="仿宋" w:hAnsi="仿宋" w:eastAsia="仿宋" w:cs="仿宋"/>
          <w:color w:val="auto"/>
          <w:spacing w:val="-2"/>
          <w:sz w:val="24"/>
          <w:szCs w:val="24"/>
          <w:highlight w:val="none"/>
          <w:lang w:eastAsia="zh-CN"/>
        </w:rPr>
        <w:t>违约金（或赔偿金、或乙方免收的监理酬金</w:t>
      </w:r>
      <w:r>
        <w:rPr>
          <w:rFonts w:ascii="仿宋" w:hAnsi="仿宋" w:eastAsia="仿宋" w:cs="仿宋"/>
          <w:color w:val="auto"/>
          <w:spacing w:val="9"/>
          <w:sz w:val="24"/>
          <w:szCs w:val="24"/>
          <w:highlight w:val="none"/>
          <w:lang w:eastAsia="zh-CN"/>
        </w:rPr>
        <w:t>））</w:t>
      </w:r>
      <w:r>
        <w:rPr>
          <w:rFonts w:ascii="仿宋" w:hAnsi="仿宋" w:eastAsia="仿宋" w:cs="仿宋"/>
          <w:color w:val="auto"/>
          <w:spacing w:val="-2"/>
          <w:sz w:val="24"/>
          <w:szCs w:val="24"/>
          <w:highlight w:val="none"/>
          <w:lang w:eastAsia="zh-CN"/>
        </w:rPr>
        <w:t>金额计算如下：</w:t>
      </w:r>
    </w:p>
    <w:p w14:paraId="45E5C775">
      <w:pPr>
        <w:kinsoku/>
        <w:spacing w:before="179" w:line="222" w:lineRule="auto"/>
        <w:ind w:left="20"/>
        <w:jc w:val="both"/>
        <w:rPr>
          <w:rFonts w:ascii="仿宋" w:hAnsi="仿宋" w:eastAsia="仿宋" w:cs="仿宋"/>
          <w:color w:val="auto"/>
          <w:sz w:val="24"/>
          <w:szCs w:val="24"/>
          <w:highlight w:val="none"/>
          <w:lang w:eastAsia="zh-CN"/>
        </w:rPr>
      </w:pPr>
      <w:r>
        <w:rPr>
          <w:rFonts w:ascii="仿宋" w:hAnsi="仿宋" w:eastAsia="仿宋" w:cs="仿宋"/>
          <w:color w:val="auto"/>
          <w:spacing w:val="-3"/>
          <w:sz w:val="24"/>
          <w:szCs w:val="24"/>
          <w:highlight w:val="none"/>
          <w:lang w:eastAsia="zh-CN"/>
        </w:rPr>
        <w:t>（金额计算过程）</w:t>
      </w:r>
    </w:p>
    <w:p w14:paraId="595DEF4C">
      <w:pPr>
        <w:kinsoku/>
        <w:spacing w:before="180" w:line="468" w:lineRule="exact"/>
        <w:ind w:left="497"/>
        <w:jc w:val="both"/>
        <w:rPr>
          <w:rFonts w:ascii="仿宋" w:hAnsi="仿宋" w:eastAsia="仿宋" w:cs="仿宋"/>
          <w:color w:val="auto"/>
          <w:sz w:val="24"/>
          <w:szCs w:val="24"/>
          <w:highlight w:val="none"/>
          <w:lang w:eastAsia="zh-CN"/>
        </w:rPr>
      </w:pPr>
      <w:r>
        <w:rPr>
          <w:rFonts w:ascii="仿宋" w:hAnsi="仿宋" w:eastAsia="仿宋" w:cs="仿宋"/>
          <w:color w:val="auto"/>
          <w:spacing w:val="-2"/>
          <w:position w:val="17"/>
          <w:sz w:val="24"/>
          <w:szCs w:val="24"/>
          <w:highlight w:val="none"/>
          <w:lang w:eastAsia="zh-CN"/>
        </w:rPr>
        <w:t>违约金（或赔偿金、或乙方免收的监理酬金</w:t>
      </w:r>
      <w:r>
        <w:rPr>
          <w:rFonts w:ascii="仿宋" w:hAnsi="仿宋" w:eastAsia="仿宋" w:cs="仿宋"/>
          <w:color w:val="auto"/>
          <w:position w:val="17"/>
          <w:sz w:val="24"/>
          <w:szCs w:val="24"/>
          <w:highlight w:val="none"/>
          <w:lang w:eastAsia="zh-CN"/>
        </w:rPr>
        <w:t>））</w:t>
      </w:r>
      <w:r>
        <w:rPr>
          <w:rFonts w:ascii="仿宋" w:hAnsi="仿宋" w:eastAsia="仿宋" w:cs="仿宋"/>
          <w:color w:val="auto"/>
          <w:spacing w:val="-2"/>
          <w:position w:val="17"/>
          <w:sz w:val="24"/>
          <w:szCs w:val="24"/>
          <w:highlight w:val="none"/>
          <w:lang w:eastAsia="zh-CN"/>
        </w:rPr>
        <w:t>将在紧接的当期监理服务费支付中</w:t>
      </w:r>
    </w:p>
    <w:p w14:paraId="50E3C4F2">
      <w:pPr>
        <w:kinsoku/>
        <w:spacing w:before="1" w:line="223" w:lineRule="auto"/>
        <w:ind w:left="20"/>
        <w:jc w:val="both"/>
        <w:rPr>
          <w:rFonts w:ascii="仿宋" w:hAnsi="仿宋" w:eastAsia="仿宋" w:cs="仿宋"/>
          <w:color w:val="auto"/>
          <w:sz w:val="24"/>
          <w:szCs w:val="24"/>
          <w:highlight w:val="none"/>
          <w:lang w:eastAsia="zh-CN"/>
        </w:rPr>
      </w:pPr>
      <w:r>
        <w:rPr>
          <w:rFonts w:ascii="仿宋" w:hAnsi="仿宋" w:eastAsia="仿宋" w:cs="仿宋"/>
          <w:color w:val="auto"/>
          <w:spacing w:val="-7"/>
          <w:sz w:val="24"/>
          <w:szCs w:val="24"/>
          <w:highlight w:val="none"/>
          <w:lang w:eastAsia="zh-CN"/>
        </w:rPr>
        <w:t>扣除。</w:t>
      </w:r>
    </w:p>
    <w:p w14:paraId="53250D3E">
      <w:pPr>
        <w:kinsoku/>
        <w:spacing w:before="177" w:line="224" w:lineRule="auto"/>
        <w:ind w:left="495"/>
        <w:jc w:val="both"/>
        <w:rPr>
          <w:rFonts w:ascii="仿宋" w:hAnsi="仿宋" w:eastAsia="仿宋" w:cs="仿宋"/>
          <w:color w:val="auto"/>
          <w:sz w:val="24"/>
          <w:szCs w:val="24"/>
          <w:highlight w:val="none"/>
          <w:lang w:eastAsia="zh-CN"/>
        </w:rPr>
      </w:pPr>
      <w:r>
        <w:rPr>
          <w:rFonts w:ascii="仿宋" w:hAnsi="仿宋" w:eastAsia="仿宋" w:cs="仿宋"/>
          <w:color w:val="auto"/>
          <w:spacing w:val="-4"/>
          <w:sz w:val="24"/>
          <w:szCs w:val="24"/>
          <w:highlight w:val="none"/>
          <w:lang w:eastAsia="zh-CN"/>
        </w:rPr>
        <w:t>特此通知。</w:t>
      </w:r>
    </w:p>
    <w:p w14:paraId="60CEE1BF">
      <w:pPr>
        <w:tabs>
          <w:tab w:val="left" w:pos="7287"/>
        </w:tabs>
        <w:kinsoku/>
        <w:spacing w:before="177" w:line="360" w:lineRule="auto"/>
        <w:ind w:left="6191"/>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u w:val="single"/>
          <w:lang w:eastAsia="zh-CN"/>
        </w:rPr>
        <w:tab/>
      </w:r>
      <w:r>
        <w:rPr>
          <w:rFonts w:ascii="仿宋" w:hAnsi="仿宋" w:eastAsia="仿宋" w:cs="仿宋"/>
          <w:color w:val="auto"/>
          <w:spacing w:val="-17"/>
          <w:sz w:val="24"/>
          <w:szCs w:val="24"/>
          <w:highlight w:val="none"/>
          <w:u w:val="single"/>
          <w:lang w:eastAsia="zh-CN"/>
        </w:rPr>
        <w:t>（委托单位名称）</w:t>
      </w:r>
    </w:p>
    <w:p w14:paraId="439DDDFC">
      <w:pPr>
        <w:tabs>
          <w:tab w:val="left" w:pos="6207"/>
        </w:tabs>
        <w:kinsoku/>
        <w:spacing w:before="1" w:line="220" w:lineRule="auto"/>
        <w:ind w:left="5591"/>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u w:val="single"/>
          <w:lang w:eastAsia="zh-CN"/>
        </w:rPr>
        <w:tab/>
      </w:r>
      <w:r>
        <w:rPr>
          <w:rFonts w:ascii="仿宋" w:hAnsi="仿宋" w:eastAsia="仿宋" w:cs="仿宋"/>
          <w:color w:val="auto"/>
          <w:spacing w:val="-13"/>
          <w:sz w:val="24"/>
          <w:szCs w:val="24"/>
          <w:highlight w:val="none"/>
          <w:u w:val="single"/>
          <w:lang w:eastAsia="zh-CN"/>
        </w:rPr>
        <w:t>（部门名称</w:t>
      </w:r>
      <w:r>
        <w:rPr>
          <w:rFonts w:ascii="仿宋" w:hAnsi="仿宋" w:eastAsia="仿宋" w:cs="仿宋"/>
          <w:color w:val="auto"/>
          <w:spacing w:val="-17"/>
          <w:sz w:val="24"/>
          <w:szCs w:val="24"/>
          <w:highlight w:val="none"/>
          <w:u w:val="single"/>
          <w:lang w:eastAsia="zh-CN"/>
        </w:rPr>
        <w:t>）</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7"/>
          <w:sz w:val="24"/>
          <w:szCs w:val="24"/>
          <w:highlight w:val="none"/>
          <w:lang w:eastAsia="zh-CN"/>
        </w:rPr>
        <w:t>（</w:t>
      </w:r>
      <w:r>
        <w:rPr>
          <w:rFonts w:ascii="仿宋" w:hAnsi="仿宋" w:eastAsia="仿宋" w:cs="仿宋"/>
          <w:color w:val="auto"/>
          <w:spacing w:val="-13"/>
          <w:sz w:val="24"/>
          <w:szCs w:val="24"/>
          <w:highlight w:val="none"/>
          <w:lang w:eastAsia="zh-CN"/>
        </w:rPr>
        <w:t>盖章）</w:t>
      </w:r>
    </w:p>
    <w:p w14:paraId="04B05413">
      <w:pPr>
        <w:kinsoku/>
        <w:spacing w:line="257" w:lineRule="auto"/>
        <w:jc w:val="both"/>
        <w:rPr>
          <w:color w:val="auto"/>
          <w:highlight w:val="none"/>
          <w:lang w:eastAsia="zh-CN"/>
        </w:rPr>
      </w:pPr>
    </w:p>
    <w:p w14:paraId="555EC11C">
      <w:pPr>
        <w:kinsoku/>
        <w:spacing w:before="79" w:line="222" w:lineRule="auto"/>
        <w:ind w:right="32"/>
        <w:jc w:val="both"/>
        <w:rPr>
          <w:rFonts w:ascii="仿宋" w:hAnsi="仿宋" w:eastAsia="仿宋" w:cs="仿宋"/>
          <w:color w:val="auto"/>
          <w:sz w:val="24"/>
          <w:szCs w:val="24"/>
          <w:highlight w:val="none"/>
          <w:lang w:eastAsia="zh-CN"/>
        </w:rPr>
      </w:pPr>
      <w:r>
        <w:rPr>
          <w:rFonts w:ascii="仿宋" w:hAnsi="仿宋" w:eastAsia="仿宋" w:cs="仿宋"/>
          <w:color w:val="auto"/>
          <w:spacing w:val="-15"/>
          <w:sz w:val="24"/>
          <w:szCs w:val="24"/>
          <w:highlight w:val="none"/>
          <w:lang w:eastAsia="zh-CN"/>
        </w:rPr>
        <w:t>二</w:t>
      </w:r>
      <w:r>
        <w:rPr>
          <w:rFonts w:ascii="仿宋" w:hAnsi="仿宋" w:eastAsia="仿宋" w:cs="仿宋"/>
          <w:color w:val="auto"/>
          <w:spacing w:val="-81"/>
          <w:sz w:val="24"/>
          <w:szCs w:val="24"/>
          <w:highlight w:val="none"/>
          <w:lang w:eastAsia="zh-CN"/>
        </w:rPr>
        <w:t xml:space="preserve"> </w:t>
      </w:r>
      <w:r>
        <w:rPr>
          <w:rFonts w:ascii="仿宋" w:hAnsi="仿宋" w:eastAsia="仿宋" w:cs="仿宋"/>
          <w:color w:val="auto"/>
          <w:spacing w:val="-15"/>
          <w:sz w:val="24"/>
          <w:szCs w:val="24"/>
          <w:highlight w:val="none"/>
          <w:lang w:eastAsia="zh-CN"/>
        </w:rPr>
        <w:t>○</w:t>
      </w:r>
      <w:r>
        <w:rPr>
          <w:rFonts w:ascii="仿宋" w:hAnsi="仿宋" w:eastAsia="仿宋" w:cs="仿宋"/>
          <w:color w:val="auto"/>
          <w:spacing w:val="3"/>
          <w:sz w:val="24"/>
          <w:szCs w:val="24"/>
          <w:highlight w:val="none"/>
          <w:lang w:eastAsia="zh-CN"/>
        </w:rPr>
        <w:t xml:space="preserve">      </w:t>
      </w:r>
      <w:r>
        <w:rPr>
          <w:rFonts w:ascii="仿宋" w:hAnsi="仿宋" w:eastAsia="仿宋" w:cs="仿宋"/>
          <w:color w:val="auto"/>
          <w:spacing w:val="-15"/>
          <w:sz w:val="24"/>
          <w:szCs w:val="24"/>
          <w:highlight w:val="none"/>
          <w:lang w:eastAsia="zh-CN"/>
        </w:rPr>
        <w:t>年</w:t>
      </w:r>
      <w:r>
        <w:rPr>
          <w:rFonts w:ascii="仿宋" w:hAnsi="仿宋" w:eastAsia="仿宋" w:cs="仿宋"/>
          <w:color w:val="auto"/>
          <w:spacing w:val="7"/>
          <w:sz w:val="24"/>
          <w:szCs w:val="24"/>
          <w:highlight w:val="none"/>
          <w:lang w:eastAsia="zh-CN"/>
        </w:rPr>
        <w:t xml:space="preserve">    </w:t>
      </w:r>
      <w:r>
        <w:rPr>
          <w:rFonts w:ascii="仿宋" w:hAnsi="仿宋" w:eastAsia="仿宋" w:cs="仿宋"/>
          <w:color w:val="auto"/>
          <w:spacing w:val="-15"/>
          <w:sz w:val="24"/>
          <w:szCs w:val="24"/>
          <w:highlight w:val="none"/>
          <w:lang w:eastAsia="zh-CN"/>
        </w:rPr>
        <w:t>月      日</w:t>
      </w:r>
    </w:p>
    <w:p w14:paraId="66CB9E76">
      <w:pPr>
        <w:kinsoku/>
        <w:spacing w:line="255" w:lineRule="auto"/>
        <w:jc w:val="both"/>
        <w:rPr>
          <w:color w:val="auto"/>
          <w:highlight w:val="none"/>
          <w:lang w:eastAsia="zh-CN"/>
        </w:rPr>
      </w:pPr>
    </w:p>
    <w:p w14:paraId="69DF9526">
      <w:pPr>
        <w:kinsoku/>
        <w:spacing w:before="78" w:line="480" w:lineRule="auto"/>
        <w:ind w:left="15"/>
        <w:jc w:val="both"/>
        <w:rPr>
          <w:rFonts w:ascii="仿宋" w:hAnsi="仿宋" w:eastAsia="仿宋" w:cs="仿宋"/>
          <w:color w:val="auto"/>
          <w:sz w:val="24"/>
          <w:szCs w:val="24"/>
          <w:highlight w:val="none"/>
          <w:lang w:eastAsia="zh-CN"/>
        </w:rPr>
      </w:pPr>
      <w:r>
        <w:rPr>
          <w:rFonts w:ascii="仿宋" w:hAnsi="仿宋" w:eastAsia="仿宋" w:cs="仿宋"/>
          <w:color w:val="auto"/>
          <w:spacing w:val="-6"/>
          <w:sz w:val="24"/>
          <w:szCs w:val="24"/>
          <w:highlight w:val="none"/>
          <w:lang w:eastAsia="zh-CN"/>
        </w:rPr>
        <w:t>抄送：</w:t>
      </w:r>
      <w:r>
        <w:rPr>
          <w:rFonts w:ascii="仿宋" w:hAnsi="仿宋" w:eastAsia="仿宋" w:cs="仿宋"/>
          <w:color w:val="auto"/>
          <w:sz w:val="24"/>
          <w:szCs w:val="24"/>
          <w:highlight w:val="none"/>
          <w:u w:val="single"/>
          <w:lang w:eastAsia="zh-CN"/>
        </w:rPr>
        <w:t xml:space="preserve">                                                              </w:t>
      </w:r>
    </w:p>
    <w:p w14:paraId="2636AE3A">
      <w:pPr>
        <w:kinsoku/>
        <w:spacing w:before="1" w:line="230" w:lineRule="auto"/>
        <w:ind w:left="22"/>
        <w:jc w:val="both"/>
        <w:rPr>
          <w:rFonts w:ascii="仿宋" w:hAnsi="仿宋" w:eastAsia="仿宋" w:cs="仿宋"/>
          <w:color w:val="auto"/>
          <w:sz w:val="24"/>
          <w:szCs w:val="24"/>
          <w:highlight w:val="none"/>
          <w:lang w:eastAsia="zh-CN"/>
        </w:rPr>
      </w:pPr>
      <w:r>
        <w:rPr>
          <w:rFonts w:ascii="仿宋" w:hAnsi="仿宋" w:eastAsia="仿宋" w:cs="仿宋"/>
          <w:color w:val="auto"/>
          <w:spacing w:val="-12"/>
          <w:sz w:val="24"/>
          <w:szCs w:val="24"/>
          <w:highlight w:val="none"/>
          <w:lang w:eastAsia="zh-CN"/>
        </w:rPr>
        <w:t>注：</w:t>
      </w:r>
    </w:p>
    <w:p w14:paraId="1EAA6219">
      <w:pPr>
        <w:kinsoku/>
        <w:spacing w:line="245" w:lineRule="auto"/>
        <w:jc w:val="both"/>
        <w:rPr>
          <w:color w:val="auto"/>
          <w:highlight w:val="none"/>
          <w:lang w:eastAsia="zh-CN"/>
        </w:rPr>
      </w:pPr>
    </w:p>
    <w:p w14:paraId="404E624E">
      <w:pPr>
        <w:kinsoku/>
        <w:spacing w:before="78" w:line="219" w:lineRule="auto"/>
        <w:ind w:left="26"/>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 本通知单一式四份，监理人一份，各部门存一份。（根据具体需要修改份数）</w:t>
      </w:r>
    </w:p>
    <w:p w14:paraId="47463FF0">
      <w:pPr>
        <w:kinsoku/>
        <w:spacing w:before="183" w:line="221" w:lineRule="auto"/>
        <w:ind w:left="1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2．本通知单的发出：</w:t>
      </w:r>
    </w:p>
    <w:p w14:paraId="31BFEDBF">
      <w:pPr>
        <w:kinsoku/>
        <w:spacing w:before="181" w:line="468" w:lineRule="exact"/>
        <w:ind w:left="20"/>
        <w:jc w:val="both"/>
        <w:rPr>
          <w:rFonts w:ascii="仿宋" w:hAnsi="仿宋" w:eastAsia="仿宋" w:cs="仿宋"/>
          <w:color w:val="auto"/>
          <w:sz w:val="24"/>
          <w:szCs w:val="24"/>
          <w:highlight w:val="none"/>
          <w:lang w:eastAsia="zh-CN"/>
        </w:rPr>
      </w:pPr>
      <w:r>
        <w:rPr>
          <w:rFonts w:ascii="仿宋" w:hAnsi="仿宋" w:eastAsia="仿宋" w:cs="仿宋"/>
          <w:color w:val="auto"/>
          <w:spacing w:val="1"/>
          <w:position w:val="17"/>
          <w:sz w:val="24"/>
          <w:szCs w:val="24"/>
          <w:highlight w:val="none"/>
          <w:lang w:eastAsia="zh-CN"/>
        </w:rPr>
        <w:t>（1）委托人工程管理部根据工程实际监理情况做出监理人违约（或赔偿、或监理人免</w:t>
      </w:r>
    </w:p>
    <w:p w14:paraId="3A46C8B5">
      <w:pPr>
        <w:kinsoku/>
        <w:spacing w:line="220" w:lineRule="auto"/>
        <w:ind w:left="29"/>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收的监理酬金）决定，并发出本通知单；</w:t>
      </w:r>
    </w:p>
    <w:p w14:paraId="24C3191B">
      <w:pPr>
        <w:kinsoku/>
        <w:spacing w:before="182" w:line="468" w:lineRule="exact"/>
        <w:ind w:left="20"/>
        <w:jc w:val="both"/>
        <w:rPr>
          <w:rFonts w:ascii="仿宋" w:hAnsi="仿宋" w:eastAsia="仿宋" w:cs="仿宋"/>
          <w:color w:val="auto"/>
          <w:sz w:val="24"/>
          <w:szCs w:val="24"/>
          <w:highlight w:val="none"/>
          <w:lang w:eastAsia="zh-CN"/>
        </w:rPr>
      </w:pPr>
      <w:r>
        <w:rPr>
          <w:rFonts w:ascii="仿宋" w:hAnsi="仿宋" w:eastAsia="仿宋" w:cs="仿宋"/>
          <w:color w:val="auto"/>
          <w:spacing w:val="1"/>
          <w:position w:val="17"/>
          <w:sz w:val="24"/>
          <w:szCs w:val="24"/>
          <w:highlight w:val="none"/>
          <w:lang w:eastAsia="zh-CN"/>
        </w:rPr>
        <w:t>（2）委托人成本合约部根据监理人审核工程变更费用、计量、结算等的实际情况做出</w:t>
      </w:r>
    </w:p>
    <w:p w14:paraId="00AA5227">
      <w:pPr>
        <w:kinsoku/>
        <w:spacing w:before="1" w:line="220" w:lineRule="auto"/>
        <w:ind w:left="3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的监理人免收监理酬金通知，格式参照本通知单</w:t>
      </w:r>
      <w:r>
        <w:rPr>
          <w:rFonts w:ascii="仿宋" w:hAnsi="仿宋" w:eastAsia="仿宋" w:cs="仿宋"/>
          <w:color w:val="auto"/>
          <w:spacing w:val="-2"/>
          <w:sz w:val="24"/>
          <w:szCs w:val="24"/>
          <w:highlight w:val="none"/>
          <w:lang w:eastAsia="zh-CN"/>
        </w:rPr>
        <w:t>格式发出；</w:t>
      </w:r>
    </w:p>
    <w:p w14:paraId="781B92AF">
      <w:pPr>
        <w:kinsoku/>
        <w:spacing w:before="181" w:line="468" w:lineRule="exact"/>
        <w:ind w:left="20"/>
        <w:jc w:val="both"/>
        <w:rPr>
          <w:rFonts w:ascii="仿宋" w:hAnsi="仿宋" w:eastAsia="仿宋" w:cs="仿宋"/>
          <w:color w:val="auto"/>
          <w:sz w:val="24"/>
          <w:szCs w:val="24"/>
          <w:highlight w:val="none"/>
          <w:lang w:eastAsia="zh-CN"/>
        </w:rPr>
      </w:pPr>
      <w:r>
        <w:rPr>
          <w:rFonts w:ascii="仿宋" w:hAnsi="仿宋" w:eastAsia="仿宋" w:cs="仿宋"/>
          <w:color w:val="auto"/>
          <w:spacing w:val="1"/>
          <w:position w:val="17"/>
          <w:sz w:val="24"/>
          <w:szCs w:val="24"/>
          <w:highlight w:val="none"/>
          <w:lang w:eastAsia="zh-CN"/>
        </w:rPr>
        <w:t>（3）委托人其他部门可结合本部门职责根据合同规定做出监理人违约（或赔偿、或监</w:t>
      </w:r>
    </w:p>
    <w:p w14:paraId="62A66637">
      <w:pPr>
        <w:kinsoku/>
        <w:spacing w:line="220" w:lineRule="auto"/>
        <w:ind w:left="17"/>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理人免收的监理酬金）决定，并发出本通知单。</w:t>
      </w:r>
    </w:p>
    <w:p w14:paraId="1F5B4F22">
      <w:pPr>
        <w:kinsoku/>
        <w:spacing w:before="182" w:line="468" w:lineRule="exact"/>
        <w:ind w:left="13"/>
        <w:jc w:val="both"/>
        <w:rPr>
          <w:rFonts w:ascii="仿宋" w:hAnsi="仿宋" w:eastAsia="仿宋" w:cs="仿宋"/>
          <w:color w:val="auto"/>
          <w:sz w:val="24"/>
          <w:szCs w:val="24"/>
          <w:highlight w:val="none"/>
          <w:lang w:eastAsia="zh-CN"/>
        </w:rPr>
      </w:pPr>
      <w:r>
        <w:rPr>
          <w:rFonts w:ascii="仿宋" w:hAnsi="仿宋" w:eastAsia="仿宋" w:cs="仿宋"/>
          <w:color w:val="auto"/>
          <w:spacing w:val="2"/>
          <w:position w:val="17"/>
          <w:sz w:val="24"/>
          <w:szCs w:val="24"/>
          <w:highlight w:val="none"/>
          <w:lang w:eastAsia="zh-CN"/>
        </w:rPr>
        <w:t>3．本通知单作为扣减监理费的原始凭证，</w:t>
      </w:r>
      <w:r>
        <w:rPr>
          <w:rFonts w:ascii="仿宋" w:hAnsi="仿宋" w:eastAsia="仿宋" w:cs="仿宋"/>
          <w:color w:val="auto"/>
          <w:spacing w:val="1"/>
          <w:position w:val="17"/>
          <w:sz w:val="24"/>
          <w:szCs w:val="24"/>
          <w:highlight w:val="none"/>
          <w:lang w:eastAsia="zh-CN"/>
        </w:rPr>
        <w:t>委托人工程管理部负责检查和落实监理人附</w:t>
      </w:r>
    </w:p>
    <w:p w14:paraId="08B1E232">
      <w:pPr>
        <w:kinsoku/>
        <w:spacing w:line="219" w:lineRule="auto"/>
        <w:ind w:left="17"/>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在紧接的当期监理服务费支付申请的资料。</w:t>
      </w:r>
    </w:p>
    <w:p w14:paraId="74E47237">
      <w:pPr>
        <w:kinsoku/>
        <w:spacing w:line="219" w:lineRule="auto"/>
        <w:jc w:val="both"/>
        <w:rPr>
          <w:rFonts w:ascii="仿宋" w:hAnsi="仿宋" w:eastAsia="仿宋" w:cs="仿宋"/>
          <w:color w:val="auto"/>
          <w:sz w:val="24"/>
          <w:szCs w:val="24"/>
          <w:highlight w:val="none"/>
          <w:lang w:eastAsia="zh-CN"/>
        </w:rPr>
        <w:sectPr>
          <w:pgSz w:w="11906" w:h="16838"/>
          <w:pgMar w:top="1134" w:right="1029" w:bottom="1361" w:left="1417" w:header="0" w:footer="1202" w:gutter="0"/>
          <w:cols w:space="0" w:num="1"/>
        </w:sectPr>
      </w:pPr>
    </w:p>
    <w:p w14:paraId="62C6A228">
      <w:pPr>
        <w:pStyle w:val="3"/>
        <w:widowControl w:val="0"/>
        <w:kinsoku/>
        <w:spacing w:line="413" w:lineRule="auto"/>
        <w:jc w:val="both"/>
        <w:rPr>
          <w:rFonts w:hint="eastAsia" w:ascii="仿宋" w:hAnsi="仿宋" w:eastAsia="仿宋" w:cs="仿宋"/>
          <w:bCs/>
          <w:color w:val="auto"/>
          <w:spacing w:val="0"/>
          <w:kern w:val="0"/>
          <w:sz w:val="24"/>
          <w:szCs w:val="24"/>
          <w:highlight w:val="none"/>
          <w:lang w:eastAsia="zh-CN"/>
        </w:rPr>
      </w:pPr>
      <w:bookmarkStart w:id="263" w:name="_Toc20697"/>
      <w:r>
        <w:rPr>
          <w:rFonts w:hint="eastAsia" w:ascii="仿宋" w:hAnsi="仿宋" w:eastAsia="仿宋" w:cs="仿宋"/>
          <w:bCs/>
          <w:color w:val="auto"/>
          <w:spacing w:val="0"/>
          <w:kern w:val="0"/>
          <w:sz w:val="24"/>
          <w:szCs w:val="24"/>
          <w:highlight w:val="none"/>
          <w:lang w:eastAsia="zh-CN"/>
        </w:rPr>
        <w:t>附件</w:t>
      </w:r>
      <w:r>
        <w:rPr>
          <w:rFonts w:hint="eastAsia" w:ascii="仿宋" w:hAnsi="仿宋" w:eastAsia="仿宋" w:cs="仿宋"/>
          <w:bCs/>
          <w:color w:val="auto"/>
          <w:spacing w:val="0"/>
          <w:kern w:val="0"/>
          <w:sz w:val="24"/>
          <w:szCs w:val="24"/>
          <w:highlight w:val="none"/>
          <w:lang w:val="en-US" w:eastAsia="zh-CN"/>
        </w:rPr>
        <w:t>6</w:t>
      </w:r>
      <w:r>
        <w:rPr>
          <w:rFonts w:hint="eastAsia" w:ascii="仿宋" w:hAnsi="仿宋" w:eastAsia="仿宋" w:cs="仿宋"/>
          <w:bCs/>
          <w:color w:val="auto"/>
          <w:spacing w:val="0"/>
          <w:kern w:val="0"/>
          <w:sz w:val="24"/>
          <w:szCs w:val="24"/>
          <w:highlight w:val="none"/>
          <w:lang w:eastAsia="zh-CN"/>
        </w:rPr>
        <w:t>：廉洁协议</w:t>
      </w:r>
      <w:bookmarkEnd w:id="263"/>
    </w:p>
    <w:p w14:paraId="2E4239DC">
      <w:pPr>
        <w:kinsoku/>
        <w:spacing w:before="120" w:beforeLines="50" w:line="360" w:lineRule="auto"/>
        <w:jc w:val="center"/>
        <w:rPr>
          <w:rFonts w:hint="eastAsia" w:ascii="仿宋" w:hAnsi="仿宋" w:eastAsia="仿宋" w:cs="仿宋"/>
          <w:color w:val="auto"/>
          <w:sz w:val="24"/>
          <w:szCs w:val="24"/>
          <w:highlight w:val="none"/>
          <w:lang w:eastAsia="zh-CN"/>
        </w:rPr>
      </w:pPr>
      <w:bookmarkStart w:id="264" w:name="_Toc25586"/>
      <w:r>
        <w:rPr>
          <w:rFonts w:hint="eastAsia" w:ascii="仿宋" w:hAnsi="仿宋" w:eastAsia="仿宋" w:cs="仿宋"/>
          <w:color w:val="auto"/>
          <w:sz w:val="24"/>
          <w:szCs w:val="24"/>
          <w:highlight w:val="none"/>
          <w:lang w:eastAsia="zh-CN"/>
        </w:rPr>
        <w:t>招投标项目廉洁协议</w:t>
      </w:r>
      <w:bookmarkEnd w:id="264"/>
    </w:p>
    <w:p w14:paraId="74BB0A90">
      <w:p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w:t>
      </w:r>
    </w:p>
    <w:p w14:paraId="2C2AEAE5">
      <w:p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p>
    <w:p w14:paraId="194F7E7D">
      <w:pPr>
        <w:kinsoku/>
        <w:spacing w:before="120" w:beforeLines="50"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乙方同意接受甲方邀请，参与甲方</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项目监理服务项目，为保障双方的合法权益，使甲乙双方在招投标过程中保持廉洁自律的工作作风，防止各种不正当行为的发生，甲乙双方同意订立本协议如下：</w:t>
      </w:r>
    </w:p>
    <w:p w14:paraId="23B008AB">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甲乙双方应当自觉遵守国家、广东省和广州市有关法律法规以及有关廉政建设的各项规定。廉洁经营，对违反廉洁协议的人和事必须严肃处理。</w:t>
      </w:r>
    </w:p>
    <w:p w14:paraId="0DCC1D80">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甲方及其工作人员不得以任何形式向乙方索要和收受回扣等好处费。</w:t>
      </w:r>
    </w:p>
    <w:p w14:paraId="6EB0BAEA">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甲方工作人员不得接受乙方的礼金（卡）、有价证券和贵重物品等，不得在乙方报销应由个人支付的费用。 </w:t>
      </w:r>
    </w:p>
    <w:p w14:paraId="38F5F9FA">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甲方及其工作人员应当保持与乙方的正常的业务交往，除公司安排的正常的对外业务活动外，甲方工作人员不得参加可能对公正执行业务有影响的宴请和娱乐活动。 </w:t>
      </w:r>
    </w:p>
    <w:p w14:paraId="08E06894">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乙方及其工作人员不得利用向甲方及其工作人员行贿、提供回扣、送礼或者其它好处等不正当手段联系业务项目。</w:t>
      </w:r>
    </w:p>
    <w:p w14:paraId="6CD2EB2B">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乙方及其工作人员应按合同或双方约定的工作程序开展工作，不得为谋取私利擅自与甲方工作人员就项目所涉及的承包、费用、材料、变更、验收、质量问题处理等进行私下商谈或者达成默契。</w:t>
      </w:r>
    </w:p>
    <w:p w14:paraId="288F3705">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除双方正常的业务交往外，乙方不得以洽谈业务、签订经济合同等为借口，邀请甲方工作人员进行高消费的娱乐活动。</w:t>
      </w:r>
    </w:p>
    <w:p w14:paraId="73386C0A">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如发现甲方工作人员有违反上述协议者，应向甲方领导或纪检监察审计部门（综合管理部）举报。甲方对举报属实和严格遵守《廉洁协议》的乙方，在同等条件下给予继续参加甲方今后有关项目投标的优先权。</w:t>
      </w:r>
    </w:p>
    <w:p w14:paraId="0D86C854">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甲方发现乙方有违反本协议或者采取不正当的手段贿赂甲方工作人员，甲方根据具体情节和造成的后果追究乙方的违 约责任。一经查实，甲方将取消乙方继续参与项目洽谈及竞标资格，如已签订合同，甲方有权终止项目合同，由此导致甲 方所造成的损失以及发生的一切费用均由乙方承担。 </w:t>
      </w:r>
    </w:p>
    <w:p w14:paraId="14209CA0">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本协议作为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公司招投标项目实施期间甲乙双方的行为规范，应共同遵守。</w:t>
      </w:r>
    </w:p>
    <w:p w14:paraId="17D2F527">
      <w:pPr>
        <w:numPr>
          <w:ilvl w:val="0"/>
          <w:numId w:val="4"/>
        </w:numPr>
        <w:kinsoku/>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本协议经乙方打印盖章签字后立即生效。本协议份数随主合同。</w:t>
      </w:r>
    </w:p>
    <w:p w14:paraId="56DDFDDA">
      <w:pPr>
        <w:kinsoku/>
        <w:spacing w:line="360" w:lineRule="auto"/>
        <w:jc w:val="both"/>
        <w:rPr>
          <w:rFonts w:hint="eastAsia" w:ascii="仿宋" w:hAnsi="仿宋" w:eastAsia="仿宋" w:cs="仿宋"/>
          <w:color w:val="auto"/>
          <w:sz w:val="24"/>
          <w:szCs w:val="24"/>
          <w:highlight w:val="none"/>
          <w:lang w:eastAsia="zh-CN"/>
        </w:rPr>
      </w:pPr>
    </w:p>
    <w:p w14:paraId="33CDA5AE">
      <w:pPr>
        <w:kinsoku/>
        <w:spacing w:line="360" w:lineRule="auto"/>
        <w:jc w:val="both"/>
        <w:rPr>
          <w:rFonts w:hint="eastAsia" w:ascii="仿宋" w:hAnsi="仿宋" w:eastAsia="仿宋" w:cs="仿宋"/>
          <w:color w:val="auto"/>
          <w:sz w:val="24"/>
          <w:szCs w:val="24"/>
          <w:highlight w:val="none"/>
          <w:lang w:eastAsia="zh-CN"/>
        </w:rPr>
      </w:pPr>
    </w:p>
    <w:p w14:paraId="3E3D7528">
      <w:pPr>
        <w:kinsoku/>
        <w:spacing w:line="360" w:lineRule="auto"/>
        <w:ind w:firstLine="218" w:firstLineChars="9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甲方（盖章）：                      乙方（盖章）：</w:t>
      </w:r>
    </w:p>
    <w:p w14:paraId="29A295CB">
      <w:pPr>
        <w:kinsoku/>
        <w:spacing w:line="360" w:lineRule="auto"/>
        <w:ind w:firstLine="218" w:firstLineChars="9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签字代表：                          签字代表：</w:t>
      </w:r>
    </w:p>
    <w:p w14:paraId="4A47AFAF">
      <w:pPr>
        <w:kinsoku/>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p w14:paraId="47055B21">
      <w:pPr>
        <w:kinsoku/>
        <w:spacing w:line="360" w:lineRule="auto"/>
        <w:ind w:firstLine="218" w:firstLineChars="9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                              电话：</w:t>
      </w:r>
    </w:p>
    <w:p w14:paraId="3527FB57">
      <w:pPr>
        <w:kinsoku/>
        <w:spacing w:line="360" w:lineRule="auto"/>
        <w:ind w:firstLine="218" w:firstLineChars="91"/>
        <w:jc w:val="both"/>
        <w:rPr>
          <w:rFonts w:ascii="FangSong_GB2312" w:hAnsi="FangSong_GB2312" w:eastAsia="FangSong_GB2312" w:cs="FangSong_GB2312"/>
          <w:color w:val="auto"/>
          <w:sz w:val="24"/>
          <w:highlight w:val="none"/>
          <w:lang w:eastAsia="zh-CN"/>
        </w:rPr>
      </w:pPr>
      <w:r>
        <w:rPr>
          <w:rFonts w:hint="eastAsia" w:ascii="FangSong_GB2312" w:hAnsi="FangSong_GB2312" w:eastAsia="FangSong_GB2312" w:cs="FangSong_GB2312"/>
          <w:color w:val="auto"/>
          <w:sz w:val="24"/>
          <w:highlight w:val="none"/>
          <w:lang w:eastAsia="zh-CN"/>
        </w:rPr>
        <w:t>时间：   年   月    日              时间：   年    月    日</w:t>
      </w:r>
    </w:p>
    <w:p w14:paraId="77E27E45">
      <w:pPr>
        <w:kinsoku/>
        <w:jc w:val="both"/>
        <w:rPr>
          <w:color w:val="auto"/>
          <w:highlight w:val="none"/>
          <w:lang w:eastAsia="zh-CN"/>
        </w:rPr>
      </w:pPr>
    </w:p>
    <w:sectPr>
      <w:pgSz w:w="11906" w:h="16838"/>
      <w:pgMar w:top="1134" w:right="1417" w:bottom="1361" w:left="1417" w:header="0" w:footer="120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B0604020202020204"/>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4D"/>
    <w:family w:val="decorative"/>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3804">
    <w:pPr>
      <w:pStyle w:val="11"/>
      <w:jc w:val="center"/>
      <w:rPr>
        <w:rFonts w:cs="Times New Roman"/>
      </w:rPr>
    </w:pPr>
  </w:p>
  <w:p w14:paraId="0AFDD9AE">
    <w:pPr>
      <w:pStyle w:val="1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2312">
    <w:pPr>
      <w:pStyle w:val="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5931">
    <w:pPr>
      <w:pStyle w:val="11"/>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F1644">
                          <w:pPr>
                            <w:pStyle w:val="11"/>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E5F1644">
                    <w:pPr>
                      <w:pStyle w:val="11"/>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14:paraId="7CEF3D13">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939C">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B87BE"/>
    <w:multiLevelType w:val="singleLevel"/>
    <w:tmpl w:val="EB7B87BE"/>
    <w:lvl w:ilvl="0" w:tentative="0">
      <w:start w:val="2"/>
      <w:numFmt w:val="decimal"/>
      <w:suff w:val="space"/>
      <w:lvlText w:val="%1."/>
      <w:lvlJc w:val="left"/>
    </w:lvl>
  </w:abstractNum>
  <w:abstractNum w:abstractNumId="1">
    <w:nsid w:val="F7E8EDF4"/>
    <w:multiLevelType w:val="singleLevel"/>
    <w:tmpl w:val="F7E8EDF4"/>
    <w:lvl w:ilvl="0" w:tentative="0">
      <w:start w:val="1"/>
      <w:numFmt w:val="chineseCounting"/>
      <w:suff w:val="nothing"/>
      <w:lvlText w:val="%1、"/>
      <w:lvlJc w:val="left"/>
      <w:rPr>
        <w:rFonts w:hint="eastAsia"/>
      </w:rPr>
    </w:lvl>
  </w:abstractNum>
  <w:abstractNum w:abstractNumId="2">
    <w:nsid w:val="09CEF01E"/>
    <w:multiLevelType w:val="singleLevel"/>
    <w:tmpl w:val="09CEF01E"/>
    <w:lvl w:ilvl="0" w:tentative="0">
      <w:start w:val="3"/>
      <w:numFmt w:val="decimal"/>
      <w:suff w:val="nothing"/>
      <w:lvlText w:val="（%1）"/>
      <w:lvlJc w:val="left"/>
    </w:lvl>
  </w:abstractNum>
  <w:abstractNum w:abstractNumId="3">
    <w:nsid w:val="389E824C"/>
    <w:multiLevelType w:val="singleLevel"/>
    <w:tmpl w:val="389E824C"/>
    <w:lvl w:ilvl="0" w:tentative="0">
      <w:start w:val="5"/>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720"/>
  <w:drawingGridHorizontalSpacing w:val="210"/>
  <w:drawingGridVerticalSpacing w:val="-7946"/>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MGY0OTIwNzdhMmJlODgwN2NiNGM0MzE0NThjY2QifQ=="/>
  </w:docVars>
  <w:rsids>
    <w:rsidRoot w:val="00497714"/>
    <w:rsid w:val="00082AD1"/>
    <w:rsid w:val="0009302D"/>
    <w:rsid w:val="00154400"/>
    <w:rsid w:val="00157349"/>
    <w:rsid w:val="001E3B4E"/>
    <w:rsid w:val="002A6EAB"/>
    <w:rsid w:val="00376130"/>
    <w:rsid w:val="003763BE"/>
    <w:rsid w:val="00497714"/>
    <w:rsid w:val="004C09A4"/>
    <w:rsid w:val="00500740"/>
    <w:rsid w:val="006743FF"/>
    <w:rsid w:val="006816AE"/>
    <w:rsid w:val="006E1C4B"/>
    <w:rsid w:val="0077193D"/>
    <w:rsid w:val="00950A3C"/>
    <w:rsid w:val="009B6F0F"/>
    <w:rsid w:val="009C7975"/>
    <w:rsid w:val="009E5347"/>
    <w:rsid w:val="009F2E6D"/>
    <w:rsid w:val="00A2700C"/>
    <w:rsid w:val="00AC1CDF"/>
    <w:rsid w:val="00B3340A"/>
    <w:rsid w:val="00C27953"/>
    <w:rsid w:val="00CE64EF"/>
    <w:rsid w:val="00D069B2"/>
    <w:rsid w:val="00DC6644"/>
    <w:rsid w:val="00EB2882"/>
    <w:rsid w:val="00EF6C47"/>
    <w:rsid w:val="00FD5C5D"/>
    <w:rsid w:val="01906318"/>
    <w:rsid w:val="01E50D53"/>
    <w:rsid w:val="01FF6705"/>
    <w:rsid w:val="02307066"/>
    <w:rsid w:val="02F829BA"/>
    <w:rsid w:val="04560CF3"/>
    <w:rsid w:val="04744B49"/>
    <w:rsid w:val="0519537F"/>
    <w:rsid w:val="05B64B63"/>
    <w:rsid w:val="05C55124"/>
    <w:rsid w:val="05EE2780"/>
    <w:rsid w:val="05F11A75"/>
    <w:rsid w:val="067C166F"/>
    <w:rsid w:val="06A1464C"/>
    <w:rsid w:val="08BF794D"/>
    <w:rsid w:val="094A042C"/>
    <w:rsid w:val="0980684D"/>
    <w:rsid w:val="09C87543"/>
    <w:rsid w:val="0AA34D9B"/>
    <w:rsid w:val="0AB377C9"/>
    <w:rsid w:val="0AC81E7C"/>
    <w:rsid w:val="0D002EE5"/>
    <w:rsid w:val="0DCB52A1"/>
    <w:rsid w:val="0E486C7E"/>
    <w:rsid w:val="0FEC6BF1"/>
    <w:rsid w:val="104611E4"/>
    <w:rsid w:val="10826E76"/>
    <w:rsid w:val="11B80432"/>
    <w:rsid w:val="13255454"/>
    <w:rsid w:val="140B63F8"/>
    <w:rsid w:val="150D2643"/>
    <w:rsid w:val="16EF0253"/>
    <w:rsid w:val="1745604E"/>
    <w:rsid w:val="17771FF6"/>
    <w:rsid w:val="177D4AB0"/>
    <w:rsid w:val="17D23463"/>
    <w:rsid w:val="183774F2"/>
    <w:rsid w:val="18A86C1F"/>
    <w:rsid w:val="18B32A4C"/>
    <w:rsid w:val="18BA5C42"/>
    <w:rsid w:val="19662322"/>
    <w:rsid w:val="1A650343"/>
    <w:rsid w:val="1A852896"/>
    <w:rsid w:val="1B9A43A5"/>
    <w:rsid w:val="1BED2AAC"/>
    <w:rsid w:val="1C9F0C76"/>
    <w:rsid w:val="1DAE6696"/>
    <w:rsid w:val="1EDA5344"/>
    <w:rsid w:val="1EF250CB"/>
    <w:rsid w:val="1F8B1D67"/>
    <w:rsid w:val="20A774A8"/>
    <w:rsid w:val="20D52E0C"/>
    <w:rsid w:val="20F41684"/>
    <w:rsid w:val="21456706"/>
    <w:rsid w:val="21BD3B81"/>
    <w:rsid w:val="21EA7F94"/>
    <w:rsid w:val="22284A59"/>
    <w:rsid w:val="2265586D"/>
    <w:rsid w:val="226C4EAC"/>
    <w:rsid w:val="23272884"/>
    <w:rsid w:val="249917FE"/>
    <w:rsid w:val="26551BE3"/>
    <w:rsid w:val="2730246E"/>
    <w:rsid w:val="27690BB5"/>
    <w:rsid w:val="27B9389C"/>
    <w:rsid w:val="280F60AA"/>
    <w:rsid w:val="28100029"/>
    <w:rsid w:val="28581068"/>
    <w:rsid w:val="28E55011"/>
    <w:rsid w:val="2A77438F"/>
    <w:rsid w:val="2AF4778E"/>
    <w:rsid w:val="2BAF1DAA"/>
    <w:rsid w:val="2BCD44E4"/>
    <w:rsid w:val="2C4C3F30"/>
    <w:rsid w:val="2C4C766A"/>
    <w:rsid w:val="2E0B3C17"/>
    <w:rsid w:val="2E4B74BD"/>
    <w:rsid w:val="2E5F5866"/>
    <w:rsid w:val="2EF83C56"/>
    <w:rsid w:val="2FC71915"/>
    <w:rsid w:val="2FE63370"/>
    <w:rsid w:val="300A35B0"/>
    <w:rsid w:val="30620A1C"/>
    <w:rsid w:val="30E81B43"/>
    <w:rsid w:val="316069AE"/>
    <w:rsid w:val="31B31802"/>
    <w:rsid w:val="31C56710"/>
    <w:rsid w:val="32A45498"/>
    <w:rsid w:val="32D65331"/>
    <w:rsid w:val="33294694"/>
    <w:rsid w:val="33D37BAE"/>
    <w:rsid w:val="348903AC"/>
    <w:rsid w:val="34AF1B39"/>
    <w:rsid w:val="351D22CD"/>
    <w:rsid w:val="353A67B3"/>
    <w:rsid w:val="36237339"/>
    <w:rsid w:val="3740352F"/>
    <w:rsid w:val="37797999"/>
    <w:rsid w:val="377F0D27"/>
    <w:rsid w:val="379C566A"/>
    <w:rsid w:val="38151BEF"/>
    <w:rsid w:val="38CA3CA0"/>
    <w:rsid w:val="38D44A9C"/>
    <w:rsid w:val="38EB186C"/>
    <w:rsid w:val="392C6905"/>
    <w:rsid w:val="3A855A60"/>
    <w:rsid w:val="3A881873"/>
    <w:rsid w:val="3ABA2A08"/>
    <w:rsid w:val="3AE25855"/>
    <w:rsid w:val="3B544EE9"/>
    <w:rsid w:val="3B9236C9"/>
    <w:rsid w:val="3BA57CC2"/>
    <w:rsid w:val="3BEA250E"/>
    <w:rsid w:val="3C2A47A2"/>
    <w:rsid w:val="3C7A1ABD"/>
    <w:rsid w:val="3CAF3A1F"/>
    <w:rsid w:val="3D264775"/>
    <w:rsid w:val="3D6A78CE"/>
    <w:rsid w:val="3DA923B0"/>
    <w:rsid w:val="3F2506B8"/>
    <w:rsid w:val="3F99535D"/>
    <w:rsid w:val="400F0795"/>
    <w:rsid w:val="40631D33"/>
    <w:rsid w:val="415D36F0"/>
    <w:rsid w:val="41DB4DAC"/>
    <w:rsid w:val="43210EE4"/>
    <w:rsid w:val="43BC3206"/>
    <w:rsid w:val="454D2BE4"/>
    <w:rsid w:val="45757F59"/>
    <w:rsid w:val="46F07155"/>
    <w:rsid w:val="477D265F"/>
    <w:rsid w:val="47882CFC"/>
    <w:rsid w:val="47A01CD3"/>
    <w:rsid w:val="48143460"/>
    <w:rsid w:val="490C453C"/>
    <w:rsid w:val="49D722FD"/>
    <w:rsid w:val="49FB5CEC"/>
    <w:rsid w:val="4A4D25BF"/>
    <w:rsid w:val="4B1658DF"/>
    <w:rsid w:val="4B7369E2"/>
    <w:rsid w:val="4C4B70F6"/>
    <w:rsid w:val="4C9870AD"/>
    <w:rsid w:val="4CC759FC"/>
    <w:rsid w:val="4CF8469C"/>
    <w:rsid w:val="4D511D2C"/>
    <w:rsid w:val="4ED904C3"/>
    <w:rsid w:val="4EF9289C"/>
    <w:rsid w:val="4FAA3D56"/>
    <w:rsid w:val="50D67DEE"/>
    <w:rsid w:val="50F71B45"/>
    <w:rsid w:val="510065DD"/>
    <w:rsid w:val="52132B32"/>
    <w:rsid w:val="52595FA5"/>
    <w:rsid w:val="52CA20B7"/>
    <w:rsid w:val="544F4CBC"/>
    <w:rsid w:val="54FE514F"/>
    <w:rsid w:val="55002002"/>
    <w:rsid w:val="552A00CC"/>
    <w:rsid w:val="560B2EBE"/>
    <w:rsid w:val="56694C24"/>
    <w:rsid w:val="58854E97"/>
    <w:rsid w:val="58A37045"/>
    <w:rsid w:val="592F09CD"/>
    <w:rsid w:val="598C23FD"/>
    <w:rsid w:val="59D733F8"/>
    <w:rsid w:val="5A614264"/>
    <w:rsid w:val="5B35798F"/>
    <w:rsid w:val="5B5714EF"/>
    <w:rsid w:val="5B8B6467"/>
    <w:rsid w:val="5C053504"/>
    <w:rsid w:val="5C135A88"/>
    <w:rsid w:val="5D0F42DE"/>
    <w:rsid w:val="5F9F3465"/>
    <w:rsid w:val="610F0176"/>
    <w:rsid w:val="618C1EE1"/>
    <w:rsid w:val="620F67EC"/>
    <w:rsid w:val="624872CB"/>
    <w:rsid w:val="63027221"/>
    <w:rsid w:val="63393BD9"/>
    <w:rsid w:val="64DF39DF"/>
    <w:rsid w:val="64E33DF4"/>
    <w:rsid w:val="651F6452"/>
    <w:rsid w:val="660E28E8"/>
    <w:rsid w:val="66E14363"/>
    <w:rsid w:val="67346042"/>
    <w:rsid w:val="67915D89"/>
    <w:rsid w:val="688D47A2"/>
    <w:rsid w:val="69BA3375"/>
    <w:rsid w:val="6B57678F"/>
    <w:rsid w:val="6BDC139D"/>
    <w:rsid w:val="6C2843DE"/>
    <w:rsid w:val="6C8A6534"/>
    <w:rsid w:val="6CC22541"/>
    <w:rsid w:val="6E2B3A5A"/>
    <w:rsid w:val="6F3F5A0D"/>
    <w:rsid w:val="6F55769C"/>
    <w:rsid w:val="6F6102D3"/>
    <w:rsid w:val="70862A5B"/>
    <w:rsid w:val="70E60877"/>
    <w:rsid w:val="71184C00"/>
    <w:rsid w:val="71827227"/>
    <w:rsid w:val="71A32941"/>
    <w:rsid w:val="71A52B5D"/>
    <w:rsid w:val="71D5685A"/>
    <w:rsid w:val="71E061E4"/>
    <w:rsid w:val="72894EB6"/>
    <w:rsid w:val="73722154"/>
    <w:rsid w:val="737E30C2"/>
    <w:rsid w:val="7419338E"/>
    <w:rsid w:val="755F2789"/>
    <w:rsid w:val="756E3266"/>
    <w:rsid w:val="77000E38"/>
    <w:rsid w:val="78D67AA0"/>
    <w:rsid w:val="79462E5D"/>
    <w:rsid w:val="79AC64CB"/>
    <w:rsid w:val="79C142AC"/>
    <w:rsid w:val="79C60AFE"/>
    <w:rsid w:val="79D8580B"/>
    <w:rsid w:val="7B0E6FCD"/>
    <w:rsid w:val="7BDE77DF"/>
    <w:rsid w:val="7C1475DC"/>
    <w:rsid w:val="7C6B04AB"/>
    <w:rsid w:val="7D3E0139"/>
    <w:rsid w:val="7DB13C90"/>
    <w:rsid w:val="7EB837CA"/>
    <w:rsid w:val="7EF9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widowControl w:val="0"/>
      <w:spacing w:before="260" w:after="260" w:line="412" w:lineRule="auto"/>
      <w:outlineLvl w:val="1"/>
    </w:pPr>
    <w:rPr>
      <w:rFonts w:eastAsia="黑体"/>
      <w:b/>
      <w:sz w:val="32"/>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5">
    <w:name w:val="Normal Indent"/>
    <w:basedOn w:val="1"/>
    <w:unhideWhenUsed/>
    <w:qFormat/>
    <w:uiPriority w:val="99"/>
    <w:pPr>
      <w:ind w:firstLine="420" w:firstLineChars="200"/>
    </w:pPr>
  </w:style>
  <w:style w:type="paragraph" w:styleId="6">
    <w:name w:val="annotation text"/>
    <w:basedOn w:val="1"/>
    <w:link w:val="28"/>
    <w:qFormat/>
    <w:uiPriority w:val="0"/>
  </w:style>
  <w:style w:type="paragraph" w:styleId="7">
    <w:name w:val="Body Text"/>
    <w:basedOn w:val="1"/>
    <w:semiHidden/>
    <w:qFormat/>
    <w:uiPriority w:val="0"/>
    <w:rPr>
      <w:rFonts w:ascii="宋体" w:hAnsi="宋体" w:eastAsia="宋体" w:cs="宋体"/>
      <w:sz w:val="31"/>
      <w:szCs w:val="31"/>
    </w:rPr>
  </w:style>
  <w:style w:type="paragraph" w:styleId="8">
    <w:name w:val="Body Text Indent"/>
    <w:basedOn w:val="1"/>
    <w:qFormat/>
    <w:uiPriority w:val="0"/>
    <w:pPr>
      <w:spacing w:after="120"/>
      <w:ind w:left="420" w:leftChars="200"/>
    </w:pPr>
    <w:rPr>
      <w:sz w:val="20"/>
      <w:szCs w:val="20"/>
    </w:rPr>
  </w:style>
  <w:style w:type="paragraph" w:styleId="9">
    <w:name w:val="toc 3"/>
    <w:basedOn w:val="1"/>
    <w:next w:val="1"/>
    <w:semiHidden/>
    <w:qFormat/>
    <w:uiPriority w:val="99"/>
    <w:pPr>
      <w:ind w:left="420"/>
    </w:pPr>
    <w:rPr>
      <w:i/>
      <w:iCs/>
      <w:sz w:val="20"/>
      <w:szCs w:val="20"/>
    </w:rPr>
  </w:style>
  <w:style w:type="paragraph" w:styleId="10">
    <w:name w:val="Balloon Text"/>
    <w:basedOn w:val="1"/>
    <w:link w:val="27"/>
    <w:qFormat/>
    <w:uiPriority w:val="0"/>
    <w:rPr>
      <w:rFonts w:ascii="Times New Roman" w:hAnsi="Times New Roman" w:cs="Times New Roman"/>
      <w:sz w:val="18"/>
      <w:szCs w:val="18"/>
    </w:rPr>
  </w:style>
  <w:style w:type="paragraph" w:styleId="11">
    <w:name w:val="footer"/>
    <w:basedOn w:val="1"/>
    <w:qFormat/>
    <w:uiPriority w:val="99"/>
    <w:pPr>
      <w:tabs>
        <w:tab w:val="center" w:pos="4153"/>
        <w:tab w:val="right" w:pos="8306"/>
      </w:tabs>
    </w:pPr>
    <w:rPr>
      <w:sz w:val="18"/>
      <w:szCs w:val="18"/>
    </w:rPr>
  </w:style>
  <w:style w:type="paragraph" w:styleId="12">
    <w:name w:val="header"/>
    <w:basedOn w:val="1"/>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qFormat/>
    <w:uiPriority w:val="99"/>
    <w:pPr>
      <w:spacing w:before="120" w:after="120"/>
    </w:pPr>
    <w:rPr>
      <w:b/>
      <w:bCs/>
      <w:caps/>
      <w:sz w:val="20"/>
      <w:szCs w:val="20"/>
    </w:rPr>
  </w:style>
  <w:style w:type="paragraph" w:styleId="14">
    <w:name w:val="toc 2"/>
    <w:basedOn w:val="1"/>
    <w:next w:val="1"/>
    <w:semiHidden/>
    <w:qFormat/>
    <w:uiPriority w:val="99"/>
    <w:pPr>
      <w:ind w:left="210"/>
    </w:pPr>
    <w:rPr>
      <w:smallCaps/>
      <w:sz w:val="20"/>
      <w:szCs w:val="20"/>
    </w:rPr>
  </w:style>
  <w:style w:type="paragraph" w:styleId="15">
    <w:name w:val="annotation subject"/>
    <w:basedOn w:val="6"/>
    <w:next w:val="6"/>
    <w:link w:val="29"/>
    <w:qFormat/>
    <w:uiPriority w:val="0"/>
    <w:rPr>
      <w:b/>
      <w:bCs/>
      <w:sz w:val="20"/>
      <w:szCs w:val="20"/>
    </w:rPr>
  </w:style>
  <w:style w:type="paragraph" w:styleId="16">
    <w:name w:val="Body Text First Indent"/>
    <w:basedOn w:val="7"/>
    <w:next w:val="7"/>
    <w:qFormat/>
    <w:uiPriority w:val="0"/>
    <w:pPr>
      <w:spacing w:line="312" w:lineRule="auto"/>
      <w:ind w:firstLine="420"/>
    </w:pPr>
    <w:rPr>
      <w:szCs w:val="24"/>
    </w:rPr>
  </w:style>
  <w:style w:type="paragraph" w:styleId="17">
    <w:name w:val="Body Text First Indent 2"/>
    <w:basedOn w:val="8"/>
    <w:unhideWhenUsed/>
    <w:qFormat/>
    <w:uiPriority w:val="0"/>
    <w:pPr>
      <w:ind w:firstLine="420" w:firstLineChars="200"/>
    </w:pPr>
    <w:rPr>
      <w:szCs w:val="22"/>
    </w:rPr>
  </w:style>
  <w:style w:type="character" w:styleId="20">
    <w:name w:val="Hyperlink"/>
    <w:qFormat/>
    <w:uiPriority w:val="99"/>
    <w:rPr>
      <w:color w:val="0000FF"/>
      <w:u w:val="single"/>
    </w:rPr>
  </w:style>
  <w:style w:type="character" w:styleId="21">
    <w:name w:val="annotation reference"/>
    <w:basedOn w:val="19"/>
    <w:qFormat/>
    <w:uiPriority w:val="0"/>
    <w:rPr>
      <w:sz w:val="16"/>
      <w:szCs w:val="16"/>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3">
    <w:name w:val="Table Normal1"/>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仿宋" w:hAnsi="仿宋" w:eastAsia="仿宋" w:cs="仿宋"/>
      <w:sz w:val="24"/>
      <w:szCs w:val="24"/>
    </w:rPr>
  </w:style>
  <w:style w:type="paragraph" w:customStyle="1" w:styleId="25">
    <w:name w:val="样式 宋体 行距: 1.5 倍行距"/>
    <w:basedOn w:val="1"/>
    <w:qFormat/>
    <w:uiPriority w:val="0"/>
    <w:pPr>
      <w:jc w:val="center"/>
    </w:pPr>
    <w:rPr>
      <w:b/>
    </w:rPr>
  </w:style>
  <w:style w:type="paragraph" w:customStyle="1" w:styleId="26">
    <w:name w:val="文二"/>
    <w:basedOn w:val="1"/>
    <w:qFormat/>
    <w:uiPriority w:val="0"/>
    <w:rPr>
      <w:rFonts w:ascii="宋体"/>
    </w:rPr>
  </w:style>
  <w:style w:type="character" w:customStyle="1" w:styleId="27">
    <w:name w:val="Balloon Text Char"/>
    <w:basedOn w:val="19"/>
    <w:link w:val="10"/>
    <w:qFormat/>
    <w:uiPriority w:val="0"/>
    <w:rPr>
      <w:rFonts w:eastAsia="Arial"/>
      <w:snapToGrid w:val="0"/>
      <w:color w:val="000000"/>
      <w:sz w:val="18"/>
      <w:szCs w:val="18"/>
      <w:lang w:val="en-US" w:eastAsia="en-US"/>
    </w:rPr>
  </w:style>
  <w:style w:type="character" w:customStyle="1" w:styleId="28">
    <w:name w:val="Comment Text Char"/>
    <w:basedOn w:val="19"/>
    <w:link w:val="6"/>
    <w:qFormat/>
    <w:uiPriority w:val="0"/>
    <w:rPr>
      <w:rFonts w:ascii="Arial" w:hAnsi="Arial" w:eastAsia="Arial" w:cs="Arial"/>
      <w:snapToGrid w:val="0"/>
      <w:color w:val="000000"/>
      <w:sz w:val="21"/>
      <w:szCs w:val="21"/>
      <w:lang w:val="en-US" w:eastAsia="en-US"/>
    </w:rPr>
  </w:style>
  <w:style w:type="character" w:customStyle="1" w:styleId="29">
    <w:name w:val="Comment Subject Char"/>
    <w:basedOn w:val="28"/>
    <w:link w:val="15"/>
    <w:qFormat/>
    <w:uiPriority w:val="0"/>
    <w:rPr>
      <w:rFonts w:ascii="Arial" w:hAnsi="Arial" w:eastAsia="Arial" w:cs="Arial"/>
      <w:b/>
      <w:bCs/>
      <w:snapToGrid w:val="0"/>
      <w:color w:val="000000"/>
      <w:sz w:val="21"/>
      <w:szCs w:val="21"/>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30146</Words>
  <Characters>31441</Characters>
  <Lines>399</Lines>
  <Paragraphs>112</Paragraphs>
  <TotalTime>0</TotalTime>
  <ScaleCrop>false</ScaleCrop>
  <LinksUpToDate>false</LinksUpToDate>
  <CharactersWithSpaces>32595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2025-01-09T03:57:00Z</dcterms:created>
  <dc:creator>aa</dc:creator>
  <cp:lastModifiedBy>lmy</cp:lastModifiedBy>
  <dcterms:modified xsi:type="dcterms:W3CDTF">2025-04-25T07:04:14Z</dcterms:modified>
  <dc:title>SF-2019-0206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2024-03-14T16:53:24Z</vt:filetime>
  </property>
  <property fmtid="{D5CDD505-2E9C-101B-9397-08002B2CF9AE}" pid="4" name="KSOProductBuildVer">
    <vt:lpwstr>2052-12.1.0.20305</vt:lpwstr>
  </property>
  <property fmtid="{D5CDD505-2E9C-101B-9397-08002B2CF9AE}" pid="5" name="ICV">
    <vt:lpwstr>F92D2627F06D421FAE9768F11C7DBD02_13</vt:lpwstr>
  </property>
  <property fmtid="{D5CDD505-2E9C-101B-9397-08002B2CF9AE}" pid="6" name="KSOTemplateDocerSaveRecord">
    <vt:lpwstr>eyJoZGlkIjoiMzEwNTM5NzYwMDRjMzkwZTVkZjY2ODkwMGIxNGU0OTUiLCJ1c2VySWQiOiIzMTIwNDkwMTEifQ==</vt:lpwstr>
  </property>
</Properties>
</file>