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847BA">
      <w:pPr>
        <w:spacing w:line="360" w:lineRule="auto"/>
        <w:jc w:val="center"/>
        <w:rPr>
          <w:rFonts w:hint="eastAsia" w:ascii="宋体" w:hAnsi="宋体" w:cs="宋体"/>
          <w:b/>
          <w:color w:val="auto"/>
          <w:kern w:val="0"/>
          <w:sz w:val="48"/>
          <w:szCs w:val="48"/>
          <w:highlight w:val="none"/>
        </w:rPr>
      </w:pPr>
      <w:bookmarkStart w:id="0" w:name="_Hlk53133821"/>
    </w:p>
    <w:bookmarkEnd w:id="0"/>
    <w:p w14:paraId="0BC48191">
      <w:pPr>
        <w:spacing w:line="360" w:lineRule="auto"/>
        <w:jc w:val="center"/>
        <w:rPr>
          <w:rFonts w:hint="eastAsia" w:ascii="宋体" w:hAnsi="宋体" w:cs="宋体"/>
          <w:b/>
          <w:color w:val="auto"/>
          <w:kern w:val="0"/>
          <w:sz w:val="48"/>
          <w:szCs w:val="48"/>
          <w:highlight w:val="none"/>
        </w:rPr>
      </w:pPr>
      <w:r>
        <w:rPr>
          <w:rFonts w:hint="eastAsia" w:ascii="宋体" w:hAnsi="宋体" w:cs="宋体"/>
          <w:b/>
          <w:color w:val="auto"/>
          <w:kern w:val="0"/>
          <w:sz w:val="48"/>
          <w:szCs w:val="48"/>
          <w:highlight w:val="none"/>
        </w:rPr>
        <w:t>广州科学城轨道交通产业发展中心项目</w:t>
      </w:r>
    </w:p>
    <w:p w14:paraId="0CAB5DBD">
      <w:pPr>
        <w:spacing w:line="360" w:lineRule="auto"/>
        <w:jc w:val="center"/>
        <w:rPr>
          <w:rFonts w:hint="eastAsia" w:ascii="宋体" w:hAnsi="宋体" w:cs="宋体"/>
          <w:b/>
          <w:color w:val="auto"/>
          <w:kern w:val="0"/>
          <w:sz w:val="48"/>
          <w:szCs w:val="48"/>
          <w:highlight w:val="none"/>
        </w:rPr>
      </w:pPr>
      <w:r>
        <w:rPr>
          <w:rFonts w:hint="eastAsia" w:ascii="宋体" w:hAnsi="宋体" w:cs="宋体"/>
          <w:b/>
          <w:color w:val="auto"/>
          <w:kern w:val="0"/>
          <w:sz w:val="48"/>
          <w:szCs w:val="48"/>
          <w:highlight w:val="none"/>
        </w:rPr>
        <w:t>施工总承包</w:t>
      </w:r>
    </w:p>
    <w:p w14:paraId="2537C8C5">
      <w:pPr>
        <w:spacing w:line="360" w:lineRule="auto"/>
        <w:jc w:val="center"/>
        <w:rPr>
          <w:rFonts w:hint="eastAsia" w:ascii="宋体" w:hAnsi="宋体" w:cs="宋体"/>
          <w:color w:val="auto"/>
          <w:sz w:val="36"/>
          <w:szCs w:val="36"/>
          <w:highlight w:val="none"/>
          <w:u w:val="single"/>
        </w:rPr>
      </w:pPr>
    </w:p>
    <w:p w14:paraId="681DEE61">
      <w:pPr>
        <w:pStyle w:val="21"/>
        <w:spacing w:line="360" w:lineRule="auto"/>
        <w:ind w:left="420" w:firstLine="720"/>
        <w:jc w:val="center"/>
        <w:rPr>
          <w:rFonts w:hint="eastAsia" w:ascii="宋体" w:hAnsi="宋体" w:cs="宋体"/>
          <w:color w:val="auto"/>
          <w:sz w:val="36"/>
          <w:szCs w:val="36"/>
          <w:highlight w:val="none"/>
          <w:u w:val="single"/>
          <w:lang w:eastAsia="zh-CN"/>
        </w:rPr>
      </w:pPr>
    </w:p>
    <w:p w14:paraId="5F4EDDA5">
      <w:pPr>
        <w:pStyle w:val="21"/>
        <w:spacing w:line="360" w:lineRule="auto"/>
        <w:ind w:left="420" w:firstLine="720"/>
        <w:jc w:val="center"/>
        <w:rPr>
          <w:rFonts w:hint="eastAsia" w:ascii="宋体" w:hAnsi="宋体" w:cs="宋体"/>
          <w:color w:val="auto"/>
          <w:sz w:val="36"/>
          <w:szCs w:val="36"/>
          <w:highlight w:val="none"/>
          <w:u w:val="single"/>
          <w:lang w:eastAsia="zh-CN"/>
        </w:rPr>
      </w:pPr>
    </w:p>
    <w:p w14:paraId="6F99FE0C">
      <w:pPr>
        <w:pStyle w:val="21"/>
        <w:spacing w:line="360" w:lineRule="auto"/>
        <w:ind w:left="420" w:firstLine="420"/>
        <w:rPr>
          <w:rFonts w:hint="eastAsia" w:ascii="宋体" w:hAnsi="宋体" w:cs="宋体"/>
          <w:color w:val="auto"/>
          <w:highlight w:val="none"/>
          <w:lang w:eastAsia="zh-CN"/>
        </w:rPr>
      </w:pPr>
    </w:p>
    <w:p w14:paraId="01B3FCE9">
      <w:pPr>
        <w:spacing w:line="360" w:lineRule="auto"/>
        <w:jc w:val="center"/>
        <w:rPr>
          <w:rFonts w:hint="eastAsia" w:ascii="宋体" w:hAnsi="宋体" w:cs="宋体"/>
          <w:b/>
          <w:bCs/>
          <w:color w:val="auto"/>
          <w:spacing w:val="26"/>
          <w:sz w:val="110"/>
          <w:szCs w:val="110"/>
          <w:highlight w:val="none"/>
        </w:rPr>
      </w:pPr>
    </w:p>
    <w:p w14:paraId="70FA3582">
      <w:pPr>
        <w:spacing w:line="360" w:lineRule="auto"/>
        <w:jc w:val="center"/>
        <w:rPr>
          <w:rFonts w:hint="eastAsia"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14:paraId="49E3A547">
      <w:pPr>
        <w:spacing w:line="360" w:lineRule="auto"/>
        <w:jc w:val="center"/>
        <w:rPr>
          <w:rFonts w:hint="eastAsia" w:ascii="宋体" w:hAnsi="宋体" w:cs="宋体"/>
          <w:color w:val="auto"/>
          <w:sz w:val="32"/>
          <w:szCs w:val="32"/>
          <w:highlight w:val="none"/>
        </w:rPr>
      </w:pPr>
    </w:p>
    <w:p w14:paraId="3D4878AC">
      <w:pPr>
        <w:spacing w:line="360" w:lineRule="auto"/>
        <w:ind w:firstLine="2560" w:firstLineChars="800"/>
        <w:jc w:val="center"/>
        <w:rPr>
          <w:rFonts w:hint="eastAsia" w:ascii="宋体" w:hAnsi="宋体" w:cs="宋体"/>
          <w:color w:val="auto"/>
          <w:sz w:val="32"/>
          <w:szCs w:val="32"/>
          <w:highlight w:val="none"/>
        </w:rPr>
      </w:pPr>
    </w:p>
    <w:p w14:paraId="204A3D32">
      <w:pPr>
        <w:spacing w:line="360" w:lineRule="auto"/>
        <w:jc w:val="center"/>
        <w:rPr>
          <w:rFonts w:hint="eastAsia" w:ascii="宋体" w:hAnsi="宋体" w:cs="宋体"/>
          <w:color w:val="auto"/>
          <w:sz w:val="30"/>
          <w:szCs w:val="30"/>
          <w:highlight w:val="none"/>
        </w:rPr>
      </w:pPr>
    </w:p>
    <w:p w14:paraId="5B1A716B">
      <w:pPr>
        <w:spacing w:line="360" w:lineRule="auto"/>
        <w:ind w:firstLine="1200" w:firstLineChars="400"/>
        <w:jc w:val="center"/>
        <w:rPr>
          <w:rFonts w:hint="eastAsia" w:ascii="宋体" w:hAnsi="宋体" w:cs="宋体"/>
          <w:color w:val="auto"/>
          <w:sz w:val="30"/>
          <w:szCs w:val="30"/>
          <w:highlight w:val="none"/>
        </w:rPr>
      </w:pPr>
    </w:p>
    <w:p w14:paraId="207DEFF0">
      <w:pPr>
        <w:pStyle w:val="21"/>
        <w:spacing w:line="360" w:lineRule="auto"/>
        <w:ind w:left="420" w:firstLine="420"/>
        <w:jc w:val="center"/>
        <w:rPr>
          <w:rFonts w:hint="eastAsia" w:ascii="宋体" w:hAnsi="宋体" w:cs="宋体"/>
          <w:color w:val="auto"/>
          <w:highlight w:val="none"/>
          <w:lang w:eastAsia="zh-CN"/>
        </w:rPr>
      </w:pPr>
    </w:p>
    <w:p w14:paraId="1A6A8A67">
      <w:pPr>
        <w:spacing w:line="360" w:lineRule="auto"/>
        <w:jc w:val="center"/>
        <w:rPr>
          <w:rFonts w:hint="eastAsia" w:ascii="宋体" w:hAnsi="宋体" w:cs="宋体"/>
          <w:color w:val="auto"/>
          <w:spacing w:val="-2"/>
          <w:sz w:val="30"/>
          <w:szCs w:val="30"/>
          <w:highlight w:val="none"/>
        </w:rPr>
      </w:pPr>
    </w:p>
    <w:p w14:paraId="044C5E73">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招标单位：广州穗泰交通产业发展有限公司</w:t>
      </w:r>
    </w:p>
    <w:p w14:paraId="00D00AC4">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招标代理单位：广州筑正工程建设管理有限公司</w:t>
      </w:r>
    </w:p>
    <w:p w14:paraId="4839C264">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日期：2025年</w:t>
      </w:r>
      <w:r>
        <w:rPr>
          <w:rFonts w:hint="eastAsia" w:ascii="宋体" w:hAnsi="宋体" w:cs="宋体"/>
          <w:b/>
          <w:bCs/>
          <w:color w:val="auto"/>
          <w:spacing w:val="-2"/>
          <w:sz w:val="30"/>
          <w:szCs w:val="30"/>
          <w:highlight w:val="none"/>
          <w:lang w:val="en-US" w:eastAsia="zh-CN"/>
        </w:rPr>
        <w:t>4</w:t>
      </w:r>
      <w:r>
        <w:rPr>
          <w:rFonts w:hint="eastAsia" w:ascii="宋体" w:hAnsi="宋体" w:cs="宋体"/>
          <w:b/>
          <w:bCs/>
          <w:color w:val="auto"/>
          <w:spacing w:val="-2"/>
          <w:sz w:val="30"/>
          <w:szCs w:val="30"/>
          <w:highlight w:val="none"/>
        </w:rPr>
        <w:t>月</w:t>
      </w:r>
    </w:p>
    <w:p w14:paraId="6AE35137">
      <w:pPr>
        <w:spacing w:line="360" w:lineRule="auto"/>
        <w:jc w:val="center"/>
        <w:rPr>
          <w:rStyle w:val="25"/>
          <w:rFonts w:hint="eastAsia" w:ascii="宋体" w:hAnsi="宋体" w:cs="宋体"/>
          <w:b/>
          <w:bCs/>
          <w:color w:val="auto"/>
          <w:sz w:val="28"/>
          <w:szCs w:val="28"/>
          <w:highlight w:val="none"/>
          <w:u w:val="none"/>
        </w:rPr>
      </w:pPr>
    </w:p>
    <w:p w14:paraId="2DAF9CF3">
      <w:pPr>
        <w:spacing w:line="360" w:lineRule="auto"/>
        <w:jc w:val="center"/>
        <w:rPr>
          <w:rFonts w:hint="eastAsia" w:ascii="宋体" w:hAnsi="宋体" w:cs="宋体"/>
          <w:b/>
          <w:caps/>
          <w:color w:val="auto"/>
          <w:kern w:val="0"/>
          <w:sz w:val="44"/>
          <w:szCs w:val="44"/>
          <w:highlight w:val="none"/>
        </w:rPr>
      </w:pPr>
      <w:r>
        <w:rPr>
          <w:rStyle w:val="25"/>
          <w:rFonts w:hint="eastAsia" w:ascii="宋体" w:hAnsi="宋体" w:cs="宋体"/>
          <w:b/>
          <w:bCs/>
          <w:color w:val="auto"/>
          <w:sz w:val="44"/>
          <w:szCs w:val="44"/>
          <w:highlight w:val="none"/>
          <w:u w:val="none"/>
        </w:rPr>
        <w:t>目  录</w:t>
      </w:r>
    </w:p>
    <w:p w14:paraId="4524D465">
      <w:pPr>
        <w:pStyle w:val="16"/>
        <w:tabs>
          <w:tab w:val="right" w:leader="dot" w:pos="9746"/>
          <w:tab w:val="clear" w:pos="9060"/>
        </w:tabs>
        <w:rPr>
          <w:rFonts w:hint="eastAsia"/>
          <w:color w:val="auto"/>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"1-3" \h \z \u </w:instrText>
      </w:r>
      <w:r>
        <w:rPr>
          <w:rFonts w:hint="eastAsia"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"_Toc8684" </w:instrText>
      </w:r>
      <w:r>
        <w:rPr>
          <w:color w:val="auto"/>
          <w:highlight w:val="none"/>
        </w:rPr>
        <w:fldChar w:fldCharType="separate"/>
      </w:r>
      <w:r>
        <w:rPr>
          <w:rFonts w:hint="eastAsia" w:cs="宋体"/>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_Toc8684 \h </w:instrText>
      </w:r>
      <w:r>
        <w:rPr>
          <w:color w:val="auto"/>
          <w:highlight w:val="none"/>
        </w:rPr>
        <w:fldChar w:fldCharType="separate"/>
      </w:r>
      <w:r>
        <w:rPr>
          <w:rFonts w:hint="eastAsia"/>
          <w:color w:val="auto"/>
          <w:highlight w:val="none"/>
        </w:rPr>
        <w:t>3</w:t>
      </w:r>
      <w:r>
        <w:rPr>
          <w:color w:val="auto"/>
          <w:highlight w:val="none"/>
        </w:rPr>
        <w:fldChar w:fldCharType="end"/>
      </w:r>
      <w:r>
        <w:rPr>
          <w:color w:val="auto"/>
          <w:highlight w:val="none"/>
        </w:rPr>
        <w:fldChar w:fldCharType="end"/>
      </w:r>
    </w:p>
    <w:p w14:paraId="30F4F06C">
      <w:pPr>
        <w:pStyle w:val="17"/>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"_Toc14709" </w:instrText>
      </w:r>
      <w:r>
        <w:rPr>
          <w:color w:val="auto"/>
          <w:highlight w:val="none"/>
        </w:rPr>
        <w:fldChar w:fldCharType="separate"/>
      </w:r>
      <w:r>
        <w:rPr>
          <w:rFonts w:hint="eastAsia" w:ascii="宋体" w:hAnsi="宋体" w:cs="宋体"/>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_Toc14709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FB82EE2">
      <w:pPr>
        <w:pStyle w:val="17"/>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"_Toc9161" </w:instrText>
      </w:r>
      <w:r>
        <w:rPr>
          <w:color w:val="auto"/>
          <w:highlight w:val="none"/>
        </w:rPr>
        <w:fldChar w:fldCharType="separate"/>
      </w:r>
      <w:r>
        <w:rPr>
          <w:rFonts w:hint="eastAsia" w:ascii="宋体" w:hAnsi="宋体" w:cs="宋体"/>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_Toc9161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7EB712A">
      <w:pPr>
        <w:pStyle w:val="17"/>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"_Toc16625" </w:instrText>
      </w:r>
      <w:r>
        <w:rPr>
          <w:color w:val="auto"/>
          <w:highlight w:val="none"/>
        </w:rPr>
        <w:fldChar w:fldCharType="separate"/>
      </w:r>
      <w:r>
        <w:rPr>
          <w:rFonts w:hint="eastAsia" w:ascii="宋体" w:hAnsi="宋体" w:cs="宋体"/>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_Toc16625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E6122A9">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"_Toc18496" </w:instrText>
      </w:r>
      <w:r>
        <w:rPr>
          <w:color w:val="auto"/>
          <w:highlight w:val="none"/>
        </w:rPr>
        <w:fldChar w:fldCharType="separate"/>
      </w:r>
      <w:r>
        <w:rPr>
          <w:rFonts w:hint="eastAsia" w:cs="宋体"/>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_Toc18496 \h </w:instrText>
      </w:r>
      <w:r>
        <w:rPr>
          <w:color w:val="auto"/>
          <w:highlight w:val="none"/>
        </w:rPr>
        <w:fldChar w:fldCharType="separate"/>
      </w:r>
      <w:r>
        <w:rPr>
          <w:rFonts w:hint="eastAsia"/>
          <w:color w:val="auto"/>
          <w:highlight w:val="none"/>
        </w:rPr>
        <w:t>44</w:t>
      </w:r>
      <w:r>
        <w:rPr>
          <w:color w:val="auto"/>
          <w:highlight w:val="none"/>
        </w:rPr>
        <w:fldChar w:fldCharType="end"/>
      </w:r>
      <w:r>
        <w:rPr>
          <w:color w:val="auto"/>
          <w:highlight w:val="none"/>
        </w:rPr>
        <w:fldChar w:fldCharType="end"/>
      </w:r>
    </w:p>
    <w:p w14:paraId="2F7B9565">
      <w:pPr>
        <w:pStyle w:val="17"/>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ascii="宋体" w:hAnsi="宋体" w:cs="宋体"/>
          <w:color w:val="auto"/>
          <w:szCs w:val="28"/>
          <w:highlight w:val="none"/>
        </w:rPr>
        <w:t>一、</w:t>
      </w:r>
      <w:r>
        <w:rPr>
          <w:rFonts w:hint="eastAsia" w:ascii="宋体" w:hAnsi="宋体" w:cs="宋体"/>
          <w:color w:val="auto"/>
          <w:highlight w:val="none"/>
        </w:rPr>
        <w:t>开标、评标及定标办法修改表</w:t>
      </w:r>
      <w:r>
        <w:rPr>
          <w:color w:val="auto"/>
          <w:highlight w:val="none"/>
        </w:rPr>
        <w:tab/>
      </w:r>
      <w:r>
        <w:rPr>
          <w:color w:val="auto"/>
          <w:highlight w:val="none"/>
        </w:rPr>
        <w:fldChar w:fldCharType="begin"/>
      </w:r>
      <w:r>
        <w:rPr>
          <w:color w:val="auto"/>
          <w:highlight w:val="none"/>
        </w:rPr>
        <w:instrText xml:space="preserve"> PAGEREF _Toc31854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331F2207">
      <w:pPr>
        <w:pStyle w:val="17"/>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"_Toc3650" </w:instrText>
      </w:r>
      <w:r>
        <w:rPr>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color w:val="auto"/>
          <w:highlight w:val="none"/>
        </w:rPr>
        <w:tab/>
      </w:r>
      <w:r>
        <w:rPr>
          <w:color w:val="auto"/>
          <w:highlight w:val="none"/>
        </w:rPr>
        <w:fldChar w:fldCharType="begin"/>
      </w:r>
      <w:r>
        <w:rPr>
          <w:color w:val="auto"/>
          <w:highlight w:val="none"/>
        </w:rPr>
        <w:instrText xml:space="preserve"> PAGEREF _Toc3650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C693451">
      <w:pPr>
        <w:pStyle w:val="11"/>
        <w:tabs>
          <w:tab w:val="right" w:leader="dot" w:pos="9746"/>
        </w:tabs>
        <w:ind w:left="840"/>
        <w:rPr>
          <w:color w:val="auto"/>
          <w:highlight w:val="none"/>
        </w:rPr>
      </w:pPr>
      <w:r>
        <w:rPr>
          <w:color w:val="auto"/>
          <w:highlight w:val="none"/>
        </w:rPr>
        <w:fldChar w:fldCharType="begin"/>
      </w:r>
      <w:r>
        <w:rPr>
          <w:color w:val="auto"/>
          <w:highlight w:val="none"/>
        </w:rPr>
        <w:instrText xml:space="preserve"> HYPERLINK \l "_Toc26526" </w:instrText>
      </w:r>
      <w:r>
        <w:rPr>
          <w:color w:val="auto"/>
          <w:highlight w:val="none"/>
        </w:rPr>
        <w:fldChar w:fldCharType="separate"/>
      </w:r>
      <w:r>
        <w:rPr>
          <w:rFonts w:hint="eastAsia" w:ascii="宋体" w:hAnsi="宋体" w:cs="宋体"/>
          <w:color w:val="auto"/>
          <w:kern w:val="0"/>
          <w:szCs w:val="24"/>
          <w:highlight w:val="none"/>
        </w:rPr>
        <w:t>（一）总则</w:t>
      </w:r>
      <w:r>
        <w:rPr>
          <w:color w:val="auto"/>
          <w:highlight w:val="none"/>
        </w:rPr>
        <w:tab/>
      </w:r>
      <w:r>
        <w:rPr>
          <w:color w:val="auto"/>
          <w:highlight w:val="none"/>
        </w:rPr>
        <w:fldChar w:fldCharType="begin"/>
      </w:r>
      <w:r>
        <w:rPr>
          <w:color w:val="auto"/>
          <w:highlight w:val="none"/>
        </w:rPr>
        <w:instrText xml:space="preserve"> PAGEREF _Toc26526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7B08F617">
      <w:pPr>
        <w:pStyle w:val="11"/>
        <w:tabs>
          <w:tab w:val="right" w:leader="dot" w:pos="9746"/>
        </w:tabs>
        <w:ind w:left="840"/>
        <w:rPr>
          <w:color w:val="auto"/>
          <w:highlight w:val="none"/>
        </w:rPr>
      </w:pPr>
      <w:r>
        <w:rPr>
          <w:color w:val="auto"/>
          <w:highlight w:val="none"/>
        </w:rPr>
        <w:fldChar w:fldCharType="begin"/>
      </w:r>
      <w:r>
        <w:rPr>
          <w:color w:val="auto"/>
          <w:highlight w:val="none"/>
        </w:rPr>
        <w:instrText xml:space="preserve"> HYPERLINK \l "_Toc8499" </w:instrText>
      </w:r>
      <w:r>
        <w:rPr>
          <w:color w:val="auto"/>
          <w:highlight w:val="none"/>
        </w:rPr>
        <w:fldChar w:fldCharType="separate"/>
      </w:r>
      <w:r>
        <w:rPr>
          <w:rFonts w:hint="eastAsia" w:ascii="宋体" w:hAnsi="宋体" w:cs="宋体"/>
          <w:color w:val="auto"/>
          <w:kern w:val="0"/>
          <w:szCs w:val="24"/>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_Toc8499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21D5DB6D">
      <w:pPr>
        <w:pStyle w:val="11"/>
        <w:tabs>
          <w:tab w:val="right" w:leader="dot" w:pos="9746"/>
        </w:tabs>
        <w:ind w:left="840"/>
        <w:rPr>
          <w:color w:val="auto"/>
          <w:highlight w:val="none"/>
        </w:rPr>
      </w:pPr>
      <w:r>
        <w:rPr>
          <w:color w:val="auto"/>
          <w:highlight w:val="none"/>
        </w:rPr>
        <w:fldChar w:fldCharType="begin"/>
      </w:r>
      <w:r>
        <w:rPr>
          <w:color w:val="auto"/>
          <w:highlight w:val="none"/>
        </w:rPr>
        <w:instrText xml:space="preserve"> HYPERLINK \l "_Toc3298" </w:instrText>
      </w:r>
      <w:r>
        <w:rPr>
          <w:color w:val="auto"/>
          <w:highlight w:val="none"/>
        </w:rPr>
        <w:fldChar w:fldCharType="separate"/>
      </w:r>
      <w:r>
        <w:rPr>
          <w:rFonts w:hint="eastAsia" w:ascii="宋体" w:hAnsi="宋体" w:cs="宋体"/>
          <w:color w:val="auto"/>
          <w:kern w:val="0"/>
          <w:szCs w:val="27"/>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_Toc3298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244F9CDF">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"_Toc26724" </w:instrText>
      </w:r>
      <w:r>
        <w:rPr>
          <w:color w:val="auto"/>
          <w:highlight w:val="none"/>
        </w:rPr>
        <w:fldChar w:fldCharType="separate"/>
      </w:r>
      <w:r>
        <w:rPr>
          <w:rFonts w:hint="eastAsia" w:cs="宋体"/>
          <w:bCs/>
          <w:color w:val="auto"/>
          <w:kern w:val="44"/>
          <w:szCs w:val="28"/>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_Toc26724 \h </w:instrText>
      </w:r>
      <w:r>
        <w:rPr>
          <w:color w:val="auto"/>
          <w:highlight w:val="none"/>
        </w:rPr>
        <w:fldChar w:fldCharType="separate"/>
      </w:r>
      <w:r>
        <w:rPr>
          <w:rFonts w:hint="eastAsia"/>
          <w:color w:val="auto"/>
          <w:highlight w:val="none"/>
        </w:rPr>
        <w:t>81</w:t>
      </w:r>
      <w:r>
        <w:rPr>
          <w:color w:val="auto"/>
          <w:highlight w:val="none"/>
        </w:rPr>
        <w:fldChar w:fldCharType="end"/>
      </w:r>
      <w:r>
        <w:rPr>
          <w:color w:val="auto"/>
          <w:highlight w:val="none"/>
        </w:rPr>
        <w:fldChar w:fldCharType="end"/>
      </w:r>
    </w:p>
    <w:p w14:paraId="1D41DA4D">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"_Toc15926" </w:instrText>
      </w:r>
      <w:r>
        <w:rPr>
          <w:color w:val="auto"/>
          <w:highlight w:val="none"/>
        </w:rPr>
        <w:fldChar w:fldCharType="separate"/>
      </w:r>
      <w:r>
        <w:rPr>
          <w:rFonts w:hint="eastAsia" w:cs="宋体"/>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_Toc15926 \h </w:instrText>
      </w:r>
      <w:r>
        <w:rPr>
          <w:color w:val="auto"/>
          <w:highlight w:val="none"/>
        </w:rPr>
        <w:fldChar w:fldCharType="separate"/>
      </w:r>
      <w:r>
        <w:rPr>
          <w:rFonts w:hint="eastAsia"/>
          <w:color w:val="auto"/>
          <w:highlight w:val="none"/>
        </w:rPr>
        <w:t>82</w:t>
      </w:r>
      <w:r>
        <w:rPr>
          <w:color w:val="auto"/>
          <w:highlight w:val="none"/>
        </w:rPr>
        <w:fldChar w:fldCharType="end"/>
      </w:r>
      <w:r>
        <w:rPr>
          <w:color w:val="auto"/>
          <w:highlight w:val="none"/>
        </w:rPr>
        <w:fldChar w:fldCharType="end"/>
      </w:r>
    </w:p>
    <w:p w14:paraId="026073CC">
      <w:pPr>
        <w:pStyle w:val="17"/>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"_Toc14864" </w:instrText>
      </w:r>
      <w:r>
        <w:rPr>
          <w:color w:val="auto"/>
          <w:highlight w:val="none"/>
        </w:rPr>
        <w:fldChar w:fldCharType="separate"/>
      </w:r>
      <w:r>
        <w:rPr>
          <w:rFonts w:hint="eastAsia" w:ascii="宋体" w:hAnsi="宋体" w:cs="宋体"/>
          <w:color w:val="auto"/>
          <w:highlight w:val="none"/>
        </w:rPr>
        <w:t>一、技术标投标文件格式</w:t>
      </w:r>
      <w:r>
        <w:rPr>
          <w:color w:val="auto"/>
          <w:highlight w:val="none"/>
        </w:rPr>
        <w:tab/>
      </w:r>
      <w:r>
        <w:rPr>
          <w:color w:val="auto"/>
          <w:highlight w:val="none"/>
        </w:rPr>
        <w:fldChar w:fldCharType="begin"/>
      </w:r>
      <w:r>
        <w:rPr>
          <w:color w:val="auto"/>
          <w:highlight w:val="none"/>
        </w:rPr>
        <w:instrText xml:space="preserve"> PAGEREF _Toc14864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494718F3">
      <w:pPr>
        <w:pStyle w:val="17"/>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"_Toc2430" </w:instrText>
      </w:r>
      <w:r>
        <w:rPr>
          <w:color w:val="auto"/>
          <w:highlight w:val="none"/>
        </w:rPr>
        <w:fldChar w:fldCharType="separate"/>
      </w:r>
      <w:r>
        <w:rPr>
          <w:rFonts w:hint="eastAsia" w:ascii="宋体" w:hAnsi="宋体" w:cs="宋体"/>
          <w:color w:val="auto"/>
          <w:highlight w:val="none"/>
        </w:rPr>
        <w:t>二、经济标投标文件格式</w:t>
      </w:r>
      <w:r>
        <w:rPr>
          <w:color w:val="auto"/>
          <w:highlight w:val="none"/>
        </w:rPr>
        <w:tab/>
      </w:r>
      <w:r>
        <w:rPr>
          <w:color w:val="auto"/>
          <w:highlight w:val="none"/>
        </w:rPr>
        <w:fldChar w:fldCharType="begin"/>
      </w:r>
      <w:r>
        <w:rPr>
          <w:color w:val="auto"/>
          <w:highlight w:val="none"/>
        </w:rPr>
        <w:instrText xml:space="preserve"> PAGEREF _Toc2430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4794F2D4">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"_Toc24951" </w:instrText>
      </w:r>
      <w:r>
        <w:rPr>
          <w:color w:val="auto"/>
          <w:highlight w:val="none"/>
        </w:rPr>
        <w:fldChar w:fldCharType="separate"/>
      </w:r>
      <w:r>
        <w:rPr>
          <w:rFonts w:hint="eastAsia" w:cs="宋体"/>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_Toc24951 \h </w:instrText>
      </w:r>
      <w:r>
        <w:rPr>
          <w:color w:val="auto"/>
          <w:highlight w:val="none"/>
        </w:rPr>
        <w:fldChar w:fldCharType="separate"/>
      </w:r>
      <w:r>
        <w:rPr>
          <w:rFonts w:hint="eastAsia"/>
          <w:color w:val="auto"/>
          <w:highlight w:val="none"/>
        </w:rPr>
        <w:t>101</w:t>
      </w:r>
      <w:r>
        <w:rPr>
          <w:color w:val="auto"/>
          <w:highlight w:val="none"/>
        </w:rPr>
        <w:fldChar w:fldCharType="end"/>
      </w:r>
      <w:r>
        <w:rPr>
          <w:color w:val="auto"/>
          <w:highlight w:val="none"/>
        </w:rPr>
        <w:fldChar w:fldCharType="end"/>
      </w:r>
    </w:p>
    <w:p w14:paraId="3834839C">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"_Toc6454" </w:instrText>
      </w:r>
      <w:r>
        <w:rPr>
          <w:color w:val="auto"/>
          <w:highlight w:val="none"/>
        </w:rPr>
        <w:fldChar w:fldCharType="separate"/>
      </w:r>
      <w:r>
        <w:rPr>
          <w:rFonts w:hint="eastAsia" w:cs="宋体"/>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_Toc6454 \h </w:instrText>
      </w:r>
      <w:r>
        <w:rPr>
          <w:color w:val="auto"/>
          <w:highlight w:val="none"/>
        </w:rPr>
        <w:fldChar w:fldCharType="separate"/>
      </w:r>
      <w:r>
        <w:rPr>
          <w:rFonts w:hint="eastAsia"/>
          <w:color w:val="auto"/>
          <w:highlight w:val="none"/>
        </w:rPr>
        <w:t>104</w:t>
      </w:r>
      <w:r>
        <w:rPr>
          <w:color w:val="auto"/>
          <w:highlight w:val="none"/>
        </w:rPr>
        <w:fldChar w:fldCharType="end"/>
      </w:r>
      <w:r>
        <w:rPr>
          <w:color w:val="auto"/>
          <w:highlight w:val="none"/>
        </w:rPr>
        <w:fldChar w:fldCharType="end"/>
      </w:r>
    </w:p>
    <w:p w14:paraId="51A9D448">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"_Toc15274" </w:instrText>
      </w:r>
      <w:r>
        <w:rPr>
          <w:color w:val="auto"/>
          <w:highlight w:val="none"/>
        </w:rPr>
        <w:fldChar w:fldCharType="separate"/>
      </w:r>
      <w:r>
        <w:rPr>
          <w:rFonts w:hint="eastAsia" w:cs="宋体"/>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_Toc15274 \h </w:instrText>
      </w:r>
      <w:r>
        <w:rPr>
          <w:color w:val="auto"/>
          <w:highlight w:val="none"/>
        </w:rPr>
        <w:fldChar w:fldCharType="separate"/>
      </w:r>
      <w:r>
        <w:rPr>
          <w:rFonts w:hint="eastAsia"/>
          <w:color w:val="auto"/>
          <w:highlight w:val="none"/>
        </w:rPr>
        <w:t>105</w:t>
      </w:r>
      <w:r>
        <w:rPr>
          <w:color w:val="auto"/>
          <w:highlight w:val="none"/>
        </w:rPr>
        <w:fldChar w:fldCharType="end"/>
      </w:r>
      <w:r>
        <w:rPr>
          <w:color w:val="auto"/>
          <w:highlight w:val="none"/>
        </w:rPr>
        <w:fldChar w:fldCharType="end"/>
      </w:r>
    </w:p>
    <w:p w14:paraId="7B41BB79">
      <w:pPr>
        <w:pStyle w:val="16"/>
        <w:tabs>
          <w:tab w:val="right" w:leader="dot" w:pos="9746"/>
          <w:tab w:val="clear" w:pos="9060"/>
        </w:tabs>
        <w:rPr>
          <w:rFonts w:hint="eastAsia"/>
          <w:color w:val="auto"/>
          <w:highlight w:val="none"/>
        </w:rPr>
      </w:pPr>
      <w:r>
        <w:rPr>
          <w:color w:val="auto"/>
          <w:highlight w:val="none"/>
        </w:rPr>
        <w:fldChar w:fldCharType="begin"/>
      </w:r>
      <w:r>
        <w:rPr>
          <w:color w:val="auto"/>
          <w:highlight w:val="none"/>
        </w:rPr>
        <w:instrText xml:space="preserve"> HYPERLINK \l "_Toc7467" </w:instrText>
      </w:r>
      <w:r>
        <w:rPr>
          <w:color w:val="auto"/>
          <w:highlight w:val="none"/>
        </w:rPr>
        <w:fldChar w:fldCharType="separate"/>
      </w:r>
      <w:r>
        <w:rPr>
          <w:rFonts w:hint="eastAsia" w:cs="宋体"/>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_Toc7467 \h </w:instrText>
      </w:r>
      <w:r>
        <w:rPr>
          <w:color w:val="auto"/>
          <w:highlight w:val="none"/>
        </w:rPr>
        <w:fldChar w:fldCharType="separate"/>
      </w:r>
      <w:r>
        <w:rPr>
          <w:rFonts w:hint="eastAsia"/>
          <w:color w:val="auto"/>
          <w:highlight w:val="none"/>
        </w:rPr>
        <w:t>106</w:t>
      </w:r>
      <w:r>
        <w:rPr>
          <w:color w:val="auto"/>
          <w:highlight w:val="none"/>
        </w:rPr>
        <w:fldChar w:fldCharType="end"/>
      </w:r>
      <w:r>
        <w:rPr>
          <w:color w:val="auto"/>
          <w:highlight w:val="none"/>
        </w:rPr>
        <w:fldChar w:fldCharType="end"/>
      </w:r>
    </w:p>
    <w:p w14:paraId="23C211B0">
      <w:pPr>
        <w:pStyle w:val="3"/>
        <w:jc w:val="center"/>
        <w:rPr>
          <w:rFonts w:hint="eastAsia"/>
          <w:color w:val="auto"/>
          <w:sz w:val="21"/>
          <w:szCs w:val="21"/>
          <w:highlight w:val="none"/>
        </w:rPr>
      </w:pPr>
      <w:r>
        <w:rPr>
          <w:rFonts w:hint="eastAsia"/>
          <w:color w:val="auto"/>
          <w:szCs w:val="21"/>
          <w:highlight w:val="none"/>
        </w:rPr>
        <w:fldChar w:fldCharType="end"/>
      </w:r>
      <w:bookmarkStart w:id="1" w:name="_Toc28740"/>
      <w:bookmarkStart w:id="2" w:name="_Toc8362"/>
      <w:bookmarkStart w:id="3" w:name="_Toc15158"/>
      <w:bookmarkStart w:id="4" w:name="_Toc2272545"/>
      <w:bookmarkStart w:id="5" w:name="_Toc7779"/>
      <w:bookmarkStart w:id="6" w:name="_Toc8964"/>
      <w:bookmarkStart w:id="7" w:name="_Toc22598"/>
      <w:bookmarkStart w:id="8" w:name="_Toc11817"/>
      <w:bookmarkStart w:id="9" w:name="_Toc31598"/>
      <w:bookmarkStart w:id="10" w:name="_Toc25370"/>
      <w:bookmarkStart w:id="11" w:name="_Toc24642"/>
    </w:p>
    <w:p w14:paraId="672D42C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br w:type="page"/>
      </w:r>
    </w:p>
    <w:p w14:paraId="4E68F00A">
      <w:pPr>
        <w:pStyle w:val="3"/>
        <w:jc w:val="center"/>
        <w:rPr>
          <w:rFonts w:hint="eastAsia"/>
          <w:color w:val="auto"/>
          <w:highlight w:val="none"/>
        </w:rPr>
      </w:pPr>
      <w:bookmarkStart w:id="12" w:name="_Toc8684"/>
      <w:bookmarkStart w:id="13" w:name="_Toc29488"/>
      <w:r>
        <w:rPr>
          <w:rFonts w:hint="eastAsia"/>
          <w:color w:val="auto"/>
          <w:highlight w:val="none"/>
        </w:rPr>
        <w:t>第一章 投标须知</w:t>
      </w:r>
      <w:bookmarkEnd w:id="1"/>
      <w:bookmarkEnd w:id="2"/>
      <w:bookmarkEnd w:id="3"/>
      <w:bookmarkEnd w:id="4"/>
      <w:bookmarkEnd w:id="5"/>
      <w:bookmarkEnd w:id="6"/>
      <w:bookmarkEnd w:id="7"/>
      <w:bookmarkEnd w:id="8"/>
      <w:bookmarkEnd w:id="9"/>
      <w:bookmarkEnd w:id="10"/>
      <w:bookmarkEnd w:id="11"/>
      <w:bookmarkEnd w:id="12"/>
      <w:bookmarkEnd w:id="13"/>
    </w:p>
    <w:p w14:paraId="2ACD9E9A">
      <w:pPr>
        <w:pStyle w:val="4"/>
        <w:spacing w:line="360" w:lineRule="auto"/>
        <w:rPr>
          <w:rFonts w:hint="eastAsia"/>
          <w:color w:val="auto"/>
          <w:highlight w:val="none"/>
        </w:rPr>
      </w:pPr>
      <w:bookmarkStart w:id="14" w:name="_Toc17518"/>
      <w:bookmarkStart w:id="15" w:name="_Toc474"/>
      <w:bookmarkStart w:id="16" w:name="_Toc15272"/>
      <w:bookmarkStart w:id="17" w:name="_Toc2997"/>
      <w:bookmarkStart w:id="18" w:name="_Toc2272546"/>
      <w:bookmarkStart w:id="19" w:name="_Toc1940"/>
      <w:bookmarkStart w:id="20" w:name="_Toc7928"/>
      <w:bookmarkStart w:id="21" w:name="_Toc26894"/>
      <w:bookmarkStart w:id="22" w:name="_Toc24375"/>
      <w:bookmarkStart w:id="23" w:name="_Toc25865"/>
      <w:bookmarkStart w:id="24" w:name="_Toc20608"/>
      <w:bookmarkStart w:id="25" w:name="_Toc26400"/>
      <w:bookmarkStart w:id="26" w:name="_Toc14709"/>
      <w:r>
        <w:rPr>
          <w:rFonts w:hint="eastAsia"/>
          <w:color w:val="auto"/>
          <w:highlight w:val="none"/>
        </w:rPr>
        <w:t>一、投标须知前附表</w:t>
      </w:r>
      <w:bookmarkEnd w:id="14"/>
      <w:bookmarkEnd w:id="15"/>
      <w:bookmarkEnd w:id="16"/>
      <w:bookmarkEnd w:id="17"/>
      <w:bookmarkEnd w:id="18"/>
      <w:bookmarkEnd w:id="19"/>
      <w:bookmarkEnd w:id="20"/>
      <w:bookmarkEnd w:id="21"/>
      <w:bookmarkEnd w:id="22"/>
      <w:bookmarkEnd w:id="23"/>
      <w:bookmarkEnd w:id="24"/>
      <w:bookmarkEnd w:id="25"/>
      <w:bookmarkEnd w:id="26"/>
    </w:p>
    <w:p w14:paraId="2D4A5429">
      <w:pPr>
        <w:pStyle w:val="2"/>
        <w:spacing w:line="360" w:lineRule="auto"/>
        <w:ind w:firstLine="0"/>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2"/>
        <w:tblW w:w="498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040"/>
        <w:gridCol w:w="2171"/>
        <w:gridCol w:w="5989"/>
      </w:tblGrid>
      <w:tr w14:paraId="465070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372" w:type="pct"/>
            <w:tcBorders>
              <w:top w:val="double" w:color="auto" w:sz="4" w:space="0"/>
              <w:left w:val="double" w:color="auto" w:sz="4" w:space="0"/>
              <w:bottom w:val="single" w:color="auto" w:sz="4" w:space="0"/>
              <w:right w:val="single" w:color="auto" w:sz="4" w:space="0"/>
            </w:tcBorders>
            <w:vAlign w:val="center"/>
          </w:tcPr>
          <w:p w14:paraId="178B770C">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523" w:type="pct"/>
            <w:tcBorders>
              <w:top w:val="double" w:color="auto" w:sz="4" w:space="0"/>
              <w:left w:val="single" w:color="auto" w:sz="4" w:space="0"/>
              <w:bottom w:val="single" w:color="auto" w:sz="4" w:space="0"/>
              <w:right w:val="single" w:color="auto" w:sz="4" w:space="0"/>
            </w:tcBorders>
            <w:vAlign w:val="center"/>
          </w:tcPr>
          <w:p w14:paraId="5C62CC24">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092" w:type="pct"/>
            <w:tcBorders>
              <w:top w:val="double" w:color="auto" w:sz="4" w:space="0"/>
              <w:left w:val="single" w:color="auto" w:sz="4" w:space="0"/>
              <w:bottom w:val="single" w:color="auto" w:sz="4" w:space="0"/>
              <w:right w:val="single" w:color="auto" w:sz="4" w:space="0"/>
            </w:tcBorders>
            <w:vAlign w:val="center"/>
          </w:tcPr>
          <w:p w14:paraId="553E778A">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内容</w:t>
            </w:r>
          </w:p>
        </w:tc>
        <w:tc>
          <w:tcPr>
            <w:tcW w:w="3012" w:type="pct"/>
            <w:tcBorders>
              <w:top w:val="double" w:color="auto" w:sz="4" w:space="0"/>
              <w:left w:val="single" w:color="auto" w:sz="4" w:space="0"/>
              <w:bottom w:val="single" w:color="auto" w:sz="4" w:space="0"/>
              <w:right w:val="double" w:color="auto" w:sz="4" w:space="0"/>
            </w:tcBorders>
            <w:vAlign w:val="center"/>
          </w:tcPr>
          <w:p w14:paraId="587CC9A4">
            <w:pPr>
              <w:pStyle w:val="13"/>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说明与要求</w:t>
            </w:r>
          </w:p>
        </w:tc>
      </w:tr>
      <w:tr w14:paraId="4FF571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372" w:type="pct"/>
            <w:tcBorders>
              <w:top w:val="single" w:color="auto" w:sz="4" w:space="0"/>
              <w:left w:val="double" w:color="auto" w:sz="4" w:space="0"/>
              <w:bottom w:val="single" w:color="auto" w:sz="4" w:space="0"/>
              <w:right w:val="single" w:color="auto" w:sz="4" w:space="0"/>
            </w:tcBorders>
            <w:vAlign w:val="center"/>
          </w:tcPr>
          <w:p w14:paraId="16FD47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523" w:type="pct"/>
            <w:tcBorders>
              <w:top w:val="single" w:color="auto" w:sz="4" w:space="0"/>
              <w:left w:val="single" w:color="auto" w:sz="4" w:space="0"/>
              <w:bottom w:val="single" w:color="auto" w:sz="4" w:space="0"/>
              <w:right w:val="single" w:color="auto" w:sz="4" w:space="0"/>
            </w:tcBorders>
            <w:vAlign w:val="center"/>
          </w:tcPr>
          <w:p w14:paraId="0DB274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1092" w:type="pct"/>
            <w:tcBorders>
              <w:top w:val="single" w:color="auto" w:sz="4" w:space="0"/>
              <w:left w:val="single" w:color="auto" w:sz="4" w:space="0"/>
              <w:bottom w:val="single" w:color="auto" w:sz="4" w:space="0"/>
              <w:right w:val="single" w:color="auto" w:sz="4" w:space="0"/>
            </w:tcBorders>
            <w:vAlign w:val="center"/>
          </w:tcPr>
          <w:p w14:paraId="122C8A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定义</w:t>
            </w:r>
          </w:p>
        </w:tc>
        <w:tc>
          <w:tcPr>
            <w:tcW w:w="3012" w:type="pct"/>
            <w:tcBorders>
              <w:top w:val="single" w:color="auto" w:sz="4" w:space="0"/>
              <w:left w:val="single" w:color="auto" w:sz="4" w:space="0"/>
              <w:bottom w:val="single" w:color="auto" w:sz="4" w:space="0"/>
              <w:right w:val="double" w:color="auto" w:sz="4" w:space="0"/>
            </w:tcBorders>
            <w:vAlign w:val="center"/>
          </w:tcPr>
          <w:p w14:paraId="51D6943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广州穗泰交通产业发展有限公司</w:t>
            </w:r>
          </w:p>
          <w:p w14:paraId="3000304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rPr>
              <w:t>广州筑正工程建设管理有限公司</w:t>
            </w:r>
          </w:p>
          <w:p w14:paraId="124A20FE">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rPr>
              <w:t>广东省建筑设计研究院有限公司</w:t>
            </w:r>
          </w:p>
          <w:p w14:paraId="40E05F0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广东省建筑工程监理有限公司</w:t>
            </w:r>
          </w:p>
          <w:p w14:paraId="7AAA7691">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造价咨询单位：</w:t>
            </w:r>
            <w:r>
              <w:rPr>
                <w:rFonts w:hint="eastAsia" w:ascii="宋体" w:hAnsi="宋体" w:cs="宋体"/>
                <w:color w:val="auto"/>
                <w:szCs w:val="21"/>
                <w:highlight w:val="none"/>
                <w:u w:val="single"/>
              </w:rPr>
              <w:t>广州市宏正工程造价咨询有限公司</w:t>
            </w:r>
          </w:p>
          <w:p w14:paraId="78938F8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广东省建设工程质量安全检测总站有限公司</w:t>
            </w:r>
          </w:p>
        </w:tc>
      </w:tr>
      <w:tr w14:paraId="15A450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72" w:type="pct"/>
            <w:tcBorders>
              <w:top w:val="single" w:color="auto" w:sz="4" w:space="0"/>
              <w:left w:val="double" w:color="auto" w:sz="4" w:space="0"/>
              <w:bottom w:val="single" w:color="auto" w:sz="4" w:space="0"/>
              <w:right w:val="single" w:color="auto" w:sz="4" w:space="0"/>
            </w:tcBorders>
            <w:vAlign w:val="center"/>
          </w:tcPr>
          <w:p w14:paraId="1618BE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523" w:type="pct"/>
            <w:tcBorders>
              <w:top w:val="single" w:color="auto" w:sz="4" w:space="0"/>
              <w:left w:val="single" w:color="auto" w:sz="4" w:space="0"/>
              <w:bottom w:val="single" w:color="auto" w:sz="4" w:space="0"/>
              <w:right w:val="single" w:color="auto" w:sz="4" w:space="0"/>
            </w:tcBorders>
            <w:vAlign w:val="center"/>
          </w:tcPr>
          <w:p w14:paraId="4E3E8A4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504C868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工程名称</w:t>
            </w:r>
          </w:p>
        </w:tc>
        <w:tc>
          <w:tcPr>
            <w:tcW w:w="3012" w:type="pct"/>
            <w:tcBorders>
              <w:top w:val="single" w:color="auto" w:sz="4" w:space="0"/>
              <w:left w:val="single" w:color="auto" w:sz="4" w:space="0"/>
              <w:bottom w:val="single" w:color="auto" w:sz="4" w:space="0"/>
              <w:right w:val="double" w:color="auto" w:sz="4" w:space="0"/>
            </w:tcBorders>
            <w:vAlign w:val="center"/>
          </w:tcPr>
          <w:p w14:paraId="22D30CF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广州科学城轨道交通产业发展中心项目施工总承包</w:t>
            </w:r>
          </w:p>
        </w:tc>
      </w:tr>
      <w:tr w14:paraId="341F1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72" w:type="pct"/>
            <w:tcBorders>
              <w:top w:val="single" w:color="auto" w:sz="4" w:space="0"/>
              <w:left w:val="double" w:color="auto" w:sz="4" w:space="0"/>
              <w:bottom w:val="single" w:color="auto" w:sz="4" w:space="0"/>
              <w:right w:val="single" w:color="auto" w:sz="4" w:space="0"/>
            </w:tcBorders>
            <w:vAlign w:val="center"/>
          </w:tcPr>
          <w:p w14:paraId="5BA17A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523" w:type="pct"/>
            <w:tcBorders>
              <w:top w:val="single" w:color="auto" w:sz="4" w:space="0"/>
              <w:left w:val="single" w:color="auto" w:sz="4" w:space="0"/>
              <w:bottom w:val="single" w:color="auto" w:sz="4" w:space="0"/>
              <w:right w:val="single" w:color="auto" w:sz="4" w:space="0"/>
            </w:tcBorders>
            <w:vAlign w:val="center"/>
          </w:tcPr>
          <w:p w14:paraId="5CECA7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7DD733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3012" w:type="pct"/>
            <w:tcBorders>
              <w:top w:val="single" w:color="auto" w:sz="4" w:space="0"/>
              <w:left w:val="single" w:color="auto" w:sz="4" w:space="0"/>
              <w:bottom w:val="single" w:color="auto" w:sz="4" w:space="0"/>
              <w:right w:val="double" w:color="auto" w:sz="4" w:space="0"/>
            </w:tcBorders>
            <w:vAlign w:val="center"/>
          </w:tcPr>
          <w:p w14:paraId="43E49B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432461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372" w:type="pct"/>
            <w:tcBorders>
              <w:top w:val="single" w:color="auto" w:sz="4" w:space="0"/>
              <w:left w:val="double" w:color="auto" w:sz="4" w:space="0"/>
              <w:bottom w:val="single" w:color="auto" w:sz="4" w:space="0"/>
              <w:right w:val="single" w:color="auto" w:sz="4" w:space="0"/>
            </w:tcBorders>
            <w:vAlign w:val="center"/>
          </w:tcPr>
          <w:p w14:paraId="280646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523" w:type="pct"/>
            <w:tcBorders>
              <w:top w:val="single" w:color="auto" w:sz="4" w:space="0"/>
              <w:left w:val="single" w:color="auto" w:sz="4" w:space="0"/>
              <w:bottom w:val="single" w:color="auto" w:sz="4" w:space="0"/>
              <w:right w:val="single" w:color="auto" w:sz="4" w:space="0"/>
            </w:tcBorders>
            <w:vAlign w:val="center"/>
          </w:tcPr>
          <w:p w14:paraId="13BB91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1DD8676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3012" w:type="pct"/>
            <w:tcBorders>
              <w:top w:val="single" w:color="auto" w:sz="4" w:space="0"/>
              <w:left w:val="single" w:color="auto" w:sz="4" w:space="0"/>
              <w:bottom w:val="single" w:color="auto" w:sz="4" w:space="0"/>
              <w:right w:val="double" w:color="auto" w:sz="4" w:space="0"/>
            </w:tcBorders>
            <w:vAlign w:val="center"/>
          </w:tcPr>
          <w:p w14:paraId="12041E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45EBE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372" w:type="pct"/>
            <w:tcBorders>
              <w:top w:val="single" w:color="auto" w:sz="4" w:space="0"/>
              <w:left w:val="double" w:color="auto" w:sz="4" w:space="0"/>
              <w:bottom w:val="single" w:color="auto" w:sz="4" w:space="0"/>
              <w:right w:val="single" w:color="auto" w:sz="4" w:space="0"/>
            </w:tcBorders>
            <w:vAlign w:val="center"/>
          </w:tcPr>
          <w:p w14:paraId="65BCD2F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523" w:type="pct"/>
            <w:tcBorders>
              <w:top w:val="single" w:color="auto" w:sz="4" w:space="0"/>
              <w:left w:val="single" w:color="auto" w:sz="4" w:space="0"/>
              <w:bottom w:val="single" w:color="auto" w:sz="4" w:space="0"/>
              <w:right w:val="single" w:color="auto" w:sz="4" w:space="0"/>
            </w:tcBorders>
            <w:vAlign w:val="center"/>
          </w:tcPr>
          <w:p w14:paraId="17F771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0ACF04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承包方式</w:t>
            </w:r>
          </w:p>
        </w:tc>
        <w:tc>
          <w:tcPr>
            <w:tcW w:w="3012" w:type="pct"/>
            <w:tcBorders>
              <w:top w:val="single" w:color="auto" w:sz="4" w:space="0"/>
              <w:left w:val="single" w:color="auto" w:sz="4" w:space="0"/>
              <w:bottom w:val="single" w:color="auto" w:sz="4" w:space="0"/>
              <w:right w:val="double" w:color="auto" w:sz="4" w:space="0"/>
            </w:tcBorders>
            <w:vAlign w:val="center"/>
          </w:tcPr>
          <w:p w14:paraId="42DA78E1">
            <w:pPr>
              <w:ind w:firstLine="420" w:firstLineChars="200"/>
              <w:rPr>
                <w:rFonts w:hint="eastAsia" w:ascii="宋体" w:hAnsi="宋体"/>
                <w:color w:val="auto"/>
                <w:highlight w:val="none"/>
                <w:u w:val="single"/>
              </w:rPr>
            </w:pPr>
            <w:r>
              <w:rPr>
                <w:rFonts w:hint="eastAsia" w:ascii="宋体" w:hAnsi="宋体"/>
                <w:color w:val="auto"/>
                <w:highlight w:val="none"/>
                <w:u w:val="single"/>
              </w:rPr>
              <w:t>1.</w:t>
            </w:r>
            <w:r>
              <w:rPr>
                <w:rFonts w:hint="eastAsia" w:ascii="宋体" w:hAnsi="宋体"/>
                <w:b/>
                <w:color w:val="auto"/>
                <w:highlight w:val="none"/>
                <w:u w:val="single"/>
              </w:rPr>
              <w:t xml:space="preserve"> 按照合同约定范围、招标文件、图纸内容、工程量清单和</w:t>
            </w:r>
            <w:r>
              <w:rPr>
                <w:rFonts w:hint="eastAsia" w:ascii="宋体" w:hAnsi="宋体"/>
                <w:color w:val="auto"/>
                <w:highlight w:val="none"/>
                <w:u w:val="single"/>
              </w:rPr>
              <w:t>用户需求书</w:t>
            </w:r>
            <w:r>
              <w:rPr>
                <w:rFonts w:hint="eastAsia" w:ascii="宋体" w:hAnsi="宋体"/>
                <w:b/>
                <w:color w:val="auto"/>
                <w:highlight w:val="none"/>
                <w:u w:val="single"/>
              </w:rPr>
              <w:t>等有关资料及说明实行工程施工总承包模式，</w:t>
            </w:r>
            <w:r>
              <w:rPr>
                <w:rFonts w:hint="eastAsia" w:ascii="宋体" w:hAnsi="宋体"/>
                <w:color w:val="auto"/>
                <w:highlight w:val="none"/>
                <w:u w:val="single"/>
              </w:rPr>
              <w:t>即包深化设计、包报建、包人工、包材料损耗、包施工安装、包施工期内设备材料的保管及成品保护、包运输仓储、包临时设施、包施工水电、包施工设施、包工期、包质量、包安全生产、包安全文明施工；包系统测试、调试、系统试运行；包承包范围内工程的验收、移交、备案；包机电工程的总协调和联动调试；包总承包管理及配合服务（现场总体组织和协调）；包结算和包资料整理及其他相关服务内容；包保修期间内修补缺陷及质量保修。</w:t>
            </w:r>
          </w:p>
          <w:p w14:paraId="525C1EA3">
            <w:pPr>
              <w:ind w:firstLine="420" w:firstLineChars="200"/>
              <w:rPr>
                <w:rFonts w:hint="eastAsia" w:ascii="宋体" w:hAnsi="宋体"/>
                <w:color w:val="auto"/>
                <w:highlight w:val="none"/>
                <w:u w:val="single"/>
              </w:rPr>
            </w:pPr>
            <w:r>
              <w:rPr>
                <w:rFonts w:hint="eastAsia" w:ascii="宋体" w:hAnsi="宋体"/>
                <w:color w:val="auto"/>
                <w:highlight w:val="none"/>
                <w:u w:val="single"/>
              </w:rPr>
              <w:t>2.投标人根据招标文件、招标图纸（包括用户需求书）、工程量清单、有关资料及说明</w:t>
            </w:r>
            <w:bookmarkStart w:id="354" w:name="_GoBack"/>
            <w:bookmarkEnd w:id="354"/>
            <w:r>
              <w:rPr>
                <w:rFonts w:hint="eastAsia" w:ascii="宋体" w:hAnsi="宋体"/>
                <w:color w:val="auto"/>
                <w:highlight w:val="none"/>
                <w:u w:val="single"/>
              </w:rPr>
              <w:t>规定的招标范围进行报价，报价为综合单价包干及项目措施费合价包干。</w:t>
            </w:r>
          </w:p>
          <w:p w14:paraId="33103752">
            <w:pPr>
              <w:ind w:firstLine="422" w:firstLineChars="200"/>
              <w:rPr>
                <w:rFonts w:hint="eastAsia" w:ascii="宋体" w:hAnsi="宋体"/>
                <w:color w:val="auto"/>
                <w:highlight w:val="none"/>
                <w:u w:val="single"/>
              </w:rPr>
            </w:pPr>
            <w:r>
              <w:rPr>
                <w:rFonts w:hint="eastAsia" w:ascii="宋体" w:hAnsi="宋体"/>
                <w:b/>
                <w:color w:val="auto"/>
                <w:highlight w:val="none"/>
                <w:u w:val="single"/>
              </w:rPr>
              <w:t>3.</w:t>
            </w:r>
            <w:r>
              <w:rPr>
                <w:rFonts w:hint="eastAsia" w:ascii="宋体" w:hAnsi="宋体"/>
                <w:color w:val="auto"/>
                <w:highlight w:val="none"/>
                <w:u w:val="single"/>
              </w:rPr>
              <w:t>本工程采用固定综合单价包干</w:t>
            </w:r>
            <w:r>
              <w:rPr>
                <w:rFonts w:hint="eastAsia"/>
                <w:color w:val="auto"/>
                <w:highlight w:val="none"/>
                <w:u w:val="single"/>
              </w:rPr>
              <w:t>（清单及报价要求说明文件中特别列明的除外）</w:t>
            </w:r>
            <w:r>
              <w:rPr>
                <w:rFonts w:hint="eastAsia" w:ascii="宋体" w:hAnsi="宋体"/>
                <w:color w:val="auto"/>
                <w:highlight w:val="none"/>
                <w:u w:val="single"/>
              </w:rPr>
              <w:t>、措施项目费（绿色施工安全防护措施费、模板工程、泵送增加费除外）及其他项目费（预算包干费、暂列金额除外）固定总价包干计价模式。工程量按经发包人认可的竣工图纸进行结算，如原图纸上有的项目，因变更不予施工，则相应在结算时扣减。</w:t>
            </w:r>
          </w:p>
          <w:p w14:paraId="1027120B">
            <w:pPr>
              <w:spacing w:line="360" w:lineRule="auto"/>
              <w:ind w:firstLine="420" w:firstLineChars="200"/>
              <w:rPr>
                <w:rFonts w:hint="eastAsia" w:ascii="宋体" w:hAnsi="宋体" w:cs="宋体"/>
                <w:color w:val="auto"/>
                <w:szCs w:val="21"/>
                <w:highlight w:val="none"/>
                <w:u w:val="single"/>
              </w:rPr>
            </w:pPr>
            <w:r>
              <w:rPr>
                <w:rFonts w:hint="eastAsia" w:ascii="宋体" w:hAnsi="宋体"/>
                <w:color w:val="auto"/>
                <w:highlight w:val="none"/>
                <w:u w:val="single"/>
              </w:rPr>
              <w:t>4</w:t>
            </w:r>
            <w:r>
              <w:rPr>
                <w:rFonts w:hint="eastAsia" w:ascii="宋体" w:hAnsi="宋体"/>
                <w:color w:val="auto"/>
                <w:szCs w:val="20"/>
                <w:highlight w:val="none"/>
                <w:u w:val="single"/>
              </w:rPr>
              <w:t>. 发包人有权根据工程实际情况等原因对施工范围和工程量进行调整。</w:t>
            </w:r>
          </w:p>
        </w:tc>
      </w:tr>
      <w:tr w14:paraId="16D5A4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372" w:type="pct"/>
            <w:tcBorders>
              <w:top w:val="single" w:color="auto" w:sz="4" w:space="0"/>
              <w:left w:val="double" w:color="auto" w:sz="4" w:space="0"/>
              <w:bottom w:val="single" w:color="auto" w:sz="4" w:space="0"/>
              <w:right w:val="single" w:color="auto" w:sz="4" w:space="0"/>
            </w:tcBorders>
            <w:vAlign w:val="center"/>
          </w:tcPr>
          <w:p w14:paraId="0711F8A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523" w:type="pct"/>
            <w:tcBorders>
              <w:top w:val="single" w:color="auto" w:sz="4" w:space="0"/>
              <w:left w:val="single" w:color="auto" w:sz="4" w:space="0"/>
              <w:bottom w:val="single" w:color="auto" w:sz="4" w:space="0"/>
              <w:right w:val="single" w:color="auto" w:sz="4" w:space="0"/>
            </w:tcBorders>
            <w:vAlign w:val="center"/>
          </w:tcPr>
          <w:p w14:paraId="577CFA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70A9C1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3012" w:type="pct"/>
            <w:tcBorders>
              <w:top w:val="single" w:color="auto" w:sz="4" w:space="0"/>
              <w:left w:val="single" w:color="auto" w:sz="4" w:space="0"/>
              <w:bottom w:val="single" w:color="auto" w:sz="4" w:space="0"/>
              <w:right w:val="double" w:color="auto" w:sz="4" w:space="0"/>
            </w:tcBorders>
            <w:vAlign w:val="center"/>
          </w:tcPr>
          <w:p w14:paraId="3B63A3C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工程质量达到国家或行业质量检验评定的合格标准。</w:t>
            </w:r>
          </w:p>
          <w:p w14:paraId="788EBC2B">
            <w:pPr>
              <w:pStyle w:val="12"/>
              <w:rPr>
                <w:color w:val="auto"/>
                <w:highlight w:val="none"/>
              </w:rPr>
            </w:pPr>
            <w:r>
              <w:rPr>
                <w:rFonts w:hint="eastAsia" w:hAnsi="宋体" w:cs="宋体"/>
                <w:color w:val="auto"/>
                <w:szCs w:val="21"/>
                <w:highlight w:val="none"/>
                <w:u w:val="single"/>
              </w:rPr>
              <w:t>注：本工程正式签署合同时，质量标准按中标人投标文件承诺质量标准。</w:t>
            </w:r>
          </w:p>
        </w:tc>
      </w:tr>
      <w:tr w14:paraId="2E1B14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372" w:type="pct"/>
            <w:tcBorders>
              <w:top w:val="single" w:color="auto" w:sz="4" w:space="0"/>
              <w:left w:val="double" w:color="auto" w:sz="4" w:space="0"/>
              <w:bottom w:val="single" w:color="auto" w:sz="4" w:space="0"/>
              <w:right w:val="single" w:color="auto" w:sz="4" w:space="0"/>
            </w:tcBorders>
            <w:vAlign w:val="center"/>
          </w:tcPr>
          <w:p w14:paraId="1D0BE5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w:t>
            </w:r>
          </w:p>
        </w:tc>
        <w:tc>
          <w:tcPr>
            <w:tcW w:w="523" w:type="pct"/>
            <w:tcBorders>
              <w:top w:val="single" w:color="auto" w:sz="4" w:space="0"/>
              <w:left w:val="single" w:color="auto" w:sz="4" w:space="0"/>
              <w:bottom w:val="single" w:color="auto" w:sz="4" w:space="0"/>
              <w:right w:val="single" w:color="auto" w:sz="4" w:space="0"/>
            </w:tcBorders>
            <w:vAlign w:val="center"/>
          </w:tcPr>
          <w:p w14:paraId="6C7311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1575C75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3012" w:type="pct"/>
            <w:tcBorders>
              <w:top w:val="single" w:color="auto" w:sz="4" w:space="0"/>
              <w:left w:val="single" w:color="auto" w:sz="4" w:space="0"/>
              <w:bottom w:val="single" w:color="auto" w:sz="4" w:space="0"/>
              <w:right w:val="double" w:color="auto" w:sz="4" w:space="0"/>
            </w:tcBorders>
            <w:vAlign w:val="center"/>
          </w:tcPr>
          <w:p w14:paraId="626DEC9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详见本工程招标公告</w:t>
            </w:r>
          </w:p>
        </w:tc>
      </w:tr>
      <w:tr w14:paraId="42A28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372" w:type="pct"/>
            <w:tcBorders>
              <w:top w:val="single" w:color="auto" w:sz="4" w:space="0"/>
              <w:left w:val="double" w:color="auto" w:sz="4" w:space="0"/>
              <w:bottom w:val="single" w:color="auto" w:sz="4" w:space="0"/>
              <w:right w:val="single" w:color="auto" w:sz="4" w:space="0"/>
            </w:tcBorders>
            <w:vAlign w:val="center"/>
          </w:tcPr>
          <w:p w14:paraId="5FFBFC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523" w:type="pct"/>
            <w:tcBorders>
              <w:top w:val="single" w:color="auto" w:sz="4" w:space="0"/>
              <w:left w:val="single" w:color="auto" w:sz="4" w:space="0"/>
              <w:bottom w:val="single" w:color="auto" w:sz="4" w:space="0"/>
              <w:right w:val="single" w:color="auto" w:sz="4" w:space="0"/>
            </w:tcBorders>
            <w:vAlign w:val="center"/>
          </w:tcPr>
          <w:p w14:paraId="612156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1092" w:type="pct"/>
            <w:tcBorders>
              <w:top w:val="single" w:color="auto" w:sz="4" w:space="0"/>
              <w:left w:val="single" w:color="auto" w:sz="4" w:space="0"/>
              <w:bottom w:val="single" w:color="auto" w:sz="4" w:space="0"/>
              <w:right w:val="single" w:color="auto" w:sz="4" w:space="0"/>
            </w:tcBorders>
            <w:vAlign w:val="center"/>
          </w:tcPr>
          <w:p w14:paraId="56FE46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工期要求</w:t>
            </w:r>
          </w:p>
        </w:tc>
        <w:tc>
          <w:tcPr>
            <w:tcW w:w="3012" w:type="pct"/>
            <w:tcBorders>
              <w:top w:val="single" w:color="auto" w:sz="4" w:space="0"/>
              <w:left w:val="single" w:color="auto" w:sz="4" w:space="0"/>
              <w:bottom w:val="single" w:color="auto" w:sz="4" w:space="0"/>
              <w:right w:val="double" w:color="auto" w:sz="4" w:space="0"/>
            </w:tcBorders>
            <w:vAlign w:val="center"/>
          </w:tcPr>
          <w:p w14:paraId="73DAFD16">
            <w:pPr>
              <w:spacing w:line="360" w:lineRule="auto"/>
              <w:rPr>
                <w:rFonts w:hint="eastAsia" w:ascii="宋体" w:hAnsi="宋体" w:cs="宋体"/>
                <w:color w:val="auto"/>
                <w:highlight w:val="none"/>
              </w:rPr>
            </w:pPr>
            <w:r>
              <w:rPr>
                <w:rFonts w:hint="eastAsia" w:ascii="宋体" w:hAnsi="宋体" w:cs="宋体"/>
                <w:color w:val="auto"/>
                <w:szCs w:val="21"/>
                <w:highlight w:val="none"/>
              </w:rPr>
              <w:t>施工总工期540日历天</w:t>
            </w:r>
            <w:r>
              <w:rPr>
                <w:rFonts w:hint="eastAsia" w:ascii="宋体" w:hAnsi="宋体" w:cs="宋体"/>
                <w:color w:val="auto"/>
                <w:highlight w:val="none"/>
              </w:rPr>
              <w:t>。</w:t>
            </w:r>
          </w:p>
          <w:p w14:paraId="332C3964">
            <w:pPr>
              <w:spacing w:line="360" w:lineRule="auto"/>
              <w:rPr>
                <w:rFonts w:hint="eastAsia" w:ascii="宋体" w:hAnsi="宋体" w:cs="宋体"/>
                <w:color w:val="auto"/>
                <w:highlight w:val="none"/>
              </w:rPr>
            </w:pPr>
            <w:r>
              <w:rPr>
                <w:rFonts w:hint="eastAsia" w:ascii="宋体" w:hAnsi="宋体" w:cs="宋体"/>
                <w:color w:val="auto"/>
                <w:highlight w:val="none"/>
              </w:rPr>
              <w:t>注：本工程正式签署合同时，施工工期按中标投标文件承诺工期。</w:t>
            </w:r>
          </w:p>
        </w:tc>
      </w:tr>
      <w:tr w14:paraId="348D8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2" w:type="pct"/>
            <w:tcBorders>
              <w:top w:val="single" w:color="auto" w:sz="4" w:space="0"/>
              <w:left w:val="double" w:color="auto" w:sz="4" w:space="0"/>
              <w:bottom w:val="single" w:color="auto" w:sz="4" w:space="0"/>
              <w:right w:val="single" w:color="auto" w:sz="4" w:space="0"/>
            </w:tcBorders>
            <w:vAlign w:val="center"/>
          </w:tcPr>
          <w:p w14:paraId="708844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w:t>
            </w:r>
          </w:p>
        </w:tc>
        <w:tc>
          <w:tcPr>
            <w:tcW w:w="523" w:type="pct"/>
            <w:tcBorders>
              <w:top w:val="single" w:color="auto" w:sz="4" w:space="0"/>
              <w:left w:val="single" w:color="auto" w:sz="4" w:space="0"/>
              <w:bottom w:val="single" w:color="auto" w:sz="4" w:space="0"/>
              <w:right w:val="single" w:color="auto" w:sz="4" w:space="0"/>
            </w:tcBorders>
            <w:vAlign w:val="center"/>
          </w:tcPr>
          <w:p w14:paraId="36C74AD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3.1</w:t>
            </w:r>
          </w:p>
        </w:tc>
        <w:tc>
          <w:tcPr>
            <w:tcW w:w="1092" w:type="pct"/>
            <w:tcBorders>
              <w:top w:val="single" w:color="auto" w:sz="4" w:space="0"/>
              <w:left w:val="single" w:color="auto" w:sz="4" w:space="0"/>
              <w:bottom w:val="single" w:color="auto" w:sz="4" w:space="0"/>
              <w:right w:val="single" w:color="auto" w:sz="4" w:space="0"/>
            </w:tcBorders>
            <w:vAlign w:val="center"/>
          </w:tcPr>
          <w:p w14:paraId="168E477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3012" w:type="pct"/>
            <w:tcBorders>
              <w:top w:val="single" w:color="auto" w:sz="4" w:space="0"/>
              <w:left w:val="single" w:color="auto" w:sz="4" w:space="0"/>
              <w:bottom w:val="single" w:color="auto" w:sz="4" w:space="0"/>
              <w:right w:val="double" w:color="auto" w:sz="4" w:space="0"/>
            </w:tcBorders>
            <w:vAlign w:val="center"/>
          </w:tcPr>
          <w:p w14:paraId="6B58464B">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自筹资金</w:t>
            </w:r>
          </w:p>
        </w:tc>
      </w:tr>
      <w:tr w14:paraId="1B9DC0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2" w:type="pct"/>
            <w:tcBorders>
              <w:top w:val="single" w:color="auto" w:sz="4" w:space="0"/>
              <w:left w:val="double" w:color="auto" w:sz="4" w:space="0"/>
              <w:bottom w:val="single" w:color="auto" w:sz="4" w:space="0"/>
              <w:right w:val="single" w:color="auto" w:sz="4" w:space="0"/>
            </w:tcBorders>
            <w:vAlign w:val="center"/>
          </w:tcPr>
          <w:p w14:paraId="35C9DC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523" w:type="pct"/>
            <w:tcBorders>
              <w:top w:val="single" w:color="auto" w:sz="4" w:space="0"/>
              <w:left w:val="single" w:color="auto" w:sz="4" w:space="0"/>
              <w:bottom w:val="single" w:color="auto" w:sz="4" w:space="0"/>
              <w:right w:val="single" w:color="auto" w:sz="4" w:space="0"/>
            </w:tcBorders>
            <w:vAlign w:val="center"/>
          </w:tcPr>
          <w:p w14:paraId="1C2211B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4.1</w:t>
            </w:r>
          </w:p>
        </w:tc>
        <w:tc>
          <w:tcPr>
            <w:tcW w:w="1092" w:type="pct"/>
            <w:tcBorders>
              <w:top w:val="single" w:color="auto" w:sz="4" w:space="0"/>
              <w:left w:val="single" w:color="auto" w:sz="4" w:space="0"/>
              <w:bottom w:val="single" w:color="auto" w:sz="4" w:space="0"/>
              <w:right w:val="single" w:color="auto" w:sz="4" w:space="0"/>
            </w:tcBorders>
            <w:vAlign w:val="center"/>
          </w:tcPr>
          <w:p w14:paraId="620E4B4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3012" w:type="pct"/>
            <w:tcBorders>
              <w:top w:val="single" w:color="auto" w:sz="4" w:space="0"/>
              <w:left w:val="single" w:color="auto" w:sz="4" w:space="0"/>
              <w:bottom w:val="single" w:color="auto" w:sz="4" w:space="0"/>
              <w:right w:val="double" w:color="auto" w:sz="4" w:space="0"/>
            </w:tcBorders>
            <w:vAlign w:val="center"/>
          </w:tcPr>
          <w:p w14:paraId="596BE7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13033C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2" w:type="pct"/>
            <w:tcBorders>
              <w:top w:val="single" w:color="auto" w:sz="4" w:space="0"/>
              <w:left w:val="double" w:color="auto" w:sz="4" w:space="0"/>
              <w:bottom w:val="single" w:color="auto" w:sz="4" w:space="0"/>
              <w:right w:val="single" w:color="auto" w:sz="4" w:space="0"/>
            </w:tcBorders>
            <w:vAlign w:val="center"/>
          </w:tcPr>
          <w:p w14:paraId="0DF43FE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11</w:t>
            </w:r>
          </w:p>
        </w:tc>
        <w:tc>
          <w:tcPr>
            <w:tcW w:w="523" w:type="pct"/>
            <w:tcBorders>
              <w:top w:val="single" w:color="auto" w:sz="4" w:space="0"/>
              <w:left w:val="single" w:color="auto" w:sz="4" w:space="0"/>
              <w:bottom w:val="single" w:color="auto" w:sz="4" w:space="0"/>
              <w:right w:val="single" w:color="auto" w:sz="4" w:space="0"/>
            </w:tcBorders>
            <w:vAlign w:val="center"/>
          </w:tcPr>
          <w:p w14:paraId="6E453399">
            <w:pPr>
              <w:spacing w:line="360" w:lineRule="auto"/>
              <w:ind w:firstLine="458"/>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6FD95F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3012" w:type="pct"/>
            <w:tcBorders>
              <w:top w:val="single" w:color="auto" w:sz="4" w:space="0"/>
              <w:left w:val="single" w:color="auto" w:sz="4" w:space="0"/>
              <w:bottom w:val="single" w:color="auto" w:sz="4" w:space="0"/>
              <w:right w:val="double" w:color="auto" w:sz="4" w:space="0"/>
            </w:tcBorders>
            <w:vAlign w:val="center"/>
          </w:tcPr>
          <w:p w14:paraId="014018C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11502C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2" w:type="pct"/>
            <w:tcBorders>
              <w:top w:val="single" w:color="auto" w:sz="4" w:space="0"/>
              <w:left w:val="double" w:color="auto" w:sz="4" w:space="0"/>
              <w:bottom w:val="single" w:color="auto" w:sz="4" w:space="0"/>
              <w:right w:val="single" w:color="auto" w:sz="4" w:space="0"/>
            </w:tcBorders>
            <w:vAlign w:val="center"/>
          </w:tcPr>
          <w:p w14:paraId="7E2C02D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12</w:t>
            </w:r>
          </w:p>
        </w:tc>
        <w:tc>
          <w:tcPr>
            <w:tcW w:w="523" w:type="pct"/>
            <w:tcBorders>
              <w:top w:val="single" w:color="auto" w:sz="4" w:space="0"/>
              <w:left w:val="single" w:color="auto" w:sz="4" w:space="0"/>
              <w:bottom w:val="single" w:color="auto" w:sz="4" w:space="0"/>
              <w:right w:val="single" w:color="auto" w:sz="4" w:space="0"/>
            </w:tcBorders>
            <w:vAlign w:val="center"/>
          </w:tcPr>
          <w:p w14:paraId="797543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13.1</w:t>
            </w:r>
          </w:p>
        </w:tc>
        <w:tc>
          <w:tcPr>
            <w:tcW w:w="1092" w:type="pct"/>
            <w:tcBorders>
              <w:top w:val="single" w:color="auto" w:sz="4" w:space="0"/>
              <w:left w:val="single" w:color="auto" w:sz="4" w:space="0"/>
              <w:bottom w:val="single" w:color="auto" w:sz="4" w:space="0"/>
              <w:right w:val="single" w:color="auto" w:sz="4" w:space="0"/>
            </w:tcBorders>
            <w:vAlign w:val="center"/>
          </w:tcPr>
          <w:p w14:paraId="22A150A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3012" w:type="pct"/>
            <w:tcBorders>
              <w:top w:val="single" w:color="auto" w:sz="4" w:space="0"/>
              <w:left w:val="single" w:color="auto" w:sz="4" w:space="0"/>
              <w:bottom w:val="single" w:color="auto" w:sz="4" w:space="0"/>
              <w:right w:val="double" w:color="auto" w:sz="4" w:space="0"/>
            </w:tcBorders>
            <w:vAlign w:val="center"/>
          </w:tcPr>
          <w:p w14:paraId="219FFA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工程量清单计价，按国家、省有关计价规范执行。</w:t>
            </w:r>
          </w:p>
        </w:tc>
      </w:tr>
      <w:tr w14:paraId="73F19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2" w:type="pct"/>
            <w:tcBorders>
              <w:top w:val="single" w:color="auto" w:sz="4" w:space="0"/>
              <w:left w:val="double" w:color="auto" w:sz="4" w:space="0"/>
              <w:bottom w:val="single" w:color="auto" w:sz="4" w:space="0"/>
              <w:right w:val="single" w:color="auto" w:sz="4" w:space="0"/>
            </w:tcBorders>
            <w:vAlign w:val="center"/>
          </w:tcPr>
          <w:p w14:paraId="4BB822B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13</w:t>
            </w:r>
          </w:p>
        </w:tc>
        <w:tc>
          <w:tcPr>
            <w:tcW w:w="523" w:type="pct"/>
            <w:tcBorders>
              <w:top w:val="single" w:color="auto" w:sz="4" w:space="0"/>
              <w:left w:val="single" w:color="auto" w:sz="4" w:space="0"/>
              <w:bottom w:val="single" w:color="auto" w:sz="4" w:space="0"/>
              <w:right w:val="single" w:color="auto" w:sz="4" w:space="0"/>
            </w:tcBorders>
            <w:vAlign w:val="center"/>
          </w:tcPr>
          <w:p w14:paraId="7219387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15.1</w:t>
            </w:r>
          </w:p>
        </w:tc>
        <w:tc>
          <w:tcPr>
            <w:tcW w:w="1092" w:type="pct"/>
            <w:tcBorders>
              <w:top w:val="single" w:color="auto" w:sz="4" w:space="0"/>
              <w:left w:val="single" w:color="auto" w:sz="4" w:space="0"/>
              <w:bottom w:val="single" w:color="auto" w:sz="4" w:space="0"/>
              <w:right w:val="single" w:color="auto" w:sz="4" w:space="0"/>
            </w:tcBorders>
            <w:vAlign w:val="center"/>
          </w:tcPr>
          <w:p w14:paraId="4C9954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3012" w:type="pct"/>
            <w:tcBorders>
              <w:top w:val="single" w:color="auto" w:sz="4" w:space="0"/>
              <w:left w:val="single" w:color="auto" w:sz="4" w:space="0"/>
              <w:bottom w:val="single" w:color="auto" w:sz="4" w:space="0"/>
              <w:right w:val="double" w:color="auto" w:sz="4" w:space="0"/>
            </w:tcBorders>
            <w:vAlign w:val="center"/>
          </w:tcPr>
          <w:p w14:paraId="31570F4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如投标有效期内发生异议或投诉的，则投标有效期自动延长至异议或投诉处理结束后90日历天。</w:t>
            </w:r>
          </w:p>
        </w:tc>
      </w:tr>
      <w:tr w14:paraId="495956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2" w:type="pct"/>
            <w:tcBorders>
              <w:top w:val="single" w:color="auto" w:sz="4" w:space="0"/>
              <w:left w:val="double" w:color="auto" w:sz="4" w:space="0"/>
              <w:bottom w:val="single" w:color="auto" w:sz="4" w:space="0"/>
              <w:right w:val="single" w:color="auto" w:sz="4" w:space="0"/>
            </w:tcBorders>
            <w:vAlign w:val="center"/>
          </w:tcPr>
          <w:p w14:paraId="16833F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14</w:t>
            </w:r>
          </w:p>
        </w:tc>
        <w:tc>
          <w:tcPr>
            <w:tcW w:w="523" w:type="pct"/>
            <w:tcBorders>
              <w:top w:val="single" w:color="auto" w:sz="4" w:space="0"/>
              <w:left w:val="single" w:color="auto" w:sz="4" w:space="0"/>
              <w:bottom w:val="single" w:color="auto" w:sz="4" w:space="0"/>
              <w:right w:val="single" w:color="auto" w:sz="4" w:space="0"/>
            </w:tcBorders>
            <w:vAlign w:val="center"/>
          </w:tcPr>
          <w:p w14:paraId="4439B82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16.1</w:t>
            </w:r>
          </w:p>
        </w:tc>
        <w:tc>
          <w:tcPr>
            <w:tcW w:w="1092" w:type="pct"/>
            <w:tcBorders>
              <w:top w:val="single" w:color="auto" w:sz="4" w:space="0"/>
              <w:left w:val="single" w:color="auto" w:sz="4" w:space="0"/>
              <w:bottom w:val="single" w:color="auto" w:sz="4" w:space="0"/>
              <w:right w:val="single" w:color="auto" w:sz="4" w:space="0"/>
            </w:tcBorders>
            <w:vAlign w:val="center"/>
          </w:tcPr>
          <w:p w14:paraId="755B81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3012" w:type="pct"/>
            <w:tcBorders>
              <w:top w:val="single" w:color="auto" w:sz="4" w:space="0"/>
              <w:left w:val="single" w:color="auto" w:sz="4" w:space="0"/>
              <w:bottom w:val="single" w:color="auto" w:sz="4" w:space="0"/>
              <w:right w:val="double" w:color="auto" w:sz="4" w:space="0"/>
            </w:tcBorders>
            <w:vAlign w:val="center"/>
          </w:tcPr>
          <w:p w14:paraId="527835C0">
            <w:pPr>
              <w:widowControl/>
              <w:adjustRightInd w:val="0"/>
              <w:snapToGrid w:val="0"/>
              <w:spacing w:line="360" w:lineRule="auto"/>
              <w:rPr>
                <w:rFonts w:hint="eastAsia" w:ascii="宋体" w:hAnsi="宋体" w:cs="宋体"/>
                <w:color w:val="auto"/>
                <w:highlight w:val="none"/>
              </w:rPr>
            </w:pPr>
            <w:r>
              <w:rPr>
                <w:rFonts w:hint="eastAsia" w:ascii="宋体" w:hAnsi="宋体" w:cs="宋体"/>
                <w:b/>
                <w:bCs/>
                <w:color w:val="auto"/>
                <w:highlight w:val="none"/>
              </w:rPr>
              <w:t>投标保证金的金额：</w:t>
            </w:r>
            <w:r>
              <w:rPr>
                <w:rFonts w:hint="eastAsia" w:ascii="宋体" w:hAnsi="宋体" w:cs="宋体"/>
                <w:color w:val="auto"/>
                <w:highlight w:val="none"/>
              </w:rPr>
              <w:t>人民币</w:t>
            </w:r>
            <w:r>
              <w:rPr>
                <w:rFonts w:hint="eastAsia" w:ascii="宋体" w:hAnsi="宋体" w:cs="宋体"/>
                <w:b/>
                <w:bCs/>
                <w:color w:val="auto"/>
                <w:highlight w:val="none"/>
                <w:u w:val="single"/>
              </w:rPr>
              <w:t xml:space="preserve"> 叁拾万元  </w:t>
            </w:r>
          </w:p>
          <w:p w14:paraId="68B2F7D1">
            <w:pPr>
              <w:widowControl/>
              <w:spacing w:line="360" w:lineRule="auto"/>
              <w:rPr>
                <w:rFonts w:hint="eastAsia" w:ascii="宋体" w:hAnsi="宋体" w:cs="宋体"/>
                <w:color w:val="auto"/>
                <w:highlight w:val="none"/>
              </w:rPr>
            </w:pPr>
            <w:r>
              <w:rPr>
                <w:rFonts w:hint="eastAsia" w:ascii="宋体" w:hAnsi="宋体" w:cs="宋体"/>
                <w:b/>
                <w:bCs/>
                <w:color w:val="auto"/>
                <w:highlight w:val="none"/>
              </w:rPr>
              <w:t>缴纳时间：</w:t>
            </w:r>
            <w:r>
              <w:rPr>
                <w:rFonts w:hint="eastAsia" w:ascii="宋体" w:hAnsi="宋体" w:cs="宋体"/>
                <w:color w:val="auto"/>
                <w:highlight w:val="none"/>
              </w:rPr>
              <w:t>须在递交投标文件截止时间前完成缴纳</w:t>
            </w:r>
            <w:r>
              <w:rPr>
                <w:rFonts w:hint="eastAsia" w:ascii="宋体" w:hAnsi="宋体" w:cs="宋体"/>
                <w:b/>
                <w:bCs/>
                <w:color w:val="auto"/>
                <w:szCs w:val="21"/>
                <w:highlight w:val="none"/>
              </w:rPr>
              <w:t>。</w:t>
            </w:r>
          </w:p>
          <w:p w14:paraId="34D9EA70">
            <w:pPr>
              <w:widowControl/>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1、投标保证金可采用现金、支票、汇票、专业工程担保公司担保、银行保函、保证保险等能够实现保证目的的方式。</w:t>
            </w:r>
          </w:p>
          <w:p w14:paraId="2703988A">
            <w:pPr>
              <w:widowControl/>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2、如采用现金、支票或汇票形式提交的，由广州交易集团有限公司代收（保证金从投标人基本账户转账至广州交易集团有限公司。）具体操作要求详见广州公共资源交易中心最新的投标保证金缴纳操作流程及有关指引，递交事宜请自行咨询交易中心；请各投标人在投标文件递交截止时间前按上述金额递交至广州交易集团有限公司，到账情况以开标时广州公共资源交易中心数据库查询的信息为准。</w:t>
            </w:r>
          </w:p>
          <w:p w14:paraId="4FFFB568">
            <w:pPr>
              <w:widowControl/>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3、如采用非电子形式的银行保函、专业工程担保公司担保或保证保险提交投标保证金的（受益人必须是招标人），在开标前不强制要求投标人提交纸质原件，由中标候选人在中标候选人公示前提交并在网上公示，投标人应在投标文件中提交保函、担保或保证保险扫描件并加盖投标人电子印章。如投标人选择在开标前提交纸质原件的，可在投标截止时间前单独密封递交至开标室（时间及地点同递交投标文件备用光盘的时间及地点一致）。</w:t>
            </w:r>
          </w:p>
          <w:p w14:paraId="1FDF375E">
            <w:pPr>
              <w:widowControl/>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4、若以交易系统支持的电子形式的保函、担保或保证保险递交的，到账情况以开标时广州公共资源交易中心数据库查询信息为准。</w:t>
            </w:r>
          </w:p>
          <w:p w14:paraId="515BC9CB">
            <w:pPr>
              <w:widowControl/>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5、投标保证金有效期应当与投标有效期一致。</w:t>
            </w:r>
          </w:p>
        </w:tc>
      </w:tr>
      <w:tr w14:paraId="014306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2" w:type="pct"/>
            <w:tcBorders>
              <w:top w:val="single" w:color="auto" w:sz="4" w:space="0"/>
              <w:left w:val="double" w:color="auto" w:sz="4" w:space="0"/>
              <w:bottom w:val="single" w:color="auto" w:sz="4" w:space="0"/>
              <w:right w:val="single" w:color="auto" w:sz="4" w:space="0"/>
            </w:tcBorders>
            <w:vAlign w:val="center"/>
          </w:tcPr>
          <w:p w14:paraId="036698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w:t>
            </w:r>
          </w:p>
        </w:tc>
        <w:tc>
          <w:tcPr>
            <w:tcW w:w="523" w:type="pct"/>
            <w:tcBorders>
              <w:top w:val="single" w:color="auto" w:sz="4" w:space="0"/>
              <w:left w:val="single" w:color="auto" w:sz="4" w:space="0"/>
              <w:bottom w:val="single" w:color="auto" w:sz="4" w:space="0"/>
              <w:right w:val="single" w:color="auto" w:sz="4" w:space="0"/>
            </w:tcBorders>
            <w:vAlign w:val="center"/>
          </w:tcPr>
          <w:p w14:paraId="1206B0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1092" w:type="pct"/>
            <w:tcBorders>
              <w:top w:val="single" w:color="auto" w:sz="4" w:space="0"/>
              <w:left w:val="single" w:color="auto" w:sz="4" w:space="0"/>
              <w:bottom w:val="single" w:color="auto" w:sz="4" w:space="0"/>
              <w:right w:val="single" w:color="auto" w:sz="4" w:space="0"/>
            </w:tcBorders>
            <w:vAlign w:val="center"/>
          </w:tcPr>
          <w:p w14:paraId="25B641C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3012" w:type="pct"/>
            <w:tcBorders>
              <w:top w:val="single" w:color="auto" w:sz="4" w:space="0"/>
              <w:left w:val="single" w:color="auto" w:sz="4" w:space="0"/>
              <w:bottom w:val="single" w:color="auto" w:sz="4" w:space="0"/>
              <w:right w:val="double" w:color="auto" w:sz="4" w:space="0"/>
            </w:tcBorders>
            <w:vAlign w:val="center"/>
          </w:tcPr>
          <w:p w14:paraId="5C0685AC">
            <w:pPr>
              <w:pStyle w:val="13"/>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自行踏勘，投标人不进行踏勘的，视为已熟知现场条件，自行承担相关风险。</w:t>
            </w:r>
          </w:p>
        </w:tc>
      </w:tr>
      <w:tr w14:paraId="1D325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2" w:type="pct"/>
            <w:tcBorders>
              <w:top w:val="single" w:color="auto" w:sz="4" w:space="0"/>
              <w:left w:val="double" w:color="auto" w:sz="4" w:space="0"/>
              <w:bottom w:val="single" w:color="auto" w:sz="4" w:space="0"/>
              <w:right w:val="single" w:color="auto" w:sz="4" w:space="0"/>
            </w:tcBorders>
            <w:vAlign w:val="center"/>
          </w:tcPr>
          <w:p w14:paraId="035E4A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16</w:t>
            </w:r>
          </w:p>
        </w:tc>
        <w:tc>
          <w:tcPr>
            <w:tcW w:w="523" w:type="pct"/>
            <w:tcBorders>
              <w:top w:val="single" w:color="auto" w:sz="4" w:space="0"/>
              <w:left w:val="single" w:color="auto" w:sz="4" w:space="0"/>
              <w:bottom w:val="single" w:color="auto" w:sz="4" w:space="0"/>
              <w:right w:val="single" w:color="auto" w:sz="4" w:space="0"/>
            </w:tcBorders>
            <w:vAlign w:val="center"/>
          </w:tcPr>
          <w:p w14:paraId="53525D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1092" w:type="pct"/>
            <w:tcBorders>
              <w:top w:val="single" w:color="auto" w:sz="4" w:space="0"/>
              <w:left w:val="single" w:color="auto" w:sz="4" w:space="0"/>
              <w:bottom w:val="single" w:color="auto" w:sz="4" w:space="0"/>
              <w:right w:val="single" w:color="auto" w:sz="4" w:space="0"/>
            </w:tcBorders>
            <w:vAlign w:val="center"/>
          </w:tcPr>
          <w:p w14:paraId="19CA7F1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投标答疑</w:t>
            </w:r>
          </w:p>
        </w:tc>
        <w:tc>
          <w:tcPr>
            <w:tcW w:w="3012" w:type="pct"/>
            <w:tcBorders>
              <w:top w:val="single" w:color="auto" w:sz="4" w:space="0"/>
              <w:left w:val="single" w:color="auto" w:sz="4" w:space="0"/>
              <w:bottom w:val="single" w:color="auto" w:sz="4" w:space="0"/>
              <w:right w:val="double" w:color="auto" w:sz="4" w:space="0"/>
            </w:tcBorders>
            <w:vAlign w:val="center"/>
          </w:tcPr>
          <w:p w14:paraId="087ADC1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1.方式：网上答疑；</w:t>
            </w:r>
          </w:p>
          <w:p w14:paraId="6C5946E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2.疑问提交时间：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cs="宋体"/>
                <w:color w:val="auto"/>
                <w:szCs w:val="21"/>
                <w:highlight w:val="none"/>
                <w:u w:val="single"/>
              </w:rPr>
              <w:t>前(</w:t>
            </w:r>
            <w:r>
              <w:rPr>
                <w:rFonts w:hint="eastAsia" w:ascii="宋体" w:hAnsi="宋体" w:cs="宋体"/>
                <w:color w:val="auto"/>
                <w:szCs w:val="21"/>
                <w:highlight w:val="none"/>
                <w:u w:val="single"/>
                <w:lang w:val="en-US" w:eastAsia="zh-CN"/>
              </w:rPr>
              <w:t>详见</w:t>
            </w:r>
            <w:r>
              <w:rPr>
                <w:rFonts w:hint="eastAsia" w:ascii="宋体" w:hAnsi="宋体" w:cs="宋体"/>
                <w:color w:val="auto"/>
                <w:szCs w:val="21"/>
                <w:highlight w:val="none"/>
                <w:u w:val="single"/>
              </w:rPr>
              <w:t>广州交易集团有限公司（广州公共资源交易中心）项目详情</w:t>
            </w:r>
            <w:r>
              <w:rPr>
                <w:rFonts w:hint="eastAsia" w:ascii="宋体" w:hAnsi="宋体" w:cs="宋体"/>
                <w:color w:val="auto"/>
                <w:szCs w:val="21"/>
                <w:highlight w:val="none"/>
                <w:u w:val="single"/>
                <w:lang w:val="en-US" w:eastAsia="zh-CN"/>
              </w:rPr>
              <w:t>--日程安排</w:t>
            </w:r>
            <w:r>
              <w:rPr>
                <w:rFonts w:hint="eastAsia" w:ascii="宋体" w:hAnsi="宋体" w:cs="宋体"/>
                <w:color w:val="auto"/>
                <w:szCs w:val="21"/>
                <w:highlight w:val="none"/>
                <w:u w:val="single"/>
              </w:rPr>
              <w:t>)；</w:t>
            </w:r>
          </w:p>
          <w:p w14:paraId="3802C84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3.招标人澄清、修补或答疑期限：在递交投标文件截止日期前15 日；</w:t>
            </w:r>
          </w:p>
          <w:p w14:paraId="5DC9AE58">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4.具体要求：按照广州交易集团有限公司（广州公共资源交易中心）交易平台关于全流程电子化项目的相关指南进行操作，详见：广州交易集团有限公司（广州公共资源交易中心）网站最新指引。提问一律不得署名。</w:t>
            </w:r>
          </w:p>
        </w:tc>
      </w:tr>
      <w:tr w14:paraId="4F435F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2" w:type="pct"/>
            <w:tcBorders>
              <w:top w:val="single" w:color="auto" w:sz="4" w:space="0"/>
              <w:left w:val="double" w:color="auto" w:sz="4" w:space="0"/>
              <w:bottom w:val="single" w:color="auto" w:sz="4" w:space="0"/>
              <w:right w:val="single" w:color="auto" w:sz="4" w:space="0"/>
            </w:tcBorders>
            <w:vAlign w:val="center"/>
          </w:tcPr>
          <w:p w14:paraId="2F5031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17</w:t>
            </w:r>
          </w:p>
        </w:tc>
        <w:tc>
          <w:tcPr>
            <w:tcW w:w="523" w:type="pct"/>
            <w:tcBorders>
              <w:top w:val="single" w:color="auto" w:sz="4" w:space="0"/>
              <w:left w:val="single" w:color="auto" w:sz="4" w:space="0"/>
              <w:bottom w:val="single" w:color="auto" w:sz="4" w:space="0"/>
              <w:right w:val="single" w:color="auto" w:sz="4" w:space="0"/>
            </w:tcBorders>
            <w:vAlign w:val="center"/>
          </w:tcPr>
          <w:p w14:paraId="3279C4F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20.1</w:t>
            </w:r>
          </w:p>
        </w:tc>
        <w:tc>
          <w:tcPr>
            <w:tcW w:w="1092" w:type="pct"/>
            <w:tcBorders>
              <w:top w:val="single" w:color="auto" w:sz="4" w:space="0"/>
              <w:left w:val="single" w:color="auto" w:sz="4" w:space="0"/>
              <w:bottom w:val="single" w:color="auto" w:sz="4" w:space="0"/>
              <w:right w:val="single" w:color="auto" w:sz="4" w:space="0"/>
            </w:tcBorders>
            <w:vAlign w:val="center"/>
          </w:tcPr>
          <w:p w14:paraId="0485E2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3012" w:type="pct"/>
            <w:tcBorders>
              <w:top w:val="single" w:color="auto" w:sz="4" w:space="0"/>
              <w:left w:val="single" w:color="auto" w:sz="4" w:space="0"/>
              <w:bottom w:val="single" w:color="auto" w:sz="4" w:space="0"/>
              <w:right w:val="double" w:color="auto" w:sz="4" w:space="0"/>
            </w:tcBorders>
            <w:vAlign w:val="center"/>
          </w:tcPr>
          <w:p w14:paraId="1F4FB0EE">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tc>
      </w:tr>
      <w:tr w14:paraId="4D1158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2" w:type="pct"/>
            <w:tcBorders>
              <w:top w:val="single" w:color="auto" w:sz="4" w:space="0"/>
              <w:left w:val="double" w:color="auto" w:sz="4" w:space="0"/>
              <w:bottom w:val="single" w:color="auto" w:sz="4" w:space="0"/>
              <w:right w:val="single" w:color="auto" w:sz="4" w:space="0"/>
            </w:tcBorders>
            <w:vAlign w:val="center"/>
          </w:tcPr>
          <w:p w14:paraId="66A6E4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18</w:t>
            </w:r>
          </w:p>
        </w:tc>
        <w:tc>
          <w:tcPr>
            <w:tcW w:w="523" w:type="pct"/>
            <w:tcBorders>
              <w:top w:val="single" w:color="auto" w:sz="4" w:space="0"/>
              <w:left w:val="single" w:color="auto" w:sz="4" w:space="0"/>
              <w:bottom w:val="single" w:color="auto" w:sz="4" w:space="0"/>
              <w:right w:val="single" w:color="auto" w:sz="4" w:space="0"/>
            </w:tcBorders>
            <w:vAlign w:val="center"/>
          </w:tcPr>
          <w:p w14:paraId="2B8A112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20.1</w:t>
            </w:r>
          </w:p>
        </w:tc>
        <w:tc>
          <w:tcPr>
            <w:tcW w:w="1092" w:type="pct"/>
            <w:tcBorders>
              <w:top w:val="single" w:color="auto" w:sz="4" w:space="0"/>
              <w:left w:val="single" w:color="auto" w:sz="4" w:space="0"/>
              <w:bottom w:val="single" w:color="auto" w:sz="4" w:space="0"/>
              <w:right w:val="single" w:color="auto" w:sz="4" w:space="0"/>
            </w:tcBorders>
            <w:vAlign w:val="center"/>
          </w:tcPr>
          <w:p w14:paraId="6AC14FE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开标开始时间和地点</w:t>
            </w:r>
          </w:p>
        </w:tc>
        <w:tc>
          <w:tcPr>
            <w:tcW w:w="3012" w:type="pct"/>
            <w:tcBorders>
              <w:top w:val="single" w:color="auto" w:sz="4" w:space="0"/>
              <w:left w:val="single" w:color="auto" w:sz="4" w:space="0"/>
              <w:bottom w:val="single" w:color="auto" w:sz="4" w:space="0"/>
              <w:right w:val="double" w:color="auto" w:sz="4" w:space="0"/>
            </w:tcBorders>
            <w:vAlign w:val="center"/>
          </w:tcPr>
          <w:p w14:paraId="1523FE8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（技术标和经济标同时开标）</w:t>
            </w:r>
          </w:p>
          <w:p w14:paraId="20E778A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6B0D48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14:paraId="7797FE6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w:t>
            </w:r>
          </w:p>
          <w:p w14:paraId="1D07BE04">
            <w:pPr>
              <w:spacing w:line="360" w:lineRule="auto"/>
              <w:rPr>
                <w:rFonts w:hint="eastAsia" w:ascii="宋体" w:hAnsi="宋体" w:cs="宋体"/>
                <w:color w:val="auto"/>
                <w:szCs w:val="21"/>
                <w:highlight w:val="none"/>
              </w:rPr>
            </w:pPr>
            <w:r>
              <w:rPr>
                <w:rFonts w:hint="eastAsia" w:ascii="宋体" w:hAnsi="宋体" w:cs="宋体"/>
                <w:color w:val="auto"/>
                <w:highlight w:val="none"/>
                <w:u w:val="single"/>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tc>
      </w:tr>
      <w:tr w14:paraId="763A48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72" w:type="pct"/>
            <w:tcBorders>
              <w:top w:val="single" w:color="auto" w:sz="4" w:space="0"/>
              <w:left w:val="double" w:color="auto" w:sz="4" w:space="0"/>
              <w:bottom w:val="single" w:color="auto" w:sz="4" w:space="0"/>
              <w:right w:val="single" w:color="auto" w:sz="4" w:space="0"/>
            </w:tcBorders>
            <w:vAlign w:val="center"/>
          </w:tcPr>
          <w:p w14:paraId="2D6ABD5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19</w:t>
            </w:r>
          </w:p>
        </w:tc>
        <w:tc>
          <w:tcPr>
            <w:tcW w:w="523" w:type="pct"/>
            <w:tcBorders>
              <w:top w:val="single" w:color="auto" w:sz="4" w:space="0"/>
              <w:left w:val="single" w:color="auto" w:sz="4" w:space="0"/>
              <w:bottom w:val="single" w:color="auto" w:sz="4" w:space="0"/>
              <w:right w:val="single" w:color="auto" w:sz="4" w:space="0"/>
            </w:tcBorders>
            <w:vAlign w:val="center"/>
          </w:tcPr>
          <w:p w14:paraId="72EE804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w:t>
            </w:r>
          </w:p>
        </w:tc>
        <w:tc>
          <w:tcPr>
            <w:tcW w:w="1092" w:type="pct"/>
            <w:tcBorders>
              <w:top w:val="single" w:color="auto" w:sz="4" w:space="0"/>
              <w:left w:val="single" w:color="auto" w:sz="4" w:space="0"/>
              <w:bottom w:val="single" w:color="auto" w:sz="4" w:space="0"/>
              <w:right w:val="single" w:color="auto" w:sz="4" w:space="0"/>
            </w:tcBorders>
            <w:vAlign w:val="center"/>
          </w:tcPr>
          <w:p w14:paraId="42BD18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开标评标办法</w:t>
            </w:r>
          </w:p>
        </w:tc>
        <w:tc>
          <w:tcPr>
            <w:tcW w:w="3012" w:type="pct"/>
            <w:tcBorders>
              <w:top w:val="single" w:color="auto" w:sz="4" w:space="0"/>
              <w:left w:val="single" w:color="auto" w:sz="4" w:space="0"/>
              <w:bottom w:val="single" w:color="auto" w:sz="4" w:space="0"/>
              <w:right w:val="double" w:color="auto" w:sz="4" w:space="0"/>
            </w:tcBorders>
            <w:vAlign w:val="center"/>
          </w:tcPr>
          <w:p w14:paraId="6B4FFA18">
            <w:pPr>
              <w:spacing w:line="360" w:lineRule="auto"/>
              <w:rPr>
                <w:rFonts w:hint="eastAsia" w:ascii="宋体" w:hAnsi="宋体" w:cs="宋体"/>
                <w:color w:val="auto"/>
                <w:szCs w:val="21"/>
                <w:highlight w:val="none"/>
              </w:rPr>
            </w:pPr>
            <w:r>
              <w:rPr>
                <w:rFonts w:hint="eastAsia" w:ascii="宋体" w:hAnsi="宋体" w:cs="宋体"/>
                <w:color w:val="auto"/>
                <w:highlight w:val="none"/>
              </w:rPr>
              <w:t>方式一：选取方法七（适合综合评分法四，技术标与经济标同时开启）</w:t>
            </w:r>
          </w:p>
        </w:tc>
      </w:tr>
      <w:tr w14:paraId="43F7DB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2" w:type="pct"/>
            <w:tcBorders>
              <w:top w:val="single" w:color="auto" w:sz="4" w:space="0"/>
              <w:left w:val="double" w:color="auto" w:sz="4" w:space="0"/>
              <w:bottom w:val="single" w:color="auto" w:sz="4" w:space="0"/>
              <w:right w:val="single" w:color="auto" w:sz="4" w:space="0"/>
            </w:tcBorders>
            <w:vAlign w:val="center"/>
          </w:tcPr>
          <w:p w14:paraId="350E8C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20</w:t>
            </w:r>
          </w:p>
        </w:tc>
        <w:tc>
          <w:tcPr>
            <w:tcW w:w="523" w:type="pct"/>
            <w:tcBorders>
              <w:top w:val="single" w:color="auto" w:sz="4" w:space="0"/>
              <w:left w:val="single" w:color="auto" w:sz="4" w:space="0"/>
              <w:bottom w:val="single" w:color="auto" w:sz="4" w:space="0"/>
              <w:right w:val="single" w:color="auto" w:sz="4" w:space="0"/>
            </w:tcBorders>
            <w:vAlign w:val="center"/>
          </w:tcPr>
          <w:p w14:paraId="0A231B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29.1</w:t>
            </w:r>
          </w:p>
        </w:tc>
        <w:tc>
          <w:tcPr>
            <w:tcW w:w="1092" w:type="pct"/>
            <w:tcBorders>
              <w:top w:val="single" w:color="auto" w:sz="4" w:space="0"/>
              <w:left w:val="single" w:color="auto" w:sz="4" w:space="0"/>
              <w:bottom w:val="single" w:color="auto" w:sz="4" w:space="0"/>
              <w:right w:val="single" w:color="auto" w:sz="4" w:space="0"/>
            </w:tcBorders>
            <w:vAlign w:val="center"/>
          </w:tcPr>
          <w:p w14:paraId="7FE37A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3012" w:type="pct"/>
            <w:tcBorders>
              <w:top w:val="single" w:color="auto" w:sz="4" w:space="0"/>
              <w:left w:val="single" w:color="auto" w:sz="4" w:space="0"/>
              <w:bottom w:val="single" w:color="auto" w:sz="4" w:space="0"/>
              <w:right w:val="double" w:color="auto" w:sz="4" w:space="0"/>
            </w:tcBorders>
            <w:vAlign w:val="center"/>
          </w:tcPr>
          <w:p w14:paraId="54CC7D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方式一：中标人自主选择提供履约保证金金额的形式，履约保证金为中标价款的10%。</w:t>
            </w:r>
          </w:p>
        </w:tc>
      </w:tr>
      <w:tr w14:paraId="3E8A25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372" w:type="pct"/>
            <w:tcBorders>
              <w:top w:val="single" w:color="auto" w:sz="4" w:space="0"/>
              <w:left w:val="double" w:color="auto" w:sz="4" w:space="0"/>
              <w:bottom w:val="single" w:color="auto" w:sz="4" w:space="0"/>
              <w:right w:val="single" w:color="auto" w:sz="4" w:space="0"/>
            </w:tcBorders>
            <w:vAlign w:val="center"/>
          </w:tcPr>
          <w:p w14:paraId="16BB706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w:t>
            </w:r>
          </w:p>
        </w:tc>
        <w:tc>
          <w:tcPr>
            <w:tcW w:w="523" w:type="pct"/>
            <w:tcBorders>
              <w:top w:val="single" w:color="auto" w:sz="4" w:space="0"/>
              <w:left w:val="single" w:color="auto" w:sz="4" w:space="0"/>
              <w:bottom w:val="single" w:color="auto" w:sz="4" w:space="0"/>
              <w:right w:val="single" w:color="auto" w:sz="4" w:space="0"/>
            </w:tcBorders>
            <w:vAlign w:val="center"/>
          </w:tcPr>
          <w:p w14:paraId="2FD2F5B5">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4B28EA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3012" w:type="pct"/>
            <w:tcBorders>
              <w:top w:val="single" w:color="auto" w:sz="4" w:space="0"/>
              <w:left w:val="single" w:color="auto" w:sz="4" w:space="0"/>
              <w:bottom w:val="single" w:color="auto" w:sz="4" w:space="0"/>
              <w:right w:val="double" w:color="auto" w:sz="4" w:space="0"/>
            </w:tcBorders>
            <w:vAlign w:val="center"/>
          </w:tcPr>
          <w:p w14:paraId="7BBE266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183,372,860.62</w:t>
            </w:r>
            <w:r>
              <w:rPr>
                <w:rFonts w:hint="eastAsia" w:ascii="宋体" w:hAnsi="宋体" w:cs="宋体"/>
                <w:color w:val="auto"/>
                <w:szCs w:val="21"/>
                <w:highlight w:val="none"/>
                <w:u w:val="single"/>
              </w:rPr>
              <w:t>元（其中二次装修工程费最高投标限价12,342,452.69</w:t>
            </w:r>
            <w:r>
              <w:rPr>
                <w:rFonts w:hint="eastAsia" w:ascii="宋体" w:hAnsi="宋体" w:cs="宋体"/>
                <w:color w:val="auto"/>
                <w:sz w:val="20"/>
                <w:szCs w:val="20"/>
                <w:highlight w:val="none"/>
                <w:u w:val="single"/>
              </w:rPr>
              <w:t xml:space="preserve"> </w:t>
            </w:r>
            <w:r>
              <w:rPr>
                <w:rFonts w:hint="eastAsia" w:ascii="宋体" w:hAnsi="宋体" w:cs="宋体"/>
                <w:color w:val="auto"/>
                <w:szCs w:val="21"/>
                <w:highlight w:val="none"/>
                <w:u w:val="single"/>
              </w:rPr>
              <w:t>元，外立面工程费最高投标限</w:t>
            </w:r>
            <w:r>
              <w:rPr>
                <w:rFonts w:hint="eastAsia" w:ascii="宋体" w:hAnsi="宋体" w:cs="宋体"/>
                <w:color w:val="auto"/>
                <w:szCs w:val="21"/>
                <w:highlight w:val="none"/>
                <w:u w:val="single"/>
                <w:lang w:val="en-US" w:eastAsia="zh-CN"/>
              </w:rPr>
              <w:t>价16,688,637.52元</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8D56B8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详见招标人最终发出的《最高投标限价公布函》，投标总报价或各工程总报价超过对应最高投标限价的投标文件将被拒绝。</w:t>
            </w:r>
          </w:p>
        </w:tc>
      </w:tr>
      <w:tr w14:paraId="6AD74C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372" w:type="pct"/>
            <w:tcBorders>
              <w:top w:val="single" w:color="auto" w:sz="4" w:space="0"/>
              <w:left w:val="double" w:color="auto" w:sz="4" w:space="0"/>
              <w:bottom w:val="single" w:color="auto" w:sz="4" w:space="0"/>
              <w:right w:val="single" w:color="auto" w:sz="4" w:space="0"/>
            </w:tcBorders>
            <w:vAlign w:val="center"/>
          </w:tcPr>
          <w:p w14:paraId="54C8DB3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w:t>
            </w:r>
          </w:p>
        </w:tc>
        <w:tc>
          <w:tcPr>
            <w:tcW w:w="523" w:type="pct"/>
            <w:tcBorders>
              <w:top w:val="single" w:color="auto" w:sz="4" w:space="0"/>
              <w:left w:val="single" w:color="auto" w:sz="4" w:space="0"/>
              <w:bottom w:val="single" w:color="auto" w:sz="4" w:space="0"/>
              <w:right w:val="single" w:color="auto" w:sz="4" w:space="0"/>
            </w:tcBorders>
            <w:vAlign w:val="center"/>
          </w:tcPr>
          <w:p w14:paraId="388DE8A7">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372320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非竞争费用</w:t>
            </w:r>
          </w:p>
        </w:tc>
        <w:tc>
          <w:tcPr>
            <w:tcW w:w="3012" w:type="pct"/>
            <w:tcBorders>
              <w:top w:val="single" w:color="auto" w:sz="4" w:space="0"/>
              <w:left w:val="single" w:color="auto" w:sz="4" w:space="0"/>
              <w:bottom w:val="single" w:color="auto" w:sz="4" w:space="0"/>
              <w:right w:val="double" w:color="auto" w:sz="4" w:space="0"/>
            </w:tcBorders>
            <w:vAlign w:val="center"/>
          </w:tcPr>
          <w:p w14:paraId="5996C34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rPr>
              <w:t xml:space="preserve"> 9,534,900.63  </w:t>
            </w:r>
            <w:r>
              <w:rPr>
                <w:rFonts w:hint="eastAsia" w:ascii="宋体" w:hAnsi="宋体" w:cs="宋体"/>
                <w:color w:val="auto"/>
                <w:szCs w:val="21"/>
                <w:highlight w:val="none"/>
              </w:rPr>
              <w:t>元</w:t>
            </w:r>
          </w:p>
          <w:p w14:paraId="07CD6B1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暂列金额为</w:t>
            </w:r>
            <w:r>
              <w:rPr>
                <w:rFonts w:hint="eastAsia" w:ascii="宋体" w:hAnsi="宋体" w:cs="宋体"/>
                <w:color w:val="auto"/>
                <w:szCs w:val="21"/>
                <w:highlight w:val="none"/>
                <w:u w:val="single"/>
              </w:rPr>
              <w:t xml:space="preserve"> 13,052,771.08  </w:t>
            </w:r>
            <w:r>
              <w:rPr>
                <w:rFonts w:hint="eastAsia" w:ascii="宋体" w:hAnsi="宋体" w:cs="宋体"/>
                <w:color w:val="auto"/>
                <w:szCs w:val="21"/>
                <w:highlight w:val="none"/>
              </w:rPr>
              <w:t>元</w:t>
            </w:r>
          </w:p>
          <w:p w14:paraId="6E91CFA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暂估价为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元。（未按招标文件规定的金额填写的，由评标委员会按照招标文件规定的金额进行修正）</w:t>
            </w:r>
          </w:p>
        </w:tc>
      </w:tr>
      <w:tr w14:paraId="026AF3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372" w:type="pct"/>
            <w:tcBorders>
              <w:top w:val="single" w:color="auto" w:sz="4" w:space="0"/>
              <w:left w:val="double" w:color="auto" w:sz="4" w:space="0"/>
              <w:bottom w:val="single" w:color="auto" w:sz="4" w:space="0"/>
              <w:right w:val="single" w:color="auto" w:sz="4" w:space="0"/>
            </w:tcBorders>
            <w:vAlign w:val="center"/>
          </w:tcPr>
          <w:p w14:paraId="60ACEAB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23</w:t>
            </w:r>
          </w:p>
        </w:tc>
        <w:tc>
          <w:tcPr>
            <w:tcW w:w="523" w:type="pct"/>
            <w:tcBorders>
              <w:top w:val="single" w:color="auto" w:sz="4" w:space="0"/>
              <w:left w:val="single" w:color="auto" w:sz="4" w:space="0"/>
              <w:bottom w:val="single" w:color="auto" w:sz="4" w:space="0"/>
              <w:right w:val="single" w:color="auto" w:sz="4" w:space="0"/>
            </w:tcBorders>
            <w:vAlign w:val="center"/>
          </w:tcPr>
          <w:p w14:paraId="64B64BDF">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4089837A">
            <w:pPr>
              <w:pStyle w:val="20"/>
              <w:spacing w:line="360" w:lineRule="auto"/>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w:t>
            </w:r>
          </w:p>
        </w:tc>
        <w:tc>
          <w:tcPr>
            <w:tcW w:w="3012" w:type="pct"/>
            <w:tcBorders>
              <w:top w:val="single" w:color="auto" w:sz="4" w:space="0"/>
              <w:left w:val="single" w:color="auto" w:sz="4" w:space="0"/>
              <w:bottom w:val="single" w:color="auto" w:sz="4" w:space="0"/>
              <w:right w:val="double" w:color="auto" w:sz="4" w:space="0"/>
            </w:tcBorders>
            <w:vAlign w:val="center"/>
          </w:tcPr>
          <w:p w14:paraId="7685B4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14:paraId="330AE0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2" w:type="pct"/>
            <w:tcBorders>
              <w:top w:val="single" w:color="auto" w:sz="4" w:space="0"/>
              <w:left w:val="double" w:color="auto" w:sz="4" w:space="0"/>
              <w:bottom w:val="single" w:color="auto" w:sz="4" w:space="0"/>
              <w:right w:val="single" w:color="auto" w:sz="4" w:space="0"/>
            </w:tcBorders>
            <w:vAlign w:val="center"/>
          </w:tcPr>
          <w:p w14:paraId="5C0F8DD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24</w:t>
            </w:r>
          </w:p>
        </w:tc>
        <w:tc>
          <w:tcPr>
            <w:tcW w:w="523" w:type="pct"/>
            <w:tcBorders>
              <w:top w:val="single" w:color="auto" w:sz="4" w:space="0"/>
              <w:left w:val="single" w:color="auto" w:sz="4" w:space="0"/>
              <w:bottom w:val="single" w:color="auto" w:sz="4" w:space="0"/>
              <w:right w:val="single" w:color="auto" w:sz="4" w:space="0"/>
            </w:tcBorders>
            <w:vAlign w:val="center"/>
          </w:tcPr>
          <w:p w14:paraId="5BC174D5">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27ABE64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3012" w:type="pct"/>
            <w:tcBorders>
              <w:top w:val="single" w:color="auto" w:sz="4" w:space="0"/>
              <w:left w:val="single" w:color="auto" w:sz="4" w:space="0"/>
              <w:bottom w:val="single" w:color="auto" w:sz="4" w:space="0"/>
              <w:right w:val="double" w:color="auto" w:sz="4" w:space="0"/>
            </w:tcBorders>
            <w:vAlign w:val="center"/>
          </w:tcPr>
          <w:p w14:paraId="08AEC01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本款不适用。</w:t>
            </w:r>
          </w:p>
        </w:tc>
      </w:tr>
      <w:tr w14:paraId="4C9F3F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434451C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25</w:t>
            </w:r>
          </w:p>
        </w:tc>
        <w:tc>
          <w:tcPr>
            <w:tcW w:w="523" w:type="pct"/>
            <w:tcBorders>
              <w:top w:val="single" w:color="auto" w:sz="4" w:space="0"/>
              <w:left w:val="single" w:color="auto" w:sz="4" w:space="0"/>
              <w:bottom w:val="single" w:color="auto" w:sz="4" w:space="0"/>
              <w:right w:val="single" w:color="auto" w:sz="4" w:space="0"/>
            </w:tcBorders>
            <w:vAlign w:val="center"/>
          </w:tcPr>
          <w:p w14:paraId="2F026E07">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0B43CC80">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rPr>
              <w:t>进入第二阶段评审的家数</w:t>
            </w:r>
          </w:p>
        </w:tc>
        <w:tc>
          <w:tcPr>
            <w:tcW w:w="3012" w:type="pct"/>
            <w:tcBorders>
              <w:top w:val="single" w:color="auto" w:sz="4" w:space="0"/>
              <w:left w:val="single" w:color="auto" w:sz="4" w:space="0"/>
              <w:bottom w:val="single" w:color="auto" w:sz="4" w:space="0"/>
              <w:right w:val="double" w:color="auto" w:sz="4" w:space="0"/>
            </w:tcBorders>
            <w:vAlign w:val="center"/>
          </w:tcPr>
          <w:p w14:paraId="430908B1">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rPr>
              <w:t>本款不适用。</w:t>
            </w:r>
          </w:p>
        </w:tc>
      </w:tr>
      <w:tr w14:paraId="5ACBCB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1440AE8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w:t>
            </w:r>
          </w:p>
        </w:tc>
        <w:tc>
          <w:tcPr>
            <w:tcW w:w="523" w:type="pct"/>
            <w:tcBorders>
              <w:top w:val="single" w:color="auto" w:sz="4" w:space="0"/>
              <w:left w:val="single" w:color="auto" w:sz="4" w:space="0"/>
              <w:bottom w:val="single" w:color="auto" w:sz="4" w:space="0"/>
              <w:right w:val="single" w:color="auto" w:sz="4" w:space="0"/>
            </w:tcBorders>
            <w:vAlign w:val="center"/>
          </w:tcPr>
          <w:p w14:paraId="10744E7B">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58F38B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工程成本警戒价</w:t>
            </w:r>
          </w:p>
        </w:tc>
        <w:tc>
          <w:tcPr>
            <w:tcW w:w="3012" w:type="pct"/>
            <w:tcBorders>
              <w:top w:val="single" w:color="auto" w:sz="4" w:space="0"/>
              <w:left w:val="single" w:color="auto" w:sz="4" w:space="0"/>
              <w:bottom w:val="single" w:color="auto" w:sz="4" w:space="0"/>
              <w:right w:val="double" w:color="auto" w:sz="4" w:space="0"/>
            </w:tcBorders>
            <w:vAlign w:val="center"/>
          </w:tcPr>
          <w:p w14:paraId="71884B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szCs w:val="21"/>
                <w:highlight w:val="none"/>
                <w:u w:val="single"/>
              </w:rPr>
              <w:t xml:space="preserve">  155,866,931.53  </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rPr>
              <w:t>对低于对应警戒价的投标总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4CEC0E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14:paraId="6C6445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5756DF99">
            <w:pPr>
              <w:jc w:val="left"/>
              <w:rPr>
                <w:rFonts w:hint="eastAsia" w:ascii="宋体" w:hAnsi="宋体" w:cs="宋体"/>
                <w:color w:val="auto"/>
                <w:szCs w:val="21"/>
                <w:highlight w:val="none"/>
              </w:rPr>
            </w:pPr>
            <w:r>
              <w:rPr>
                <w:rFonts w:hint="eastAsia" w:ascii="宋体" w:hAnsi="宋体" w:cs="宋体"/>
                <w:color w:val="auto"/>
                <w:szCs w:val="21"/>
                <w:highlight w:val="none"/>
              </w:rPr>
              <w:t>27</w:t>
            </w:r>
          </w:p>
        </w:tc>
        <w:tc>
          <w:tcPr>
            <w:tcW w:w="523" w:type="pct"/>
            <w:tcBorders>
              <w:top w:val="single" w:color="auto" w:sz="4" w:space="0"/>
              <w:left w:val="single" w:color="auto" w:sz="4" w:space="0"/>
              <w:bottom w:val="single" w:color="auto" w:sz="4" w:space="0"/>
              <w:right w:val="single" w:color="auto" w:sz="4" w:space="0"/>
            </w:tcBorders>
            <w:vAlign w:val="center"/>
          </w:tcPr>
          <w:p w14:paraId="3ACCE625">
            <w:pPr>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61A5F3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各分值的权重</w:t>
            </w:r>
          </w:p>
        </w:tc>
        <w:tc>
          <w:tcPr>
            <w:tcW w:w="3012" w:type="pct"/>
            <w:tcBorders>
              <w:top w:val="single" w:color="auto" w:sz="4" w:space="0"/>
              <w:left w:val="single" w:color="auto" w:sz="4" w:space="0"/>
              <w:bottom w:val="single" w:color="auto" w:sz="4" w:space="0"/>
              <w:right w:val="double" w:color="auto" w:sz="4" w:space="0"/>
            </w:tcBorders>
            <w:vAlign w:val="center"/>
          </w:tcPr>
          <w:p w14:paraId="366A4338">
            <w:pPr>
              <w:pStyle w:val="20"/>
              <w:spacing w:line="360" w:lineRule="atLeast"/>
              <w:ind w:hanging="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投标人总得分=技术分（满分100分）×20%（技术权重）＋经济分（满分100分）×80%（经济权重）</w:t>
            </w:r>
          </w:p>
          <w:p w14:paraId="25A17ABC">
            <w:pPr>
              <w:pStyle w:val="20"/>
              <w:spacing w:line="360" w:lineRule="atLeast"/>
              <w:ind w:hanging="1"/>
              <w:rPr>
                <w:rFonts w:hint="eastAsia" w:ascii="宋体" w:hAnsi="宋体" w:eastAsia="宋体" w:cs="宋体"/>
                <w:b/>
                <w:color w:val="auto"/>
                <w:szCs w:val="21"/>
                <w:highlight w:val="none"/>
              </w:rPr>
            </w:pPr>
            <w:r>
              <w:rPr>
                <w:rFonts w:hint="eastAsia" w:ascii="宋体" w:hAnsi="宋体" w:cs="宋体"/>
                <w:color w:val="auto"/>
                <w:szCs w:val="21"/>
                <w:highlight w:val="none"/>
              </w:rPr>
              <w:t>对于低于成本警戒价的投标人，不再对经济标部分进行评审。</w:t>
            </w:r>
          </w:p>
          <w:p w14:paraId="3EEE4B66">
            <w:pPr>
              <w:spacing w:line="360" w:lineRule="atLeast"/>
              <w:rPr>
                <w:rFonts w:hint="eastAsia" w:ascii="宋体" w:hAnsi="宋体" w:cs="宋体"/>
                <w:color w:val="auto"/>
                <w:szCs w:val="21"/>
                <w:highlight w:val="none"/>
                <w:u w:val="single"/>
              </w:rPr>
            </w:pPr>
            <w:r>
              <w:rPr>
                <w:rFonts w:hint="eastAsia" w:ascii="宋体" w:hAnsi="宋体" w:cs="宋体"/>
                <w:color w:val="auto"/>
                <w:szCs w:val="21"/>
                <w:highlight w:val="none"/>
                <w:u w:val="single"/>
              </w:rPr>
              <w:t>计算方式相同情况下的总得分分数相同的排序方法：总得分相同的投标文件，以技术分高的排前；总得分及技术分均相同的投标文件，以投标总报价低的排前；如仍存在相同情况，则对具有相同情况的投标人，由评标委员会采用记名投票方式，确定投标人的排序。</w:t>
            </w:r>
          </w:p>
          <w:p w14:paraId="56CF5E5F">
            <w:pPr>
              <w:spacing w:line="360" w:lineRule="atLeast"/>
              <w:rPr>
                <w:rFonts w:hint="eastAsia" w:ascii="宋体" w:hAnsi="宋体" w:cs="宋体"/>
                <w:color w:val="auto"/>
                <w:szCs w:val="21"/>
                <w:highlight w:val="none"/>
              </w:rPr>
            </w:pPr>
            <w:r>
              <w:rPr>
                <w:rFonts w:hint="eastAsia" w:ascii="宋体" w:hAnsi="宋体" w:cs="宋体"/>
                <w:color w:val="auto"/>
                <w:szCs w:val="21"/>
                <w:highlight w:val="none"/>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14:paraId="5C6BE2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5DDC09D0">
            <w:pPr>
              <w:jc w:val="left"/>
              <w:rPr>
                <w:rFonts w:hint="eastAsia" w:ascii="宋体" w:hAnsi="宋体" w:cs="宋体"/>
                <w:color w:val="auto"/>
                <w:szCs w:val="21"/>
                <w:highlight w:val="none"/>
              </w:rPr>
            </w:pPr>
            <w:r>
              <w:rPr>
                <w:rFonts w:hint="eastAsia" w:ascii="宋体" w:hAnsi="宋体" w:cs="宋体"/>
                <w:color w:val="auto"/>
                <w:szCs w:val="21"/>
                <w:highlight w:val="none"/>
              </w:rPr>
              <w:t>28</w:t>
            </w:r>
          </w:p>
        </w:tc>
        <w:tc>
          <w:tcPr>
            <w:tcW w:w="523" w:type="pct"/>
            <w:tcBorders>
              <w:top w:val="single" w:color="auto" w:sz="4" w:space="0"/>
              <w:left w:val="single" w:color="auto" w:sz="4" w:space="0"/>
              <w:bottom w:val="single" w:color="auto" w:sz="4" w:space="0"/>
              <w:right w:val="single" w:color="auto" w:sz="4" w:space="0"/>
            </w:tcBorders>
            <w:vAlign w:val="center"/>
          </w:tcPr>
          <w:p w14:paraId="5D7153B1">
            <w:pPr>
              <w:rPr>
                <w:rFonts w:hint="eastAsia" w:ascii="宋体" w:hAnsi="宋体" w:cs="宋体"/>
                <w:color w:val="auto"/>
                <w:szCs w:val="21"/>
                <w:highlight w:val="none"/>
              </w:rPr>
            </w:pPr>
            <w:r>
              <w:rPr>
                <w:rFonts w:hint="eastAsia" w:ascii="宋体" w:hAnsi="宋体" w:cs="宋体"/>
                <w:color w:val="auto"/>
                <w:szCs w:val="21"/>
                <w:highlight w:val="none"/>
              </w:rPr>
              <w:t>35.13</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14:paraId="5FA4930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采用评定分离定标办法</w:t>
            </w:r>
          </w:p>
        </w:tc>
        <w:tc>
          <w:tcPr>
            <w:tcW w:w="3012" w:type="pct"/>
            <w:tcBorders>
              <w:top w:val="single" w:color="auto" w:sz="4" w:space="0"/>
              <w:left w:val="single" w:color="auto" w:sz="4" w:space="0"/>
              <w:bottom w:val="single" w:color="auto" w:sz="4" w:space="0"/>
              <w:right w:val="double" w:color="auto" w:sz="4" w:space="0"/>
            </w:tcBorders>
            <w:shd w:val="clear" w:color="auto" w:fill="auto"/>
            <w:vAlign w:val="center"/>
          </w:tcPr>
          <w:p w14:paraId="47AA4D30">
            <w:pPr>
              <w:spacing w:line="276" w:lineRule="auto"/>
              <w:jc w:val="left"/>
              <w:rPr>
                <w:color w:val="auto"/>
                <w:highlight w:val="none"/>
              </w:rPr>
            </w:pPr>
            <w:r>
              <w:rPr>
                <w:rFonts w:hint="eastAsia" w:ascii="宋体" w:hAnsi="宋体" w:cs="宋体"/>
                <w:bCs/>
                <w:color w:val="auto"/>
                <w:szCs w:val="21"/>
                <w:highlight w:val="none"/>
                <w:u w:val="single"/>
                <w:lang w:bidi="ar"/>
              </w:rPr>
              <w:t>1.评标采用“有限数量制”推荐合格中标候选人。评标委员会应按照招标文件规定，推荐[3,10]不排序的合格中标候选人进入定标阶段【不排序，按统一社会信用代码后4位（除校验码外）大小排位，如统一社会信用代码后4位出现字母情况的，字母以“0”进行代替大小排位；如出现后4位（除校验码外）大小一致的，则随机排位。若为联合体投标，按联合体主办方的统一社会信用代码排序】。</w:t>
            </w:r>
          </w:p>
          <w:p w14:paraId="6B6000C1">
            <w:pPr>
              <w:numPr>
                <w:ilvl w:val="255"/>
                <w:numId w:val="0"/>
              </w:numPr>
              <w:snapToGrid w:val="0"/>
              <w:spacing w:line="360" w:lineRule="auto"/>
              <w:jc w:val="left"/>
              <w:rPr>
                <w:rFonts w:hint="eastAsia" w:ascii="宋体" w:hAnsi="宋体" w:cs="宋体"/>
                <w:color w:val="auto"/>
                <w:szCs w:val="21"/>
                <w:highlight w:val="none"/>
                <w:u w:val="single"/>
              </w:rPr>
            </w:pPr>
            <w:r>
              <w:rPr>
                <w:rFonts w:hint="eastAsia" w:ascii="宋体" w:hAnsi="宋体" w:cs="宋体"/>
                <w:bCs/>
                <w:color w:val="auto"/>
                <w:szCs w:val="21"/>
                <w:highlight w:val="none"/>
                <w:lang w:bidi="ar"/>
              </w:rPr>
              <w:t>2.</w:t>
            </w:r>
            <w:r>
              <w:rPr>
                <w:rFonts w:hint="eastAsia" w:ascii="宋体" w:hAnsi="宋体" w:cs="宋体"/>
                <w:bCs/>
                <w:color w:val="auto"/>
                <w:szCs w:val="21"/>
                <w:highlight w:val="none"/>
                <w:u w:val="single"/>
              </w:rPr>
              <w:t>定标采用“方案因素评定法+价格因素评定法+答辩因素评定法”，其中：总得分（100分）=方案因素（50分）+价格因素（20分）+答辩因素（30分）。</w:t>
            </w:r>
          </w:p>
          <w:p w14:paraId="5D09CF8B">
            <w:pPr>
              <w:spacing w:line="276" w:lineRule="auto"/>
              <w:rPr>
                <w:rFonts w:hint="eastAsia" w:ascii="宋体" w:hAnsi="宋体" w:cs="宋体"/>
                <w:color w:val="auto"/>
                <w:szCs w:val="21"/>
                <w:highlight w:val="none"/>
                <w:u w:val="single"/>
              </w:rPr>
            </w:pPr>
            <w:r>
              <w:rPr>
                <w:rFonts w:hint="eastAsia" w:ascii="宋体" w:hAnsi="宋体" w:cs="宋体"/>
                <w:bCs/>
                <w:color w:val="auto"/>
                <w:szCs w:val="21"/>
                <w:highlight w:val="none"/>
                <w:u w:val="single"/>
                <w:lang w:bidi="ar"/>
              </w:rPr>
              <w:t>具体详见《定标因素表》</w:t>
            </w:r>
          </w:p>
        </w:tc>
      </w:tr>
      <w:tr w14:paraId="4D27F3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2" w:type="pct"/>
            <w:vMerge w:val="restart"/>
            <w:tcBorders>
              <w:top w:val="single" w:color="auto" w:sz="4" w:space="0"/>
              <w:left w:val="double" w:color="auto" w:sz="4" w:space="0"/>
              <w:right w:val="single" w:color="auto" w:sz="4" w:space="0"/>
            </w:tcBorders>
            <w:vAlign w:val="center"/>
          </w:tcPr>
          <w:p w14:paraId="31E9EF5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29</w:t>
            </w:r>
          </w:p>
        </w:tc>
        <w:tc>
          <w:tcPr>
            <w:tcW w:w="523" w:type="pct"/>
            <w:vMerge w:val="restart"/>
            <w:tcBorders>
              <w:top w:val="single" w:color="auto" w:sz="4" w:space="0"/>
              <w:left w:val="single" w:color="auto" w:sz="4" w:space="0"/>
              <w:right w:val="single" w:color="auto" w:sz="4" w:space="0"/>
            </w:tcBorders>
            <w:vAlign w:val="center"/>
          </w:tcPr>
          <w:p w14:paraId="768F3D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42.2</w:t>
            </w:r>
          </w:p>
        </w:tc>
        <w:tc>
          <w:tcPr>
            <w:tcW w:w="1092" w:type="pct"/>
            <w:tcBorders>
              <w:top w:val="single" w:color="auto" w:sz="4" w:space="0"/>
              <w:left w:val="single" w:color="auto" w:sz="4" w:space="0"/>
              <w:right w:val="single" w:color="auto" w:sz="4" w:space="0"/>
            </w:tcBorders>
            <w:vAlign w:val="center"/>
          </w:tcPr>
          <w:p w14:paraId="702C1655">
            <w:pPr>
              <w:rPr>
                <w:rFonts w:hint="eastAsia" w:ascii="宋体" w:hAnsi="宋体" w:cs="宋体"/>
                <w:color w:val="auto"/>
                <w:szCs w:val="21"/>
                <w:highlight w:val="none"/>
              </w:rPr>
            </w:pPr>
            <w:r>
              <w:rPr>
                <w:rFonts w:hint="eastAsia" w:ascii="宋体" w:hAnsi="宋体" w:cs="宋体"/>
                <w:color w:val="auto"/>
                <w:szCs w:val="21"/>
                <w:highlight w:val="none"/>
              </w:rPr>
              <w:t>评标委员会人数</w:t>
            </w:r>
          </w:p>
        </w:tc>
        <w:tc>
          <w:tcPr>
            <w:tcW w:w="3012" w:type="pct"/>
            <w:tcBorders>
              <w:top w:val="single" w:color="auto" w:sz="4" w:space="0"/>
              <w:left w:val="single" w:color="auto" w:sz="4" w:space="0"/>
              <w:bottom w:val="single" w:color="auto" w:sz="4" w:space="0"/>
              <w:right w:val="double" w:color="auto" w:sz="4" w:space="0"/>
            </w:tcBorders>
            <w:vAlign w:val="center"/>
          </w:tcPr>
          <w:p w14:paraId="6661B349">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494090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2" w:type="pct"/>
            <w:vMerge w:val="continue"/>
            <w:tcBorders>
              <w:left w:val="double" w:color="auto" w:sz="4" w:space="0"/>
              <w:right w:val="single" w:color="auto" w:sz="4" w:space="0"/>
            </w:tcBorders>
            <w:vAlign w:val="center"/>
          </w:tcPr>
          <w:p w14:paraId="10C1CC9B">
            <w:pPr>
              <w:spacing w:line="360" w:lineRule="auto"/>
              <w:rPr>
                <w:rFonts w:hint="eastAsia" w:ascii="宋体" w:hAnsi="宋体" w:cs="宋体"/>
                <w:color w:val="auto"/>
                <w:szCs w:val="21"/>
                <w:highlight w:val="none"/>
              </w:rPr>
            </w:pPr>
          </w:p>
        </w:tc>
        <w:tc>
          <w:tcPr>
            <w:tcW w:w="523" w:type="pct"/>
            <w:vMerge w:val="continue"/>
            <w:tcBorders>
              <w:left w:val="single" w:color="auto" w:sz="4" w:space="0"/>
              <w:right w:val="single" w:color="auto" w:sz="4" w:space="0"/>
            </w:tcBorders>
            <w:vAlign w:val="center"/>
          </w:tcPr>
          <w:p w14:paraId="75D31FCF">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right w:val="single" w:color="auto" w:sz="4" w:space="0"/>
            </w:tcBorders>
            <w:vAlign w:val="center"/>
          </w:tcPr>
          <w:p w14:paraId="3F784FAC">
            <w:pPr>
              <w:rPr>
                <w:rFonts w:hint="eastAsia" w:ascii="宋体" w:hAnsi="宋体" w:cs="宋体"/>
                <w:color w:val="auto"/>
                <w:szCs w:val="21"/>
                <w:highlight w:val="none"/>
              </w:rPr>
            </w:pPr>
            <w:r>
              <w:rPr>
                <w:rFonts w:hint="eastAsia" w:ascii="宋体" w:hAnsi="宋体" w:cs="宋体"/>
                <w:color w:val="auto"/>
                <w:szCs w:val="21"/>
                <w:highlight w:val="none"/>
              </w:rPr>
              <w:t>定标委员会人数</w:t>
            </w:r>
          </w:p>
        </w:tc>
        <w:tc>
          <w:tcPr>
            <w:tcW w:w="3012" w:type="pct"/>
            <w:tcBorders>
              <w:top w:val="single" w:color="auto" w:sz="4" w:space="0"/>
              <w:left w:val="single" w:color="auto" w:sz="4" w:space="0"/>
              <w:bottom w:val="single" w:color="auto" w:sz="4" w:space="0"/>
              <w:right w:val="double" w:color="auto" w:sz="4" w:space="0"/>
            </w:tcBorders>
            <w:vAlign w:val="center"/>
          </w:tcPr>
          <w:p w14:paraId="05953C8D">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定标委员会由招标人依法组建。</w:t>
            </w:r>
          </w:p>
        </w:tc>
      </w:tr>
      <w:tr w14:paraId="50966C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4CE6814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30</w:t>
            </w:r>
          </w:p>
        </w:tc>
        <w:tc>
          <w:tcPr>
            <w:tcW w:w="523" w:type="pct"/>
            <w:tcBorders>
              <w:top w:val="single" w:color="auto" w:sz="4" w:space="0"/>
              <w:left w:val="single" w:color="auto" w:sz="4" w:space="0"/>
              <w:bottom w:val="single" w:color="auto" w:sz="4" w:space="0"/>
              <w:right w:val="single" w:color="auto" w:sz="4" w:space="0"/>
            </w:tcBorders>
            <w:vAlign w:val="center"/>
          </w:tcPr>
          <w:p w14:paraId="41FA7695">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40A3FA49">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rPr>
              <w:t>企业综合诚信评价分数</w:t>
            </w:r>
          </w:p>
        </w:tc>
        <w:tc>
          <w:tcPr>
            <w:tcW w:w="3012" w:type="pct"/>
            <w:tcBorders>
              <w:top w:val="single" w:color="auto" w:sz="4" w:space="0"/>
              <w:left w:val="single" w:color="auto" w:sz="4" w:space="0"/>
              <w:bottom w:val="single" w:color="auto" w:sz="4" w:space="0"/>
              <w:right w:val="double" w:color="auto" w:sz="4" w:space="0"/>
            </w:tcBorders>
            <w:vAlign w:val="center"/>
          </w:tcPr>
          <w:p w14:paraId="6DC59949">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本款不适用。</w:t>
            </w:r>
          </w:p>
        </w:tc>
      </w:tr>
      <w:tr w14:paraId="4F441E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trPr>
        <w:tc>
          <w:tcPr>
            <w:tcW w:w="372" w:type="pct"/>
            <w:tcBorders>
              <w:top w:val="single" w:color="auto" w:sz="4" w:space="0"/>
              <w:left w:val="double" w:color="auto" w:sz="4" w:space="0"/>
              <w:bottom w:val="single" w:color="auto" w:sz="4" w:space="0"/>
              <w:right w:val="single" w:color="auto" w:sz="4" w:space="0"/>
            </w:tcBorders>
            <w:vAlign w:val="center"/>
          </w:tcPr>
          <w:p w14:paraId="35C947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31</w:t>
            </w:r>
          </w:p>
        </w:tc>
        <w:tc>
          <w:tcPr>
            <w:tcW w:w="523" w:type="pct"/>
            <w:tcBorders>
              <w:top w:val="single" w:color="auto" w:sz="4" w:space="0"/>
              <w:left w:val="single" w:color="auto" w:sz="4" w:space="0"/>
              <w:bottom w:val="single" w:color="auto" w:sz="4" w:space="0"/>
              <w:right w:val="single" w:color="auto" w:sz="4" w:space="0"/>
            </w:tcBorders>
            <w:vAlign w:val="center"/>
          </w:tcPr>
          <w:p w14:paraId="05CF30F5">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7895E591">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3012" w:type="pct"/>
            <w:tcBorders>
              <w:top w:val="single" w:color="auto" w:sz="4" w:space="0"/>
              <w:left w:val="single" w:color="auto" w:sz="4" w:space="0"/>
              <w:bottom w:val="single" w:color="auto" w:sz="4" w:space="0"/>
              <w:right w:val="double" w:color="auto" w:sz="4" w:space="0"/>
            </w:tcBorders>
            <w:vAlign w:val="center"/>
          </w:tcPr>
          <w:p w14:paraId="2994DF38">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u w:val="single"/>
              </w:rPr>
              <w:t>本款不适用。</w:t>
            </w:r>
          </w:p>
        </w:tc>
      </w:tr>
      <w:tr w14:paraId="667605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034FB5C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32</w:t>
            </w:r>
          </w:p>
        </w:tc>
        <w:tc>
          <w:tcPr>
            <w:tcW w:w="523" w:type="pct"/>
            <w:tcBorders>
              <w:top w:val="single" w:color="auto" w:sz="4" w:space="0"/>
              <w:left w:val="single" w:color="auto" w:sz="4" w:space="0"/>
              <w:bottom w:val="single" w:color="auto" w:sz="4" w:space="0"/>
              <w:right w:val="single" w:color="auto" w:sz="4" w:space="0"/>
            </w:tcBorders>
            <w:vAlign w:val="center"/>
          </w:tcPr>
          <w:p w14:paraId="23FC8083">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28DADB70">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rPr>
              <w:t>经济分相同情况下的排序方法（适用于办法三、办法四）</w:t>
            </w:r>
          </w:p>
        </w:tc>
        <w:tc>
          <w:tcPr>
            <w:tcW w:w="3012" w:type="pct"/>
            <w:tcBorders>
              <w:top w:val="single" w:color="auto" w:sz="4" w:space="0"/>
              <w:left w:val="single" w:color="auto" w:sz="4" w:space="0"/>
              <w:bottom w:val="single" w:color="auto" w:sz="4" w:space="0"/>
              <w:right w:val="double" w:color="auto" w:sz="4" w:space="0"/>
            </w:tcBorders>
            <w:vAlign w:val="center"/>
          </w:tcPr>
          <w:p w14:paraId="6F212ADB">
            <w:pPr>
              <w:spacing w:line="360" w:lineRule="auto"/>
              <w:rPr>
                <w:rFonts w:hint="eastAsia" w:ascii="宋体" w:hAnsi="宋体" w:cs="宋体"/>
                <w:strike/>
                <w:color w:val="auto"/>
                <w:szCs w:val="21"/>
                <w:highlight w:val="none"/>
              </w:rPr>
            </w:pPr>
            <w:r>
              <w:rPr>
                <w:rFonts w:hint="eastAsia" w:ascii="宋体" w:hAnsi="宋体" w:cs="宋体"/>
                <w:color w:val="auto"/>
                <w:szCs w:val="21"/>
                <w:highlight w:val="none"/>
                <w:u w:val="single"/>
              </w:rPr>
              <w:t>本款不适用。</w:t>
            </w:r>
          </w:p>
        </w:tc>
      </w:tr>
      <w:tr w14:paraId="09DE78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58B34AA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33</w:t>
            </w:r>
          </w:p>
        </w:tc>
        <w:tc>
          <w:tcPr>
            <w:tcW w:w="523" w:type="pct"/>
            <w:tcBorders>
              <w:top w:val="single" w:color="auto" w:sz="4" w:space="0"/>
              <w:left w:val="single" w:color="auto" w:sz="4" w:space="0"/>
              <w:bottom w:val="single" w:color="auto" w:sz="4" w:space="0"/>
              <w:right w:val="single" w:color="auto" w:sz="4" w:space="0"/>
            </w:tcBorders>
            <w:vAlign w:val="center"/>
          </w:tcPr>
          <w:p w14:paraId="7144A90F">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721698F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3012" w:type="pct"/>
            <w:tcBorders>
              <w:top w:val="single" w:color="auto" w:sz="4" w:space="0"/>
              <w:left w:val="single" w:color="auto" w:sz="4" w:space="0"/>
              <w:bottom w:val="single" w:color="auto" w:sz="4" w:space="0"/>
              <w:right w:val="double" w:color="auto" w:sz="4" w:space="0"/>
            </w:tcBorders>
            <w:vAlign w:val="center"/>
          </w:tcPr>
          <w:p w14:paraId="67F7009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本款不适用。</w:t>
            </w:r>
          </w:p>
        </w:tc>
      </w:tr>
      <w:tr w14:paraId="4B08DB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372" w:type="pct"/>
            <w:tcBorders>
              <w:top w:val="single" w:color="auto" w:sz="4" w:space="0"/>
              <w:left w:val="double" w:color="auto" w:sz="4" w:space="0"/>
              <w:bottom w:val="single" w:color="auto" w:sz="4" w:space="0"/>
              <w:right w:val="single" w:color="auto" w:sz="4" w:space="0"/>
            </w:tcBorders>
            <w:vAlign w:val="center"/>
          </w:tcPr>
          <w:p w14:paraId="36AE54F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34</w:t>
            </w:r>
          </w:p>
        </w:tc>
        <w:tc>
          <w:tcPr>
            <w:tcW w:w="523" w:type="pct"/>
            <w:tcBorders>
              <w:top w:val="single" w:color="auto" w:sz="4" w:space="0"/>
              <w:left w:val="single" w:color="auto" w:sz="4" w:space="0"/>
              <w:bottom w:val="single" w:color="auto" w:sz="4" w:space="0"/>
              <w:right w:val="single" w:color="auto" w:sz="4" w:space="0"/>
            </w:tcBorders>
            <w:vAlign w:val="center"/>
          </w:tcPr>
          <w:p w14:paraId="58FF68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13.4、13.5.2</w:t>
            </w:r>
          </w:p>
        </w:tc>
        <w:tc>
          <w:tcPr>
            <w:tcW w:w="1092" w:type="pct"/>
            <w:tcBorders>
              <w:top w:val="single" w:color="auto" w:sz="4" w:space="0"/>
              <w:left w:val="single" w:color="auto" w:sz="4" w:space="0"/>
              <w:bottom w:val="single" w:color="auto" w:sz="4" w:space="0"/>
              <w:right w:val="single" w:color="auto" w:sz="4" w:space="0"/>
            </w:tcBorders>
            <w:vAlign w:val="center"/>
          </w:tcPr>
          <w:p w14:paraId="595B69C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合同价款的调整办法</w:t>
            </w:r>
          </w:p>
        </w:tc>
        <w:tc>
          <w:tcPr>
            <w:tcW w:w="3012" w:type="pct"/>
            <w:tcBorders>
              <w:top w:val="single" w:color="auto" w:sz="4" w:space="0"/>
              <w:left w:val="single" w:color="auto" w:sz="4" w:space="0"/>
              <w:bottom w:val="single" w:color="auto" w:sz="4" w:space="0"/>
              <w:right w:val="double" w:color="auto" w:sz="4" w:space="0"/>
            </w:tcBorders>
            <w:vAlign w:val="center"/>
          </w:tcPr>
          <w:p w14:paraId="22F5CEBD">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详见招标文件及相关合同条款。</w:t>
            </w:r>
          </w:p>
        </w:tc>
      </w:tr>
      <w:tr w14:paraId="2BD20F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2DCC9E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35</w:t>
            </w:r>
          </w:p>
        </w:tc>
        <w:tc>
          <w:tcPr>
            <w:tcW w:w="523" w:type="pct"/>
            <w:tcBorders>
              <w:top w:val="single" w:color="auto" w:sz="4" w:space="0"/>
              <w:left w:val="single" w:color="auto" w:sz="4" w:space="0"/>
              <w:bottom w:val="single" w:color="auto" w:sz="4" w:space="0"/>
              <w:right w:val="single" w:color="auto" w:sz="4" w:space="0"/>
            </w:tcBorders>
            <w:vAlign w:val="center"/>
          </w:tcPr>
          <w:p w14:paraId="1DD8DAC7">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234DCD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建设工程质量检测单位</w:t>
            </w:r>
          </w:p>
        </w:tc>
        <w:tc>
          <w:tcPr>
            <w:tcW w:w="3012" w:type="pct"/>
            <w:tcBorders>
              <w:top w:val="single" w:color="auto" w:sz="4" w:space="0"/>
              <w:left w:val="single" w:color="auto" w:sz="4" w:space="0"/>
              <w:bottom w:val="single" w:color="auto" w:sz="4" w:space="0"/>
              <w:right w:val="double" w:color="auto" w:sz="4" w:space="0"/>
            </w:tcBorders>
            <w:vAlign w:val="center"/>
          </w:tcPr>
          <w:p w14:paraId="7AD72C79">
            <w:pPr>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CEE58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34AE35B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36</w:t>
            </w:r>
          </w:p>
        </w:tc>
        <w:tc>
          <w:tcPr>
            <w:tcW w:w="523" w:type="pct"/>
            <w:tcBorders>
              <w:top w:val="single" w:color="auto" w:sz="4" w:space="0"/>
              <w:left w:val="single" w:color="auto" w:sz="4" w:space="0"/>
              <w:bottom w:val="single" w:color="auto" w:sz="4" w:space="0"/>
              <w:right w:val="single" w:color="auto" w:sz="4" w:space="0"/>
            </w:tcBorders>
            <w:vAlign w:val="center"/>
          </w:tcPr>
          <w:p w14:paraId="1A502126">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0F147CF5">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3012" w:type="pct"/>
            <w:tcBorders>
              <w:top w:val="single" w:color="auto" w:sz="4" w:space="0"/>
              <w:left w:val="single" w:color="auto" w:sz="4" w:space="0"/>
              <w:bottom w:val="single" w:color="auto" w:sz="4" w:space="0"/>
              <w:right w:val="double" w:color="auto" w:sz="4" w:space="0"/>
            </w:tcBorders>
            <w:vAlign w:val="center"/>
          </w:tcPr>
          <w:p w14:paraId="200A87CA">
            <w:pPr>
              <w:spacing w:line="360" w:lineRule="auto"/>
              <w:rPr>
                <w:rFonts w:hint="eastAsia" w:ascii="宋体" w:hAnsi="宋体" w:cs="宋体"/>
                <w:color w:val="auto"/>
                <w:kern w:val="0"/>
                <w:szCs w:val="21"/>
                <w:highlight w:val="none"/>
                <w:lang w:val="zh-CN"/>
              </w:rPr>
            </w:pPr>
            <w:r>
              <w:rPr>
                <w:rFonts w:hint="eastAsia" w:ascii="宋体" w:hAnsi="宋体" w:cs="宋体"/>
                <w:color w:val="auto"/>
                <w:szCs w:val="21"/>
                <w:highlight w:val="none"/>
              </w:rPr>
              <w:t>□</w:t>
            </w:r>
            <w:r>
              <w:rPr>
                <w:rFonts w:hint="eastAsia" w:ascii="宋体" w:hAnsi="宋体" w:cs="宋体"/>
                <w:color w:val="auto"/>
                <w:kern w:val="0"/>
                <w:szCs w:val="21"/>
                <w:highlight w:val="none"/>
                <w:lang w:val="zh-CN"/>
              </w:rPr>
              <w:t>不允许；</w:t>
            </w:r>
          </w:p>
          <w:p w14:paraId="4F08207B">
            <w:pPr>
              <w:spacing w:line="360" w:lineRule="auto"/>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w:t>
            </w:r>
            <w:r>
              <w:rPr>
                <w:rFonts w:hint="eastAsia" w:ascii="宋体" w:hAnsi="宋体" w:cs="宋体"/>
                <w:color w:val="auto"/>
                <w:kern w:val="0"/>
                <w:szCs w:val="21"/>
                <w:highlight w:val="none"/>
                <w:lang w:val="zh-CN"/>
              </w:rPr>
              <w:t>允许：分包内容要求：</w:t>
            </w:r>
            <w:r>
              <w:rPr>
                <w:rFonts w:hint="eastAsia" w:ascii="宋体" w:hAnsi="宋体" w:cs="宋体"/>
                <w:color w:val="auto"/>
                <w:kern w:val="0"/>
                <w:szCs w:val="21"/>
                <w:highlight w:val="none"/>
                <w:u w:val="single"/>
                <w:lang w:val="zh-CN"/>
              </w:rPr>
              <w:t>非主体关键工程。</w:t>
            </w:r>
          </w:p>
          <w:p w14:paraId="05D2EF32">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分包金额要求：</w:t>
            </w:r>
            <w:r>
              <w:rPr>
                <w:rFonts w:hint="eastAsia" w:ascii="宋体" w:hAnsi="宋体" w:cs="宋体"/>
                <w:color w:val="auto"/>
                <w:szCs w:val="21"/>
                <w:highlight w:val="none"/>
                <w:u w:val="single"/>
              </w:rPr>
              <w:t>无。</w:t>
            </w:r>
          </w:p>
          <w:p w14:paraId="082F02D8">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lang w:val="zh-CN"/>
              </w:rPr>
              <w:t>符合有关法律法规和文件规定，并不得再次分包。</w:t>
            </w:r>
          </w:p>
          <w:p w14:paraId="0E8CDC5B">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对分包人的其他要求：</w:t>
            </w:r>
            <w:r>
              <w:rPr>
                <w:rFonts w:hint="eastAsia" w:ascii="宋体" w:hAnsi="宋体" w:cs="宋体"/>
                <w:color w:val="auto"/>
                <w:szCs w:val="21"/>
                <w:highlight w:val="none"/>
                <w:u w:val="single"/>
              </w:rPr>
              <w:t>无。</w:t>
            </w:r>
          </w:p>
        </w:tc>
      </w:tr>
      <w:tr w14:paraId="732794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6EBCED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37</w:t>
            </w:r>
          </w:p>
        </w:tc>
        <w:tc>
          <w:tcPr>
            <w:tcW w:w="523" w:type="pct"/>
            <w:tcBorders>
              <w:top w:val="single" w:color="auto" w:sz="4" w:space="0"/>
              <w:left w:val="single" w:color="auto" w:sz="4" w:space="0"/>
              <w:bottom w:val="single" w:color="auto" w:sz="4" w:space="0"/>
              <w:right w:val="single" w:color="auto" w:sz="4" w:space="0"/>
            </w:tcBorders>
            <w:vAlign w:val="center"/>
          </w:tcPr>
          <w:p w14:paraId="6100E3BB">
            <w:pPr>
              <w:spacing w:line="360" w:lineRule="auto"/>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7A2D6B26">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u w:val="single"/>
              </w:rPr>
              <w:t>安全生产责任保险及绿色发展理念</w:t>
            </w:r>
          </w:p>
        </w:tc>
        <w:tc>
          <w:tcPr>
            <w:tcW w:w="3012" w:type="pct"/>
            <w:tcBorders>
              <w:top w:val="single" w:color="auto" w:sz="4" w:space="0"/>
              <w:left w:val="single" w:color="auto" w:sz="4" w:space="0"/>
              <w:bottom w:val="single" w:color="auto" w:sz="4" w:space="0"/>
              <w:right w:val="double" w:color="auto" w:sz="4" w:space="0"/>
            </w:tcBorders>
            <w:vAlign w:val="center"/>
          </w:tcPr>
          <w:p w14:paraId="3B74986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p w14:paraId="03085EC0">
            <w:pPr>
              <w:spacing w:line="360" w:lineRule="auto"/>
              <w:rPr>
                <w:rFonts w:hint="eastAsia" w:ascii="宋体" w:hAnsi="宋体" w:cs="宋体"/>
                <w:color w:val="auto"/>
                <w:kern w:val="0"/>
                <w:szCs w:val="21"/>
                <w:highlight w:val="none"/>
                <w:lang w:val="zh-CN"/>
              </w:rPr>
            </w:pPr>
            <w:r>
              <w:rPr>
                <w:rFonts w:hint="eastAsia" w:ascii="宋体" w:hAnsi="宋体" w:cs="宋体"/>
                <w:b/>
                <w:bCs/>
                <w:color w:val="auto"/>
                <w:szCs w:val="21"/>
                <w:highlight w:val="none"/>
              </w:rPr>
              <w:t>2、</w:t>
            </w:r>
            <w:r>
              <w:rPr>
                <w:rFonts w:hint="eastAsia" w:ascii="宋体" w:hAnsi="宋体" w:cs="宋体"/>
                <w:b/>
                <w:bCs/>
                <w:color w:val="auto"/>
                <w:szCs w:val="21"/>
                <w:highlight w:val="none"/>
                <w:u w:val="single"/>
              </w:rPr>
              <w:t>为贯彻绿色发展理念，本项目应积极使用燃料电池汽车等新能源工程车。</w:t>
            </w:r>
          </w:p>
        </w:tc>
      </w:tr>
      <w:tr w14:paraId="46F86A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5073787F">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38</w:t>
            </w:r>
          </w:p>
        </w:tc>
        <w:tc>
          <w:tcPr>
            <w:tcW w:w="523" w:type="pct"/>
            <w:tcBorders>
              <w:top w:val="single" w:color="auto" w:sz="4" w:space="0"/>
              <w:left w:val="single" w:color="auto" w:sz="4" w:space="0"/>
              <w:bottom w:val="single" w:color="auto" w:sz="4" w:space="0"/>
              <w:right w:val="single" w:color="auto" w:sz="4" w:space="0"/>
            </w:tcBorders>
            <w:vAlign w:val="center"/>
          </w:tcPr>
          <w:p w14:paraId="78E28044">
            <w:pPr>
              <w:spacing w:line="360" w:lineRule="auto"/>
              <w:jc w:val="center"/>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245FB2A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3012" w:type="pct"/>
            <w:tcBorders>
              <w:top w:val="single" w:color="auto" w:sz="4" w:space="0"/>
              <w:left w:val="single" w:color="auto" w:sz="4" w:space="0"/>
              <w:bottom w:val="single" w:color="auto" w:sz="4" w:space="0"/>
              <w:right w:val="double" w:color="auto" w:sz="4" w:space="0"/>
            </w:tcBorders>
            <w:vAlign w:val="center"/>
          </w:tcPr>
          <w:p w14:paraId="0654A3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 xml:space="preserve">。  </w:t>
            </w:r>
          </w:p>
          <w:p w14:paraId="7802FE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2、提交投标文件光盘备用</w:t>
            </w:r>
          </w:p>
          <w:p w14:paraId="25E0F8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工程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2AD0E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3、补救方案</w:t>
            </w:r>
          </w:p>
          <w:p w14:paraId="0401AD3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（1）投标文件解密失败的补救方案：</w:t>
            </w:r>
          </w:p>
          <w:p w14:paraId="4F6002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13FA22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（2）评标时突发情况的补救方案</w:t>
            </w:r>
          </w:p>
          <w:p w14:paraId="713D9CE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63B8E36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（3）除发生上述情况外，开标评标均以投标人通过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交易平台网上递交的电子投标文件为准。</w:t>
            </w:r>
          </w:p>
        </w:tc>
      </w:tr>
      <w:tr w14:paraId="0860DD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43108A1D">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39</w:t>
            </w:r>
          </w:p>
        </w:tc>
        <w:tc>
          <w:tcPr>
            <w:tcW w:w="523" w:type="pct"/>
            <w:tcBorders>
              <w:top w:val="single" w:color="auto" w:sz="4" w:space="0"/>
              <w:left w:val="single" w:color="auto" w:sz="4" w:space="0"/>
              <w:bottom w:val="single" w:color="auto" w:sz="4" w:space="0"/>
              <w:right w:val="single" w:color="auto" w:sz="4" w:space="0"/>
            </w:tcBorders>
            <w:vAlign w:val="center"/>
          </w:tcPr>
          <w:p w14:paraId="6C8F6036">
            <w:pPr>
              <w:spacing w:line="360" w:lineRule="auto"/>
              <w:jc w:val="center"/>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536AE41D">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招标人拒绝接收投标文件备用光盘的情况</w:t>
            </w:r>
          </w:p>
        </w:tc>
        <w:tc>
          <w:tcPr>
            <w:tcW w:w="3012" w:type="pct"/>
            <w:tcBorders>
              <w:top w:val="single" w:color="auto" w:sz="4" w:space="0"/>
              <w:left w:val="single" w:color="auto" w:sz="4" w:space="0"/>
              <w:bottom w:val="single" w:color="auto" w:sz="4" w:space="0"/>
              <w:right w:val="double" w:color="auto" w:sz="4" w:space="0"/>
            </w:tcBorders>
            <w:vAlign w:val="center"/>
          </w:tcPr>
          <w:p w14:paraId="46BE06F9">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14:paraId="031E618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14:paraId="3F8FBD6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r w14:paraId="4E173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2" w:type="pct"/>
            <w:tcBorders>
              <w:top w:val="single" w:color="auto" w:sz="4" w:space="0"/>
              <w:left w:val="double" w:color="auto" w:sz="4" w:space="0"/>
              <w:bottom w:val="single" w:color="auto" w:sz="4" w:space="0"/>
              <w:right w:val="single" w:color="auto" w:sz="4" w:space="0"/>
            </w:tcBorders>
            <w:vAlign w:val="center"/>
          </w:tcPr>
          <w:p w14:paraId="070EF508">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40</w:t>
            </w:r>
          </w:p>
        </w:tc>
        <w:tc>
          <w:tcPr>
            <w:tcW w:w="523" w:type="pct"/>
            <w:tcBorders>
              <w:top w:val="single" w:color="auto" w:sz="4" w:space="0"/>
              <w:left w:val="single" w:color="auto" w:sz="4" w:space="0"/>
              <w:bottom w:val="single" w:color="auto" w:sz="4" w:space="0"/>
              <w:right w:val="single" w:color="auto" w:sz="4" w:space="0"/>
            </w:tcBorders>
            <w:vAlign w:val="center"/>
          </w:tcPr>
          <w:p w14:paraId="63DAEB6D">
            <w:pPr>
              <w:spacing w:line="360" w:lineRule="auto"/>
              <w:jc w:val="center"/>
              <w:rPr>
                <w:rFonts w:hint="eastAsia"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vAlign w:val="center"/>
          </w:tcPr>
          <w:p w14:paraId="6086A54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中标公示后中标单位提交投标文件要求</w:t>
            </w:r>
          </w:p>
        </w:tc>
        <w:tc>
          <w:tcPr>
            <w:tcW w:w="3012" w:type="pct"/>
            <w:tcBorders>
              <w:top w:val="single" w:color="auto" w:sz="4" w:space="0"/>
              <w:left w:val="single" w:color="auto" w:sz="4" w:space="0"/>
              <w:bottom w:val="single" w:color="auto" w:sz="4" w:space="0"/>
              <w:right w:val="double" w:color="auto" w:sz="4" w:space="0"/>
            </w:tcBorders>
            <w:vAlign w:val="center"/>
          </w:tcPr>
          <w:p w14:paraId="287FE8EB">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bl>
    <w:p w14:paraId="6C5111A1">
      <w:pPr>
        <w:pStyle w:val="4"/>
        <w:spacing w:line="360" w:lineRule="auto"/>
        <w:rPr>
          <w:rFonts w:hint="eastAsia"/>
          <w:color w:val="auto"/>
          <w:highlight w:val="none"/>
        </w:rPr>
      </w:pPr>
      <w:r>
        <w:rPr>
          <w:rFonts w:hint="eastAsia"/>
          <w:color w:val="auto"/>
          <w:highlight w:val="none"/>
        </w:rPr>
        <w:br w:type="page"/>
      </w:r>
      <w:bookmarkStart w:id="27" w:name="_Toc15392"/>
      <w:bookmarkStart w:id="28" w:name="_Toc2272547"/>
      <w:bookmarkStart w:id="29" w:name="_Toc13369"/>
      <w:bookmarkStart w:id="30" w:name="_Toc20925"/>
      <w:bookmarkStart w:id="31" w:name="_Toc8522"/>
      <w:bookmarkStart w:id="32" w:name="_Toc27741"/>
      <w:bookmarkStart w:id="33" w:name="_Toc13635"/>
      <w:bookmarkStart w:id="34" w:name="_Toc25257"/>
      <w:bookmarkStart w:id="35" w:name="_Toc21367"/>
      <w:bookmarkStart w:id="36" w:name="_Toc9161"/>
      <w:bookmarkStart w:id="37" w:name="_Toc17688"/>
      <w:bookmarkStart w:id="38" w:name="_Toc10170"/>
      <w:bookmarkStart w:id="39" w:name="_Toc22003"/>
      <w:r>
        <w:rPr>
          <w:rFonts w:hint="eastAsia"/>
          <w:color w:val="auto"/>
          <w:highlight w:val="none"/>
        </w:rPr>
        <w:t>二、投标须知修改表</w:t>
      </w:r>
      <w:bookmarkEnd w:id="27"/>
      <w:bookmarkEnd w:id="28"/>
      <w:bookmarkEnd w:id="29"/>
      <w:bookmarkEnd w:id="30"/>
      <w:bookmarkEnd w:id="31"/>
      <w:bookmarkEnd w:id="32"/>
      <w:bookmarkEnd w:id="33"/>
      <w:bookmarkEnd w:id="34"/>
      <w:bookmarkEnd w:id="35"/>
      <w:bookmarkEnd w:id="36"/>
      <w:bookmarkEnd w:id="37"/>
      <w:bookmarkEnd w:id="38"/>
      <w:bookmarkEnd w:id="39"/>
    </w:p>
    <w:p w14:paraId="7D1E3FAD">
      <w:pPr>
        <w:pStyle w:val="20"/>
        <w:pBdr>
          <w:bottom w:val="single" w:color="auto" w:sz="6" w:space="1"/>
        </w:pBdr>
        <w:spacing w:after="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w:t>
      </w:r>
      <w:r>
        <w:rPr>
          <w:rFonts w:hint="eastAsia" w:ascii="宋体" w:hAnsi="宋体" w:eastAsia="宋体" w:cs="宋体"/>
          <w:b/>
          <w:color w:val="auto"/>
          <w:szCs w:val="21"/>
          <w:highlight w:val="none"/>
          <w:u w:val="single"/>
        </w:rPr>
        <w:t>网址：http://zfcj.gz.gov.cn/</w:t>
      </w:r>
      <w:r>
        <w:rPr>
          <w:rFonts w:hint="eastAsia" w:ascii="宋体" w:hAnsi="宋体" w:eastAsia="宋体" w:cs="宋体"/>
          <w:b/>
          <w:color w:val="auto"/>
          <w:szCs w:val="21"/>
          <w:highlight w:val="none"/>
        </w:rPr>
        <w:t>）下载查阅。</w:t>
      </w:r>
    </w:p>
    <w:p w14:paraId="0C7DC92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条款号：2.5                          修改类型：增加</w:t>
      </w:r>
    </w:p>
    <w:p w14:paraId="509AE05E">
      <w:pPr>
        <w:pStyle w:val="20"/>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09E520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条款号：5.1                          修改类型：修改</w:t>
      </w:r>
    </w:p>
    <w:p w14:paraId="34BD0B17">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w:t>
      </w:r>
      <w:r>
        <w:rPr>
          <w:rFonts w:hint="eastAsia" w:ascii="宋体" w:hAnsi="宋体" w:cs="宋体"/>
          <w:bCs/>
          <w:color w:val="auto"/>
          <w:szCs w:val="21"/>
          <w:highlight w:val="none"/>
        </w:rPr>
        <w:t>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14:paraId="535F4E91">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14:paraId="0A55E905">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条款号：7.1              修改类型：修改</w:t>
      </w:r>
    </w:p>
    <w:p w14:paraId="1CD91E37">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7.1本招标文件包括下列文件，以及所有按本须知第8条发出的招标答疑会会议纪要和按本须知第9条发出的澄清或修改：</w:t>
      </w:r>
    </w:p>
    <w:p w14:paraId="5068DCB3">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第一章  投标须知</w:t>
      </w:r>
    </w:p>
    <w:p w14:paraId="61E7AC1F">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第二章  开标、评标及定标办法</w:t>
      </w:r>
    </w:p>
    <w:p w14:paraId="0FC30D16">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第三章  合同条款</w:t>
      </w:r>
    </w:p>
    <w:p w14:paraId="48D9C714">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第四章  投标文件格式</w:t>
      </w:r>
    </w:p>
    <w:p w14:paraId="65B72C0C">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第五章  技术条件（工程建设标准）（另册）</w:t>
      </w:r>
    </w:p>
    <w:p w14:paraId="3F21A3C6">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第六章  图纸及勘察资料（另册）</w:t>
      </w:r>
    </w:p>
    <w:p w14:paraId="0894AD7D">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第七章  招标工程量清单（另册）</w:t>
      </w:r>
    </w:p>
    <w:p w14:paraId="4AD03D9F">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第八章  最高投标限价</w:t>
      </w:r>
    </w:p>
    <w:p w14:paraId="31D8D2DB">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661DEA15">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7.1本招标文件包括下列文件，以及所有按本须知第8条发出的招标答疑会会议纪要和按本须知第9条发出的澄清或修改：</w:t>
      </w:r>
    </w:p>
    <w:p w14:paraId="24AA0F42">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第一章  投标须知</w:t>
      </w:r>
    </w:p>
    <w:p w14:paraId="2B181279">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第二章  开标、评标及定标办法</w:t>
      </w:r>
    </w:p>
    <w:p w14:paraId="558967F9">
      <w:pPr>
        <w:spacing w:line="360" w:lineRule="auto"/>
        <w:ind w:firstLine="470" w:firstLineChars="224"/>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第三章  合同条款（另册）</w:t>
      </w:r>
    </w:p>
    <w:p w14:paraId="1366A842">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第四章  投标文件格式</w:t>
      </w:r>
    </w:p>
    <w:p w14:paraId="6451958F">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第五章  技术条件（工程建设标准）</w:t>
      </w:r>
    </w:p>
    <w:p w14:paraId="28E387E3">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第六章  图纸及勘察资料（另册）</w:t>
      </w:r>
    </w:p>
    <w:p w14:paraId="3BE0C963">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第七章  招标工程量清单（另册）</w:t>
      </w:r>
    </w:p>
    <w:p w14:paraId="399A9E1A">
      <w:pPr>
        <w:spacing w:line="360" w:lineRule="auto"/>
        <w:ind w:firstLine="470" w:firstLineChars="224"/>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第八章  最高投标限价（另册）</w:t>
      </w:r>
    </w:p>
    <w:p w14:paraId="7BB01BB1">
      <w:pPr>
        <w:pBdr>
          <w:top w:val="none" w:color="auto" w:sz="0" w:space="1"/>
          <w:left w:val="none" w:color="auto" w:sz="0" w:space="4"/>
          <w:bottom w:val="single" w:color="auto" w:sz="4" w:space="1"/>
          <w:right w:val="none" w:color="auto" w:sz="0" w:space="4"/>
        </w:pBdr>
        <w:spacing w:line="360" w:lineRule="auto"/>
        <w:ind w:firstLine="470" w:firstLineChars="224"/>
        <w:rPr>
          <w:rFonts w:hint="eastAsia" w:ascii="宋体" w:hAnsi="宋体" w:cs="宋体"/>
          <w:color w:val="auto"/>
          <w:szCs w:val="21"/>
          <w:highlight w:val="none"/>
          <w:u w:val="single"/>
        </w:rPr>
      </w:pPr>
      <w:r>
        <w:rPr>
          <w:rFonts w:hint="eastAsia" w:ascii="宋体" w:hAnsi="宋体"/>
          <w:color w:val="auto"/>
          <w:szCs w:val="21"/>
          <w:highlight w:val="none"/>
        </w:rPr>
        <w:t>注：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p>
    <w:p w14:paraId="2E2343B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条款号：8.1                          修改类型：修改</w:t>
      </w:r>
    </w:p>
    <w:p w14:paraId="19EAC656">
      <w:pPr>
        <w:pStyle w:val="20"/>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8.1投标人若对招标文件（包括招标图纸）中有疑问，可以书面形式通过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交易平台提交给招标人或招标代理人，提交形式见本须知前附表第16项。</w:t>
      </w:r>
    </w:p>
    <w:p w14:paraId="5EC7A3D0">
      <w:pPr>
        <w:pStyle w:val="20"/>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8.1</w:t>
      </w:r>
      <w:r>
        <w:rPr>
          <w:rFonts w:hint="eastAsia" w:ascii="宋体" w:hAnsi="宋体" w:eastAsia="宋体" w:cs="宋体"/>
          <w:bCs/>
          <w:color w:val="auto"/>
          <w:szCs w:val="21"/>
          <w:highlight w:val="none"/>
          <w:u w:val="single"/>
        </w:rPr>
        <w:t>投标人若对招标文件（包括招标图纸、清单、合同条款、最高投标限价）中有疑问，采用网上答疑方式进行，详见本须知前附表第16项。招标人或招标代理人将于本须知前附表第16项指定的地点（交易平台）和时间对疑问进行答复。</w:t>
      </w:r>
    </w:p>
    <w:p w14:paraId="2BE442D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条款号：8.2                         修改类型：修改</w:t>
      </w:r>
    </w:p>
    <w:p w14:paraId="6EE541F7">
      <w:pPr>
        <w:pStyle w:val="20"/>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8.2招标答疑会会议纪要将在提交投标文件截止时间15日前在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 “项目答疑纪要”专区公开发布。答疑纪要一经在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交易平台发布，视作已发放给所有投标人。</w:t>
      </w:r>
    </w:p>
    <w:p w14:paraId="6C209757">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8.2招标答疑文件将在提交投标文件截止时间15日前在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w:t>
      </w:r>
    </w:p>
    <w:p w14:paraId="395AD32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条款号：8.3              修改类型：修改</w:t>
      </w:r>
    </w:p>
    <w:p w14:paraId="6C624977">
      <w:pPr>
        <w:ind w:firstLine="482"/>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8.3</w:t>
      </w:r>
      <w:r>
        <w:rPr>
          <w:rFonts w:hint="eastAsia" w:ascii="宋体" w:hAnsi="宋体" w:cs="宋体"/>
          <w:color w:val="auto"/>
          <w:szCs w:val="21"/>
          <w:highlight w:val="none"/>
        </w:rPr>
        <w:t>答疑会会议纪要为招标文件的一部分。</w:t>
      </w:r>
    </w:p>
    <w:p w14:paraId="11A94814">
      <w:pPr>
        <w:pBdr>
          <w:top w:val="none" w:color="auto" w:sz="0" w:space="1"/>
          <w:left w:val="none" w:color="auto" w:sz="0" w:space="4"/>
          <w:bottom w:val="single" w:color="auto" w:sz="4" w:space="1"/>
          <w:right w:val="none" w:color="auto" w:sz="0" w:space="4"/>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8.3</w:t>
      </w:r>
      <w:r>
        <w:rPr>
          <w:rFonts w:hint="eastAsia" w:ascii="宋体" w:hAnsi="宋体" w:cs="宋体"/>
          <w:bCs/>
          <w:color w:val="auto"/>
          <w:szCs w:val="21"/>
          <w:highlight w:val="none"/>
          <w:u w:val="single"/>
        </w:rPr>
        <w:t>招标答疑文件</w:t>
      </w:r>
      <w:r>
        <w:rPr>
          <w:rFonts w:hint="eastAsia" w:ascii="宋体" w:hAnsi="宋体" w:cs="宋体"/>
          <w:color w:val="auto"/>
          <w:szCs w:val="21"/>
          <w:highlight w:val="none"/>
        </w:rPr>
        <w:t>为招标文件的一部分。</w:t>
      </w:r>
    </w:p>
    <w:p w14:paraId="263EE5D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条款号：8.4             修改类型：修改</w:t>
      </w:r>
    </w:p>
    <w:p w14:paraId="5603E98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8.4若招标答疑会会议纪要与招标文件有矛盾，以答疑会议纪要最后发出的书面形式的文件为准。</w:t>
      </w:r>
    </w:p>
    <w:p w14:paraId="6F23C9DE">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8.4若招标答疑文件与招标文件有矛盾时，以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网站最后发布的答疑纪要为准。</w:t>
      </w:r>
    </w:p>
    <w:p w14:paraId="4B044F5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条款号：9.2                         修改类型：修改</w:t>
      </w:r>
    </w:p>
    <w:p w14:paraId="7F63D86C">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14:paraId="3472AD0F">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”专区公开发布。</w:t>
      </w:r>
      <w:r>
        <w:rPr>
          <w:rFonts w:hint="eastAsia" w:ascii="宋体" w:hAnsi="宋体" w:cs="宋体"/>
          <w:bCs/>
          <w:color w:val="auto"/>
          <w:szCs w:val="21"/>
          <w:highlight w:val="none"/>
          <w:u w:val="single"/>
        </w:rPr>
        <w:t>招标答疑文件</w:t>
      </w:r>
      <w:r>
        <w:rPr>
          <w:rFonts w:hint="eastAsia" w:ascii="宋体" w:hAnsi="宋体" w:cs="宋体"/>
          <w:color w:val="auto"/>
          <w:szCs w:val="21"/>
          <w:highlight w:val="none"/>
        </w:rPr>
        <w:t>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交易平台上网发布时间作为送达时间。</w:t>
      </w:r>
    </w:p>
    <w:p w14:paraId="2E65DBD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条款号：9.4                         修改类型：修改</w:t>
      </w:r>
    </w:p>
    <w:p w14:paraId="14AE795B">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14:paraId="047253C8">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9.4招标文件的澄清或修改均以</w:t>
      </w:r>
      <w:r>
        <w:rPr>
          <w:rFonts w:hint="eastAsia" w:ascii="宋体" w:hAnsi="宋体" w:cs="宋体"/>
          <w:color w:val="auto"/>
          <w:szCs w:val="21"/>
          <w:highlight w:val="none"/>
          <w:u w:val="single"/>
        </w:rPr>
        <w:t>广州交易集团有限公司（广州公共资源交易中心）交易平台发布</w:t>
      </w:r>
      <w:r>
        <w:rPr>
          <w:rFonts w:hint="eastAsia" w:ascii="宋体" w:hAnsi="宋体" w:cs="宋体"/>
          <w:color w:val="auto"/>
          <w:szCs w:val="21"/>
          <w:highlight w:val="none"/>
        </w:rPr>
        <w:t>的内容为准。当招标文件的澄清、修改、补充等在同一内容的表述不一致时，以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最后发出的</w:t>
      </w:r>
      <w:r>
        <w:rPr>
          <w:rFonts w:hint="eastAsia" w:ascii="宋体" w:hAnsi="宋体" w:cs="宋体"/>
          <w:color w:val="auto"/>
          <w:szCs w:val="21"/>
          <w:highlight w:val="none"/>
          <w:u w:val="single"/>
        </w:rPr>
        <w:t>文件</w:t>
      </w:r>
      <w:r>
        <w:rPr>
          <w:rFonts w:hint="eastAsia" w:ascii="宋体" w:hAnsi="宋体" w:cs="宋体"/>
          <w:color w:val="auto"/>
          <w:szCs w:val="21"/>
          <w:highlight w:val="none"/>
        </w:rPr>
        <w:t>为准。</w:t>
      </w:r>
    </w:p>
    <w:p w14:paraId="3104CA3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条款号：11.2                       修改类型：修改</w:t>
      </w:r>
    </w:p>
    <w:p w14:paraId="1FCE806A">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原文：11.2投标文件技术标部分主要包括下列内容：</w:t>
      </w:r>
    </w:p>
    <w:p w14:paraId="50213394">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技术投标文件（按招标文件的要求填写）；</w:t>
      </w:r>
    </w:p>
    <w:p w14:paraId="24C4A323">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资格审查文件：</w:t>
      </w:r>
    </w:p>
    <w:p w14:paraId="26B33E8C">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（1）投标人声明； </w:t>
      </w:r>
    </w:p>
    <w:p w14:paraId="4573499D">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14:paraId="72DBF42F">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（3）企业营业执照扫描件或电子证照；</w:t>
      </w:r>
    </w:p>
    <w:p w14:paraId="7B339B58">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（4）企业资质证书扫描件或电子证照；</w:t>
      </w:r>
    </w:p>
    <w:p w14:paraId="05DB6AF2">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（5）建筑施工企业安全生产许可证扫描件或电子证照；</w:t>
      </w:r>
    </w:p>
    <w:p w14:paraId="4DA26FA6">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（6）项目负责人（按网上投标登记时选择拟投入本项目的项目负责人）</w:t>
      </w:r>
    </w:p>
    <w:p w14:paraId="6BA213CF">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（7）专职安全员（按网上投标登记时选择拟投入本项目的专职安全员）</w:t>
      </w:r>
    </w:p>
    <w:p w14:paraId="43DEEA9A">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（8）拟委托技术负责人的相关证书、资料（具体要求由招标人明确）</w:t>
      </w:r>
    </w:p>
    <w:p w14:paraId="59DB0044">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（9）拟委派项目负责人的有效期内的建造师注册证书扫描件或电子证书；</w:t>
      </w:r>
    </w:p>
    <w:p w14:paraId="41A6273D">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（10）项目负责人在有效期内的安全生产考核合格证书（B类）或在有效期内的建筑施工企业项目负责人安全生产考核合格证书扫描件或电子证书；</w:t>
      </w:r>
    </w:p>
    <w:p w14:paraId="1E3C36A3">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（11）专职安全员须具有在有效期内的安全生产考核合格证书（C类）或建筑施工企业专职安全生产管理人员安全生产考核合格证书扫描件或电子证书；</w:t>
      </w:r>
    </w:p>
    <w:p w14:paraId="0708DF23">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（12）用于资格审查的业绩（设置业绩要求时选择此项，投标人须提供类似工程业绩的项目名称及项目编号，具体格式由招标人自定）；</w:t>
      </w:r>
    </w:p>
    <w:p w14:paraId="7A6505F9">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（13）资格审查前，投标人须在广州市住房和城乡建设局建立企业信用档案，拟担任本工程项目负责人、专职安全员须是本企业信用档案中的在册人员；</w:t>
      </w:r>
    </w:p>
    <w:p w14:paraId="10A30D82">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5A49E501">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注：1.相关电子证书按规定需打印后手写本人签名的，应按照规定手写本人签名后再扫描提交。</w:t>
      </w:r>
    </w:p>
    <w:p w14:paraId="5FE33AB7">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B507924">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11.2.3项目管理机构配备。</w:t>
      </w:r>
    </w:p>
    <w:p w14:paraId="49441AD1">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54C59B5E">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3BE63E04">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（3）其他辅助说明资料。</w:t>
      </w:r>
    </w:p>
    <w:p w14:paraId="0AE5E344">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304C69F1">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11.2.5施工组织设计或施工方案。</w:t>
      </w:r>
    </w:p>
    <w:p w14:paraId="7E890BE7">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6A9A9673">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78AAB98">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11.2.6按照招标文件要求填写的《参与编制技术标投标文件人员名单》。</w:t>
      </w:r>
    </w:p>
    <w:p w14:paraId="2DE5BCB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p>
    <w:p w14:paraId="618476F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11.2投标文件技术标部分</w:t>
      </w:r>
      <w:r>
        <w:rPr>
          <w:rFonts w:hint="eastAsia" w:ascii="宋体" w:hAnsi="宋体" w:cs="宋体"/>
          <w:color w:val="auto"/>
          <w:szCs w:val="21"/>
          <w:highlight w:val="none"/>
          <w:u w:val="single"/>
        </w:rPr>
        <w:t>（含资格审查文件）</w:t>
      </w:r>
      <w:r>
        <w:rPr>
          <w:rFonts w:hint="eastAsia" w:ascii="宋体" w:hAnsi="宋体" w:cs="宋体"/>
          <w:bCs/>
          <w:color w:val="auto"/>
          <w:szCs w:val="21"/>
          <w:highlight w:val="none"/>
        </w:rPr>
        <w:t>主要包括下列内容</w:t>
      </w:r>
      <w:r>
        <w:rPr>
          <w:rFonts w:hint="eastAsia" w:ascii="宋体" w:hAnsi="宋体" w:cs="宋体"/>
          <w:color w:val="auto"/>
          <w:szCs w:val="21"/>
          <w:highlight w:val="none"/>
          <w:u w:val="single"/>
        </w:rPr>
        <w:t>（除特别注明外，均为扫描件即可）</w:t>
      </w:r>
      <w:r>
        <w:rPr>
          <w:rFonts w:hint="eastAsia" w:ascii="宋体" w:hAnsi="宋体" w:cs="宋体"/>
          <w:bCs/>
          <w:color w:val="auto"/>
          <w:szCs w:val="21"/>
          <w:highlight w:val="none"/>
        </w:rPr>
        <w:t>:</w:t>
      </w:r>
    </w:p>
    <w:p w14:paraId="31D3CE93">
      <w:pPr>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11.2.1</w:t>
      </w:r>
      <w:r>
        <w:rPr>
          <w:rFonts w:hint="eastAsia" w:ascii="宋体" w:hAnsi="宋体" w:cs="宋体"/>
          <w:color w:val="auto"/>
          <w:szCs w:val="21"/>
          <w:highlight w:val="none"/>
          <w:u w:val="single"/>
        </w:rPr>
        <w:t>广州建设工程施工招标投标书（技术标）（格式见第四章）；</w:t>
      </w:r>
    </w:p>
    <w:p w14:paraId="25A89AC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11.2.2 资格审查文件：</w:t>
      </w:r>
    </w:p>
    <w:p w14:paraId="5046485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eastAsia="宋体" w:cs="宋体"/>
          <w:bCs/>
          <w:color w:val="auto"/>
          <w:sz w:val="21"/>
          <w:szCs w:val="21"/>
          <w:highlight w:val="none"/>
          <w:u w:val="single"/>
        </w:rPr>
        <w:t>《投标人声明（适用于独立投标或联合体主办方）》及《投标人声明（适用于联合体成员方）》（若为联合体投标，成员方需提供《投标人声明（适用于联合体成员方）》；若为独立投标人，无需提供《投标人声明（适用于联合体成员方）》）</w:t>
      </w:r>
      <w:r>
        <w:rPr>
          <w:rFonts w:hint="eastAsia" w:ascii="宋体" w:hAnsi="宋体" w:eastAsia="宋体" w:cs="宋体"/>
          <w:color w:val="auto"/>
          <w:sz w:val="21"/>
          <w:szCs w:val="21"/>
          <w:highlight w:val="none"/>
          <w:u w:val="single"/>
        </w:rPr>
        <w:t>扫描件</w:t>
      </w:r>
      <w:r>
        <w:rPr>
          <w:rFonts w:hint="eastAsia" w:ascii="宋体" w:hAnsi="宋体" w:eastAsia="宋体" w:cs="宋体"/>
          <w:bCs/>
          <w:color w:val="auto"/>
          <w:sz w:val="21"/>
          <w:szCs w:val="21"/>
          <w:highlight w:val="none"/>
          <w:u w:val="single"/>
        </w:rPr>
        <w:t>（须按招标公告附件内容及格式要求编制）</w:t>
      </w:r>
      <w:r>
        <w:rPr>
          <w:rFonts w:hint="eastAsia" w:ascii="宋体" w:hAnsi="宋体" w:cs="宋体"/>
          <w:bCs/>
          <w:color w:val="auto"/>
          <w:szCs w:val="21"/>
          <w:highlight w:val="none"/>
        </w:rPr>
        <w:t>；</w:t>
      </w:r>
    </w:p>
    <w:p w14:paraId="3352041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r>
        <w:rPr>
          <w:rFonts w:hint="eastAsia" w:ascii="宋体" w:hAnsi="宋体" w:cs="宋体"/>
          <w:bCs/>
          <w:color w:val="auto"/>
          <w:szCs w:val="21"/>
          <w:highlight w:val="none"/>
          <w:u w:val="single"/>
        </w:rPr>
        <w:t>扫描件（如出具授权委托书，需后附授权人2025年</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月社保缴纳证明原件扫描件。）</w:t>
      </w:r>
      <w:r>
        <w:rPr>
          <w:rFonts w:hint="eastAsia" w:ascii="宋体" w:hAnsi="宋体" w:eastAsia="宋体" w:cs="宋体"/>
          <w:bCs/>
          <w:color w:val="auto"/>
          <w:sz w:val="21"/>
          <w:szCs w:val="21"/>
          <w:highlight w:val="none"/>
          <w:u w:val="single"/>
        </w:rPr>
        <w:t>（若为联合体投标，由联合体主办方提供）</w:t>
      </w:r>
      <w:r>
        <w:rPr>
          <w:rFonts w:hint="eastAsia" w:ascii="宋体" w:hAnsi="宋体" w:cs="宋体"/>
          <w:bCs/>
          <w:color w:val="auto"/>
          <w:szCs w:val="21"/>
          <w:highlight w:val="none"/>
        </w:rPr>
        <w:t>；</w:t>
      </w:r>
    </w:p>
    <w:p w14:paraId="6C7432C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（3）企业营业执照扫描件或电子证照</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若为联合体投标，由联合</w:t>
      </w:r>
      <w:r>
        <w:rPr>
          <w:rFonts w:hint="eastAsia" w:ascii="宋体" w:hAnsi="宋体" w:eastAsia="宋体" w:cs="宋体"/>
          <w:bCs/>
          <w:color w:val="auto"/>
          <w:sz w:val="21"/>
          <w:szCs w:val="21"/>
          <w:highlight w:val="none"/>
          <w:u w:val="single"/>
          <w:lang w:val="en-US" w:eastAsia="zh-CN"/>
        </w:rPr>
        <w:t>体各方</w:t>
      </w:r>
      <w:r>
        <w:rPr>
          <w:rFonts w:hint="eastAsia" w:ascii="宋体" w:hAnsi="宋体" w:eastAsia="宋体" w:cs="宋体"/>
          <w:bCs/>
          <w:color w:val="auto"/>
          <w:sz w:val="21"/>
          <w:szCs w:val="21"/>
          <w:highlight w:val="none"/>
          <w:u w:val="single"/>
        </w:rPr>
        <w:t>提供</w:t>
      </w:r>
      <w:r>
        <w:rPr>
          <w:rFonts w:hint="eastAsia" w:ascii="宋体" w:hAnsi="宋体" w:eastAsia="宋体" w:cs="宋体"/>
          <w:bCs/>
          <w:color w:val="auto"/>
          <w:sz w:val="21"/>
          <w:szCs w:val="21"/>
          <w:highlight w:val="none"/>
        </w:rPr>
        <w:t>）</w:t>
      </w:r>
      <w:r>
        <w:rPr>
          <w:rFonts w:hint="eastAsia" w:ascii="宋体" w:hAnsi="宋体" w:cs="宋体"/>
          <w:bCs/>
          <w:color w:val="auto"/>
          <w:szCs w:val="21"/>
          <w:highlight w:val="none"/>
        </w:rPr>
        <w:t>；</w:t>
      </w:r>
    </w:p>
    <w:p w14:paraId="40CC2A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（4）企业资质证书扫描件或电子证照</w:t>
      </w:r>
      <w:r>
        <w:rPr>
          <w:rFonts w:hint="eastAsia" w:ascii="宋体" w:hAnsi="宋体" w:eastAsia="宋体" w:cs="宋体"/>
          <w:bCs/>
          <w:color w:val="auto"/>
          <w:kern w:val="0"/>
          <w:sz w:val="21"/>
          <w:szCs w:val="21"/>
          <w:highlight w:val="none"/>
          <w:u w:val="single"/>
        </w:rPr>
        <w:t>若为联合体投标，</w:t>
      </w:r>
      <w:r>
        <w:rPr>
          <w:rFonts w:hint="eastAsia" w:ascii="宋体" w:hAnsi="宋体" w:eastAsia="宋体" w:cs="宋体"/>
          <w:bCs/>
          <w:color w:val="auto"/>
          <w:sz w:val="21"/>
          <w:szCs w:val="21"/>
          <w:highlight w:val="none"/>
          <w:u w:val="single"/>
        </w:rPr>
        <w:t>由联合体</w:t>
      </w:r>
      <w:r>
        <w:rPr>
          <w:rFonts w:hint="eastAsia" w:ascii="宋体" w:hAnsi="宋体" w:eastAsia="宋体" w:cs="宋体"/>
          <w:bCs/>
          <w:color w:val="auto"/>
          <w:sz w:val="21"/>
          <w:szCs w:val="21"/>
          <w:highlight w:val="none"/>
          <w:u w:val="single"/>
          <w:lang w:val="en-US" w:eastAsia="zh-CN"/>
        </w:rPr>
        <w:t>各方</w:t>
      </w:r>
      <w:r>
        <w:rPr>
          <w:rFonts w:hint="eastAsia" w:ascii="宋体" w:hAnsi="宋体" w:eastAsia="宋体" w:cs="宋体"/>
          <w:bCs/>
          <w:color w:val="auto"/>
          <w:sz w:val="21"/>
          <w:szCs w:val="21"/>
          <w:highlight w:val="none"/>
          <w:u w:val="single"/>
        </w:rPr>
        <w:t>提供</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u w:val="single"/>
        </w:rPr>
        <w:t>或办理了资质延期的证明资料（如有，须符合招标公告第九条第4款注①的规定）</w:t>
      </w:r>
      <w:r>
        <w:rPr>
          <w:rFonts w:hint="eastAsia" w:ascii="宋体" w:hAnsi="宋体" w:cs="宋体"/>
          <w:bCs/>
          <w:color w:val="auto"/>
          <w:szCs w:val="21"/>
          <w:highlight w:val="none"/>
        </w:rPr>
        <w:t>；</w:t>
      </w:r>
    </w:p>
    <w:p w14:paraId="7377D10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r>
        <w:rPr>
          <w:rFonts w:hint="eastAsia" w:ascii="宋体" w:hAnsi="宋体" w:eastAsia="宋体" w:cs="宋体"/>
          <w:bCs/>
          <w:color w:val="auto"/>
          <w:kern w:val="0"/>
          <w:sz w:val="21"/>
          <w:szCs w:val="21"/>
          <w:highlight w:val="none"/>
          <w:u w:val="single"/>
        </w:rPr>
        <w:t>若为联合体投标，</w:t>
      </w:r>
      <w:r>
        <w:rPr>
          <w:rFonts w:hint="eastAsia" w:ascii="宋体" w:hAnsi="宋体" w:eastAsia="宋体" w:cs="宋体"/>
          <w:bCs/>
          <w:color w:val="auto"/>
          <w:sz w:val="21"/>
          <w:szCs w:val="21"/>
          <w:highlight w:val="none"/>
          <w:u w:val="single"/>
        </w:rPr>
        <w:t>由联合体</w:t>
      </w:r>
      <w:r>
        <w:rPr>
          <w:rFonts w:hint="eastAsia" w:ascii="宋体" w:hAnsi="宋体" w:eastAsia="宋体" w:cs="宋体"/>
          <w:bCs/>
          <w:color w:val="auto"/>
          <w:sz w:val="21"/>
          <w:szCs w:val="21"/>
          <w:highlight w:val="none"/>
          <w:u w:val="single"/>
          <w:lang w:val="en-US" w:eastAsia="zh-CN"/>
        </w:rPr>
        <w:t>各方</w:t>
      </w:r>
      <w:r>
        <w:rPr>
          <w:rFonts w:hint="eastAsia" w:ascii="宋体" w:hAnsi="宋体" w:eastAsia="宋体" w:cs="宋体"/>
          <w:bCs/>
          <w:color w:val="auto"/>
          <w:sz w:val="21"/>
          <w:szCs w:val="21"/>
          <w:highlight w:val="none"/>
          <w:u w:val="single"/>
        </w:rPr>
        <w:t>提供</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sz w:val="21"/>
          <w:szCs w:val="21"/>
          <w:highlight w:val="none"/>
        </w:rPr>
        <w:t>；</w:t>
      </w:r>
    </w:p>
    <w:p w14:paraId="569AF27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（6）项目负责人</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u w:val="single"/>
        </w:rPr>
        <w:t>若为联合体投标，</w:t>
      </w:r>
      <w:r>
        <w:rPr>
          <w:rFonts w:hint="eastAsia" w:ascii="宋体" w:hAnsi="宋体" w:eastAsia="宋体" w:cs="宋体"/>
          <w:bCs/>
          <w:color w:val="auto"/>
          <w:sz w:val="21"/>
          <w:szCs w:val="21"/>
          <w:highlight w:val="none"/>
          <w:u w:val="single"/>
        </w:rPr>
        <w:t>由联合体主办方提供</w:t>
      </w:r>
      <w:r>
        <w:rPr>
          <w:rFonts w:hint="eastAsia" w:ascii="宋体" w:hAnsi="宋体" w:eastAsia="宋体" w:cs="宋体"/>
          <w:bCs/>
          <w:color w:val="auto"/>
          <w:kern w:val="0"/>
          <w:sz w:val="21"/>
          <w:szCs w:val="21"/>
          <w:highlight w:val="none"/>
        </w:rPr>
        <w:t>）</w:t>
      </w:r>
      <w:r>
        <w:rPr>
          <w:rFonts w:hint="eastAsia" w:ascii="宋体" w:hAnsi="宋体" w:cs="宋体"/>
          <w:bCs/>
          <w:color w:val="auto"/>
          <w:szCs w:val="21"/>
          <w:highlight w:val="none"/>
        </w:rPr>
        <w:t>（按网上投标登记时选择拟投标的项目负责人）</w:t>
      </w:r>
    </w:p>
    <w:p w14:paraId="115512C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（7）专职安全员</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u w:val="single"/>
        </w:rPr>
        <w:t>若为联合体投标，</w:t>
      </w:r>
      <w:r>
        <w:rPr>
          <w:rFonts w:hint="eastAsia" w:ascii="宋体" w:hAnsi="宋体" w:eastAsia="宋体" w:cs="宋体"/>
          <w:bCs/>
          <w:color w:val="auto"/>
          <w:sz w:val="21"/>
          <w:szCs w:val="21"/>
          <w:highlight w:val="none"/>
          <w:u w:val="single"/>
        </w:rPr>
        <w:t>由联合体主办方提供</w:t>
      </w:r>
      <w:r>
        <w:rPr>
          <w:rFonts w:hint="eastAsia" w:ascii="宋体" w:hAnsi="宋体" w:eastAsia="宋体" w:cs="宋体"/>
          <w:bCs/>
          <w:color w:val="auto"/>
          <w:kern w:val="0"/>
          <w:sz w:val="21"/>
          <w:szCs w:val="21"/>
          <w:highlight w:val="none"/>
        </w:rPr>
        <w:t>）</w:t>
      </w:r>
      <w:r>
        <w:rPr>
          <w:rFonts w:hint="eastAsia" w:ascii="宋体" w:hAnsi="宋体" w:cs="宋体"/>
          <w:bCs/>
          <w:color w:val="auto"/>
          <w:szCs w:val="21"/>
          <w:highlight w:val="none"/>
        </w:rPr>
        <w:t>（按网上投标登记时选择拟投标的专职安全员）</w:t>
      </w:r>
    </w:p>
    <w:p w14:paraId="07BD47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w:t>
      </w:r>
      <w:r>
        <w:rPr>
          <w:rFonts w:hint="eastAsia" w:ascii="宋体" w:hAnsi="宋体" w:cs="宋体"/>
          <w:bCs/>
          <w:color w:val="auto"/>
          <w:szCs w:val="21"/>
          <w:highlight w:val="none"/>
          <w:u w:val="single"/>
        </w:rPr>
        <w:t>拟委派技术负责人</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u w:val="single"/>
        </w:rPr>
        <w:t>若为联合体投标，</w:t>
      </w:r>
      <w:r>
        <w:rPr>
          <w:rFonts w:hint="eastAsia" w:ascii="宋体" w:hAnsi="宋体" w:eastAsia="宋体" w:cs="宋体"/>
          <w:bCs/>
          <w:color w:val="auto"/>
          <w:sz w:val="21"/>
          <w:szCs w:val="21"/>
          <w:highlight w:val="none"/>
          <w:u w:val="single"/>
        </w:rPr>
        <w:t>由联合体主办方提供</w:t>
      </w:r>
      <w:r>
        <w:rPr>
          <w:rFonts w:hint="eastAsia" w:ascii="宋体" w:hAnsi="宋体" w:eastAsia="宋体" w:cs="宋体"/>
          <w:bCs/>
          <w:color w:val="auto"/>
          <w:kern w:val="0"/>
          <w:sz w:val="21"/>
          <w:szCs w:val="21"/>
          <w:highlight w:val="none"/>
        </w:rPr>
        <w:t>）</w:t>
      </w:r>
      <w:r>
        <w:rPr>
          <w:rFonts w:hint="eastAsia" w:ascii="宋体" w:hAnsi="宋体" w:cs="宋体"/>
          <w:bCs/>
          <w:color w:val="auto"/>
          <w:szCs w:val="21"/>
          <w:highlight w:val="none"/>
          <w:u w:val="single"/>
        </w:rPr>
        <w:t>的职称证书扫描件或电子证书；</w:t>
      </w:r>
    </w:p>
    <w:p w14:paraId="0360C47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（9）拟委派项目负责人</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u w:val="single"/>
        </w:rPr>
        <w:t>若为联合体投标，</w:t>
      </w:r>
      <w:r>
        <w:rPr>
          <w:rFonts w:hint="eastAsia" w:ascii="宋体" w:hAnsi="宋体" w:eastAsia="宋体" w:cs="宋体"/>
          <w:bCs/>
          <w:color w:val="auto"/>
          <w:sz w:val="21"/>
          <w:szCs w:val="21"/>
          <w:highlight w:val="none"/>
          <w:u w:val="single"/>
        </w:rPr>
        <w:t>由联合体主办方提供</w:t>
      </w:r>
      <w:r>
        <w:rPr>
          <w:rFonts w:hint="eastAsia" w:ascii="宋体" w:hAnsi="宋体" w:eastAsia="宋体" w:cs="宋体"/>
          <w:bCs/>
          <w:color w:val="auto"/>
          <w:kern w:val="0"/>
          <w:sz w:val="21"/>
          <w:szCs w:val="21"/>
          <w:highlight w:val="none"/>
        </w:rPr>
        <w:t>）</w:t>
      </w:r>
      <w:r>
        <w:rPr>
          <w:rFonts w:hint="eastAsia" w:ascii="宋体" w:hAnsi="宋体" w:cs="宋体"/>
          <w:bCs/>
          <w:color w:val="auto"/>
          <w:szCs w:val="21"/>
          <w:highlight w:val="none"/>
        </w:rPr>
        <w:t>的有效期内的建造师注册证书扫描件或电子证书；</w:t>
      </w:r>
    </w:p>
    <w:p w14:paraId="325D123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（10）项目负责人</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u w:val="single"/>
        </w:rPr>
        <w:t>若为联合体投标，</w:t>
      </w:r>
      <w:r>
        <w:rPr>
          <w:rFonts w:hint="eastAsia" w:ascii="宋体" w:hAnsi="宋体" w:eastAsia="宋体" w:cs="宋体"/>
          <w:bCs/>
          <w:color w:val="auto"/>
          <w:sz w:val="21"/>
          <w:szCs w:val="21"/>
          <w:highlight w:val="none"/>
          <w:u w:val="single"/>
        </w:rPr>
        <w:t>由联合体主办方提供</w:t>
      </w:r>
      <w:r>
        <w:rPr>
          <w:rFonts w:hint="eastAsia" w:ascii="宋体" w:hAnsi="宋体" w:eastAsia="宋体" w:cs="宋体"/>
          <w:bCs/>
          <w:color w:val="auto"/>
          <w:kern w:val="0"/>
          <w:sz w:val="21"/>
          <w:szCs w:val="21"/>
          <w:highlight w:val="none"/>
        </w:rPr>
        <w:t>）</w:t>
      </w:r>
      <w:r>
        <w:rPr>
          <w:rFonts w:hint="eastAsia" w:ascii="宋体" w:hAnsi="宋体" w:cs="宋体"/>
          <w:bCs/>
          <w:color w:val="auto"/>
          <w:szCs w:val="21"/>
          <w:highlight w:val="none"/>
        </w:rPr>
        <w:t>安全生产考核合格证明或在有效期内的安全考核合格证书（B类）或在有效期内的建筑施工企业项目负责人安全生产考核合格证书扫描件或电子证书；</w:t>
      </w:r>
    </w:p>
    <w:p w14:paraId="3791C3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（11）专职安全员</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u w:val="single"/>
        </w:rPr>
        <w:t>若为联合体投标，</w:t>
      </w:r>
      <w:r>
        <w:rPr>
          <w:rFonts w:hint="eastAsia" w:ascii="宋体" w:hAnsi="宋体" w:eastAsia="宋体" w:cs="宋体"/>
          <w:bCs/>
          <w:color w:val="auto"/>
          <w:sz w:val="21"/>
          <w:szCs w:val="21"/>
          <w:highlight w:val="none"/>
          <w:u w:val="single"/>
        </w:rPr>
        <w:t>由联合体主办方提供</w:t>
      </w:r>
      <w:r>
        <w:rPr>
          <w:rFonts w:hint="eastAsia" w:ascii="宋体" w:hAnsi="宋体" w:eastAsia="宋体" w:cs="宋体"/>
          <w:bCs/>
          <w:color w:val="auto"/>
          <w:kern w:val="0"/>
          <w:sz w:val="21"/>
          <w:szCs w:val="21"/>
          <w:highlight w:val="none"/>
        </w:rPr>
        <w:t>）</w:t>
      </w:r>
      <w:r>
        <w:rPr>
          <w:rFonts w:hint="eastAsia" w:ascii="宋体" w:hAnsi="宋体" w:cs="宋体"/>
          <w:bCs/>
          <w:color w:val="auto"/>
          <w:szCs w:val="21"/>
          <w:highlight w:val="none"/>
        </w:rPr>
        <w:t>须具有在有效期内的安全考核合格证书（C类）或在有效期内的建筑施工企业专职安全生产管理人员安全生产考核合格证书</w:t>
      </w:r>
      <w:r>
        <w:rPr>
          <w:rFonts w:hint="eastAsia" w:ascii="宋体" w:hAnsi="宋体" w:cs="宋体"/>
          <w:bCs/>
          <w:color w:val="auto"/>
          <w:szCs w:val="21"/>
          <w:highlight w:val="none"/>
          <w:u w:val="single"/>
        </w:rPr>
        <w:t>（C3）扫描件或电子证书</w:t>
      </w:r>
      <w:r>
        <w:rPr>
          <w:rFonts w:hint="eastAsia" w:ascii="宋体" w:hAnsi="宋体" w:cs="宋体"/>
          <w:bCs/>
          <w:color w:val="auto"/>
          <w:szCs w:val="21"/>
          <w:highlight w:val="none"/>
        </w:rPr>
        <w:t>；</w:t>
      </w:r>
    </w:p>
    <w:p w14:paraId="20C3261E">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12</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rPr>
        <w:t>列明主办单位的联合体工作协议（采用联合体投标时需递交，</w:t>
      </w:r>
      <w:r>
        <w:rPr>
          <w:rFonts w:hint="eastAsia" w:ascii="宋体" w:hAnsi="宋体" w:eastAsia="宋体" w:cs="宋体"/>
          <w:bCs/>
          <w:color w:val="auto"/>
          <w:sz w:val="21"/>
          <w:szCs w:val="21"/>
          <w:highlight w:val="none"/>
          <w:u w:val="single"/>
        </w:rPr>
        <w:t>须明确联合体主办方，并按招标公告附件</w:t>
      </w:r>
      <w:r>
        <w:rPr>
          <w:rFonts w:hint="eastAsia" w:ascii="宋体" w:hAnsi="宋体" w:eastAsia="宋体" w:cs="宋体"/>
          <w:bCs/>
          <w:color w:val="auto"/>
          <w:sz w:val="21"/>
          <w:szCs w:val="21"/>
          <w:highlight w:val="none"/>
          <w:u w:val="single"/>
          <w:lang w:val="en-US" w:eastAsia="zh-CN"/>
        </w:rPr>
        <w:t>三</w:t>
      </w:r>
      <w:r>
        <w:rPr>
          <w:rFonts w:hint="eastAsia" w:ascii="宋体" w:hAnsi="宋体" w:eastAsia="宋体" w:cs="宋体"/>
          <w:bCs/>
          <w:color w:val="auto"/>
          <w:sz w:val="21"/>
          <w:szCs w:val="21"/>
          <w:highlight w:val="none"/>
          <w:u w:val="single"/>
        </w:rPr>
        <w:t>签订联合体工作协议。</w:t>
      </w:r>
      <w:r>
        <w:rPr>
          <w:rFonts w:hint="eastAsia" w:ascii="宋体" w:hAnsi="宋体" w:eastAsia="宋体" w:cs="宋体"/>
          <w:bCs/>
          <w:color w:val="auto"/>
          <w:sz w:val="21"/>
          <w:szCs w:val="21"/>
          <w:highlight w:val="none"/>
        </w:rPr>
        <w:t>投标人拟任本工程项目负责人</w:t>
      </w:r>
      <w:r>
        <w:rPr>
          <w:rFonts w:hint="eastAsia" w:ascii="宋体" w:hAnsi="宋体" w:eastAsia="宋体" w:cs="宋体"/>
          <w:bCs/>
          <w:color w:val="auto"/>
          <w:sz w:val="21"/>
          <w:szCs w:val="21"/>
          <w:highlight w:val="none"/>
          <w:u w:val="single"/>
        </w:rPr>
        <w:t>、专职安全员</w:t>
      </w:r>
      <w:r>
        <w:rPr>
          <w:rFonts w:hint="eastAsia" w:ascii="宋体" w:hAnsi="宋体" w:eastAsia="宋体" w:cs="宋体"/>
          <w:bCs/>
          <w:color w:val="auto"/>
          <w:sz w:val="21"/>
          <w:szCs w:val="21"/>
          <w:highlight w:val="none"/>
        </w:rPr>
        <w:t>应为联合体主办方信用档案中的在册人员，</w:t>
      </w:r>
      <w:r>
        <w:rPr>
          <w:rFonts w:hint="eastAsia" w:ascii="宋体" w:hAnsi="宋体" w:eastAsia="宋体" w:cs="宋体"/>
          <w:color w:val="auto"/>
          <w:sz w:val="21"/>
          <w:szCs w:val="21"/>
          <w:highlight w:val="none"/>
        </w:rPr>
        <w:t>联合体工作协议应明确约定各方拟承担的工作和责任</w:t>
      </w:r>
      <w:r>
        <w:rPr>
          <w:rFonts w:hint="eastAsia" w:ascii="宋体" w:hAnsi="宋体" w:eastAsia="宋体" w:cs="宋体"/>
          <w:bCs/>
          <w:color w:val="auto"/>
          <w:sz w:val="21"/>
          <w:szCs w:val="21"/>
          <w:highlight w:val="none"/>
        </w:rPr>
        <w:t>）；</w:t>
      </w:r>
    </w:p>
    <w:p w14:paraId="6E0B52B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资格审查前，</w:t>
      </w:r>
      <w:r>
        <w:rPr>
          <w:rFonts w:hint="eastAsia" w:ascii="宋体" w:hAnsi="宋体" w:eastAsia="宋体" w:cs="宋体"/>
          <w:bCs/>
          <w:color w:val="auto"/>
          <w:sz w:val="21"/>
          <w:szCs w:val="21"/>
          <w:highlight w:val="none"/>
          <w:u w:val="single"/>
        </w:rPr>
        <w:t>投标人</w:t>
      </w:r>
      <w:r>
        <w:rPr>
          <w:rFonts w:hint="eastAsia" w:ascii="宋体" w:hAnsi="宋体" w:eastAsia="宋体" w:cs="宋体"/>
          <w:bCs/>
          <w:color w:val="auto"/>
          <w:kern w:val="0"/>
          <w:sz w:val="21"/>
          <w:szCs w:val="21"/>
          <w:highlight w:val="none"/>
          <w:u w:val="single"/>
        </w:rPr>
        <w:t>（若为联合体投标，指联合体各方）</w:t>
      </w:r>
      <w:r>
        <w:rPr>
          <w:rFonts w:hint="eastAsia" w:ascii="宋体" w:hAnsi="宋体" w:eastAsia="宋体" w:cs="宋体"/>
          <w:bCs/>
          <w:color w:val="auto"/>
          <w:sz w:val="21"/>
          <w:szCs w:val="21"/>
          <w:highlight w:val="none"/>
          <w:u w:val="single"/>
        </w:rPr>
        <w:t>须在广州交易集团有限公司（广州公共资源交易中心）办理企业信息登记及拟担任本工程项目负责人、专职安全员须是本企业（联合体主办方）信息登记信息中的在册人员</w:t>
      </w:r>
      <w:r>
        <w:rPr>
          <w:rFonts w:hint="eastAsia" w:ascii="宋体" w:hAnsi="宋体" w:cs="宋体"/>
          <w:bCs/>
          <w:color w:val="auto"/>
          <w:sz w:val="21"/>
          <w:szCs w:val="21"/>
          <w:highlight w:val="none"/>
          <w:u w:val="single"/>
          <w:lang w:eastAsia="zh-CN"/>
        </w:rPr>
        <w:t>（投标人无需提供证明材料）</w:t>
      </w:r>
      <w:r>
        <w:rPr>
          <w:rFonts w:hint="eastAsia" w:ascii="宋体" w:hAnsi="宋体" w:cs="宋体"/>
          <w:bCs/>
          <w:color w:val="auto"/>
          <w:szCs w:val="21"/>
          <w:highlight w:val="none"/>
        </w:rPr>
        <w:t>。</w:t>
      </w:r>
    </w:p>
    <w:p w14:paraId="437195D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u w:val="single"/>
        </w:rPr>
        <w:t>（13）用于资格审查的业绩</w:t>
      </w:r>
      <w:r>
        <w:rPr>
          <w:rFonts w:hint="eastAsia" w:ascii="宋体" w:hAnsi="宋体" w:eastAsia="宋体" w:cs="宋体"/>
          <w:bCs/>
          <w:color w:val="auto"/>
          <w:kern w:val="0"/>
          <w:sz w:val="21"/>
          <w:szCs w:val="21"/>
          <w:highlight w:val="none"/>
          <w:u w:val="single"/>
        </w:rPr>
        <w:t>（若为联合体投标，指联合体</w:t>
      </w:r>
      <w:r>
        <w:rPr>
          <w:rFonts w:hint="eastAsia" w:ascii="宋体" w:hAnsi="宋体" w:cs="宋体"/>
          <w:bCs/>
          <w:color w:val="auto"/>
          <w:kern w:val="0"/>
          <w:sz w:val="21"/>
          <w:szCs w:val="21"/>
          <w:highlight w:val="none"/>
          <w:u w:val="single"/>
          <w:lang w:val="en-US" w:eastAsia="zh-CN"/>
        </w:rPr>
        <w:t>主办方</w:t>
      </w:r>
      <w:r>
        <w:rPr>
          <w:rFonts w:hint="eastAsia" w:ascii="宋体" w:hAnsi="宋体" w:eastAsia="宋体" w:cs="宋体"/>
          <w:bCs/>
          <w:color w:val="auto"/>
          <w:kern w:val="0"/>
          <w:sz w:val="21"/>
          <w:szCs w:val="21"/>
          <w:highlight w:val="none"/>
          <w:u w:val="single"/>
        </w:rPr>
        <w:t>）</w:t>
      </w:r>
      <w:r>
        <w:rPr>
          <w:rFonts w:hint="eastAsia" w:ascii="宋体" w:hAnsi="宋体" w:cs="宋体"/>
          <w:bCs/>
          <w:color w:val="auto"/>
          <w:szCs w:val="21"/>
          <w:highlight w:val="none"/>
          <w:u w:val="single"/>
        </w:rPr>
        <w:t>。</w:t>
      </w:r>
    </w:p>
    <w:p w14:paraId="778E4513">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14）投标人未出现以下情形：与其它投标人的单位负责人为同一人或者存在控股、管理关系的（按投标人提供的《投标人声明》第八条内容进行评审）。如不同投标申请人出现单位负责人为同一人或者存在控股、管理关系的情形，则判定为无效标。</w:t>
      </w:r>
    </w:p>
    <w:p w14:paraId="27FCE04A">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（15）</w:t>
      </w:r>
      <w:r>
        <w:rPr>
          <w:rFonts w:hint="eastAsia" w:ascii="宋体" w:hAnsi="宋体" w:eastAsia="宋体" w:cs="宋体"/>
          <w:bCs/>
          <w:color w:val="auto"/>
          <w:sz w:val="21"/>
          <w:szCs w:val="21"/>
          <w:highlight w:val="none"/>
          <w:u w:val="single"/>
        </w:rPr>
        <w:t>投标人</w:t>
      </w:r>
      <w:r>
        <w:rPr>
          <w:rFonts w:hint="eastAsia" w:ascii="宋体" w:hAnsi="宋体" w:eastAsia="宋体" w:cs="宋体"/>
          <w:bCs/>
          <w:color w:val="auto"/>
          <w:kern w:val="0"/>
          <w:sz w:val="21"/>
          <w:szCs w:val="21"/>
          <w:highlight w:val="none"/>
          <w:u w:val="single"/>
        </w:rPr>
        <w:t>（若为联合体投标，指联合体各方）</w:t>
      </w:r>
      <w:r>
        <w:rPr>
          <w:rFonts w:hint="eastAsia" w:ascii="宋体" w:hAnsi="宋体" w:eastAsia="宋体" w:cs="宋体"/>
          <w:bCs/>
          <w:color w:val="auto"/>
          <w:sz w:val="21"/>
          <w:szCs w:val="21"/>
          <w:highlight w:val="none"/>
          <w:u w:val="single"/>
        </w:rPr>
        <w:t>未被列入拖欠农民工工资失信联合惩戒对象名单</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（投标人无需提供资料，按</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bCs/>
          <w:color w:val="auto"/>
          <w:sz w:val="21"/>
          <w:szCs w:val="21"/>
          <w:highlight w:val="none"/>
          <w:u w:val="single"/>
        </w:rPr>
        <w:t>交易系统比对的结果进行评审）</w:t>
      </w:r>
      <w:r>
        <w:rPr>
          <w:rFonts w:hint="eastAsia" w:ascii="宋体" w:hAnsi="宋体" w:cs="宋体"/>
          <w:bCs/>
          <w:color w:val="auto"/>
          <w:szCs w:val="21"/>
          <w:highlight w:val="none"/>
          <w:u w:val="single"/>
        </w:rPr>
        <w:t>。</w:t>
      </w:r>
    </w:p>
    <w:p w14:paraId="2B35506C">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（16）</w:t>
      </w:r>
      <w:r>
        <w:rPr>
          <w:rFonts w:hint="eastAsia" w:ascii="宋体" w:hAnsi="宋体" w:eastAsia="宋体" w:cs="宋体"/>
          <w:bCs/>
          <w:color w:val="auto"/>
          <w:sz w:val="21"/>
          <w:szCs w:val="21"/>
          <w:highlight w:val="none"/>
          <w:u w:val="single"/>
          <w:shd w:val="clear" w:color="auto" w:fill="auto"/>
        </w:rPr>
        <w:t>投标人</w:t>
      </w:r>
      <w:r>
        <w:rPr>
          <w:rFonts w:hint="eastAsia" w:ascii="宋体" w:hAnsi="宋体" w:eastAsia="宋体" w:cs="宋体"/>
          <w:bCs/>
          <w:color w:val="auto"/>
          <w:kern w:val="0"/>
          <w:sz w:val="21"/>
          <w:szCs w:val="21"/>
          <w:highlight w:val="none"/>
          <w:u w:val="single"/>
        </w:rPr>
        <w:t>（若为联合体投标，指联合体各方）</w:t>
      </w:r>
      <w:r>
        <w:rPr>
          <w:rFonts w:hint="eastAsia" w:ascii="宋体" w:hAnsi="宋体" w:eastAsia="宋体" w:cs="宋体"/>
          <w:bCs/>
          <w:color w:val="auto"/>
          <w:sz w:val="21"/>
          <w:szCs w:val="21"/>
          <w:highlight w:val="none"/>
          <w:u w:val="single"/>
          <w:shd w:val="clear" w:color="auto" w:fill="auto"/>
        </w:rPr>
        <w:t>未在以往工程中因不充分履约行为被本项目招标人书面拒绝投标的企业名单</w:t>
      </w:r>
      <w:r>
        <w:rPr>
          <w:rFonts w:hint="eastAsia" w:ascii="宋体" w:hAnsi="宋体" w:cs="宋体"/>
          <w:bCs/>
          <w:color w:val="auto"/>
          <w:szCs w:val="21"/>
          <w:highlight w:val="none"/>
          <w:u w:val="single"/>
        </w:rPr>
        <w:t>（招标人无书面拒绝投标的企业名单）。</w:t>
      </w:r>
    </w:p>
    <w:p w14:paraId="375B1B66">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（17）投标人认为应提供的其他资料。</w:t>
      </w:r>
    </w:p>
    <w:p w14:paraId="3D36DB91">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u w:val="single"/>
        </w:rPr>
        <w:t>注：1、</w:t>
      </w:r>
      <w:r>
        <w:rPr>
          <w:rFonts w:hint="eastAsia" w:ascii="宋体" w:hAnsi="宋体" w:cs="宋体"/>
          <w:bCs/>
          <w:color w:val="auto"/>
          <w:szCs w:val="21"/>
          <w:highlight w:val="none"/>
          <w:u w:val="single"/>
        </w:rPr>
        <w:t>相关电子注册证书按规定需打印后手写本人签名的，应按照规定手写本人签名后再扫描提交。</w:t>
      </w:r>
    </w:p>
    <w:p w14:paraId="7C921666">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B724743">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u w:val="single"/>
        </w:rPr>
        <w:t>11.2.3《投标函》、《标函承诺书》、《项目负责人驻场承诺书》、《投入项目负责人及专职安全员承诺书》（格式见第四章）。</w:t>
      </w:r>
    </w:p>
    <w:p w14:paraId="3A2480B9">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11.2.4《施工项目管理团队人员信息表》、《主要人员简历表》（投标人需按相应表格备注要求提供相关资料）（格式见第四章）。</w:t>
      </w:r>
    </w:p>
    <w:p w14:paraId="256B1991">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11.2.5企业资信的证明材料（按附表四要求提交，招标文件有规定格式的，需按招标文件格式提供，无格式要求的，格式自拟）。</w:t>
      </w:r>
    </w:p>
    <w:p w14:paraId="18C099C8">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11.2.6《危险性较大的分部分项工程安全管理措施》（格式见第四章）。</w:t>
      </w:r>
    </w:p>
    <w:p w14:paraId="2FD859C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11.2.7《参与编制技术标投标文件人员名单》（格式见第四章）</w:t>
      </w:r>
      <w:r>
        <w:rPr>
          <w:rFonts w:hint="eastAsia" w:ascii="宋体" w:hAnsi="宋体" w:cs="宋体"/>
          <w:color w:val="auto"/>
          <w:szCs w:val="21"/>
          <w:highlight w:val="none"/>
        </w:rPr>
        <w:t>。</w:t>
      </w:r>
    </w:p>
    <w:p w14:paraId="19F93C7A">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11.2.8</w:t>
      </w:r>
      <w:r>
        <w:rPr>
          <w:rFonts w:hint="eastAsia" w:ascii="宋体" w:hAnsi="宋体" w:cs="宋体"/>
          <w:bCs/>
          <w:color w:val="auto"/>
          <w:szCs w:val="21"/>
          <w:highlight w:val="none"/>
          <w:u w:val="single"/>
        </w:rPr>
        <w:t>投标人认为应提供的其他资料</w:t>
      </w:r>
      <w:r>
        <w:rPr>
          <w:rFonts w:hint="eastAsia" w:ascii="宋体" w:hAnsi="宋体" w:cs="宋体"/>
          <w:color w:val="auto"/>
          <w:szCs w:val="21"/>
          <w:highlight w:val="none"/>
          <w:u w:val="single"/>
        </w:rPr>
        <w:t>（如有）</w:t>
      </w:r>
      <w:r>
        <w:rPr>
          <w:rFonts w:hint="eastAsia" w:ascii="宋体" w:hAnsi="宋体" w:cs="宋体"/>
          <w:bCs/>
          <w:color w:val="auto"/>
          <w:szCs w:val="21"/>
          <w:highlight w:val="none"/>
          <w:u w:val="single"/>
        </w:rPr>
        <w:t>。</w:t>
      </w:r>
    </w:p>
    <w:p w14:paraId="0991E09A">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条款号：11.3                      修改类型：修改</w:t>
      </w:r>
    </w:p>
    <w:p w14:paraId="3C6223FA">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原文：</w:t>
      </w:r>
    </w:p>
    <w:p w14:paraId="1C0AF1D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11.3经济部分投标文件主要包括下列内容：</w:t>
      </w:r>
    </w:p>
    <w:p w14:paraId="6AED35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14:paraId="2931F7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7CEC3F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（1）投标总价封面、扉页；</w:t>
      </w:r>
    </w:p>
    <w:p w14:paraId="0E3B7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（2）总说明</w:t>
      </w:r>
    </w:p>
    <w:p w14:paraId="1B5EEE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（3）工程项目投标报价汇总表；</w:t>
      </w:r>
    </w:p>
    <w:p w14:paraId="23F50A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（4）单项工程投标报价汇总表；</w:t>
      </w:r>
    </w:p>
    <w:p w14:paraId="0AB1E7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（5）单位工程投标报价汇总表；</w:t>
      </w:r>
    </w:p>
    <w:p w14:paraId="65FE1C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（6）分部分项工程清单与计价表；</w:t>
      </w:r>
    </w:p>
    <w:p w14:paraId="60A22A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（7）单价措施项目清单与计价表；</w:t>
      </w:r>
    </w:p>
    <w:p w14:paraId="48548D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（8）总价措施项目清单与计价表；</w:t>
      </w:r>
    </w:p>
    <w:p w14:paraId="6EB306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（9）综合单价分析表；</w:t>
      </w:r>
    </w:p>
    <w:p w14:paraId="6507AF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（10）其他项目清单与计价汇总表；</w:t>
      </w:r>
    </w:p>
    <w:p w14:paraId="72E363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（11）暂列金额明细表；</w:t>
      </w:r>
    </w:p>
    <w:p w14:paraId="1866C4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（12）材料（工程设备）暂估价明细表；</w:t>
      </w:r>
    </w:p>
    <w:p w14:paraId="39985E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（13）专业工程暂估价明细表；</w:t>
      </w:r>
    </w:p>
    <w:p w14:paraId="25726F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（14）计日工表；</w:t>
      </w:r>
    </w:p>
    <w:p w14:paraId="3234D9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（15）总承包服务计价表；</w:t>
      </w:r>
    </w:p>
    <w:p w14:paraId="307602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（16）规费和税金项目计价表；</w:t>
      </w:r>
    </w:p>
    <w:p w14:paraId="3A4C0F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（17）人工、主要材料和设备一览表</w:t>
      </w:r>
    </w:p>
    <w:p w14:paraId="12F4968E">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11.3.3按照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14:paraId="4C40904A">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63EC4464">
      <w:pPr>
        <w:pBdr>
          <w:bottom w:val="single" w:color="auto" w:sz="6" w:space="1"/>
        </w:pBd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现文：</w:t>
      </w:r>
    </w:p>
    <w:p w14:paraId="7A08A48A">
      <w:pPr>
        <w:pBdr>
          <w:bottom w:val="single" w:color="auto" w:sz="6" w:space="1"/>
        </w:pBdr>
        <w:adjustRightInd w:val="0"/>
        <w:spacing w:line="360" w:lineRule="auto"/>
        <w:ind w:firstLine="420" w:firstLineChars="200"/>
        <w:textAlignment w:val="baseline"/>
        <w:rPr>
          <w:rFonts w:hint="eastAsia" w:ascii="宋体" w:hAnsi="宋体" w:cs="宋体"/>
          <w:b/>
          <w:color w:val="auto"/>
          <w:szCs w:val="21"/>
          <w:highlight w:val="none"/>
        </w:rPr>
      </w:pPr>
      <w:r>
        <w:rPr>
          <w:rFonts w:hint="eastAsia" w:ascii="宋体" w:hAnsi="宋体" w:cs="宋体"/>
          <w:bCs/>
          <w:color w:val="auto"/>
          <w:szCs w:val="21"/>
          <w:highlight w:val="none"/>
        </w:rPr>
        <w:t>11.3 经济标投标文件主要包括下列内容：</w:t>
      </w:r>
    </w:p>
    <w:p w14:paraId="389D37C5">
      <w:pPr>
        <w:pBdr>
          <w:bottom w:val="single" w:color="auto" w:sz="6" w:space="1"/>
        </w:pBdr>
        <w:adjustRightInd w:val="0"/>
        <w:spacing w:line="360" w:lineRule="auto"/>
        <w:ind w:firstLine="420" w:firstLineChars="200"/>
        <w:textAlignment w:val="baseline"/>
        <w:rPr>
          <w:rFonts w:hint="eastAsia" w:ascii="宋体" w:hAnsi="宋体" w:cs="宋体"/>
          <w:bCs/>
          <w:color w:val="auto"/>
          <w:szCs w:val="21"/>
          <w:highlight w:val="none"/>
          <w:u w:val="single"/>
        </w:rPr>
      </w:pPr>
      <w:r>
        <w:rPr>
          <w:rFonts w:hint="eastAsia" w:ascii="宋体" w:hAnsi="宋体" w:cs="宋体"/>
          <w:color w:val="auto"/>
          <w:szCs w:val="21"/>
          <w:highlight w:val="none"/>
        </w:rPr>
        <w:t>11.3.1</w:t>
      </w:r>
      <w:r>
        <w:rPr>
          <w:rFonts w:hint="eastAsia" w:ascii="宋体" w:hAnsi="宋体" w:cs="宋体"/>
          <w:color w:val="auto"/>
          <w:szCs w:val="21"/>
          <w:highlight w:val="none"/>
          <w:u w:val="single"/>
        </w:rPr>
        <w:t>广州建设工程施工招标投标书（经济标）（格式见第四章）</w:t>
      </w:r>
      <w:r>
        <w:rPr>
          <w:rFonts w:hint="eastAsia" w:ascii="宋体" w:hAnsi="宋体" w:cs="宋体"/>
          <w:bCs/>
          <w:color w:val="auto"/>
          <w:szCs w:val="21"/>
          <w:highlight w:val="none"/>
          <w:u w:val="single"/>
        </w:rPr>
        <w:t>。</w:t>
      </w:r>
    </w:p>
    <w:p w14:paraId="0271614E">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和施工现场情况，结合企业成本、市场价格以及招标文件中载明的风险内容和范围等编制。其中包括如下：</w:t>
      </w:r>
    </w:p>
    <w:p w14:paraId="52AE8D8E">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（1）投标总价封面、扉页；</w:t>
      </w:r>
    </w:p>
    <w:p w14:paraId="0D795E7A">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（2）总说明；</w:t>
      </w:r>
    </w:p>
    <w:p w14:paraId="042A294B">
      <w:pPr>
        <w:pBdr>
          <w:bottom w:val="single" w:color="auto" w:sz="6" w:space="1"/>
        </w:pBdr>
        <w:adjustRightInd w:val="0"/>
        <w:spacing w:line="360" w:lineRule="auto"/>
        <w:ind w:firstLine="420" w:firstLineChars="200"/>
        <w:textAlignment w:val="baseline"/>
        <w:rPr>
          <w:rFonts w:hint="eastAsia" w:ascii="宋体" w:hAnsi="宋体" w:cs="宋体"/>
          <w:b/>
          <w:color w:val="auto"/>
          <w:szCs w:val="21"/>
          <w:highlight w:val="none"/>
        </w:rPr>
      </w:pPr>
      <w:r>
        <w:rPr>
          <w:rFonts w:hint="eastAsia" w:ascii="宋体" w:hAnsi="宋体" w:cs="宋体"/>
          <w:color w:val="auto"/>
          <w:szCs w:val="21"/>
          <w:highlight w:val="none"/>
          <w:u w:val="single"/>
        </w:rPr>
        <w:t>（3）工程量清单报价表及综合单价分析表（相关表格的内容及格式要求以招标人发出的最新版电子招标文件中的相应内容及格式为准）；</w:t>
      </w:r>
    </w:p>
    <w:p w14:paraId="607ED3D9">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u w:val="single"/>
        </w:rPr>
        <w:t>（4）其它辅助说明资料（包括但不限于招标文件要求填写的《对投标文件编制的承诺》（格式见第四章））</w:t>
      </w:r>
      <w:r>
        <w:rPr>
          <w:rFonts w:hint="eastAsia" w:ascii="宋体" w:hAnsi="宋体" w:cs="宋体"/>
          <w:color w:val="auto"/>
          <w:szCs w:val="21"/>
          <w:highlight w:val="none"/>
        </w:rPr>
        <w:t>。</w:t>
      </w:r>
    </w:p>
    <w:p w14:paraId="7C920F1C">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11.3.3按照招标文件要求填写的《参与编制经济标投标文件人员名单》</w:t>
      </w:r>
      <w:r>
        <w:rPr>
          <w:rFonts w:hint="eastAsia" w:ascii="宋体" w:hAnsi="宋体" w:cs="宋体"/>
          <w:color w:val="auto"/>
          <w:szCs w:val="21"/>
          <w:highlight w:val="none"/>
          <w:u w:val="single"/>
        </w:rPr>
        <w:t>（格式见第四章）</w:t>
      </w:r>
      <w:r>
        <w:rPr>
          <w:rFonts w:hint="eastAsia" w:ascii="宋体" w:hAnsi="宋体" w:cs="宋体"/>
          <w:color w:val="auto"/>
          <w:szCs w:val="21"/>
          <w:highlight w:val="none"/>
        </w:rPr>
        <w:t>。</w:t>
      </w:r>
    </w:p>
    <w:p w14:paraId="0A5A98DD">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50A71B25">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11.3.5投标人认为应提供的其他资料（如有）</w:t>
      </w:r>
      <w:r>
        <w:rPr>
          <w:rFonts w:hint="eastAsia" w:ascii="宋体" w:hAnsi="宋体" w:cs="宋体"/>
          <w:b/>
          <w:bCs/>
          <w:color w:val="auto"/>
          <w:szCs w:val="21"/>
          <w:highlight w:val="none"/>
          <w:u w:val="single"/>
        </w:rPr>
        <w:t>。</w:t>
      </w:r>
    </w:p>
    <w:p w14:paraId="35C93182">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条款号：12.2                        修改类型：修改</w:t>
      </w:r>
    </w:p>
    <w:p w14:paraId="027D249E">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0E911F2">
      <w:pPr>
        <w:pBdr>
          <w:bottom w:val="single" w:color="auto" w:sz="6" w:space="1"/>
        </w:pBdr>
        <w:wordWrap w:val="0"/>
        <w:adjustRightInd w:val="0"/>
        <w:spacing w:line="360" w:lineRule="auto"/>
        <w:ind w:firstLine="424" w:firstLineChars="201"/>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w:t>
      </w:r>
      <w:r>
        <w:rPr>
          <w:rFonts w:hint="eastAsia" w:ascii="宋体" w:hAnsi="宋体" w:cs="宋体"/>
          <w:color w:val="auto"/>
          <w:szCs w:val="21"/>
          <w:highlight w:val="none"/>
          <w:u w:val="single"/>
        </w:rPr>
        <w:t>投标人应仔细阅读招标文件第四章投标文件格式的相关规定和要求。</w:t>
      </w:r>
      <w:r>
        <w:rPr>
          <w:rFonts w:hint="eastAsia" w:ascii="宋体" w:hAnsi="宋体" w:cs="宋体"/>
          <w:color w:val="auto"/>
          <w:szCs w:val="21"/>
          <w:highlight w:val="none"/>
        </w:rPr>
        <w:t>投标文件全部采用电子文档，投标文件所附证书证件均为扫描件或电子证照证书，并采用单位数字证书，按招标文件要求在相应位置加盖电子印章。投标文件中需个人签字或盖章的，应在线下完成后扫描上传。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5064C9DE">
      <w:pPr>
        <w:pBdr>
          <w:bottom w:val="single" w:color="auto" w:sz="6" w:space="1"/>
        </w:pBdr>
        <w:wordWrap w:val="0"/>
        <w:adjustRightInd w:val="0"/>
        <w:spacing w:line="360" w:lineRule="auto"/>
        <w:ind w:firstLine="424" w:firstLineChars="201"/>
        <w:textAlignment w:val="baseline"/>
        <w:rPr>
          <w:rFonts w:hint="eastAsia" w:ascii="宋体" w:hAnsi="宋体"/>
          <w:b/>
          <w:color w:val="auto"/>
          <w:sz w:val="21"/>
          <w:szCs w:val="21"/>
          <w:highlight w:val="none"/>
          <w:u w:val="single"/>
        </w:rPr>
      </w:pPr>
      <w:r>
        <w:rPr>
          <w:rFonts w:hint="eastAsia" w:ascii="宋体" w:hAnsi="宋体"/>
          <w:b/>
          <w:color w:val="auto"/>
          <w:sz w:val="21"/>
          <w:szCs w:val="21"/>
          <w:highlight w:val="none"/>
          <w:u w:val="single"/>
        </w:rPr>
        <w:t>如联合体投标，投标文件中的“投标人”、“投标单位”应填写联合体各成员的单位全称“（主）***公司（成）***公司”。除投标文件中的联合体工作协议</w:t>
      </w:r>
      <w:r>
        <w:rPr>
          <w:rFonts w:hint="eastAsia" w:ascii="宋体" w:hAnsi="宋体" w:eastAsia="宋体" w:cs="Times New Roman"/>
          <w:b/>
          <w:color w:val="auto"/>
          <w:sz w:val="21"/>
          <w:szCs w:val="21"/>
          <w:highlight w:val="none"/>
          <w:u w:val="single"/>
        </w:rPr>
        <w:t>、投标人声明需联合体各</w:t>
      </w:r>
      <w:r>
        <w:rPr>
          <w:rFonts w:hint="eastAsia" w:ascii="宋体" w:hAnsi="宋体" w:eastAsia="宋体" w:cs="Times New Roman"/>
          <w:b/>
          <w:color w:val="auto"/>
          <w:sz w:val="21"/>
          <w:szCs w:val="21"/>
          <w:highlight w:val="none"/>
          <w:u w:val="single"/>
          <w:lang w:val="en-US" w:eastAsia="zh-CN"/>
        </w:rPr>
        <w:t>方</w:t>
      </w:r>
      <w:r>
        <w:rPr>
          <w:rFonts w:hint="eastAsia" w:ascii="宋体" w:hAnsi="宋体" w:eastAsia="宋体" w:cs="Times New Roman"/>
          <w:b/>
          <w:color w:val="auto"/>
          <w:sz w:val="21"/>
          <w:szCs w:val="21"/>
          <w:highlight w:val="none"/>
          <w:u w:val="single"/>
        </w:rPr>
        <w:t>按格式要求盖章或签字外，</w:t>
      </w:r>
      <w:r>
        <w:rPr>
          <w:rFonts w:hint="eastAsia" w:ascii="宋体" w:hAnsi="宋体"/>
          <w:b/>
          <w:color w:val="auto"/>
          <w:sz w:val="21"/>
          <w:szCs w:val="21"/>
          <w:highlight w:val="none"/>
          <w:u w:val="single"/>
        </w:rPr>
        <w:t>其他资料均由主办方盖章或签字即可。</w:t>
      </w:r>
    </w:p>
    <w:p w14:paraId="15F27374">
      <w:pPr>
        <w:pBdr>
          <w:bottom w:val="single" w:color="auto" w:sz="6" w:space="1"/>
        </w:pBd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注：投标文件电子文档需要投标人单位盖章的材料，投标人加盖电子印章即可，不得将投标人未对电子文档加盖实物印章作为否决投标的情形。</w:t>
      </w:r>
    </w:p>
    <w:p w14:paraId="1143E982">
      <w:pPr>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条款号：12.3                        修改类型：修改</w:t>
      </w:r>
    </w:p>
    <w:p w14:paraId="7561EBD4">
      <w:pPr>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12.3投标文件应按照交易平台关于全流程电子化项目的相关指南进行编制，详见：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8A1086B">
      <w:pPr>
        <w:spacing w:line="360" w:lineRule="auto"/>
        <w:ind w:firstLine="420" w:firstLineChars="200"/>
        <w:textAlignment w:val="baseline"/>
        <w:rPr>
          <w:rFonts w:hint="eastAsia"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p>
    <w:p w14:paraId="64CCD9FE">
      <w:pPr>
        <w:pBdr>
          <w:bottom w:val="single" w:color="auto" w:sz="6" w:space="1"/>
        </w:pBdr>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21D3DF69">
      <w:pPr>
        <w:pBdr>
          <w:bottom w:val="single" w:color="auto" w:sz="6" w:space="1"/>
        </w:pBdr>
        <w:spacing w:line="360" w:lineRule="auto"/>
        <w:ind w:firstLine="420" w:firstLineChars="200"/>
        <w:textAlignment w:val="baseline"/>
        <w:rPr>
          <w:rFonts w:hint="eastAsia"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p>
    <w:p w14:paraId="582E757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                        修改类型：修改</w:t>
      </w:r>
    </w:p>
    <w:p w14:paraId="095D4A86">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13.1本工程的投标报价采用投标须知前附表第12项所规定的方式。投标报价（含单价及总价）精确到“分”。</w:t>
      </w:r>
    </w:p>
    <w:p w14:paraId="5B00A68F">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14:paraId="4302986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条款号：13.3                        修改类型：修改</w:t>
      </w:r>
    </w:p>
    <w:p w14:paraId="559DD38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2C8C4A7">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auto"/>
          <w:szCs w:val="21"/>
          <w:highlight w:val="none"/>
          <w:u w:val="single"/>
        </w:rPr>
        <w:t>提供的招标图纸（包括有关于本项目招标的相关资料）及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B2CEFA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条款号：13.4                         修改类型：修改</w:t>
      </w:r>
    </w:p>
    <w:p w14:paraId="55F25087">
      <w:pPr>
        <w:pStyle w:val="20"/>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C081EBD">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和措施项目费（措施项目费必须单列，没有单独列出的，视为已经包含在投标报价中），在工程结算时，按招标文件第三章合同条款相关约定调整。</w:t>
      </w:r>
    </w:p>
    <w:p w14:paraId="6E900E6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条款号：13.5                        修改类型：修改</w:t>
      </w:r>
    </w:p>
    <w:p w14:paraId="27847149">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1EFAD377">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13.5.1中标的投标文件工程量清单中已有相同项目的适用综合单价，则沿用；</w:t>
      </w:r>
    </w:p>
    <w:p w14:paraId="178F3CD2">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D1D0DCB">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14:paraId="0EA705DB">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14:paraId="3898659F">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497F4E0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条款号：13.6.2                      修改类型：修改</w:t>
      </w:r>
    </w:p>
    <w:p w14:paraId="33E1C83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77CA1BF3">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cs="宋体"/>
          <w:color w:val="auto"/>
          <w:szCs w:val="21"/>
          <w:highlight w:val="none"/>
          <w:u w:val="single"/>
        </w:rPr>
        <w:t>应由招标人招标确定承包人和承包价格。</w:t>
      </w:r>
    </w:p>
    <w:p w14:paraId="1F9F27C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条款号：13.6.4                      修改类型：修改</w:t>
      </w:r>
    </w:p>
    <w:p w14:paraId="37C693F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5826BF1F">
      <w:pPr>
        <w:pStyle w:val="20"/>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eastAsia="宋体" w:cs="宋体"/>
          <w:color w:val="auto"/>
          <w:szCs w:val="21"/>
          <w:highlight w:val="none"/>
          <w:u w:val="single"/>
        </w:rPr>
        <w:t>经发包人同意，</w:t>
      </w:r>
      <w:r>
        <w:rPr>
          <w:rFonts w:hint="eastAsia" w:ascii="宋体" w:hAnsi="宋体" w:eastAsia="宋体" w:cs="宋体"/>
          <w:color w:val="auto"/>
          <w:szCs w:val="21"/>
          <w:highlight w:val="none"/>
        </w:rPr>
        <w:t>承包人有法定的承包资格的，由承包人承包，承包人无法定的承包资格但有法定的分包权的，由承包人分包，招标人同承包人结算的价格按本投标须知13.5款规定确定。</w:t>
      </w:r>
    </w:p>
    <w:p w14:paraId="617EED0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条款号：13.8                         修改类型：修改</w:t>
      </w:r>
    </w:p>
    <w:p w14:paraId="5D587E3C">
      <w:pPr>
        <w:pStyle w:val="20"/>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26EFA954">
      <w:pPr>
        <w:pBdr>
          <w:bottom w:val="single" w:color="auto" w:sz="4" w:space="0"/>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13.8</w:t>
      </w:r>
      <w:r>
        <w:rPr>
          <w:rFonts w:hint="eastAsia" w:ascii="宋体" w:hAnsi="宋体" w:cs="宋体"/>
          <w:color w:val="auto"/>
          <w:szCs w:val="21"/>
          <w:highlight w:val="none"/>
          <w:u w:val="single"/>
        </w:rPr>
        <w:t>本工程采用的主要材料推荐选用本招标文件附件《主要材料设备品牌推荐表》的品牌、厂家或选用相当于该档次（或以上）的产品。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533FB3B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条款号：13.10                       修改类型：增加</w:t>
      </w:r>
    </w:p>
    <w:p w14:paraId="4DDE2FCC">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13.10工程量清单报价中有关问题的说明：</w:t>
      </w:r>
    </w:p>
    <w:p w14:paraId="5FDC876A">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①工程量清单中的标志杆基础中的土方开挖、运输、外运等费用包含在相应项目中，不包含在土石方工程的相关项目中；</w:t>
      </w:r>
    </w:p>
    <w:p w14:paraId="2A43D356">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②投标时,土方的弃运距离暂按15km内考虑，超过15km按15km计算，结算时按招标人确认的实际运距计算,实际运距超过15公里时按15公里包干,弃运的土方单价按定额计算。</w:t>
      </w:r>
    </w:p>
    <w:p w14:paraId="070F5E51">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③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最高投标限价）中的绿色施工安全防护措施费计取，作为非竞争费用，在投标报价中单列，不参与投标竞价，该费用从工程施工中标价中提取，专款专用。</w:t>
      </w:r>
    </w:p>
    <w:p w14:paraId="73A1F54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条款号：13.11                       修改类型：增加</w:t>
      </w:r>
    </w:p>
    <w:p w14:paraId="274AC8C8">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项目措施费中，结算时按发包人批准的实施方案，再按合同约定结算。如果中标人不及时按要求设置，业主可以另行委托实施，业主按实际发生的费用在工程款中扣除，中标人不得有任何异议。</w:t>
      </w:r>
    </w:p>
    <w:p w14:paraId="7B05786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条款号：13.12                       修改类型：增加</w:t>
      </w:r>
    </w:p>
    <w:p w14:paraId="1BE8AF6F">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13.12中标人应加强周边学校、居民住宅的环境保护，制定绿色施工安全防护措施（包括防尘、防噪音、施工围蔽等），施工现场严格按照《广州市建设工程文明施工管理规定》（广州市人民政府令第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2018〕1008号）、《广州市建设工程绿色施工围蔽指导图集（V2.0版）的通知》(穂建质〔2020〕1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围蔽新文件规定的，按新规定执行。如中标人未及时按要求做好围蔽、落实工地扬尘防治等绿色施工安全防护措施，业主可另行委托单位实施，业主在工程款中扣减相应措施费用。中标人应当在项目施工前编制扬尘污染防治专项方案和扬尘污染防治费用使用计划，明确扬尘控制目标、防治部位、控制措施，并将扬尘污染防治费用专项使用</w:t>
      </w:r>
      <w:r>
        <w:rPr>
          <w:rFonts w:hint="eastAsia" w:ascii="宋体" w:hAnsi="宋体" w:cs="宋体"/>
          <w:bCs/>
          <w:color w:val="auto"/>
          <w:szCs w:val="21"/>
          <w:highlight w:val="none"/>
          <w:u w:val="single"/>
        </w:rPr>
        <w:t>。</w:t>
      </w:r>
    </w:p>
    <w:p w14:paraId="489EE8C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条款号：13.13                       修改类型：增加</w:t>
      </w:r>
    </w:p>
    <w:p w14:paraId="1355D226">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在措施项目费中设有独立单项项目，该费用（除围蔽费用除外）包干使用，且中标人不得以任何理由要求业主另行增加该部分费用（中标人要充分考虑最不利因素影响而采用的施工方案所需的费用）。</w:t>
      </w:r>
    </w:p>
    <w:p w14:paraId="5E6BAED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条款号：13.14                       修改类型：增加</w:t>
      </w:r>
    </w:p>
    <w:p w14:paraId="641EEF9A">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14:paraId="11DAD91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条款号：13.15                       修改类型：增加</w:t>
      </w:r>
    </w:p>
    <w:p w14:paraId="13C606CB">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14:paraId="2EFF544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条款号：13.16                       修改类型：增加</w:t>
      </w:r>
    </w:p>
    <w:p w14:paraId="1450893A">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13.16中标人应使用绿色生产达标企业生产的混凝土，若不遵守承诺，自愿按不履行合同约定处理。</w:t>
      </w:r>
    </w:p>
    <w:p w14:paraId="70AD255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条款号：13.17                       修改类型：增加</w:t>
      </w:r>
    </w:p>
    <w:p w14:paraId="3D7EB8C6">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13.17中标人应按有关规定协助建设业主完成公共排水设施竣工图纸备案工作。</w:t>
      </w:r>
    </w:p>
    <w:p w14:paraId="41835E1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条款号：15.2                                修改类型：修改</w:t>
      </w:r>
    </w:p>
    <w:p w14:paraId="67BC9FB8">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4A48451D">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r>
        <w:rPr>
          <w:rFonts w:hint="eastAsia" w:ascii="宋体" w:hAnsi="宋体" w:cs="宋体"/>
          <w:color w:val="auto"/>
          <w:szCs w:val="21"/>
          <w:highlight w:val="none"/>
        </w:rPr>
        <w:t>。</w:t>
      </w:r>
    </w:p>
    <w:p w14:paraId="51903942">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条款号：16                                   修改类型：修改</w:t>
      </w:r>
    </w:p>
    <w:p w14:paraId="24F17D02">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原文：16．投标保证金</w:t>
      </w:r>
    </w:p>
    <w:p w14:paraId="5F557C02">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6D83411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14:paraId="5F655D42">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EB78C82">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14:paraId="729647C4">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0A4C23A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14:paraId="2600F52B">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14:paraId="0DCA463F">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23F58746">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1D535E9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2260E914">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7ADA6167">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14:paraId="26D7B504">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14:paraId="3C481306">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14:paraId="340EAC57">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14:paraId="31F6534F">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14:paraId="51E6BF0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14:paraId="1C3BA519">
      <w:pPr>
        <w:pBdr>
          <w:bottom w:val="single" w:color="auto" w:sz="6" w:space="1"/>
        </w:pBdr>
        <w:tabs>
          <w:tab w:val="left" w:pos="210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现文：16. 投标保证金</w:t>
      </w:r>
    </w:p>
    <w:p w14:paraId="373967FB">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3056CEFE">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14:paraId="0D4FB2B4">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587615B">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14:paraId="75AEC236">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4C5D8FDF">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14:paraId="3C653A66">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14:paraId="127E337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0E896953">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489A49C0">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620C3838">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09D5A4A6">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14:paraId="641A21C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14:paraId="598EFFAC">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14:paraId="5DF359A7">
      <w:pPr>
        <w:pBdr>
          <w:bottom w:val="single" w:color="auto" w:sz="6" w:space="1"/>
        </w:pBdr>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16.5.3按招标文件要求免于提供投标保证金的投标人存在16.4条款所列情形，且未按招标人要求补交投标保证金的；</w:t>
      </w:r>
    </w:p>
    <w:p w14:paraId="5BC3324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14:paraId="6A6CF375">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14:paraId="70C4C0A5">
      <w:pPr>
        <w:pStyle w:val="20"/>
        <w:spacing w:after="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17．</w:t>
      </w:r>
      <w:r>
        <w:rPr>
          <w:rFonts w:hint="eastAsia" w:ascii="宋体" w:hAnsi="宋体" w:eastAsia="宋体" w:cs="宋体"/>
          <w:b/>
          <w:color w:val="auto"/>
          <w:szCs w:val="21"/>
          <w:highlight w:val="none"/>
        </w:rPr>
        <w:t>投标文件的签署    修改类型：修改</w:t>
      </w:r>
    </w:p>
    <w:p w14:paraId="471F5E6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17．</w:t>
      </w:r>
      <w:r>
        <w:rPr>
          <w:rFonts w:hint="eastAsia" w:ascii="宋体" w:hAnsi="宋体" w:cs="宋体"/>
          <w:b/>
          <w:color w:val="auto"/>
          <w:szCs w:val="21"/>
          <w:highlight w:val="none"/>
        </w:rPr>
        <w:t xml:space="preserve">投标文件的签署   </w:t>
      </w:r>
    </w:p>
    <w:p w14:paraId="19761F0B">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rPr>
        <w:t>17.1</w:t>
      </w:r>
      <w:r>
        <w:rPr>
          <w:rFonts w:hint="eastAsia" w:ascii="宋体" w:hAnsi="宋体" w:cs="宋体"/>
          <w:bCs/>
          <w:color w:val="auto"/>
          <w:kern w:val="0"/>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6391994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p>
    <w:p w14:paraId="63B10530">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17．</w:t>
      </w:r>
      <w:r>
        <w:rPr>
          <w:rFonts w:hint="eastAsia" w:ascii="宋体" w:hAnsi="宋体" w:cs="宋体"/>
          <w:b/>
          <w:color w:val="auto"/>
          <w:szCs w:val="21"/>
          <w:highlight w:val="none"/>
        </w:rPr>
        <w:t>投标文件的签署及份数</w:t>
      </w:r>
    </w:p>
    <w:p w14:paraId="1920F395">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17.1</w:t>
      </w:r>
      <w:r>
        <w:rPr>
          <w:rFonts w:hint="eastAsia" w:ascii="宋体" w:hAnsi="宋体" w:cs="宋体"/>
          <w:bCs/>
          <w:color w:val="auto"/>
          <w:kern w:val="0"/>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Cs w:val="21"/>
          <w:highlight w:val="none"/>
        </w:rPr>
        <w:t>详见：</w:t>
      </w:r>
      <w:r>
        <w:rPr>
          <w:rFonts w:hint="eastAsia" w:ascii="宋体" w:hAnsi="宋体" w:cs="宋体"/>
          <w:color w:val="auto"/>
          <w:szCs w:val="21"/>
          <w:highlight w:val="none"/>
          <w:u w:val="single"/>
        </w:rPr>
        <w:t>广州交易集团有限公司（广州公共资源交易中心）最新指引</w:t>
      </w:r>
      <w:r>
        <w:rPr>
          <w:rFonts w:hint="eastAsia" w:ascii="宋体" w:hAnsi="宋体" w:cs="宋体"/>
          <w:color w:val="auto"/>
          <w:szCs w:val="21"/>
          <w:highlight w:val="none"/>
        </w:rPr>
        <w:t>。</w:t>
      </w:r>
    </w:p>
    <w:p w14:paraId="202D593F">
      <w:pPr>
        <w:pBdr>
          <w:bottom w:val="single" w:color="auto" w:sz="6" w:space="1"/>
        </w:pBd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17.2投标文件份数为含电子印章的加密电子投标文件1套。</w:t>
      </w: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14:paraId="06C58F9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条款号：18.1                        修改类型：修改</w:t>
      </w:r>
    </w:p>
    <w:p w14:paraId="6423700C">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E8E596C">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76094EA3">
      <w:pPr>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条款号：18.2                       修改类型：修改</w:t>
      </w:r>
    </w:p>
    <w:p w14:paraId="5E1AAB37">
      <w:pPr>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18.2</w:t>
      </w:r>
      <w:r>
        <w:rPr>
          <w:rFonts w:hint="eastAsia" w:ascii="宋体" w:hAnsi="宋体" w:cs="宋体"/>
          <w:bCs/>
          <w:color w:val="auto"/>
          <w:szCs w:val="21"/>
          <w:highlight w:val="none"/>
        </w:rPr>
        <w:t>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40273B51">
      <w:pPr>
        <w:pBdr>
          <w:bottom w:val="single" w:color="auto" w:sz="6" w:space="1"/>
        </w:pBdr>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18.2</w:t>
      </w:r>
      <w:r>
        <w:rPr>
          <w:rFonts w:hint="eastAsia" w:ascii="宋体" w:hAnsi="宋体" w:cs="宋体"/>
          <w:bCs/>
          <w:color w:val="auto"/>
          <w:szCs w:val="21"/>
          <w:highlight w:val="none"/>
        </w:rPr>
        <w:t>未按要求加密的投标文件，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3C1B603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                          修改类型：修改</w:t>
      </w:r>
    </w:p>
    <w:p w14:paraId="01467333">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原文：19.投标文件的递交和接收</w:t>
      </w:r>
    </w:p>
    <w:p w14:paraId="06BE29DF">
      <w:pPr>
        <w:pBdr>
          <w:bottom w:val="single" w:color="auto" w:sz="6" w:space="1"/>
        </w:pBd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现文：19.</w:t>
      </w:r>
      <w:r>
        <w:rPr>
          <w:rFonts w:hint="eastAsia" w:ascii="宋体" w:hAnsi="宋体" w:cs="宋体"/>
          <w:b/>
          <w:color w:val="auto"/>
          <w:szCs w:val="21"/>
          <w:highlight w:val="none"/>
          <w:u w:val="single"/>
        </w:rPr>
        <w:t>投标登记和</w:t>
      </w:r>
      <w:r>
        <w:rPr>
          <w:rFonts w:hint="eastAsia" w:ascii="宋体" w:hAnsi="宋体" w:cs="宋体"/>
          <w:b/>
          <w:color w:val="auto"/>
          <w:szCs w:val="21"/>
          <w:highlight w:val="none"/>
        </w:rPr>
        <w:t>投标文件的递交和接收</w:t>
      </w:r>
    </w:p>
    <w:p w14:paraId="4859084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条款号：19.1                        修改类型：修改</w:t>
      </w:r>
    </w:p>
    <w:p w14:paraId="1A9FA74F">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交易平台递交电子投标文件。</w:t>
      </w:r>
    </w:p>
    <w:p w14:paraId="79E24821">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14:paraId="78F6104C">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条款号：19.2                       修改类型：修改</w:t>
      </w:r>
    </w:p>
    <w:p w14:paraId="12DC2C9F">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14:paraId="23A890BA">
      <w:pPr>
        <w:pBdr>
          <w:bottom w:val="single" w:color="auto" w:sz="6" w:space="1"/>
        </w:pBdr>
        <w:adjustRightInd w:val="0"/>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14:paraId="14C4F58E">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条款号：19.3                       修改类型：修改</w:t>
      </w:r>
    </w:p>
    <w:p w14:paraId="630D1516">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07EED84B">
      <w:pPr>
        <w:pBdr>
          <w:bottom w:val="single" w:color="auto" w:sz="6" w:space="1"/>
        </w:pBdr>
        <w:adjustRightInd w:val="0"/>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70EC6CEA">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条款号：19.5                                   修改类型：修改</w:t>
      </w:r>
    </w:p>
    <w:p w14:paraId="391B4BA3">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14:paraId="67318527">
      <w:pPr>
        <w:pBdr>
          <w:bottom w:val="single" w:color="auto" w:sz="6" w:space="1"/>
        </w:pBdr>
        <w:adjustRightInd w:val="0"/>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技术标和经济标同时开启，广州交易集团有限公司（广州公共资源交易中心）交易平台将按招标文件规定的时间同时开启技术标和经济标</w:t>
      </w:r>
      <w:r>
        <w:rPr>
          <w:rFonts w:hint="eastAsia" w:ascii="宋体" w:hAnsi="宋体" w:cs="宋体"/>
          <w:color w:val="auto"/>
          <w:szCs w:val="21"/>
          <w:highlight w:val="none"/>
        </w:rPr>
        <w:t>。</w:t>
      </w:r>
    </w:p>
    <w:p w14:paraId="71CE1A4F">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条款号：19.6             修改类型：删除</w:t>
      </w:r>
    </w:p>
    <w:p w14:paraId="0AD42D2E">
      <w:pPr>
        <w:pBdr>
          <w:bottom w:val="single" w:color="auto" w:sz="4" w:space="0"/>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08D60785">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条款号：20.3                       修改类型：修改</w:t>
      </w:r>
    </w:p>
    <w:p w14:paraId="15EB2993">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20.3 到投标截止时间止，招标人收到的投标文件少于3家的，招标人将重新组织招标（当N个标段同时招标且不允许兼中时，若有效投标人不足N+2家，则重新组织招标）。</w:t>
      </w:r>
    </w:p>
    <w:p w14:paraId="79A69EFA">
      <w:pPr>
        <w:pBdr>
          <w:bottom w:val="single" w:color="auto" w:sz="6" w:space="1"/>
        </w:pBdr>
        <w:adjustRightInd w:val="0"/>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 xml:space="preserve">20.3 </w:t>
      </w:r>
      <w:r>
        <w:rPr>
          <w:rFonts w:hint="eastAsia" w:ascii="宋体" w:hAnsi="宋体" w:cs="宋体"/>
          <w:bCs/>
          <w:color w:val="auto"/>
          <w:szCs w:val="21"/>
          <w:highlight w:val="none"/>
          <w:u w:val="single"/>
        </w:rPr>
        <w:t>到投标截止时间止，招标人收到的投标文件少于3家的，招标人将重新组织招标</w:t>
      </w:r>
      <w:r>
        <w:rPr>
          <w:rFonts w:hint="eastAsia" w:ascii="宋体" w:hAnsi="宋体" w:cs="宋体"/>
          <w:bCs/>
          <w:color w:val="auto"/>
          <w:szCs w:val="21"/>
          <w:highlight w:val="none"/>
        </w:rPr>
        <w:t>。</w:t>
      </w:r>
    </w:p>
    <w:p w14:paraId="082DCDF7">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条款号：21.1                       修改类型：修改</w:t>
      </w:r>
    </w:p>
    <w:p w14:paraId="60433AFF">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0E3B204E">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0D5317B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条款号：27.1                        修改类型：修改</w:t>
      </w:r>
    </w:p>
    <w:p w14:paraId="47C2B1D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27.1</w:t>
      </w:r>
      <w:r>
        <w:rPr>
          <w:rFonts w:hint="eastAsia" w:ascii="宋体" w:hAnsi="宋体" w:cs="宋体"/>
          <w:color w:val="auto"/>
          <w:szCs w:val="21"/>
          <w:highlight w:val="none"/>
        </w:rPr>
        <w:t>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w:t>
      </w:r>
      <w:r>
        <w:rPr>
          <w:rFonts w:hint="eastAsia" w:ascii="宋体" w:hAnsi="宋体" w:cs="宋体"/>
          <w:b/>
          <w:bCs/>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32D221B">
      <w:pPr>
        <w:pBdr>
          <w:bottom w:val="single" w:color="auto" w:sz="6" w:space="1"/>
        </w:pBd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w:t>
      </w:r>
      <w:r>
        <w:rPr>
          <w:rFonts w:hint="eastAsia" w:ascii="宋体" w:hAnsi="宋体" w:cs="宋体"/>
          <w:color w:val="auto"/>
          <w:szCs w:val="21"/>
          <w:highlight w:val="none"/>
          <w:u w:val="single"/>
        </w:rPr>
        <w:t>在评标委员会完成评标工作后，</w:t>
      </w:r>
      <w:r>
        <w:rPr>
          <w:rFonts w:hint="eastAsia" w:ascii="宋体" w:hAnsi="宋体" w:cs="宋体"/>
          <w:color w:val="auto"/>
          <w:szCs w:val="21"/>
          <w:highlight w:val="none"/>
        </w:rPr>
        <w:t>招标人将在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交易平台、广东省招标投标监管网和中国招标投标公共服务平台公示合格的中标候选人，公示期为三天。</w:t>
      </w:r>
      <w:r>
        <w:rPr>
          <w:rFonts w:hint="eastAsia" w:ascii="宋体" w:hAnsi="宋体" w:cs="宋体"/>
          <w:b/>
          <w:bCs/>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582249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条款号：27.4                        修改类型：修改</w:t>
      </w:r>
    </w:p>
    <w:p w14:paraId="2CC2E3AA">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交易平台和广东省招标投标监管网公开。</w:t>
      </w:r>
    </w:p>
    <w:p w14:paraId="4BA4C1AE">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交易平台和广东省招标投标监管网公开。</w:t>
      </w:r>
    </w:p>
    <w:p w14:paraId="0AA710A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条款号：28.2                        修改类型：修改</w:t>
      </w:r>
    </w:p>
    <w:p w14:paraId="46365B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E4E7076">
      <w:pPr>
        <w:pBdr>
          <w:bottom w:val="single" w:color="auto" w:sz="4" w:space="0"/>
        </w:pBdr>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szCs w:val="21"/>
          <w:highlight w:val="none"/>
        </w:rPr>
        <w:t>28.2中标通知书发出之日起30日后，中标人未按上款的规定与招标人订立合同，招标人将解除中标通知书，且依法承担相应法律责任。原中标人给招标人造成损失的，还应当予以赔偿。原中标人有异议的，可以向人民法院起诉。</w:t>
      </w:r>
    </w:p>
    <w:p w14:paraId="123D27B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条款号：28.3                        修改类型：修改</w:t>
      </w:r>
    </w:p>
    <w:p w14:paraId="4F28C6C8">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14:paraId="6A5ECECE">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w:t>
      </w:r>
      <w:r>
        <w:rPr>
          <w:rFonts w:hint="eastAsia" w:ascii="宋体" w:hAnsi="宋体" w:cs="宋体"/>
          <w:color w:val="auto"/>
          <w:szCs w:val="21"/>
          <w:highlight w:val="none"/>
          <w:u w:val="single"/>
        </w:rPr>
        <w:t>拨付</w:t>
      </w:r>
      <w:r>
        <w:rPr>
          <w:rFonts w:hint="eastAsia" w:ascii="宋体" w:hAnsi="宋体" w:cs="宋体"/>
          <w:color w:val="auto"/>
          <w:szCs w:val="21"/>
          <w:highlight w:val="none"/>
        </w:rPr>
        <w:t>及至解除合同，由此造成的一切责任由中标人承担。</w:t>
      </w:r>
    </w:p>
    <w:p w14:paraId="5230A11B">
      <w:pPr>
        <w:spacing w:line="360" w:lineRule="auto"/>
        <w:ind w:firstLine="422" w:firstLineChars="200"/>
        <w:contextualSpacing/>
        <w:rPr>
          <w:rFonts w:hint="eastAsia" w:ascii="宋体" w:hAnsi="宋体" w:cs="宋体"/>
          <w:b/>
          <w:color w:val="auto"/>
          <w:szCs w:val="21"/>
          <w:highlight w:val="none"/>
        </w:rPr>
      </w:pPr>
      <w:r>
        <w:rPr>
          <w:rFonts w:hint="eastAsia" w:ascii="宋体" w:hAnsi="宋体" w:cs="宋体"/>
          <w:b/>
          <w:color w:val="auto"/>
          <w:szCs w:val="21"/>
          <w:highlight w:val="none"/>
        </w:rPr>
        <w:t>条款号：28.5                        修改类型：增加</w:t>
      </w:r>
    </w:p>
    <w:p w14:paraId="2EA174B5">
      <w:pPr>
        <w:pBdr>
          <w:bottom w:val="single" w:color="auto" w:sz="6" w:space="1"/>
        </w:pBdr>
        <w:tabs>
          <w:tab w:val="left" w:pos="3990"/>
        </w:tabs>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28.5如本工程委托代建单位（项目建设管理单位），则可由代建单位作为发包人与中标人签订合同。</w:t>
      </w:r>
    </w:p>
    <w:p w14:paraId="03070CD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条款号：29.1                        修改类型：修改</w:t>
      </w:r>
    </w:p>
    <w:p w14:paraId="40833EDC">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14:paraId="060F59B7">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，中标人应按本须知前附表第20项的规定向招标人提交履约担保。</w:t>
      </w:r>
    </w:p>
    <w:p w14:paraId="15F1792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条款号：29.2                        修改类型：修改</w:t>
      </w:r>
    </w:p>
    <w:p w14:paraId="6BC1A56E">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EF46C1C">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：29.2</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，中标人未按上款的规定递交履约担保，招标人将解除中标通知书</w:t>
      </w:r>
      <w:r>
        <w:rPr>
          <w:rFonts w:hint="eastAsia" w:ascii="宋体" w:hAnsi="宋体" w:cs="宋体"/>
          <w:color w:val="auto"/>
          <w:szCs w:val="21"/>
          <w:highlight w:val="none"/>
          <w:u w:val="single"/>
        </w:rPr>
        <w:t>，且依法承担相应法律责任</w:t>
      </w:r>
      <w:r>
        <w:rPr>
          <w:rFonts w:hint="eastAsia" w:ascii="宋体" w:hAnsi="宋体" w:cs="宋体"/>
          <w:color w:val="auto"/>
          <w:szCs w:val="21"/>
          <w:highlight w:val="none"/>
        </w:rPr>
        <w:t>。原中标人给招标人造成损失的</w:t>
      </w:r>
      <w:r>
        <w:rPr>
          <w:rFonts w:hint="eastAsia" w:ascii="宋体" w:hAnsi="宋体" w:cs="宋体"/>
          <w:color w:val="auto"/>
          <w:szCs w:val="21"/>
          <w:highlight w:val="none"/>
          <w:u w:val="single"/>
        </w:rPr>
        <w:t>，还应当予以赔偿</w:t>
      </w:r>
      <w:r>
        <w:rPr>
          <w:rFonts w:hint="eastAsia" w:ascii="宋体" w:hAnsi="宋体" w:cs="宋体"/>
          <w:color w:val="auto"/>
          <w:szCs w:val="21"/>
          <w:highlight w:val="none"/>
        </w:rPr>
        <w:t>。原中标人有异议的，可以向人民法院起诉。</w:t>
      </w:r>
    </w:p>
    <w:p w14:paraId="01E477D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条款号：30.1                        修改类型：修改</w:t>
      </w:r>
    </w:p>
    <w:p w14:paraId="34D55A5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30.1在合同双方全权代表在合同协议书上签字，并分别加盖双方单位的公章后，合同正式生效。</w:t>
      </w:r>
    </w:p>
    <w:p w14:paraId="77F71458">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30.1在合同双方全权代表在合同协议书上签字，并分别加盖双方单位的公章</w:t>
      </w:r>
      <w:r>
        <w:rPr>
          <w:rFonts w:hint="eastAsia" w:ascii="宋体" w:hAnsi="宋体" w:cs="宋体"/>
          <w:color w:val="auto"/>
          <w:szCs w:val="21"/>
          <w:highlight w:val="none"/>
          <w:u w:val="single"/>
        </w:rPr>
        <w:t>且承包人提交履约担保后，合同正式生效。</w:t>
      </w:r>
    </w:p>
    <w:p w14:paraId="5CD45DE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条款号：31                          修改类型：修改</w:t>
      </w:r>
    </w:p>
    <w:p w14:paraId="5A23D437">
      <w:pPr>
        <w:pBdr>
          <w:bottom w:val="single" w:color="auto" w:sz="6" w:space="1"/>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原文：31.其它费用</w:t>
      </w:r>
    </w:p>
    <w:p w14:paraId="2B9125A3">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14:paraId="7A5DA804">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1.中标人应交纳交易服务费，该费用包含在投标价中。</w:t>
      </w:r>
    </w:p>
    <w:p w14:paraId="76039E6E">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2.招标代理服务费由中标人支付，收费标准按招标人与招标代理单位签订的招标代理合同约定执行，并在领取中标通知书前将此费用支付给招标代理单位。</w:t>
      </w:r>
    </w:p>
    <w:p w14:paraId="03E1E14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14:paraId="0B8BB88F">
      <w:pP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（以下无正文）</w:t>
      </w:r>
    </w:p>
    <w:p w14:paraId="0A340B09">
      <w:pPr>
        <w:pStyle w:val="4"/>
        <w:spacing w:line="360" w:lineRule="auto"/>
        <w:rPr>
          <w:rFonts w:hint="eastAsia"/>
          <w:color w:val="auto"/>
          <w:highlight w:val="none"/>
        </w:rPr>
      </w:pPr>
      <w:r>
        <w:rPr>
          <w:rFonts w:hint="eastAsia"/>
          <w:color w:val="auto"/>
          <w:highlight w:val="none"/>
        </w:rPr>
        <w:br w:type="page"/>
      </w:r>
      <w:bookmarkStart w:id="40" w:name="_Toc26141"/>
      <w:bookmarkStart w:id="41" w:name="_Toc27485"/>
      <w:bookmarkStart w:id="42" w:name="_Toc21331"/>
      <w:bookmarkStart w:id="43" w:name="_Toc5355"/>
      <w:bookmarkStart w:id="44" w:name="_Toc27873"/>
      <w:bookmarkStart w:id="45" w:name="_Toc16625"/>
      <w:bookmarkStart w:id="46" w:name="_Toc7019"/>
      <w:bookmarkStart w:id="47" w:name="_Toc1651"/>
      <w:bookmarkStart w:id="48" w:name="_Toc14321"/>
      <w:bookmarkStart w:id="49" w:name="_Toc432"/>
      <w:bookmarkStart w:id="50" w:name="_Toc5805"/>
      <w:bookmarkStart w:id="51" w:name="_Toc14676"/>
      <w:bookmarkStart w:id="52" w:name="_Toc2272548"/>
      <w:r>
        <w:rPr>
          <w:rFonts w:hint="eastAsia"/>
          <w:color w:val="auto"/>
          <w:highlight w:val="none"/>
        </w:rPr>
        <w:t>三、投标须知通用条款</w:t>
      </w:r>
      <w:bookmarkEnd w:id="40"/>
      <w:bookmarkEnd w:id="41"/>
      <w:bookmarkEnd w:id="42"/>
      <w:bookmarkEnd w:id="43"/>
      <w:bookmarkEnd w:id="44"/>
      <w:bookmarkEnd w:id="45"/>
      <w:bookmarkEnd w:id="46"/>
      <w:bookmarkEnd w:id="47"/>
      <w:bookmarkEnd w:id="48"/>
      <w:bookmarkEnd w:id="49"/>
      <w:bookmarkEnd w:id="50"/>
      <w:bookmarkEnd w:id="51"/>
      <w:bookmarkEnd w:id="52"/>
    </w:p>
    <w:p w14:paraId="09981DE2">
      <w:pPr>
        <w:pStyle w:val="6"/>
        <w:keepNext w:val="0"/>
        <w:keepLines w:val="0"/>
        <w:widowControl/>
        <w:numPr>
          <w:ilvl w:val="255"/>
          <w:numId w:val="0"/>
        </w:numPr>
        <w:spacing w:before="156" w:beforeLines="50" w:after="156" w:afterLines="50"/>
        <w:rPr>
          <w:rFonts w:hint="eastAsia" w:eastAsia="宋体"/>
          <w:b/>
          <w:bCs/>
          <w:color w:val="auto"/>
          <w:highlight w:val="none"/>
          <w:lang w:eastAsia="zh-CN"/>
        </w:rPr>
      </w:pPr>
      <w:bookmarkStart w:id="53" w:name="_Toc17217"/>
      <w:bookmarkStart w:id="54" w:name="_Toc21525493"/>
      <w:bookmarkStart w:id="55" w:name="_Toc23572"/>
      <w:bookmarkStart w:id="56" w:name="_Toc2272549"/>
      <w:r>
        <w:rPr>
          <w:rFonts w:hint="eastAsia" w:eastAsia="宋体"/>
          <w:b/>
          <w:bCs/>
          <w:color w:val="auto"/>
          <w:highlight w:val="none"/>
          <w:lang w:eastAsia="zh-CN"/>
        </w:rPr>
        <w:t>（一）总则</w:t>
      </w:r>
      <w:bookmarkEnd w:id="53"/>
      <w:bookmarkEnd w:id="54"/>
      <w:bookmarkEnd w:id="55"/>
      <w:bookmarkEnd w:id="56"/>
    </w:p>
    <w:p w14:paraId="2BBF10C3">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5BF2E261">
      <w:pPr>
        <w:pStyle w:val="20"/>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0FE37F67">
      <w:pPr>
        <w:pStyle w:val="20"/>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259B55EE">
      <w:pPr>
        <w:pStyle w:val="20"/>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533C5830">
      <w:pPr>
        <w:pStyle w:val="20"/>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4D100347">
      <w:pPr>
        <w:pStyle w:val="20"/>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7A5A8C76">
      <w:pPr>
        <w:pStyle w:val="20"/>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7ECB8A9E">
      <w:pPr>
        <w:pStyle w:val="20"/>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6191C40F">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301B6C9C">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27226B80">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6E82C445">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29B082CE">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7396D68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7CAFD925">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012A48F8">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4E3E148E">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3EA769D9">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37947C1B">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5669DC38">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363223F7">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3C9A897B">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0F9909DB">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7D1BC5AF">
      <w:pPr>
        <w:pStyle w:val="6"/>
        <w:keepNext w:val="0"/>
        <w:keepLines w:val="0"/>
        <w:widowControl/>
        <w:numPr>
          <w:ilvl w:val="255"/>
          <w:numId w:val="0"/>
        </w:numPr>
        <w:spacing w:before="156" w:beforeLines="50" w:after="156" w:afterLines="50"/>
        <w:rPr>
          <w:rFonts w:hint="eastAsia" w:eastAsia="宋体"/>
          <w:b/>
          <w:bCs/>
          <w:color w:val="auto"/>
          <w:highlight w:val="none"/>
          <w:lang w:eastAsia="zh-CN"/>
        </w:rPr>
      </w:pPr>
      <w:bookmarkStart w:id="57" w:name="_Toc3404"/>
      <w:bookmarkStart w:id="58" w:name="_Toc21525494"/>
      <w:bookmarkStart w:id="59" w:name="_Toc25575"/>
      <w:bookmarkStart w:id="60" w:name="_Toc2272550"/>
      <w:r>
        <w:rPr>
          <w:rFonts w:hint="eastAsia" w:eastAsia="宋体"/>
          <w:b/>
          <w:bCs/>
          <w:color w:val="auto"/>
          <w:highlight w:val="none"/>
          <w:lang w:eastAsia="zh-CN"/>
        </w:rPr>
        <w:t>（二）招标文件</w:t>
      </w:r>
      <w:bookmarkEnd w:id="57"/>
      <w:bookmarkEnd w:id="58"/>
      <w:bookmarkEnd w:id="59"/>
      <w:bookmarkEnd w:id="60"/>
    </w:p>
    <w:p w14:paraId="2D7BD472">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0291D549">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14:paraId="2FB00A04">
      <w:pPr>
        <w:pStyle w:val="20"/>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14:paraId="0F7D13A6">
      <w:pPr>
        <w:pStyle w:val="20"/>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14:paraId="4C6789C4">
      <w:pPr>
        <w:pStyle w:val="20"/>
        <w:spacing w:after="0"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14:paraId="3B1D0277">
      <w:pPr>
        <w:pStyle w:val="20"/>
        <w:spacing w:after="0"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14:paraId="62F45609">
      <w:pPr>
        <w:pStyle w:val="20"/>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技术条件（工程建设标准）（另册）</w:t>
      </w:r>
    </w:p>
    <w:p w14:paraId="52958A0F">
      <w:pPr>
        <w:pStyle w:val="20"/>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14:paraId="4DDE45C7">
      <w:pPr>
        <w:pStyle w:val="20"/>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14:paraId="6327C572">
      <w:pPr>
        <w:pStyle w:val="20"/>
        <w:spacing w:after="0" w:line="360" w:lineRule="auto"/>
        <w:ind w:left="-2" w:firstLine="480" w:firstLineChars="200"/>
        <w:rPr>
          <w:rFonts w:asci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14:paraId="07CEA4AC">
      <w:pPr>
        <w:pStyle w:val="20"/>
        <w:spacing w:after="0"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1D90106F">
      <w:pPr>
        <w:pStyle w:val="20"/>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AD343C6">
      <w:pPr>
        <w:pStyle w:val="20"/>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55DBC76A">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6B7E0818">
      <w:pPr>
        <w:pStyle w:val="20"/>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5D0971B6">
      <w:pPr>
        <w:pStyle w:val="20"/>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4E5C29A9">
      <w:pPr>
        <w:pStyle w:val="20"/>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40B70A5E">
      <w:pPr>
        <w:pStyle w:val="20"/>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4915870C">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59EABB76">
      <w:pPr>
        <w:pStyle w:val="20"/>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14:paraId="1D26917C">
      <w:pPr>
        <w:pStyle w:val="20"/>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6BA7FFEF">
      <w:pPr>
        <w:pStyle w:val="20"/>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27127561">
      <w:pPr>
        <w:pStyle w:val="20"/>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14:paraId="0A2DBFF7">
      <w:pPr>
        <w:pStyle w:val="20"/>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82A2346">
      <w:pPr>
        <w:pStyle w:val="6"/>
        <w:keepNext w:val="0"/>
        <w:keepLines w:val="0"/>
        <w:widowControl/>
        <w:numPr>
          <w:ilvl w:val="255"/>
          <w:numId w:val="0"/>
        </w:numPr>
        <w:spacing w:before="156" w:beforeLines="50" w:after="156" w:afterLines="50"/>
        <w:rPr>
          <w:rFonts w:hint="eastAsia" w:eastAsia="宋体"/>
          <w:b/>
          <w:bCs/>
          <w:color w:val="auto"/>
          <w:highlight w:val="none"/>
          <w:lang w:eastAsia="zh-CN"/>
        </w:rPr>
      </w:pPr>
      <w:bookmarkStart w:id="61" w:name="_Toc21989"/>
      <w:bookmarkStart w:id="62" w:name="_Toc21525495"/>
      <w:bookmarkStart w:id="63" w:name="_Toc30905"/>
      <w:bookmarkStart w:id="64" w:name="_Toc2272551"/>
      <w:r>
        <w:rPr>
          <w:rFonts w:hint="eastAsia" w:eastAsia="宋体"/>
          <w:b/>
          <w:bCs/>
          <w:color w:val="auto"/>
          <w:highlight w:val="none"/>
          <w:lang w:eastAsia="zh-CN"/>
        </w:rPr>
        <w:t>（三）投标文件的编制</w:t>
      </w:r>
      <w:bookmarkEnd w:id="61"/>
      <w:bookmarkEnd w:id="62"/>
      <w:bookmarkEnd w:id="63"/>
      <w:bookmarkEnd w:id="64"/>
    </w:p>
    <w:p w14:paraId="23980548">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1A0F4E43">
      <w:pPr>
        <w:pStyle w:val="20"/>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583A0F2B">
      <w:pPr>
        <w:pStyle w:val="20"/>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4664D29E">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24F0C3C1">
      <w:pPr>
        <w:pStyle w:val="20"/>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Cs/>
          <w:color w:val="auto"/>
          <w:sz w:val="24"/>
          <w:highlight w:val="none"/>
        </w:rPr>
        <w:t>。</w:t>
      </w:r>
    </w:p>
    <w:p w14:paraId="43927A1C">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p>
    <w:p w14:paraId="65636A72">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hint="eastAsia" w:ascii="宋体" w:hAnsi="宋体"/>
          <w:color w:val="auto"/>
          <w:sz w:val="24"/>
          <w:highlight w:val="none"/>
        </w:rPr>
        <w:t>（按招标文件的要求填写）</w:t>
      </w:r>
      <w:r>
        <w:rPr>
          <w:rFonts w:hint="eastAsia" w:ascii="宋体"/>
          <w:bCs/>
          <w:color w:val="auto"/>
          <w:sz w:val="24"/>
          <w:highlight w:val="none"/>
        </w:rPr>
        <w:t>；</w:t>
      </w:r>
    </w:p>
    <w:p w14:paraId="31F7954B">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02273E15">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（1）投标人声明； </w:t>
      </w:r>
    </w:p>
    <w:p w14:paraId="36856B52">
      <w:pPr>
        <w:spacing w:line="360" w:lineRule="auto"/>
        <w:ind w:firstLine="480" w:firstLineChars="200"/>
        <w:rPr>
          <w:rFonts w:ascii="宋体"/>
          <w:bCs/>
          <w:color w:val="auto"/>
          <w:sz w:val="24"/>
          <w:highlight w:val="none"/>
        </w:rPr>
      </w:pPr>
      <w:r>
        <w:rPr>
          <w:rFonts w:hint="eastAsia" w:ascii="宋体"/>
          <w:bCs/>
          <w:color w:val="auto"/>
          <w:sz w:val="24"/>
          <w:highlight w:val="none"/>
        </w:rPr>
        <w:t>（2）法定代表人证明书、法定代表人签字或盖章的本投标文件授权委托证明书；</w:t>
      </w:r>
    </w:p>
    <w:p w14:paraId="3772EB67">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（3）企业营业执照扫描件或电子证照；</w:t>
      </w:r>
    </w:p>
    <w:p w14:paraId="4EBDAB41">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（4）企业资质证书扫描件或电子证照；</w:t>
      </w:r>
    </w:p>
    <w:p w14:paraId="5D5FB879">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（5）建筑施工企业安全生产许可证扫描件或电子证照；</w:t>
      </w:r>
    </w:p>
    <w:p w14:paraId="3C34EE52">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（6）项目负责人（按网上投标登记时选择拟投入本项目的项目负责人）</w:t>
      </w:r>
    </w:p>
    <w:p w14:paraId="55A79D00">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（7）专职安全员（按网上投标登记时选择拟投入本项目的专职安全员）</w:t>
      </w:r>
    </w:p>
    <w:p w14:paraId="1A3EE158">
      <w:pPr>
        <w:spacing w:line="360" w:lineRule="auto"/>
        <w:ind w:firstLine="480" w:firstLineChars="200"/>
        <w:rPr>
          <w:rFonts w:ascii="宋体"/>
          <w:bCs/>
          <w:color w:val="auto"/>
          <w:sz w:val="24"/>
          <w:highlight w:val="none"/>
        </w:rPr>
      </w:pPr>
      <w:r>
        <w:rPr>
          <w:rFonts w:hint="eastAsia" w:ascii="宋体"/>
          <w:bCs/>
          <w:color w:val="auto"/>
          <w:sz w:val="24"/>
          <w:highlight w:val="none"/>
        </w:rPr>
        <w:t>（8）拟委托技术负责人的相关证书、资料（具体要求由招标人明确）</w:t>
      </w:r>
    </w:p>
    <w:p w14:paraId="7957A65C">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（9）拟委派项目负责人的有效期内的建造师注册证书扫描件或电子证书；</w:t>
      </w:r>
    </w:p>
    <w:p w14:paraId="32961CDF">
      <w:pPr>
        <w:spacing w:line="360" w:lineRule="auto"/>
        <w:ind w:firstLine="480" w:firstLineChars="200"/>
        <w:rPr>
          <w:rFonts w:ascii="宋体"/>
          <w:bCs/>
          <w:color w:val="auto"/>
          <w:sz w:val="24"/>
          <w:highlight w:val="none"/>
        </w:rPr>
      </w:pPr>
      <w:r>
        <w:rPr>
          <w:rFonts w:hint="eastAsia" w:ascii="宋体"/>
          <w:bCs/>
          <w:color w:val="auto"/>
          <w:sz w:val="24"/>
          <w:highlight w:val="none"/>
        </w:rPr>
        <w:t>（10）项目负责人在有效期内的安全生产考核合格证书（B类）或建筑施工企业项目负责人安全生产考核合格证书扫描件或电子证书；</w:t>
      </w:r>
    </w:p>
    <w:p w14:paraId="43DE5DD2">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（11）专职安全员须具有在有效期内的安全生产考核合格证书（C类）或建筑施工企业专职安全生产管理人员安全生产考核合格证书扫描件或电子证书；</w:t>
      </w:r>
    </w:p>
    <w:p w14:paraId="44C20DB7">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（12）</w:t>
      </w:r>
      <w:r>
        <w:rPr>
          <w:rFonts w:hint="eastAsia" w:ascii="宋体" w:hAnsi="宋体"/>
          <w:bCs/>
          <w:color w:val="auto"/>
          <w:sz w:val="24"/>
          <w:szCs w:val="24"/>
          <w:highlight w:val="none"/>
        </w:rPr>
        <w:t>用于资格审查的业绩（设置业绩要求时选择此项，投标人</w:t>
      </w:r>
      <w:r>
        <w:rPr>
          <w:rFonts w:hint="eastAsia" w:ascii="宋体" w:hAnsi="宋体"/>
          <w:color w:val="auto"/>
          <w:sz w:val="24"/>
          <w:highlight w:val="none"/>
        </w:rPr>
        <w:t>须提供类似工程业绩的项目名称及项目编号，具体格式由招标人自定</w:t>
      </w:r>
      <w:r>
        <w:rPr>
          <w:rFonts w:hint="eastAsia" w:ascii="宋体" w:hAnsi="宋体"/>
          <w:bCs/>
          <w:color w:val="auto"/>
          <w:sz w:val="24"/>
          <w:szCs w:val="24"/>
          <w:highlight w:val="none"/>
        </w:rPr>
        <w:t>）；</w:t>
      </w:r>
    </w:p>
    <w:p w14:paraId="639509CF">
      <w:pPr>
        <w:spacing w:line="360" w:lineRule="auto"/>
        <w:ind w:firstLine="480" w:firstLineChars="200"/>
        <w:rPr>
          <w:rFonts w:ascii="宋体"/>
          <w:bCs/>
          <w:color w:val="auto"/>
          <w:sz w:val="24"/>
          <w:highlight w:val="none"/>
        </w:rPr>
      </w:pPr>
      <w:r>
        <w:rPr>
          <w:rFonts w:hint="eastAsia" w:ascii="宋体"/>
          <w:bCs/>
          <w:color w:val="auto"/>
          <w:sz w:val="24"/>
          <w:highlight w:val="none"/>
        </w:rPr>
        <w:t>（13）资格审查前，投标人须在广州市住房和城乡建设局建立企业信用档案，拟担任本工程项目负责人、专职安全员须是本企业信用档案中的在册人员；</w:t>
      </w:r>
    </w:p>
    <w:p w14:paraId="67A62C5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olor w:val="auto"/>
          <w:sz w:val="24"/>
          <w:szCs w:val="24"/>
          <w:highlight w:val="none"/>
        </w:rPr>
        <w:t>联合体工作协议应明确约定各方拟承担的工作和责任</w:t>
      </w:r>
      <w:r>
        <w:rPr>
          <w:rFonts w:hint="eastAsia" w:ascii="宋体" w:hAnsi="宋体"/>
          <w:bCs/>
          <w:color w:val="auto"/>
          <w:sz w:val="24"/>
          <w:szCs w:val="24"/>
          <w:highlight w:val="none"/>
        </w:rPr>
        <w:t>）；</w:t>
      </w:r>
    </w:p>
    <w:p w14:paraId="6D0076F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注：1.相关电子证书按规定需打印后手写本人签名的，应按照规定手写本人签名后再扫描提交。</w:t>
      </w:r>
    </w:p>
    <w:p w14:paraId="45E0249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2E8864D">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6D7522D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41C5ACE1">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5785FE71">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4A7F1290">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07F7EC2B">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11.2.5施工组织设计或施工方案。</w:t>
      </w:r>
    </w:p>
    <w:p w14:paraId="4D2BD688">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（1）投标人在编制施工组织设计或施工方案时应按照招标人提出的施工现场建筑垃圾源头减量的具体要求以及建筑垃圾综合利用产品的使用要求提供相应措施。</w:t>
      </w:r>
    </w:p>
    <w:p w14:paraId="25D1FFFE">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04566BEC">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0276FC81">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29C18415">
      <w:pPr>
        <w:spacing w:line="360" w:lineRule="auto"/>
        <w:ind w:firstLine="480" w:firstLineChars="200"/>
        <w:rPr>
          <w:rFonts w:ascii="宋体"/>
          <w:color w:val="auto"/>
          <w:sz w:val="24"/>
          <w:highlight w:val="none"/>
        </w:rPr>
      </w:pPr>
      <w:r>
        <w:rPr>
          <w:rFonts w:ascii="宋体" w:hAnsi="宋体"/>
          <w:color w:val="auto"/>
          <w:sz w:val="24"/>
          <w:highlight w:val="none"/>
        </w:rPr>
        <w:t>11.3.1</w:t>
      </w:r>
      <w:r>
        <w:rPr>
          <w:rFonts w:hint="eastAsia" w:ascii="宋体" w:hAnsi="宋体"/>
          <w:color w:val="auto"/>
          <w:sz w:val="24"/>
          <w:highlight w:val="none"/>
        </w:rPr>
        <w:t>经济投标文件（按招标文件的要求填写）。</w:t>
      </w:r>
    </w:p>
    <w:p w14:paraId="7FF4DB57">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6F8F94E9">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725095AB">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188AB809">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1CC2EEF0">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7D55337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48A46AF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66A886F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6A4F31A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7B31F2F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4643F41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37F8972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56CADFB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3FF4A28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270C005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1275E7A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504456D8">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（16）规费和税金项目计价表；</w:t>
      </w:r>
    </w:p>
    <w:p w14:paraId="68C47542">
      <w:pPr>
        <w:spacing w:line="360" w:lineRule="auto"/>
        <w:ind w:firstLine="566" w:firstLineChars="236"/>
        <w:rPr>
          <w:rFonts w:ascii="宋体"/>
          <w:color w:val="auto"/>
          <w:sz w:val="24"/>
          <w:highlight w:val="none"/>
        </w:rPr>
      </w:pPr>
      <w:r>
        <w:rPr>
          <w:rFonts w:hint="eastAsia" w:ascii="宋体" w:hAnsi="宋体"/>
          <w:color w:val="auto"/>
          <w:sz w:val="24"/>
          <w:szCs w:val="24"/>
          <w:highlight w:val="none"/>
        </w:rPr>
        <w:t>（17）人工、主要材料和设备一览表</w:t>
      </w:r>
    </w:p>
    <w:p w14:paraId="53D3482E">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6B84F96E">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6761E04D">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30E6E72E">
      <w:pPr>
        <w:pStyle w:val="20"/>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253F9732">
      <w:pPr>
        <w:pStyle w:val="20"/>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13981795">
      <w:pPr>
        <w:pBdr>
          <w:top w:val="none" w:color="auto" w:sz="0" w:space="1"/>
          <w:left w:val="none" w:color="auto" w:sz="0" w:space="4"/>
          <w:bottom w:val="none" w:color="auto" w:sz="0" w:space="1"/>
          <w:right w:val="none" w:color="auto" w:sz="0" w:space="4"/>
        </w:pBdr>
        <w:spacing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注释：投标文件电子文档需要投标人单位盖章的材料，投标人加盖电子印章即可，不得将投标人未对电子文档加盖实物印章作为否决投标的情形。</w:t>
      </w:r>
    </w:p>
    <w:p w14:paraId="4CCD6E5E">
      <w:pPr>
        <w:pStyle w:val="20"/>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14:paraId="000FF1AE">
      <w:pPr>
        <w:pStyle w:val="20"/>
        <w:spacing w:after="0" w:line="360" w:lineRule="auto"/>
        <w:ind w:firstLine="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7EB75867">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5AC77076">
      <w:pPr>
        <w:pStyle w:val="20"/>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14:paraId="30324EE3">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5092326">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A9623A0">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CE17B28">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413E72B1">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13C2BCE1">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0D4CFA4">
      <w:pPr>
        <w:pStyle w:val="20"/>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hint="eastAsia"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6F2EA07D">
      <w:pPr>
        <w:pStyle w:val="20"/>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6ACFDA69">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42FAE9DA">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EEA25D7">
      <w:pPr>
        <w:pStyle w:val="20"/>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67BA742E">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708090F">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A508A6D">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4EDB2262">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7C2D893">
      <w:pPr>
        <w:pStyle w:val="20"/>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18FB6A7A">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00309374">
      <w:pPr>
        <w:pStyle w:val="20"/>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hint="eastAsia"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62958767">
      <w:pPr>
        <w:pStyle w:val="20"/>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D787874">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31B1A992">
      <w:pPr>
        <w:pStyle w:val="20"/>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07C31F0F">
      <w:pPr>
        <w:pStyle w:val="20"/>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638B2DD5">
      <w:pPr>
        <w:pStyle w:val="20"/>
        <w:spacing w:after="0" w:line="360" w:lineRule="auto"/>
        <w:ind w:firstLine="480" w:firstLineChars="200"/>
        <w:rPr>
          <w:rFonts w:ascii="宋体"/>
          <w:color w:val="auto"/>
          <w:sz w:val="24"/>
          <w:highlight w:val="none"/>
        </w:rPr>
      </w:pPr>
      <w:r>
        <w:rPr>
          <w:rFonts w:ascii="宋体" w:hAnsi="宋体"/>
          <w:color w:val="auto"/>
          <w:sz w:val="24"/>
          <w:highlight w:val="none"/>
        </w:rPr>
        <w:t>15.1</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6D6A24BC">
      <w:pPr>
        <w:pStyle w:val="20"/>
        <w:spacing w:after="0" w:line="360" w:lineRule="auto"/>
        <w:ind w:firstLine="480" w:firstLineChars="200"/>
        <w:rPr>
          <w:rFonts w:ascii="宋体"/>
          <w:color w:val="auto"/>
          <w:sz w:val="24"/>
          <w:highlight w:val="none"/>
        </w:rPr>
      </w:pPr>
      <w:r>
        <w:rPr>
          <w:rFonts w:ascii="宋体" w:hAnsi="宋体"/>
          <w:color w:val="auto"/>
          <w:sz w:val="24"/>
          <w:highlight w:val="none"/>
        </w:rPr>
        <w:t>15.2</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1C1030C4">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342B9B6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07F5B43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780F1D6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6E81B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4183A0A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1B7B7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2FF591D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14:paraId="7AE98AB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14:paraId="6C7CBBD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14:paraId="083E39A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14:paraId="5635EDA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14:paraId="6DEB8F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00F05ED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2073F10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1AF2112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5388DD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449F744F">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14:paraId="343DD0DE">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4282AA2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9C60A96">
      <w:pPr>
        <w:pStyle w:val="6"/>
        <w:keepNext w:val="0"/>
        <w:keepLines w:val="0"/>
        <w:widowControl/>
        <w:numPr>
          <w:ilvl w:val="255"/>
          <w:numId w:val="0"/>
        </w:numPr>
        <w:spacing w:before="156" w:beforeLines="50" w:after="156" w:afterLines="50"/>
        <w:rPr>
          <w:rFonts w:hint="eastAsia" w:eastAsia="宋体"/>
          <w:b/>
          <w:bCs/>
          <w:color w:val="auto"/>
          <w:highlight w:val="none"/>
          <w:lang w:eastAsia="zh-CN"/>
        </w:rPr>
      </w:pPr>
      <w:bookmarkStart w:id="65" w:name="_Toc15"/>
      <w:bookmarkStart w:id="66" w:name="_Toc21525496"/>
      <w:bookmarkStart w:id="67" w:name="_Toc19105"/>
      <w:bookmarkStart w:id="68" w:name="_Toc2272552"/>
      <w:r>
        <w:rPr>
          <w:rFonts w:hint="eastAsia" w:eastAsia="宋体"/>
          <w:b/>
          <w:bCs/>
          <w:color w:val="auto"/>
          <w:highlight w:val="none"/>
          <w:lang w:eastAsia="zh-CN"/>
        </w:rPr>
        <w:t>（四）投标文件的提交</w:t>
      </w:r>
      <w:bookmarkEnd w:id="65"/>
      <w:bookmarkEnd w:id="66"/>
      <w:bookmarkEnd w:id="67"/>
      <w:bookmarkEnd w:id="68"/>
    </w:p>
    <w:p w14:paraId="2D90D85D">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28C92048">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46E84259">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57462227">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3899197F">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6473E31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4CDCE8C3">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51DA6C23">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437358C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3B209604">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6C27F03E">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53385DBA">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3470954B">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5E1C273A">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7919B2C2">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69EBC2BF">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149B0669">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1A51A8A3">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49BF3B6C">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48577FA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5FC89583">
      <w:pPr>
        <w:pStyle w:val="6"/>
        <w:keepNext w:val="0"/>
        <w:keepLines w:val="0"/>
        <w:widowControl/>
        <w:numPr>
          <w:ilvl w:val="255"/>
          <w:numId w:val="0"/>
        </w:numPr>
        <w:spacing w:before="156" w:beforeLines="50" w:after="156" w:afterLines="50"/>
        <w:rPr>
          <w:rFonts w:hint="eastAsia" w:eastAsia="宋体"/>
          <w:b/>
          <w:bCs/>
          <w:color w:val="auto"/>
          <w:highlight w:val="none"/>
          <w:lang w:eastAsia="zh-CN"/>
        </w:rPr>
      </w:pPr>
      <w:bookmarkStart w:id="69" w:name="_Toc19792"/>
      <w:bookmarkStart w:id="70" w:name="_Toc2272553"/>
      <w:bookmarkStart w:id="71" w:name="_Toc21525497"/>
      <w:bookmarkStart w:id="72" w:name="_Toc9228"/>
      <w:r>
        <w:rPr>
          <w:rFonts w:hint="eastAsia" w:eastAsia="宋体"/>
          <w:b/>
          <w:bCs/>
          <w:color w:val="auto"/>
          <w:highlight w:val="none"/>
          <w:lang w:eastAsia="zh-CN"/>
        </w:rPr>
        <w:t>（五）开标、评标、定标及合同签定</w:t>
      </w:r>
      <w:bookmarkEnd w:id="69"/>
      <w:bookmarkEnd w:id="70"/>
      <w:bookmarkEnd w:id="71"/>
      <w:bookmarkEnd w:id="72"/>
    </w:p>
    <w:p w14:paraId="2D1CA1C0">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3E761073">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5261F37A">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12C67826">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62FC01B3">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78DA1D32">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629EF9F4">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07E7E9F9">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6707B13F">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2D27BC24">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68698D63">
      <w:pPr>
        <w:spacing w:line="360" w:lineRule="auto"/>
        <w:ind w:firstLine="480" w:firstLineChars="200"/>
        <w:rPr>
          <w:rFonts w:ascii="宋体"/>
          <w:color w:val="auto"/>
          <w:sz w:val="24"/>
          <w:highlight w:val="none"/>
        </w:rPr>
      </w:pPr>
      <w:r>
        <w:rPr>
          <w:rFonts w:hint="eastAsia" w:ascii="宋体" w:hAnsi="宋体"/>
          <w:color w:val="auto"/>
          <w:sz w:val="24"/>
          <w:highlight w:val="none"/>
        </w:rPr>
        <w:t>27.1招标人将在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46206C7">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2FAAC4C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454BE0E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0AFF08BC">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74FEC479">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6CC44E4A">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1FC624C">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非经招标人同意，中标人在投标过程中使用的银行名称及账号至完成竣工结算不得变更，否则招标人有权停止工程款项的拨付及至解除合同，由此造成的一切责任由中标人承担。</w:t>
      </w:r>
    </w:p>
    <w:p w14:paraId="0A53C95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4B60C0C3">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59CFD9B9">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b/>
          <w:color w:val="auto"/>
          <w:sz w:val="24"/>
          <w:highlight w:val="none"/>
        </w:rPr>
        <w:t>15</w:t>
      </w:r>
      <w:r>
        <w:rPr>
          <w:rFonts w:hint="eastAsia" w:ascii="宋体" w:hAnsi="宋体"/>
          <w:b/>
          <w:color w:val="auto"/>
          <w:sz w:val="24"/>
          <w:highlight w:val="none"/>
        </w:rPr>
        <w:t>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15E062BB">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C384F36">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7743BC0E">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7C92656F">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174A5960">
      <w:pPr>
        <w:pStyle w:val="20"/>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1A5369B4">
      <w:pPr>
        <w:pStyle w:val="20"/>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0D0AF037">
      <w:pPr>
        <w:pStyle w:val="20"/>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77AE2EF1">
      <w:pPr>
        <w:pStyle w:val="20"/>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704BBFE5">
      <w:pPr>
        <w:pStyle w:val="20"/>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250DA735">
      <w:pPr>
        <w:pStyle w:val="20"/>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17D46F34">
      <w:pPr>
        <w:spacing w:line="360" w:lineRule="auto"/>
        <w:ind w:firstLine="480" w:firstLineChars="200"/>
        <w:rPr>
          <w:rFonts w:hint="eastAsia" w:ascii="宋体" w:hAnsi="宋体" w:cs="宋体"/>
          <w:b/>
          <w:bCs/>
          <w:color w:val="auto"/>
          <w:sz w:val="24"/>
          <w:szCs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4BBAD44A">
      <w:pPr>
        <w:pStyle w:val="3"/>
        <w:jc w:val="center"/>
        <w:rPr>
          <w:rFonts w:hint="eastAsia"/>
          <w:color w:val="auto"/>
          <w:highlight w:val="none"/>
        </w:rPr>
      </w:pPr>
      <w:r>
        <w:rPr>
          <w:rFonts w:hint="eastAsia"/>
          <w:color w:val="auto"/>
          <w:sz w:val="24"/>
          <w:highlight w:val="none"/>
        </w:rPr>
        <w:br w:type="page"/>
      </w:r>
      <w:bookmarkStart w:id="73" w:name="_Toc20995"/>
      <w:bookmarkStart w:id="74" w:name="_Toc25424"/>
      <w:bookmarkStart w:id="75" w:name="_Toc26972"/>
      <w:bookmarkStart w:id="76" w:name="_Toc26700"/>
      <w:bookmarkStart w:id="77" w:name="_Toc8216"/>
      <w:bookmarkStart w:id="78" w:name="_Toc18496"/>
      <w:bookmarkStart w:id="79" w:name="_Toc31617"/>
      <w:bookmarkStart w:id="80" w:name="_Toc6591"/>
      <w:bookmarkStart w:id="81" w:name="_Toc21361"/>
      <w:bookmarkStart w:id="82" w:name="_Toc30011"/>
      <w:bookmarkStart w:id="83" w:name="_Toc2272554"/>
      <w:bookmarkStart w:id="84" w:name="_Toc4532"/>
      <w:bookmarkStart w:id="85" w:name="_Toc30544"/>
      <w:r>
        <w:rPr>
          <w:rFonts w:hint="eastAsia"/>
          <w:color w:val="auto"/>
          <w:highlight w:val="none"/>
        </w:rPr>
        <w:t>第二章 开标、评标及定标办法</w:t>
      </w:r>
      <w:bookmarkEnd w:id="73"/>
      <w:bookmarkEnd w:id="74"/>
      <w:bookmarkEnd w:id="75"/>
      <w:bookmarkEnd w:id="76"/>
      <w:bookmarkEnd w:id="77"/>
      <w:bookmarkEnd w:id="78"/>
      <w:bookmarkEnd w:id="79"/>
      <w:bookmarkEnd w:id="80"/>
      <w:bookmarkEnd w:id="81"/>
      <w:bookmarkEnd w:id="82"/>
      <w:bookmarkEnd w:id="83"/>
      <w:bookmarkEnd w:id="84"/>
      <w:bookmarkEnd w:id="85"/>
    </w:p>
    <w:p w14:paraId="596EEFC6">
      <w:pPr>
        <w:pStyle w:val="4"/>
        <w:spacing w:line="360" w:lineRule="auto"/>
        <w:rPr>
          <w:rFonts w:hint="eastAsia"/>
          <w:color w:val="auto"/>
          <w:highlight w:val="none"/>
        </w:rPr>
      </w:pPr>
      <w:bookmarkStart w:id="86" w:name="_Toc12910"/>
      <w:bookmarkStart w:id="87" w:name="_Toc31947"/>
      <w:bookmarkStart w:id="88" w:name="_Toc24722"/>
      <w:bookmarkStart w:id="89" w:name="_Toc24322"/>
      <w:bookmarkStart w:id="90" w:name="_Toc6262"/>
      <w:bookmarkStart w:id="91" w:name="_Toc7473"/>
      <w:bookmarkStart w:id="92" w:name="_Toc31854"/>
      <w:bookmarkStart w:id="93" w:name="_Toc10712"/>
      <w:bookmarkStart w:id="94" w:name="_Toc30134"/>
      <w:bookmarkStart w:id="95" w:name="_Toc3123"/>
      <w:bookmarkStart w:id="96" w:name="_Toc17457"/>
      <w:bookmarkStart w:id="97" w:name="_Toc19520"/>
      <w:bookmarkStart w:id="98" w:name="_Toc2272555"/>
      <w:r>
        <w:rPr>
          <w:rFonts w:hint="eastAsia"/>
          <w:color w:val="auto"/>
          <w:sz w:val="28"/>
          <w:szCs w:val="28"/>
          <w:highlight w:val="none"/>
        </w:rPr>
        <w:t>一、</w:t>
      </w:r>
      <w:r>
        <w:rPr>
          <w:rFonts w:hint="eastAsia"/>
          <w:color w:val="auto"/>
          <w:highlight w:val="none"/>
        </w:rPr>
        <w:t>开标、评标及定标办法修改表</w:t>
      </w:r>
      <w:bookmarkEnd w:id="86"/>
      <w:bookmarkEnd w:id="87"/>
      <w:bookmarkEnd w:id="88"/>
      <w:bookmarkEnd w:id="89"/>
      <w:bookmarkEnd w:id="90"/>
      <w:bookmarkEnd w:id="91"/>
      <w:bookmarkEnd w:id="92"/>
      <w:bookmarkEnd w:id="93"/>
      <w:bookmarkEnd w:id="94"/>
      <w:bookmarkEnd w:id="95"/>
      <w:bookmarkEnd w:id="96"/>
      <w:bookmarkEnd w:id="97"/>
    </w:p>
    <w:p w14:paraId="0FF1776B">
      <w:pPr>
        <w:pStyle w:val="20"/>
        <w:pBdr>
          <w:bottom w:val="single" w:color="auto" w:sz="6" w:space="1"/>
        </w:pBdr>
        <w:spacing w:after="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hint="eastAsia" w:ascii="宋体" w:hAnsi="宋体" w:eastAsia="宋体" w:cs="宋体"/>
          <w:b/>
          <w:color w:val="auto"/>
          <w:szCs w:val="21"/>
          <w:highlight w:val="none"/>
          <w:u w:val="single"/>
        </w:rPr>
        <w:t>http://zfcj.gz.gov.cn/</w:t>
      </w:r>
      <w:r>
        <w:rPr>
          <w:rFonts w:hint="eastAsia" w:ascii="宋体" w:hAnsi="宋体" w:eastAsia="宋体" w:cs="宋体"/>
          <w:b/>
          <w:color w:val="auto"/>
          <w:szCs w:val="21"/>
          <w:highlight w:val="none"/>
        </w:rPr>
        <w:t>）下载GZZB2018-3范本查阅。</w:t>
      </w:r>
    </w:p>
    <w:bookmarkEnd w:id="98"/>
    <w:p w14:paraId="3D7EFA58">
      <w:pPr>
        <w:spacing w:line="360" w:lineRule="auto"/>
        <w:ind w:firstLine="422" w:firstLineChars="200"/>
        <w:jc w:val="left"/>
        <w:rPr>
          <w:rFonts w:hint="eastAsia" w:ascii="宋体" w:hAnsi="宋体" w:cs="宋体"/>
          <w:b/>
          <w:color w:val="auto"/>
          <w:szCs w:val="21"/>
          <w:highlight w:val="none"/>
        </w:rPr>
      </w:pPr>
      <w:bookmarkStart w:id="99" w:name="_Toc2272556"/>
      <w:r>
        <w:rPr>
          <w:rFonts w:hint="eastAsia" w:ascii="宋体" w:hAnsi="宋体" w:cs="宋体"/>
          <w:b/>
          <w:color w:val="auto"/>
          <w:szCs w:val="21"/>
          <w:highlight w:val="none"/>
          <w:lang w:bidi="ar"/>
        </w:rPr>
        <w:t>条款号：35.13                修改类型：增加</w:t>
      </w:r>
    </w:p>
    <w:p w14:paraId="4B56DDD5">
      <w:pPr>
        <w:pStyle w:val="20"/>
        <w:spacing w:line="52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u w:val="single"/>
        </w:rPr>
        <w:t>35.13采用评定分离定标办法</w:t>
      </w:r>
    </w:p>
    <w:p w14:paraId="5E890261">
      <w:pPr>
        <w:pStyle w:val="20"/>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35.13.1.</w:t>
      </w:r>
      <w:r>
        <w:rPr>
          <w:rFonts w:hint="eastAsia" w:ascii="宋体" w:hAnsi="宋体" w:eastAsia="宋体" w:cs="宋体"/>
          <w:bCs/>
          <w:color w:val="auto"/>
          <w:szCs w:val="21"/>
          <w:highlight w:val="none"/>
          <w:u w:val="single"/>
          <w:lang w:bidi="ar"/>
        </w:rPr>
        <w:t>评标采用“有限数量制”推荐合格中标候选人</w:t>
      </w:r>
      <w:r>
        <w:rPr>
          <w:rFonts w:hint="eastAsia" w:ascii="宋体" w:hAnsi="宋体" w:cs="宋体"/>
          <w:bCs/>
          <w:color w:val="auto"/>
          <w:szCs w:val="21"/>
          <w:highlight w:val="none"/>
          <w:u w:val="single"/>
          <w:lang w:bidi="ar"/>
        </w:rPr>
        <w:t>。</w:t>
      </w:r>
      <w:r>
        <w:rPr>
          <w:rFonts w:hint="eastAsia" w:ascii="宋体" w:hAnsi="宋体" w:eastAsia="宋体" w:cs="宋体"/>
          <w:bCs/>
          <w:color w:val="auto"/>
          <w:szCs w:val="21"/>
          <w:highlight w:val="none"/>
          <w:u w:val="single"/>
          <w:lang w:bidi="ar"/>
        </w:rPr>
        <w:t>评标委员会应按照招标文件规定，推荐[3,10]不排序的合格中标候选人进入定标阶段【不排序，按统一社会信用代码后4位（除校验码外）大小排位，如统一社会信用代码后4位出现字母情况的，字母以“0”进行代替大小排位；如出现后4位（除校验码外）大小一致的，则随机排位。若为联合体投标，按联合体主办方的统一社会信用代码排序】</w:t>
      </w:r>
      <w:r>
        <w:rPr>
          <w:rFonts w:hint="eastAsia" w:ascii="宋体" w:hAnsi="宋体" w:eastAsia="宋体" w:cs="宋体"/>
          <w:color w:val="auto"/>
          <w:kern w:val="0"/>
          <w:szCs w:val="21"/>
          <w:highlight w:val="none"/>
          <w:u w:val="single"/>
        </w:rPr>
        <w:t>。</w:t>
      </w:r>
      <w:bookmarkStart w:id="100" w:name="_Hlk193984212"/>
      <w:r>
        <w:rPr>
          <w:rFonts w:hint="eastAsia" w:ascii="宋体" w:hAnsi="宋体" w:eastAsia="宋体" w:cs="宋体"/>
          <w:color w:val="auto"/>
          <w:kern w:val="0"/>
          <w:szCs w:val="21"/>
          <w:highlight w:val="none"/>
          <w:u w:val="single"/>
        </w:rPr>
        <w:t>具体推荐方式如下：</w:t>
      </w:r>
    </w:p>
    <w:p w14:paraId="492D2073">
      <w:pPr>
        <w:pStyle w:val="20"/>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设S(S=M+N)为通过资格审查及技术标有效性审查的投标人数,其中M为低于成本警示价的投标报价数，N为不低于成本警示价的投标报价数。</w:t>
      </w:r>
    </w:p>
    <w:p w14:paraId="6342B41E">
      <w:pPr>
        <w:pStyle w:val="20"/>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(1)当 S</w:t>
      </w:r>
      <w:r>
        <w:rPr>
          <w:rFonts w:ascii="Segoe UI" w:hAnsi="Segoe UI" w:eastAsia="Segoe UI" w:cs="Segoe UI"/>
          <w:color w:val="auto"/>
          <w:sz w:val="24"/>
          <w:szCs w:val="24"/>
          <w:highlight w:val="none"/>
          <w:shd w:val="clear" w:color="auto" w:fill="FFFFFF"/>
        </w:rPr>
        <w:t>≥</w:t>
      </w:r>
      <w:r>
        <w:rPr>
          <w:rFonts w:hint="eastAsia" w:ascii="宋体" w:hAnsi="宋体" w:eastAsia="宋体" w:cs="宋体"/>
          <w:color w:val="auto"/>
          <w:kern w:val="0"/>
          <w:szCs w:val="21"/>
          <w:highlight w:val="none"/>
          <w:u w:val="single"/>
        </w:rPr>
        <w:t>3 时,按以下方式确定合格的中标候选人:</w:t>
      </w:r>
    </w:p>
    <w:p w14:paraId="1104C2A9">
      <w:pPr>
        <w:pStyle w:val="20"/>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①对于报价低于成本警示价的M个投标人，当 M＞3 时，不参加经济标详细评审，但需参加技术、商务标的详细评审。评标委员会根据技术、商务标详细评审的排序,推荐合格的中标候选人数量为 3 名。</w:t>
      </w:r>
    </w:p>
    <w:p w14:paraId="7EAC861D">
      <w:pPr>
        <w:pStyle w:val="20"/>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当 M</w:t>
      </w:r>
      <w:r>
        <w:rPr>
          <w:rFonts w:ascii="Segoe UI" w:hAnsi="Segoe UI" w:eastAsia="Segoe UI" w:cs="Segoe UI"/>
          <w:color w:val="auto"/>
          <w:sz w:val="24"/>
          <w:szCs w:val="24"/>
          <w:highlight w:val="none"/>
          <w:shd w:val="clear" w:color="auto" w:fill="FFFFFF"/>
        </w:rPr>
        <w:t>≤</w:t>
      </w:r>
      <w:r>
        <w:rPr>
          <w:rFonts w:hint="eastAsia" w:ascii="宋体" w:hAnsi="宋体" w:eastAsia="宋体" w:cs="宋体"/>
          <w:color w:val="auto"/>
          <w:kern w:val="0"/>
          <w:szCs w:val="21"/>
          <w:highlight w:val="none"/>
          <w:u w:val="single"/>
        </w:rPr>
        <w:t>3 时，全部推荐为中标候选人。</w:t>
      </w:r>
    </w:p>
    <w:p w14:paraId="3BA1F3A2">
      <w:pPr>
        <w:pStyle w:val="20"/>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②对于报价不低于成本警示价的N个投标人，当N＞7 时，需要参加技术、商务、经济标的详细评审并排序，推荐合格的中标候选人数量为7名。</w:t>
      </w:r>
    </w:p>
    <w:p w14:paraId="4F0C534F">
      <w:pPr>
        <w:pStyle w:val="20"/>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当N</w:t>
      </w:r>
      <w:r>
        <w:rPr>
          <w:rFonts w:ascii="Segoe UI" w:hAnsi="Segoe UI" w:eastAsia="Segoe UI" w:cs="Segoe UI"/>
          <w:color w:val="auto"/>
          <w:sz w:val="24"/>
          <w:szCs w:val="24"/>
          <w:highlight w:val="none"/>
          <w:shd w:val="clear" w:color="auto" w:fill="FFFFFF"/>
        </w:rPr>
        <w:t>≤</w:t>
      </w:r>
      <w:r>
        <w:rPr>
          <w:rFonts w:ascii="宋体" w:hAnsi="宋体" w:eastAsia="宋体" w:cs="宋体"/>
          <w:color w:val="auto"/>
          <w:szCs w:val="21"/>
          <w:highlight w:val="none"/>
          <w:shd w:val="clear" w:color="auto" w:fill="FFFFFF"/>
        </w:rPr>
        <w:t>7</w:t>
      </w:r>
      <w:r>
        <w:rPr>
          <w:rFonts w:hint="eastAsia" w:ascii="宋体" w:hAnsi="宋体" w:eastAsia="宋体" w:cs="宋体"/>
          <w:color w:val="auto"/>
          <w:szCs w:val="21"/>
          <w:highlight w:val="none"/>
          <w:shd w:val="clear" w:color="auto" w:fill="FFFFFF"/>
        </w:rPr>
        <w:t>时，</w:t>
      </w:r>
      <w:r>
        <w:rPr>
          <w:rFonts w:hint="eastAsia" w:ascii="宋体" w:hAnsi="宋体" w:eastAsia="宋体" w:cs="宋体"/>
          <w:color w:val="auto"/>
          <w:kern w:val="0"/>
          <w:szCs w:val="21"/>
          <w:highlight w:val="none"/>
          <w:u w:val="single"/>
        </w:rPr>
        <w:t>全部推荐为合格的中标候选人。</w:t>
      </w:r>
    </w:p>
    <w:p w14:paraId="26E4E627">
      <w:pPr>
        <w:pStyle w:val="20"/>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(2)当 S&lt;3 时，招标人应重新招标。</w:t>
      </w:r>
      <w:bookmarkEnd w:id="100"/>
    </w:p>
    <w:p w14:paraId="365E2196">
      <w:pPr>
        <w:pStyle w:val="20"/>
        <w:pBdr>
          <w:bottom w:val="none" w:color="auto" w:sz="0"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35.13.2.</w:t>
      </w:r>
      <w:r>
        <w:rPr>
          <w:rFonts w:hint="eastAsia" w:ascii="宋体" w:hAnsi="宋体" w:eastAsia="宋体" w:cs="宋体"/>
          <w:bCs/>
          <w:color w:val="auto"/>
          <w:szCs w:val="21"/>
          <w:highlight w:val="none"/>
          <w:u w:val="single"/>
        </w:rPr>
        <w:t>定标采用“方案因素评定法+价格因素评定法+答辩因素评定法”。</w:t>
      </w:r>
    </w:p>
    <w:p w14:paraId="543B52E7">
      <w:pPr>
        <w:pStyle w:val="20"/>
        <w:pBdr>
          <w:bottom w:val="none" w:color="auto" w:sz="0" w:space="1"/>
        </w:pBdr>
        <w:spacing w:after="0" w:line="520" w:lineRule="exact"/>
        <w:ind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u w:val="single"/>
        </w:rPr>
        <w:t>定标因素为：</w:t>
      </w:r>
      <w:r>
        <w:rPr>
          <w:rFonts w:hint="eastAsia" w:ascii="宋体" w:hAnsi="宋体" w:eastAsia="宋体" w:cs="宋体"/>
          <w:bCs/>
          <w:color w:val="auto"/>
          <w:szCs w:val="21"/>
          <w:highlight w:val="none"/>
          <w:u w:val="single"/>
        </w:rPr>
        <w:t>方案因素+价格因素+答辩因素。</w:t>
      </w:r>
    </w:p>
    <w:p w14:paraId="02E858D7">
      <w:pPr>
        <w:pStyle w:val="20"/>
        <w:pBdr>
          <w:bottom w:val="single" w:color="auto" w:sz="6" w:space="1"/>
        </w:pBdr>
        <w:spacing w:after="0" w:line="520" w:lineRule="exact"/>
        <w:ind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定标委员会根据定标因素对各合格中标候选人进行综合评审后，按照</w:t>
      </w:r>
      <w:r>
        <w:rPr>
          <w:rFonts w:hint="eastAsia" w:ascii="宋体" w:hAnsi="宋体" w:eastAsia="宋体" w:cs="宋体"/>
          <w:bCs/>
          <w:color w:val="auto"/>
          <w:szCs w:val="21"/>
          <w:highlight w:val="none"/>
          <w:u w:val="single"/>
        </w:rPr>
        <w:t>总得分（100分）=方案因素（50分）+价格因素（20分）+答辩因素（30分）由高至低排序，确定总得分最高的中标候选人为中标人。</w:t>
      </w:r>
    </w:p>
    <w:p w14:paraId="26A4D951">
      <w:pPr>
        <w:pStyle w:val="20"/>
        <w:pBdr>
          <w:bottom w:val="single" w:color="auto" w:sz="6" w:space="1"/>
        </w:pBdr>
        <w:spacing w:after="0" w:line="52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注：若合格中标候选人总得分相同且影响定标排序的，以方案因素得分高的排前；若方案因素得分仍相同的，以价格因素得分高的排前，若价格因素得分仍相同的，由定标委员会投票确定排序。</w:t>
      </w:r>
    </w:p>
    <w:p w14:paraId="1D31CE86">
      <w:pPr>
        <w:spacing w:line="360" w:lineRule="auto"/>
        <w:ind w:firstLine="495" w:firstLineChars="235"/>
        <w:rPr>
          <w:rFonts w:hint="eastAsia" w:ascii="宋体" w:hAnsi="宋体" w:cs="宋体"/>
          <w:b/>
          <w:color w:val="auto"/>
          <w:szCs w:val="21"/>
          <w:highlight w:val="none"/>
        </w:rPr>
      </w:pPr>
      <w:r>
        <w:rPr>
          <w:rFonts w:hint="eastAsia" w:ascii="宋体" w:hAnsi="宋体" w:cs="宋体"/>
          <w:b/>
          <w:color w:val="auto"/>
          <w:szCs w:val="21"/>
          <w:highlight w:val="none"/>
        </w:rPr>
        <w:t>条款号： 36.1            修改类型：修改</w:t>
      </w:r>
    </w:p>
    <w:p w14:paraId="1ACCA9D9">
      <w:pPr>
        <w:spacing w:line="360" w:lineRule="auto"/>
        <w:ind w:firstLine="495" w:firstLineChars="235"/>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389CA207">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w:t>
      </w:r>
      <w:r>
        <w:rPr>
          <w:rFonts w:hint="eastAsia" w:ascii="宋体" w:hAnsi="宋体" w:cs="宋体"/>
          <w:color w:val="auto"/>
          <w:szCs w:val="21"/>
          <w:highlight w:val="none"/>
          <w:u w:val="single"/>
        </w:rPr>
        <w:t>现场开标会</w:t>
      </w:r>
      <w:r>
        <w:rPr>
          <w:rFonts w:hint="eastAsia" w:ascii="宋体" w:hAnsi="宋体" w:cs="宋体"/>
          <w:color w:val="auto"/>
          <w:szCs w:val="21"/>
          <w:highlight w:val="none"/>
        </w:rPr>
        <w:t>。截标后，开标开始时间因故推迟的，相关评标信息仍以原定的开标开始时间的信息为准。投标人也可选择参加在线开标，</w:t>
      </w:r>
      <w:r>
        <w:rPr>
          <w:rFonts w:hint="eastAsia" w:ascii="宋体" w:hAnsi="宋体" w:cs="宋体"/>
          <w:color w:val="auto"/>
          <w:szCs w:val="21"/>
          <w:highlight w:val="none"/>
          <w:u w:val="single"/>
        </w:rPr>
        <w:t>若投标人不参加现场开标会的，其投标文件在开标现场的投标人或招标人代表、招标代理机构代表及交易中心代表见证下公开开启、解密、公布，并视同该投标人认可开标结果</w:t>
      </w:r>
      <w:r>
        <w:rPr>
          <w:rFonts w:hint="eastAsia" w:ascii="宋体" w:hAnsi="宋体" w:cs="宋体"/>
          <w:color w:val="auto"/>
          <w:szCs w:val="21"/>
          <w:highlight w:val="none"/>
        </w:rPr>
        <w:t>。</w:t>
      </w:r>
    </w:p>
    <w:p w14:paraId="6C00C939">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条款号：36.3                        修改类型：删除</w:t>
      </w:r>
    </w:p>
    <w:p w14:paraId="75347203">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806C2EA">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条款号：36.4                        修改类型：修改</w:t>
      </w:r>
    </w:p>
    <w:p w14:paraId="36708584">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14:paraId="15BEF232">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36.4</w:t>
      </w:r>
      <w:r>
        <w:rPr>
          <w:rFonts w:hint="eastAsia" w:ascii="宋体" w:hAnsi="宋体" w:cs="宋体"/>
          <w:color w:val="auto"/>
          <w:szCs w:val="21"/>
          <w:highlight w:val="none"/>
          <w:u w:val="single"/>
        </w:rPr>
        <w:t>若递交投标文件的投标人不足3家，则重新组织招标</w:t>
      </w:r>
      <w:r>
        <w:rPr>
          <w:rFonts w:hint="eastAsia" w:ascii="宋体" w:hAnsi="宋体" w:cs="宋体"/>
          <w:color w:val="auto"/>
          <w:szCs w:val="21"/>
          <w:highlight w:val="none"/>
        </w:rPr>
        <w:t>。</w:t>
      </w:r>
    </w:p>
    <w:p w14:paraId="595E2874">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条款号：36.5.1                      修改类型：修改</w:t>
      </w:r>
    </w:p>
    <w:p w14:paraId="0C42BE24">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一个小时内，投标人通过交易平台对已递交的电子投标文件进行解密。投标人完成解密后，再由招标人进行解密。解密完成后，公布招标工程名称、投标人名称、投标保证金的递交情况、投标报价、工期及其他内容；</w:t>
      </w:r>
    </w:p>
    <w:p w14:paraId="77850FF1">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进行解密。解密完成后，公布招标工程名称、投标人名称、投标保证金的递交情况、投标报价、工期及其他内容；</w:t>
      </w:r>
    </w:p>
    <w:p w14:paraId="46C1787A">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b/>
          <w:bCs/>
          <w:color w:val="auto"/>
          <w:szCs w:val="21"/>
          <w:highlight w:val="none"/>
        </w:rPr>
        <w:t xml:space="preserve">36.5.3 </w:t>
      </w:r>
      <w:r>
        <w:rPr>
          <w:rFonts w:hint="eastAsia" w:ascii="宋体" w:hAnsi="宋体" w:cs="宋体"/>
          <w:b/>
          <w:color w:val="auto"/>
          <w:szCs w:val="21"/>
          <w:highlight w:val="none"/>
        </w:rPr>
        <w:t xml:space="preserve">          修改类型：修改</w:t>
      </w:r>
    </w:p>
    <w:p w14:paraId="0737B7C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投标人代表、招标人代表、监标人、记录人等有关人员在开标记录上签字确认；若有关人员不签字的，不影响开标程序；</w:t>
      </w:r>
    </w:p>
    <w:p w14:paraId="7F918CB4">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若投标人不参加现场开标会的，或不签字确认的，视同该投标人认可开标结果。</w:t>
      </w:r>
    </w:p>
    <w:p w14:paraId="0DCFBF91">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条款号：38.1                               修改类型：修改</w:t>
      </w:r>
    </w:p>
    <w:p w14:paraId="75F4DFFC">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E41BD3C">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14:paraId="4B0575D9">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条款号：39.3                        修改类型：修改</w:t>
      </w:r>
    </w:p>
    <w:p w14:paraId="2B86D183">
      <w:pPr>
        <w:spacing w:line="360" w:lineRule="auto"/>
        <w:ind w:firstLine="424" w:firstLineChars="201"/>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6E205399">
      <w:pPr>
        <w:pBdr>
          <w:bottom w:val="single" w:color="auto" w:sz="6" w:space="1"/>
        </w:pBdr>
        <w:spacing w:line="360" w:lineRule="auto"/>
        <w:ind w:firstLine="424" w:firstLineChars="201"/>
        <w:rPr>
          <w:rFonts w:hint="eastAsia" w:ascii="宋体" w:hAnsi="宋体" w:cs="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39.3</w:t>
      </w:r>
      <w:r>
        <w:rPr>
          <w:rFonts w:hint="eastAsia" w:ascii="宋体" w:hAnsi="宋体" w:cs="宋体"/>
          <w:bCs/>
          <w:color w:val="auto"/>
          <w:szCs w:val="21"/>
          <w:highlight w:val="none"/>
        </w:rPr>
        <w:t>排名第一的中标候选人放弃中标、</w:t>
      </w:r>
      <w:r>
        <w:rPr>
          <w:rFonts w:hint="eastAsia" w:ascii="宋体" w:hAnsi="宋体" w:cs="宋体"/>
          <w:bCs/>
          <w:color w:val="auto"/>
          <w:szCs w:val="21"/>
          <w:highlight w:val="none"/>
          <w:u w:val="single"/>
        </w:rPr>
        <w:t>或因不可抗力不能履行合同，或不按照招标文件要求提交履约担保，或经核查发现委派的项目负责人已在其他在建项目中任职的，或者被查实存在影响中标结果的违法行为等情形，不符合中标条件的，招标人可以确定排名第二的中标候选人为中标人。</w:t>
      </w:r>
    </w:p>
    <w:bookmarkEnd w:id="99"/>
    <w:p w14:paraId="6933F995">
      <w:pPr>
        <w:spacing w:line="360" w:lineRule="auto"/>
        <w:ind w:firstLine="424" w:firstLineChars="201"/>
        <w:rPr>
          <w:rFonts w:hint="eastAsia" w:ascii="宋体" w:hAnsi="宋体" w:cs="宋体"/>
          <w:color w:val="auto"/>
          <w:szCs w:val="21"/>
          <w:highlight w:val="none"/>
        </w:rPr>
      </w:pPr>
      <w:bookmarkStart w:id="101" w:name="_Toc14783"/>
      <w:bookmarkStart w:id="102" w:name="_Toc17484"/>
      <w:bookmarkStart w:id="103" w:name="_Toc25875"/>
      <w:bookmarkStart w:id="104" w:name="_Toc31501"/>
      <w:bookmarkStart w:id="105" w:name="_Toc6210"/>
      <w:bookmarkStart w:id="106" w:name="_Toc902"/>
      <w:bookmarkStart w:id="107" w:name="_Toc20194"/>
      <w:bookmarkStart w:id="108" w:name="_Toc16163"/>
      <w:bookmarkStart w:id="109" w:name="_Toc29873"/>
      <w:bookmarkStart w:id="110" w:name="_Toc13295"/>
      <w:r>
        <w:rPr>
          <w:rFonts w:hint="eastAsia" w:ascii="宋体" w:hAnsi="宋体" w:cs="宋体"/>
          <w:b/>
          <w:color w:val="auto"/>
          <w:szCs w:val="21"/>
          <w:highlight w:val="none"/>
        </w:rPr>
        <w:t>条款号：（二）开标评标办法程序和细则 注                             修改类型：删除</w:t>
      </w:r>
    </w:p>
    <w:p w14:paraId="09FAC3A4">
      <w:pPr>
        <w:pBdr>
          <w:bottom w:val="single" w:color="auto" w:sz="4" w:space="0"/>
        </w:pBdr>
        <w:spacing w:line="360" w:lineRule="auto"/>
        <w:ind w:firstLine="424" w:firstLineChars="201"/>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注：以下七种评标办法所述企业诚信综合评价分数即投标截止当日广州市工程招标代理行业协会网站上公布的企业诚信综合评价60日诚信分。</w:t>
      </w:r>
    </w:p>
    <w:p w14:paraId="74301D60">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条款号：（二）开标评标办法程序和细则          修改类型：删除</w:t>
      </w:r>
    </w:p>
    <w:p w14:paraId="74E3F1EB">
      <w:pPr>
        <w:pBdr>
          <w:bottom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可选办法一（适合综合评分法一，技术标与经济标先后分别开启）</w:t>
      </w:r>
    </w:p>
    <w:p w14:paraId="67C4C2EC">
      <w:pPr>
        <w:pBdr>
          <w:bottom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可选办法二（适合综合评分法一，技术标与经济标同时开启）</w:t>
      </w:r>
    </w:p>
    <w:p w14:paraId="0276D000">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可选办法三（适合综合评分法二，技术标与经济标先后分别开启）</w:t>
      </w:r>
    </w:p>
    <w:p w14:paraId="23163192">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可选办法四（适合综合评分法二，技术标与经济标同时开启）</w:t>
      </w:r>
    </w:p>
    <w:p w14:paraId="25786FE8">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可选办法五（适合综合评分法三，技术标与经济标先后分别开启）</w:t>
      </w:r>
    </w:p>
    <w:p w14:paraId="1869D4CD">
      <w:pPr>
        <w:pBdr>
          <w:bottom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可选办法六（适合综合评分法三，技术标与经济标同时开启）</w:t>
      </w:r>
    </w:p>
    <w:p w14:paraId="2F1574D2">
      <w:pPr>
        <w:pBdr>
          <w:bottom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可选办法八（适合经评审的最低投标价法，技术标与经济标同时开启）</w:t>
      </w:r>
    </w:p>
    <w:p w14:paraId="652F668B">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 xml:space="preserve">     修改类型：修改</w:t>
      </w:r>
    </w:p>
    <w:p w14:paraId="667DBC8F">
      <w:pPr>
        <w:pBdr>
          <w:bottom w:val="single" w:color="auto" w:sz="6" w:space="1"/>
        </w:pBdr>
        <w:spacing w:line="52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0B7A088">
      <w:pPr>
        <w:pBdr>
          <w:bottom w:val="single" w:color="auto" w:sz="6" w:space="1"/>
        </w:pBdr>
        <w:spacing w:line="52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评定分离评标定标办法</w:t>
      </w:r>
    </w:p>
    <w:p w14:paraId="1F962812">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条款号：40                          修改类型：修改</w:t>
      </w:r>
    </w:p>
    <w:p w14:paraId="5E8C09E3">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40．开标和评标程序</w:t>
      </w:r>
    </w:p>
    <w:p w14:paraId="3D643C85">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40.1技术标（含资格审查文件）与经济标投标文件同时公开开标；</w:t>
      </w:r>
    </w:p>
    <w:p w14:paraId="49727D74">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40.2由评标委员会对所有已公开开标的投标人进行资格审查；</w:t>
      </w:r>
    </w:p>
    <w:p w14:paraId="48439B63">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40.3技术标投标文件有效性审查；</w:t>
      </w:r>
    </w:p>
    <w:p w14:paraId="64AD1368">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40.4技术标详细审查评分；</w:t>
      </w:r>
    </w:p>
    <w:p w14:paraId="5ECE72F1">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 xml:space="preserve">40.5经济标详细审查评分； </w:t>
      </w:r>
    </w:p>
    <w:p w14:paraId="311C728D">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40.6评标委员会按照投标人总得分由高至低排序；</w:t>
      </w:r>
    </w:p>
    <w:p w14:paraId="2B634D63">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40.7经济标投标文件有效性审查；</w:t>
      </w:r>
    </w:p>
    <w:p w14:paraId="1B9C915B">
      <w:pPr>
        <w:spacing w:line="360" w:lineRule="auto"/>
        <w:ind w:firstLine="422" w:firstLineChars="201"/>
        <w:rPr>
          <w:rFonts w:hint="eastAsia" w:ascii="宋体" w:hAnsi="宋体" w:cs="宋体"/>
          <w:b/>
          <w:color w:val="auto"/>
          <w:szCs w:val="21"/>
          <w:highlight w:val="none"/>
        </w:rPr>
      </w:pPr>
      <w:r>
        <w:rPr>
          <w:rFonts w:hint="eastAsia" w:ascii="宋体" w:hAnsi="宋体" w:cs="宋体"/>
          <w:color w:val="auto"/>
          <w:szCs w:val="21"/>
          <w:highlight w:val="none"/>
        </w:rPr>
        <w:t>40.8评标委员会按排序向招标人推荐中标候选人名单，并递交资格审查报告及评标报告。</w:t>
      </w:r>
    </w:p>
    <w:p w14:paraId="608100FC">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40．开标和评标程序</w:t>
      </w:r>
    </w:p>
    <w:p w14:paraId="500FB4D6">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40.1技术标（含资格审查文件）与经济标投标文件同时公开开标；</w:t>
      </w:r>
    </w:p>
    <w:p w14:paraId="05996829">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40.2由评标委员会对所有已公开开标的投标人进行资格审查</w:t>
      </w:r>
      <w:r>
        <w:rPr>
          <w:rFonts w:hint="eastAsia" w:ascii="宋体" w:hAnsi="宋体" w:cs="宋体"/>
          <w:color w:val="auto"/>
          <w:szCs w:val="21"/>
          <w:highlight w:val="none"/>
          <w:u w:val="single"/>
        </w:rPr>
        <w:t>，并编写资格审查报告</w:t>
      </w:r>
      <w:r>
        <w:rPr>
          <w:rFonts w:hint="eastAsia" w:ascii="宋体" w:hAnsi="宋体" w:cs="宋体"/>
          <w:color w:val="auto"/>
          <w:szCs w:val="21"/>
          <w:highlight w:val="none"/>
        </w:rPr>
        <w:t>；</w:t>
      </w:r>
    </w:p>
    <w:p w14:paraId="693DAE61">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40.3技术标投标文件有效性审查；</w:t>
      </w:r>
    </w:p>
    <w:p w14:paraId="7E57B5FF">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40.4技术标详细审查评分；</w:t>
      </w:r>
    </w:p>
    <w:p w14:paraId="05EDF406">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 xml:space="preserve">40.5经济标详细审查评分； </w:t>
      </w:r>
    </w:p>
    <w:p w14:paraId="14B72B60">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40.6评标委员会按照投标人总得分由高至低排序；</w:t>
      </w:r>
    </w:p>
    <w:p w14:paraId="5207C742">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40.7经济标投标文件有效性审查；</w:t>
      </w:r>
    </w:p>
    <w:p w14:paraId="0F741076">
      <w:pPr>
        <w:pBdr>
          <w:bottom w:val="single" w:color="auto" w:sz="4" w:space="1"/>
        </w:pBd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40.8</w:t>
      </w:r>
      <w:r>
        <w:rPr>
          <w:rFonts w:hint="eastAsia" w:ascii="宋体" w:hAnsi="宋体" w:cs="宋体"/>
          <w:bCs/>
          <w:color w:val="auto"/>
          <w:szCs w:val="21"/>
          <w:highlight w:val="none"/>
          <w:u w:val="single"/>
        </w:rPr>
        <w:t>评标委员会编写资格审查报告以及评标报告，向招标人</w:t>
      </w:r>
      <w:r>
        <w:rPr>
          <w:rFonts w:hint="eastAsia" w:ascii="宋体" w:hAnsi="宋体" w:cs="宋体"/>
          <w:bCs/>
          <w:color w:val="auto"/>
          <w:szCs w:val="21"/>
          <w:highlight w:val="none"/>
          <w:u w:val="single"/>
          <w:lang w:bidi="ar"/>
        </w:rPr>
        <w:t>推荐[3,10]不排序的合格中标候选人进入定标阶段【不排序，按统一社会信用代码后4位（除校验码外）大小排位，如统一社会信用代码后4位出现字母情况的，字母以“0”进行代替大小排位；如出现后4位（除校验码外）大小一致的，则随机排位。若为联合体投标，按联合体主办方的统一社会信用代码排序】</w:t>
      </w:r>
      <w:r>
        <w:rPr>
          <w:rFonts w:hint="eastAsia" w:ascii="宋体" w:hAnsi="宋体" w:cs="宋体"/>
          <w:color w:val="auto"/>
          <w:szCs w:val="21"/>
          <w:highlight w:val="none"/>
        </w:rPr>
        <w:t>。</w:t>
      </w:r>
    </w:p>
    <w:p w14:paraId="72A83E67">
      <w:pPr>
        <w:spacing w:line="400" w:lineRule="exact"/>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条款号：41.1                    修改类型：修改</w:t>
      </w:r>
    </w:p>
    <w:p w14:paraId="3B6EF6D2">
      <w:pPr>
        <w:snapToGrid w:val="0"/>
        <w:spacing w:line="400" w:lineRule="exact"/>
        <w:ind w:firstLine="460" w:firstLineChars="218"/>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14:paraId="2AFFA471">
      <w:pPr>
        <w:pStyle w:val="20"/>
        <w:spacing w:after="0" w:line="4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41.1开标由招标人</w:t>
      </w:r>
      <w:r>
        <w:rPr>
          <w:rFonts w:hint="eastAsia" w:ascii="宋体" w:hAnsi="宋体" w:eastAsia="宋体" w:cs="宋体"/>
          <w:color w:val="auto"/>
          <w:szCs w:val="21"/>
          <w:highlight w:val="none"/>
          <w:u w:val="single"/>
        </w:rPr>
        <w:t>或招标代理</w:t>
      </w:r>
      <w:r>
        <w:rPr>
          <w:rFonts w:hint="eastAsia" w:ascii="宋体" w:hAnsi="宋体" w:eastAsia="宋体" w:cs="宋体"/>
          <w:color w:val="auto"/>
          <w:szCs w:val="21"/>
          <w:highlight w:val="none"/>
        </w:rPr>
        <w:t>主持；</w:t>
      </w:r>
    </w:p>
    <w:p w14:paraId="2C5447D6">
      <w:pPr>
        <w:pStyle w:val="20"/>
        <w:pBdr>
          <w:top w:val="single" w:color="auto" w:sz="4" w:space="0"/>
        </w:pBdr>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条款号：41.2.1</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修改类型：修改</w:t>
      </w:r>
    </w:p>
    <w:p w14:paraId="3854ACD7">
      <w:pP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41.2.1投标截止期前，各投标人递交投标文件（包括技术标投标文件、经济标投标文件）至交易平台。有关投标文件提交的事项详见第一章投标须知。</w:t>
      </w:r>
    </w:p>
    <w:p w14:paraId="2377949D">
      <w:pPr>
        <w:pBdr>
          <w:bottom w:val="single" w:color="auto" w:sz="6" w:space="1"/>
        </w:pBdr>
        <w:spacing w:line="460" w:lineRule="exact"/>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41.2.1投标截止期前，各投标人递交投标文件（</w:t>
      </w:r>
      <w:r>
        <w:rPr>
          <w:rFonts w:hint="eastAsia" w:ascii="宋体" w:hAnsi="宋体" w:cs="宋体"/>
          <w:color w:val="auto"/>
          <w:szCs w:val="21"/>
          <w:highlight w:val="none"/>
        </w:rPr>
        <w:t>包括</w:t>
      </w:r>
      <w:r>
        <w:rPr>
          <w:rFonts w:hint="eastAsia" w:ascii="宋体" w:hAnsi="宋体" w:cs="宋体"/>
          <w:color w:val="auto"/>
          <w:szCs w:val="21"/>
          <w:highlight w:val="none"/>
          <w:u w:val="single"/>
        </w:rPr>
        <w:t>技术标投标文件（含资格审查文件）</w:t>
      </w:r>
      <w:r>
        <w:rPr>
          <w:rFonts w:hint="eastAsia" w:ascii="宋体" w:hAnsi="宋体" w:cs="宋体"/>
          <w:color w:val="auto"/>
          <w:szCs w:val="21"/>
          <w:highlight w:val="none"/>
        </w:rPr>
        <w:t>、经济标投标文件</w:t>
      </w:r>
      <w:r>
        <w:rPr>
          <w:rFonts w:hint="eastAsia" w:ascii="宋体" w:hAnsi="宋体" w:cs="宋体"/>
          <w:bCs/>
          <w:color w:val="auto"/>
          <w:szCs w:val="21"/>
          <w:highlight w:val="none"/>
        </w:rPr>
        <w:t>）至</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交易平台。有关投标文件提交的事项详见第一章投标须知。</w:t>
      </w:r>
    </w:p>
    <w:p w14:paraId="3D8D2314">
      <w:pPr>
        <w:pStyle w:val="20"/>
        <w:pBdr>
          <w:top w:val="single" w:color="auto" w:sz="4" w:space="0"/>
        </w:pBdr>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条款号：41.2.2</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修改类型：删除</w:t>
      </w:r>
    </w:p>
    <w:p w14:paraId="6A877A26">
      <w:pPr>
        <w:pBdr>
          <w:bottom w:val="single" w:color="auto" w:sz="6" w:space="1"/>
        </w:pBdr>
        <w:spacing w:line="460" w:lineRule="exact"/>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bCs/>
          <w:color w:val="auto"/>
          <w:szCs w:val="21"/>
          <w:highlight w:val="none"/>
        </w:rPr>
        <w:t>41.2.2开标前，首先由招标人随机抽取确定该工程计算评标参考价的等分点值X。</w:t>
      </w:r>
    </w:p>
    <w:p w14:paraId="6A65F35F">
      <w:pPr>
        <w:pStyle w:val="20"/>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条款号：41.2.4.1</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修改类型：修改</w:t>
      </w:r>
    </w:p>
    <w:p w14:paraId="64366F1B">
      <w:pP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175158B8">
      <w:pPr>
        <w:pBdr>
          <w:bottom w:val="single" w:color="auto" w:sz="6" w:space="1"/>
        </w:pBdr>
        <w:spacing w:line="460" w:lineRule="exact"/>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41.2.4.1开标时，公布：a、投标人名称；b、投标文件密封情况；c、投标报价；</w:t>
      </w:r>
      <w:r>
        <w:rPr>
          <w:rFonts w:hint="eastAsia" w:ascii="宋体" w:hAnsi="宋体" w:cs="宋体"/>
          <w:bCs/>
          <w:strike/>
          <w:color w:val="auto"/>
          <w:szCs w:val="21"/>
          <w:highlight w:val="none"/>
        </w:rPr>
        <w:t>d、投标保证金；</w:t>
      </w:r>
      <w:r>
        <w:rPr>
          <w:rFonts w:hint="eastAsia" w:ascii="宋体" w:hAnsi="宋体" w:cs="宋体"/>
          <w:bCs/>
          <w:color w:val="auto"/>
          <w:szCs w:val="21"/>
          <w:highlight w:val="none"/>
        </w:rPr>
        <w:t>e、项目经理（负责人）名称；f、法定代表人证明及授权委托等主要内容及开标记录表中的其他必要内容。投标报价以数字和文字两种方式表述的，应公布文字表述的投标报价。</w:t>
      </w:r>
    </w:p>
    <w:p w14:paraId="26C552A0">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条款号：41.3                        修改类型：修改</w:t>
      </w:r>
    </w:p>
    <w:p w14:paraId="7AFF9E69">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41.3招标人对开标过程进行记录，并存档备查，投标人在技术标开标记录上签字。</w:t>
      </w:r>
    </w:p>
    <w:p w14:paraId="3B6D1DA1">
      <w:pPr>
        <w:pStyle w:val="20"/>
        <w:spacing w:after="0" w:line="4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41.3招标人</w:t>
      </w:r>
      <w:r>
        <w:rPr>
          <w:rFonts w:hint="eastAsia" w:ascii="宋体" w:hAnsi="宋体" w:eastAsia="宋体" w:cs="宋体"/>
          <w:color w:val="auto"/>
          <w:szCs w:val="21"/>
          <w:highlight w:val="none"/>
          <w:u w:val="single"/>
        </w:rPr>
        <w:t>或招标代理机构</w:t>
      </w:r>
      <w:r>
        <w:rPr>
          <w:rFonts w:hint="eastAsia" w:ascii="宋体" w:hAnsi="宋体" w:eastAsia="宋体" w:cs="宋体"/>
          <w:color w:val="auto"/>
          <w:szCs w:val="21"/>
          <w:highlight w:val="none"/>
        </w:rPr>
        <w:t>对开标过程进行记录，并存档备查，</w:t>
      </w:r>
      <w:r>
        <w:rPr>
          <w:rFonts w:hint="eastAsia" w:ascii="宋体" w:hAnsi="宋体" w:eastAsia="宋体" w:cs="宋体"/>
          <w:color w:val="auto"/>
          <w:szCs w:val="21"/>
          <w:highlight w:val="none"/>
          <w:u w:val="single"/>
        </w:rPr>
        <w:t>参加开标会的</w:t>
      </w:r>
      <w:r>
        <w:rPr>
          <w:rFonts w:hint="eastAsia" w:ascii="宋体" w:hAnsi="宋体" w:eastAsia="宋体" w:cs="宋体"/>
          <w:color w:val="auto"/>
          <w:szCs w:val="21"/>
          <w:highlight w:val="none"/>
        </w:rPr>
        <w:t>投标人在</w:t>
      </w:r>
      <w:r>
        <w:rPr>
          <w:rFonts w:hint="eastAsia" w:ascii="宋体" w:hAnsi="宋体" w:eastAsia="宋体" w:cs="宋体"/>
          <w:color w:val="auto"/>
          <w:szCs w:val="21"/>
          <w:highlight w:val="none"/>
          <w:u w:val="single"/>
        </w:rPr>
        <w:t>开标记录</w:t>
      </w:r>
      <w:r>
        <w:rPr>
          <w:rFonts w:hint="eastAsia" w:ascii="宋体" w:hAnsi="宋体" w:eastAsia="宋体" w:cs="宋体"/>
          <w:color w:val="auto"/>
          <w:szCs w:val="21"/>
          <w:highlight w:val="none"/>
        </w:rPr>
        <w:t>上签字。</w:t>
      </w:r>
    </w:p>
    <w:p w14:paraId="64166A26">
      <w:pPr>
        <w:pStyle w:val="20"/>
        <w:pBdr>
          <w:top w:val="single" w:color="auto" w:sz="4" w:space="0"/>
        </w:pBdr>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条款号：42.2</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修改类型：修改</w:t>
      </w:r>
    </w:p>
    <w:p w14:paraId="4AF32AA4">
      <w:pPr>
        <w:spacing w:line="460" w:lineRule="exact"/>
        <w:ind w:firstLine="413" w:firstLineChars="196"/>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42.2评标委员会的组成：方式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6DB7B290">
      <w:pP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方式一：评标委员会为综合评标委员会，负责资格审查及评标工作。</w:t>
      </w:r>
    </w:p>
    <w:p w14:paraId="3B4A281D">
      <w:pPr>
        <w:spacing w:line="460" w:lineRule="exact"/>
        <w:ind w:firstLine="411" w:firstLineChars="196"/>
        <w:rPr>
          <w:rFonts w:hint="eastAsia" w:ascii="宋体" w:hAnsi="宋体" w:cs="宋体"/>
          <w:color w:val="auto"/>
          <w:szCs w:val="21"/>
          <w:highlight w:val="none"/>
        </w:rPr>
      </w:pPr>
      <w:r>
        <w:rPr>
          <w:rFonts w:hint="eastAsia" w:ascii="宋体" w:hAnsi="宋体" w:cs="宋体"/>
          <w:bCs/>
          <w:color w:val="auto"/>
          <w:szCs w:val="21"/>
          <w:highlight w:val="none"/>
        </w:rPr>
        <w:t>方式二：评标委员会由技术评审组和经济评审组组成。其中：资格审查及技术评审由技术评标组负责，经济评审由经济评审组负责。</w:t>
      </w:r>
    </w:p>
    <w:p w14:paraId="26F1A64C">
      <w:pPr>
        <w:pBdr>
          <w:bottom w:val="single" w:color="auto" w:sz="6" w:space="1"/>
        </w:pBdr>
        <w:spacing w:line="460" w:lineRule="exact"/>
        <w:ind w:firstLine="413" w:firstLineChars="196"/>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一：评标委员会为综合评标委员会，负责资格审查及评标工作。评标委员会专家均由广东省综合评标评审专家库随机抽取，评标委员会人数为五人以上单数。</w:t>
      </w:r>
    </w:p>
    <w:p w14:paraId="1F856935">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条款号：43.6                      修改类型：修改</w:t>
      </w:r>
    </w:p>
    <w:p w14:paraId="5C21E78D">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43.6资格审查合格的投标人少于3名的（当N个标段同时招标且不允许兼中时，资格审查合格的投标人少于N+2名），则本项目招标失败。</w:t>
      </w:r>
    </w:p>
    <w:p w14:paraId="1BBCE923">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43.6</w:t>
      </w:r>
      <w:r>
        <w:rPr>
          <w:rFonts w:hint="eastAsia" w:ascii="宋体" w:hAnsi="宋体" w:cs="宋体"/>
          <w:color w:val="auto"/>
          <w:szCs w:val="21"/>
          <w:highlight w:val="none"/>
          <w:u w:val="single"/>
        </w:rPr>
        <w:t>若满足资格审查合格条件（投标人合格条件）的投标人不足3名，则重新招标。</w:t>
      </w:r>
    </w:p>
    <w:p w14:paraId="3948A02F">
      <w:pPr>
        <w:spacing w:line="480" w:lineRule="auto"/>
        <w:ind w:firstLine="525" w:firstLineChars="249"/>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 </w:t>
      </w:r>
      <w:r>
        <w:rPr>
          <w:rFonts w:hint="eastAsia" w:ascii="宋体" w:hAnsi="宋体" w:cs="宋体"/>
          <w:b/>
          <w:color w:val="auto"/>
          <w:szCs w:val="21"/>
          <w:highlight w:val="none"/>
        </w:rPr>
        <w:t>45.2            修改类型：修改</w:t>
      </w:r>
    </w:p>
    <w:p w14:paraId="3235F4F4">
      <w:pPr>
        <w:pStyle w:val="20"/>
        <w:tabs>
          <w:tab w:val="left" w:pos="7380"/>
        </w:tabs>
        <w:snapToGrid w:val="0"/>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 xml:space="preserve"> 45.2按方法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计算评标参考价：</w:t>
      </w:r>
    </w:p>
    <w:p w14:paraId="5B03123A">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14:paraId="1FDF0F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14:paraId="4B7168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14:paraId="58D546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114300" distR="114300">
            <wp:extent cx="381000" cy="447675"/>
            <wp:effectExtent l="0" t="0" r="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11430" b="1143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11430" b="1143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11430" b="1143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11430" b="1143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08F0AE92">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14:paraId="1465C233">
      <w:pPr>
        <w:widowControl/>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ED7E9FC">
      <w:pPr>
        <w:widowControl/>
        <w:snapToGrid w:val="0"/>
        <w:spacing w:line="360" w:lineRule="auto"/>
        <w:ind w:firstLine="420" w:firstLineChars="200"/>
        <w:rPr>
          <w:rFonts w:hint="eastAsia"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5C3818A6">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6F1689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14:paraId="4EAC5E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14:paraId="45B25E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45.3当标价等于评标参考价时得100分，标价每高于评标参考价1%，扣1.5分，每低于评标参考价1%，扣1分，扣至0分为止，得出经济分，精确到小数点后两位。</w:t>
      </w:r>
    </w:p>
    <w:p w14:paraId="66E3BD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49FC8BC5">
      <w:pPr>
        <w:pStyle w:val="20"/>
        <w:tabs>
          <w:tab w:val="left" w:pos="7380"/>
        </w:tabs>
        <w:snapToGrid w:val="0"/>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45.2 经济标评审（适用于</w:t>
      </w:r>
      <w:r>
        <w:rPr>
          <w:rFonts w:hint="eastAsia" w:ascii="宋体" w:hAnsi="宋体" w:cs="宋体"/>
          <w:color w:val="auto"/>
          <w:kern w:val="0"/>
          <w:szCs w:val="21"/>
          <w:highlight w:val="none"/>
        </w:rPr>
        <w:t>不低于</w:t>
      </w:r>
      <w:r>
        <w:rPr>
          <w:rFonts w:hint="eastAsia" w:ascii="宋体" w:hAnsi="宋体" w:eastAsia="宋体" w:cs="宋体"/>
          <w:color w:val="auto"/>
          <w:kern w:val="0"/>
          <w:szCs w:val="21"/>
          <w:highlight w:val="none"/>
        </w:rPr>
        <w:t>成本警戒价的投标人</w:t>
      </w:r>
      <w:r>
        <w:rPr>
          <w:rFonts w:hint="eastAsia" w:ascii="宋体" w:hAnsi="宋体" w:eastAsia="宋体" w:cs="宋体"/>
          <w:color w:val="auto"/>
          <w:szCs w:val="21"/>
          <w:highlight w:val="none"/>
        </w:rPr>
        <w:t>）：</w:t>
      </w:r>
    </w:p>
    <w:p w14:paraId="788ADD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设在[成本警戒价，招标控制价×95%]区间的投标报价数量为G,上述G个投标人的技术标得分由高至低排序，将技术标得分前H名的投标报价的算术平均值作为评标参考价(如G≥10，则H=10；如1≤G&lt;10，则H=G)；若G=0的,则采用成本警戒价与“招标控制价×95%”的算术平均值为评标参考价。</w:t>
      </w:r>
    </w:p>
    <w:p w14:paraId="026EEE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等于评标参考价时得100分，</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每高于评标参考价1%，扣1.5分，每低于评标参考价1%，扣1分，扣至0分为止。得出经济分，精确到小数点后两位。</w:t>
      </w:r>
    </w:p>
    <w:p w14:paraId="74BB0F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45.4计算通过技术标有效性审查的投标人总得分。投标人总得分=</w:t>
      </w:r>
      <w:r>
        <w:rPr>
          <w:rFonts w:hint="eastAsia" w:ascii="宋体" w:hAnsi="宋体" w:cs="宋体"/>
          <w:color w:val="auto"/>
          <w:szCs w:val="21"/>
          <w:highlight w:val="none"/>
          <w:u w:val="single"/>
        </w:rPr>
        <w:t>技术分×技术分权重＋经济分×经济分权重（</w:t>
      </w:r>
      <w:r>
        <w:rPr>
          <w:rFonts w:hint="eastAsia" w:ascii="宋体" w:hAnsi="宋体" w:cs="宋体"/>
          <w:color w:val="auto"/>
          <w:szCs w:val="21"/>
          <w:highlight w:val="none"/>
        </w:rPr>
        <w:t>对于低于成本警戒价的投标人，不再对经济标部分进行评审。</w:t>
      </w:r>
      <w:r>
        <w:rPr>
          <w:rFonts w:hint="eastAsia" w:ascii="宋体" w:hAnsi="宋体" w:cs="宋体"/>
          <w:color w:val="auto"/>
          <w:szCs w:val="21"/>
          <w:highlight w:val="none"/>
          <w:u w:val="single"/>
        </w:rPr>
        <w:t>）</w:t>
      </w:r>
      <w:r>
        <w:rPr>
          <w:rFonts w:hint="eastAsia" w:ascii="宋体" w:hAnsi="宋体" w:cs="宋体"/>
          <w:color w:val="auto"/>
          <w:szCs w:val="21"/>
          <w:highlight w:val="none"/>
        </w:rPr>
        <w:t>。技术、经济得分权重按投标须知前附表的规定执行。总得分四舍五入保留两位小数。</w:t>
      </w:r>
    </w:p>
    <w:p w14:paraId="47498216">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45.5计算方式相同情况下的总得分分数相同的排序方法：总得分相同的投标文件，以技术分高的排前；总得分及技术分均相同的投标文件，以投标总报价低的排前；如仍存在相同情况，则对具有相同情况的投标人，由评标委员会采用记名投票方式，向招标人</w:t>
      </w:r>
      <w:r>
        <w:rPr>
          <w:rFonts w:hint="eastAsia" w:ascii="宋体" w:hAnsi="宋体" w:cs="宋体"/>
          <w:bCs/>
          <w:color w:val="auto"/>
          <w:szCs w:val="21"/>
          <w:highlight w:val="none"/>
          <w:u w:val="single"/>
          <w:lang w:bidi="ar"/>
        </w:rPr>
        <w:t>推荐[3,10]名不排序的合格中标候选人进入定标阶段【不排序，按统一社会信用代码后4位（除校验码外）大小排位，如统一社会信用代码后4位出现字母情况的，字母以“0”进行代替大小排位；如出现后4位（除校验码外）大小一致的，则随机排位。若为联合体投标，按联合体主办方的统一社会信用代码排序】，具体推荐方式详见</w:t>
      </w:r>
      <w:r>
        <w:rPr>
          <w:rFonts w:hint="eastAsia" w:ascii="宋体" w:hAnsi="宋体" w:cs="宋体"/>
          <w:color w:val="auto"/>
          <w:szCs w:val="21"/>
          <w:highlight w:val="none"/>
          <w:u w:val="single"/>
        </w:rPr>
        <w:t>步骤35.13。</w:t>
      </w:r>
    </w:p>
    <w:p w14:paraId="6A1056FD">
      <w:pPr>
        <w:pBdr>
          <w:bottom w:val="single" w:color="auto" w:sz="6" w:space="1"/>
        </w:pBd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u w:val="single"/>
        </w:rPr>
        <w:t>注：记名投票方式确定排序的具体操作步骤为：由评标委员会对出现该情况的投标人采取记名投票的方式确定，按得票数从高到低排列先后次序，以得票数高的排前，根据得票数高低确定排序。</w:t>
      </w:r>
    </w:p>
    <w:p w14:paraId="0FE60F51">
      <w:pPr>
        <w:pBdr>
          <w:top w:val="single" w:color="auto" w:sz="4" w:space="0"/>
        </w:pBdr>
        <w:spacing w:line="460" w:lineRule="exact"/>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条款号：</w:t>
      </w:r>
      <w:r>
        <w:rPr>
          <w:rFonts w:hint="eastAsia" w:ascii="宋体" w:hAnsi="宋体" w:cs="宋体"/>
          <w:b/>
          <w:bCs/>
          <w:color w:val="auto"/>
          <w:kern w:val="0"/>
          <w:szCs w:val="21"/>
          <w:highlight w:val="none"/>
        </w:rPr>
        <w:t>46.2.8</w:t>
      </w:r>
      <w:r>
        <w:rPr>
          <w:rFonts w:hint="eastAsia" w:ascii="宋体" w:hAnsi="宋体" w:cs="宋体"/>
          <w:bCs/>
          <w:color w:val="auto"/>
          <w:kern w:val="0"/>
          <w:szCs w:val="21"/>
          <w:highlight w:val="none"/>
        </w:rPr>
        <w:t xml:space="preserve"> </w:t>
      </w:r>
      <w:r>
        <w:rPr>
          <w:rFonts w:hint="eastAsia" w:ascii="宋体" w:hAnsi="宋体" w:cs="宋体"/>
          <w:color w:val="auto"/>
          <w:kern w:val="0"/>
          <w:szCs w:val="21"/>
          <w:highlight w:val="none"/>
        </w:rPr>
        <w:t xml:space="preserve">           </w:t>
      </w:r>
      <w:r>
        <w:rPr>
          <w:rFonts w:hint="eastAsia" w:ascii="宋体" w:hAnsi="宋体" w:cs="宋体"/>
          <w:b/>
          <w:color w:val="auto"/>
          <w:kern w:val="0"/>
          <w:szCs w:val="21"/>
          <w:highlight w:val="none"/>
        </w:rPr>
        <w:t>修改类型：修改</w:t>
      </w:r>
    </w:p>
    <w:p w14:paraId="07E63D05">
      <w:pP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26BF8AD6">
      <w:pPr>
        <w:spacing w:line="460" w:lineRule="exact"/>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46.2.8按上述修正错误的原则及方法调整或修正投标文件的投标报价，调整后的投标报价对投标人起约束作用。如果投标人不接受修正后的报价，则取消其投标资格。</w:t>
      </w:r>
    </w:p>
    <w:p w14:paraId="1D3DF90E">
      <w:pPr>
        <w:pBdr>
          <w:top w:val="single" w:color="auto" w:sz="4" w:space="0"/>
        </w:pBdr>
        <w:spacing w:line="460" w:lineRule="exact"/>
        <w:ind w:firstLine="424" w:firstLineChars="201"/>
        <w:rPr>
          <w:rFonts w:hint="eastAsia" w:ascii="宋体" w:hAnsi="宋体" w:cs="宋体"/>
          <w:color w:val="auto"/>
          <w:kern w:val="0"/>
          <w:szCs w:val="21"/>
          <w:highlight w:val="none"/>
        </w:rPr>
      </w:pPr>
      <w:r>
        <w:rPr>
          <w:rFonts w:hint="eastAsia" w:ascii="宋体" w:hAnsi="宋体" w:cs="宋体"/>
          <w:b/>
          <w:color w:val="auto"/>
          <w:szCs w:val="21"/>
          <w:highlight w:val="none"/>
        </w:rPr>
        <w:t>条款号：48                      　　修改类型：修改</w:t>
      </w:r>
    </w:p>
    <w:p w14:paraId="6D88423C">
      <w:pPr>
        <w:widowControl/>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14:paraId="1F61E1D3">
      <w:pPr>
        <w:spacing w:line="360" w:lineRule="auto"/>
        <w:ind w:firstLine="472" w:firstLineChars="224"/>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48.</w:t>
      </w:r>
      <w:r>
        <w:rPr>
          <w:rFonts w:hint="eastAsia" w:ascii="宋体" w:hAnsi="宋体" w:cs="宋体"/>
          <w:color w:val="auto"/>
          <w:szCs w:val="21"/>
          <w:highlight w:val="none"/>
          <w:u w:val="single"/>
        </w:rPr>
        <w:t>评标委员会应在通过投标文件经济标有效性审查的投标人中，按步骤35.13确定的投标人排序，</w:t>
      </w:r>
      <w:r>
        <w:rPr>
          <w:rFonts w:hint="eastAsia" w:ascii="宋体" w:hAnsi="宋体" w:cs="宋体"/>
          <w:bCs/>
          <w:color w:val="auto"/>
          <w:szCs w:val="21"/>
          <w:highlight w:val="none"/>
          <w:u w:val="single"/>
          <w:lang w:bidi="ar"/>
        </w:rPr>
        <w:t>推荐[3,10]名不排序的合格中标候选人进入定标阶段【不排序，按统一社会信用代码后4位（除校验码外）大小排位，如统一社会信用代码后4位出现字母情况的，字母以“0”进行代替大小排位；如出现后4位（除校验码外）大小一致的，则随机排位。若为联合体投标，按联合体主办方的统一社会信用代码排序】</w:t>
      </w:r>
      <w:r>
        <w:rPr>
          <w:rFonts w:hint="eastAsia" w:ascii="宋体" w:hAnsi="宋体" w:cs="宋体"/>
          <w:color w:val="auto"/>
          <w:szCs w:val="21"/>
          <w:highlight w:val="none"/>
          <w:u w:val="single"/>
        </w:rPr>
        <w:t>，并编制评标报告。</w:t>
      </w:r>
    </w:p>
    <w:p w14:paraId="09211008">
      <w:pPr>
        <w:pStyle w:val="20"/>
        <w:pBdr>
          <w:top w:val="single" w:color="auto" w:sz="4" w:space="0"/>
        </w:pBdr>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49</w:t>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修改类型：修改</w:t>
      </w:r>
    </w:p>
    <w:p w14:paraId="5470B51B">
      <w:pP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49若通过经济标有效性审查的投标人不足三家，应当依法重新招标。（当N个标段同时招标且不允许兼中时，若有效投标人不足N+2家，应当依法重新招标）</w:t>
      </w:r>
    </w:p>
    <w:p w14:paraId="02E0C17A">
      <w:pPr>
        <w:pBdr>
          <w:bottom w:val="single" w:color="auto" w:sz="6" w:space="1"/>
        </w:pBdr>
        <w:spacing w:line="460" w:lineRule="exact"/>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49若通过经济标有效性审查的投标人不足三家，应当依法重新招标</w:t>
      </w:r>
      <w:r>
        <w:rPr>
          <w:rFonts w:hint="eastAsia" w:ascii="宋体" w:hAnsi="宋体" w:cs="宋体"/>
          <w:bCs/>
          <w:color w:val="auto"/>
          <w:szCs w:val="21"/>
          <w:highlight w:val="none"/>
        </w:rPr>
        <w:t>。</w:t>
      </w:r>
    </w:p>
    <w:p w14:paraId="036B11AF">
      <w:pPr>
        <w:pStyle w:val="20"/>
        <w:pBdr>
          <w:top w:val="single" w:color="auto" w:sz="4" w:space="0"/>
        </w:pBdr>
        <w:spacing w:after="0"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50</w:t>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w:t>
      </w:r>
      <w:r>
        <w:rPr>
          <w:rFonts w:hint="eastAsia" w:ascii="宋体" w:hAnsi="宋体" w:eastAsia="宋体" w:cs="宋体"/>
          <w:bCs/>
          <w:color w:val="auto"/>
          <w:szCs w:val="21"/>
          <w:highlight w:val="none"/>
        </w:rPr>
        <w:t>增加</w:t>
      </w:r>
    </w:p>
    <w:p w14:paraId="3D920812">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现文：50.定标详细规定</w:t>
      </w:r>
    </w:p>
    <w:p w14:paraId="264C6C6E">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如评标委员会推荐的合格中标候选人不足三家，招标人应当依法重新招标，不再进行定标工作。</w:t>
      </w:r>
    </w:p>
    <w:p w14:paraId="5CE8709B">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50.1定标时间和地点</w:t>
      </w:r>
    </w:p>
    <w:p w14:paraId="5C34D06F">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招标人在合格中标候选人公示结束后</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个工作日内在广州交易集团有限公司（广州公共资源交易中心）开展定标工作，招标人按规定程序在投标人须知的时间和地点完成定标工作。</w:t>
      </w:r>
    </w:p>
    <w:p w14:paraId="712D2244">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50.2定标委员会：成员数量为5人，由招标人组建。</w:t>
      </w:r>
    </w:p>
    <w:p w14:paraId="6B8872C7">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50.3监督小组：成员数量为2人或以上，由招标人组建。</w:t>
      </w:r>
    </w:p>
    <w:p w14:paraId="6CA821AB">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50.4定标办法：本次定标采用“方案因素评定法+价格因素评定法+答辩因素评定法”，定标委员会对进入定标阶段的所有合格中标候选人进行综合评审，推荐得分最高的为中标人。如评标委员会推荐的合格中标候选人不足3家，招标人应当依法重新招标，不再进行定标工作。</w:t>
      </w:r>
    </w:p>
    <w:p w14:paraId="09209430">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50.5定标因素：方案因素+价格因素+答辩因素。</w:t>
      </w:r>
    </w:p>
    <w:p w14:paraId="41E19AAD">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50.6定标程序</w:t>
      </w:r>
    </w:p>
    <w:p w14:paraId="06F7C341">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招标人或其委托的招标代理机构应安排1名熟悉情况的工作人员在定标会场担任招标项目负责人，按程序组织定标工作：</w:t>
      </w:r>
    </w:p>
    <w:p w14:paraId="6A0A575F">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50.6.1招标项目负责人宣读定标委员会组建情况及成员名单，宣读定标纪律，签订廉政责任书。</w:t>
      </w:r>
    </w:p>
    <w:p w14:paraId="29C6D1A6">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50.6.2定标工作开始后，定标委员会应推荐一人为定标委员会组长。</w:t>
      </w:r>
    </w:p>
    <w:p w14:paraId="4B6583A1">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50.6.3发放定标辅助资料：招标文件、评标阶段的评标报告、合格的中标候选人提交的投标文件及定标文件。</w:t>
      </w:r>
    </w:p>
    <w:p w14:paraId="1077856B">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50.6.4定标委员会在评标委员会评审的基础上，根据评标阶段的评标报告、合格中标候选人提交的投标文件、定标文件及定标因素对进入定标阶段合格中标候选人进行综合评审。</w:t>
      </w:r>
    </w:p>
    <w:p w14:paraId="544609C0">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50.6.5答辩程序</w:t>
      </w:r>
    </w:p>
    <w:p w14:paraId="1DF0E737">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①答辩签到：招标人或招标代理将《定标会议通知》以邮件送达各合格中标候选人，各合格中标候选人收到邮件后需在《定标会议通知》上盖章后回复邮件。各中标候选人拟派项目负责人、技术负责人组成1-2人的答辩小组；答辩小组须携带本单位法定代表人证明书原件、法定代表人授权委托证明书原件，本人身份证原件到达《定标会议通知》通知的开标室进行签到并递交以U盘为载体的PPT演示文件（如有），签到具体时间以《定标会议通知》为准。签到完成后，拟派答辩小组需签署《答辩纪律》、《答辩人员承诺书》等文件(签署的文件以实际下发的为准)。合格中标候选人拟派答辩小组签到时未能提供本单位法定代表人证明书原件、法定代表人授权委托证明书原件的,或未能在规定的时候内进行签到的，视为放弃答辩。签到时，拟派答辩小组需将其所有通讯设备调成关机或静音状态交招标代理保管，待其答辩完成后退还。</w:t>
      </w:r>
    </w:p>
    <w:p w14:paraId="3DE2E200">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②答辩进场顺序：采用现场答辩形式,按拟派答辩小组签到顺序各自抽取答辩顺序号，按答辩顺序号从小到大依次进场答辩。在规定的签到时间内，如所有合格中标候选人均完成签到后，招标代理即可组织抽取答辩顺序号；在规定的签到时间内如存在合格中标候选人未完成签到的，在签到时间截止后，招标代理组织已完成签到的合格中标候选人抽取答辩顺序。</w:t>
      </w:r>
    </w:p>
    <w:p w14:paraId="4404FC9B">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③答辩人员的要求：答辩的人员在参加答辩时，应向招标人（招标代理）出示身份证原件，招标人（招标代理）核对确认身份无误后再进行答辩。答辩人员未能出示前述证明文件的不予参加答辩环节。</w:t>
      </w:r>
    </w:p>
    <w:p w14:paraId="0E5BA1A6">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④答辩的要点与时限：答辩的要点与时限详见《定标因素表》。1)中标候选人拟派项目答辩小组对项目管理人员配备、施工安全、工期及质量管理，对本项目施工重点和难点的分析和应对措施进行介绍时，可借助广州交易集团有限公司（广州公共资源交易中心）开标室电脑播放事先准备的PPT（如有），并同步至定标室进行介绍。2)答辩小组就本项目接受评标委员会提问并进行问答。</w:t>
      </w:r>
    </w:p>
    <w:p w14:paraId="6C5520E3">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50.6.6将所有定标委员会成员对同一投标人的评分汇总进行算术平均【其中，</w:t>
      </w:r>
      <w:r>
        <w:rPr>
          <w:rFonts w:hint="eastAsia" w:ascii="宋体" w:hAnsi="宋体" w:cs="宋体"/>
          <w:bCs/>
          <w:color w:val="auto"/>
          <w:szCs w:val="21"/>
          <w:highlight w:val="none"/>
          <w:u w:val="single"/>
        </w:rPr>
        <w:t>总得分（100分）=方案因素（50分）+价格因素（20分）+答辩因素（30分）</w:t>
      </w:r>
      <w:r>
        <w:rPr>
          <w:rFonts w:hint="eastAsia" w:ascii="宋体" w:hAnsi="宋体" w:cs="宋体"/>
          <w:bCs/>
          <w:color w:val="auto"/>
          <w:szCs w:val="21"/>
          <w:highlight w:val="none"/>
        </w:rPr>
        <w:t>】，总分由高至低排序，总分最高的为中标人。</w:t>
      </w:r>
    </w:p>
    <w:p w14:paraId="18DB9E87">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注：若合格中标候选人总得分相同且影响定标排序的，以方案因素得分高的排前；若方案因素得分仍相同的，以价格因素得分高的排前，若价格因素得分仍相同的，由定标委员会投票确定排序。</w:t>
      </w:r>
    </w:p>
    <w:p w14:paraId="3C5D5079">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50.6.7定标委员会组长根据评分情况向招标人推荐中标人。</w:t>
      </w:r>
    </w:p>
    <w:p w14:paraId="62E50AF8">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50.6.8编写定标报告，定标委员会全体确认后签署定标报告。定标报告由定标委员会全体成员签字，对定标结论持有异议的成员应以书面方式阐述其不同意见和理由。</w:t>
      </w:r>
    </w:p>
    <w:p w14:paraId="07E2C435">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50.7招标人应当在定标工作完成后3日内公示中标结果。</w:t>
      </w:r>
    </w:p>
    <w:p w14:paraId="218DDF40">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50.8重新评标或定标的，评标信息（含业绩、奖项等）、定标信息仍以投标截止时投标人的信息为准。因特殊原因需要延长投标有效期，投标人拒绝延长投标有效期的，仍参与评标、定标，但不被推荐为合格中标候选人。</w:t>
      </w:r>
    </w:p>
    <w:p w14:paraId="5ABA645A">
      <w:pPr>
        <w:pBdr>
          <w:bottom w:val="single" w:color="auto" w:sz="6" w:space="1"/>
        </w:pBdr>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50.9 在合格中标候选人公示期间或在定标前,如有合格中标候选人放弃中标候选人资格或者被查实存在影响中标候选人资格的违法行为等情形,且合格中标候选人至少有1名的,招标人不再递补其他合格中标候选人，可以继续定标或依法重新招标;如没有合格中标候选人的，则依法重新招标。</w:t>
      </w:r>
    </w:p>
    <w:p w14:paraId="3BA8C330">
      <w:pPr>
        <w:pBdr>
          <w:bottom w:val="single" w:color="auto" w:sz="6" w:space="1"/>
        </w:pBdr>
        <w:spacing w:line="46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50.10在定标后，如中标人放弃中标、或因不可抗力提出不能履行合同，或者不按照招标文件要求提交履约担保的，或经核查发现委派的项目负责人已在其他在建项目中担任本职务的，或者被查实存在影响中标结果的违法行为等情形，招标人有权取消其中标人资格或解除合同，可由原定标委员会根据原定标办法从其他合格中标候选人中重新票决确定中标人，招标人也可以依法重新招标。</w:t>
      </w:r>
    </w:p>
    <w:p w14:paraId="5454D0E4">
      <w:pPr>
        <w:spacing w:line="480" w:lineRule="auto"/>
        <w:ind w:firstLine="470" w:firstLineChars="223"/>
        <w:rPr>
          <w:rFonts w:hint="eastAsia" w:ascii="宋体" w:hAnsi="宋体" w:cs="宋体"/>
          <w:b/>
          <w:color w:val="auto"/>
          <w:szCs w:val="21"/>
          <w:highlight w:val="none"/>
        </w:rPr>
      </w:pPr>
      <w:r>
        <w:rPr>
          <w:rFonts w:hint="eastAsia" w:ascii="宋体" w:hAnsi="宋体" w:cs="宋体"/>
          <w:b/>
          <w:color w:val="auto"/>
          <w:szCs w:val="21"/>
          <w:highlight w:val="none"/>
        </w:rPr>
        <w:t>条款号：附表一：《资格审查表》    附表二：《技术标有效性审查表》   附表三：《经济标有效性审查表》   附表四：《技术标详细审查评分表》             修改类型：修改</w:t>
      </w:r>
    </w:p>
    <w:p w14:paraId="54DEAD78">
      <w:pPr>
        <w:spacing w:line="360" w:lineRule="auto"/>
        <w:ind w:firstLine="470" w:firstLineChars="223"/>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详见原范本附表一：《资格审查表》    附表二：《技术标有效性审查表》   附表三：《经济标有效性审查表》   附表四：《技术标详细审查评分表》。</w:t>
      </w:r>
    </w:p>
    <w:p w14:paraId="7DB1AAFC">
      <w:pP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w:t>
      </w:r>
      <w:r>
        <w:rPr>
          <w:rFonts w:hint="eastAsia" w:ascii="宋体" w:hAnsi="宋体" w:cs="宋体"/>
          <w:color w:val="auto"/>
          <w:szCs w:val="21"/>
          <w:highlight w:val="none"/>
          <w:u w:val="single"/>
        </w:rPr>
        <w:t>附表一：《资格审查表》    附表二：《技术标有效性审查表》   附表三：《经济标有效性审查表》   附表四：《技术标详细审查评分表》。</w:t>
      </w:r>
    </w:p>
    <w:p w14:paraId="23F96FF2">
      <w:pPr>
        <w:pBdr>
          <w:top w:val="single" w:color="auto" w:sz="4" w:space="0"/>
        </w:pBdr>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14:paraId="33486E0F">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（以下无正文）</w:t>
      </w:r>
    </w:p>
    <w:p w14:paraId="7CB2F270">
      <w:pPr>
        <w:pStyle w:val="4"/>
        <w:spacing w:line="360" w:lineRule="auto"/>
        <w:rPr>
          <w:rFonts w:hint="eastAsia"/>
          <w:color w:val="auto"/>
          <w:highlight w:val="none"/>
        </w:rPr>
      </w:pPr>
    </w:p>
    <w:p w14:paraId="780BAD58">
      <w:pPr>
        <w:rPr>
          <w:rFonts w:hint="eastAsia" w:ascii="宋体" w:hAnsi="宋体" w:cs="宋体"/>
          <w:color w:val="auto"/>
          <w:highlight w:val="none"/>
        </w:rPr>
      </w:pPr>
    </w:p>
    <w:p w14:paraId="7305F024">
      <w:pPr>
        <w:rPr>
          <w:rFonts w:hint="eastAsia" w:ascii="宋体" w:hAnsi="宋体" w:cs="宋体"/>
          <w:color w:val="auto"/>
          <w:highlight w:val="none"/>
        </w:rPr>
      </w:pPr>
    </w:p>
    <w:p w14:paraId="45DA99ED">
      <w:pPr>
        <w:spacing w:line="360" w:lineRule="auto"/>
        <w:rPr>
          <w:color w:val="auto"/>
          <w:highlight w:val="none"/>
        </w:rPr>
      </w:pPr>
      <w:bookmarkStart w:id="111" w:name="_Toc3650"/>
      <w:bookmarkStart w:id="112" w:name="_Toc27864"/>
      <w:r>
        <w:rPr>
          <w:rFonts w:hint="eastAsia" w:ascii="宋体" w:hAnsi="宋体" w:cs="宋体"/>
          <w:color w:val="auto"/>
          <w:highlight w:val="none"/>
        </w:rPr>
        <w:br w:type="page"/>
      </w:r>
    </w:p>
    <w:p w14:paraId="6E4FF4E2">
      <w:pPr>
        <w:pStyle w:val="4"/>
        <w:spacing w:line="360" w:lineRule="auto"/>
        <w:rPr>
          <w:rFonts w:hint="eastAsia"/>
          <w:color w:val="auto"/>
          <w:highlight w:val="none"/>
        </w:rPr>
      </w:pPr>
      <w:r>
        <w:rPr>
          <w:rFonts w:hint="eastAsia"/>
          <w:color w:val="auto"/>
          <w:highlight w:val="none"/>
        </w:rPr>
        <w:t>二、开标、评标及定标办法</w:t>
      </w:r>
      <w:r>
        <w:rPr>
          <w:rFonts w:hint="eastAsia"/>
          <w:color w:val="auto"/>
          <w:szCs w:val="30"/>
          <w:highlight w:val="none"/>
        </w:rPr>
        <w:t>通用条款</w:t>
      </w:r>
      <w:bookmarkEnd w:id="101"/>
      <w:bookmarkEnd w:id="102"/>
      <w:bookmarkEnd w:id="103"/>
      <w:bookmarkEnd w:id="104"/>
      <w:bookmarkEnd w:id="105"/>
      <w:bookmarkEnd w:id="106"/>
      <w:bookmarkEnd w:id="107"/>
      <w:bookmarkEnd w:id="108"/>
      <w:bookmarkEnd w:id="109"/>
      <w:bookmarkEnd w:id="110"/>
      <w:bookmarkEnd w:id="111"/>
      <w:bookmarkEnd w:id="112"/>
    </w:p>
    <w:p w14:paraId="0C726F80">
      <w:pPr>
        <w:widowControl/>
        <w:spacing w:before="100" w:beforeAutospacing="1" w:after="100" w:afterAutospacing="1" w:line="360" w:lineRule="auto"/>
        <w:ind w:firstLine="480" w:firstLineChars="200"/>
        <w:jc w:val="left"/>
        <w:outlineLvl w:val="2"/>
        <w:rPr>
          <w:rFonts w:hint="eastAsia" w:ascii="宋体" w:hAnsi="宋体" w:cs="宋体"/>
          <w:color w:val="auto"/>
          <w:kern w:val="0"/>
          <w:sz w:val="24"/>
          <w:szCs w:val="24"/>
          <w:highlight w:val="none"/>
        </w:rPr>
      </w:pPr>
      <w:bookmarkStart w:id="113" w:name="_Toc28877"/>
      <w:bookmarkStart w:id="114" w:name="_Toc19505"/>
      <w:bookmarkStart w:id="115" w:name="_Toc12818"/>
      <w:bookmarkStart w:id="116" w:name="_Toc5586"/>
      <w:bookmarkStart w:id="117" w:name="_Toc18738"/>
      <w:bookmarkStart w:id="118" w:name="_Toc6913"/>
      <w:bookmarkStart w:id="119" w:name="_Toc7160"/>
      <w:bookmarkStart w:id="120" w:name="_Toc2715"/>
      <w:bookmarkStart w:id="121" w:name="_Toc25978"/>
      <w:bookmarkStart w:id="122" w:name="_Toc8675"/>
      <w:bookmarkStart w:id="123" w:name="_Toc58838579"/>
      <w:bookmarkStart w:id="124" w:name="_Toc26526"/>
      <w:bookmarkStart w:id="125" w:name="_Toc6121"/>
      <w:r>
        <w:rPr>
          <w:rFonts w:hint="eastAsia" w:ascii="宋体" w:hAnsi="宋体" w:cs="宋体"/>
          <w:color w:val="auto"/>
          <w:kern w:val="0"/>
          <w:sz w:val="24"/>
          <w:szCs w:val="24"/>
          <w:highlight w:val="none"/>
        </w:rPr>
        <w:t>（一）总则</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1D2C3C79">
      <w:pPr>
        <w:spacing w:line="360" w:lineRule="auto"/>
        <w:ind w:firstLine="480" w:firstLineChars="200"/>
        <w:rPr>
          <w:rFonts w:hint="eastAsia"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45189F8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5CAE143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1D4AE8C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5DD045B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1A0EBB1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422C641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3C09383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《财政部</w:t>
      </w:r>
      <w:r>
        <w:rPr>
          <w:rFonts w:ascii="宋体" w:hAnsi="宋体"/>
          <w:color w:val="auto"/>
          <w:sz w:val="24"/>
          <w:szCs w:val="24"/>
          <w:highlight w:val="none"/>
        </w:rPr>
        <w:t> </w:t>
      </w:r>
      <w:r>
        <w:rPr>
          <w:rFonts w:hint="eastAsia" w:ascii="宋体" w:hAnsi="宋体"/>
          <w:color w:val="auto"/>
          <w:sz w:val="24"/>
          <w:szCs w:val="24"/>
          <w:highlight w:val="none"/>
        </w:rPr>
        <w:t>工业和信息化部关于印发〈政府采购促进中小企业发展管理办法〉的通知》（财库〔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z w:val="24"/>
          <w:szCs w:val="24"/>
          <w:highlight w:val="none"/>
        </w:rPr>
        <w:t>号）；</w:t>
      </w:r>
    </w:p>
    <w:p w14:paraId="48BEC96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8《广东省加强建设工程招标投标监督管理的若干规定》（粤发[2004]4号）；</w:t>
      </w:r>
    </w:p>
    <w:p w14:paraId="5A42824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35.9</w:t>
      </w:r>
      <w:r>
        <w:rPr>
          <w:rFonts w:hint="eastAsia" w:ascii="宋体" w:hAnsi="宋体"/>
          <w:color w:val="auto"/>
          <w:sz w:val="24"/>
          <w:szCs w:val="24"/>
          <w:highlight w:val="none"/>
        </w:rPr>
        <w:t>《广东省政府采购促进中小企业发展实施细则（试行）》</w:t>
      </w:r>
    </w:p>
    <w:p w14:paraId="448D17F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10《广州市工程建设项目招标投标管理办法》（穗建规字〔2023〕12号）；</w:t>
      </w:r>
    </w:p>
    <w:p w14:paraId="73DE2D3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2D79447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35.12本项目招标文件。</w:t>
      </w:r>
    </w:p>
    <w:p w14:paraId="2044469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36．开标</w:t>
      </w:r>
    </w:p>
    <w:p w14:paraId="76552C5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14:paraId="3C93718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36.2 招标人在招标文件要求提交投标文件的截止时间前收到的投标文件，开标时都当众予以解密、公布。</w:t>
      </w:r>
    </w:p>
    <w:p w14:paraId="7F782DF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0889E0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36.4若递交投标文件的投标人不足3家，则重新组织招标。（当N个标段同时招标且不允许兼中时，若有效投标人不足N+2家，则重新组织招标）</w:t>
      </w:r>
    </w:p>
    <w:p w14:paraId="5423FE1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36.5按下列程序进行开标：</w:t>
      </w:r>
    </w:p>
    <w:p w14:paraId="03D86A8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207B047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36.5.2备用光盘的读取按投标须知前附表第36项的规定执行；</w:t>
      </w:r>
    </w:p>
    <w:p w14:paraId="2A676A7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36.5.3投标人代表、招标人代表、监标人、记录人等有关人员在开标记录上签字确认；若有关人员不签字的，不影响开标程序；</w:t>
      </w:r>
    </w:p>
    <w:p w14:paraId="5C6C9FF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36.5.4开标结束。</w:t>
      </w:r>
    </w:p>
    <w:p w14:paraId="4E4191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4838C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36.7开标时，两个（含两个）以上的投标人加密打包投标文件电脑机器特征码一致的，不参与下一程序，并由评标委员会否决其投标。</w:t>
      </w:r>
    </w:p>
    <w:p w14:paraId="05A5ED0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37．评标</w:t>
      </w:r>
    </w:p>
    <w:p w14:paraId="4983B68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37.1评标委员会由招标人依法组建。</w:t>
      </w:r>
    </w:p>
    <w:p w14:paraId="5CFD6833">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37.2评标委员会</w:t>
      </w:r>
      <w:r>
        <w:rPr>
          <w:rFonts w:hint="eastAsia" w:ascii="宋体" w:hAnsi="宋体"/>
          <w:b/>
          <w:bCs/>
          <w:color w:val="auto"/>
          <w:sz w:val="24"/>
          <w:szCs w:val="24"/>
          <w:highlight w:val="none"/>
        </w:rPr>
        <w:t>在开始评标前，应了解评标专家</w:t>
      </w:r>
      <w:r>
        <w:rPr>
          <w:rFonts w:ascii="宋体" w:hAnsi="宋体"/>
          <w:b/>
          <w:bCs/>
          <w:color w:val="auto"/>
          <w:sz w:val="24"/>
          <w:szCs w:val="24"/>
          <w:highlight w:val="none"/>
        </w:rPr>
        <w:t>的职责及守则</w:t>
      </w:r>
      <w:r>
        <w:rPr>
          <w:rFonts w:hint="eastAsia" w:ascii="宋体" w:hAnsi="宋体"/>
          <w:b/>
          <w:bCs/>
          <w:color w:val="auto"/>
          <w:sz w:val="24"/>
          <w:szCs w:val="24"/>
          <w:highlight w:val="none"/>
        </w:rPr>
        <w:t>，认真阅读附件</w:t>
      </w:r>
      <w:r>
        <w:rPr>
          <w:rFonts w:ascii="宋体" w:hAnsi="宋体"/>
          <w:b/>
          <w:bCs/>
          <w:color w:val="auto"/>
          <w:sz w:val="24"/>
          <w:szCs w:val="24"/>
          <w:highlight w:val="none"/>
        </w:rPr>
        <w:t>1《</w:t>
      </w:r>
      <w:r>
        <w:rPr>
          <w:rFonts w:hint="eastAsia" w:ascii="宋体" w:hAnsi="宋体"/>
          <w:b/>
          <w:bCs/>
          <w:color w:val="auto"/>
          <w:sz w:val="24"/>
          <w:szCs w:val="24"/>
          <w:highlight w:val="none"/>
        </w:rPr>
        <w:t>评标委员会成员声明》的内容并签名，签字后方可进行评标。</w:t>
      </w:r>
    </w:p>
    <w:p w14:paraId="0093579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37.3评标委员会的职责及守则：</w:t>
      </w:r>
    </w:p>
    <w:p w14:paraId="2F94781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6DCF558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46112593">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1ADB4E7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6A5F2CA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6041370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40E89CA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36CF54D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4AF78F1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1638E89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37.3.4.6 必须严谨、不得随意马虎。</w:t>
      </w:r>
    </w:p>
    <w:p w14:paraId="203F4857">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6C6EB87">
      <w:pPr>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37.5评标结束后，评标委员会递交评标报告并依法推荐中标候选人。</w:t>
      </w:r>
    </w:p>
    <w:p w14:paraId="08465D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38．投标文件的澄清</w:t>
      </w:r>
    </w:p>
    <w:p w14:paraId="0E717DF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32FA0E7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3E09219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38.3 评标委员会或评标委员会专业评审组成员均应当阅读投标人的澄清，但应独立参考澄清对投标文件进行评审。</w:t>
      </w:r>
    </w:p>
    <w:p w14:paraId="7F59EF6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3842049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7B68A9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39．定标</w:t>
      </w:r>
    </w:p>
    <w:p w14:paraId="10EFA11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39.1 招标人根据评标委员会递交的评标报告，最终审定中标人。</w:t>
      </w:r>
    </w:p>
    <w:p w14:paraId="5404C2B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39.2 依法必须进行公开招标的项目，招标人应当确定排名第一的中标候选人为中标人。</w:t>
      </w:r>
    </w:p>
    <w:p w14:paraId="55AE662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1E92D70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02507C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64D02946">
      <w:pPr>
        <w:widowControl/>
        <w:spacing w:before="100" w:beforeAutospacing="1" w:after="100" w:afterAutospacing="1" w:line="360" w:lineRule="auto"/>
        <w:ind w:firstLine="480" w:firstLineChars="200"/>
        <w:jc w:val="left"/>
        <w:outlineLvl w:val="2"/>
        <w:rPr>
          <w:rFonts w:hint="eastAsia" w:ascii="宋体" w:hAnsi="宋体" w:cs="宋体"/>
          <w:color w:val="auto"/>
          <w:kern w:val="0"/>
          <w:sz w:val="24"/>
          <w:szCs w:val="24"/>
          <w:highlight w:val="none"/>
        </w:rPr>
      </w:pPr>
      <w:bookmarkStart w:id="126" w:name="_Toc19728"/>
      <w:bookmarkStart w:id="127" w:name="_Toc8629"/>
      <w:bookmarkStart w:id="128" w:name="_Toc15216"/>
      <w:bookmarkStart w:id="129" w:name="_Toc2984"/>
      <w:bookmarkStart w:id="130" w:name="_Toc58838580"/>
      <w:bookmarkStart w:id="131" w:name="_Toc19268"/>
      <w:bookmarkStart w:id="132" w:name="_Toc4188"/>
      <w:bookmarkStart w:id="133" w:name="_Toc8499"/>
      <w:bookmarkStart w:id="134" w:name="_Toc5324"/>
      <w:bookmarkStart w:id="135" w:name="_Toc20104"/>
      <w:bookmarkStart w:id="136" w:name="_Toc7154"/>
      <w:bookmarkStart w:id="137" w:name="_Toc22948"/>
      <w:bookmarkStart w:id="138" w:name="_Toc17417"/>
      <w:r>
        <w:rPr>
          <w:rFonts w:hint="eastAsia" w:ascii="宋体" w:hAnsi="宋体" w:cs="宋体"/>
          <w:color w:val="auto"/>
          <w:kern w:val="0"/>
          <w:sz w:val="24"/>
          <w:szCs w:val="24"/>
          <w:highlight w:val="none"/>
        </w:rPr>
        <w:t>（二）开标评标办法程序和细则</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20CC3EB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注：以下八种评标办法所述企业综合诚信评价分数即投标截止当日广州市工程招标行业协会网站上公布的企业综合诚信评价60日诚信分。</w:t>
      </w:r>
    </w:p>
    <w:p w14:paraId="568FE779">
      <w:pPr>
        <w:pStyle w:val="5"/>
        <w:spacing w:line="360" w:lineRule="auto"/>
        <w:rPr>
          <w:rFonts w:hint="eastAsia" w:cs="宋体"/>
          <w:color w:val="auto"/>
          <w:highlight w:val="none"/>
        </w:rPr>
      </w:pPr>
      <w:bookmarkStart w:id="139" w:name="_Toc6023"/>
      <w:bookmarkStart w:id="140" w:name="_Toc60070611"/>
      <w:bookmarkStart w:id="141" w:name="_Toc17752"/>
      <w:bookmarkStart w:id="142" w:name="_Toc24407"/>
      <w:bookmarkStart w:id="143" w:name="_Toc140617521"/>
      <w:bookmarkStart w:id="144" w:name="_Toc9203"/>
      <w:bookmarkStart w:id="145" w:name="_Toc3298"/>
      <w:bookmarkStart w:id="146" w:name="_Toc47440894"/>
      <w:bookmarkStart w:id="147" w:name="_Toc878"/>
      <w:bookmarkStart w:id="148" w:name="_Toc2150"/>
      <w:bookmarkStart w:id="149" w:name="_Toc4110"/>
      <w:bookmarkStart w:id="150" w:name="_Toc58838581"/>
      <w:bookmarkStart w:id="151" w:name="_Toc18116"/>
      <w:bookmarkStart w:id="152" w:name="_Toc21525509"/>
      <w:bookmarkStart w:id="153" w:name="_Toc17908"/>
      <w:bookmarkStart w:id="154" w:name="_Toc32114"/>
      <w:bookmarkStart w:id="155" w:name="_Toc189"/>
      <w:bookmarkStart w:id="156" w:name="_Toc11583"/>
      <w:bookmarkStart w:id="157" w:name="_Toc2272564"/>
      <w:r>
        <w:rPr>
          <w:rFonts w:hint="eastAsia" w:cs="宋体"/>
          <w:color w:val="auto"/>
          <w:highlight w:val="none"/>
        </w:rPr>
        <w:t>可选办法七（适合综合评分法四，技术标与经济标同时开启）</w:t>
      </w:r>
      <w:bookmarkEnd w:id="139"/>
      <w:bookmarkEnd w:id="140"/>
      <w:bookmarkEnd w:id="141"/>
      <w:bookmarkEnd w:id="142"/>
      <w:bookmarkEnd w:id="143"/>
      <w:bookmarkEnd w:id="144"/>
      <w:bookmarkEnd w:id="145"/>
      <w:bookmarkEnd w:id="146"/>
      <w:bookmarkEnd w:id="147"/>
      <w:bookmarkEnd w:id="148"/>
      <w:bookmarkEnd w:id="149"/>
      <w:bookmarkEnd w:id="150"/>
    </w:p>
    <w:p w14:paraId="69AFEEB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40．开标和评标程序</w:t>
      </w:r>
    </w:p>
    <w:p w14:paraId="1D66A41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40.1技术标（含资格审查文件）与经济标投标文件同时公开开标；</w:t>
      </w:r>
    </w:p>
    <w:p w14:paraId="05B1377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40.2由评标委员会对所有已公开开标的投标人进行资格审查；</w:t>
      </w:r>
    </w:p>
    <w:p w14:paraId="7AA9531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40.3技术标投标文件有效性审查；</w:t>
      </w:r>
    </w:p>
    <w:p w14:paraId="4CE4FC5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40.4技术标详细审查评分；</w:t>
      </w:r>
    </w:p>
    <w:p w14:paraId="07B2240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40.5经济标详细审查评分； </w:t>
      </w:r>
    </w:p>
    <w:p w14:paraId="581CC26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40.6评标委员会按照投标人总得分由高至低排序；</w:t>
      </w:r>
    </w:p>
    <w:p w14:paraId="625B13E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40.7经济标投标文件有效性审查；</w:t>
      </w:r>
    </w:p>
    <w:p w14:paraId="5B16817E">
      <w:pPr>
        <w:snapToGrid w:val="0"/>
        <w:spacing w:line="360" w:lineRule="auto"/>
        <w:ind w:firstLine="480" w:firstLineChars="200"/>
        <w:rPr>
          <w:rFonts w:hint="eastAsia" w:ascii="宋体" w:hAnsi="宋体" w:cs="宋体"/>
          <w:color w:val="auto"/>
          <w:szCs w:val="21"/>
          <w:highlight w:val="none"/>
        </w:rPr>
      </w:pPr>
      <w:r>
        <w:rPr>
          <w:rFonts w:hint="eastAsia" w:ascii="宋体" w:hAnsi="宋体" w:cs="宋体"/>
          <w:color w:val="auto"/>
          <w:sz w:val="24"/>
          <w:szCs w:val="24"/>
          <w:highlight w:val="none"/>
        </w:rPr>
        <w:t>40.8评标委员会按排序向招标人推荐中标候选人名单，并递交资格审查报告及评标报告。</w:t>
      </w:r>
    </w:p>
    <w:p w14:paraId="0972A80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41．开标细则</w:t>
      </w:r>
    </w:p>
    <w:p w14:paraId="0EA5B61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41.1开标由招标人主持；</w:t>
      </w:r>
    </w:p>
    <w:p w14:paraId="06467EA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 细则</w:t>
      </w:r>
    </w:p>
    <w:p w14:paraId="5974686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41.2.1投标截止期前，各投标人递交投标文件（包括技术标投标文件、经济标投标文件）至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交易平台。有关投标文件提交的事项详见第一章投标须知。 </w:t>
      </w:r>
    </w:p>
    <w:p w14:paraId="61D75FE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41.2.2开标前，首先由招标人随机抽取确定该工程计算评标参考价的等分点值X。</w:t>
      </w:r>
    </w:p>
    <w:p w14:paraId="1E86611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4471F6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41.2.4按36.5.1的规定完成解密后，公布下列内容，并予以记录，记录提交评标委员会评审： </w:t>
      </w:r>
    </w:p>
    <w:p w14:paraId="578C4B7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41.2.4.1开标时，公布：a、投标人名称；b、</w:t>
      </w:r>
      <w:r>
        <w:rPr>
          <w:rFonts w:hint="eastAsia" w:ascii="宋体" w:hAnsi="宋体" w:cs="宋体"/>
          <w:color w:val="auto"/>
          <w:sz w:val="24"/>
          <w:highlight w:val="none"/>
        </w:rPr>
        <w:t>投标文件</w:t>
      </w:r>
      <w:r>
        <w:rPr>
          <w:rFonts w:hint="eastAsia" w:ascii="宋体" w:hAnsi="宋体" w:cs="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3C37218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41.3招标人对开标过程进行记录，并存档备查，投标人在技术标开标记录上签字。</w:t>
      </w:r>
    </w:p>
    <w:p w14:paraId="2A0D9B4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41.4 招标人将上述符合要求的投标文件，送至评标委员会进行评审。</w:t>
      </w:r>
    </w:p>
    <w:p w14:paraId="670A897F">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 资格审查及评标细则</w:t>
      </w:r>
    </w:p>
    <w:p w14:paraId="1A49A867">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42.1资格审查及评标均由招标人依法组建的评标委员会负责。</w:t>
      </w:r>
    </w:p>
    <w:p w14:paraId="16CE340A">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42.2评标委员会的组成：方式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FAF151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14:paraId="7AC8C255">
      <w:pPr>
        <w:tabs>
          <w:tab w:val="left" w:pos="7380"/>
        </w:tabs>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14:paraId="02D432E4">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43．投标人资格审查</w:t>
      </w:r>
    </w:p>
    <w:p w14:paraId="21B0F99F">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D65035C">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43.2汇总资格审查情况，编写资格审查报告。</w:t>
      </w:r>
    </w:p>
    <w:p w14:paraId="473EAC8D">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43.3资格审查不合格的投标文件不参加下一阶段的评标，不参与评标参考价的计算。</w:t>
      </w:r>
    </w:p>
    <w:p w14:paraId="4A6E65AE">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083F907E">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43.5资审合格后，投标人的资格发生变化而不满足投标人合格条件，在发出中标通知书前，资格问题仍未解决的，招标人将取消其中标资格。</w:t>
      </w:r>
    </w:p>
    <w:p w14:paraId="0996E1CE">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43.6资格审查合格的投标人少于3名的（当N个标段同时招标且不允许兼中时，资格审查合格的投标人少于N+2名），则本项目招标失败。</w:t>
      </w:r>
    </w:p>
    <w:p w14:paraId="7C615FDE">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44．技术标评审</w:t>
      </w:r>
    </w:p>
    <w:p w14:paraId="3EA7C527">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5434C99">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41DE64D8">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45．经济标评审和得分汇总</w:t>
      </w:r>
    </w:p>
    <w:p w14:paraId="0BCF9574">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45.1若通过技术标有效性审查的投标人中有投标报价均大于等于最高投标限价，则本项目招标失败，由招标人依法重新招标。</w:t>
      </w:r>
    </w:p>
    <w:p w14:paraId="35A53498">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45.2计算评标参考价：</w:t>
      </w:r>
    </w:p>
    <w:p w14:paraId="1DDF8091">
      <w:pPr>
        <w:widowControl/>
        <w:spacing w:line="360" w:lineRule="auto"/>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区间抽取法</w:t>
      </w:r>
    </w:p>
    <w:p w14:paraId="2253E9E2">
      <w:pPr>
        <w:widowControl/>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8404737">
      <w:pPr>
        <w:widowControl/>
        <w:snapToGrid w:val="0"/>
        <w:spacing w:line="360" w:lineRule="auto"/>
        <w:ind w:firstLine="480" w:firstLineChars="200"/>
        <w:rPr>
          <w:rFonts w:hint="eastAsia" w:ascii="宋体" w:hAnsi="宋体" w:cs="宋体"/>
          <w:color w:val="auto"/>
          <w:kern w:val="0"/>
          <w:sz w:val="24"/>
          <w:szCs w:val="24"/>
          <w:highlight w:val="none"/>
          <w:vertAlign w:val="subscript"/>
        </w:rPr>
      </w:pPr>
      <w:r>
        <w:rPr>
          <w:rFonts w:hint="eastAsia" w:ascii="宋体" w:hAnsi="宋体" w:cs="宋体"/>
          <w:color w:val="auto"/>
          <w:kern w:val="0"/>
          <w:sz w:val="24"/>
          <w:szCs w:val="24"/>
          <w:highlight w:val="none"/>
        </w:rPr>
        <w:t>评标参考价=（Q</w:t>
      </w:r>
      <w:r>
        <w:rPr>
          <w:rFonts w:hint="eastAsia" w:ascii="宋体" w:hAnsi="宋体" w:cs="宋体"/>
          <w:color w:val="auto"/>
          <w:kern w:val="0"/>
          <w:sz w:val="24"/>
          <w:szCs w:val="24"/>
          <w:highlight w:val="none"/>
          <w:vertAlign w:val="subscript"/>
        </w:rPr>
        <w:t>高</w:t>
      </w: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低</w:t>
      </w:r>
      <w:r>
        <w:rPr>
          <w:rFonts w:hint="eastAsia" w:ascii="宋体" w:hAnsi="宋体" w:cs="宋体"/>
          <w:color w:val="auto"/>
          <w:kern w:val="0"/>
          <w:sz w:val="24"/>
          <w:szCs w:val="24"/>
          <w:highlight w:val="none"/>
        </w:rPr>
        <w:t>）/100*Ｘ+Q</w:t>
      </w:r>
      <w:r>
        <w:rPr>
          <w:rFonts w:hint="eastAsia" w:ascii="宋体" w:hAnsi="宋体" w:cs="宋体"/>
          <w:color w:val="auto"/>
          <w:kern w:val="0"/>
          <w:sz w:val="24"/>
          <w:szCs w:val="24"/>
          <w:highlight w:val="none"/>
          <w:vertAlign w:val="subscript"/>
        </w:rPr>
        <w:t>低</w:t>
      </w:r>
    </w:p>
    <w:p w14:paraId="24F8C0BB">
      <w:pPr>
        <w:widowControl/>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低</w:t>
      </w:r>
      <w:r>
        <w:rPr>
          <w:rFonts w:hint="eastAsia" w:ascii="宋体" w:hAnsi="宋体" w:cs="宋体"/>
          <w:color w:val="auto"/>
          <w:sz w:val="24"/>
          <w:szCs w:val="24"/>
          <w:highlight w:val="none"/>
        </w:rPr>
        <w:t>：为达到或超过技术标及格分数线的投标人最低报价与工程成本警示价两者中的较高值；</w:t>
      </w:r>
    </w:p>
    <w:p w14:paraId="76067EC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高</w:t>
      </w:r>
      <w:r>
        <w:rPr>
          <w:rFonts w:hint="eastAsia" w:ascii="宋体" w:hAnsi="宋体" w:cs="宋体"/>
          <w:color w:val="auto"/>
          <w:sz w:val="24"/>
          <w:szCs w:val="24"/>
          <w:highlight w:val="none"/>
        </w:rPr>
        <w:t>：为最高投标限价</w:t>
      </w:r>
    </w:p>
    <w:p w14:paraId="723B798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X:为等分点值，从[0,100]整数中随机抽取</w:t>
      </w:r>
    </w:p>
    <w:p w14:paraId="6EB12D9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当标价等于评标参考价时得100分，标价每高于评标参考价1%，扣1.5分，每低于评标参考价1%，扣1分，扣至0分为止，得出经济分，精确到小数点后两位。</w:t>
      </w:r>
    </w:p>
    <w:p w14:paraId="1E2EF112">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09E2F2B8">
      <w:pPr>
        <w:tabs>
          <w:tab w:val="left" w:pos="738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46.经济标的有效性审查</w:t>
      </w:r>
    </w:p>
    <w:p w14:paraId="628632A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151A77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46.2经济标的算术校核。评标委员会对进行经济标有效性审查的投标文件投标报价按照就低不就高的原则进行算术校核，具体标准如下：</w:t>
      </w:r>
    </w:p>
    <w:p w14:paraId="4491D9D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46.2.1如果数字表示的金额和用文字表示的金额不一致时，应以文字表示的金额为准；</w:t>
      </w:r>
    </w:p>
    <w:p w14:paraId="2A5FF37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46.2.2经算术复核的投标人报价与其投标报价不一致时，按就低不就高原则确定其最终报价；</w:t>
      </w:r>
    </w:p>
    <w:p w14:paraId="3E0CD41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D31030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46.2.4当合价、金额累加错误时，按就低不就高原则，如果累加修正值小于原累加值，则按累加修正值；如果累加修正值大于原累加值，则按原累加值；</w:t>
      </w:r>
    </w:p>
    <w:p w14:paraId="2C4DA50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46.2.5如果投标人的有关规费、暂列金额、暂估价、绿色施工安全防护措施费等未按招标文件规定的金额填写的，由评标委员会按照招标文件规定的金额进行修正；</w:t>
      </w:r>
    </w:p>
    <w:p w14:paraId="39C162C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4AF62BB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14:paraId="60F85F7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3372B9A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3495E0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14:paraId="40A970B6">
      <w:pPr>
        <w:spacing w:line="360" w:lineRule="auto"/>
        <w:ind w:firstLine="480" w:firstLineChars="200"/>
        <w:rPr>
          <w:rFonts w:hint="eastAsia" w:ascii="宋体" w:hAnsi="宋体" w:cs="宋体"/>
          <w:strike/>
          <w:color w:val="auto"/>
          <w:szCs w:val="21"/>
          <w:highlight w:val="none"/>
        </w:rPr>
      </w:pPr>
      <w:r>
        <w:rPr>
          <w:rFonts w:hint="eastAsia" w:ascii="宋体" w:hAnsi="宋体" w:cs="宋体"/>
          <w:color w:val="auto"/>
          <w:sz w:val="24"/>
          <w:szCs w:val="24"/>
          <w:highlight w:val="none"/>
        </w:rPr>
        <w:t>49.若通过经济标有效性审查的投标人不足三家，应当依法重新招标。（当N个标段同时招标且不允许兼中时，若有效投标人不足N+2家，应当依法重新招标）</w:t>
      </w:r>
    </w:p>
    <w:bookmarkEnd w:id="151"/>
    <w:bookmarkEnd w:id="152"/>
    <w:bookmarkEnd w:id="153"/>
    <w:bookmarkEnd w:id="154"/>
    <w:bookmarkEnd w:id="155"/>
    <w:bookmarkEnd w:id="156"/>
    <w:bookmarkEnd w:id="157"/>
    <w:p w14:paraId="3F55D01B">
      <w:pPr>
        <w:rPr>
          <w:rFonts w:hint="eastAsia" w:ascii="宋体" w:hAnsi="宋体" w:cs="宋体"/>
          <w:color w:val="auto"/>
          <w:sz w:val="24"/>
          <w:szCs w:val="24"/>
          <w:highlight w:val="none"/>
        </w:rPr>
      </w:pPr>
    </w:p>
    <w:p w14:paraId="5A1D7B6A">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38148905">
      <w:pPr>
        <w:rPr>
          <w:rFonts w:hint="eastAsia" w:ascii="宋体" w:hAnsi="宋体" w:cs="宋体"/>
          <w:color w:val="auto"/>
          <w:sz w:val="32"/>
          <w:szCs w:val="32"/>
          <w:highlight w:val="none"/>
        </w:rPr>
      </w:pPr>
      <w:r>
        <w:rPr>
          <w:rFonts w:hint="eastAsia" w:ascii="宋体" w:hAnsi="宋体" w:cs="宋体"/>
          <w:color w:val="auto"/>
          <w:sz w:val="32"/>
          <w:szCs w:val="32"/>
          <w:highlight w:val="none"/>
        </w:rPr>
        <w:t>附件1</w:t>
      </w:r>
    </w:p>
    <w:p w14:paraId="06D953CB">
      <w:pPr>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14:paraId="5A705774">
      <w:pPr>
        <w:spacing w:line="360" w:lineRule="auto"/>
        <w:rPr>
          <w:rFonts w:hint="eastAsia" w:ascii="宋体" w:hAnsi="宋体" w:cs="宋体"/>
          <w:color w:val="auto"/>
          <w:sz w:val="24"/>
          <w:szCs w:val="24"/>
          <w:highlight w:val="none"/>
        </w:rPr>
      </w:pPr>
      <w:r>
        <w:rPr>
          <w:rFonts w:ascii="宋体" w:hAnsi="宋体" w:cs="宋体"/>
          <w:color w:val="auto"/>
          <w:sz w:val="32"/>
          <w:szCs w:val="32"/>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本项目招标人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2D7ECA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本人就参与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项目的评标工作，作出郑重声明：</w:t>
      </w:r>
    </w:p>
    <w:p w14:paraId="509DE77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4C6315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260111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A7CF04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619D75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866E36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如果本人违反上述声明内容，造成的后果由本人自行承担。</w:t>
      </w:r>
    </w:p>
    <w:p w14:paraId="3E2E7BC6">
      <w:pPr>
        <w:spacing w:line="360" w:lineRule="auto"/>
        <w:ind w:firstLine="480" w:firstLineChars="200"/>
        <w:rPr>
          <w:rFonts w:hint="eastAsia" w:ascii="宋体" w:hAnsi="宋体" w:cs="宋体"/>
          <w:color w:val="auto"/>
          <w:sz w:val="24"/>
          <w:szCs w:val="24"/>
          <w:highlight w:val="none"/>
        </w:rPr>
      </w:pPr>
    </w:p>
    <w:p w14:paraId="184F2BDB">
      <w:pPr>
        <w:spacing w:line="360" w:lineRule="auto"/>
        <w:rPr>
          <w:rFonts w:hint="eastAsia" w:ascii="宋体" w:hAnsi="宋体" w:cs="宋体"/>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声明人：</w:t>
      </w:r>
      <w:r>
        <w:rPr>
          <w:rFonts w:hint="eastAsia" w:ascii="宋体" w:hAnsi="宋体" w:cs="宋体"/>
          <w:color w:val="auto"/>
          <w:sz w:val="24"/>
          <w:szCs w:val="24"/>
          <w:highlight w:val="none"/>
          <w:u w:val="single"/>
        </w:rPr>
        <w:t>（签名）</w:t>
      </w:r>
      <w:r>
        <w:rPr>
          <w:rFonts w:ascii="宋体" w:hAnsi="宋体" w:cs="宋体"/>
          <w:color w:val="auto"/>
          <w:sz w:val="24"/>
          <w:szCs w:val="24"/>
          <w:highlight w:val="none"/>
          <w:u w:val="single"/>
        </w:rPr>
        <w:t xml:space="preserve">  </w:t>
      </w:r>
    </w:p>
    <w:p w14:paraId="30522AA1">
      <w:pPr>
        <w:spacing w:line="360" w:lineRule="auto"/>
        <w:rPr>
          <w:rFonts w:hint="eastAsia" w:ascii="宋体" w:hAnsi="宋体" w:cs="宋体"/>
          <w:color w:val="auto"/>
          <w:sz w:val="24"/>
          <w:szCs w:val="24"/>
          <w:highlight w:val="none"/>
        </w:rPr>
        <w:sectPr>
          <w:footerReference r:id="rId7" w:type="first"/>
          <w:headerReference r:id="rId3" w:type="default"/>
          <w:footerReference r:id="rId5" w:type="default"/>
          <w:headerReference r:id="rId4" w:type="even"/>
          <w:footerReference r:id="rId6" w:type="even"/>
          <w:endnotePr>
            <w:numFmt w:val="decimal"/>
          </w:endnotePr>
          <w:pgSz w:w="11906" w:h="16838"/>
          <w:pgMar w:top="1440" w:right="1080" w:bottom="1440" w:left="1080" w:header="851" w:footer="907" w:gutter="0"/>
          <w:pgNumType w:start="1"/>
          <w:cols w:space="720" w:num="1"/>
          <w:titlePg/>
          <w:docGrid w:type="lines" w:linePitch="312" w:charSpace="0"/>
        </w:sectPr>
      </w:pPr>
    </w:p>
    <w:p w14:paraId="5B3A338F">
      <w:pPr>
        <w:pStyle w:val="4"/>
        <w:spacing w:line="360" w:lineRule="auto"/>
        <w:jc w:val="left"/>
        <w:rPr>
          <w:rFonts w:hint="eastAsia"/>
          <w:color w:val="auto"/>
          <w:highlight w:val="none"/>
        </w:rPr>
      </w:pPr>
      <w:bookmarkStart w:id="158" w:name="_Toc7589"/>
      <w:bookmarkStart w:id="159" w:name="_Toc17701"/>
      <w:bookmarkStart w:id="160" w:name="_Toc1088"/>
      <w:bookmarkStart w:id="161" w:name="_Toc22428"/>
      <w:bookmarkStart w:id="162" w:name="_Toc30615"/>
      <w:bookmarkStart w:id="163" w:name="_Toc25920"/>
      <w:bookmarkStart w:id="164" w:name="_Toc8409"/>
      <w:bookmarkStart w:id="165" w:name="_Toc27041"/>
      <w:bookmarkStart w:id="166" w:name="_Toc4199"/>
      <w:bookmarkStart w:id="167" w:name="_Toc9611"/>
      <w:bookmarkStart w:id="168" w:name="_Toc7613"/>
      <w:bookmarkStart w:id="169" w:name="_Toc7031"/>
      <w:r>
        <w:rPr>
          <w:rFonts w:hint="eastAsia"/>
          <w:color w:val="auto"/>
          <w:highlight w:val="none"/>
        </w:rPr>
        <w:t>附表一</w:t>
      </w:r>
      <w:bookmarkEnd w:id="158"/>
      <w:bookmarkEnd w:id="159"/>
      <w:bookmarkEnd w:id="160"/>
      <w:bookmarkEnd w:id="161"/>
      <w:bookmarkEnd w:id="162"/>
      <w:bookmarkEnd w:id="163"/>
      <w:bookmarkEnd w:id="164"/>
      <w:bookmarkEnd w:id="165"/>
      <w:bookmarkEnd w:id="166"/>
      <w:bookmarkEnd w:id="167"/>
      <w:bookmarkEnd w:id="168"/>
      <w:bookmarkEnd w:id="169"/>
    </w:p>
    <w:p w14:paraId="62D8E351">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3595899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工程名称：                                                              </w:t>
      </w:r>
    </w:p>
    <w:p w14:paraId="44CD618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5246"/>
        <w:gridCol w:w="7612"/>
        <w:gridCol w:w="1086"/>
      </w:tblGrid>
      <w:tr w14:paraId="7350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1622ED1B">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5246" w:type="dxa"/>
            <w:tcBorders>
              <w:top w:val="single" w:color="auto" w:sz="4" w:space="0"/>
              <w:left w:val="single" w:color="auto" w:sz="4" w:space="0"/>
              <w:bottom w:val="single" w:color="auto" w:sz="4" w:space="0"/>
              <w:right w:val="single" w:color="auto" w:sz="4" w:space="0"/>
            </w:tcBorders>
            <w:vAlign w:val="center"/>
          </w:tcPr>
          <w:p w14:paraId="54EEEAB7">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审查项目</w:t>
            </w:r>
          </w:p>
        </w:tc>
        <w:tc>
          <w:tcPr>
            <w:tcW w:w="7612" w:type="dxa"/>
            <w:tcBorders>
              <w:top w:val="single" w:color="auto" w:sz="4" w:space="0"/>
              <w:left w:val="single" w:color="auto" w:sz="4" w:space="0"/>
              <w:bottom w:val="single" w:color="auto" w:sz="4" w:space="0"/>
              <w:right w:val="single" w:color="auto" w:sz="4" w:space="0"/>
            </w:tcBorders>
            <w:vAlign w:val="center"/>
          </w:tcPr>
          <w:p w14:paraId="6CAF5A60">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须审查的资料</w:t>
            </w:r>
          </w:p>
        </w:tc>
        <w:tc>
          <w:tcPr>
            <w:tcW w:w="1086" w:type="dxa"/>
            <w:tcBorders>
              <w:top w:val="single" w:color="auto" w:sz="4" w:space="0"/>
              <w:left w:val="single" w:color="auto" w:sz="4" w:space="0"/>
              <w:bottom w:val="single" w:color="auto" w:sz="4" w:space="0"/>
              <w:right w:val="single" w:color="auto" w:sz="4" w:space="0"/>
            </w:tcBorders>
            <w:vAlign w:val="center"/>
          </w:tcPr>
          <w:p w14:paraId="1E2B044C">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审查结果</w:t>
            </w:r>
          </w:p>
        </w:tc>
      </w:tr>
      <w:tr w14:paraId="0DAC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748A15F0">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246" w:type="dxa"/>
            <w:tcBorders>
              <w:top w:val="single" w:color="auto" w:sz="4" w:space="0"/>
              <w:left w:val="single" w:color="auto" w:sz="4" w:space="0"/>
              <w:bottom w:val="single" w:color="auto" w:sz="4" w:space="0"/>
              <w:right w:val="single" w:color="auto" w:sz="4" w:space="0"/>
            </w:tcBorders>
            <w:vAlign w:val="center"/>
          </w:tcPr>
          <w:p w14:paraId="7078819C">
            <w:pPr>
              <w:spacing w:before="120" w:after="60"/>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w:t>
            </w:r>
            <w:r>
              <w:rPr>
                <w:rFonts w:hint="eastAsia" w:ascii="宋体" w:hAnsi="宋体" w:eastAsia="宋体" w:cs="Times New Roman"/>
                <w:color w:val="auto"/>
                <w:kern w:val="2"/>
                <w:sz w:val="21"/>
                <w:szCs w:val="21"/>
                <w:highlight w:val="none"/>
                <w:u w:val="single"/>
                <w:lang w:val="en-US" w:eastAsia="zh-CN" w:bidi="ar"/>
              </w:rPr>
              <w:t>若为联合体投标，指联合体各方</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rPr>
              <w:t>参加投标的意思表达清楚，投标人</w:t>
            </w:r>
            <w:r>
              <w:rPr>
                <w:rFonts w:hint="eastAsia" w:ascii="宋体" w:hAnsi="宋体" w:eastAsia="宋体" w:cs="宋体"/>
                <w:color w:val="auto"/>
                <w:kern w:val="2"/>
                <w:sz w:val="21"/>
                <w:szCs w:val="21"/>
                <w:highlight w:val="none"/>
                <w:u w:val="single"/>
                <w:lang w:val="en-US" w:eastAsia="zh-CN" w:bidi="ar"/>
              </w:rPr>
              <w:t>（若为联合体投标，由联合体主办方提供）</w:t>
            </w:r>
            <w:r>
              <w:rPr>
                <w:rFonts w:hint="eastAsia" w:ascii="宋体" w:hAnsi="宋体" w:cs="宋体"/>
                <w:color w:val="auto"/>
                <w:sz w:val="21"/>
                <w:szCs w:val="21"/>
                <w:highlight w:val="none"/>
              </w:rPr>
              <w:t>代表被授权有效</w:t>
            </w:r>
            <w:r>
              <w:rPr>
                <w:rFonts w:hint="eastAsia" w:ascii="宋体" w:hAnsi="宋体" w:cs="宋体"/>
                <w:color w:val="auto"/>
                <w:szCs w:val="21"/>
                <w:highlight w:val="none"/>
                <w:lang w:eastAsia="zh-CN"/>
              </w:rPr>
              <w:t>。</w:t>
            </w:r>
          </w:p>
        </w:tc>
        <w:tc>
          <w:tcPr>
            <w:tcW w:w="7612" w:type="dxa"/>
            <w:tcBorders>
              <w:top w:val="single" w:color="auto" w:sz="4" w:space="0"/>
              <w:left w:val="single" w:color="auto" w:sz="4" w:space="0"/>
              <w:bottom w:val="single" w:color="auto" w:sz="4" w:space="0"/>
              <w:right w:val="single" w:color="auto" w:sz="4" w:space="0"/>
            </w:tcBorders>
            <w:vAlign w:val="center"/>
          </w:tcPr>
          <w:p w14:paraId="5A112D64">
            <w:pPr>
              <w:spacing w:before="120" w:after="60"/>
              <w:rPr>
                <w:rFonts w:hint="eastAsia" w:ascii="宋体" w:hAnsi="宋体" w:cs="宋体"/>
                <w:color w:val="auto"/>
                <w:szCs w:val="21"/>
                <w:highlight w:val="none"/>
              </w:rPr>
            </w:pPr>
            <w:r>
              <w:rPr>
                <w:rFonts w:hint="eastAsia" w:ascii="宋体" w:hAnsi="宋体" w:eastAsia="宋体" w:cs="宋体"/>
                <w:color w:val="auto"/>
                <w:sz w:val="21"/>
                <w:szCs w:val="21"/>
                <w:highlight w:val="none"/>
                <w:u w:val="single"/>
              </w:rPr>
              <w:t>《投标人声明（适用于独立投标或联合体主办方）》</w:t>
            </w:r>
            <w:r>
              <w:rPr>
                <w:rFonts w:hint="eastAsia" w:ascii="宋体" w:hAnsi="宋体" w:eastAsia="宋体" w:cs="宋体"/>
                <w:bCs/>
                <w:color w:val="auto"/>
                <w:sz w:val="21"/>
                <w:szCs w:val="21"/>
                <w:highlight w:val="none"/>
                <w:u w:val="single"/>
              </w:rPr>
              <w:t>及《投标人声明（适用于联合体成员方）》（若为联合体投标，成员方需提供《投标人声明（适用于联合体成员方）》；若为独立投标人，无需提供《投标人声明（适用于联合体成员方）》）</w:t>
            </w:r>
            <w:r>
              <w:rPr>
                <w:rFonts w:hint="eastAsia" w:ascii="宋体" w:hAnsi="宋体" w:eastAsia="宋体" w:cs="宋体"/>
                <w:bCs/>
                <w:color w:val="auto"/>
                <w:sz w:val="21"/>
                <w:szCs w:val="21"/>
                <w:highlight w:val="none"/>
                <w:u w:val="single"/>
                <w:lang w:eastAsia="zh-CN"/>
              </w:rPr>
              <w:t>扫描件</w:t>
            </w:r>
            <w:r>
              <w:rPr>
                <w:rFonts w:hint="eastAsia" w:ascii="宋体" w:hAnsi="宋体" w:eastAsia="宋体" w:cs="宋体"/>
                <w:color w:val="auto"/>
                <w:sz w:val="21"/>
                <w:szCs w:val="21"/>
                <w:highlight w:val="none"/>
                <w:u w:val="single"/>
              </w:rPr>
              <w:t>、法定代表人证明书扫描件及有效的法定代表人身份证正反面扫描件</w:t>
            </w:r>
            <w:r>
              <w:rPr>
                <w:rFonts w:hint="eastAsia" w:ascii="宋体" w:hAnsi="宋体" w:eastAsia="宋体" w:cs="宋体"/>
                <w:bCs/>
                <w:color w:val="auto"/>
                <w:sz w:val="21"/>
                <w:szCs w:val="21"/>
                <w:highlight w:val="none"/>
                <w:u w:val="single"/>
              </w:rPr>
              <w:t>（若为联合体投标，由联合体主办方提供）</w:t>
            </w:r>
            <w:r>
              <w:rPr>
                <w:rFonts w:hint="eastAsia" w:ascii="宋体" w:hAnsi="宋体" w:eastAsia="宋体" w:cs="宋体"/>
                <w:color w:val="auto"/>
                <w:sz w:val="21"/>
                <w:szCs w:val="21"/>
                <w:highlight w:val="none"/>
                <w:u w:val="single"/>
              </w:rPr>
              <w:t>；委托投标的还应提供法人授权委托证明书扫描件</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有效的被授权人身份证正反面扫描件</w:t>
            </w:r>
            <w:r>
              <w:rPr>
                <w:rFonts w:hint="eastAsia" w:ascii="宋体" w:hAnsi="宋体" w:cs="宋体"/>
                <w:color w:val="auto"/>
                <w:sz w:val="21"/>
                <w:szCs w:val="21"/>
                <w:highlight w:val="none"/>
                <w:u w:val="single"/>
                <w:lang w:val="en-US" w:eastAsia="zh-CN"/>
              </w:rPr>
              <w:t>及投标截止前近一个月（2025年3月）有效社保证明资料扫描件。</w:t>
            </w:r>
            <w:r>
              <w:rPr>
                <w:rFonts w:hint="eastAsia" w:ascii="宋体" w:hAnsi="宋体" w:eastAsia="宋体" w:cs="宋体"/>
                <w:bCs/>
                <w:color w:val="auto"/>
                <w:sz w:val="21"/>
                <w:szCs w:val="21"/>
                <w:highlight w:val="none"/>
                <w:u w:val="single"/>
              </w:rPr>
              <w:t>（若为联合体投标，由联合体主办方提供）</w:t>
            </w:r>
            <w:r>
              <w:rPr>
                <w:rFonts w:hint="eastAsia" w:ascii="宋体" w:hAnsi="宋体" w:eastAsia="宋体" w:cs="宋体"/>
                <w:color w:val="auto"/>
                <w:sz w:val="21"/>
                <w:szCs w:val="21"/>
                <w:highlight w:val="none"/>
              </w:rPr>
              <w:t>。</w:t>
            </w:r>
          </w:p>
        </w:tc>
        <w:tc>
          <w:tcPr>
            <w:tcW w:w="1086" w:type="dxa"/>
            <w:tcBorders>
              <w:top w:val="single" w:color="auto" w:sz="4" w:space="0"/>
              <w:left w:val="single" w:color="auto" w:sz="4" w:space="0"/>
              <w:bottom w:val="single" w:color="auto" w:sz="4" w:space="0"/>
              <w:right w:val="single" w:color="auto" w:sz="4" w:space="0"/>
            </w:tcBorders>
            <w:vAlign w:val="center"/>
          </w:tcPr>
          <w:p w14:paraId="60072892">
            <w:pPr>
              <w:spacing w:before="120" w:after="60"/>
              <w:jc w:val="center"/>
              <w:rPr>
                <w:rFonts w:hint="eastAsia" w:ascii="宋体" w:hAnsi="宋体" w:cs="宋体"/>
                <w:color w:val="auto"/>
                <w:szCs w:val="21"/>
                <w:highlight w:val="none"/>
              </w:rPr>
            </w:pPr>
          </w:p>
        </w:tc>
      </w:tr>
      <w:tr w14:paraId="590E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292BEE42">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246" w:type="dxa"/>
            <w:tcBorders>
              <w:top w:val="single" w:color="auto" w:sz="4" w:space="0"/>
              <w:left w:val="single" w:color="auto" w:sz="4" w:space="0"/>
              <w:bottom w:val="single" w:color="auto" w:sz="4" w:space="0"/>
              <w:right w:val="single" w:color="auto" w:sz="4" w:space="0"/>
            </w:tcBorders>
            <w:vAlign w:val="center"/>
          </w:tcPr>
          <w:p w14:paraId="15602D99">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u w:val="single"/>
              </w:rPr>
              <w:t>（若为联合体投标，指联合体各方）</w:t>
            </w:r>
            <w:r>
              <w:rPr>
                <w:rFonts w:hint="eastAsia" w:ascii="宋体" w:hAnsi="宋体" w:cs="宋体"/>
                <w:color w:val="auto"/>
                <w:szCs w:val="21"/>
                <w:highlight w:val="none"/>
              </w:rPr>
              <w:t>具有独立法人资格，按国家法律经营；</w:t>
            </w:r>
          </w:p>
        </w:tc>
        <w:tc>
          <w:tcPr>
            <w:tcW w:w="7612" w:type="dxa"/>
            <w:tcBorders>
              <w:top w:val="single" w:color="auto" w:sz="4" w:space="0"/>
              <w:left w:val="single" w:color="auto" w:sz="4" w:space="0"/>
              <w:bottom w:val="single" w:color="auto" w:sz="4" w:space="0"/>
              <w:right w:val="single" w:color="auto" w:sz="4" w:space="0"/>
            </w:tcBorders>
            <w:vAlign w:val="center"/>
          </w:tcPr>
          <w:p w14:paraId="25C21555">
            <w:pPr>
              <w:spacing w:before="120" w:after="60"/>
              <w:rPr>
                <w:rFonts w:hint="eastAsia" w:ascii="宋体" w:hAnsi="宋体" w:cs="宋体"/>
                <w:color w:val="auto"/>
                <w:szCs w:val="21"/>
                <w:highlight w:val="none"/>
              </w:rPr>
            </w:pPr>
            <w:r>
              <w:rPr>
                <w:rFonts w:hint="eastAsia" w:ascii="宋体" w:hAnsi="宋体"/>
                <w:color w:val="auto"/>
                <w:szCs w:val="21"/>
                <w:highlight w:val="none"/>
              </w:rPr>
              <w:t>营业执照扫描件或电子证照；</w:t>
            </w:r>
          </w:p>
        </w:tc>
        <w:tc>
          <w:tcPr>
            <w:tcW w:w="1086" w:type="dxa"/>
            <w:tcBorders>
              <w:top w:val="single" w:color="auto" w:sz="4" w:space="0"/>
              <w:left w:val="single" w:color="auto" w:sz="4" w:space="0"/>
              <w:bottom w:val="single" w:color="auto" w:sz="4" w:space="0"/>
              <w:right w:val="single" w:color="auto" w:sz="4" w:space="0"/>
            </w:tcBorders>
            <w:vAlign w:val="center"/>
          </w:tcPr>
          <w:p w14:paraId="21B9340C">
            <w:pPr>
              <w:spacing w:before="120" w:after="60"/>
              <w:jc w:val="center"/>
              <w:rPr>
                <w:rFonts w:hint="eastAsia" w:ascii="宋体" w:hAnsi="宋体" w:cs="宋体"/>
                <w:color w:val="auto"/>
                <w:szCs w:val="21"/>
                <w:highlight w:val="none"/>
              </w:rPr>
            </w:pPr>
          </w:p>
        </w:tc>
      </w:tr>
      <w:tr w14:paraId="77C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D31DFB4">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246" w:type="dxa"/>
            <w:tcBorders>
              <w:top w:val="single" w:color="auto" w:sz="4" w:space="0"/>
              <w:left w:val="single" w:color="auto" w:sz="4" w:space="0"/>
              <w:bottom w:val="single" w:color="auto" w:sz="4" w:space="0"/>
              <w:right w:val="single" w:color="auto" w:sz="4" w:space="0"/>
            </w:tcBorders>
            <w:vAlign w:val="center"/>
          </w:tcPr>
          <w:p w14:paraId="1D5FB843">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u w:val="single"/>
              </w:rPr>
              <w:t>（若为联合体投标，指联合体各方）</w:t>
            </w:r>
            <w:r>
              <w:rPr>
                <w:rFonts w:hint="eastAsia" w:ascii="宋体" w:hAnsi="宋体" w:cs="宋体"/>
                <w:color w:val="auto"/>
                <w:szCs w:val="21"/>
                <w:highlight w:val="none"/>
              </w:rPr>
              <w:t>持有建设行政主管部门颁发的有效期内的企业资质证书及安全生产许可证；投标人资质符合公告要求；</w:t>
            </w:r>
          </w:p>
        </w:tc>
        <w:tc>
          <w:tcPr>
            <w:tcW w:w="7612" w:type="dxa"/>
            <w:tcBorders>
              <w:top w:val="single" w:color="auto" w:sz="4" w:space="0"/>
              <w:left w:val="single" w:color="auto" w:sz="4" w:space="0"/>
              <w:bottom w:val="single" w:color="auto" w:sz="4" w:space="0"/>
              <w:right w:val="single" w:color="auto" w:sz="4" w:space="0"/>
            </w:tcBorders>
            <w:vAlign w:val="center"/>
          </w:tcPr>
          <w:p w14:paraId="7C2C9AD5">
            <w:pPr>
              <w:spacing w:before="120" w:after="60"/>
              <w:rPr>
                <w:rFonts w:hint="eastAsia" w:ascii="宋体" w:hAnsi="宋体" w:cs="宋体"/>
                <w:color w:val="auto"/>
                <w:szCs w:val="21"/>
                <w:highlight w:val="none"/>
                <w:u w:val="single"/>
              </w:rPr>
            </w:pPr>
            <w:r>
              <w:rPr>
                <w:rFonts w:hint="eastAsia" w:ascii="宋体" w:hAnsi="宋体"/>
                <w:color w:val="auto"/>
                <w:szCs w:val="21"/>
                <w:highlight w:val="none"/>
              </w:rPr>
              <w:t>资质证书扫描件或电子证照、安全生产许可证扫描件或电子证照；</w:t>
            </w:r>
          </w:p>
        </w:tc>
        <w:tc>
          <w:tcPr>
            <w:tcW w:w="1086" w:type="dxa"/>
            <w:tcBorders>
              <w:top w:val="single" w:color="auto" w:sz="4" w:space="0"/>
              <w:left w:val="single" w:color="auto" w:sz="4" w:space="0"/>
              <w:bottom w:val="single" w:color="auto" w:sz="4" w:space="0"/>
              <w:right w:val="single" w:color="auto" w:sz="4" w:space="0"/>
            </w:tcBorders>
            <w:vAlign w:val="center"/>
          </w:tcPr>
          <w:p w14:paraId="563CDBEF">
            <w:pPr>
              <w:spacing w:before="120" w:after="60"/>
              <w:jc w:val="center"/>
              <w:rPr>
                <w:rFonts w:hint="eastAsia" w:ascii="宋体" w:hAnsi="宋体" w:cs="宋体"/>
                <w:color w:val="auto"/>
                <w:szCs w:val="21"/>
                <w:highlight w:val="none"/>
              </w:rPr>
            </w:pPr>
          </w:p>
        </w:tc>
      </w:tr>
      <w:tr w14:paraId="1AD4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3C564E24">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246" w:type="dxa"/>
            <w:tcBorders>
              <w:top w:val="single" w:color="auto" w:sz="4" w:space="0"/>
              <w:left w:val="single" w:color="auto" w:sz="4" w:space="0"/>
              <w:bottom w:val="single" w:color="auto" w:sz="4" w:space="0"/>
              <w:right w:val="single" w:color="auto" w:sz="4" w:space="0"/>
            </w:tcBorders>
            <w:vAlign w:val="center"/>
          </w:tcPr>
          <w:p w14:paraId="56007CF0">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bCs/>
                <w:color w:val="auto"/>
                <w:kern w:val="0"/>
                <w:sz w:val="21"/>
                <w:szCs w:val="21"/>
                <w:highlight w:val="none"/>
                <w:u w:val="single"/>
              </w:rPr>
              <w:t>（若为联合体投标，由联合体主办方提供）</w:t>
            </w:r>
            <w:r>
              <w:rPr>
                <w:rFonts w:hint="eastAsia" w:ascii="宋体" w:hAnsi="宋体" w:cs="宋体"/>
                <w:color w:val="auto"/>
                <w:szCs w:val="21"/>
                <w:highlight w:val="none"/>
              </w:rPr>
              <w:t>拟担任本工程项目负责人符合公告要求；</w:t>
            </w:r>
          </w:p>
        </w:tc>
        <w:tc>
          <w:tcPr>
            <w:tcW w:w="7612" w:type="dxa"/>
            <w:tcBorders>
              <w:top w:val="single" w:color="auto" w:sz="4" w:space="0"/>
              <w:left w:val="single" w:color="auto" w:sz="4" w:space="0"/>
              <w:bottom w:val="single" w:color="auto" w:sz="4" w:space="0"/>
              <w:right w:val="single" w:color="auto" w:sz="4" w:space="0"/>
            </w:tcBorders>
            <w:vAlign w:val="center"/>
          </w:tcPr>
          <w:p w14:paraId="6BC5F66D">
            <w:pPr>
              <w:spacing w:before="120" w:after="60"/>
              <w:rPr>
                <w:rFonts w:hint="eastAsia" w:ascii="宋体" w:hAnsi="宋体" w:cs="宋体"/>
                <w:color w:val="auto"/>
                <w:szCs w:val="21"/>
                <w:highlight w:val="none"/>
                <w:u w:val="singl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1086" w:type="dxa"/>
            <w:tcBorders>
              <w:top w:val="single" w:color="auto" w:sz="4" w:space="0"/>
              <w:left w:val="single" w:color="auto" w:sz="4" w:space="0"/>
              <w:bottom w:val="single" w:color="auto" w:sz="4" w:space="0"/>
              <w:right w:val="single" w:color="auto" w:sz="4" w:space="0"/>
            </w:tcBorders>
            <w:vAlign w:val="center"/>
          </w:tcPr>
          <w:p w14:paraId="248B9B60">
            <w:pPr>
              <w:spacing w:before="120" w:after="60"/>
              <w:jc w:val="center"/>
              <w:rPr>
                <w:rFonts w:hint="eastAsia" w:ascii="宋体" w:hAnsi="宋体" w:cs="宋体"/>
                <w:color w:val="auto"/>
                <w:szCs w:val="21"/>
                <w:highlight w:val="none"/>
              </w:rPr>
            </w:pPr>
          </w:p>
        </w:tc>
      </w:tr>
      <w:tr w14:paraId="1108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648E1958">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5246" w:type="dxa"/>
            <w:tcBorders>
              <w:top w:val="single" w:color="auto" w:sz="4" w:space="0"/>
              <w:left w:val="single" w:color="auto" w:sz="4" w:space="0"/>
              <w:bottom w:val="single" w:color="auto" w:sz="4" w:space="0"/>
              <w:right w:val="single" w:color="auto" w:sz="4" w:space="0"/>
            </w:tcBorders>
            <w:vAlign w:val="center"/>
          </w:tcPr>
          <w:p w14:paraId="3A6F2E65">
            <w:pPr>
              <w:spacing w:before="120" w:after="60"/>
              <w:rPr>
                <w:rFonts w:hint="eastAsia" w:ascii="宋体" w:hAnsi="宋体" w:cs="宋体"/>
                <w:color w:val="auto"/>
                <w:szCs w:val="21"/>
                <w:highlight w:val="none"/>
              </w:rPr>
            </w:pPr>
            <w:r>
              <w:rPr>
                <w:rFonts w:hint="eastAsia" w:ascii="宋体" w:hAnsi="宋体" w:cs="宋体"/>
                <w:bCs/>
                <w:color w:val="auto"/>
                <w:kern w:val="0"/>
                <w:szCs w:val="21"/>
                <w:highlight w:val="none"/>
              </w:rPr>
              <w:t>拟担任本项目的项目负责</w:t>
            </w:r>
            <w:r>
              <w:rPr>
                <w:rFonts w:hint="eastAsia" w:ascii="宋体" w:hAnsi="宋体" w:cs="宋体"/>
                <w:bCs/>
                <w:color w:val="auto"/>
                <w:kern w:val="0"/>
                <w:szCs w:val="21"/>
                <w:highlight w:val="none"/>
                <w:lang w:val="en-US" w:eastAsia="zh-CN"/>
              </w:rPr>
              <w:t>人</w:t>
            </w:r>
            <w:r>
              <w:rPr>
                <w:rFonts w:hint="eastAsia" w:ascii="宋体" w:hAnsi="宋体" w:eastAsia="宋体" w:cs="宋体"/>
                <w:bCs/>
                <w:color w:val="auto"/>
                <w:kern w:val="0"/>
                <w:sz w:val="21"/>
                <w:szCs w:val="21"/>
                <w:highlight w:val="none"/>
                <w:u w:val="single"/>
              </w:rPr>
              <w:t>（若为联合体投标，由联合体主办方提供）</w:t>
            </w:r>
            <w:r>
              <w:rPr>
                <w:rFonts w:hint="eastAsia" w:ascii="宋体" w:hAnsi="宋体" w:cs="宋体"/>
                <w:bCs/>
                <w:color w:val="auto"/>
                <w:kern w:val="0"/>
                <w:szCs w:val="21"/>
                <w:highlight w:val="none"/>
              </w:rPr>
              <w:t>持有项目负责人安全生产考核合格证（B类）或建筑施工企业项目负责人安全生产考核合格</w:t>
            </w:r>
            <w:r>
              <w:rPr>
                <w:rFonts w:hint="eastAsia" w:ascii="宋体" w:hAnsi="宋体" w:cs="宋体"/>
                <w:color w:val="auto"/>
                <w:kern w:val="0"/>
                <w:szCs w:val="21"/>
                <w:highlight w:val="none"/>
              </w:rPr>
              <w:t>证</w:t>
            </w:r>
          </w:p>
        </w:tc>
        <w:tc>
          <w:tcPr>
            <w:tcW w:w="7612" w:type="dxa"/>
            <w:tcBorders>
              <w:top w:val="single" w:color="auto" w:sz="4" w:space="0"/>
              <w:left w:val="single" w:color="auto" w:sz="4" w:space="0"/>
              <w:bottom w:val="single" w:color="auto" w:sz="4" w:space="0"/>
              <w:right w:val="single" w:color="auto" w:sz="4" w:space="0"/>
            </w:tcBorders>
            <w:vAlign w:val="center"/>
          </w:tcPr>
          <w:p w14:paraId="5653A1F8">
            <w:pPr>
              <w:spacing w:before="120" w:after="60"/>
              <w:rPr>
                <w:rFonts w:hint="eastAsia" w:ascii="宋体" w:hAnsi="宋体" w:cs="宋体"/>
                <w:color w:val="auto"/>
                <w:highlight w:val="none"/>
              </w:rPr>
            </w:pPr>
            <w:r>
              <w:rPr>
                <w:rFonts w:hint="eastAsia" w:ascii="宋体" w:hAnsi="宋体"/>
                <w:color w:val="auto"/>
                <w:szCs w:val="21"/>
                <w:highlight w:val="none"/>
              </w:rPr>
              <w:t>项目负责人安全生产考核合格证（B类）或在有效期内的建筑施工企业项目负责人安全生产考核合格证证书扫描件或电子证书；</w:t>
            </w:r>
          </w:p>
        </w:tc>
        <w:tc>
          <w:tcPr>
            <w:tcW w:w="1086" w:type="dxa"/>
            <w:tcBorders>
              <w:top w:val="single" w:color="auto" w:sz="4" w:space="0"/>
              <w:left w:val="single" w:color="auto" w:sz="4" w:space="0"/>
              <w:bottom w:val="single" w:color="auto" w:sz="4" w:space="0"/>
              <w:right w:val="single" w:color="auto" w:sz="4" w:space="0"/>
            </w:tcBorders>
            <w:vAlign w:val="center"/>
          </w:tcPr>
          <w:p w14:paraId="617999A8">
            <w:pPr>
              <w:spacing w:before="120" w:after="60"/>
              <w:jc w:val="center"/>
              <w:rPr>
                <w:rFonts w:hint="eastAsia" w:ascii="宋体" w:hAnsi="宋体" w:cs="宋体"/>
                <w:color w:val="auto"/>
                <w:szCs w:val="21"/>
                <w:highlight w:val="none"/>
              </w:rPr>
            </w:pPr>
          </w:p>
        </w:tc>
      </w:tr>
      <w:tr w14:paraId="025D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680BB73">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5246" w:type="dxa"/>
            <w:tcBorders>
              <w:top w:val="single" w:color="auto" w:sz="4" w:space="0"/>
              <w:left w:val="single" w:color="auto" w:sz="4" w:space="0"/>
              <w:bottom w:val="single" w:color="auto" w:sz="4" w:space="0"/>
              <w:right w:val="single" w:color="auto" w:sz="4" w:space="0"/>
            </w:tcBorders>
            <w:vAlign w:val="center"/>
          </w:tcPr>
          <w:p w14:paraId="63A3DB2E">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bCs/>
                <w:color w:val="auto"/>
                <w:kern w:val="0"/>
                <w:sz w:val="21"/>
                <w:szCs w:val="21"/>
                <w:highlight w:val="none"/>
                <w:u w:val="single"/>
              </w:rPr>
              <w:t>（若为联合体投标，由联合体主办方提供）</w:t>
            </w:r>
            <w:r>
              <w:rPr>
                <w:rFonts w:hint="eastAsia" w:ascii="宋体" w:hAnsi="宋体" w:cs="宋体"/>
                <w:color w:val="auto"/>
                <w:szCs w:val="21"/>
                <w:highlight w:val="none"/>
              </w:rPr>
              <w:t>拟担任本工程技术负责人的资格要求为：具有建筑工程相关专业副高级或以上职称。</w:t>
            </w:r>
          </w:p>
        </w:tc>
        <w:tc>
          <w:tcPr>
            <w:tcW w:w="7612" w:type="dxa"/>
            <w:tcBorders>
              <w:top w:val="single" w:color="auto" w:sz="4" w:space="0"/>
              <w:left w:val="single" w:color="auto" w:sz="4" w:space="0"/>
              <w:bottom w:val="single" w:color="auto" w:sz="4" w:space="0"/>
              <w:right w:val="single" w:color="auto" w:sz="4" w:space="0"/>
            </w:tcBorders>
            <w:vAlign w:val="center"/>
          </w:tcPr>
          <w:p w14:paraId="201C5A97">
            <w:pPr>
              <w:rPr>
                <w:rFonts w:hint="eastAsia" w:ascii="宋体" w:hAnsi="宋体" w:cs="宋体"/>
                <w:color w:val="auto"/>
                <w:szCs w:val="21"/>
                <w:highlight w:val="none"/>
              </w:rPr>
            </w:pPr>
            <w:r>
              <w:rPr>
                <w:rFonts w:hint="eastAsia" w:ascii="宋体" w:hAnsi="宋体" w:cs="宋体"/>
                <w:bCs/>
                <w:color w:val="auto"/>
                <w:szCs w:val="21"/>
                <w:highlight w:val="none"/>
                <w:u w:val="single"/>
              </w:rPr>
              <w:t>拟委派技术负责人的职称证书</w:t>
            </w:r>
            <w:r>
              <w:rPr>
                <w:rFonts w:hint="eastAsia" w:ascii="宋体" w:hAnsi="宋体"/>
                <w:color w:val="auto"/>
                <w:szCs w:val="21"/>
                <w:highlight w:val="none"/>
              </w:rPr>
              <w:t>扫描件或电子证书</w:t>
            </w:r>
            <w:r>
              <w:rPr>
                <w:rFonts w:hint="eastAsia" w:ascii="宋体" w:hAnsi="宋体" w:cs="宋体"/>
                <w:bCs/>
                <w:color w:val="auto"/>
                <w:szCs w:val="21"/>
                <w:highlight w:val="none"/>
                <w:u w:val="single"/>
              </w:rPr>
              <w:t>；</w:t>
            </w:r>
          </w:p>
        </w:tc>
        <w:tc>
          <w:tcPr>
            <w:tcW w:w="1086" w:type="dxa"/>
            <w:tcBorders>
              <w:top w:val="single" w:color="auto" w:sz="4" w:space="0"/>
              <w:left w:val="single" w:color="auto" w:sz="4" w:space="0"/>
              <w:bottom w:val="single" w:color="auto" w:sz="4" w:space="0"/>
              <w:right w:val="single" w:color="auto" w:sz="4" w:space="0"/>
            </w:tcBorders>
            <w:vAlign w:val="center"/>
          </w:tcPr>
          <w:p w14:paraId="7ACC1563">
            <w:pPr>
              <w:spacing w:before="120" w:after="60"/>
              <w:jc w:val="center"/>
              <w:rPr>
                <w:rFonts w:hint="eastAsia" w:ascii="宋体" w:hAnsi="宋体" w:cs="宋体"/>
                <w:color w:val="auto"/>
                <w:szCs w:val="21"/>
                <w:highlight w:val="none"/>
              </w:rPr>
            </w:pPr>
          </w:p>
        </w:tc>
      </w:tr>
      <w:tr w14:paraId="5D6A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8666AB6">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5246" w:type="dxa"/>
            <w:tcBorders>
              <w:top w:val="single" w:color="auto" w:sz="4" w:space="0"/>
              <w:left w:val="single" w:color="auto" w:sz="4" w:space="0"/>
              <w:bottom w:val="single" w:color="auto" w:sz="4" w:space="0"/>
              <w:right w:val="single" w:color="auto" w:sz="4" w:space="0"/>
            </w:tcBorders>
            <w:vAlign w:val="center"/>
          </w:tcPr>
          <w:p w14:paraId="6C189BE3">
            <w:pPr>
              <w:spacing w:before="120" w:after="60"/>
              <w:rPr>
                <w:rFonts w:hint="eastAsia" w:ascii="宋体" w:hAnsi="宋体" w:cs="宋体"/>
                <w:color w:val="auto"/>
                <w:szCs w:val="21"/>
                <w:highlight w:val="none"/>
              </w:rPr>
            </w:pPr>
            <w:r>
              <w:rPr>
                <w:rFonts w:hint="eastAsia" w:ascii="宋体" w:hAnsi="宋体" w:cs="宋体"/>
                <w:bCs/>
                <w:color w:val="auto"/>
                <w:kern w:val="0"/>
                <w:szCs w:val="21"/>
                <w:highlight w:val="none"/>
              </w:rPr>
              <w:t>拟担任本项目的</w:t>
            </w:r>
            <w:r>
              <w:rPr>
                <w:rFonts w:hint="eastAsia" w:ascii="宋体" w:hAnsi="宋体" w:cs="宋体"/>
                <w:color w:val="auto"/>
                <w:szCs w:val="21"/>
                <w:highlight w:val="none"/>
              </w:rPr>
              <w:t>专职安全员</w:t>
            </w:r>
            <w:r>
              <w:rPr>
                <w:rFonts w:hint="eastAsia" w:ascii="宋体" w:hAnsi="宋体" w:eastAsia="宋体" w:cs="宋体"/>
                <w:bCs/>
                <w:color w:val="auto"/>
                <w:kern w:val="0"/>
                <w:sz w:val="21"/>
                <w:szCs w:val="21"/>
                <w:highlight w:val="none"/>
                <w:u w:val="single"/>
              </w:rPr>
              <w:t>（若为联合体投标，由联合体主办方提供）</w:t>
            </w:r>
            <w:r>
              <w:rPr>
                <w:rFonts w:hint="eastAsia" w:ascii="宋体" w:hAnsi="宋体" w:cs="宋体"/>
                <w:color w:val="auto"/>
                <w:szCs w:val="21"/>
                <w:highlight w:val="none"/>
              </w:rPr>
              <w:t>须具有安全生产考核合格证（C类）或建筑施工企业专职安全生产管理人员安全生产考核合格证书（C3）；项目负责人和专职安全员不为同一人；</w:t>
            </w:r>
          </w:p>
        </w:tc>
        <w:tc>
          <w:tcPr>
            <w:tcW w:w="7612" w:type="dxa"/>
            <w:tcBorders>
              <w:top w:val="single" w:color="auto" w:sz="4" w:space="0"/>
              <w:left w:val="single" w:color="auto" w:sz="4" w:space="0"/>
              <w:bottom w:val="single" w:color="auto" w:sz="4" w:space="0"/>
              <w:right w:val="single" w:color="auto" w:sz="4" w:space="0"/>
            </w:tcBorders>
            <w:vAlign w:val="center"/>
          </w:tcPr>
          <w:p w14:paraId="07214728">
            <w:pPr>
              <w:spacing w:before="120" w:after="60"/>
              <w:rPr>
                <w:rFonts w:hint="eastAsia" w:ascii="宋体" w:hAnsi="宋体" w:cs="宋体"/>
                <w:color w:val="auto"/>
                <w:highlight w:val="none"/>
              </w:rPr>
            </w:pPr>
            <w:r>
              <w:rPr>
                <w:rFonts w:hint="eastAsia" w:ascii="宋体" w:hAnsi="宋体"/>
                <w:color w:val="auto"/>
                <w:szCs w:val="21"/>
                <w:highlight w:val="none"/>
              </w:rPr>
              <w:t>专职安全员的安全生产考核合格证（C类）或在有效期内的建筑施工企业专职安全生产管理人员安全生产考核合格证证书扫描件或电子证书</w:t>
            </w:r>
          </w:p>
        </w:tc>
        <w:tc>
          <w:tcPr>
            <w:tcW w:w="1086" w:type="dxa"/>
            <w:tcBorders>
              <w:top w:val="single" w:color="auto" w:sz="4" w:space="0"/>
              <w:left w:val="single" w:color="auto" w:sz="4" w:space="0"/>
              <w:bottom w:val="single" w:color="auto" w:sz="4" w:space="0"/>
              <w:right w:val="single" w:color="auto" w:sz="4" w:space="0"/>
            </w:tcBorders>
            <w:vAlign w:val="center"/>
          </w:tcPr>
          <w:p w14:paraId="22B38E64">
            <w:pPr>
              <w:spacing w:before="120" w:after="60"/>
              <w:jc w:val="center"/>
              <w:rPr>
                <w:rFonts w:hint="eastAsia" w:ascii="宋体" w:hAnsi="宋体" w:cs="宋体"/>
                <w:color w:val="auto"/>
                <w:szCs w:val="21"/>
                <w:highlight w:val="none"/>
              </w:rPr>
            </w:pPr>
          </w:p>
        </w:tc>
      </w:tr>
      <w:tr w14:paraId="79C4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65A2414">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5246" w:type="dxa"/>
            <w:tcBorders>
              <w:top w:val="single" w:color="auto" w:sz="4" w:space="0"/>
              <w:left w:val="single" w:color="auto" w:sz="4" w:space="0"/>
              <w:bottom w:val="single" w:color="auto" w:sz="4" w:space="0"/>
              <w:right w:val="single" w:color="auto" w:sz="4" w:space="0"/>
            </w:tcBorders>
            <w:vAlign w:val="center"/>
          </w:tcPr>
          <w:p w14:paraId="5B26EBAE">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u w:val="single"/>
              </w:rPr>
              <w:t>（若为联合体投标，指联合体各方）</w:t>
            </w:r>
            <w:r>
              <w:rPr>
                <w:rFonts w:hint="eastAsia" w:ascii="宋体" w:hAnsi="宋体" w:cs="宋体"/>
                <w:color w:val="auto"/>
                <w:szCs w:val="21"/>
                <w:highlight w:val="none"/>
              </w:rPr>
              <w:t>提供的投标人声明符合公告要求；</w:t>
            </w:r>
          </w:p>
        </w:tc>
        <w:tc>
          <w:tcPr>
            <w:tcW w:w="7612" w:type="dxa"/>
            <w:tcBorders>
              <w:top w:val="single" w:color="auto" w:sz="4" w:space="0"/>
              <w:left w:val="single" w:color="auto" w:sz="4" w:space="0"/>
              <w:bottom w:val="single" w:color="auto" w:sz="4" w:space="0"/>
              <w:right w:val="single" w:color="auto" w:sz="4" w:space="0"/>
            </w:tcBorders>
            <w:vAlign w:val="center"/>
          </w:tcPr>
          <w:p w14:paraId="7F2C58EF">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投标人声明扫描件；</w:t>
            </w:r>
          </w:p>
        </w:tc>
        <w:tc>
          <w:tcPr>
            <w:tcW w:w="1086" w:type="dxa"/>
            <w:tcBorders>
              <w:top w:val="single" w:color="auto" w:sz="4" w:space="0"/>
              <w:left w:val="single" w:color="auto" w:sz="4" w:space="0"/>
              <w:bottom w:val="single" w:color="auto" w:sz="4" w:space="0"/>
              <w:right w:val="single" w:color="auto" w:sz="4" w:space="0"/>
            </w:tcBorders>
            <w:vAlign w:val="center"/>
          </w:tcPr>
          <w:p w14:paraId="635CCA26">
            <w:pPr>
              <w:spacing w:before="120" w:after="60"/>
              <w:jc w:val="center"/>
              <w:rPr>
                <w:rFonts w:hint="eastAsia" w:ascii="宋体" w:hAnsi="宋体" w:cs="宋体"/>
                <w:color w:val="auto"/>
                <w:szCs w:val="21"/>
                <w:highlight w:val="none"/>
              </w:rPr>
            </w:pPr>
          </w:p>
        </w:tc>
      </w:tr>
      <w:tr w14:paraId="03BE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F778278">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5246" w:type="dxa"/>
            <w:tcBorders>
              <w:top w:val="single" w:color="auto" w:sz="4" w:space="0"/>
              <w:left w:val="single" w:color="auto" w:sz="4" w:space="0"/>
              <w:bottom w:val="single" w:color="auto" w:sz="4" w:space="0"/>
              <w:right w:val="single" w:color="auto" w:sz="4" w:space="0"/>
            </w:tcBorders>
            <w:vAlign w:val="center"/>
          </w:tcPr>
          <w:p w14:paraId="56D527B5">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bCs/>
                <w:color w:val="auto"/>
                <w:kern w:val="0"/>
                <w:sz w:val="21"/>
                <w:szCs w:val="21"/>
                <w:highlight w:val="none"/>
                <w:u w:val="single"/>
              </w:rPr>
              <w:t>（若为联合体投标，由联合体主办方提供）</w:t>
            </w:r>
            <w:r>
              <w:rPr>
                <w:rFonts w:hint="eastAsia" w:ascii="宋体" w:hAnsi="宋体" w:cs="宋体"/>
                <w:color w:val="auto"/>
                <w:szCs w:val="21"/>
                <w:highlight w:val="none"/>
              </w:rPr>
              <w:t>声明中签字的项目负责人和技术负责人与本项目拟派的项目负责人和技术负责人一致；</w:t>
            </w:r>
          </w:p>
        </w:tc>
        <w:tc>
          <w:tcPr>
            <w:tcW w:w="7612" w:type="dxa"/>
            <w:tcBorders>
              <w:top w:val="single" w:color="auto" w:sz="4" w:space="0"/>
              <w:left w:val="single" w:color="auto" w:sz="4" w:space="0"/>
              <w:bottom w:val="single" w:color="auto" w:sz="4" w:space="0"/>
              <w:right w:val="single" w:color="auto" w:sz="4" w:space="0"/>
            </w:tcBorders>
            <w:vAlign w:val="center"/>
          </w:tcPr>
          <w:p w14:paraId="4A613D2B">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1086" w:type="dxa"/>
            <w:tcBorders>
              <w:top w:val="single" w:color="auto" w:sz="4" w:space="0"/>
              <w:left w:val="single" w:color="auto" w:sz="4" w:space="0"/>
              <w:bottom w:val="single" w:color="auto" w:sz="4" w:space="0"/>
              <w:right w:val="single" w:color="auto" w:sz="4" w:space="0"/>
            </w:tcBorders>
            <w:vAlign w:val="center"/>
          </w:tcPr>
          <w:p w14:paraId="0F74827A">
            <w:pPr>
              <w:spacing w:before="120" w:after="60"/>
              <w:jc w:val="center"/>
              <w:rPr>
                <w:rFonts w:hint="eastAsia" w:ascii="宋体" w:hAnsi="宋体" w:cs="宋体"/>
                <w:color w:val="auto"/>
                <w:szCs w:val="21"/>
                <w:highlight w:val="none"/>
              </w:rPr>
            </w:pPr>
          </w:p>
        </w:tc>
      </w:tr>
      <w:tr w14:paraId="3E48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1B87514">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5246" w:type="dxa"/>
            <w:tcBorders>
              <w:top w:val="single" w:color="auto" w:sz="4" w:space="0"/>
              <w:left w:val="single" w:color="auto" w:sz="4" w:space="0"/>
              <w:bottom w:val="single" w:color="auto" w:sz="4" w:space="0"/>
              <w:right w:val="single" w:color="auto" w:sz="4" w:space="0"/>
            </w:tcBorders>
            <w:vAlign w:val="center"/>
          </w:tcPr>
          <w:p w14:paraId="0C7047D3">
            <w:pPr>
              <w:spacing w:before="120" w:after="60"/>
              <w:rPr>
                <w:rFonts w:hint="eastAsia" w:ascii="宋体" w:hAnsi="宋体" w:cs="宋体"/>
                <w:color w:val="auto"/>
                <w:szCs w:val="21"/>
                <w:highlight w:val="none"/>
              </w:rPr>
            </w:pPr>
            <w:r>
              <w:rPr>
                <w:rFonts w:hint="eastAsia" w:ascii="宋体" w:hAnsi="宋体" w:cs="宋体"/>
                <w:color w:val="auto"/>
                <w:szCs w:val="21"/>
                <w:highlight w:val="none"/>
              </w:rPr>
              <w:t>关于联合体投标：本项目接受联合体投标；</w:t>
            </w:r>
          </w:p>
        </w:tc>
        <w:tc>
          <w:tcPr>
            <w:tcW w:w="7612" w:type="dxa"/>
            <w:tcBorders>
              <w:top w:val="single" w:color="auto" w:sz="4" w:space="0"/>
              <w:left w:val="single" w:color="auto" w:sz="4" w:space="0"/>
              <w:bottom w:val="single" w:color="auto" w:sz="4" w:space="0"/>
              <w:right w:val="single" w:color="auto" w:sz="4" w:space="0"/>
            </w:tcBorders>
            <w:vAlign w:val="center"/>
          </w:tcPr>
          <w:p w14:paraId="4A802F09">
            <w:pPr>
              <w:spacing w:before="120" w:after="60"/>
              <w:jc w:val="left"/>
              <w:rPr>
                <w:rFonts w:hint="eastAsia" w:ascii="宋体" w:hAnsi="宋体" w:cs="宋体"/>
                <w:color w:val="auto"/>
                <w:szCs w:val="21"/>
                <w:highlight w:val="none"/>
                <w:u w:val="single"/>
              </w:rPr>
            </w:pPr>
            <w:r>
              <w:rPr>
                <w:rFonts w:hint="eastAsia" w:ascii="宋体" w:hAnsi="宋体" w:eastAsia="宋体" w:cs="宋体"/>
                <w:color w:val="auto"/>
                <w:sz w:val="21"/>
                <w:szCs w:val="21"/>
                <w:highlight w:val="none"/>
                <w:u w:val="single"/>
              </w:rPr>
              <w:t>联合体工作协议</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符合招标公告要求。</w:t>
            </w:r>
          </w:p>
        </w:tc>
        <w:tc>
          <w:tcPr>
            <w:tcW w:w="1086" w:type="dxa"/>
            <w:tcBorders>
              <w:top w:val="single" w:color="auto" w:sz="4" w:space="0"/>
              <w:left w:val="single" w:color="auto" w:sz="4" w:space="0"/>
              <w:bottom w:val="single" w:color="auto" w:sz="4" w:space="0"/>
              <w:right w:val="single" w:color="auto" w:sz="4" w:space="0"/>
            </w:tcBorders>
            <w:vAlign w:val="center"/>
          </w:tcPr>
          <w:p w14:paraId="32994DC1">
            <w:pPr>
              <w:spacing w:before="120" w:after="60"/>
              <w:jc w:val="center"/>
              <w:rPr>
                <w:rFonts w:hint="eastAsia" w:ascii="宋体" w:hAnsi="宋体" w:cs="宋体"/>
                <w:color w:val="auto"/>
                <w:szCs w:val="21"/>
                <w:highlight w:val="none"/>
              </w:rPr>
            </w:pPr>
          </w:p>
        </w:tc>
      </w:tr>
      <w:tr w14:paraId="6C95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03E175B6">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5246" w:type="dxa"/>
            <w:tcBorders>
              <w:top w:val="single" w:color="auto" w:sz="4" w:space="0"/>
              <w:left w:val="single" w:color="auto" w:sz="4" w:space="0"/>
              <w:bottom w:val="single" w:color="auto" w:sz="4" w:space="0"/>
              <w:right w:val="single" w:color="auto" w:sz="4" w:space="0"/>
            </w:tcBorders>
            <w:vAlign w:val="center"/>
          </w:tcPr>
          <w:p w14:paraId="7B6D6ED3">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bCs/>
                <w:color w:val="auto"/>
                <w:kern w:val="0"/>
                <w:sz w:val="21"/>
                <w:szCs w:val="21"/>
                <w:highlight w:val="none"/>
                <w:u w:val="single"/>
              </w:rPr>
              <w:t>（若为联合体投标，由联合体主办方提供）</w:t>
            </w:r>
            <w:r>
              <w:rPr>
                <w:rFonts w:hint="eastAsia" w:ascii="宋体" w:hAnsi="宋体" w:cs="宋体"/>
                <w:color w:val="auto"/>
                <w:szCs w:val="21"/>
                <w:highlight w:val="none"/>
              </w:rPr>
              <w:t>完成过的类似工程业绩符合公告要求</w:t>
            </w:r>
          </w:p>
        </w:tc>
        <w:tc>
          <w:tcPr>
            <w:tcW w:w="7612" w:type="dxa"/>
            <w:tcBorders>
              <w:top w:val="single" w:color="auto" w:sz="4" w:space="0"/>
              <w:left w:val="single" w:color="auto" w:sz="4" w:space="0"/>
              <w:bottom w:val="single" w:color="auto" w:sz="4" w:space="0"/>
              <w:right w:val="single" w:color="auto" w:sz="4" w:space="0"/>
            </w:tcBorders>
            <w:vAlign w:val="center"/>
          </w:tcPr>
          <w:p w14:paraId="30419F32">
            <w:pPr>
              <w:spacing w:before="120" w:after="6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按招标公告要求提供；</w:t>
            </w:r>
          </w:p>
        </w:tc>
        <w:tc>
          <w:tcPr>
            <w:tcW w:w="1086" w:type="dxa"/>
            <w:tcBorders>
              <w:top w:val="single" w:color="auto" w:sz="4" w:space="0"/>
              <w:left w:val="single" w:color="auto" w:sz="4" w:space="0"/>
              <w:bottom w:val="single" w:color="auto" w:sz="4" w:space="0"/>
              <w:right w:val="single" w:color="auto" w:sz="4" w:space="0"/>
            </w:tcBorders>
            <w:vAlign w:val="center"/>
          </w:tcPr>
          <w:p w14:paraId="60851575">
            <w:pPr>
              <w:spacing w:before="120" w:after="60"/>
              <w:jc w:val="center"/>
              <w:rPr>
                <w:rFonts w:hint="eastAsia" w:ascii="宋体" w:hAnsi="宋体" w:cs="宋体"/>
                <w:color w:val="auto"/>
                <w:szCs w:val="21"/>
                <w:highlight w:val="none"/>
              </w:rPr>
            </w:pPr>
          </w:p>
        </w:tc>
      </w:tr>
      <w:tr w14:paraId="0195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DAAE1C0">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5246" w:type="dxa"/>
            <w:tcBorders>
              <w:top w:val="single" w:color="auto" w:sz="4" w:space="0"/>
              <w:left w:val="single" w:color="auto" w:sz="4" w:space="0"/>
              <w:bottom w:val="single" w:color="auto" w:sz="4" w:space="0"/>
              <w:right w:val="single" w:color="auto" w:sz="4" w:space="0"/>
            </w:tcBorders>
            <w:vAlign w:val="center"/>
          </w:tcPr>
          <w:p w14:paraId="0FA35BB1">
            <w:pPr>
              <w:spacing w:before="120" w:after="60"/>
              <w:rPr>
                <w:rFonts w:hint="eastAsia" w:ascii="宋体" w:hAnsi="宋体" w:cs="宋体"/>
                <w:color w:val="auto"/>
                <w:szCs w:val="21"/>
                <w:highlight w:val="none"/>
              </w:rPr>
            </w:pPr>
            <w:r>
              <w:rPr>
                <w:rFonts w:hint="eastAsia" w:ascii="宋体" w:hAnsi="宋体" w:cs="宋体"/>
                <w:color w:val="auto"/>
                <w:szCs w:val="21"/>
                <w:highlight w:val="none"/>
              </w:rPr>
              <w:t>资格审查前，投标人</w:t>
            </w:r>
            <w:r>
              <w:rPr>
                <w:rFonts w:hint="eastAsia" w:ascii="宋体" w:hAnsi="宋体" w:eastAsia="宋体" w:cs="宋体"/>
                <w:color w:val="auto"/>
                <w:sz w:val="21"/>
                <w:szCs w:val="21"/>
                <w:highlight w:val="none"/>
                <w:u w:val="single"/>
              </w:rPr>
              <w:t>（若为联合体投标，指联合体各方）</w:t>
            </w:r>
            <w:r>
              <w:rPr>
                <w:rFonts w:hint="eastAsia" w:ascii="宋体" w:hAnsi="宋体" w:cs="宋体"/>
                <w:color w:val="auto"/>
                <w:szCs w:val="21"/>
                <w:highlight w:val="none"/>
              </w:rPr>
              <w:t>须在广州市住建行业信用管理平台内建立企业信用档案及拟担任本工程项目负责人、专职安全员须是本企业</w:t>
            </w:r>
            <w:r>
              <w:rPr>
                <w:rFonts w:hint="eastAsia" w:ascii="宋体" w:hAnsi="宋体" w:eastAsia="宋体" w:cs="宋体"/>
                <w:color w:val="auto"/>
                <w:sz w:val="21"/>
                <w:szCs w:val="21"/>
                <w:highlight w:val="none"/>
                <w:u w:val="single"/>
              </w:rPr>
              <w:t>（若为联合体投标，指联合体主办方）</w:t>
            </w:r>
            <w:r>
              <w:rPr>
                <w:rFonts w:hint="eastAsia" w:ascii="宋体" w:hAnsi="宋体" w:cs="宋体"/>
                <w:color w:val="auto"/>
                <w:szCs w:val="21"/>
                <w:highlight w:val="none"/>
              </w:rPr>
              <w:t>中的在册人员；</w:t>
            </w:r>
          </w:p>
        </w:tc>
        <w:tc>
          <w:tcPr>
            <w:tcW w:w="7612" w:type="dxa"/>
            <w:tcBorders>
              <w:top w:val="single" w:color="auto" w:sz="4" w:space="0"/>
              <w:left w:val="single" w:color="auto" w:sz="4" w:space="0"/>
              <w:bottom w:val="single" w:color="auto" w:sz="4" w:space="0"/>
              <w:right w:val="single" w:color="auto" w:sz="4" w:space="0"/>
            </w:tcBorders>
            <w:vAlign w:val="center"/>
          </w:tcPr>
          <w:p w14:paraId="09016015">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tc>
        <w:tc>
          <w:tcPr>
            <w:tcW w:w="1086" w:type="dxa"/>
            <w:tcBorders>
              <w:top w:val="single" w:color="auto" w:sz="4" w:space="0"/>
              <w:left w:val="single" w:color="auto" w:sz="4" w:space="0"/>
              <w:bottom w:val="single" w:color="auto" w:sz="4" w:space="0"/>
              <w:right w:val="single" w:color="auto" w:sz="4" w:space="0"/>
            </w:tcBorders>
            <w:vAlign w:val="center"/>
          </w:tcPr>
          <w:p w14:paraId="14CFC3BF">
            <w:pPr>
              <w:spacing w:before="120" w:after="60"/>
              <w:jc w:val="center"/>
              <w:rPr>
                <w:rFonts w:hint="eastAsia" w:ascii="宋体" w:hAnsi="宋体" w:cs="宋体"/>
                <w:color w:val="auto"/>
                <w:szCs w:val="21"/>
                <w:highlight w:val="none"/>
              </w:rPr>
            </w:pPr>
          </w:p>
        </w:tc>
      </w:tr>
      <w:tr w14:paraId="5720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5C98E8C">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5246" w:type="dxa"/>
            <w:tcBorders>
              <w:top w:val="single" w:color="auto" w:sz="4" w:space="0"/>
              <w:left w:val="single" w:color="auto" w:sz="4" w:space="0"/>
              <w:bottom w:val="single" w:color="auto" w:sz="4" w:space="0"/>
              <w:right w:val="single" w:color="auto" w:sz="4" w:space="0"/>
            </w:tcBorders>
            <w:vAlign w:val="center"/>
          </w:tcPr>
          <w:p w14:paraId="306E6DEC">
            <w:pPr>
              <w:spacing w:before="120" w:after="6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u w:val="single"/>
              </w:rPr>
              <w:t>（若为联合体投标，指联合体各方）</w:t>
            </w:r>
            <w:r>
              <w:rPr>
                <w:rFonts w:hint="eastAsia" w:ascii="宋体" w:hAnsi="宋体" w:cs="宋体"/>
                <w:color w:val="auto"/>
                <w:szCs w:val="21"/>
                <w:highlight w:val="none"/>
              </w:rPr>
              <w:t>未出现以下情形：与其它投标人的单位负责人为同一人或者存在控股、管理关系的（按投标人提供的《投标人声明》第八条内容进行评审）；</w:t>
            </w:r>
          </w:p>
        </w:tc>
        <w:tc>
          <w:tcPr>
            <w:tcW w:w="7612" w:type="dxa"/>
            <w:tcBorders>
              <w:top w:val="single" w:color="auto" w:sz="4" w:space="0"/>
              <w:left w:val="single" w:color="auto" w:sz="4" w:space="0"/>
              <w:bottom w:val="single" w:color="auto" w:sz="4" w:space="0"/>
              <w:right w:val="single" w:color="auto" w:sz="4" w:space="0"/>
            </w:tcBorders>
            <w:vAlign w:val="center"/>
          </w:tcPr>
          <w:p w14:paraId="01FD7702">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u w:val="single"/>
              </w:rPr>
              <w:t>《投标人声明（适用于独立投标或联合体主办方）》</w:t>
            </w:r>
            <w:r>
              <w:rPr>
                <w:rFonts w:hint="eastAsia" w:ascii="宋体" w:hAnsi="宋体" w:eastAsia="宋体" w:cs="宋体"/>
                <w:bCs/>
                <w:color w:val="auto"/>
                <w:sz w:val="21"/>
                <w:szCs w:val="21"/>
                <w:highlight w:val="none"/>
                <w:u w:val="single"/>
              </w:rPr>
              <w:t>及《投标人声明（适用于联合体成员方）》（若为联合体投标，成员方需提供《投标人声明（适用于联合体成员方）》；若为独立投标人，无需提供《投标人声明（适用于联合体成员方）》）</w:t>
            </w:r>
            <w:r>
              <w:rPr>
                <w:rFonts w:hint="eastAsia" w:ascii="宋体" w:hAnsi="宋体" w:eastAsia="宋体" w:cs="宋体"/>
                <w:bCs/>
                <w:color w:val="auto"/>
                <w:sz w:val="21"/>
                <w:szCs w:val="21"/>
                <w:highlight w:val="none"/>
                <w:u w:val="single"/>
                <w:lang w:eastAsia="zh-CN"/>
              </w:rPr>
              <w:t>扫描件。</w:t>
            </w:r>
          </w:p>
          <w:p w14:paraId="177BCC9B">
            <w:pPr>
              <w:spacing w:before="120" w:after="60"/>
              <w:jc w:val="left"/>
              <w:rPr>
                <w:rFonts w:hint="eastAsia" w:ascii="宋体" w:hAnsi="宋体" w:cs="宋体"/>
                <w:color w:val="auto"/>
                <w:szCs w:val="21"/>
                <w:highlight w:val="none"/>
              </w:rPr>
            </w:pPr>
            <w:r>
              <w:rPr>
                <w:rFonts w:hint="eastAsia"/>
                <w:color w:val="auto"/>
                <w:highlight w:val="none"/>
                <w:lang w:val="en-US" w:eastAsia="zh-CN"/>
              </w:rPr>
              <w:t>若投标人未列全符合相关条件的单位，但同时未列全的相关单位未参与本项目投标的，不视为该投标人违反了本条规定，不作为对其投标文件进行无效标处理的依据。</w:t>
            </w:r>
          </w:p>
        </w:tc>
        <w:tc>
          <w:tcPr>
            <w:tcW w:w="1086" w:type="dxa"/>
            <w:tcBorders>
              <w:top w:val="single" w:color="auto" w:sz="4" w:space="0"/>
              <w:left w:val="single" w:color="auto" w:sz="4" w:space="0"/>
              <w:bottom w:val="single" w:color="auto" w:sz="4" w:space="0"/>
              <w:right w:val="single" w:color="auto" w:sz="4" w:space="0"/>
            </w:tcBorders>
            <w:vAlign w:val="center"/>
          </w:tcPr>
          <w:p w14:paraId="03650FEF">
            <w:pPr>
              <w:spacing w:before="120" w:after="60"/>
              <w:jc w:val="center"/>
              <w:rPr>
                <w:rFonts w:hint="eastAsia" w:ascii="宋体" w:hAnsi="宋体" w:cs="宋体"/>
                <w:color w:val="auto"/>
                <w:szCs w:val="21"/>
                <w:highlight w:val="none"/>
              </w:rPr>
            </w:pPr>
          </w:p>
        </w:tc>
      </w:tr>
      <w:tr w14:paraId="46B6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4E78BBA">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5246" w:type="dxa"/>
            <w:tcBorders>
              <w:top w:val="single" w:color="auto" w:sz="4" w:space="0"/>
              <w:left w:val="single" w:color="auto" w:sz="4" w:space="0"/>
              <w:bottom w:val="single" w:color="auto" w:sz="4" w:space="0"/>
              <w:right w:val="single" w:color="auto" w:sz="4" w:space="0"/>
            </w:tcBorders>
            <w:vAlign w:val="center"/>
          </w:tcPr>
          <w:p w14:paraId="61E82527">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u w:val="single"/>
              </w:rPr>
              <w:t>（若为联合体投标，指联合体各方）</w:t>
            </w:r>
            <w:r>
              <w:rPr>
                <w:rFonts w:hint="eastAsia" w:ascii="宋体" w:hAnsi="宋体" w:cs="宋体"/>
                <w:color w:val="auto"/>
                <w:szCs w:val="21"/>
                <w:highlight w:val="none"/>
              </w:rPr>
              <w:t>未被列入拖欠农民工工资失信联合惩戒对象名单；</w:t>
            </w:r>
          </w:p>
        </w:tc>
        <w:tc>
          <w:tcPr>
            <w:tcW w:w="7612" w:type="dxa"/>
            <w:tcBorders>
              <w:top w:val="single" w:color="auto" w:sz="4" w:space="0"/>
              <w:left w:val="single" w:color="auto" w:sz="4" w:space="0"/>
              <w:bottom w:val="single" w:color="auto" w:sz="4" w:space="0"/>
              <w:right w:val="single" w:color="auto" w:sz="4" w:space="0"/>
            </w:tcBorders>
            <w:vAlign w:val="center"/>
          </w:tcPr>
          <w:p w14:paraId="21E6270E">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投标人无需提供资料，资格审查时按广州交易集团有限公司（广州公共资源交易中心）交易系统比对的结果进行评审；</w:t>
            </w:r>
          </w:p>
        </w:tc>
        <w:tc>
          <w:tcPr>
            <w:tcW w:w="1086" w:type="dxa"/>
            <w:tcBorders>
              <w:top w:val="single" w:color="auto" w:sz="4" w:space="0"/>
              <w:left w:val="single" w:color="auto" w:sz="4" w:space="0"/>
              <w:bottom w:val="single" w:color="auto" w:sz="4" w:space="0"/>
              <w:right w:val="single" w:color="auto" w:sz="4" w:space="0"/>
            </w:tcBorders>
            <w:vAlign w:val="center"/>
          </w:tcPr>
          <w:p w14:paraId="15750E6B">
            <w:pPr>
              <w:spacing w:before="120" w:after="60"/>
              <w:jc w:val="center"/>
              <w:rPr>
                <w:rFonts w:hint="eastAsia" w:ascii="宋体" w:hAnsi="宋体" w:cs="宋体"/>
                <w:color w:val="auto"/>
                <w:szCs w:val="21"/>
                <w:highlight w:val="none"/>
              </w:rPr>
            </w:pPr>
          </w:p>
        </w:tc>
      </w:tr>
      <w:tr w14:paraId="3D33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FC46596">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5246" w:type="dxa"/>
            <w:tcBorders>
              <w:top w:val="single" w:color="auto" w:sz="4" w:space="0"/>
              <w:left w:val="single" w:color="auto" w:sz="4" w:space="0"/>
              <w:bottom w:val="single" w:color="auto" w:sz="4" w:space="0"/>
              <w:right w:val="single" w:color="auto" w:sz="4" w:space="0"/>
            </w:tcBorders>
            <w:vAlign w:val="center"/>
          </w:tcPr>
          <w:p w14:paraId="5C7A1F41">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未在以往工程中因不充分履约行为被本项目招标人书面拒绝投标的</w:t>
            </w:r>
            <w:r>
              <w:rPr>
                <w:rFonts w:hint="eastAsia" w:ascii="宋体" w:hAnsi="宋体" w:eastAsia="宋体" w:cs="宋体"/>
                <w:color w:val="auto"/>
                <w:sz w:val="21"/>
                <w:szCs w:val="21"/>
                <w:highlight w:val="none"/>
                <w:u w:val="single"/>
              </w:rPr>
              <w:t>（若为联合体投标，指联合体各方）</w:t>
            </w:r>
          </w:p>
        </w:tc>
        <w:tc>
          <w:tcPr>
            <w:tcW w:w="7612" w:type="dxa"/>
            <w:tcBorders>
              <w:top w:val="single" w:color="auto" w:sz="4" w:space="0"/>
              <w:left w:val="single" w:color="auto" w:sz="4" w:space="0"/>
              <w:bottom w:val="single" w:color="auto" w:sz="4" w:space="0"/>
              <w:right w:val="single" w:color="auto" w:sz="4" w:space="0"/>
            </w:tcBorders>
            <w:vAlign w:val="center"/>
          </w:tcPr>
          <w:p w14:paraId="540DF2E1">
            <w:pPr>
              <w:spacing w:before="120" w:after="60"/>
              <w:jc w:val="left"/>
              <w:rPr>
                <w:rFonts w:hint="eastAsia" w:ascii="宋体" w:hAnsi="宋体" w:cs="宋体"/>
                <w:color w:val="auto"/>
                <w:szCs w:val="21"/>
                <w:highlight w:val="none"/>
              </w:rPr>
            </w:pPr>
            <w:r>
              <w:rPr>
                <w:rFonts w:hint="eastAsia" w:ascii="宋体" w:hAnsi="宋体" w:cs="宋体"/>
                <w:color w:val="auto"/>
                <w:szCs w:val="21"/>
                <w:highlight w:val="none"/>
              </w:rPr>
              <w:t>招标人无书面拒绝投标的企业名单。</w:t>
            </w:r>
          </w:p>
        </w:tc>
        <w:tc>
          <w:tcPr>
            <w:tcW w:w="1086" w:type="dxa"/>
            <w:tcBorders>
              <w:top w:val="single" w:color="auto" w:sz="4" w:space="0"/>
              <w:left w:val="single" w:color="auto" w:sz="4" w:space="0"/>
              <w:bottom w:val="single" w:color="auto" w:sz="4" w:space="0"/>
              <w:right w:val="single" w:color="auto" w:sz="4" w:space="0"/>
            </w:tcBorders>
            <w:vAlign w:val="center"/>
          </w:tcPr>
          <w:p w14:paraId="362B7BA7">
            <w:pPr>
              <w:spacing w:before="120" w:after="60"/>
              <w:jc w:val="center"/>
              <w:rPr>
                <w:rFonts w:hint="eastAsia" w:ascii="宋体" w:hAnsi="宋体" w:cs="宋体"/>
                <w:color w:val="auto"/>
                <w:szCs w:val="21"/>
                <w:highlight w:val="none"/>
              </w:rPr>
            </w:pPr>
          </w:p>
        </w:tc>
      </w:tr>
    </w:tbl>
    <w:p w14:paraId="7DE741F7">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 xml:space="preserve">备注：1、每一项目符合的打“○”，不符合的打“×”； </w:t>
      </w:r>
    </w:p>
    <w:p w14:paraId="2BDA95B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14:paraId="7BAD95F7">
      <w:pPr>
        <w:ind w:firstLine="420" w:firstLineChars="200"/>
        <w:rPr>
          <w:rFonts w:hint="eastAsia" w:ascii="宋体" w:hAnsi="宋体" w:cs="宋体"/>
          <w:b/>
          <w:bCs/>
          <w:color w:val="auto"/>
          <w:highlight w:val="none"/>
          <w:u w:val="single"/>
        </w:rPr>
        <w:sectPr>
          <w:endnotePr>
            <w:numFmt w:val="decimal"/>
          </w:endnotePr>
          <w:pgSz w:w="16838" w:h="11906" w:orient="landscape"/>
          <w:pgMar w:top="1440" w:right="1080" w:bottom="1440" w:left="1080" w:header="851" w:footer="907" w:gutter="0"/>
          <w:cols w:space="720" w:num="1"/>
          <w:titlePg/>
          <w:docGrid w:type="linesAndChars" w:linePitch="312" w:charSpace="0"/>
        </w:sectPr>
      </w:pPr>
      <w:r>
        <w:rPr>
          <w:rFonts w:hint="eastAsia" w:ascii="宋体" w:hAnsi="宋体" w:cs="宋体"/>
          <w:b/>
          <w:bCs/>
          <w:color w:val="auto"/>
          <w:szCs w:val="21"/>
          <w:highlight w:val="none"/>
          <w:u w:val="singl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D5F2FCC">
      <w:pPr>
        <w:pStyle w:val="4"/>
        <w:spacing w:line="240" w:lineRule="auto"/>
        <w:jc w:val="left"/>
        <w:rPr>
          <w:rFonts w:hint="eastAsia"/>
          <w:color w:val="auto"/>
          <w:highlight w:val="none"/>
        </w:rPr>
      </w:pPr>
      <w:bookmarkStart w:id="170" w:name="_Toc9291"/>
      <w:bookmarkStart w:id="171" w:name="_Toc9180"/>
      <w:bookmarkStart w:id="172" w:name="_Toc18533"/>
      <w:bookmarkStart w:id="173" w:name="_Toc25570"/>
      <w:bookmarkStart w:id="174" w:name="_Toc9663"/>
      <w:bookmarkStart w:id="175" w:name="_Toc28701"/>
      <w:bookmarkStart w:id="176" w:name="_Toc21395"/>
      <w:bookmarkStart w:id="177" w:name="_Toc28868"/>
      <w:bookmarkStart w:id="178" w:name="_Toc29687"/>
      <w:bookmarkStart w:id="179" w:name="_Toc26098"/>
      <w:bookmarkStart w:id="180" w:name="_Toc14138"/>
      <w:bookmarkStart w:id="181" w:name="_Toc30974"/>
      <w:r>
        <w:rPr>
          <w:rFonts w:hint="eastAsia"/>
          <w:color w:val="auto"/>
          <w:highlight w:val="none"/>
        </w:rPr>
        <w:t>附表二</w:t>
      </w:r>
      <w:bookmarkEnd w:id="170"/>
      <w:bookmarkEnd w:id="171"/>
      <w:bookmarkEnd w:id="172"/>
      <w:bookmarkEnd w:id="173"/>
      <w:bookmarkEnd w:id="174"/>
      <w:bookmarkEnd w:id="175"/>
      <w:bookmarkEnd w:id="176"/>
      <w:bookmarkEnd w:id="177"/>
      <w:bookmarkEnd w:id="178"/>
      <w:bookmarkEnd w:id="179"/>
      <w:bookmarkEnd w:id="180"/>
      <w:bookmarkEnd w:id="181"/>
    </w:p>
    <w:p w14:paraId="57B983BE">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14:paraId="02FFF9AD">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2"/>
        <w:tblW w:w="14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0546"/>
        <w:gridCol w:w="840"/>
        <w:gridCol w:w="860"/>
        <w:gridCol w:w="880"/>
        <w:gridCol w:w="890"/>
      </w:tblGrid>
      <w:tr w14:paraId="3657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23" w:type="dxa"/>
            <w:tcBorders>
              <w:top w:val="single" w:color="auto" w:sz="4" w:space="0"/>
              <w:left w:val="single" w:color="auto" w:sz="4" w:space="0"/>
              <w:bottom w:val="single" w:color="auto" w:sz="4" w:space="0"/>
              <w:right w:val="single" w:color="auto" w:sz="4" w:space="0"/>
            </w:tcBorders>
            <w:vAlign w:val="center"/>
          </w:tcPr>
          <w:p w14:paraId="311A19AC">
            <w:pPr>
              <w:adjustRightInd w:val="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546" w:type="dxa"/>
            <w:tcBorders>
              <w:top w:val="single" w:color="auto" w:sz="4" w:space="0"/>
              <w:left w:val="single" w:color="auto" w:sz="4" w:space="0"/>
              <w:bottom w:val="single" w:color="auto" w:sz="4" w:space="0"/>
              <w:right w:val="single" w:color="auto" w:sz="4" w:space="0"/>
              <w:tl2br w:val="single" w:color="auto" w:sz="4" w:space="0"/>
            </w:tcBorders>
          </w:tcPr>
          <w:p w14:paraId="51579B53">
            <w:pPr>
              <w:adjustRightInd w:val="0"/>
              <w:ind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投标人</w:t>
            </w:r>
          </w:p>
          <w:p w14:paraId="28EEA6B4">
            <w:pPr>
              <w:adjustRightInd w:val="0"/>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840" w:type="dxa"/>
            <w:tcBorders>
              <w:top w:val="single" w:color="auto" w:sz="4" w:space="0"/>
              <w:left w:val="single" w:color="auto" w:sz="4" w:space="0"/>
              <w:bottom w:val="single" w:color="auto" w:sz="4" w:space="0"/>
              <w:right w:val="single" w:color="auto" w:sz="4" w:space="0"/>
            </w:tcBorders>
          </w:tcPr>
          <w:p w14:paraId="667E2247">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0FF5E44C">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743FDAA">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36675C98">
            <w:pPr>
              <w:adjustRightInd w:val="0"/>
              <w:rPr>
                <w:rFonts w:hint="eastAsia" w:ascii="宋体" w:hAnsi="宋体" w:cs="宋体"/>
                <w:color w:val="auto"/>
                <w:szCs w:val="21"/>
                <w:highlight w:val="none"/>
              </w:rPr>
            </w:pPr>
          </w:p>
        </w:tc>
      </w:tr>
      <w:tr w14:paraId="7B3D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vAlign w:val="center"/>
          </w:tcPr>
          <w:p w14:paraId="6739B550">
            <w:pPr>
              <w:adjustRightInd w:val="0"/>
              <w:rPr>
                <w:rFonts w:hint="eastAsia" w:ascii="宋体" w:hAnsi="宋体" w:cs="宋体"/>
                <w:color w:val="auto"/>
                <w:szCs w:val="21"/>
                <w:highlight w:val="none"/>
              </w:rPr>
            </w:pPr>
            <w:r>
              <w:rPr>
                <w:rFonts w:hint="eastAsia" w:ascii="宋体" w:hAnsi="宋体" w:cs="宋体"/>
                <w:color w:val="auto"/>
                <w:szCs w:val="21"/>
                <w:highlight w:val="none"/>
              </w:rPr>
              <w:t>1</w:t>
            </w:r>
          </w:p>
        </w:tc>
        <w:tc>
          <w:tcPr>
            <w:tcW w:w="10546" w:type="dxa"/>
            <w:tcBorders>
              <w:top w:val="single" w:color="auto" w:sz="4" w:space="0"/>
              <w:left w:val="single" w:color="auto" w:sz="4" w:space="0"/>
              <w:bottom w:val="single" w:color="auto" w:sz="4" w:space="0"/>
              <w:right w:val="single" w:color="auto" w:sz="4" w:space="0"/>
            </w:tcBorders>
            <w:vAlign w:val="center"/>
          </w:tcPr>
          <w:p w14:paraId="2BEDB92C">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《广州建设工程施工招标投标书（技术标）》中填报的投标总工期不符合招标文件要求的；</w:t>
            </w:r>
          </w:p>
        </w:tc>
        <w:tc>
          <w:tcPr>
            <w:tcW w:w="840" w:type="dxa"/>
            <w:tcBorders>
              <w:top w:val="single" w:color="auto" w:sz="4" w:space="0"/>
              <w:left w:val="single" w:color="auto" w:sz="4" w:space="0"/>
              <w:bottom w:val="single" w:color="auto" w:sz="4" w:space="0"/>
              <w:right w:val="single" w:color="auto" w:sz="4" w:space="0"/>
            </w:tcBorders>
          </w:tcPr>
          <w:p w14:paraId="59E5912B">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56FF03B3">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03DC525">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2CC0CB20">
            <w:pPr>
              <w:adjustRightInd w:val="0"/>
              <w:rPr>
                <w:rFonts w:hint="eastAsia" w:ascii="宋体" w:hAnsi="宋体" w:cs="宋体"/>
                <w:color w:val="auto"/>
                <w:szCs w:val="21"/>
                <w:highlight w:val="none"/>
              </w:rPr>
            </w:pPr>
          </w:p>
        </w:tc>
      </w:tr>
      <w:tr w14:paraId="383C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vAlign w:val="center"/>
          </w:tcPr>
          <w:p w14:paraId="7872D261">
            <w:pPr>
              <w:adjustRightInd w:val="0"/>
              <w:rPr>
                <w:rFonts w:hint="eastAsia" w:ascii="宋体" w:hAnsi="宋体" w:cs="宋体"/>
                <w:color w:val="auto"/>
                <w:szCs w:val="21"/>
                <w:highlight w:val="none"/>
              </w:rPr>
            </w:pPr>
            <w:r>
              <w:rPr>
                <w:rFonts w:hint="eastAsia" w:ascii="宋体" w:hAnsi="宋体" w:cs="宋体"/>
                <w:color w:val="auto"/>
                <w:szCs w:val="21"/>
                <w:highlight w:val="none"/>
              </w:rPr>
              <w:t>2</w:t>
            </w:r>
          </w:p>
        </w:tc>
        <w:tc>
          <w:tcPr>
            <w:tcW w:w="10546" w:type="dxa"/>
            <w:tcBorders>
              <w:top w:val="single" w:color="auto" w:sz="4" w:space="0"/>
              <w:left w:val="single" w:color="auto" w:sz="4" w:space="0"/>
              <w:bottom w:val="single" w:color="auto" w:sz="4" w:space="0"/>
              <w:right w:val="single" w:color="auto" w:sz="4" w:space="0"/>
            </w:tcBorders>
            <w:vAlign w:val="center"/>
          </w:tcPr>
          <w:p w14:paraId="67FDD649">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《广州建设工程施工招标投标书（技术标）》中填报的工程质量标准不符合招标文件要求的；</w:t>
            </w:r>
          </w:p>
        </w:tc>
        <w:tc>
          <w:tcPr>
            <w:tcW w:w="840" w:type="dxa"/>
            <w:tcBorders>
              <w:top w:val="single" w:color="auto" w:sz="4" w:space="0"/>
              <w:left w:val="single" w:color="auto" w:sz="4" w:space="0"/>
              <w:bottom w:val="single" w:color="auto" w:sz="4" w:space="0"/>
              <w:right w:val="single" w:color="auto" w:sz="4" w:space="0"/>
            </w:tcBorders>
          </w:tcPr>
          <w:p w14:paraId="1012A2E3">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35FF9550">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290FF668">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646CAD2D">
            <w:pPr>
              <w:adjustRightInd w:val="0"/>
              <w:rPr>
                <w:rFonts w:hint="eastAsia" w:ascii="宋体" w:hAnsi="宋体" w:cs="宋体"/>
                <w:color w:val="auto"/>
                <w:szCs w:val="21"/>
                <w:highlight w:val="none"/>
              </w:rPr>
            </w:pPr>
          </w:p>
        </w:tc>
      </w:tr>
      <w:tr w14:paraId="60A0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02984710">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3</w:t>
            </w:r>
          </w:p>
        </w:tc>
        <w:tc>
          <w:tcPr>
            <w:tcW w:w="10546" w:type="dxa"/>
            <w:tcBorders>
              <w:top w:val="single" w:color="auto" w:sz="4" w:space="0"/>
              <w:left w:val="single" w:color="auto" w:sz="4" w:space="0"/>
              <w:bottom w:val="single" w:color="auto" w:sz="4" w:space="0"/>
              <w:right w:val="single" w:color="auto" w:sz="4" w:space="0"/>
            </w:tcBorders>
            <w:vAlign w:val="center"/>
          </w:tcPr>
          <w:p w14:paraId="26EACFE9">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投标文件中没有有效的法定代表人证明书，或由委托代理人签署的投标文件中没有法定代表人授权书；</w:t>
            </w:r>
          </w:p>
        </w:tc>
        <w:tc>
          <w:tcPr>
            <w:tcW w:w="840" w:type="dxa"/>
            <w:tcBorders>
              <w:top w:val="single" w:color="auto" w:sz="4" w:space="0"/>
              <w:left w:val="single" w:color="auto" w:sz="4" w:space="0"/>
              <w:bottom w:val="single" w:color="auto" w:sz="4" w:space="0"/>
              <w:right w:val="single" w:color="auto" w:sz="4" w:space="0"/>
            </w:tcBorders>
          </w:tcPr>
          <w:p w14:paraId="1936DFBC">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693201B7">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3E78C231">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39BE9D2E">
            <w:pPr>
              <w:adjustRightInd w:val="0"/>
              <w:rPr>
                <w:rFonts w:hint="eastAsia" w:ascii="宋体" w:hAnsi="宋体" w:cs="宋体"/>
                <w:color w:val="auto"/>
                <w:szCs w:val="21"/>
                <w:highlight w:val="none"/>
              </w:rPr>
            </w:pPr>
          </w:p>
        </w:tc>
      </w:tr>
      <w:tr w14:paraId="49C1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11878FBF">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4</w:t>
            </w:r>
          </w:p>
        </w:tc>
        <w:tc>
          <w:tcPr>
            <w:tcW w:w="10546" w:type="dxa"/>
            <w:tcBorders>
              <w:top w:val="single" w:color="auto" w:sz="4" w:space="0"/>
              <w:left w:val="single" w:color="auto" w:sz="4" w:space="0"/>
              <w:bottom w:val="single" w:color="auto" w:sz="4" w:space="0"/>
              <w:right w:val="single" w:color="auto" w:sz="4" w:space="0"/>
            </w:tcBorders>
            <w:vAlign w:val="center"/>
          </w:tcPr>
          <w:p w14:paraId="18A23EAC">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（指招标文件第四章提供格式的《广州建设工程施工招标投标书（技术标）》、《投标函》、《标函承诺书》、《项目负责人驻场承诺书》、《危险性较大的分部分项工程安全管理措施》</w:t>
            </w:r>
            <w:r>
              <w:rPr>
                <w:rFonts w:hint="eastAsia" w:ascii="宋体" w:hAnsi="宋体" w:cs="宋体"/>
                <w:color w:val="auto"/>
                <w:szCs w:val="21"/>
                <w:highlight w:val="none"/>
              </w:rPr>
              <w:t>，或主要内容（指投标文件组成内容）不全，或关键字迹模糊、无法辨认的；</w:t>
            </w:r>
          </w:p>
        </w:tc>
        <w:tc>
          <w:tcPr>
            <w:tcW w:w="840" w:type="dxa"/>
            <w:tcBorders>
              <w:top w:val="single" w:color="auto" w:sz="4" w:space="0"/>
              <w:left w:val="single" w:color="auto" w:sz="4" w:space="0"/>
              <w:bottom w:val="single" w:color="auto" w:sz="4" w:space="0"/>
              <w:right w:val="single" w:color="auto" w:sz="4" w:space="0"/>
            </w:tcBorders>
          </w:tcPr>
          <w:p w14:paraId="234B0D60">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114CDAE5">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4C762D73">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6CBA7FB3">
            <w:pPr>
              <w:adjustRightInd w:val="0"/>
              <w:rPr>
                <w:rFonts w:hint="eastAsia" w:ascii="宋体" w:hAnsi="宋体" w:cs="宋体"/>
                <w:color w:val="auto"/>
                <w:szCs w:val="21"/>
                <w:highlight w:val="none"/>
              </w:rPr>
            </w:pPr>
          </w:p>
        </w:tc>
      </w:tr>
      <w:tr w14:paraId="5C73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2C785C27">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5</w:t>
            </w:r>
          </w:p>
        </w:tc>
        <w:tc>
          <w:tcPr>
            <w:tcW w:w="10546" w:type="dxa"/>
            <w:tcBorders>
              <w:top w:val="single" w:color="auto" w:sz="4" w:space="0"/>
              <w:left w:val="single" w:color="auto" w:sz="4" w:space="0"/>
              <w:bottom w:val="single" w:color="auto" w:sz="4" w:space="0"/>
              <w:right w:val="single" w:color="auto" w:sz="4" w:space="0"/>
            </w:tcBorders>
            <w:vAlign w:val="center"/>
          </w:tcPr>
          <w:p w14:paraId="207402A9">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840" w:type="dxa"/>
            <w:tcBorders>
              <w:top w:val="single" w:color="auto" w:sz="4" w:space="0"/>
              <w:left w:val="single" w:color="auto" w:sz="4" w:space="0"/>
              <w:bottom w:val="single" w:color="auto" w:sz="4" w:space="0"/>
              <w:right w:val="single" w:color="auto" w:sz="4" w:space="0"/>
            </w:tcBorders>
          </w:tcPr>
          <w:p w14:paraId="1D96D39B">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3E409C5A">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4FBB07A1">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55208AA5">
            <w:pPr>
              <w:adjustRightInd w:val="0"/>
              <w:rPr>
                <w:rFonts w:hint="eastAsia" w:ascii="宋体" w:hAnsi="宋体" w:cs="宋体"/>
                <w:color w:val="auto"/>
                <w:szCs w:val="21"/>
                <w:highlight w:val="none"/>
              </w:rPr>
            </w:pPr>
          </w:p>
        </w:tc>
      </w:tr>
      <w:tr w14:paraId="2FF5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14:paraId="61FF9E10">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6</w:t>
            </w:r>
          </w:p>
        </w:tc>
        <w:tc>
          <w:tcPr>
            <w:tcW w:w="10546" w:type="dxa"/>
            <w:tcBorders>
              <w:top w:val="single" w:color="auto" w:sz="4" w:space="0"/>
              <w:left w:val="single" w:color="auto" w:sz="4" w:space="0"/>
              <w:bottom w:val="single" w:color="auto" w:sz="4" w:space="0"/>
              <w:right w:val="single" w:color="auto" w:sz="4" w:space="0"/>
            </w:tcBorders>
            <w:vAlign w:val="center"/>
          </w:tcPr>
          <w:p w14:paraId="265FB4A4">
            <w:pPr>
              <w:adjustRightInd w:val="0"/>
              <w:rPr>
                <w:rFonts w:hint="eastAsia" w:ascii="宋体" w:hAnsi="宋体" w:cs="宋体"/>
                <w:color w:val="auto"/>
                <w:szCs w:val="21"/>
                <w:highlight w:val="none"/>
              </w:rPr>
            </w:pPr>
            <w:r>
              <w:rPr>
                <w:rFonts w:hint="eastAsia" w:ascii="宋体" w:hAnsi="宋体" w:cs="宋体"/>
                <w:color w:val="auto"/>
                <w:szCs w:val="21"/>
                <w:highlight w:val="none"/>
              </w:rPr>
              <w:t>无《参与编制技术标投标文件人员名单》的；</w:t>
            </w:r>
          </w:p>
        </w:tc>
        <w:tc>
          <w:tcPr>
            <w:tcW w:w="840" w:type="dxa"/>
            <w:tcBorders>
              <w:top w:val="single" w:color="auto" w:sz="4" w:space="0"/>
              <w:left w:val="single" w:color="auto" w:sz="4" w:space="0"/>
              <w:bottom w:val="single" w:color="auto" w:sz="4" w:space="0"/>
              <w:right w:val="single" w:color="auto" w:sz="4" w:space="0"/>
            </w:tcBorders>
          </w:tcPr>
          <w:p w14:paraId="40A1AF7A">
            <w:pPr>
              <w:adjustRightInd w:val="0"/>
              <w:rPr>
                <w:rFonts w:hint="eastAsia" w:ascii="宋体" w:hAnsi="宋体" w:cs="宋体"/>
                <w:color w:val="auto"/>
                <w:szCs w:val="21"/>
                <w:highlight w:val="none"/>
                <w:shd w:val="pct10" w:color="auto" w:fill="FFFFFF"/>
              </w:rPr>
            </w:pPr>
          </w:p>
        </w:tc>
        <w:tc>
          <w:tcPr>
            <w:tcW w:w="860" w:type="dxa"/>
            <w:tcBorders>
              <w:top w:val="single" w:color="auto" w:sz="4" w:space="0"/>
              <w:left w:val="single" w:color="auto" w:sz="4" w:space="0"/>
              <w:bottom w:val="single" w:color="auto" w:sz="4" w:space="0"/>
              <w:right w:val="single" w:color="auto" w:sz="4" w:space="0"/>
            </w:tcBorders>
          </w:tcPr>
          <w:p w14:paraId="15D5A221">
            <w:pPr>
              <w:adjustRightInd w:val="0"/>
              <w:rPr>
                <w:rFonts w:hint="eastAsia" w:ascii="宋体" w:hAnsi="宋体" w:cs="宋体"/>
                <w:color w:val="auto"/>
                <w:szCs w:val="21"/>
                <w:highlight w:val="none"/>
                <w:shd w:val="pct10" w:color="auto" w:fill="FFFFFF"/>
              </w:rPr>
            </w:pPr>
          </w:p>
        </w:tc>
        <w:tc>
          <w:tcPr>
            <w:tcW w:w="880" w:type="dxa"/>
            <w:tcBorders>
              <w:top w:val="single" w:color="auto" w:sz="4" w:space="0"/>
              <w:left w:val="single" w:color="auto" w:sz="4" w:space="0"/>
              <w:bottom w:val="single" w:color="auto" w:sz="4" w:space="0"/>
              <w:right w:val="single" w:color="auto" w:sz="4" w:space="0"/>
            </w:tcBorders>
          </w:tcPr>
          <w:p w14:paraId="3FB9986A">
            <w:pPr>
              <w:adjustRightInd w:val="0"/>
              <w:rPr>
                <w:rFonts w:hint="eastAsia" w:ascii="宋体" w:hAnsi="宋体" w:cs="宋体"/>
                <w:color w:val="auto"/>
                <w:szCs w:val="21"/>
                <w:highlight w:val="none"/>
                <w:shd w:val="pct10" w:color="auto" w:fill="FFFFFF"/>
              </w:rPr>
            </w:pPr>
          </w:p>
        </w:tc>
        <w:tc>
          <w:tcPr>
            <w:tcW w:w="890" w:type="dxa"/>
            <w:tcBorders>
              <w:top w:val="single" w:color="auto" w:sz="4" w:space="0"/>
              <w:left w:val="single" w:color="auto" w:sz="4" w:space="0"/>
              <w:bottom w:val="single" w:color="auto" w:sz="4" w:space="0"/>
              <w:right w:val="single" w:color="auto" w:sz="4" w:space="0"/>
            </w:tcBorders>
          </w:tcPr>
          <w:p w14:paraId="4E18FED6">
            <w:pPr>
              <w:adjustRightInd w:val="0"/>
              <w:rPr>
                <w:rFonts w:hint="eastAsia" w:ascii="宋体" w:hAnsi="宋体" w:cs="宋体"/>
                <w:color w:val="auto"/>
                <w:szCs w:val="21"/>
                <w:highlight w:val="none"/>
                <w:shd w:val="pct10" w:color="auto" w:fill="FFFFFF"/>
              </w:rPr>
            </w:pPr>
          </w:p>
        </w:tc>
      </w:tr>
      <w:tr w14:paraId="26A6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6DBB0471">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7</w:t>
            </w:r>
          </w:p>
        </w:tc>
        <w:tc>
          <w:tcPr>
            <w:tcW w:w="10546" w:type="dxa"/>
            <w:tcBorders>
              <w:top w:val="single" w:color="auto" w:sz="4" w:space="0"/>
              <w:left w:val="single" w:color="auto" w:sz="4" w:space="0"/>
              <w:bottom w:val="single" w:color="auto" w:sz="4" w:space="0"/>
              <w:right w:val="single" w:color="auto" w:sz="4" w:space="0"/>
            </w:tcBorders>
            <w:vAlign w:val="center"/>
          </w:tcPr>
          <w:p w14:paraId="3AA665BA">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投标人与</w:t>
            </w:r>
            <w:r>
              <w:rPr>
                <w:rFonts w:hint="eastAsia" w:ascii="宋体" w:hAnsi="宋体" w:cs="宋体"/>
                <w:color w:val="auto"/>
                <w:szCs w:val="21"/>
                <w:highlight w:val="none"/>
                <w:u w:val="single"/>
              </w:rPr>
              <w:t>本项目</w:t>
            </w:r>
            <w:r>
              <w:rPr>
                <w:rFonts w:hint="eastAsia" w:ascii="宋体" w:hAnsi="宋体" w:cs="宋体"/>
                <w:color w:val="auto"/>
                <w:szCs w:val="21"/>
                <w:highlight w:val="none"/>
              </w:rPr>
              <w:t>其他投标人加密打包投标文件电脑机器特征码一致的</w:t>
            </w:r>
            <w:r>
              <w:rPr>
                <w:rFonts w:hint="eastAsia" w:ascii="宋体" w:hAnsi="宋体" w:cs="宋体"/>
                <w:color w:val="auto"/>
                <w:szCs w:val="21"/>
                <w:highlight w:val="none"/>
                <w:u w:val="single"/>
              </w:rPr>
              <w:t>(以交易平台评标系统的检索信息为准)</w:t>
            </w:r>
            <w:r>
              <w:rPr>
                <w:rFonts w:hint="eastAsia" w:ascii="宋体" w:hAnsi="宋体" w:cs="宋体"/>
                <w:color w:val="auto"/>
                <w:szCs w:val="21"/>
                <w:highlight w:val="none"/>
              </w:rPr>
              <w:t>。</w:t>
            </w:r>
          </w:p>
        </w:tc>
        <w:tc>
          <w:tcPr>
            <w:tcW w:w="840" w:type="dxa"/>
            <w:tcBorders>
              <w:top w:val="single" w:color="auto" w:sz="4" w:space="0"/>
              <w:left w:val="single" w:color="auto" w:sz="4" w:space="0"/>
              <w:bottom w:val="single" w:color="auto" w:sz="4" w:space="0"/>
              <w:right w:val="single" w:color="auto" w:sz="4" w:space="0"/>
            </w:tcBorders>
          </w:tcPr>
          <w:p w14:paraId="1C996205">
            <w:pPr>
              <w:adjustRightInd w:val="0"/>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tcPr>
          <w:p w14:paraId="43521E4D">
            <w:pPr>
              <w:adjustRightInd w:val="0"/>
              <w:rPr>
                <w:rFonts w:hint="eastAsia"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40614A90">
            <w:pPr>
              <w:adjustRightInd w:val="0"/>
              <w:rPr>
                <w:rFonts w:hint="eastAsia" w:ascii="宋体" w:hAnsi="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tcPr>
          <w:p w14:paraId="6F7640F0">
            <w:pPr>
              <w:adjustRightInd w:val="0"/>
              <w:rPr>
                <w:rFonts w:hint="eastAsia" w:ascii="宋体" w:hAnsi="宋体" w:cs="宋体"/>
                <w:color w:val="auto"/>
                <w:szCs w:val="21"/>
                <w:highlight w:val="none"/>
              </w:rPr>
            </w:pPr>
          </w:p>
        </w:tc>
      </w:tr>
    </w:tbl>
    <w:p w14:paraId="51294EC4">
      <w:pPr>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38BF8B1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u w:val="singl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cs="宋体"/>
          <w:color w:val="auto"/>
          <w:szCs w:val="21"/>
          <w:highlight w:val="none"/>
        </w:rPr>
        <w:t>若出现评标委员会否决投标的，应在评标报告中载明否决投标的具体情形、原因；</w:t>
      </w:r>
    </w:p>
    <w:p w14:paraId="2747118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14:paraId="6C780F4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54F00411">
      <w:pPr>
        <w:rPr>
          <w:rFonts w:hint="eastAsia" w:ascii="宋体" w:hAnsi="宋体" w:cs="宋体"/>
          <w:color w:val="auto"/>
          <w:highlight w:val="none"/>
        </w:rPr>
      </w:pPr>
      <w:r>
        <w:rPr>
          <w:rFonts w:hint="eastAsia" w:ascii="宋体" w:hAnsi="宋体" w:cs="宋体"/>
          <w:color w:val="auto"/>
          <w:szCs w:val="21"/>
          <w:highlight w:val="none"/>
        </w:rPr>
        <w:t>评委签名：</w:t>
      </w:r>
    </w:p>
    <w:p w14:paraId="16D8ED33">
      <w:pPr>
        <w:spacing w:line="360" w:lineRule="auto"/>
        <w:rPr>
          <w:rFonts w:hint="eastAsia" w:ascii="宋体" w:hAnsi="宋体" w:cs="宋体"/>
          <w:color w:val="auto"/>
          <w:highlight w:val="none"/>
        </w:rPr>
      </w:pPr>
    </w:p>
    <w:p w14:paraId="1B107C05">
      <w:pPr>
        <w:pStyle w:val="4"/>
        <w:spacing w:line="360" w:lineRule="auto"/>
        <w:jc w:val="left"/>
        <w:rPr>
          <w:rFonts w:hint="eastAsia"/>
          <w:color w:val="auto"/>
          <w:highlight w:val="none"/>
        </w:rPr>
      </w:pPr>
      <w:bookmarkStart w:id="182" w:name="_Toc24169"/>
      <w:bookmarkStart w:id="183" w:name="_Toc21779"/>
      <w:bookmarkStart w:id="184" w:name="_Toc20279"/>
      <w:bookmarkStart w:id="185" w:name="_Toc27099"/>
      <w:bookmarkStart w:id="186" w:name="_Toc20352"/>
      <w:bookmarkStart w:id="187" w:name="_Toc20737"/>
      <w:bookmarkStart w:id="188" w:name="_Toc5260"/>
      <w:r>
        <w:rPr>
          <w:rFonts w:hint="eastAsia"/>
          <w:color w:val="auto"/>
          <w:highlight w:val="none"/>
        </w:rPr>
        <w:t>附表三</w:t>
      </w:r>
      <w:bookmarkEnd w:id="182"/>
      <w:bookmarkEnd w:id="183"/>
      <w:bookmarkEnd w:id="184"/>
      <w:bookmarkEnd w:id="185"/>
      <w:bookmarkEnd w:id="186"/>
      <w:bookmarkEnd w:id="187"/>
      <w:bookmarkEnd w:id="188"/>
    </w:p>
    <w:p w14:paraId="62729206">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14:paraId="6058D196">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2"/>
        <w:tblW w:w="14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036"/>
        <w:gridCol w:w="843"/>
        <w:gridCol w:w="1038"/>
        <w:gridCol w:w="1038"/>
        <w:gridCol w:w="1038"/>
        <w:gridCol w:w="1038"/>
      </w:tblGrid>
      <w:tr w14:paraId="661A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2" w:type="dxa"/>
            <w:tcBorders>
              <w:top w:val="single" w:color="auto" w:sz="4" w:space="0"/>
              <w:left w:val="single" w:color="auto" w:sz="4" w:space="0"/>
              <w:bottom w:val="single" w:color="auto" w:sz="4" w:space="0"/>
              <w:right w:val="single" w:color="auto" w:sz="4" w:space="0"/>
            </w:tcBorders>
            <w:vAlign w:val="center"/>
          </w:tcPr>
          <w:p w14:paraId="4A6D466D">
            <w:pP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036" w:type="dxa"/>
            <w:tcBorders>
              <w:top w:val="single" w:color="auto" w:sz="4" w:space="0"/>
              <w:left w:val="single" w:color="auto" w:sz="4" w:space="0"/>
              <w:bottom w:val="single" w:color="auto" w:sz="4" w:space="0"/>
              <w:right w:val="single" w:color="auto" w:sz="4" w:space="0"/>
              <w:tl2br w:val="single" w:color="auto" w:sz="4" w:space="0"/>
            </w:tcBorders>
          </w:tcPr>
          <w:p w14:paraId="5D33A2C1">
            <w:pPr>
              <w:ind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投标人</w:t>
            </w:r>
          </w:p>
          <w:p w14:paraId="20F7BA2E">
            <w:pPr>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843" w:type="dxa"/>
            <w:tcBorders>
              <w:top w:val="single" w:color="auto" w:sz="4" w:space="0"/>
              <w:left w:val="single" w:color="auto" w:sz="4" w:space="0"/>
              <w:bottom w:val="single" w:color="auto" w:sz="4" w:space="0"/>
              <w:right w:val="single" w:color="auto" w:sz="4" w:space="0"/>
            </w:tcBorders>
          </w:tcPr>
          <w:p w14:paraId="5AAE380C">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68A90D2F">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386BA256">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143F840D">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63B9B326">
            <w:pPr>
              <w:rPr>
                <w:rFonts w:hint="eastAsia" w:ascii="宋体" w:hAnsi="宋体" w:cs="宋体"/>
                <w:color w:val="auto"/>
                <w:szCs w:val="21"/>
                <w:highlight w:val="none"/>
              </w:rPr>
            </w:pPr>
          </w:p>
        </w:tc>
      </w:tr>
      <w:tr w14:paraId="4B39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60B0382">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9036" w:type="dxa"/>
            <w:tcBorders>
              <w:top w:val="single" w:color="auto" w:sz="4" w:space="0"/>
              <w:left w:val="single" w:color="auto" w:sz="4" w:space="0"/>
              <w:bottom w:val="single" w:color="auto" w:sz="4" w:space="0"/>
              <w:right w:val="single" w:color="auto" w:sz="4" w:space="0"/>
            </w:tcBorders>
            <w:vAlign w:val="center"/>
          </w:tcPr>
          <w:p w14:paraId="0F926A1F">
            <w:pPr>
              <w:rPr>
                <w:rFonts w:hint="eastAsia"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843" w:type="dxa"/>
            <w:tcBorders>
              <w:top w:val="single" w:color="auto" w:sz="4" w:space="0"/>
              <w:left w:val="single" w:color="auto" w:sz="4" w:space="0"/>
              <w:bottom w:val="single" w:color="auto" w:sz="4" w:space="0"/>
              <w:right w:val="single" w:color="auto" w:sz="4" w:space="0"/>
            </w:tcBorders>
          </w:tcPr>
          <w:p w14:paraId="7EFDDD35">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6C1C3210">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10B97ABD">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36A65FEE">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27BAFAF0">
            <w:pPr>
              <w:rPr>
                <w:rFonts w:hint="eastAsia" w:ascii="宋体" w:hAnsi="宋体" w:cs="宋体"/>
                <w:color w:val="auto"/>
                <w:szCs w:val="21"/>
                <w:highlight w:val="none"/>
              </w:rPr>
            </w:pPr>
          </w:p>
        </w:tc>
      </w:tr>
      <w:tr w14:paraId="3B91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C21E15E">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9036" w:type="dxa"/>
            <w:tcBorders>
              <w:top w:val="single" w:color="auto" w:sz="4" w:space="0"/>
              <w:left w:val="single" w:color="auto" w:sz="4" w:space="0"/>
              <w:bottom w:val="single" w:color="auto" w:sz="4" w:space="0"/>
              <w:right w:val="single" w:color="auto" w:sz="4" w:space="0"/>
            </w:tcBorders>
            <w:vAlign w:val="center"/>
          </w:tcPr>
          <w:p w14:paraId="3ACFD6A6">
            <w:pPr>
              <w:rPr>
                <w:rFonts w:hint="eastAsia" w:ascii="宋体" w:hAnsi="宋体" w:cs="宋体"/>
                <w:color w:val="auto"/>
                <w:szCs w:val="21"/>
                <w:highlight w:val="none"/>
              </w:rPr>
            </w:pPr>
            <w:r>
              <w:rPr>
                <w:rFonts w:hint="eastAsia" w:ascii="宋体" w:hAnsi="宋体" w:cs="宋体"/>
                <w:color w:val="auto"/>
                <w:szCs w:val="21"/>
                <w:highlight w:val="none"/>
              </w:rPr>
              <w:t>投标报价高于对应最高投标限价的；</w:t>
            </w:r>
          </w:p>
        </w:tc>
        <w:tc>
          <w:tcPr>
            <w:tcW w:w="843" w:type="dxa"/>
            <w:tcBorders>
              <w:top w:val="single" w:color="auto" w:sz="4" w:space="0"/>
              <w:left w:val="single" w:color="auto" w:sz="4" w:space="0"/>
              <w:bottom w:val="single" w:color="auto" w:sz="4" w:space="0"/>
              <w:right w:val="single" w:color="auto" w:sz="4" w:space="0"/>
            </w:tcBorders>
          </w:tcPr>
          <w:p w14:paraId="526A6FC0">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584E0399">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43ECDF2C">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713A659C">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68590E93">
            <w:pPr>
              <w:rPr>
                <w:rFonts w:hint="eastAsia" w:ascii="宋体" w:hAnsi="宋体" w:cs="宋体"/>
                <w:color w:val="auto"/>
                <w:szCs w:val="21"/>
                <w:highlight w:val="none"/>
              </w:rPr>
            </w:pPr>
          </w:p>
        </w:tc>
      </w:tr>
      <w:tr w14:paraId="5BFB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14:paraId="47FEA26E">
            <w:pPr>
              <w:rPr>
                <w:rFonts w:hint="eastAsia" w:ascii="宋体" w:hAnsi="宋体" w:cs="宋体"/>
                <w:color w:val="auto"/>
                <w:szCs w:val="21"/>
                <w:highlight w:val="none"/>
              </w:rPr>
            </w:pPr>
            <w:r>
              <w:rPr>
                <w:rFonts w:hint="eastAsia" w:ascii="宋体" w:hAnsi="宋体" w:cs="宋体"/>
                <w:color w:val="auto"/>
                <w:szCs w:val="21"/>
                <w:highlight w:val="none"/>
              </w:rPr>
              <w:t>3</w:t>
            </w:r>
          </w:p>
        </w:tc>
        <w:tc>
          <w:tcPr>
            <w:tcW w:w="9036" w:type="dxa"/>
            <w:tcBorders>
              <w:top w:val="single" w:color="auto" w:sz="4" w:space="0"/>
              <w:left w:val="single" w:color="auto" w:sz="4" w:space="0"/>
              <w:bottom w:val="single" w:color="auto" w:sz="4" w:space="0"/>
              <w:right w:val="single" w:color="auto" w:sz="4" w:space="0"/>
            </w:tcBorders>
            <w:vAlign w:val="center"/>
          </w:tcPr>
          <w:p w14:paraId="0EAA35F3">
            <w:pPr>
              <w:autoSpaceDE w:val="0"/>
              <w:autoSpaceDN w:val="0"/>
              <w:adjustRightInd w:val="0"/>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对应成本警戒价，使得其投标报价可能低于其个别成本，并且投标人不能合理说明或者不能提供相关证明材料的，由评标委员会认定该投标人以低于成本报价竞标）；</w:t>
            </w:r>
          </w:p>
        </w:tc>
        <w:tc>
          <w:tcPr>
            <w:tcW w:w="843" w:type="dxa"/>
            <w:tcBorders>
              <w:top w:val="single" w:color="auto" w:sz="4" w:space="0"/>
              <w:left w:val="single" w:color="auto" w:sz="4" w:space="0"/>
              <w:bottom w:val="single" w:color="auto" w:sz="4" w:space="0"/>
              <w:right w:val="single" w:color="auto" w:sz="4" w:space="0"/>
            </w:tcBorders>
          </w:tcPr>
          <w:p w14:paraId="32E4528A">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7C3F58DD">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2541033C">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4A25CC78">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2721EFDC">
            <w:pPr>
              <w:rPr>
                <w:rFonts w:hint="eastAsia" w:ascii="宋体" w:hAnsi="宋体" w:cs="宋体"/>
                <w:color w:val="auto"/>
                <w:szCs w:val="21"/>
                <w:highlight w:val="none"/>
              </w:rPr>
            </w:pPr>
          </w:p>
        </w:tc>
      </w:tr>
      <w:tr w14:paraId="2D54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FC46052">
            <w:pPr>
              <w:rPr>
                <w:rFonts w:hint="eastAsia" w:ascii="宋体" w:hAnsi="宋体" w:cs="宋体"/>
                <w:color w:val="auto"/>
                <w:szCs w:val="21"/>
                <w:highlight w:val="none"/>
              </w:rPr>
            </w:pPr>
            <w:r>
              <w:rPr>
                <w:rFonts w:hint="eastAsia" w:ascii="宋体" w:hAnsi="宋体" w:cs="宋体"/>
                <w:color w:val="auto"/>
                <w:szCs w:val="21"/>
                <w:highlight w:val="none"/>
              </w:rPr>
              <w:t>4</w:t>
            </w:r>
          </w:p>
        </w:tc>
        <w:tc>
          <w:tcPr>
            <w:tcW w:w="9036" w:type="dxa"/>
            <w:tcBorders>
              <w:top w:val="single" w:color="auto" w:sz="4" w:space="0"/>
              <w:left w:val="single" w:color="auto" w:sz="4" w:space="0"/>
              <w:bottom w:val="single" w:color="auto" w:sz="4" w:space="0"/>
              <w:right w:val="single" w:color="auto" w:sz="4" w:space="0"/>
            </w:tcBorders>
            <w:vAlign w:val="center"/>
          </w:tcPr>
          <w:p w14:paraId="0BB01683">
            <w:pPr>
              <w:rPr>
                <w:rFonts w:hint="eastAsia" w:ascii="宋体" w:hAnsi="宋体" w:cs="宋体"/>
                <w:color w:val="auto"/>
                <w:szCs w:val="21"/>
                <w:highlight w:val="non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（指招标文件第四章提供格式的《广州建设工程施工招标投标书（经济标）》、《对投标文件编制的承诺》等）</w:t>
            </w:r>
            <w:r>
              <w:rPr>
                <w:rFonts w:hint="eastAsia" w:ascii="宋体" w:hAnsi="宋体" w:cs="宋体"/>
                <w:color w:val="auto"/>
                <w:szCs w:val="21"/>
                <w:highlight w:val="none"/>
              </w:rPr>
              <w:t>，或主要内容不全，或关键字迹模糊、无法辨认的；</w:t>
            </w:r>
          </w:p>
        </w:tc>
        <w:tc>
          <w:tcPr>
            <w:tcW w:w="843" w:type="dxa"/>
            <w:tcBorders>
              <w:top w:val="single" w:color="auto" w:sz="4" w:space="0"/>
              <w:left w:val="single" w:color="auto" w:sz="4" w:space="0"/>
              <w:bottom w:val="single" w:color="auto" w:sz="4" w:space="0"/>
              <w:right w:val="single" w:color="auto" w:sz="4" w:space="0"/>
            </w:tcBorders>
          </w:tcPr>
          <w:p w14:paraId="7D5C6891">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5D247FBB">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5C4508EA">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5F73ECFF">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7D57D35E">
            <w:pPr>
              <w:rPr>
                <w:rFonts w:hint="eastAsia" w:ascii="宋体" w:hAnsi="宋体" w:cs="宋体"/>
                <w:color w:val="auto"/>
                <w:szCs w:val="21"/>
                <w:highlight w:val="none"/>
              </w:rPr>
            </w:pPr>
          </w:p>
        </w:tc>
      </w:tr>
      <w:tr w14:paraId="4B46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40E38C1">
            <w:pPr>
              <w:rPr>
                <w:rFonts w:hint="eastAsia" w:ascii="宋体" w:hAnsi="宋体" w:cs="宋体"/>
                <w:color w:val="auto"/>
                <w:szCs w:val="21"/>
                <w:highlight w:val="none"/>
              </w:rPr>
            </w:pPr>
            <w:r>
              <w:rPr>
                <w:rFonts w:hint="eastAsia" w:ascii="宋体" w:hAnsi="宋体" w:cs="宋体"/>
                <w:color w:val="auto"/>
                <w:szCs w:val="21"/>
                <w:highlight w:val="none"/>
              </w:rPr>
              <w:t>5</w:t>
            </w:r>
          </w:p>
        </w:tc>
        <w:tc>
          <w:tcPr>
            <w:tcW w:w="9036" w:type="dxa"/>
            <w:tcBorders>
              <w:top w:val="single" w:color="auto" w:sz="4" w:space="0"/>
              <w:left w:val="single" w:color="auto" w:sz="4" w:space="0"/>
              <w:bottom w:val="single" w:color="auto" w:sz="4" w:space="0"/>
              <w:right w:val="single" w:color="auto" w:sz="4" w:space="0"/>
            </w:tcBorders>
            <w:vAlign w:val="center"/>
          </w:tcPr>
          <w:p w14:paraId="50A41C61">
            <w:pPr>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843" w:type="dxa"/>
            <w:tcBorders>
              <w:top w:val="single" w:color="auto" w:sz="4" w:space="0"/>
              <w:left w:val="single" w:color="auto" w:sz="4" w:space="0"/>
              <w:bottom w:val="single" w:color="auto" w:sz="4" w:space="0"/>
              <w:right w:val="single" w:color="auto" w:sz="4" w:space="0"/>
            </w:tcBorders>
          </w:tcPr>
          <w:p w14:paraId="42E18E07">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621285BF">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7BA1DD1B">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0BAC4428">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6ABF6302">
            <w:pPr>
              <w:rPr>
                <w:rFonts w:hint="eastAsia" w:ascii="宋体" w:hAnsi="宋体" w:cs="宋体"/>
                <w:color w:val="auto"/>
                <w:szCs w:val="21"/>
                <w:highlight w:val="none"/>
              </w:rPr>
            </w:pPr>
          </w:p>
        </w:tc>
      </w:tr>
      <w:tr w14:paraId="2D62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EE892D1">
            <w:pPr>
              <w:rPr>
                <w:rFonts w:hint="eastAsia" w:ascii="宋体" w:hAnsi="宋体" w:cs="宋体"/>
                <w:color w:val="auto"/>
                <w:szCs w:val="21"/>
                <w:highlight w:val="none"/>
              </w:rPr>
            </w:pPr>
            <w:r>
              <w:rPr>
                <w:rFonts w:hint="eastAsia" w:ascii="宋体" w:hAnsi="宋体" w:cs="宋体"/>
                <w:color w:val="auto"/>
                <w:szCs w:val="21"/>
                <w:highlight w:val="none"/>
              </w:rPr>
              <w:t>6</w:t>
            </w:r>
          </w:p>
        </w:tc>
        <w:tc>
          <w:tcPr>
            <w:tcW w:w="9036" w:type="dxa"/>
            <w:tcBorders>
              <w:top w:val="single" w:color="auto" w:sz="4" w:space="0"/>
              <w:left w:val="single" w:color="auto" w:sz="4" w:space="0"/>
              <w:bottom w:val="single" w:color="auto" w:sz="4" w:space="0"/>
              <w:right w:val="single" w:color="auto" w:sz="4" w:space="0"/>
            </w:tcBorders>
            <w:vAlign w:val="center"/>
          </w:tcPr>
          <w:p w14:paraId="1B554188">
            <w:pPr>
              <w:rPr>
                <w:rFonts w:hint="eastAsia" w:ascii="宋体" w:hAnsi="宋体" w:cs="宋体"/>
                <w:color w:val="auto"/>
                <w:szCs w:val="21"/>
                <w:highlight w:val="none"/>
              </w:rPr>
            </w:pPr>
            <w:r>
              <w:rPr>
                <w:rFonts w:hint="eastAsia" w:ascii="宋体" w:hAnsi="宋体" w:cs="宋体"/>
                <w:color w:val="auto"/>
                <w:szCs w:val="21"/>
                <w:highlight w:val="none"/>
              </w:rPr>
              <w:t>无《参与编制经济标投标文件人员名单》的；</w:t>
            </w:r>
          </w:p>
        </w:tc>
        <w:tc>
          <w:tcPr>
            <w:tcW w:w="843" w:type="dxa"/>
            <w:tcBorders>
              <w:top w:val="single" w:color="auto" w:sz="4" w:space="0"/>
              <w:left w:val="single" w:color="auto" w:sz="4" w:space="0"/>
              <w:bottom w:val="single" w:color="auto" w:sz="4" w:space="0"/>
              <w:right w:val="single" w:color="auto" w:sz="4" w:space="0"/>
            </w:tcBorders>
          </w:tcPr>
          <w:p w14:paraId="30BFBD92">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46D86899">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77319842">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44AB24A5">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74A9B3C4">
            <w:pPr>
              <w:rPr>
                <w:rFonts w:hint="eastAsia" w:ascii="宋体" w:hAnsi="宋体" w:cs="宋体"/>
                <w:color w:val="auto"/>
                <w:szCs w:val="21"/>
                <w:highlight w:val="none"/>
              </w:rPr>
            </w:pPr>
          </w:p>
        </w:tc>
      </w:tr>
      <w:tr w14:paraId="73B0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2221F90">
            <w:pPr>
              <w:rPr>
                <w:rFonts w:hint="eastAsia" w:ascii="宋体" w:hAnsi="宋体" w:cs="宋体"/>
                <w:color w:val="auto"/>
                <w:szCs w:val="21"/>
                <w:highlight w:val="none"/>
              </w:rPr>
            </w:pPr>
            <w:r>
              <w:rPr>
                <w:rFonts w:hint="eastAsia" w:ascii="宋体" w:hAnsi="宋体" w:cs="宋体"/>
                <w:color w:val="auto"/>
                <w:szCs w:val="21"/>
                <w:highlight w:val="none"/>
              </w:rPr>
              <w:t>7</w:t>
            </w:r>
          </w:p>
        </w:tc>
        <w:tc>
          <w:tcPr>
            <w:tcW w:w="9036" w:type="dxa"/>
            <w:tcBorders>
              <w:top w:val="single" w:color="auto" w:sz="4" w:space="0"/>
              <w:left w:val="single" w:color="auto" w:sz="4" w:space="0"/>
              <w:bottom w:val="single" w:color="auto" w:sz="4" w:space="0"/>
              <w:right w:val="single" w:color="auto" w:sz="4" w:space="0"/>
            </w:tcBorders>
            <w:vAlign w:val="center"/>
          </w:tcPr>
          <w:p w14:paraId="6221A2B0">
            <w:pPr>
              <w:rPr>
                <w:rFonts w:hint="eastAsia"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843" w:type="dxa"/>
            <w:tcBorders>
              <w:top w:val="single" w:color="auto" w:sz="4" w:space="0"/>
              <w:left w:val="single" w:color="auto" w:sz="4" w:space="0"/>
              <w:bottom w:val="single" w:color="auto" w:sz="4" w:space="0"/>
              <w:right w:val="single" w:color="auto" w:sz="4" w:space="0"/>
            </w:tcBorders>
          </w:tcPr>
          <w:p w14:paraId="3F6B2FCD">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0E159A9A">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6DD8B23A">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2D3A4253">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2F0F2951">
            <w:pPr>
              <w:rPr>
                <w:rFonts w:hint="eastAsia" w:ascii="宋体" w:hAnsi="宋体" w:cs="宋体"/>
                <w:color w:val="auto"/>
                <w:szCs w:val="21"/>
                <w:highlight w:val="none"/>
              </w:rPr>
            </w:pPr>
          </w:p>
        </w:tc>
      </w:tr>
      <w:tr w14:paraId="4EC7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49A343A">
            <w:pPr>
              <w:rPr>
                <w:rFonts w:hint="eastAsia" w:ascii="宋体" w:hAnsi="宋体" w:cs="宋体"/>
                <w:color w:val="auto"/>
                <w:szCs w:val="21"/>
                <w:highlight w:val="none"/>
              </w:rPr>
            </w:pPr>
            <w:r>
              <w:rPr>
                <w:rFonts w:hint="eastAsia" w:ascii="宋体" w:hAnsi="宋体" w:cs="宋体"/>
                <w:color w:val="auto"/>
                <w:szCs w:val="21"/>
                <w:highlight w:val="none"/>
                <w:u w:val="single"/>
              </w:rPr>
              <w:t>8</w:t>
            </w:r>
          </w:p>
        </w:tc>
        <w:tc>
          <w:tcPr>
            <w:tcW w:w="9036" w:type="dxa"/>
            <w:tcBorders>
              <w:top w:val="single" w:color="auto" w:sz="4" w:space="0"/>
              <w:left w:val="single" w:color="auto" w:sz="4" w:space="0"/>
              <w:bottom w:val="single" w:color="auto" w:sz="4" w:space="0"/>
              <w:right w:val="single" w:color="auto" w:sz="4" w:space="0"/>
            </w:tcBorders>
            <w:vAlign w:val="center"/>
          </w:tcPr>
          <w:p w14:paraId="0AD27774">
            <w:pPr>
              <w:rPr>
                <w:rFonts w:hint="eastAsia" w:ascii="宋体" w:hAnsi="宋体" w:cs="宋体"/>
                <w:color w:val="auto"/>
                <w:szCs w:val="21"/>
                <w:highlight w:val="none"/>
              </w:rPr>
            </w:pPr>
            <w:r>
              <w:rPr>
                <w:rFonts w:hint="eastAsia" w:ascii="宋体" w:hAnsi="宋体" w:cs="宋体"/>
                <w:color w:val="auto"/>
                <w:szCs w:val="21"/>
                <w:highlight w:val="none"/>
                <w:u w:val="single"/>
              </w:rPr>
              <w:t>投标人与本项目其他投标人的投标文件工程量清单编制机器硬件信息一致的（以交易平台评标系统的检索信息为准）。</w:t>
            </w:r>
          </w:p>
        </w:tc>
        <w:tc>
          <w:tcPr>
            <w:tcW w:w="843" w:type="dxa"/>
            <w:tcBorders>
              <w:top w:val="single" w:color="auto" w:sz="4" w:space="0"/>
              <w:left w:val="single" w:color="auto" w:sz="4" w:space="0"/>
              <w:bottom w:val="single" w:color="auto" w:sz="4" w:space="0"/>
              <w:right w:val="single" w:color="auto" w:sz="4" w:space="0"/>
            </w:tcBorders>
          </w:tcPr>
          <w:p w14:paraId="473D6393">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1921CE5B">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40F62544">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3E0081FD">
            <w:pPr>
              <w:rPr>
                <w:rFonts w:hint="eastAsia" w:ascii="宋体" w:hAnsi="宋体" w:cs="宋体"/>
                <w:color w:val="auto"/>
                <w:szCs w:val="21"/>
                <w:highlight w:val="none"/>
              </w:rPr>
            </w:pPr>
          </w:p>
        </w:tc>
        <w:tc>
          <w:tcPr>
            <w:tcW w:w="1038" w:type="dxa"/>
            <w:tcBorders>
              <w:top w:val="single" w:color="auto" w:sz="4" w:space="0"/>
              <w:left w:val="single" w:color="auto" w:sz="4" w:space="0"/>
              <w:bottom w:val="single" w:color="auto" w:sz="4" w:space="0"/>
              <w:right w:val="single" w:color="auto" w:sz="4" w:space="0"/>
            </w:tcBorders>
          </w:tcPr>
          <w:p w14:paraId="34878A0C">
            <w:pPr>
              <w:rPr>
                <w:rFonts w:hint="eastAsia" w:ascii="宋体" w:hAnsi="宋体" w:cs="宋体"/>
                <w:color w:val="auto"/>
                <w:szCs w:val="21"/>
                <w:highlight w:val="none"/>
              </w:rPr>
            </w:pPr>
          </w:p>
        </w:tc>
      </w:tr>
    </w:tbl>
    <w:p w14:paraId="5FE82EC0">
      <w:pPr>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14:paraId="695671E9">
      <w:pPr>
        <w:ind w:firstLine="458"/>
        <w:rPr>
          <w:rFonts w:hint="eastAsia"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14:paraId="345CE2A5">
      <w:pPr>
        <w:ind w:firstLine="458"/>
        <w:rPr>
          <w:rFonts w:hint="eastAsia"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6A6F961A">
      <w:pPr>
        <w:ind w:firstLine="458"/>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5DE4C32">
      <w:pPr>
        <w:spacing w:line="360" w:lineRule="auto"/>
        <w:ind w:firstLine="458"/>
        <w:jc w:val="left"/>
        <w:rPr>
          <w:rFonts w:hint="eastAsia" w:ascii="宋体" w:hAnsi="宋体" w:cs="宋体"/>
          <w:color w:val="auto"/>
          <w:szCs w:val="21"/>
          <w:highlight w:val="none"/>
        </w:rPr>
        <w:sectPr>
          <w:endnotePr>
            <w:numFmt w:val="decimal"/>
          </w:endnotePr>
          <w:pgSz w:w="16838" w:h="11906" w:orient="landscape"/>
          <w:pgMar w:top="1440" w:right="1080" w:bottom="1440" w:left="1080" w:header="851" w:footer="907" w:gutter="0"/>
          <w:cols w:space="720" w:num="1"/>
          <w:titlePg/>
          <w:docGrid w:type="lines" w:linePitch="312" w:charSpace="0"/>
        </w:sectPr>
      </w:pPr>
    </w:p>
    <w:p w14:paraId="4C1DF175">
      <w:pPr>
        <w:pStyle w:val="4"/>
        <w:spacing w:line="360" w:lineRule="auto"/>
        <w:jc w:val="left"/>
        <w:rPr>
          <w:rFonts w:hint="eastAsia"/>
          <w:color w:val="auto"/>
          <w:highlight w:val="none"/>
        </w:rPr>
      </w:pPr>
      <w:bookmarkStart w:id="189" w:name="_Toc28089"/>
      <w:r>
        <w:rPr>
          <w:rFonts w:hint="eastAsia"/>
          <w:color w:val="auto"/>
          <w:highlight w:val="none"/>
        </w:rPr>
        <w:t>附表四</w:t>
      </w:r>
      <w:bookmarkEnd w:id="189"/>
    </w:p>
    <w:p w14:paraId="33C4E06F">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技术标详细审查评分表</w:t>
      </w:r>
    </w:p>
    <w:tbl>
      <w:tblPr>
        <w:tblStyle w:val="22"/>
        <w:tblW w:w="14894"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757"/>
        <w:gridCol w:w="1326"/>
        <w:gridCol w:w="781"/>
        <w:gridCol w:w="10812"/>
      </w:tblGrid>
      <w:tr w14:paraId="28C706F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18" w:type="dxa"/>
            <w:tcBorders>
              <w:top w:val="single" w:color="auto" w:sz="8" w:space="0"/>
              <w:left w:val="single" w:color="auto" w:sz="8" w:space="0"/>
              <w:bottom w:val="single" w:color="auto" w:sz="4" w:space="0"/>
              <w:right w:val="single" w:color="auto" w:sz="4" w:space="0"/>
            </w:tcBorders>
            <w:vAlign w:val="center"/>
          </w:tcPr>
          <w:p w14:paraId="22E2CE61">
            <w:pPr>
              <w:pStyle w:val="28"/>
              <w:spacing w:line="360" w:lineRule="auto"/>
              <w:jc w:val="center"/>
              <w:rPr>
                <w:rFonts w:hint="eastAsia" w:ascii="宋体" w:hAnsi="宋体" w:eastAsia="宋体" w:cs="宋体"/>
                <w:b/>
                <w:bCs/>
                <w:color w:val="auto"/>
                <w:sz w:val="21"/>
                <w:szCs w:val="21"/>
                <w:highlight w:val="none"/>
              </w:rPr>
            </w:pPr>
            <w:bookmarkStart w:id="190" w:name="_Toc5159"/>
            <w:bookmarkStart w:id="191" w:name="_Toc22943"/>
            <w:bookmarkStart w:id="192" w:name="_Toc30168"/>
            <w:bookmarkStart w:id="193" w:name="_Toc20135"/>
            <w:bookmarkStart w:id="194" w:name="_Toc32003"/>
            <w:bookmarkStart w:id="195" w:name="_Toc21638"/>
            <w:r>
              <w:rPr>
                <w:rFonts w:hint="eastAsia" w:ascii="宋体" w:hAnsi="宋体" w:eastAsia="宋体" w:cs="宋体"/>
                <w:b/>
                <w:bCs/>
                <w:color w:val="auto"/>
                <w:sz w:val="21"/>
                <w:szCs w:val="21"/>
                <w:highlight w:val="none"/>
              </w:rPr>
              <w:t>评分项目</w:t>
            </w:r>
          </w:p>
        </w:tc>
        <w:tc>
          <w:tcPr>
            <w:tcW w:w="2083" w:type="dxa"/>
            <w:gridSpan w:val="2"/>
            <w:tcBorders>
              <w:top w:val="single" w:color="auto" w:sz="8" w:space="0"/>
              <w:left w:val="single" w:color="auto" w:sz="4" w:space="0"/>
              <w:bottom w:val="single" w:color="auto" w:sz="4" w:space="0"/>
              <w:right w:val="single" w:color="auto" w:sz="4" w:space="0"/>
            </w:tcBorders>
            <w:vAlign w:val="center"/>
          </w:tcPr>
          <w:p w14:paraId="721420B9">
            <w:pPr>
              <w:pStyle w:val="2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781" w:type="dxa"/>
            <w:tcBorders>
              <w:top w:val="single" w:color="auto" w:sz="8" w:space="0"/>
              <w:left w:val="single" w:color="auto" w:sz="4" w:space="0"/>
              <w:bottom w:val="single" w:color="auto" w:sz="4" w:space="0"/>
              <w:right w:val="single" w:color="auto" w:sz="4" w:space="0"/>
            </w:tcBorders>
            <w:vAlign w:val="center"/>
          </w:tcPr>
          <w:p w14:paraId="09384FF9">
            <w:pPr>
              <w:pStyle w:val="2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0812" w:type="dxa"/>
            <w:tcBorders>
              <w:top w:val="single" w:color="auto" w:sz="8" w:space="0"/>
              <w:left w:val="single" w:color="auto" w:sz="4" w:space="0"/>
              <w:bottom w:val="single" w:color="auto" w:sz="4" w:space="0"/>
              <w:right w:val="single" w:color="auto" w:sz="4" w:space="0"/>
            </w:tcBorders>
            <w:vAlign w:val="center"/>
          </w:tcPr>
          <w:p w14:paraId="5060B330">
            <w:pPr>
              <w:pStyle w:val="28"/>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66FD4DD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tcBorders>
              <w:left w:val="single" w:color="auto" w:sz="8" w:space="0"/>
              <w:right w:val="single" w:color="auto" w:sz="4" w:space="0"/>
            </w:tcBorders>
            <w:vAlign w:val="center"/>
          </w:tcPr>
          <w:p w14:paraId="7662F2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一、施工组织方案（40分）</w:t>
            </w:r>
          </w:p>
          <w:p w14:paraId="4D10DC2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2083" w:type="dxa"/>
            <w:gridSpan w:val="2"/>
            <w:tcBorders>
              <w:left w:val="single" w:color="auto" w:sz="4" w:space="0"/>
              <w:right w:val="single" w:color="auto" w:sz="4" w:space="0"/>
            </w:tcBorders>
            <w:vAlign w:val="center"/>
          </w:tcPr>
          <w:p w14:paraId="1AD9C086">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对工程重点、难点的分析及对策</w:t>
            </w:r>
          </w:p>
        </w:tc>
        <w:tc>
          <w:tcPr>
            <w:tcW w:w="781" w:type="dxa"/>
            <w:tcBorders>
              <w:left w:val="single" w:color="auto" w:sz="4" w:space="0"/>
              <w:bottom w:val="single" w:color="auto" w:sz="4" w:space="0"/>
              <w:right w:val="single" w:color="auto" w:sz="4" w:space="0"/>
            </w:tcBorders>
            <w:vAlign w:val="center"/>
          </w:tcPr>
          <w:p w14:paraId="2EBB82B0">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812" w:type="dxa"/>
            <w:tcBorders>
              <w:top w:val="single" w:color="auto" w:sz="4" w:space="0"/>
              <w:left w:val="single" w:color="auto" w:sz="4" w:space="0"/>
              <w:bottom w:val="single" w:color="auto" w:sz="4" w:space="0"/>
              <w:right w:val="single" w:color="auto" w:sz="4" w:space="0"/>
            </w:tcBorders>
            <w:vAlign w:val="center"/>
          </w:tcPr>
          <w:p w14:paraId="6A9161A4">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优：需具备全面且详实的工程概况描述。对于本项目工程重点、难点的分析，应基于深入的实地勘察、对设计图纸的精准解读以及丰富的工程经验。所提出的相应对策，从技术方案的选择、施工流程的优化到资源调配的规划等各个环节，都必须具备高度的合理性与切实的可行性，能够充分预见并有效解决工程推进过程中可能遭遇的关键问题，体现出工程把控能力与问题解决能力。</w:t>
            </w:r>
            <w:r>
              <w:rPr>
                <w:rFonts w:hint="eastAsia" w:ascii="宋体" w:hAnsi="宋体" w:cs="宋体"/>
                <w:color w:val="auto"/>
                <w:szCs w:val="21"/>
                <w:highlight w:val="none"/>
              </w:rPr>
              <w:t>得</w:t>
            </w:r>
            <w:r>
              <w:rPr>
                <w:rFonts w:hint="eastAsia" w:ascii="宋体" w:hAnsi="宋体" w:cs="宋体"/>
                <w:color w:val="auto"/>
                <w:szCs w:val="21"/>
                <w:highlight w:val="none"/>
                <w:u w:val="single"/>
              </w:rPr>
              <w:t>[8,6)</w:t>
            </w:r>
            <w:r>
              <w:rPr>
                <w:rFonts w:hint="eastAsia" w:ascii="宋体" w:hAnsi="宋体" w:cs="宋体"/>
                <w:color w:val="auto"/>
                <w:szCs w:val="21"/>
                <w:highlight w:val="none"/>
              </w:rPr>
              <w:t>分。</w:t>
            </w:r>
          </w:p>
          <w:p w14:paraId="665BCA42">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良：工程概况描述应涵盖主要方面，且工程的关键信息需准确呈现。在工程重点、难点分析方面，能抓住主要问题，不过分析的深度和广度可能稍显不足。相应对策具备一定的合理性与可行性，在常规情况下能够应对工程中的重点、难点，但在面对复杂多变的特殊状况时，可能缺乏足够的灵活性与应变能力，整体表现出较为良好的工程应对水平。</w:t>
            </w:r>
            <w:r>
              <w:rPr>
                <w:rFonts w:hint="eastAsia" w:ascii="宋体" w:hAnsi="宋体" w:cs="宋体"/>
                <w:color w:val="auto"/>
                <w:szCs w:val="21"/>
                <w:highlight w:val="none"/>
              </w:rPr>
              <w:t>得</w:t>
            </w:r>
            <w:r>
              <w:rPr>
                <w:rFonts w:hint="eastAsia" w:ascii="宋体" w:hAnsi="宋体" w:cs="宋体"/>
                <w:color w:val="auto"/>
                <w:szCs w:val="21"/>
                <w:highlight w:val="none"/>
                <w:u w:val="single"/>
              </w:rPr>
              <w:t>[6,4)</w:t>
            </w:r>
            <w:r>
              <w:rPr>
                <w:rFonts w:hint="eastAsia" w:ascii="宋体" w:hAnsi="宋体" w:cs="宋体"/>
                <w:color w:val="auto"/>
                <w:szCs w:val="21"/>
                <w:highlight w:val="none"/>
              </w:rPr>
              <w:t>分。</w:t>
            </w:r>
          </w:p>
          <w:p w14:paraId="6A6B4594">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中：有工程概况描述，虽内容可能相对简略，但能明确工程的基本性质和大致轮廓。对本项目工程重点、难点的分析基本能识别出关键问题，但可能存在分析不够精准、全面的情况。相应对策在原理上基本合理，在一般条件下具备一定的可操作性，然而在实际工程应用中，可能因考虑因素不够周全，在执行过程中面临一些挑战，仅能勉强满足工程重点、难点应对的基本要求。得</w:t>
            </w:r>
            <w:r>
              <w:rPr>
                <w:rFonts w:hint="eastAsia" w:ascii="宋体" w:hAnsi="宋体" w:cs="宋体"/>
                <w:color w:val="auto"/>
                <w:szCs w:val="21"/>
                <w:highlight w:val="none"/>
                <w:u w:val="single"/>
              </w:rPr>
              <w:t>[4,2)</w:t>
            </w:r>
            <w:r>
              <w:rPr>
                <w:rFonts w:hint="eastAsia" w:ascii="宋体" w:hAnsi="宋体" w:cs="宋体"/>
                <w:color w:val="auto"/>
                <w:szCs w:val="21"/>
                <w:highlight w:val="none"/>
              </w:rPr>
              <w:t>分。</w:t>
            </w:r>
          </w:p>
          <w:p w14:paraId="3059256B">
            <w:pPr>
              <w:rPr>
                <w:rFonts w:hint="eastAsia" w:ascii="宋体" w:hAnsi="宋体" w:cs="宋体"/>
                <w:color w:val="auto"/>
                <w:szCs w:val="21"/>
                <w:highlight w:val="none"/>
              </w:rPr>
            </w:pPr>
            <w:r>
              <w:rPr>
                <w:rFonts w:hint="eastAsia" w:ascii="宋体" w:hAnsi="宋体" w:cs="宋体"/>
                <w:color w:val="auto"/>
                <w:highlight w:val="none"/>
              </w:rPr>
              <w:t>差：</w:t>
            </w:r>
            <w:r>
              <w:rPr>
                <w:rFonts w:hint="eastAsia" w:ascii="宋体" w:hAnsi="宋体" w:cs="宋体"/>
                <w:color w:val="auto"/>
                <w:szCs w:val="21"/>
                <w:highlight w:val="none"/>
              </w:rPr>
              <w:t>不满足前述要求者，得</w:t>
            </w:r>
            <w:r>
              <w:rPr>
                <w:rFonts w:hint="eastAsia" w:ascii="宋体" w:hAnsi="宋体" w:cs="宋体"/>
                <w:color w:val="auto"/>
                <w:szCs w:val="21"/>
                <w:highlight w:val="none"/>
                <w:u w:val="single"/>
              </w:rPr>
              <w:t xml:space="preserve">[2,0] </w:t>
            </w:r>
            <w:r>
              <w:rPr>
                <w:rFonts w:hint="eastAsia" w:ascii="宋体" w:hAnsi="宋体" w:cs="宋体"/>
                <w:color w:val="auto"/>
                <w:szCs w:val="21"/>
                <w:highlight w:val="none"/>
              </w:rPr>
              <w:t>分。</w:t>
            </w:r>
          </w:p>
        </w:tc>
      </w:tr>
      <w:tr w14:paraId="29F5F5A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8" w:space="0"/>
              <w:right w:val="single" w:color="auto" w:sz="4" w:space="0"/>
            </w:tcBorders>
            <w:vAlign w:val="center"/>
          </w:tcPr>
          <w:p w14:paraId="1EA108E1">
            <w:pPr>
              <w:spacing w:line="360" w:lineRule="auto"/>
              <w:rPr>
                <w:rFonts w:hint="eastAsia" w:ascii="宋体" w:hAnsi="宋体" w:cs="宋体"/>
                <w:color w:val="auto"/>
                <w:szCs w:val="21"/>
                <w:highlight w:val="none"/>
              </w:rPr>
            </w:pPr>
          </w:p>
        </w:tc>
        <w:tc>
          <w:tcPr>
            <w:tcW w:w="2083" w:type="dxa"/>
            <w:gridSpan w:val="2"/>
            <w:tcBorders>
              <w:left w:val="single" w:color="auto" w:sz="4" w:space="0"/>
              <w:right w:val="single" w:color="auto" w:sz="4" w:space="0"/>
            </w:tcBorders>
            <w:vAlign w:val="center"/>
          </w:tcPr>
          <w:p w14:paraId="22DE614D">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施工组织方案与技术措施</w:t>
            </w:r>
          </w:p>
        </w:tc>
        <w:tc>
          <w:tcPr>
            <w:tcW w:w="781" w:type="dxa"/>
            <w:tcBorders>
              <w:left w:val="single" w:color="auto" w:sz="4" w:space="0"/>
              <w:bottom w:val="single" w:color="auto" w:sz="4" w:space="0"/>
              <w:right w:val="single" w:color="auto" w:sz="4" w:space="0"/>
            </w:tcBorders>
            <w:vAlign w:val="center"/>
          </w:tcPr>
          <w:p w14:paraId="48479E57">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812" w:type="dxa"/>
            <w:tcBorders>
              <w:top w:val="single" w:color="auto" w:sz="4" w:space="0"/>
              <w:left w:val="single" w:color="auto" w:sz="4" w:space="0"/>
              <w:bottom w:val="single" w:color="auto" w:sz="4" w:space="0"/>
              <w:right w:val="single" w:color="auto" w:sz="4" w:space="0"/>
            </w:tcBorders>
            <w:vAlign w:val="center"/>
          </w:tcPr>
          <w:p w14:paraId="7E924180">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优：施工总体部署精细合理，从项目开启至竣工各阶段规划详尽，精准把控施工顺序、资源调配等关键环节。施工总平面布置充分考量场地、流程、安全环保等，功能区划分清晰，材料堆放、机械停放有序。施工组织方案与方法详细先进，针对各分部分项工程有切实可行策略，施工步骤明晰，高效保障质量进度。关键技术工艺经充分论证，契合工程且具创新性，技术措施合理可行，能解决各类技术难题，大幅提升工程品质，得</w:t>
            </w:r>
            <w:r>
              <w:rPr>
                <w:rFonts w:hint="eastAsia" w:ascii="宋体" w:hAnsi="宋体" w:cs="宋体"/>
                <w:color w:val="auto"/>
                <w:szCs w:val="21"/>
                <w:highlight w:val="none"/>
                <w:u w:val="single"/>
              </w:rPr>
              <w:t>[8,6)</w:t>
            </w:r>
            <w:r>
              <w:rPr>
                <w:rFonts w:hint="eastAsia" w:ascii="宋体" w:hAnsi="宋体" w:cs="宋体"/>
                <w:color w:val="auto"/>
                <w:szCs w:val="21"/>
                <w:highlight w:val="none"/>
              </w:rPr>
              <w:t>分。</w:t>
            </w:r>
          </w:p>
          <w:p w14:paraId="4BE7B9CB">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良：施工总体部署较全面，主要阶段和重要环节规划清晰，资源分配能满足基本施工需求。总平面布置合理，能依场地划分功能区，只是细节有小问题。施工组织方案与方法针对常见分部分项工程制定了可行方案，流程顺畅。关键技术工艺符合工程特点，技术措施可解决一般性技术问题，能较好支撑工程建设，得</w:t>
            </w:r>
            <w:r>
              <w:rPr>
                <w:rFonts w:hint="eastAsia" w:ascii="宋体" w:hAnsi="宋体" w:cs="宋体"/>
                <w:color w:val="auto"/>
                <w:szCs w:val="21"/>
                <w:highlight w:val="none"/>
                <w:u w:val="single"/>
              </w:rPr>
              <w:t>[6,4)</w:t>
            </w:r>
            <w:r>
              <w:rPr>
                <w:rFonts w:hint="eastAsia" w:ascii="宋体" w:hAnsi="宋体" w:cs="宋体"/>
                <w:color w:val="auto"/>
                <w:szCs w:val="21"/>
                <w:highlight w:val="none"/>
              </w:rPr>
              <w:t>分。</w:t>
            </w:r>
          </w:p>
          <w:p w14:paraId="13CF88F9">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中：有基本的施工总体部署，对施工大致流程和主要任务有规划，但细节和复杂情况考虑不足。总平面布置能满足施工基本需求，功能区初步划分，不过布局不紧凑。施工组织方案与方法涵盖主要分部分项工程，方法常规但具操作性。关键技术工艺合理，能运用常见技术施工，技术措施可保障施工正常开展，但应对突发技术状况能力弱，得</w:t>
            </w:r>
            <w:r>
              <w:rPr>
                <w:rFonts w:hint="eastAsia" w:ascii="宋体" w:hAnsi="宋体" w:cs="宋体"/>
                <w:color w:val="auto"/>
                <w:szCs w:val="21"/>
                <w:highlight w:val="none"/>
                <w:u w:val="single"/>
              </w:rPr>
              <w:t>[4,2)</w:t>
            </w:r>
            <w:r>
              <w:rPr>
                <w:rFonts w:hint="eastAsia" w:ascii="宋体" w:hAnsi="宋体" w:cs="宋体"/>
                <w:color w:val="auto"/>
                <w:szCs w:val="21"/>
                <w:highlight w:val="none"/>
              </w:rPr>
              <w:t>分</w:t>
            </w:r>
            <w:r>
              <w:rPr>
                <w:rFonts w:hint="eastAsia" w:ascii="宋体" w:hAnsi="宋体" w:cs="宋体"/>
                <w:color w:val="auto"/>
                <w:kern w:val="0"/>
                <w:szCs w:val="21"/>
                <w:highlight w:val="none"/>
              </w:rPr>
              <w:t>。</w:t>
            </w:r>
          </w:p>
          <w:p w14:paraId="1BC68556">
            <w:pPr>
              <w:rPr>
                <w:rFonts w:hint="eastAsia" w:ascii="宋体" w:hAnsi="宋体" w:cs="宋体"/>
                <w:color w:val="auto"/>
                <w:szCs w:val="21"/>
                <w:highlight w:val="none"/>
              </w:rPr>
            </w:pPr>
            <w:r>
              <w:rPr>
                <w:rFonts w:hint="eastAsia" w:ascii="宋体" w:hAnsi="宋体" w:cs="宋体"/>
                <w:color w:val="auto"/>
                <w:highlight w:val="none"/>
              </w:rPr>
              <w:t>差：</w:t>
            </w:r>
            <w:r>
              <w:rPr>
                <w:rFonts w:hint="eastAsia" w:ascii="宋体" w:hAnsi="宋体" w:cs="宋体"/>
                <w:color w:val="auto"/>
                <w:szCs w:val="21"/>
                <w:highlight w:val="none"/>
              </w:rPr>
              <w:t>不满足前述要求者，得</w:t>
            </w:r>
            <w:r>
              <w:rPr>
                <w:rFonts w:hint="eastAsia" w:ascii="宋体" w:hAnsi="宋体" w:cs="宋体"/>
                <w:color w:val="auto"/>
                <w:szCs w:val="21"/>
                <w:highlight w:val="none"/>
                <w:u w:val="single"/>
              </w:rPr>
              <w:t>[2,0]</w:t>
            </w:r>
            <w:r>
              <w:rPr>
                <w:rFonts w:hint="eastAsia" w:ascii="宋体" w:hAnsi="宋体" w:cs="宋体"/>
                <w:color w:val="auto"/>
                <w:szCs w:val="21"/>
                <w:highlight w:val="none"/>
              </w:rPr>
              <w:t>分。</w:t>
            </w:r>
          </w:p>
        </w:tc>
      </w:tr>
      <w:tr w14:paraId="64ED644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8" w:space="0"/>
              <w:right w:val="single" w:color="auto" w:sz="4" w:space="0"/>
            </w:tcBorders>
            <w:vAlign w:val="center"/>
          </w:tcPr>
          <w:p w14:paraId="5BDDF776">
            <w:pPr>
              <w:spacing w:line="360" w:lineRule="auto"/>
              <w:rPr>
                <w:rFonts w:hint="eastAsia" w:ascii="宋体" w:hAnsi="宋体" w:cs="宋体"/>
                <w:color w:val="auto"/>
                <w:szCs w:val="21"/>
                <w:highlight w:val="none"/>
              </w:rPr>
            </w:pPr>
          </w:p>
        </w:tc>
        <w:tc>
          <w:tcPr>
            <w:tcW w:w="2083" w:type="dxa"/>
            <w:gridSpan w:val="2"/>
            <w:tcBorders>
              <w:left w:val="single" w:color="auto" w:sz="4" w:space="0"/>
              <w:right w:val="single" w:color="auto" w:sz="4" w:space="0"/>
            </w:tcBorders>
            <w:vAlign w:val="center"/>
          </w:tcPr>
          <w:p w14:paraId="6D6B4401">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施工总进度计划</w:t>
            </w:r>
          </w:p>
        </w:tc>
        <w:tc>
          <w:tcPr>
            <w:tcW w:w="781" w:type="dxa"/>
            <w:tcBorders>
              <w:left w:val="single" w:color="auto" w:sz="4" w:space="0"/>
              <w:bottom w:val="single" w:color="auto" w:sz="4" w:space="0"/>
              <w:right w:val="single" w:color="auto" w:sz="4" w:space="0"/>
            </w:tcBorders>
            <w:vAlign w:val="center"/>
          </w:tcPr>
          <w:p w14:paraId="471CC7E9">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812" w:type="dxa"/>
            <w:tcBorders>
              <w:top w:val="single" w:color="auto" w:sz="4" w:space="0"/>
              <w:left w:val="single" w:color="auto" w:sz="4" w:space="0"/>
              <w:bottom w:val="single" w:color="auto" w:sz="4" w:space="0"/>
              <w:right w:val="single" w:color="auto" w:sz="4" w:space="0"/>
            </w:tcBorders>
            <w:vAlign w:val="center"/>
          </w:tcPr>
          <w:p w14:paraId="362DFEB3">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优：工期管理目标明确合理，贴合项目合同与实际，充分考量风险因素，各施工阶段关键节点精准设定并预留弹性时间。横道图绘制规范详尽，清晰展现各分部分项工程起止、持续时间及逻辑关系，关键线路醒目，标注里程碑与资源需求曲线，助力工程进度把控。工期保证措施涵盖资源、技术、组织管理等多方面，具体且可操作，能有效应对各类工期影响情况。得</w:t>
            </w:r>
            <w:r>
              <w:rPr>
                <w:rFonts w:hint="eastAsia" w:ascii="宋体" w:hAnsi="宋体" w:cs="宋体"/>
                <w:color w:val="auto"/>
                <w:szCs w:val="21"/>
                <w:highlight w:val="none"/>
                <w:u w:val="single"/>
              </w:rPr>
              <w:t>[8,6)</w:t>
            </w:r>
            <w:r>
              <w:rPr>
                <w:rFonts w:hint="eastAsia" w:ascii="宋体" w:hAnsi="宋体" w:cs="宋体"/>
                <w:color w:val="auto"/>
                <w:szCs w:val="21"/>
                <w:highlight w:val="none"/>
              </w:rPr>
              <w:t>分。</w:t>
            </w:r>
          </w:p>
          <w:p w14:paraId="1D90F6B1">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良：有明确工期管理目标，基本契合项目与合同要求，只是对部分潜在风险考虑欠妥。横道图较规范，能呈现工程大致进度与逻辑关系，但施工阶段划分、资源需求曲线等细节存在不足。工期保证措施涉及多方面，细化等方面有待完善</w:t>
            </w:r>
            <w:r>
              <w:rPr>
                <w:rFonts w:hint="eastAsia" w:ascii="宋体" w:hAnsi="宋体" w:cs="宋体"/>
                <w:color w:val="auto"/>
                <w:szCs w:val="21"/>
                <w:highlight w:val="none"/>
                <w:u w:val="single"/>
              </w:rPr>
              <w:t>[6,4)</w:t>
            </w:r>
            <w:r>
              <w:rPr>
                <w:rFonts w:hint="eastAsia" w:ascii="宋体" w:hAnsi="宋体" w:cs="宋体"/>
                <w:color w:val="auto"/>
                <w:szCs w:val="21"/>
                <w:highlight w:val="none"/>
              </w:rPr>
              <w:t>分。</w:t>
            </w:r>
          </w:p>
          <w:p w14:paraId="5D5499B9">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中：存在工期管理目标，但较笼统，缺乏阶段性划分与针对性。横道图能展示主要工程施工顺序和大致时间，然而图面不清晰规范，工程起止时间标注模糊，逻辑关系易产生误解。工期保证措施简单粗糙，资源保障、技术应用与管理协调机制方面均不完善。得</w:t>
            </w:r>
            <w:r>
              <w:rPr>
                <w:rFonts w:hint="eastAsia" w:ascii="宋体" w:hAnsi="宋体" w:cs="宋体"/>
                <w:color w:val="auto"/>
                <w:szCs w:val="21"/>
                <w:highlight w:val="none"/>
                <w:u w:val="single"/>
              </w:rPr>
              <w:t>[4,2)</w:t>
            </w:r>
            <w:r>
              <w:rPr>
                <w:rFonts w:hint="eastAsia" w:ascii="宋体" w:hAnsi="宋体" w:cs="宋体"/>
                <w:color w:val="auto"/>
                <w:szCs w:val="21"/>
                <w:highlight w:val="none"/>
              </w:rPr>
              <w:t>分</w:t>
            </w:r>
            <w:r>
              <w:rPr>
                <w:rFonts w:hint="eastAsia" w:ascii="宋体" w:hAnsi="宋体" w:cs="宋体"/>
                <w:color w:val="auto"/>
                <w:kern w:val="0"/>
                <w:szCs w:val="21"/>
                <w:highlight w:val="none"/>
              </w:rPr>
              <w:t>。</w:t>
            </w:r>
          </w:p>
          <w:p w14:paraId="119A3B9B">
            <w:pPr>
              <w:rPr>
                <w:rFonts w:hint="eastAsia" w:ascii="宋体" w:hAnsi="宋体" w:cs="宋体"/>
                <w:color w:val="auto"/>
                <w:szCs w:val="21"/>
                <w:highlight w:val="none"/>
              </w:rPr>
            </w:pPr>
            <w:r>
              <w:rPr>
                <w:rFonts w:hint="eastAsia" w:ascii="宋体" w:hAnsi="宋体" w:cs="宋体"/>
                <w:color w:val="auto"/>
                <w:highlight w:val="none"/>
              </w:rPr>
              <w:t>差：</w:t>
            </w:r>
            <w:r>
              <w:rPr>
                <w:rFonts w:hint="eastAsia" w:ascii="宋体" w:hAnsi="宋体" w:cs="宋体"/>
                <w:color w:val="auto"/>
                <w:szCs w:val="21"/>
                <w:highlight w:val="none"/>
              </w:rPr>
              <w:t>不满足前述要求者，得</w:t>
            </w:r>
            <w:r>
              <w:rPr>
                <w:rFonts w:hint="eastAsia" w:ascii="宋体" w:hAnsi="宋体" w:cs="宋体"/>
                <w:color w:val="auto"/>
                <w:szCs w:val="21"/>
                <w:highlight w:val="none"/>
                <w:u w:val="single"/>
              </w:rPr>
              <w:t>[2,0]</w:t>
            </w:r>
            <w:r>
              <w:rPr>
                <w:rFonts w:hint="eastAsia" w:ascii="宋体" w:hAnsi="宋体" w:cs="宋体"/>
                <w:color w:val="auto"/>
                <w:szCs w:val="21"/>
                <w:highlight w:val="none"/>
              </w:rPr>
              <w:t>分。</w:t>
            </w:r>
          </w:p>
        </w:tc>
      </w:tr>
      <w:tr w14:paraId="6077293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18" w:type="dxa"/>
            <w:vMerge w:val="continue"/>
            <w:tcBorders>
              <w:left w:val="single" w:color="auto" w:sz="8" w:space="0"/>
              <w:right w:val="single" w:color="auto" w:sz="4" w:space="0"/>
            </w:tcBorders>
            <w:vAlign w:val="center"/>
          </w:tcPr>
          <w:p w14:paraId="022CCFC3">
            <w:pPr>
              <w:spacing w:line="360" w:lineRule="auto"/>
              <w:rPr>
                <w:rFonts w:hint="eastAsia" w:ascii="宋体" w:hAnsi="宋体" w:cs="宋体"/>
                <w:color w:val="auto"/>
                <w:szCs w:val="21"/>
                <w:highlight w:val="none"/>
              </w:rPr>
            </w:pPr>
          </w:p>
        </w:tc>
        <w:tc>
          <w:tcPr>
            <w:tcW w:w="2083" w:type="dxa"/>
            <w:gridSpan w:val="2"/>
            <w:tcBorders>
              <w:left w:val="single" w:color="auto" w:sz="4" w:space="0"/>
              <w:right w:val="single" w:color="auto" w:sz="4" w:space="0"/>
            </w:tcBorders>
            <w:vAlign w:val="center"/>
          </w:tcPr>
          <w:p w14:paraId="0C2B28C3">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资源供应计划</w:t>
            </w:r>
          </w:p>
        </w:tc>
        <w:tc>
          <w:tcPr>
            <w:tcW w:w="781" w:type="dxa"/>
            <w:tcBorders>
              <w:left w:val="single" w:color="auto" w:sz="4" w:space="0"/>
              <w:bottom w:val="single" w:color="auto" w:sz="4" w:space="0"/>
              <w:right w:val="single" w:color="auto" w:sz="4" w:space="0"/>
            </w:tcBorders>
            <w:vAlign w:val="center"/>
          </w:tcPr>
          <w:p w14:paraId="6EC767CD">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812" w:type="dxa"/>
            <w:tcBorders>
              <w:top w:val="single" w:color="auto" w:sz="4" w:space="0"/>
              <w:left w:val="single" w:color="auto" w:sz="4" w:space="0"/>
              <w:bottom w:val="single" w:color="auto" w:sz="4" w:space="0"/>
              <w:right w:val="single" w:color="auto" w:sz="4" w:space="0"/>
            </w:tcBorders>
            <w:vAlign w:val="center"/>
          </w:tcPr>
          <w:p w14:paraId="72E625B0">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优：劳动力需求计划依据项目各阶段任务与工期，精准安排工种、人数、进出时间，通过与专业劳务公司合作、完善培训及优厚薪酬激励保障供应；机械设备需求计划依施工工艺与场地科学规划，借定期维护、应急机制保障高效运行；材料需求计划结合施工进度精确安排，以长期供应合同、严格检验及合理库存保障供应及时且质量优。得</w:t>
            </w:r>
            <w:r>
              <w:rPr>
                <w:rFonts w:hint="eastAsia" w:ascii="宋体" w:hAnsi="宋体" w:cs="宋体"/>
                <w:color w:val="auto"/>
                <w:szCs w:val="21"/>
                <w:highlight w:val="none"/>
                <w:u w:val="single"/>
              </w:rPr>
              <w:t>[8,6)</w:t>
            </w:r>
            <w:r>
              <w:rPr>
                <w:rFonts w:hint="eastAsia" w:ascii="宋体" w:hAnsi="宋体" w:cs="宋体"/>
                <w:color w:val="auto"/>
                <w:szCs w:val="21"/>
                <w:highlight w:val="none"/>
              </w:rPr>
              <w:t>分。</w:t>
            </w:r>
          </w:p>
          <w:p w14:paraId="0240B62B">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良：劳动力需求计划基本满足施工进度，有初步合作、培训及薪酬规划，但稳定性、深度与竞争力不足；机械设备需求计划符合施工需求，有维护计划与应急联系，不过维护频率、响应速度及调配灵活性待提升；材料需求计划对主要材料有规划，有合作意向与基础检验流程，然而供应商多元化、质量把控及库存管理存欠缺。得</w:t>
            </w:r>
            <w:r>
              <w:rPr>
                <w:rFonts w:hint="eastAsia" w:ascii="宋体" w:hAnsi="宋体" w:cs="宋体"/>
                <w:color w:val="auto"/>
                <w:szCs w:val="21"/>
                <w:highlight w:val="none"/>
                <w:u w:val="single"/>
              </w:rPr>
              <w:t>[6,4)</w:t>
            </w:r>
            <w:r>
              <w:rPr>
                <w:rFonts w:hint="eastAsia" w:ascii="宋体" w:hAnsi="宋体" w:cs="宋体"/>
                <w:color w:val="auto"/>
                <w:szCs w:val="21"/>
                <w:highlight w:val="none"/>
              </w:rPr>
              <w:t>分。</w:t>
            </w:r>
          </w:p>
          <w:p w14:paraId="07995263">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中：劳动力需求计划在工种、人数及时间安排上不合理，保障措施简单，缺系统培训与激励机制；机械设备需求计划粗糙，设备信息规划不科学，维护与应急处理差；材料需求计划不细致，保障措施有限，供应商选择窄，缺有效检验与库存管理方法。得</w:t>
            </w:r>
            <w:r>
              <w:rPr>
                <w:rFonts w:hint="eastAsia" w:ascii="宋体" w:hAnsi="宋体" w:cs="宋体"/>
                <w:color w:val="auto"/>
                <w:szCs w:val="21"/>
                <w:highlight w:val="none"/>
                <w:u w:val="single"/>
              </w:rPr>
              <w:t>[4,2)</w:t>
            </w:r>
            <w:r>
              <w:rPr>
                <w:rFonts w:hint="eastAsia" w:ascii="宋体" w:hAnsi="宋体" w:cs="宋体"/>
                <w:color w:val="auto"/>
                <w:szCs w:val="21"/>
                <w:highlight w:val="none"/>
              </w:rPr>
              <w:t>分</w:t>
            </w:r>
            <w:r>
              <w:rPr>
                <w:rFonts w:hint="eastAsia" w:ascii="宋体" w:hAnsi="宋体" w:cs="宋体"/>
                <w:color w:val="auto"/>
                <w:kern w:val="0"/>
                <w:szCs w:val="21"/>
                <w:highlight w:val="none"/>
              </w:rPr>
              <w:t>。</w:t>
            </w:r>
          </w:p>
          <w:p w14:paraId="1FFA4D60">
            <w:pPr>
              <w:rPr>
                <w:rFonts w:hint="eastAsia" w:ascii="宋体" w:hAnsi="宋体" w:cs="宋体"/>
                <w:color w:val="auto"/>
                <w:szCs w:val="21"/>
                <w:highlight w:val="none"/>
              </w:rPr>
            </w:pPr>
            <w:r>
              <w:rPr>
                <w:rFonts w:hint="eastAsia" w:ascii="宋体" w:hAnsi="宋体" w:cs="宋体"/>
                <w:color w:val="auto"/>
                <w:highlight w:val="none"/>
              </w:rPr>
              <w:t>差：</w:t>
            </w:r>
            <w:r>
              <w:rPr>
                <w:rFonts w:hint="eastAsia" w:ascii="宋体" w:hAnsi="宋体" w:cs="宋体"/>
                <w:color w:val="auto"/>
                <w:szCs w:val="21"/>
                <w:highlight w:val="none"/>
              </w:rPr>
              <w:t>不满足前述要求者，得</w:t>
            </w:r>
            <w:r>
              <w:rPr>
                <w:rFonts w:hint="eastAsia" w:ascii="宋体" w:hAnsi="宋体" w:cs="宋体"/>
                <w:color w:val="auto"/>
                <w:szCs w:val="21"/>
                <w:highlight w:val="none"/>
                <w:u w:val="single"/>
              </w:rPr>
              <w:t>[2,0]</w:t>
            </w:r>
            <w:r>
              <w:rPr>
                <w:rFonts w:hint="eastAsia" w:ascii="宋体" w:hAnsi="宋体" w:cs="宋体"/>
                <w:color w:val="auto"/>
                <w:szCs w:val="21"/>
                <w:highlight w:val="none"/>
              </w:rPr>
              <w:t>分。</w:t>
            </w:r>
          </w:p>
        </w:tc>
      </w:tr>
      <w:tr w14:paraId="26704ED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continue"/>
            <w:tcBorders>
              <w:left w:val="single" w:color="auto" w:sz="8" w:space="0"/>
              <w:right w:val="single" w:color="auto" w:sz="4" w:space="0"/>
            </w:tcBorders>
            <w:vAlign w:val="center"/>
          </w:tcPr>
          <w:p w14:paraId="567418C6">
            <w:pPr>
              <w:spacing w:line="360" w:lineRule="auto"/>
              <w:rPr>
                <w:rFonts w:hint="eastAsia" w:ascii="宋体" w:hAnsi="宋体" w:cs="宋体"/>
                <w:color w:val="auto"/>
                <w:szCs w:val="21"/>
                <w:highlight w:val="none"/>
              </w:rPr>
            </w:pPr>
          </w:p>
        </w:tc>
        <w:tc>
          <w:tcPr>
            <w:tcW w:w="2083" w:type="dxa"/>
            <w:gridSpan w:val="2"/>
            <w:tcBorders>
              <w:left w:val="single" w:color="auto" w:sz="4" w:space="0"/>
              <w:right w:val="single" w:color="auto" w:sz="4" w:space="0"/>
            </w:tcBorders>
            <w:vAlign w:val="center"/>
          </w:tcPr>
          <w:p w14:paraId="3EE74F87">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施工质量目标</w:t>
            </w:r>
          </w:p>
        </w:tc>
        <w:tc>
          <w:tcPr>
            <w:tcW w:w="781" w:type="dxa"/>
            <w:tcBorders>
              <w:left w:val="single" w:color="auto" w:sz="4" w:space="0"/>
              <w:bottom w:val="single" w:color="auto" w:sz="4" w:space="0"/>
              <w:right w:val="single" w:color="auto" w:sz="4" w:space="0"/>
            </w:tcBorders>
            <w:vAlign w:val="center"/>
          </w:tcPr>
          <w:p w14:paraId="4AE2C196">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812" w:type="dxa"/>
            <w:tcBorders>
              <w:top w:val="single" w:color="auto" w:sz="4" w:space="0"/>
              <w:left w:val="single" w:color="auto" w:sz="4" w:space="0"/>
              <w:bottom w:val="single" w:color="auto" w:sz="4" w:space="0"/>
              <w:right w:val="single" w:color="auto" w:sz="4" w:space="0"/>
            </w:tcBorders>
            <w:vAlign w:val="center"/>
          </w:tcPr>
          <w:p w14:paraId="782985A2">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优：</w:t>
            </w:r>
            <w:r>
              <w:rPr>
                <w:rFonts w:hint="eastAsia" w:ascii="宋体" w:hAnsi="宋体" w:cs="宋体"/>
                <w:color w:val="auto"/>
                <w:szCs w:val="21"/>
                <w:highlight w:val="none"/>
              </w:rPr>
              <w:t>有质量目标控制措施且质量目标符合招标文件要求，质量管理体系完善，从管理层到一线施工人员架构清晰、协同高效。管理措施涵盖技术规范、原材料监管，还针对复杂情况制定预案。保证措施从资源、人员、工艺多维度发力，确保各环节达优。质量事故应急预案充分考虑潜在风险，从预警到处置合理且高度可行，有力保障项目高质量推进，得</w:t>
            </w:r>
            <w:r>
              <w:rPr>
                <w:rFonts w:hint="eastAsia" w:ascii="宋体" w:hAnsi="宋体" w:cs="宋体"/>
                <w:color w:val="auto"/>
                <w:szCs w:val="21"/>
                <w:highlight w:val="none"/>
                <w:u w:val="single"/>
              </w:rPr>
              <w:t>[8,6)</w:t>
            </w:r>
            <w:r>
              <w:rPr>
                <w:rFonts w:hint="eastAsia" w:ascii="宋体" w:hAnsi="宋体" w:cs="宋体"/>
                <w:color w:val="auto"/>
                <w:szCs w:val="21"/>
                <w:highlight w:val="none"/>
              </w:rPr>
              <w:t>分。</w:t>
            </w:r>
          </w:p>
          <w:p w14:paraId="6BF89880">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良：</w:t>
            </w:r>
            <w:r>
              <w:rPr>
                <w:rFonts w:hint="eastAsia" w:ascii="宋体" w:hAnsi="宋体" w:cs="宋体"/>
                <w:color w:val="auto"/>
                <w:szCs w:val="21"/>
                <w:highlight w:val="none"/>
              </w:rPr>
              <w:t>有质量目标控制措施且质量目标符合招标文件要求，质量管理体系较完善，但细节精细度欠佳。管理措施覆盖主要施工环节，能应对常见质量问题，不过处理特殊情况或复杂工艺时，灵活性和深度不足。保证措施在资源调配、人员管理方面有成效，可维持正常质量水准。质量事故应急预案合理，能应对常见事故类型，具备一定可行性，得</w:t>
            </w:r>
            <w:r>
              <w:rPr>
                <w:rFonts w:hint="eastAsia" w:ascii="宋体" w:hAnsi="宋体" w:cs="宋体"/>
                <w:color w:val="auto"/>
                <w:szCs w:val="21"/>
                <w:highlight w:val="none"/>
                <w:u w:val="single"/>
              </w:rPr>
              <w:t>[6,4)</w:t>
            </w:r>
            <w:r>
              <w:rPr>
                <w:rFonts w:hint="eastAsia" w:ascii="宋体" w:hAnsi="宋体" w:cs="宋体"/>
                <w:color w:val="auto"/>
                <w:szCs w:val="21"/>
                <w:highlight w:val="none"/>
              </w:rPr>
              <w:t>分</w:t>
            </w:r>
            <w:r>
              <w:rPr>
                <w:rFonts w:hint="eastAsia" w:ascii="宋体" w:hAnsi="宋体" w:cs="宋体"/>
                <w:color w:val="auto"/>
                <w:kern w:val="0"/>
                <w:szCs w:val="21"/>
                <w:highlight w:val="none"/>
              </w:rPr>
              <w:t>。</w:t>
            </w:r>
          </w:p>
          <w:p w14:paraId="3AFF620F">
            <w:pPr>
              <w:adjustRightInd w:val="0"/>
              <w:snapToGrid w:val="0"/>
              <w:spacing w:line="360" w:lineRule="exact"/>
              <w:ind w:left="42" w:leftChars="20" w:right="42" w:rightChars="20"/>
              <w:jc w:val="left"/>
              <w:rPr>
                <w:rFonts w:hint="eastAsia" w:ascii="宋体" w:hAnsi="宋体" w:cs="宋体"/>
                <w:color w:val="auto"/>
                <w:highlight w:val="none"/>
              </w:rPr>
            </w:pPr>
            <w:r>
              <w:rPr>
                <w:rFonts w:hint="eastAsia" w:ascii="宋体" w:hAnsi="宋体" w:cs="宋体"/>
                <w:color w:val="auto"/>
                <w:highlight w:val="none"/>
              </w:rPr>
              <w:t>中：</w:t>
            </w:r>
            <w:r>
              <w:rPr>
                <w:rFonts w:hint="eastAsia" w:ascii="宋体" w:hAnsi="宋体" w:cs="宋体"/>
                <w:color w:val="auto"/>
                <w:szCs w:val="21"/>
                <w:highlight w:val="none"/>
              </w:rPr>
              <w:t>有质量目标控制措施且质量目标符合招标文件要求，质量管理体系较欠缺，各部门和人员有基本职责划分，但系统性和连贯性有短板。管理措施在常规流程能发挥作用，把控隐蔽工程和关键节点时手段单一。保证措施满足资源和工艺基础要求，但提升质量的创新性、主动性不足。质量事故应急预案针对一般性事故有初步应对思路，具备一定可操作性，得</w:t>
            </w:r>
            <w:r>
              <w:rPr>
                <w:rFonts w:hint="eastAsia" w:ascii="宋体" w:hAnsi="宋体" w:cs="宋体"/>
                <w:color w:val="auto"/>
                <w:szCs w:val="21"/>
                <w:highlight w:val="none"/>
                <w:u w:val="single"/>
              </w:rPr>
              <w:t>[4,2)</w:t>
            </w:r>
            <w:r>
              <w:rPr>
                <w:rFonts w:hint="eastAsia" w:ascii="宋体" w:hAnsi="宋体" w:cs="宋体"/>
                <w:color w:val="auto"/>
                <w:szCs w:val="21"/>
                <w:highlight w:val="none"/>
              </w:rPr>
              <w:t>分。</w:t>
            </w:r>
          </w:p>
          <w:p w14:paraId="7261A127">
            <w:pPr>
              <w:widowControl/>
              <w:spacing w:line="360" w:lineRule="auto"/>
              <w:jc w:val="left"/>
              <w:textAlignment w:val="center"/>
              <w:rPr>
                <w:rFonts w:hint="eastAsia" w:ascii="宋体" w:hAnsi="宋体" w:cs="宋体"/>
                <w:color w:val="auto"/>
                <w:szCs w:val="21"/>
                <w:highlight w:val="none"/>
              </w:rPr>
            </w:pPr>
            <w:r>
              <w:rPr>
                <w:rFonts w:hint="eastAsia" w:ascii="宋体" w:hAnsi="宋体" w:cs="宋体"/>
                <w:color w:val="auto"/>
                <w:highlight w:val="none"/>
              </w:rPr>
              <w:t>差：不满足前述要求者，</w:t>
            </w:r>
            <w:r>
              <w:rPr>
                <w:rFonts w:hint="eastAsia" w:ascii="宋体" w:hAnsi="宋体" w:cs="宋体"/>
                <w:color w:val="auto"/>
                <w:szCs w:val="21"/>
                <w:highlight w:val="none"/>
              </w:rPr>
              <w:t>得</w:t>
            </w:r>
            <w:r>
              <w:rPr>
                <w:rFonts w:hint="eastAsia" w:ascii="宋体" w:hAnsi="宋体" w:cs="宋体"/>
                <w:color w:val="auto"/>
                <w:szCs w:val="21"/>
                <w:highlight w:val="none"/>
                <w:u w:val="single"/>
              </w:rPr>
              <w:t>[2,0]</w:t>
            </w:r>
            <w:r>
              <w:rPr>
                <w:rFonts w:hint="eastAsia" w:ascii="宋体" w:hAnsi="宋体" w:cs="宋体"/>
                <w:color w:val="auto"/>
                <w:szCs w:val="21"/>
                <w:highlight w:val="none"/>
              </w:rPr>
              <w:t>分</w:t>
            </w:r>
            <w:r>
              <w:rPr>
                <w:rFonts w:hint="eastAsia" w:ascii="宋体" w:hAnsi="宋体" w:cs="宋体"/>
                <w:color w:val="auto"/>
                <w:highlight w:val="none"/>
              </w:rPr>
              <w:t>。</w:t>
            </w:r>
          </w:p>
        </w:tc>
      </w:tr>
      <w:tr w14:paraId="0FABBB0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restart"/>
            <w:tcBorders>
              <w:left w:val="single" w:color="auto" w:sz="8" w:space="0"/>
              <w:right w:val="single" w:color="auto" w:sz="4" w:space="0"/>
            </w:tcBorders>
            <w:vAlign w:val="center"/>
          </w:tcPr>
          <w:p w14:paraId="3D8DDA6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二、项目组织管理机构能力（40分）</w:t>
            </w:r>
          </w:p>
          <w:p w14:paraId="0601BAFB">
            <w:pPr>
              <w:spacing w:line="360" w:lineRule="auto"/>
              <w:rPr>
                <w:rFonts w:hint="eastAsia" w:ascii="宋体" w:hAnsi="宋体" w:cs="宋体"/>
                <w:color w:val="auto"/>
                <w:szCs w:val="21"/>
                <w:highlight w:val="none"/>
              </w:rPr>
            </w:pPr>
          </w:p>
        </w:tc>
        <w:tc>
          <w:tcPr>
            <w:tcW w:w="757" w:type="dxa"/>
            <w:vMerge w:val="restart"/>
            <w:tcBorders>
              <w:left w:val="single" w:color="auto" w:sz="4" w:space="0"/>
              <w:right w:val="single" w:color="auto" w:sz="4" w:space="0"/>
            </w:tcBorders>
            <w:vAlign w:val="center"/>
          </w:tcPr>
          <w:p w14:paraId="0B6EDCD2">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项目管理机构</w:t>
            </w:r>
          </w:p>
        </w:tc>
        <w:tc>
          <w:tcPr>
            <w:tcW w:w="1326" w:type="dxa"/>
            <w:tcBorders>
              <w:left w:val="single" w:color="auto" w:sz="4" w:space="0"/>
              <w:right w:val="single" w:color="auto" w:sz="4" w:space="0"/>
            </w:tcBorders>
            <w:vAlign w:val="center"/>
          </w:tcPr>
          <w:p w14:paraId="371A0928">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rPr>
              <w:t>项目</w:t>
            </w:r>
            <w:r>
              <w:rPr>
                <w:rFonts w:hint="eastAsia" w:ascii="宋体" w:hAnsi="宋体" w:cs="宋体"/>
                <w:color w:val="auto"/>
                <w:szCs w:val="21"/>
                <w:highlight w:val="none"/>
              </w:rPr>
              <w:t>负责人</w:t>
            </w:r>
          </w:p>
        </w:tc>
        <w:tc>
          <w:tcPr>
            <w:tcW w:w="781" w:type="dxa"/>
            <w:tcBorders>
              <w:left w:val="single" w:color="auto" w:sz="4" w:space="0"/>
              <w:bottom w:val="single" w:color="auto" w:sz="4" w:space="0"/>
              <w:right w:val="single" w:color="auto" w:sz="4" w:space="0"/>
            </w:tcBorders>
            <w:vAlign w:val="center"/>
          </w:tcPr>
          <w:p w14:paraId="7CDE0517">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10</w:t>
            </w:r>
          </w:p>
        </w:tc>
        <w:tc>
          <w:tcPr>
            <w:tcW w:w="10812" w:type="dxa"/>
            <w:tcBorders>
              <w:top w:val="single" w:color="auto" w:sz="4" w:space="0"/>
              <w:left w:val="single" w:color="auto" w:sz="4" w:space="0"/>
              <w:bottom w:val="single" w:color="auto" w:sz="4" w:space="0"/>
              <w:right w:val="single" w:color="auto" w:sz="4" w:space="0"/>
            </w:tcBorders>
            <w:vAlign w:val="center"/>
          </w:tcPr>
          <w:p w14:paraId="6C764115">
            <w:pPr>
              <w:rPr>
                <w:rStyle w:val="40"/>
                <w:rFonts w:hint="default"/>
                <w:color w:val="auto"/>
                <w:sz w:val="21"/>
                <w:szCs w:val="21"/>
                <w:highlight w:val="none"/>
                <w:lang w:bidi="ar"/>
              </w:rPr>
            </w:pPr>
            <w:r>
              <w:rPr>
                <w:rFonts w:hint="eastAsia" w:ascii="宋体" w:hAnsi="宋体" w:cs="宋体"/>
                <w:color w:val="auto"/>
                <w:kern w:val="0"/>
                <w:szCs w:val="21"/>
                <w:highlight w:val="none"/>
              </w:rPr>
              <w:t>具备建筑工程类相关专业副高级工程师或以上职称的，得10分。具备建筑工程类相关专业中级工程师职称的，得5分。</w:t>
            </w:r>
          </w:p>
        </w:tc>
      </w:tr>
      <w:tr w14:paraId="7E8751E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continue"/>
            <w:tcBorders>
              <w:left w:val="single" w:color="auto" w:sz="8" w:space="0"/>
              <w:right w:val="single" w:color="auto" w:sz="4" w:space="0"/>
            </w:tcBorders>
            <w:vAlign w:val="center"/>
          </w:tcPr>
          <w:p w14:paraId="4A334493">
            <w:pPr>
              <w:spacing w:line="360" w:lineRule="auto"/>
              <w:rPr>
                <w:rFonts w:hint="eastAsia" w:ascii="宋体" w:hAnsi="宋体" w:cs="宋体"/>
                <w:color w:val="auto"/>
                <w:szCs w:val="21"/>
                <w:highlight w:val="none"/>
              </w:rPr>
            </w:pPr>
          </w:p>
        </w:tc>
        <w:tc>
          <w:tcPr>
            <w:tcW w:w="757" w:type="dxa"/>
            <w:vMerge w:val="continue"/>
            <w:tcBorders>
              <w:left w:val="single" w:color="auto" w:sz="4" w:space="0"/>
              <w:right w:val="single" w:color="auto" w:sz="4" w:space="0"/>
            </w:tcBorders>
            <w:vAlign w:val="center"/>
          </w:tcPr>
          <w:p w14:paraId="2BDAA25B">
            <w:pPr>
              <w:widowControl/>
              <w:spacing w:line="360" w:lineRule="auto"/>
              <w:rPr>
                <w:rFonts w:hint="eastAsia" w:ascii="宋体" w:hAnsi="宋体" w:cs="宋体"/>
                <w:color w:val="auto"/>
                <w:kern w:val="0"/>
                <w:szCs w:val="21"/>
                <w:highlight w:val="none"/>
              </w:rPr>
            </w:pPr>
          </w:p>
        </w:tc>
        <w:tc>
          <w:tcPr>
            <w:tcW w:w="1326" w:type="dxa"/>
            <w:tcBorders>
              <w:left w:val="single" w:color="auto" w:sz="4" w:space="0"/>
              <w:right w:val="single" w:color="auto" w:sz="4" w:space="0"/>
            </w:tcBorders>
            <w:vAlign w:val="center"/>
          </w:tcPr>
          <w:p w14:paraId="7D93468F">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技术负责人</w:t>
            </w:r>
          </w:p>
        </w:tc>
        <w:tc>
          <w:tcPr>
            <w:tcW w:w="781" w:type="dxa"/>
            <w:tcBorders>
              <w:left w:val="single" w:color="auto" w:sz="4" w:space="0"/>
              <w:bottom w:val="single" w:color="auto" w:sz="4" w:space="0"/>
              <w:right w:val="single" w:color="auto" w:sz="4" w:space="0"/>
            </w:tcBorders>
            <w:vAlign w:val="center"/>
          </w:tcPr>
          <w:p w14:paraId="1606E36C">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10</w:t>
            </w:r>
          </w:p>
        </w:tc>
        <w:tc>
          <w:tcPr>
            <w:tcW w:w="10812" w:type="dxa"/>
            <w:tcBorders>
              <w:top w:val="single" w:color="auto" w:sz="4" w:space="0"/>
              <w:left w:val="single" w:color="auto" w:sz="4" w:space="0"/>
              <w:bottom w:val="single" w:color="auto" w:sz="4" w:space="0"/>
              <w:right w:val="single" w:color="auto" w:sz="4" w:space="0"/>
            </w:tcBorders>
            <w:vAlign w:val="center"/>
          </w:tcPr>
          <w:p w14:paraId="214F694C">
            <w:pPr>
              <w:rPr>
                <w:rStyle w:val="40"/>
                <w:rFonts w:hint="default"/>
                <w:color w:val="auto"/>
                <w:sz w:val="21"/>
                <w:szCs w:val="21"/>
                <w:highlight w:val="none"/>
                <w:lang w:bidi="ar"/>
              </w:rPr>
            </w:pPr>
            <w:r>
              <w:rPr>
                <w:rFonts w:hint="eastAsia" w:ascii="宋体" w:hAnsi="宋体" w:cs="宋体"/>
                <w:color w:val="auto"/>
                <w:kern w:val="0"/>
                <w:szCs w:val="21"/>
                <w:highlight w:val="none"/>
              </w:rPr>
              <w:t>具备建筑工程类专业副高级工程师或以上职称的，得10分。</w:t>
            </w:r>
          </w:p>
        </w:tc>
      </w:tr>
      <w:tr w14:paraId="167F0AB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continue"/>
            <w:tcBorders>
              <w:left w:val="single" w:color="auto" w:sz="8" w:space="0"/>
              <w:right w:val="single" w:color="auto" w:sz="4" w:space="0"/>
            </w:tcBorders>
            <w:vAlign w:val="center"/>
          </w:tcPr>
          <w:p w14:paraId="285D6408">
            <w:pPr>
              <w:spacing w:line="360" w:lineRule="auto"/>
              <w:rPr>
                <w:rFonts w:hint="eastAsia" w:ascii="宋体" w:hAnsi="宋体" w:cs="宋体"/>
                <w:color w:val="auto"/>
                <w:szCs w:val="21"/>
                <w:highlight w:val="none"/>
              </w:rPr>
            </w:pPr>
          </w:p>
        </w:tc>
        <w:tc>
          <w:tcPr>
            <w:tcW w:w="757" w:type="dxa"/>
            <w:vMerge w:val="continue"/>
            <w:tcBorders>
              <w:left w:val="single" w:color="auto" w:sz="4" w:space="0"/>
              <w:right w:val="single" w:color="auto" w:sz="4" w:space="0"/>
            </w:tcBorders>
            <w:vAlign w:val="center"/>
          </w:tcPr>
          <w:p w14:paraId="21D35668">
            <w:pPr>
              <w:widowControl/>
              <w:spacing w:line="360" w:lineRule="auto"/>
              <w:rPr>
                <w:rFonts w:hint="eastAsia" w:ascii="宋体" w:hAnsi="宋体" w:cs="宋体"/>
                <w:color w:val="auto"/>
                <w:kern w:val="0"/>
                <w:szCs w:val="21"/>
                <w:highlight w:val="none"/>
              </w:rPr>
            </w:pPr>
          </w:p>
        </w:tc>
        <w:tc>
          <w:tcPr>
            <w:tcW w:w="1326" w:type="dxa"/>
            <w:tcBorders>
              <w:left w:val="single" w:color="auto" w:sz="4" w:space="0"/>
              <w:right w:val="single" w:color="auto" w:sz="4" w:space="0"/>
            </w:tcBorders>
            <w:vAlign w:val="center"/>
          </w:tcPr>
          <w:p w14:paraId="43A6A2E8">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质量负责人</w:t>
            </w:r>
          </w:p>
        </w:tc>
        <w:tc>
          <w:tcPr>
            <w:tcW w:w="781" w:type="dxa"/>
            <w:tcBorders>
              <w:left w:val="single" w:color="auto" w:sz="4" w:space="0"/>
              <w:bottom w:val="single" w:color="auto" w:sz="4" w:space="0"/>
              <w:right w:val="single" w:color="auto" w:sz="4" w:space="0"/>
            </w:tcBorders>
            <w:vAlign w:val="center"/>
          </w:tcPr>
          <w:p w14:paraId="6AC470ED">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5</w:t>
            </w:r>
          </w:p>
        </w:tc>
        <w:tc>
          <w:tcPr>
            <w:tcW w:w="10812" w:type="dxa"/>
            <w:tcBorders>
              <w:top w:val="single" w:color="auto" w:sz="4" w:space="0"/>
              <w:left w:val="single" w:color="auto" w:sz="4" w:space="0"/>
              <w:bottom w:val="single" w:color="auto" w:sz="4" w:space="0"/>
              <w:right w:val="single" w:color="auto" w:sz="4" w:space="0"/>
            </w:tcBorders>
            <w:vAlign w:val="center"/>
          </w:tcPr>
          <w:p w14:paraId="0D2D1B5A">
            <w:pPr>
              <w:rPr>
                <w:rStyle w:val="40"/>
                <w:rFonts w:hint="default"/>
                <w:color w:val="auto"/>
                <w:sz w:val="21"/>
                <w:szCs w:val="21"/>
                <w:highlight w:val="none"/>
                <w:lang w:bidi="ar"/>
              </w:rPr>
            </w:pPr>
            <w:r>
              <w:rPr>
                <w:rFonts w:hint="eastAsia" w:ascii="宋体" w:hAnsi="宋体" w:cs="宋体"/>
                <w:color w:val="auto"/>
                <w:kern w:val="0"/>
                <w:szCs w:val="21"/>
                <w:highlight w:val="none"/>
              </w:rPr>
              <w:t>具备建筑工程类相关专业</w:t>
            </w:r>
            <w:r>
              <w:rPr>
                <w:rStyle w:val="40"/>
                <w:rFonts w:hint="default"/>
                <w:color w:val="auto"/>
                <w:sz w:val="21"/>
                <w:szCs w:val="21"/>
                <w:highlight w:val="none"/>
                <w:lang w:bidi="ar"/>
              </w:rPr>
              <w:t>副高</w:t>
            </w:r>
            <w:r>
              <w:rPr>
                <w:rFonts w:hint="eastAsia" w:ascii="宋体" w:hAnsi="宋体" w:cs="宋体"/>
                <w:color w:val="auto"/>
                <w:kern w:val="0"/>
                <w:szCs w:val="21"/>
                <w:highlight w:val="none"/>
              </w:rPr>
              <w:t>级工程师或以上职称的，得5分。具备建筑工程类相关专业中级工程师职称的，得2分。</w:t>
            </w:r>
          </w:p>
        </w:tc>
      </w:tr>
      <w:tr w14:paraId="39E54B5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continue"/>
            <w:tcBorders>
              <w:left w:val="single" w:color="auto" w:sz="8" w:space="0"/>
              <w:right w:val="single" w:color="auto" w:sz="4" w:space="0"/>
            </w:tcBorders>
            <w:vAlign w:val="center"/>
          </w:tcPr>
          <w:p w14:paraId="22CAB8BE">
            <w:pPr>
              <w:spacing w:line="360" w:lineRule="auto"/>
              <w:rPr>
                <w:rFonts w:hint="eastAsia" w:ascii="宋体" w:hAnsi="宋体" w:cs="宋体"/>
                <w:color w:val="auto"/>
                <w:szCs w:val="21"/>
                <w:highlight w:val="none"/>
              </w:rPr>
            </w:pPr>
          </w:p>
        </w:tc>
        <w:tc>
          <w:tcPr>
            <w:tcW w:w="757" w:type="dxa"/>
            <w:vMerge w:val="continue"/>
            <w:tcBorders>
              <w:left w:val="single" w:color="auto" w:sz="4" w:space="0"/>
              <w:right w:val="single" w:color="auto" w:sz="4" w:space="0"/>
            </w:tcBorders>
            <w:vAlign w:val="center"/>
          </w:tcPr>
          <w:p w14:paraId="561E1595">
            <w:pPr>
              <w:widowControl/>
              <w:spacing w:line="360" w:lineRule="auto"/>
              <w:rPr>
                <w:rFonts w:hint="eastAsia" w:ascii="宋体" w:hAnsi="宋体" w:cs="宋体"/>
                <w:color w:val="auto"/>
                <w:kern w:val="0"/>
                <w:szCs w:val="21"/>
                <w:highlight w:val="none"/>
              </w:rPr>
            </w:pPr>
          </w:p>
        </w:tc>
        <w:tc>
          <w:tcPr>
            <w:tcW w:w="1326" w:type="dxa"/>
            <w:tcBorders>
              <w:left w:val="single" w:color="auto" w:sz="4" w:space="0"/>
              <w:right w:val="single" w:color="auto" w:sz="4" w:space="0"/>
            </w:tcBorders>
            <w:vAlign w:val="center"/>
          </w:tcPr>
          <w:p w14:paraId="5B2ED6AF">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安全负责人</w:t>
            </w:r>
          </w:p>
        </w:tc>
        <w:tc>
          <w:tcPr>
            <w:tcW w:w="781" w:type="dxa"/>
            <w:tcBorders>
              <w:left w:val="single" w:color="auto" w:sz="4" w:space="0"/>
              <w:bottom w:val="single" w:color="auto" w:sz="4" w:space="0"/>
              <w:right w:val="single" w:color="auto" w:sz="4" w:space="0"/>
            </w:tcBorders>
            <w:vAlign w:val="center"/>
          </w:tcPr>
          <w:p w14:paraId="2EEEE472">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5</w:t>
            </w:r>
          </w:p>
        </w:tc>
        <w:tc>
          <w:tcPr>
            <w:tcW w:w="10812" w:type="dxa"/>
            <w:tcBorders>
              <w:top w:val="single" w:color="auto" w:sz="4" w:space="0"/>
              <w:left w:val="single" w:color="auto" w:sz="4" w:space="0"/>
              <w:bottom w:val="single" w:color="auto" w:sz="4" w:space="0"/>
              <w:right w:val="single" w:color="auto" w:sz="4" w:space="0"/>
            </w:tcBorders>
            <w:vAlign w:val="center"/>
          </w:tcPr>
          <w:p w14:paraId="1DBEC055">
            <w:pPr>
              <w:rPr>
                <w:rStyle w:val="40"/>
                <w:rFonts w:hint="default"/>
                <w:color w:val="auto"/>
                <w:sz w:val="21"/>
                <w:szCs w:val="21"/>
                <w:highlight w:val="none"/>
                <w:lang w:bidi="ar"/>
              </w:rPr>
            </w:pPr>
            <w:r>
              <w:rPr>
                <w:rFonts w:hint="eastAsia" w:ascii="宋体" w:hAnsi="宋体" w:cs="宋体"/>
                <w:color w:val="auto"/>
                <w:kern w:val="0"/>
                <w:szCs w:val="21"/>
                <w:highlight w:val="none"/>
              </w:rPr>
              <w:t>具备在有效期</w:t>
            </w:r>
            <w:r>
              <w:rPr>
                <w:rFonts w:hint="eastAsia" w:ascii="宋体" w:hAnsi="宋体" w:cs="宋体"/>
                <w:color w:val="auto"/>
                <w:szCs w:val="21"/>
                <w:highlight w:val="none"/>
              </w:rPr>
              <w:t>内的安全生产考核合格证（B类）或安全生产考核合格证（C类）或在有效期内的建筑施工企业项目负责人安全生产考核合格证书或在有效期内的建筑施工企业专职安全生产管理人员安全生产考核合格证书（C3）的，得5分。</w:t>
            </w:r>
          </w:p>
        </w:tc>
      </w:tr>
      <w:tr w14:paraId="42F3E8B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continue"/>
            <w:tcBorders>
              <w:left w:val="single" w:color="auto" w:sz="8" w:space="0"/>
              <w:right w:val="single" w:color="auto" w:sz="4" w:space="0"/>
            </w:tcBorders>
            <w:vAlign w:val="center"/>
          </w:tcPr>
          <w:p w14:paraId="2C87B62D">
            <w:pPr>
              <w:spacing w:line="360" w:lineRule="auto"/>
              <w:rPr>
                <w:rFonts w:hint="eastAsia" w:ascii="宋体" w:hAnsi="宋体" w:cs="宋体"/>
                <w:color w:val="auto"/>
                <w:szCs w:val="21"/>
                <w:highlight w:val="none"/>
              </w:rPr>
            </w:pPr>
          </w:p>
        </w:tc>
        <w:tc>
          <w:tcPr>
            <w:tcW w:w="757" w:type="dxa"/>
            <w:vMerge w:val="continue"/>
            <w:tcBorders>
              <w:left w:val="single" w:color="auto" w:sz="4" w:space="0"/>
              <w:right w:val="single" w:color="auto" w:sz="4" w:space="0"/>
            </w:tcBorders>
            <w:vAlign w:val="center"/>
          </w:tcPr>
          <w:p w14:paraId="6D649BF6">
            <w:pPr>
              <w:widowControl/>
              <w:spacing w:line="360" w:lineRule="auto"/>
              <w:rPr>
                <w:rFonts w:hint="eastAsia" w:ascii="宋体" w:hAnsi="宋体" w:cs="宋体"/>
                <w:color w:val="auto"/>
                <w:kern w:val="0"/>
                <w:szCs w:val="21"/>
                <w:highlight w:val="none"/>
              </w:rPr>
            </w:pPr>
          </w:p>
        </w:tc>
        <w:tc>
          <w:tcPr>
            <w:tcW w:w="1326" w:type="dxa"/>
            <w:tcBorders>
              <w:left w:val="single" w:color="auto" w:sz="4" w:space="0"/>
              <w:right w:val="single" w:color="auto" w:sz="4" w:space="0"/>
            </w:tcBorders>
            <w:vAlign w:val="center"/>
          </w:tcPr>
          <w:p w14:paraId="47C00E60">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造价负责人</w:t>
            </w:r>
          </w:p>
        </w:tc>
        <w:tc>
          <w:tcPr>
            <w:tcW w:w="781" w:type="dxa"/>
            <w:tcBorders>
              <w:left w:val="single" w:color="auto" w:sz="4" w:space="0"/>
              <w:bottom w:val="single" w:color="auto" w:sz="4" w:space="0"/>
              <w:right w:val="single" w:color="auto" w:sz="4" w:space="0"/>
            </w:tcBorders>
            <w:vAlign w:val="center"/>
          </w:tcPr>
          <w:p w14:paraId="2DF442D5">
            <w:pPr>
              <w:widowControl/>
              <w:spacing w:line="36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5</w:t>
            </w:r>
          </w:p>
        </w:tc>
        <w:tc>
          <w:tcPr>
            <w:tcW w:w="10812" w:type="dxa"/>
            <w:tcBorders>
              <w:top w:val="single" w:color="auto" w:sz="4" w:space="0"/>
              <w:left w:val="single" w:color="auto" w:sz="4" w:space="0"/>
              <w:bottom w:val="single" w:color="auto" w:sz="4" w:space="0"/>
              <w:right w:val="single" w:color="auto" w:sz="4" w:space="0"/>
            </w:tcBorders>
            <w:vAlign w:val="center"/>
          </w:tcPr>
          <w:p w14:paraId="0EB4A393">
            <w:pPr>
              <w:rPr>
                <w:rStyle w:val="40"/>
                <w:rFonts w:hint="default"/>
                <w:color w:val="auto"/>
                <w:sz w:val="21"/>
                <w:szCs w:val="21"/>
                <w:highlight w:val="none"/>
                <w:lang w:bidi="ar"/>
              </w:rPr>
            </w:pPr>
            <w:r>
              <w:rPr>
                <w:rFonts w:hint="eastAsia" w:ascii="宋体" w:hAnsi="宋体" w:cs="宋体"/>
                <w:color w:val="auto"/>
                <w:szCs w:val="21"/>
                <w:highlight w:val="none"/>
              </w:rPr>
              <w:t>具备有效的注册造价师（不含二级注册造价师）或一级注册造价师证书或具有工程造价类专业副高级或以上技术职称，得 5 分。</w:t>
            </w:r>
          </w:p>
        </w:tc>
      </w:tr>
      <w:tr w14:paraId="2769A86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8" w:type="dxa"/>
            <w:vMerge w:val="continue"/>
            <w:tcBorders>
              <w:left w:val="single" w:color="auto" w:sz="8" w:space="0"/>
              <w:right w:val="single" w:color="auto" w:sz="4" w:space="0"/>
            </w:tcBorders>
            <w:vAlign w:val="center"/>
          </w:tcPr>
          <w:p w14:paraId="22346631">
            <w:pPr>
              <w:spacing w:line="360" w:lineRule="auto"/>
              <w:rPr>
                <w:rFonts w:hint="eastAsia" w:ascii="宋体" w:hAnsi="宋体" w:cs="宋体"/>
                <w:color w:val="auto"/>
                <w:szCs w:val="21"/>
                <w:highlight w:val="none"/>
              </w:rPr>
            </w:pPr>
          </w:p>
        </w:tc>
        <w:tc>
          <w:tcPr>
            <w:tcW w:w="757" w:type="dxa"/>
            <w:vMerge w:val="continue"/>
            <w:tcBorders>
              <w:left w:val="single" w:color="auto" w:sz="4" w:space="0"/>
              <w:right w:val="single" w:color="auto" w:sz="4" w:space="0"/>
            </w:tcBorders>
            <w:vAlign w:val="center"/>
          </w:tcPr>
          <w:p w14:paraId="4F411CDF">
            <w:pPr>
              <w:widowControl/>
              <w:spacing w:line="360" w:lineRule="auto"/>
              <w:rPr>
                <w:rFonts w:hint="eastAsia" w:ascii="宋体" w:hAnsi="宋体" w:cs="宋体"/>
                <w:color w:val="auto"/>
                <w:kern w:val="0"/>
                <w:szCs w:val="21"/>
                <w:highlight w:val="none"/>
              </w:rPr>
            </w:pPr>
          </w:p>
        </w:tc>
        <w:tc>
          <w:tcPr>
            <w:tcW w:w="1326" w:type="dxa"/>
            <w:tcBorders>
              <w:left w:val="single" w:color="auto" w:sz="4" w:space="0"/>
              <w:right w:val="single" w:color="auto" w:sz="4" w:space="0"/>
            </w:tcBorders>
            <w:vAlign w:val="center"/>
          </w:tcPr>
          <w:p w14:paraId="0FFD8443">
            <w:pPr>
              <w:widowControl/>
              <w:spacing w:line="360"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其他人员</w:t>
            </w:r>
          </w:p>
        </w:tc>
        <w:tc>
          <w:tcPr>
            <w:tcW w:w="781" w:type="dxa"/>
            <w:tcBorders>
              <w:left w:val="single" w:color="auto" w:sz="4" w:space="0"/>
              <w:bottom w:val="single" w:color="auto" w:sz="4" w:space="0"/>
              <w:right w:val="single" w:color="auto" w:sz="4" w:space="0"/>
            </w:tcBorders>
            <w:vAlign w:val="center"/>
          </w:tcPr>
          <w:p w14:paraId="0BC7AB60">
            <w:pPr>
              <w:widowControl/>
              <w:spacing w:line="360"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0812" w:type="dxa"/>
            <w:tcBorders>
              <w:top w:val="single" w:color="auto" w:sz="4" w:space="0"/>
              <w:left w:val="single" w:color="auto" w:sz="4" w:space="0"/>
              <w:bottom w:val="single" w:color="auto" w:sz="4" w:space="0"/>
              <w:right w:val="single" w:color="auto" w:sz="4" w:space="0"/>
            </w:tcBorders>
            <w:vAlign w:val="center"/>
          </w:tcPr>
          <w:p w14:paraId="06063BB9">
            <w:pPr>
              <w:widowControl/>
              <w:spacing w:line="360" w:lineRule="auto"/>
              <w:jc w:val="left"/>
              <w:textAlignment w:val="center"/>
              <w:rPr>
                <w:rStyle w:val="40"/>
                <w:rFonts w:hint="default"/>
                <w:color w:val="auto"/>
                <w:sz w:val="21"/>
                <w:szCs w:val="21"/>
                <w:highlight w:val="none"/>
                <w:lang w:bidi="ar"/>
              </w:rPr>
            </w:pPr>
            <w:r>
              <w:rPr>
                <w:rStyle w:val="40"/>
                <w:rFonts w:hint="default"/>
                <w:color w:val="auto"/>
                <w:sz w:val="21"/>
                <w:szCs w:val="21"/>
                <w:highlight w:val="none"/>
                <w:lang w:bidi="ar"/>
              </w:rPr>
              <w:t>除项目负责人、技术负责人、质量负责人、安全负责人、造价负责人外，拟投入本项目的人员配置完善合理，关键技术工种能保证项目顺利实施，满足深化设计工作需求，保障项目质量、安全及周边环境等要求其中：</w:t>
            </w:r>
            <w:r>
              <w:rPr>
                <w:rStyle w:val="40"/>
                <w:rFonts w:hint="default"/>
                <w:color w:val="auto"/>
                <w:sz w:val="21"/>
                <w:szCs w:val="21"/>
                <w:highlight w:val="none"/>
                <w:lang w:bidi="ar"/>
              </w:rPr>
              <w:br w:type="textWrapping"/>
            </w:r>
            <w:r>
              <w:rPr>
                <w:rStyle w:val="40"/>
                <w:rFonts w:hint="default"/>
                <w:color w:val="auto"/>
                <w:sz w:val="21"/>
                <w:szCs w:val="21"/>
                <w:highlight w:val="none"/>
                <w:lang w:bidi="ar"/>
              </w:rPr>
              <w:t>①建筑工程师：具有土木工程相关专业中级工程师或以上职称的2人；</w:t>
            </w:r>
          </w:p>
          <w:p w14:paraId="382DE460">
            <w:pPr>
              <w:widowControl/>
              <w:spacing w:line="360" w:lineRule="auto"/>
              <w:jc w:val="left"/>
              <w:textAlignment w:val="center"/>
              <w:rPr>
                <w:rStyle w:val="40"/>
                <w:rFonts w:hint="default"/>
                <w:color w:val="auto"/>
                <w:sz w:val="21"/>
                <w:szCs w:val="21"/>
                <w:highlight w:val="none"/>
                <w:lang w:bidi="ar"/>
              </w:rPr>
            </w:pPr>
            <w:r>
              <w:rPr>
                <w:rStyle w:val="40"/>
                <w:rFonts w:hint="default"/>
                <w:color w:val="auto"/>
                <w:sz w:val="21"/>
                <w:szCs w:val="21"/>
                <w:highlight w:val="none"/>
                <w:lang w:bidi="ar"/>
              </w:rPr>
              <w:t>②给排水工程师：具有给水排水专业中级工程师或以上职称的1人；</w:t>
            </w:r>
          </w:p>
          <w:p w14:paraId="539F0B3E">
            <w:pPr>
              <w:widowControl/>
              <w:spacing w:line="360" w:lineRule="auto"/>
              <w:jc w:val="left"/>
              <w:textAlignment w:val="center"/>
              <w:rPr>
                <w:rStyle w:val="40"/>
                <w:rFonts w:hint="default"/>
                <w:color w:val="auto"/>
                <w:sz w:val="21"/>
                <w:szCs w:val="21"/>
                <w:highlight w:val="none"/>
                <w:lang w:bidi="ar"/>
              </w:rPr>
            </w:pPr>
            <w:r>
              <w:rPr>
                <w:rStyle w:val="40"/>
                <w:rFonts w:hint="default"/>
                <w:color w:val="auto"/>
                <w:sz w:val="21"/>
                <w:szCs w:val="21"/>
                <w:highlight w:val="none"/>
                <w:lang w:bidi="ar"/>
              </w:rPr>
              <w:t>③电气工程师：具有电气安装或机电类专业中级工程师或以上职称的1人；</w:t>
            </w:r>
          </w:p>
          <w:p w14:paraId="177F3799">
            <w:pPr>
              <w:widowControl/>
              <w:spacing w:line="360" w:lineRule="auto"/>
              <w:jc w:val="left"/>
              <w:textAlignment w:val="center"/>
              <w:rPr>
                <w:rFonts w:hint="eastAsia" w:ascii="宋体" w:hAnsi="宋体" w:cs="宋体"/>
                <w:color w:val="auto"/>
                <w:szCs w:val="21"/>
                <w:highlight w:val="none"/>
              </w:rPr>
            </w:pPr>
            <w:r>
              <w:rPr>
                <w:rStyle w:val="40"/>
                <w:rFonts w:hint="default"/>
                <w:color w:val="auto"/>
                <w:sz w:val="21"/>
                <w:szCs w:val="21"/>
                <w:highlight w:val="none"/>
                <w:lang w:bidi="ar"/>
              </w:rPr>
              <w:t>④造价工程师：具有</w:t>
            </w:r>
            <w:r>
              <w:rPr>
                <w:rFonts w:hint="eastAsia" w:ascii="宋体" w:hAnsi="宋体" w:cs="宋体"/>
                <w:color w:val="auto"/>
                <w:szCs w:val="21"/>
                <w:highlight w:val="none"/>
              </w:rPr>
              <w:t>有效的注册造价师（不含二级注册造价师）或一级注册造价师证书或具有工程造价类专业副高级或以上技术职称，得 5 分。</w:t>
            </w:r>
          </w:p>
          <w:p w14:paraId="0684958B">
            <w:pPr>
              <w:widowControl/>
              <w:spacing w:line="360" w:lineRule="auto"/>
              <w:jc w:val="left"/>
              <w:textAlignment w:val="center"/>
              <w:rPr>
                <w:rStyle w:val="40"/>
                <w:rFonts w:hint="default"/>
                <w:color w:val="auto"/>
                <w:sz w:val="21"/>
                <w:szCs w:val="21"/>
                <w:highlight w:val="none"/>
                <w:lang w:bidi="ar"/>
              </w:rPr>
            </w:pPr>
            <w:r>
              <w:rPr>
                <w:rStyle w:val="40"/>
                <w:rFonts w:hint="default"/>
                <w:color w:val="auto"/>
                <w:sz w:val="21"/>
                <w:szCs w:val="21"/>
                <w:highlight w:val="none"/>
                <w:lang w:bidi="ar"/>
              </w:rPr>
              <w:t>⑤以上人员不得兼任，全部满足得 5分；</w:t>
            </w:r>
            <w:r>
              <w:rPr>
                <w:rStyle w:val="41"/>
                <w:rFonts w:hint="default"/>
                <w:color w:val="auto"/>
                <w:sz w:val="21"/>
                <w:szCs w:val="21"/>
                <w:highlight w:val="none"/>
                <w:lang w:bidi="ar"/>
              </w:rPr>
              <w:t>少1人扣2分</w:t>
            </w:r>
            <w:r>
              <w:rPr>
                <w:rStyle w:val="40"/>
                <w:rFonts w:hint="default"/>
                <w:color w:val="auto"/>
                <w:sz w:val="21"/>
                <w:szCs w:val="21"/>
                <w:highlight w:val="none"/>
                <w:lang w:bidi="ar"/>
              </w:rPr>
              <w:t>，扣完为止。</w:t>
            </w:r>
          </w:p>
        </w:tc>
      </w:tr>
      <w:tr w14:paraId="3B28B73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2" w:type="dxa"/>
            <w:gridSpan w:val="4"/>
            <w:tcBorders>
              <w:left w:val="single" w:color="auto" w:sz="8" w:space="0"/>
              <w:right w:val="single" w:color="auto" w:sz="4" w:space="0"/>
            </w:tcBorders>
            <w:vAlign w:val="center"/>
          </w:tcPr>
          <w:p w14:paraId="1B6D2B2B">
            <w:pPr>
              <w:widowControl/>
              <w:spacing w:line="360" w:lineRule="auto"/>
              <w:rPr>
                <w:rFonts w:hint="eastAsia" w:ascii="宋体" w:hAnsi="宋体" w:cs="宋体"/>
                <w:color w:val="auto"/>
                <w:szCs w:val="21"/>
                <w:highlight w:val="none"/>
              </w:rPr>
            </w:pPr>
          </w:p>
        </w:tc>
        <w:tc>
          <w:tcPr>
            <w:tcW w:w="10812" w:type="dxa"/>
            <w:tcBorders>
              <w:top w:val="single" w:color="auto" w:sz="4" w:space="0"/>
              <w:left w:val="single" w:color="auto" w:sz="4" w:space="0"/>
              <w:bottom w:val="single" w:color="auto" w:sz="4" w:space="0"/>
              <w:right w:val="single" w:color="auto" w:sz="4" w:space="0"/>
            </w:tcBorders>
            <w:vAlign w:val="center"/>
          </w:tcPr>
          <w:p w14:paraId="461DBE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注：①上述人员须提供身份证及投标截止前一个月（2025年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有效社保证明，且须按相应要求提供职称证、有效期内的注册证及有效期内的安全生产考核合格证（B类）或安全生产考核合格证（C类）或在有效期内的建筑施工企业项目负责人安全生产考核合格证书或在有效期内的建筑施工企业专职安全生产管理人员安全生产考核合格证书（C3），所有资料为扫描件并加盖投标人电子公章。</w:t>
            </w:r>
          </w:p>
          <w:p w14:paraId="7E188ED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②项目负责人、技术负责人、质量负责人、安全负责人、造价负责人及其他人员在本项目均不得兼任，且安全负责人不能同时兼任专职安全员。</w:t>
            </w:r>
            <w:r>
              <w:rPr>
                <w:rFonts w:hint="eastAsia" w:ascii="宋体" w:hAnsi="宋体" w:eastAsia="宋体" w:cs="宋体"/>
                <w:color w:val="auto"/>
                <w:kern w:val="0"/>
                <w:sz w:val="22"/>
                <w:szCs w:val="22"/>
                <w:highlight w:val="none"/>
                <w:lang w:val="en-US" w:eastAsia="zh-CN" w:bidi="ar"/>
              </w:rPr>
              <w:t>若投标人为联合体，拟任本工程项目负责人、技术负责人、质量负责人、安全负责人、造价负责人及其他人员须为联合体主办方人员</w:t>
            </w:r>
          </w:p>
          <w:p w14:paraId="0F2CB6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③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4150285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④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r>
      <w:tr w14:paraId="3605601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tcBorders>
              <w:top w:val="single" w:color="auto" w:sz="4" w:space="0"/>
              <w:left w:val="single" w:color="auto" w:sz="8" w:space="0"/>
              <w:right w:val="single" w:color="auto" w:sz="4" w:space="0"/>
            </w:tcBorders>
            <w:vAlign w:val="center"/>
          </w:tcPr>
          <w:p w14:paraId="2408E35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三、企业资信（20分）</w:t>
            </w:r>
          </w:p>
        </w:tc>
        <w:tc>
          <w:tcPr>
            <w:tcW w:w="2083" w:type="dxa"/>
            <w:gridSpan w:val="2"/>
            <w:tcBorders>
              <w:left w:val="single" w:color="auto" w:sz="4" w:space="0"/>
              <w:bottom w:val="single" w:color="auto" w:sz="4" w:space="0"/>
              <w:right w:val="single" w:color="auto" w:sz="4" w:space="0"/>
            </w:tcBorders>
            <w:vAlign w:val="center"/>
          </w:tcPr>
          <w:p w14:paraId="040642D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企业类似业绩</w:t>
            </w:r>
          </w:p>
        </w:tc>
        <w:tc>
          <w:tcPr>
            <w:tcW w:w="781" w:type="dxa"/>
            <w:tcBorders>
              <w:top w:val="single" w:color="auto" w:sz="4" w:space="0"/>
              <w:left w:val="single" w:color="auto" w:sz="4" w:space="0"/>
              <w:bottom w:val="single" w:color="auto" w:sz="4" w:space="0"/>
              <w:right w:val="single" w:color="auto" w:sz="4" w:space="0"/>
            </w:tcBorders>
            <w:vAlign w:val="center"/>
          </w:tcPr>
          <w:p w14:paraId="7F3F21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812" w:type="dxa"/>
            <w:tcBorders>
              <w:top w:val="single" w:color="auto" w:sz="4" w:space="0"/>
              <w:left w:val="single" w:color="auto" w:sz="4" w:space="0"/>
              <w:bottom w:val="single" w:color="auto" w:sz="4" w:space="0"/>
              <w:right w:val="single" w:color="auto" w:sz="4" w:space="0"/>
            </w:tcBorders>
            <w:vAlign w:val="center"/>
          </w:tcPr>
          <w:p w14:paraId="34016ED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投标人自2020年1月1日至今完成过质量合格的工程造价大于或等于10000万元的类似建筑工程施工总承包或工程总承包业绩一项得3分；最多得12分，无类似业绩不得分。本项最高得12分。</w:t>
            </w:r>
          </w:p>
        </w:tc>
      </w:tr>
      <w:tr w14:paraId="2879999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8" w:space="0"/>
              <w:right w:val="single" w:color="auto" w:sz="4" w:space="0"/>
            </w:tcBorders>
            <w:vAlign w:val="center"/>
          </w:tcPr>
          <w:p w14:paraId="0744C248">
            <w:pPr>
              <w:spacing w:line="360" w:lineRule="auto"/>
              <w:jc w:val="center"/>
              <w:rPr>
                <w:rFonts w:hint="eastAsia" w:ascii="宋体" w:hAnsi="宋体" w:cs="宋体"/>
                <w:color w:val="auto"/>
                <w:szCs w:val="21"/>
                <w:highlight w:val="none"/>
              </w:rPr>
            </w:pPr>
          </w:p>
        </w:tc>
        <w:tc>
          <w:tcPr>
            <w:tcW w:w="2083" w:type="dxa"/>
            <w:gridSpan w:val="2"/>
            <w:tcBorders>
              <w:left w:val="single" w:color="auto" w:sz="4" w:space="0"/>
              <w:bottom w:val="single" w:color="auto" w:sz="4" w:space="0"/>
              <w:right w:val="single" w:color="auto" w:sz="4" w:space="0"/>
            </w:tcBorders>
            <w:shd w:val="clear" w:color="auto" w:fill="auto"/>
            <w:vAlign w:val="center"/>
          </w:tcPr>
          <w:p w14:paraId="73DDE8CB">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第三方评价</w:t>
            </w:r>
          </w:p>
        </w:tc>
        <w:tc>
          <w:tcPr>
            <w:tcW w:w="781" w:type="dxa"/>
            <w:tcBorders>
              <w:top w:val="single" w:color="auto" w:sz="4" w:space="0"/>
              <w:left w:val="single" w:color="auto" w:sz="4" w:space="0"/>
              <w:bottom w:val="single" w:color="auto" w:sz="4" w:space="0"/>
              <w:right w:val="single" w:color="auto" w:sz="4" w:space="0"/>
            </w:tcBorders>
            <w:vAlign w:val="center"/>
          </w:tcPr>
          <w:p w14:paraId="2338AD2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812" w:type="dxa"/>
            <w:tcBorders>
              <w:top w:val="single" w:color="auto" w:sz="4" w:space="0"/>
              <w:left w:val="single" w:color="auto" w:sz="4" w:space="0"/>
              <w:bottom w:val="single" w:color="auto" w:sz="4" w:space="0"/>
              <w:right w:val="single" w:color="auto" w:sz="4" w:space="0"/>
            </w:tcBorders>
            <w:vAlign w:val="center"/>
          </w:tcPr>
          <w:p w14:paraId="5056AEB8">
            <w:pPr>
              <w:widowControl/>
              <w:rPr>
                <w:rFonts w:hint="eastAsia" w:ascii="宋体" w:hAnsi="宋体" w:cs="宋体"/>
                <w:color w:val="auto"/>
                <w:szCs w:val="21"/>
                <w:highlight w:val="none"/>
              </w:rPr>
            </w:pPr>
            <w:r>
              <w:rPr>
                <w:rFonts w:hint="eastAsia" w:ascii="宋体" w:hAnsi="宋体" w:cs="宋体"/>
                <w:color w:val="auto"/>
                <w:highlight w:val="none"/>
              </w:rPr>
              <w:t>投标人有效期内的质量体系认证证书、环境管理体系认证证书、职业健康安全管理体系认证证书。投标人同时具有以上三项认证证书，得8分；投标人具有以上任意两项认证证书，得4分；投标人具有以上任意一项认证证书，得1分，本小项最高得8分。</w:t>
            </w:r>
          </w:p>
        </w:tc>
      </w:tr>
      <w:tr w14:paraId="0F70BCE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1" w:type="dxa"/>
            <w:gridSpan w:val="3"/>
            <w:tcBorders>
              <w:left w:val="single" w:color="auto" w:sz="8" w:space="0"/>
              <w:right w:val="single" w:color="auto" w:sz="4" w:space="0"/>
            </w:tcBorders>
            <w:vAlign w:val="center"/>
          </w:tcPr>
          <w:p w14:paraId="5C0714E5">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合计（一+二）</w:t>
            </w:r>
          </w:p>
        </w:tc>
        <w:tc>
          <w:tcPr>
            <w:tcW w:w="781" w:type="dxa"/>
            <w:tcBorders>
              <w:top w:val="single" w:color="auto" w:sz="4" w:space="0"/>
              <w:left w:val="single" w:color="auto" w:sz="4" w:space="0"/>
              <w:bottom w:val="single" w:color="auto" w:sz="4" w:space="0"/>
              <w:right w:val="single" w:color="auto" w:sz="4" w:space="0"/>
            </w:tcBorders>
            <w:vAlign w:val="center"/>
          </w:tcPr>
          <w:p w14:paraId="16B96E82">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10812" w:type="dxa"/>
            <w:tcBorders>
              <w:top w:val="single" w:color="auto" w:sz="4" w:space="0"/>
              <w:left w:val="single" w:color="auto" w:sz="4" w:space="0"/>
              <w:bottom w:val="single" w:color="auto" w:sz="4" w:space="0"/>
              <w:right w:val="single" w:color="auto" w:sz="4" w:space="0"/>
            </w:tcBorders>
            <w:vAlign w:val="center"/>
          </w:tcPr>
          <w:p w14:paraId="62D1387B">
            <w:pPr>
              <w:widowControl/>
              <w:spacing w:line="360" w:lineRule="auto"/>
              <w:rPr>
                <w:rFonts w:hint="eastAsia" w:ascii="宋体" w:hAnsi="宋体" w:cs="宋体"/>
                <w:color w:val="auto"/>
                <w:szCs w:val="21"/>
                <w:highlight w:val="none"/>
              </w:rPr>
            </w:pPr>
          </w:p>
        </w:tc>
      </w:tr>
    </w:tbl>
    <w:p w14:paraId="730C7556">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w:t>
      </w:r>
    </w:p>
    <w:p w14:paraId="3FFE48A5">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color w:val="auto"/>
          <w:szCs w:val="21"/>
          <w:highlight w:val="none"/>
        </w:rPr>
        <w:t xml:space="preserve">评委对业绩认定意见不一致时，则由招标人解释招标文件后，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 </w:t>
      </w:r>
    </w:p>
    <w:p w14:paraId="1935CB12">
      <w:pPr>
        <w:pStyle w:val="28"/>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2.企业类似工程业绩：</w:t>
      </w:r>
    </w:p>
    <w:p w14:paraId="3FBC1EF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类似工程业绩包括施工总承包或勘察设计施工总承包或设计施工总承包或设计采购施工总承包或勘察设计采购施工总承包业绩等。业绩由多个单位组成联合体共同完成的，业绩按联合体协议中分工所承担的工作进行认定；</w:t>
      </w:r>
    </w:p>
    <w:p w14:paraId="2EFC069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投标人须提供业绩的中标通知书或免招标的相关证明、招标公告网页首页截图（适用于公开招标项目）、中标公示或中标候选人公示网页截图（适用于公开招标项目）、施工合同或工程总承包合同（不含补充合同）、竣工验收证明文件（验收文件至少具有建设单位、设计、施工和监理单位盖章）。完成时间以竣工验收证明材料为准；</w:t>
      </w:r>
    </w:p>
    <w:p w14:paraId="15960FE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③业绩金额以业绩中标通知书为准，若中标通知书没有显示中标金额或免招标的，以施工合同或工程总承包合同的施工费合同金额为准（不含补充合同）；</w:t>
      </w:r>
    </w:p>
    <w:p w14:paraId="38EBB44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④上述资料显示的内容须为施工总承包或工程总承包工程业绩，业绩内容以招标公告或施工合同中的“工程规模”或“招标内容”为准；</w:t>
      </w:r>
    </w:p>
    <w:p w14:paraId="456EFE13">
      <w:pPr>
        <w:pStyle w:val="38"/>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⑤</w:t>
      </w:r>
      <w:r>
        <w:rPr>
          <w:rFonts w:hint="eastAsia" w:ascii="宋体" w:hAnsi="宋体" w:cs="宋体"/>
          <w:color w:val="auto"/>
          <w:sz w:val="21"/>
          <w:szCs w:val="21"/>
          <w:highlight w:val="none"/>
          <w:lang w:val="zh-TW"/>
        </w:rPr>
        <w:t>工程总承包是指勘察设计施工总承包或设计施工总承包或设计采购施工总承包或勘察设计采购施工总承包（EPC）；</w:t>
      </w:r>
    </w:p>
    <w:p w14:paraId="4E15FE4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⑥不符合上述条件或提供的资料不齐全的业绩不予评审。</w:t>
      </w:r>
    </w:p>
    <w:p w14:paraId="6798B650">
      <w:pPr>
        <w:pStyle w:val="28"/>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.第三方评价：</w:t>
      </w:r>
    </w:p>
    <w:p w14:paraId="689715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投标人需同时提供体系证书原件扫描件及在国家认证认可监督管理委员会（网址：</w:t>
      </w:r>
      <w:bookmarkStart w:id="196" w:name="OLE_LINK1"/>
      <w:r>
        <w:rPr>
          <w:rFonts w:hint="eastAsia" w:ascii="宋体" w:hAnsi="宋体" w:cs="宋体"/>
          <w:color w:val="auto"/>
          <w:highlight w:val="none"/>
        </w:rPr>
        <w:t>http://www.cnca.gov.cn/</w:t>
      </w:r>
      <w:bookmarkEnd w:id="196"/>
      <w:r>
        <w:rPr>
          <w:rFonts w:hint="eastAsia" w:ascii="宋体" w:hAnsi="宋体" w:cs="宋体"/>
          <w:color w:val="auto"/>
          <w:highlight w:val="none"/>
        </w:rPr>
        <w:t>）网站查询结果截图并加盖投标单位电子印章，只计算投标人自身（不含投标人的子、分公司或区域公司），已失效或撤销或无提供的不得分。不符合上述条件或未提供上述资料的不得分。</w:t>
      </w:r>
    </w:p>
    <w:p w14:paraId="07121BFC">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表按百分制评分，所有评委每个分项的分数汇总后去掉一个最高分和一个最低分的算术平均值为投标人的最终得分。分数出现小数点，保留小数点后二位小数，第三位小数四舍五入,若投标人满足多个档次的，按最高档计分一次，不累计。</w:t>
      </w:r>
    </w:p>
    <w:p w14:paraId="5CC83E3B">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投标人提供的网页信息截图或证明材料扫描件内容必须清晰可辨，如因网页信息截图或证明材料扫描件内容模糊导致评标时无法判断的，后果由投标人自负。</w:t>
      </w:r>
    </w:p>
    <w:p w14:paraId="35B9AAE5">
      <w:pPr>
        <w:tabs>
          <w:tab w:val="right" w:leader="dot" w:pos="9060"/>
        </w:tabs>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.若为联合体，评分内容只计算主办方得分。</w:t>
      </w:r>
    </w:p>
    <w:p w14:paraId="0908334E">
      <w:pPr>
        <w:tabs>
          <w:tab w:val="right" w:leader="dot" w:pos="9060"/>
        </w:tabs>
        <w:spacing w:line="360" w:lineRule="auto"/>
        <w:ind w:firstLine="420"/>
        <w:jc w:val="left"/>
        <w:rPr>
          <w:b/>
          <w:color w:val="auto"/>
          <w:highlight w:val="none"/>
        </w:rPr>
        <w:sectPr>
          <w:headerReference r:id="rId8" w:type="default"/>
          <w:footerReference r:id="rId9" w:type="default"/>
          <w:pgSz w:w="16838" w:h="11906" w:orient="landscape"/>
          <w:pgMar w:top="1083" w:right="1440" w:bottom="1083" w:left="1440" w:header="850" w:footer="992" w:gutter="0"/>
          <w:cols w:space="0" w:num="1"/>
          <w:docGrid w:type="lines" w:linePitch="324" w:charSpace="0"/>
        </w:sect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不符合评审标准或不符合上述要求或未提供上述资料的不得分。</w:t>
      </w:r>
      <w:bookmarkStart w:id="197" w:name="_Toc18838"/>
    </w:p>
    <w:p w14:paraId="1AA4F0F5">
      <w:pPr>
        <w:pStyle w:val="4"/>
        <w:spacing w:line="360" w:lineRule="auto"/>
        <w:jc w:val="left"/>
        <w:rPr>
          <w:rFonts w:hint="eastAsia"/>
          <w:color w:val="auto"/>
          <w:highlight w:val="none"/>
        </w:rPr>
      </w:pPr>
      <w:r>
        <w:rPr>
          <w:rFonts w:hint="eastAsia"/>
          <w:color w:val="auto"/>
          <w:highlight w:val="none"/>
        </w:rPr>
        <w:t>附表五</w:t>
      </w:r>
      <w:bookmarkEnd w:id="190"/>
      <w:bookmarkEnd w:id="191"/>
      <w:bookmarkEnd w:id="192"/>
      <w:bookmarkEnd w:id="193"/>
      <w:bookmarkEnd w:id="194"/>
      <w:bookmarkEnd w:id="195"/>
      <w:bookmarkEnd w:id="197"/>
    </w:p>
    <w:p w14:paraId="44BCB4A1">
      <w:pPr>
        <w:jc w:val="center"/>
        <w:rPr>
          <w:rFonts w:hint="eastAsia" w:ascii="宋体" w:hAnsi="宋体" w:cs="宋体"/>
          <w:b/>
          <w:color w:val="auto"/>
          <w:sz w:val="36"/>
          <w:szCs w:val="36"/>
          <w:highlight w:val="none"/>
        </w:rPr>
      </w:pPr>
      <w:bookmarkStart w:id="198" w:name="_Toc8824"/>
      <w:bookmarkStart w:id="199" w:name="_Toc7490"/>
      <w:bookmarkStart w:id="200" w:name="_Toc2589"/>
      <w:bookmarkStart w:id="201" w:name="_Toc4523"/>
      <w:bookmarkStart w:id="202" w:name="_Toc10172"/>
      <w:r>
        <w:rPr>
          <w:rFonts w:hint="eastAsia" w:ascii="宋体" w:hAnsi="宋体" w:cs="宋体"/>
          <w:b/>
          <w:color w:val="auto"/>
          <w:sz w:val="36"/>
          <w:szCs w:val="36"/>
          <w:highlight w:val="none"/>
        </w:rPr>
        <w:t>经济标评分表</w:t>
      </w:r>
    </w:p>
    <w:p w14:paraId="166A653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1037"/>
        <w:gridCol w:w="1051"/>
        <w:gridCol w:w="1050"/>
        <w:gridCol w:w="1050"/>
        <w:gridCol w:w="1050"/>
        <w:gridCol w:w="1050"/>
        <w:gridCol w:w="1050"/>
        <w:gridCol w:w="1050"/>
        <w:gridCol w:w="1050"/>
        <w:gridCol w:w="1050"/>
        <w:gridCol w:w="1050"/>
        <w:gridCol w:w="1049"/>
      </w:tblGrid>
      <w:tr w14:paraId="40C2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6" w:type="dxa"/>
            <w:tcBorders>
              <w:top w:val="single" w:color="auto" w:sz="4" w:space="0"/>
              <w:left w:val="single" w:color="auto" w:sz="4" w:space="0"/>
              <w:bottom w:val="single" w:color="auto" w:sz="4" w:space="0"/>
              <w:right w:val="single" w:color="auto" w:sz="4" w:space="0"/>
            </w:tcBorders>
            <w:vAlign w:val="center"/>
          </w:tcPr>
          <w:p w14:paraId="0ABA024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1037" w:type="dxa"/>
            <w:tcBorders>
              <w:top w:val="single" w:color="auto" w:sz="4" w:space="0"/>
              <w:left w:val="single" w:color="auto" w:sz="4" w:space="0"/>
              <w:bottom w:val="single" w:color="auto" w:sz="4" w:space="0"/>
              <w:right w:val="single" w:color="auto" w:sz="4" w:space="0"/>
            </w:tcBorders>
            <w:vAlign w:val="center"/>
          </w:tcPr>
          <w:p w14:paraId="1CF6AEC5">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3E9B85E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F6C833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0F3042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5F38CC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B6DBAF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BAA609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2481F94">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3F0366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162D0E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6F4E118">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B6C31E2">
            <w:pPr>
              <w:spacing w:line="360" w:lineRule="auto"/>
              <w:rPr>
                <w:rFonts w:hint="eastAsia" w:ascii="宋体" w:hAnsi="宋体" w:cs="宋体"/>
                <w:color w:val="auto"/>
                <w:szCs w:val="21"/>
                <w:highlight w:val="none"/>
              </w:rPr>
            </w:pPr>
          </w:p>
        </w:tc>
      </w:tr>
      <w:tr w14:paraId="2BE5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14:paraId="7FD215F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投标报价PT（元）</w:t>
            </w:r>
          </w:p>
        </w:tc>
        <w:tc>
          <w:tcPr>
            <w:tcW w:w="1037" w:type="dxa"/>
            <w:tcBorders>
              <w:top w:val="single" w:color="auto" w:sz="4" w:space="0"/>
              <w:left w:val="single" w:color="auto" w:sz="4" w:space="0"/>
              <w:bottom w:val="single" w:color="auto" w:sz="4" w:space="0"/>
              <w:right w:val="single" w:color="auto" w:sz="4" w:space="0"/>
            </w:tcBorders>
            <w:vAlign w:val="center"/>
          </w:tcPr>
          <w:p w14:paraId="39A1E0F3">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123FAEE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025D1F3">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5F41EA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149FD62">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E8A8253">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2B68F6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0A7654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0E594B0">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285DE63">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4B12327">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A9E746E">
            <w:pPr>
              <w:spacing w:line="360" w:lineRule="auto"/>
              <w:rPr>
                <w:rFonts w:hint="eastAsia" w:ascii="宋体" w:hAnsi="宋体" w:cs="宋体"/>
                <w:color w:val="auto"/>
                <w:szCs w:val="21"/>
                <w:highlight w:val="none"/>
              </w:rPr>
            </w:pPr>
          </w:p>
        </w:tc>
      </w:tr>
      <w:tr w14:paraId="4B86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14:paraId="1FBA859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[成本警戒价，招标控制价×95%]区间的投标报价数量G</w:t>
            </w:r>
          </w:p>
        </w:tc>
        <w:tc>
          <w:tcPr>
            <w:tcW w:w="1037" w:type="dxa"/>
            <w:tcBorders>
              <w:top w:val="single" w:color="auto" w:sz="4" w:space="0"/>
              <w:left w:val="single" w:color="auto" w:sz="4" w:space="0"/>
              <w:bottom w:val="single" w:color="auto" w:sz="4" w:space="0"/>
              <w:right w:val="single" w:color="auto" w:sz="4" w:space="0"/>
            </w:tcBorders>
            <w:vAlign w:val="center"/>
          </w:tcPr>
          <w:p w14:paraId="51A297D0">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65A6F0B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06E44E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155F4E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9A161D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F325A3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9BC51F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8A143F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DB9A01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53F7D20">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FB02E9C">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4F8E56C">
            <w:pPr>
              <w:spacing w:line="360" w:lineRule="auto"/>
              <w:rPr>
                <w:rFonts w:hint="eastAsia" w:ascii="宋体" w:hAnsi="宋体" w:cs="宋体"/>
                <w:color w:val="auto"/>
                <w:szCs w:val="21"/>
                <w:highlight w:val="none"/>
              </w:rPr>
            </w:pPr>
          </w:p>
        </w:tc>
      </w:tr>
      <w:tr w14:paraId="4D38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76E1E2E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参与计算评标参考价H</w:t>
            </w:r>
          </w:p>
        </w:tc>
        <w:tc>
          <w:tcPr>
            <w:tcW w:w="12587" w:type="dxa"/>
            <w:gridSpan w:val="12"/>
            <w:tcBorders>
              <w:top w:val="single" w:color="auto" w:sz="4" w:space="0"/>
              <w:left w:val="single" w:color="auto" w:sz="4" w:space="0"/>
              <w:bottom w:val="single" w:color="auto" w:sz="4" w:space="0"/>
              <w:right w:val="single" w:color="auto" w:sz="4" w:space="0"/>
            </w:tcBorders>
            <w:vAlign w:val="center"/>
          </w:tcPr>
          <w:p w14:paraId="52CAE826">
            <w:pPr>
              <w:spacing w:line="360" w:lineRule="auto"/>
              <w:rPr>
                <w:rFonts w:hint="eastAsia" w:ascii="宋体" w:hAnsi="宋体" w:cs="宋体"/>
                <w:color w:val="auto"/>
                <w:szCs w:val="21"/>
                <w:highlight w:val="none"/>
              </w:rPr>
            </w:pPr>
          </w:p>
        </w:tc>
      </w:tr>
      <w:tr w14:paraId="28E2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195E24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偏差（（PT-PC）/PC）（%）</w:t>
            </w:r>
          </w:p>
        </w:tc>
        <w:tc>
          <w:tcPr>
            <w:tcW w:w="1037" w:type="dxa"/>
            <w:tcBorders>
              <w:top w:val="single" w:color="auto" w:sz="4" w:space="0"/>
              <w:left w:val="single" w:color="auto" w:sz="4" w:space="0"/>
              <w:bottom w:val="single" w:color="auto" w:sz="4" w:space="0"/>
              <w:right w:val="single" w:color="auto" w:sz="4" w:space="0"/>
            </w:tcBorders>
            <w:vAlign w:val="center"/>
          </w:tcPr>
          <w:p w14:paraId="4B9CDE2E">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5C045C88">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E5EB4B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248564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C22D4A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F451C5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95CB78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4FA91C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BB7A5A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F5A1AFB">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EC9F503">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4C94829">
            <w:pPr>
              <w:spacing w:line="360" w:lineRule="auto"/>
              <w:rPr>
                <w:rFonts w:hint="eastAsia" w:ascii="宋体" w:hAnsi="宋体" w:cs="宋体"/>
                <w:color w:val="auto"/>
                <w:szCs w:val="21"/>
                <w:highlight w:val="none"/>
              </w:rPr>
            </w:pPr>
          </w:p>
        </w:tc>
      </w:tr>
      <w:tr w14:paraId="7A0B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14:paraId="05CF992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减分（A）</w:t>
            </w:r>
          </w:p>
        </w:tc>
        <w:tc>
          <w:tcPr>
            <w:tcW w:w="1037" w:type="dxa"/>
            <w:tcBorders>
              <w:top w:val="single" w:color="auto" w:sz="4" w:space="0"/>
              <w:left w:val="single" w:color="auto" w:sz="4" w:space="0"/>
              <w:bottom w:val="single" w:color="auto" w:sz="4" w:space="0"/>
              <w:right w:val="single" w:color="auto" w:sz="4" w:space="0"/>
            </w:tcBorders>
            <w:vAlign w:val="center"/>
          </w:tcPr>
          <w:p w14:paraId="083391A4">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3D66E89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FF5C28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235389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EC900D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03278AD">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B4C4848">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87DDE4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FC527D4">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995C848">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2314AF2">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1815091F">
            <w:pPr>
              <w:spacing w:line="360" w:lineRule="auto"/>
              <w:rPr>
                <w:rFonts w:hint="eastAsia" w:ascii="宋体" w:hAnsi="宋体" w:cs="宋体"/>
                <w:color w:val="auto"/>
                <w:szCs w:val="21"/>
                <w:highlight w:val="none"/>
              </w:rPr>
            </w:pPr>
          </w:p>
        </w:tc>
      </w:tr>
      <w:tr w14:paraId="78C2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2D838C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得分(I=100-A)</w:t>
            </w:r>
          </w:p>
        </w:tc>
        <w:tc>
          <w:tcPr>
            <w:tcW w:w="1037" w:type="dxa"/>
            <w:tcBorders>
              <w:top w:val="single" w:color="auto" w:sz="4" w:space="0"/>
              <w:left w:val="single" w:color="auto" w:sz="4" w:space="0"/>
              <w:bottom w:val="single" w:color="auto" w:sz="4" w:space="0"/>
              <w:right w:val="single" w:color="auto" w:sz="4" w:space="0"/>
            </w:tcBorders>
            <w:vAlign w:val="center"/>
          </w:tcPr>
          <w:p w14:paraId="2ABB2BDE">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698EAB2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147F5C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0AC45C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BFED55D">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A4C2F5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7C125A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7CE339D">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C9ECD7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33E7B9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F176263">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F263B6A">
            <w:pPr>
              <w:spacing w:line="360" w:lineRule="auto"/>
              <w:rPr>
                <w:rFonts w:hint="eastAsia" w:ascii="宋体" w:hAnsi="宋体" w:cs="宋体"/>
                <w:color w:val="auto"/>
                <w:szCs w:val="21"/>
                <w:highlight w:val="none"/>
              </w:rPr>
            </w:pPr>
          </w:p>
        </w:tc>
      </w:tr>
      <w:tr w14:paraId="2791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51442AC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得分排名次序</w:t>
            </w:r>
          </w:p>
        </w:tc>
        <w:tc>
          <w:tcPr>
            <w:tcW w:w="1037" w:type="dxa"/>
            <w:tcBorders>
              <w:top w:val="single" w:color="auto" w:sz="4" w:space="0"/>
              <w:left w:val="single" w:color="auto" w:sz="4" w:space="0"/>
              <w:bottom w:val="single" w:color="auto" w:sz="4" w:space="0"/>
              <w:right w:val="single" w:color="auto" w:sz="4" w:space="0"/>
            </w:tcBorders>
            <w:vAlign w:val="center"/>
          </w:tcPr>
          <w:p w14:paraId="3F293582">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2AF69EA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2326CF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38B7EA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9867940">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6E66916">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05A4CD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3433B8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550BA28">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5028F3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E3DD0A1">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6479968A">
            <w:pPr>
              <w:spacing w:line="360" w:lineRule="auto"/>
              <w:rPr>
                <w:rFonts w:hint="eastAsia" w:ascii="宋体" w:hAnsi="宋体" w:cs="宋体"/>
                <w:color w:val="auto"/>
                <w:szCs w:val="21"/>
                <w:highlight w:val="none"/>
              </w:rPr>
            </w:pPr>
          </w:p>
        </w:tc>
      </w:tr>
    </w:tbl>
    <w:p w14:paraId="03E399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评委签名：</w:t>
      </w:r>
    </w:p>
    <w:p w14:paraId="4D71A04B">
      <w:pPr>
        <w:pStyle w:val="4"/>
        <w:spacing w:line="360" w:lineRule="auto"/>
        <w:jc w:val="left"/>
        <w:rPr>
          <w:rFonts w:hint="eastAsia"/>
          <w:color w:val="auto"/>
          <w:sz w:val="36"/>
          <w:szCs w:val="36"/>
          <w:highlight w:val="none"/>
        </w:rPr>
        <w:sectPr>
          <w:pgSz w:w="16838" w:h="11906" w:orient="landscape"/>
          <w:pgMar w:top="1080" w:right="1440" w:bottom="1080" w:left="1440" w:header="850" w:footer="992" w:gutter="0"/>
          <w:cols w:space="0" w:num="1"/>
          <w:docGrid w:type="lines" w:linePitch="317" w:charSpace="0"/>
        </w:sectPr>
      </w:pPr>
      <w:bookmarkStart w:id="203" w:name="_Toc22004"/>
    </w:p>
    <w:p w14:paraId="1B1F2A6D">
      <w:pPr>
        <w:pStyle w:val="4"/>
        <w:spacing w:line="360" w:lineRule="auto"/>
        <w:jc w:val="left"/>
        <w:rPr>
          <w:rFonts w:hint="eastAsia"/>
          <w:b w:val="0"/>
          <w:color w:val="auto"/>
          <w:szCs w:val="18"/>
          <w:highlight w:val="none"/>
        </w:rPr>
      </w:pPr>
      <w:bookmarkStart w:id="204" w:name="_Toc1155"/>
      <w:r>
        <w:rPr>
          <w:rFonts w:hint="eastAsia"/>
          <w:color w:val="auto"/>
          <w:highlight w:val="none"/>
        </w:rPr>
        <w:t>附表六</w:t>
      </w:r>
      <w:bookmarkEnd w:id="198"/>
      <w:bookmarkEnd w:id="199"/>
      <w:bookmarkEnd w:id="200"/>
      <w:bookmarkEnd w:id="201"/>
      <w:bookmarkEnd w:id="202"/>
      <w:bookmarkEnd w:id="203"/>
      <w:bookmarkEnd w:id="204"/>
    </w:p>
    <w:p w14:paraId="15AB4E86">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67F023A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工程名称：投标人:                                                  单位：元</w:t>
      </w:r>
    </w:p>
    <w:tbl>
      <w:tblPr>
        <w:tblStyle w:val="22"/>
        <w:tblW w:w="4998" w:type="pct"/>
        <w:tblInd w:w="0" w:type="dxa"/>
        <w:tblLayout w:type="autofit"/>
        <w:tblCellMar>
          <w:top w:w="0" w:type="dxa"/>
          <w:left w:w="108" w:type="dxa"/>
          <w:bottom w:w="0" w:type="dxa"/>
          <w:right w:w="108" w:type="dxa"/>
        </w:tblCellMar>
      </w:tblPr>
      <w:tblGrid>
        <w:gridCol w:w="456"/>
        <w:gridCol w:w="2844"/>
        <w:gridCol w:w="904"/>
        <w:gridCol w:w="886"/>
        <w:gridCol w:w="1896"/>
        <w:gridCol w:w="814"/>
        <w:gridCol w:w="2158"/>
      </w:tblGrid>
      <w:tr w14:paraId="3C5476B0">
        <w:tblPrEx>
          <w:tblCellMar>
            <w:top w:w="0" w:type="dxa"/>
            <w:left w:w="108" w:type="dxa"/>
            <w:bottom w:w="0" w:type="dxa"/>
            <w:right w:w="108" w:type="dxa"/>
          </w:tblCellMar>
        </w:tblPrEx>
        <w:trPr>
          <w:trHeight w:val="705" w:hRule="atLeast"/>
        </w:trPr>
        <w:tc>
          <w:tcPr>
            <w:tcW w:w="217" w:type="pct"/>
            <w:tcBorders>
              <w:top w:val="single" w:color="auto" w:sz="4" w:space="0"/>
              <w:left w:val="single" w:color="auto" w:sz="4" w:space="0"/>
              <w:bottom w:val="single" w:color="auto" w:sz="4" w:space="0"/>
              <w:right w:val="single" w:color="auto" w:sz="4" w:space="0"/>
            </w:tcBorders>
            <w:vAlign w:val="center"/>
          </w:tcPr>
          <w:p w14:paraId="02938CC4">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编号</w:t>
            </w:r>
          </w:p>
        </w:tc>
        <w:tc>
          <w:tcPr>
            <w:tcW w:w="1514" w:type="pct"/>
            <w:tcBorders>
              <w:top w:val="single" w:color="auto" w:sz="4" w:space="0"/>
              <w:left w:val="nil"/>
              <w:bottom w:val="single" w:color="auto" w:sz="4" w:space="0"/>
              <w:right w:val="single" w:color="auto" w:sz="4" w:space="0"/>
            </w:tcBorders>
            <w:vAlign w:val="center"/>
          </w:tcPr>
          <w:p w14:paraId="718BF44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算术校核项目</w:t>
            </w:r>
          </w:p>
        </w:tc>
        <w:tc>
          <w:tcPr>
            <w:tcW w:w="540" w:type="pct"/>
            <w:tcBorders>
              <w:top w:val="single" w:color="auto" w:sz="4" w:space="0"/>
              <w:left w:val="nil"/>
              <w:bottom w:val="single" w:color="auto" w:sz="4" w:space="0"/>
              <w:right w:val="single" w:color="auto" w:sz="4" w:space="0"/>
            </w:tcBorders>
            <w:vAlign w:val="center"/>
          </w:tcPr>
          <w:p w14:paraId="2127F130">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修正前投标</w:t>
            </w:r>
          </w:p>
          <w:p w14:paraId="145C864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报价A</w:t>
            </w:r>
          </w:p>
        </w:tc>
        <w:tc>
          <w:tcPr>
            <w:tcW w:w="531" w:type="pct"/>
            <w:tcBorders>
              <w:top w:val="single" w:color="auto" w:sz="4" w:space="0"/>
              <w:left w:val="nil"/>
              <w:bottom w:val="single" w:color="auto" w:sz="4" w:space="0"/>
              <w:right w:val="single" w:color="auto" w:sz="4" w:space="0"/>
            </w:tcBorders>
            <w:vAlign w:val="center"/>
          </w:tcPr>
          <w:p w14:paraId="3C98CC81">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修正后投标</w:t>
            </w:r>
          </w:p>
          <w:p w14:paraId="4CEA41D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报价B</w:t>
            </w:r>
          </w:p>
        </w:tc>
        <w:tc>
          <w:tcPr>
            <w:tcW w:w="531" w:type="pct"/>
            <w:tcBorders>
              <w:top w:val="single" w:color="auto" w:sz="4" w:space="0"/>
              <w:left w:val="nil"/>
              <w:bottom w:val="single" w:color="auto" w:sz="4" w:space="0"/>
              <w:right w:val="single" w:color="auto" w:sz="4" w:space="0"/>
            </w:tcBorders>
            <w:vAlign w:val="center"/>
          </w:tcPr>
          <w:p w14:paraId="51ED7C52">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修正率</w:t>
            </w:r>
          </w:p>
          <w:p w14:paraId="1EC7491B">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r=|A-B|/A*100%</w:t>
            </w:r>
          </w:p>
        </w:tc>
        <w:tc>
          <w:tcPr>
            <w:tcW w:w="495" w:type="pct"/>
            <w:tcBorders>
              <w:top w:val="single" w:color="auto" w:sz="4" w:space="0"/>
              <w:left w:val="nil"/>
              <w:bottom w:val="single" w:color="auto" w:sz="4" w:space="0"/>
              <w:right w:val="single" w:color="auto" w:sz="4" w:space="0"/>
            </w:tcBorders>
            <w:vAlign w:val="center"/>
          </w:tcPr>
          <w:p w14:paraId="5E4C5930">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经评审的最终投标报价</w:t>
            </w:r>
          </w:p>
        </w:tc>
        <w:tc>
          <w:tcPr>
            <w:tcW w:w="1169" w:type="pct"/>
            <w:tcBorders>
              <w:top w:val="single" w:color="auto" w:sz="4" w:space="0"/>
              <w:left w:val="nil"/>
              <w:bottom w:val="single" w:color="auto" w:sz="4" w:space="0"/>
              <w:right w:val="single" w:color="auto" w:sz="4" w:space="0"/>
            </w:tcBorders>
            <w:vAlign w:val="center"/>
          </w:tcPr>
          <w:p w14:paraId="3206721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当B&gt;A时，修正后报价与原报价的差额；当B≤A时,R=0</w:t>
            </w:r>
          </w:p>
        </w:tc>
      </w:tr>
      <w:tr w14:paraId="620A987D">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0F5A019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514" w:type="pct"/>
            <w:tcBorders>
              <w:top w:val="nil"/>
              <w:left w:val="nil"/>
              <w:bottom w:val="single" w:color="auto" w:sz="4" w:space="0"/>
              <w:right w:val="single" w:color="auto" w:sz="4" w:space="0"/>
            </w:tcBorders>
            <w:vAlign w:val="center"/>
          </w:tcPr>
          <w:p w14:paraId="0AFC254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540" w:type="pct"/>
            <w:tcBorders>
              <w:top w:val="nil"/>
              <w:left w:val="nil"/>
              <w:bottom w:val="single" w:color="auto" w:sz="4" w:space="0"/>
              <w:right w:val="single" w:color="auto" w:sz="4" w:space="0"/>
            </w:tcBorders>
            <w:vAlign w:val="center"/>
          </w:tcPr>
          <w:p w14:paraId="062DB37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224B6E7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42D9C3F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373EBFE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7D55DCF5">
            <w:pPr>
              <w:spacing w:line="360" w:lineRule="auto"/>
              <w:rPr>
                <w:rFonts w:hint="eastAsia" w:ascii="宋体" w:hAnsi="宋体" w:cs="宋体"/>
                <w:color w:val="auto"/>
                <w:kern w:val="0"/>
                <w:szCs w:val="21"/>
                <w:highlight w:val="none"/>
              </w:rPr>
            </w:pPr>
          </w:p>
        </w:tc>
      </w:tr>
      <w:tr w14:paraId="1CF8C3AB">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4B88EC6B">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14" w:type="pct"/>
            <w:tcBorders>
              <w:top w:val="nil"/>
              <w:left w:val="nil"/>
              <w:bottom w:val="single" w:color="auto" w:sz="4" w:space="0"/>
              <w:right w:val="single" w:color="auto" w:sz="4" w:space="0"/>
            </w:tcBorders>
            <w:vAlign w:val="center"/>
          </w:tcPr>
          <w:p w14:paraId="5EE2AC1F">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540" w:type="pct"/>
            <w:tcBorders>
              <w:top w:val="nil"/>
              <w:left w:val="nil"/>
              <w:bottom w:val="single" w:color="auto" w:sz="4" w:space="0"/>
              <w:right w:val="single" w:color="auto" w:sz="4" w:space="0"/>
            </w:tcBorders>
            <w:vAlign w:val="center"/>
          </w:tcPr>
          <w:p w14:paraId="38F206A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37F5923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62F6997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2969B25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56EB53C0">
            <w:pPr>
              <w:spacing w:line="360" w:lineRule="auto"/>
              <w:rPr>
                <w:rFonts w:hint="eastAsia" w:ascii="宋体" w:hAnsi="宋体" w:cs="宋体"/>
                <w:color w:val="auto"/>
                <w:kern w:val="0"/>
                <w:szCs w:val="21"/>
                <w:highlight w:val="none"/>
              </w:rPr>
            </w:pPr>
          </w:p>
        </w:tc>
      </w:tr>
      <w:tr w14:paraId="2B670F47">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0E77459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10B4D2B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vAlign w:val="center"/>
          </w:tcPr>
          <w:p w14:paraId="0403DCA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2334619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2B90817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61C2D6F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0ABDB8CC">
            <w:pPr>
              <w:spacing w:line="360" w:lineRule="auto"/>
              <w:rPr>
                <w:rFonts w:hint="eastAsia" w:ascii="宋体" w:hAnsi="宋体" w:cs="宋体"/>
                <w:color w:val="auto"/>
                <w:kern w:val="0"/>
                <w:szCs w:val="21"/>
                <w:highlight w:val="none"/>
              </w:rPr>
            </w:pPr>
          </w:p>
        </w:tc>
      </w:tr>
      <w:tr w14:paraId="00B73C1F">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2BC1CDD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4503848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vAlign w:val="center"/>
          </w:tcPr>
          <w:p w14:paraId="330028C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282A20AF">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733495B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43616E6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0BD4E08D">
            <w:pPr>
              <w:spacing w:line="360" w:lineRule="auto"/>
              <w:rPr>
                <w:rFonts w:hint="eastAsia" w:ascii="宋体" w:hAnsi="宋体" w:cs="宋体"/>
                <w:color w:val="auto"/>
                <w:kern w:val="0"/>
                <w:szCs w:val="21"/>
                <w:highlight w:val="none"/>
              </w:rPr>
            </w:pPr>
          </w:p>
        </w:tc>
      </w:tr>
      <w:tr w14:paraId="01562226">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108A1BE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1D5D079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vAlign w:val="center"/>
          </w:tcPr>
          <w:p w14:paraId="14F92AA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35E6DF8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751990A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70D0042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773D2F8D">
            <w:pPr>
              <w:spacing w:line="360" w:lineRule="auto"/>
              <w:rPr>
                <w:rFonts w:hint="eastAsia" w:ascii="宋体" w:hAnsi="宋体" w:cs="宋体"/>
                <w:color w:val="auto"/>
                <w:kern w:val="0"/>
                <w:szCs w:val="21"/>
                <w:highlight w:val="none"/>
              </w:rPr>
            </w:pPr>
          </w:p>
        </w:tc>
      </w:tr>
      <w:tr w14:paraId="460557EA">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6068AAE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n</w:t>
            </w:r>
          </w:p>
        </w:tc>
        <w:tc>
          <w:tcPr>
            <w:tcW w:w="1514" w:type="pct"/>
            <w:tcBorders>
              <w:top w:val="nil"/>
              <w:left w:val="nil"/>
              <w:bottom w:val="single" w:color="auto" w:sz="4" w:space="0"/>
              <w:right w:val="single" w:color="auto" w:sz="4" w:space="0"/>
            </w:tcBorders>
            <w:vAlign w:val="center"/>
          </w:tcPr>
          <w:p w14:paraId="2A71220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540" w:type="pct"/>
            <w:tcBorders>
              <w:top w:val="nil"/>
              <w:left w:val="nil"/>
              <w:bottom w:val="single" w:color="auto" w:sz="4" w:space="0"/>
              <w:right w:val="single" w:color="auto" w:sz="4" w:space="0"/>
            </w:tcBorders>
            <w:vAlign w:val="center"/>
          </w:tcPr>
          <w:p w14:paraId="51326D9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16A3CD1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24FEE56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61B2C32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21F4C3B9">
            <w:pPr>
              <w:spacing w:line="360" w:lineRule="auto"/>
              <w:rPr>
                <w:rFonts w:hint="eastAsia" w:ascii="宋体" w:hAnsi="宋体" w:cs="宋体"/>
                <w:color w:val="auto"/>
                <w:kern w:val="0"/>
                <w:szCs w:val="21"/>
                <w:highlight w:val="none"/>
              </w:rPr>
            </w:pPr>
          </w:p>
        </w:tc>
      </w:tr>
      <w:tr w14:paraId="608909A2">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560A7F5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6BC392C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540" w:type="pct"/>
            <w:tcBorders>
              <w:top w:val="nil"/>
              <w:left w:val="nil"/>
              <w:bottom w:val="single" w:color="auto" w:sz="4" w:space="0"/>
              <w:right w:val="single" w:color="auto" w:sz="4" w:space="0"/>
            </w:tcBorders>
            <w:vAlign w:val="center"/>
          </w:tcPr>
          <w:p w14:paraId="48E1DCC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1BDF1F5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r2bl w:val="single" w:color="auto" w:sz="4" w:space="0"/>
            </w:tcBorders>
            <w:vAlign w:val="center"/>
          </w:tcPr>
          <w:p w14:paraId="59C2727F">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13AF51D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47E2BD6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14:paraId="0443774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14:paraId="2B448A9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评委签名：</w:t>
      </w:r>
    </w:p>
    <w:p w14:paraId="7F854626">
      <w:pPr>
        <w:spacing w:line="360" w:lineRule="auto"/>
        <w:rPr>
          <w:rFonts w:hint="eastAsia" w:ascii="宋体" w:hAnsi="宋体" w:cs="宋体"/>
          <w:color w:val="auto"/>
          <w:highlight w:val="none"/>
        </w:rPr>
      </w:pPr>
    </w:p>
    <w:p w14:paraId="36E11FB5">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758A3EFD">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539F60C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021"/>
        <w:gridCol w:w="1636"/>
        <w:gridCol w:w="2178"/>
        <w:gridCol w:w="2406"/>
      </w:tblGrid>
      <w:tr w14:paraId="3DBC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60" w:type="pct"/>
            <w:tcBorders>
              <w:top w:val="single" w:color="auto" w:sz="4" w:space="0"/>
              <w:left w:val="single" w:color="auto" w:sz="4" w:space="0"/>
              <w:bottom w:val="single" w:color="auto" w:sz="4" w:space="0"/>
              <w:right w:val="single" w:color="auto" w:sz="4" w:space="0"/>
            </w:tcBorders>
            <w:vAlign w:val="center"/>
          </w:tcPr>
          <w:p w14:paraId="244F94DF">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vAlign w:val="center"/>
          </w:tcPr>
          <w:p w14:paraId="1C0EF0CD">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vAlign w:val="center"/>
          </w:tcPr>
          <w:p w14:paraId="0438AE62">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vAlign w:val="center"/>
          </w:tcPr>
          <w:p w14:paraId="0D86AB23">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vAlign w:val="center"/>
          </w:tcPr>
          <w:p w14:paraId="026026C6">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误差率（r=|A-B|/A*100%）</w:t>
            </w:r>
          </w:p>
        </w:tc>
      </w:tr>
      <w:tr w14:paraId="0A70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77B959DB">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1CB92AF6">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06B1D159">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6EB8FCB9">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49C44AA7">
            <w:pPr>
              <w:spacing w:line="360" w:lineRule="auto"/>
              <w:rPr>
                <w:rFonts w:hint="eastAsia" w:ascii="宋体" w:hAnsi="宋体" w:cs="宋体"/>
                <w:color w:val="auto"/>
                <w:sz w:val="36"/>
                <w:szCs w:val="36"/>
                <w:highlight w:val="none"/>
              </w:rPr>
            </w:pPr>
          </w:p>
        </w:tc>
      </w:tr>
      <w:tr w14:paraId="7F53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25C86589">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13EBF6BD">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5E656C74">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73FE7607">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0402ED39">
            <w:pPr>
              <w:spacing w:line="360" w:lineRule="auto"/>
              <w:rPr>
                <w:rFonts w:hint="eastAsia" w:ascii="宋体" w:hAnsi="宋体" w:cs="宋体"/>
                <w:color w:val="auto"/>
                <w:sz w:val="36"/>
                <w:szCs w:val="36"/>
                <w:highlight w:val="none"/>
              </w:rPr>
            </w:pPr>
          </w:p>
        </w:tc>
      </w:tr>
      <w:tr w14:paraId="4565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3A02863B">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0DE4602D">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0D4A508E">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7700FF85">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7C578A66">
            <w:pPr>
              <w:spacing w:line="360" w:lineRule="auto"/>
              <w:rPr>
                <w:rFonts w:hint="eastAsia" w:ascii="宋体" w:hAnsi="宋体" w:cs="宋体"/>
                <w:color w:val="auto"/>
                <w:sz w:val="36"/>
                <w:szCs w:val="36"/>
                <w:highlight w:val="none"/>
              </w:rPr>
            </w:pPr>
          </w:p>
        </w:tc>
      </w:tr>
      <w:tr w14:paraId="101C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5C1EB3C3">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20E317CF">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43151D1E">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1C0AD53A">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66A2D6ED">
            <w:pPr>
              <w:spacing w:line="360" w:lineRule="auto"/>
              <w:rPr>
                <w:rFonts w:hint="eastAsia" w:ascii="宋体" w:hAnsi="宋体" w:cs="宋体"/>
                <w:color w:val="auto"/>
                <w:sz w:val="36"/>
                <w:szCs w:val="36"/>
                <w:highlight w:val="none"/>
              </w:rPr>
            </w:pPr>
          </w:p>
        </w:tc>
      </w:tr>
      <w:tr w14:paraId="3875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26BDFA6E">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613D2660">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01F6179B">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58F449E8">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2EC436C1">
            <w:pPr>
              <w:spacing w:line="360" w:lineRule="auto"/>
              <w:rPr>
                <w:rFonts w:hint="eastAsia" w:ascii="宋体" w:hAnsi="宋体" w:cs="宋体"/>
                <w:color w:val="auto"/>
                <w:sz w:val="36"/>
                <w:szCs w:val="36"/>
                <w:highlight w:val="none"/>
              </w:rPr>
            </w:pPr>
          </w:p>
        </w:tc>
      </w:tr>
      <w:tr w14:paraId="2B02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0A65DADE">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008A34C5">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51170CEF">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7C57FC79">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567D967B">
            <w:pPr>
              <w:spacing w:line="360" w:lineRule="auto"/>
              <w:rPr>
                <w:rFonts w:hint="eastAsia" w:ascii="宋体" w:hAnsi="宋体" w:cs="宋体"/>
                <w:color w:val="auto"/>
                <w:sz w:val="36"/>
                <w:szCs w:val="36"/>
                <w:highlight w:val="none"/>
              </w:rPr>
            </w:pPr>
          </w:p>
        </w:tc>
      </w:tr>
      <w:tr w14:paraId="3439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26C5BA7D">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0A901439">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546474C5">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2CE08DE6">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3DB06C59">
            <w:pPr>
              <w:spacing w:line="360" w:lineRule="auto"/>
              <w:rPr>
                <w:rFonts w:hint="eastAsia" w:ascii="宋体" w:hAnsi="宋体" w:cs="宋体"/>
                <w:color w:val="auto"/>
                <w:sz w:val="36"/>
                <w:szCs w:val="36"/>
                <w:highlight w:val="none"/>
              </w:rPr>
            </w:pPr>
          </w:p>
        </w:tc>
      </w:tr>
      <w:tr w14:paraId="3012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19ACE905">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19743644">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1A529331">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6CE57306">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397A9E2C">
            <w:pPr>
              <w:spacing w:line="360" w:lineRule="auto"/>
              <w:rPr>
                <w:rFonts w:hint="eastAsia" w:ascii="宋体" w:hAnsi="宋体" w:cs="宋体"/>
                <w:color w:val="auto"/>
                <w:sz w:val="36"/>
                <w:szCs w:val="36"/>
                <w:highlight w:val="none"/>
              </w:rPr>
            </w:pPr>
          </w:p>
        </w:tc>
      </w:tr>
    </w:tbl>
    <w:p w14:paraId="5D70110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评委签名：</w:t>
      </w:r>
    </w:p>
    <w:p w14:paraId="2F49955B">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34F381CD">
      <w:pPr>
        <w:ind w:firstLine="420"/>
        <w:rPr>
          <w:rFonts w:hint="eastAsia" w:ascii="宋体" w:hAnsi="宋体" w:cs="宋体"/>
          <w:b/>
          <w:color w:val="auto"/>
          <w:szCs w:val="21"/>
          <w:highlight w:val="none"/>
        </w:rPr>
      </w:pPr>
      <w:r>
        <w:rPr>
          <w:rFonts w:hint="eastAsia" w:ascii="宋体" w:hAnsi="宋体" w:cs="宋体"/>
          <w:color w:val="auto"/>
          <w:sz w:val="24"/>
          <w:szCs w:val="24"/>
          <w:highlight w:val="none"/>
        </w:rPr>
        <w:t>附表七</w:t>
      </w:r>
    </w:p>
    <w:p w14:paraId="7CC762B8">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定标因素表（定标阶段用表）</w:t>
      </w:r>
    </w:p>
    <w:p w14:paraId="08233777">
      <w:pPr>
        <w:jc w:val="left"/>
        <w:rPr>
          <w:rFonts w:hint="eastAsia" w:ascii="宋体" w:hAnsi="宋体" w:cs="宋体"/>
          <w:color w:val="auto"/>
          <w:szCs w:val="21"/>
          <w:highlight w:val="none"/>
        </w:rPr>
      </w:pPr>
    </w:p>
    <w:p w14:paraId="4A138534">
      <w:pPr>
        <w:jc w:val="left"/>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2"/>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71"/>
        <w:gridCol w:w="7577"/>
      </w:tblGrid>
      <w:tr w14:paraId="41F1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992" w:type="dxa"/>
            <w:tcBorders>
              <w:top w:val="single" w:color="auto" w:sz="4" w:space="0"/>
              <w:left w:val="single" w:color="auto" w:sz="4" w:space="0"/>
              <w:bottom w:val="single" w:color="auto" w:sz="4" w:space="0"/>
              <w:right w:val="single" w:color="auto" w:sz="4" w:space="0"/>
            </w:tcBorders>
            <w:vAlign w:val="center"/>
          </w:tcPr>
          <w:p w14:paraId="69EA05D6">
            <w:pPr>
              <w:jc w:val="center"/>
              <w:rPr>
                <w:rFonts w:hint="eastAsia" w:ascii="宋体" w:hAnsi="宋体" w:cs="宋体"/>
                <w:b/>
                <w:bCs/>
                <w:color w:val="auto"/>
                <w:szCs w:val="21"/>
                <w:highlight w:val="none"/>
              </w:rPr>
            </w:pPr>
            <w:bookmarkStart w:id="205" w:name="_Toc1962"/>
            <w:bookmarkStart w:id="206" w:name="_Toc14241"/>
            <w:bookmarkStart w:id="207" w:name="_Toc14742"/>
            <w:bookmarkStart w:id="208" w:name="_Toc18258"/>
            <w:bookmarkStart w:id="209" w:name="_Toc30086"/>
            <w:bookmarkStart w:id="210" w:name="_Toc17243"/>
            <w:bookmarkStart w:id="211" w:name="_Toc26863"/>
            <w:bookmarkStart w:id="212" w:name="_Toc17136"/>
            <w:bookmarkStart w:id="213" w:name="_Toc18827"/>
            <w:bookmarkStart w:id="214" w:name="_Toc2272566"/>
            <w:r>
              <w:rPr>
                <w:rFonts w:hint="eastAsia" w:ascii="宋体" w:hAnsi="宋体" w:cs="宋体"/>
                <w:b/>
                <w:bCs/>
                <w:color w:val="auto"/>
                <w:szCs w:val="21"/>
                <w:highlight w:val="none"/>
              </w:rPr>
              <w:t>序号</w:t>
            </w:r>
          </w:p>
        </w:tc>
        <w:tc>
          <w:tcPr>
            <w:tcW w:w="1271" w:type="dxa"/>
            <w:tcBorders>
              <w:top w:val="single" w:color="auto" w:sz="4" w:space="0"/>
              <w:left w:val="single" w:color="auto" w:sz="4" w:space="0"/>
              <w:bottom w:val="single" w:color="auto" w:sz="4" w:space="0"/>
              <w:right w:val="single" w:color="auto" w:sz="4" w:space="0"/>
            </w:tcBorders>
            <w:vAlign w:val="center"/>
          </w:tcPr>
          <w:p w14:paraId="51EEDCCD">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评价项目</w:t>
            </w:r>
          </w:p>
        </w:tc>
        <w:tc>
          <w:tcPr>
            <w:tcW w:w="7577" w:type="dxa"/>
            <w:tcBorders>
              <w:top w:val="single" w:color="auto" w:sz="4" w:space="0"/>
              <w:left w:val="single" w:color="auto" w:sz="4" w:space="0"/>
              <w:bottom w:val="single" w:color="auto" w:sz="4" w:space="0"/>
              <w:right w:val="single" w:color="auto" w:sz="4" w:space="0"/>
            </w:tcBorders>
            <w:vAlign w:val="center"/>
          </w:tcPr>
          <w:p w14:paraId="53997A31">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定标评价的内容</w:t>
            </w:r>
          </w:p>
        </w:tc>
      </w:tr>
      <w:tr w14:paraId="0B3F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restart"/>
            <w:tcBorders>
              <w:top w:val="single" w:color="auto" w:sz="4" w:space="0"/>
              <w:left w:val="single" w:color="auto" w:sz="4" w:space="0"/>
              <w:right w:val="single" w:color="auto" w:sz="4" w:space="0"/>
            </w:tcBorders>
            <w:vAlign w:val="center"/>
          </w:tcPr>
          <w:p w14:paraId="682909B3">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1" w:type="dxa"/>
            <w:vMerge w:val="restart"/>
            <w:tcBorders>
              <w:top w:val="single" w:color="auto" w:sz="4" w:space="0"/>
              <w:left w:val="single" w:color="auto" w:sz="4" w:space="0"/>
              <w:right w:val="single" w:color="auto" w:sz="4" w:space="0"/>
            </w:tcBorders>
            <w:vAlign w:val="center"/>
          </w:tcPr>
          <w:p w14:paraId="0965F804">
            <w:pPr>
              <w:jc w:val="center"/>
              <w:rPr>
                <w:rFonts w:hint="eastAsia" w:ascii="宋体" w:hAnsi="宋体" w:cs="宋体"/>
                <w:color w:val="auto"/>
                <w:szCs w:val="21"/>
                <w:highlight w:val="none"/>
              </w:rPr>
            </w:pPr>
            <w:r>
              <w:rPr>
                <w:rFonts w:hint="eastAsia" w:ascii="宋体" w:hAnsi="宋体" w:cs="宋体"/>
                <w:color w:val="auto"/>
                <w:szCs w:val="21"/>
                <w:highlight w:val="none"/>
              </w:rPr>
              <w:t>方案因素</w:t>
            </w:r>
          </w:p>
          <w:p w14:paraId="27E858B8">
            <w:pPr>
              <w:jc w:val="center"/>
              <w:rPr>
                <w:rFonts w:hint="eastAsia" w:ascii="宋体" w:hAnsi="宋体" w:cs="宋体"/>
                <w:color w:val="auto"/>
                <w:szCs w:val="21"/>
                <w:highlight w:val="none"/>
              </w:rPr>
            </w:pPr>
            <w:r>
              <w:rPr>
                <w:rFonts w:hint="eastAsia" w:ascii="宋体" w:hAnsi="宋体" w:cs="宋体"/>
                <w:color w:val="auto"/>
                <w:szCs w:val="21"/>
                <w:highlight w:val="none"/>
              </w:rPr>
              <w:t>（50分）</w:t>
            </w:r>
          </w:p>
        </w:tc>
        <w:tc>
          <w:tcPr>
            <w:tcW w:w="7577" w:type="dxa"/>
            <w:tcBorders>
              <w:top w:val="single" w:color="auto" w:sz="4" w:space="0"/>
              <w:left w:val="single" w:color="auto" w:sz="4" w:space="0"/>
              <w:bottom w:val="single" w:color="auto" w:sz="4" w:space="0"/>
              <w:right w:val="single" w:color="auto" w:sz="4" w:space="0"/>
            </w:tcBorders>
            <w:vAlign w:val="center"/>
          </w:tcPr>
          <w:p w14:paraId="17A04537">
            <w:pPr>
              <w:jc w:val="left"/>
              <w:rPr>
                <w:rFonts w:hint="eastAsia" w:ascii="宋体" w:hAnsi="宋体" w:cs="宋体"/>
                <w:b/>
                <w:bCs/>
                <w:color w:val="auto"/>
                <w:szCs w:val="21"/>
                <w:highlight w:val="none"/>
              </w:rPr>
            </w:pPr>
            <w:r>
              <w:rPr>
                <w:rFonts w:hint="eastAsia" w:ascii="宋体" w:hAnsi="宋体" w:cs="宋体"/>
                <w:b/>
                <w:bCs/>
                <w:color w:val="auto"/>
                <w:szCs w:val="21"/>
                <w:highlight w:val="none"/>
              </w:rPr>
              <w:t>1、定标委员会对合格的中标候选人的安全控制措施进行评审：</w:t>
            </w:r>
          </w:p>
          <w:p w14:paraId="7A8C158F">
            <w:pPr>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针对本项目建立了完善的安全文明施工保证体系、施工安全管理制度，承诺不发生安全事故，有安全应急预案、目标明确、制度健全，施工安全保护措施，措施明确、具体、可行、针对性强，措施完善的，得</w:t>
            </w:r>
            <w:r>
              <w:rPr>
                <w:rFonts w:hint="eastAsia" w:ascii="宋体" w:hAnsi="宋体" w:cs="宋体"/>
                <w:color w:val="auto"/>
                <w:szCs w:val="21"/>
                <w:highlight w:val="none"/>
              </w:rPr>
              <w:t>[10,7）分；</w:t>
            </w:r>
          </w:p>
          <w:p w14:paraId="6B241332">
            <w:pPr>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针对本项目建立了较完善的安全文明施工保证体系、施工安全管理制度，承诺不发生安全事故，有安全应急预案、目标明确、制度较健全，施工安全保护措施，措施较明确、较具体、较可行、针对性较强，措施较好的，得</w:t>
            </w:r>
            <w:r>
              <w:rPr>
                <w:rFonts w:hint="eastAsia" w:ascii="宋体" w:hAnsi="宋体" w:cs="宋体"/>
                <w:color w:val="auto"/>
                <w:szCs w:val="21"/>
                <w:highlight w:val="none"/>
              </w:rPr>
              <w:t>[7,3）分；</w:t>
            </w:r>
          </w:p>
          <w:p w14:paraId="620155EE">
            <w:pPr>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针对本项目建立了完善的安全文明施工保证体系、施工安全管理制度，承诺不发生安全事故，有安全应急预案、目标、有制度，有施工安全保护措施，但明确性一般，具体、可行、针对性一般，措施一般的</w:t>
            </w:r>
            <w:r>
              <w:rPr>
                <w:rFonts w:hint="eastAsia" w:ascii="宋体" w:hAnsi="宋体" w:cs="宋体"/>
                <w:color w:val="auto"/>
                <w:szCs w:val="21"/>
                <w:highlight w:val="none"/>
              </w:rPr>
              <w:t>，得[3,0）分；</w:t>
            </w:r>
          </w:p>
          <w:p w14:paraId="684A7389">
            <w:pPr>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）不满足前述要求者或不提供内容的，得0分。</w:t>
            </w:r>
          </w:p>
        </w:tc>
      </w:tr>
      <w:tr w14:paraId="5CC8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continue"/>
            <w:tcBorders>
              <w:left w:val="single" w:color="auto" w:sz="4" w:space="0"/>
              <w:right w:val="single" w:color="auto" w:sz="4" w:space="0"/>
            </w:tcBorders>
            <w:vAlign w:val="center"/>
          </w:tcPr>
          <w:p w14:paraId="12BD868F">
            <w:pPr>
              <w:jc w:val="left"/>
              <w:rPr>
                <w:rFonts w:ascii="Times New Roman" w:hAnsi="Times New Roman"/>
                <w:color w:val="auto"/>
                <w:szCs w:val="21"/>
                <w:highlight w:val="none"/>
              </w:rPr>
            </w:pPr>
          </w:p>
        </w:tc>
        <w:tc>
          <w:tcPr>
            <w:tcW w:w="1271" w:type="dxa"/>
            <w:vMerge w:val="continue"/>
            <w:tcBorders>
              <w:left w:val="single" w:color="auto" w:sz="4" w:space="0"/>
              <w:right w:val="single" w:color="auto" w:sz="4" w:space="0"/>
            </w:tcBorders>
            <w:vAlign w:val="center"/>
          </w:tcPr>
          <w:p w14:paraId="0BDFE4A2">
            <w:pPr>
              <w:jc w:val="left"/>
              <w:rPr>
                <w:rFonts w:ascii="Times New Roman" w:hAnsi="Times New Roman"/>
                <w:color w:val="auto"/>
                <w:szCs w:val="21"/>
                <w:highlight w:val="none"/>
              </w:rPr>
            </w:pPr>
          </w:p>
        </w:tc>
        <w:tc>
          <w:tcPr>
            <w:tcW w:w="7577" w:type="dxa"/>
            <w:tcBorders>
              <w:top w:val="single" w:color="auto" w:sz="4" w:space="0"/>
              <w:left w:val="single" w:color="auto" w:sz="4" w:space="0"/>
              <w:bottom w:val="single" w:color="auto" w:sz="4" w:space="0"/>
              <w:right w:val="single" w:color="auto" w:sz="4" w:space="0"/>
            </w:tcBorders>
            <w:vAlign w:val="center"/>
          </w:tcPr>
          <w:p w14:paraId="2752D5AC">
            <w:pPr>
              <w:jc w:val="left"/>
              <w:rPr>
                <w:rFonts w:hint="eastAsia" w:ascii="宋体" w:hAnsi="宋体" w:cs="宋体"/>
                <w:b/>
                <w:bCs/>
                <w:color w:val="auto"/>
                <w:szCs w:val="21"/>
                <w:highlight w:val="none"/>
              </w:rPr>
            </w:pPr>
            <w:r>
              <w:rPr>
                <w:rFonts w:hint="eastAsia" w:ascii="宋体" w:hAnsi="宋体" w:cs="宋体"/>
                <w:b/>
                <w:bCs/>
                <w:color w:val="auto"/>
                <w:szCs w:val="21"/>
                <w:highlight w:val="none"/>
              </w:rPr>
              <w:t>2、定标委员会对合格的中标候选人的质量控制措施进行评审：</w:t>
            </w:r>
          </w:p>
          <w:p w14:paraId="2FDBF184">
            <w:pPr>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针对本项目编制了施工质量目标、施工质量管理体系与程序、质量管理措施，根据本工程的质量目标，针对项目的特点，从质量保证体系、材料的检测、质量通病的防治等方面提出详细的质量保证措施，措施为完善的，得</w:t>
            </w:r>
            <w:r>
              <w:rPr>
                <w:rFonts w:hint="eastAsia" w:ascii="宋体" w:hAnsi="宋体" w:cs="宋体"/>
                <w:color w:val="auto"/>
                <w:szCs w:val="21"/>
                <w:highlight w:val="none"/>
              </w:rPr>
              <w:t>[10,7）分；</w:t>
            </w:r>
          </w:p>
          <w:p w14:paraId="23CD1A1D">
            <w:pPr>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针对本项目编制了施工质量目标、施工质量管理体系与程序、质量管理措施，根据本工程的质量目标，针对项目的特点，从质量保证体系、材料的检测、质量通病的防治等方面提出较详细的质量保证措施，措施为较好的，得</w:t>
            </w:r>
            <w:r>
              <w:rPr>
                <w:rFonts w:hint="eastAsia" w:ascii="宋体" w:hAnsi="宋体" w:cs="宋体"/>
                <w:color w:val="auto"/>
                <w:szCs w:val="21"/>
                <w:highlight w:val="none"/>
              </w:rPr>
              <w:t>[7,3）；</w:t>
            </w:r>
          </w:p>
          <w:p w14:paraId="0E6F971D">
            <w:pPr>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针对本项目编制了施工质量目标、施工质量管理体系与程序、质量管理措施，根据本工程的质量目标，针对项目的特点，从质量保证体系、材料的检测、质量通病的防治等方面提出质量保证措施，措施一般的</w:t>
            </w:r>
            <w:r>
              <w:rPr>
                <w:rFonts w:hint="eastAsia" w:ascii="宋体" w:hAnsi="宋体" w:cs="宋体"/>
                <w:color w:val="auto"/>
                <w:szCs w:val="21"/>
                <w:highlight w:val="none"/>
              </w:rPr>
              <w:t>，得[3,0）分；</w:t>
            </w:r>
          </w:p>
          <w:p w14:paraId="6A04FF6F">
            <w:pPr>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）不满足前述要求者或不提供的内容的，得0分。</w:t>
            </w:r>
          </w:p>
        </w:tc>
      </w:tr>
      <w:tr w14:paraId="6695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continue"/>
            <w:tcBorders>
              <w:left w:val="single" w:color="auto" w:sz="4" w:space="0"/>
              <w:right w:val="single" w:color="auto" w:sz="4" w:space="0"/>
            </w:tcBorders>
            <w:vAlign w:val="center"/>
          </w:tcPr>
          <w:p w14:paraId="0A22FD97">
            <w:pPr>
              <w:jc w:val="left"/>
              <w:rPr>
                <w:rFonts w:hint="eastAsia" w:ascii="宋体" w:hAnsi="宋体" w:cs="宋体"/>
                <w:color w:val="auto"/>
                <w:szCs w:val="21"/>
                <w:highlight w:val="none"/>
              </w:rPr>
            </w:pPr>
          </w:p>
        </w:tc>
        <w:tc>
          <w:tcPr>
            <w:tcW w:w="1271" w:type="dxa"/>
            <w:vMerge w:val="continue"/>
            <w:tcBorders>
              <w:left w:val="single" w:color="auto" w:sz="4" w:space="0"/>
              <w:right w:val="single" w:color="auto" w:sz="4" w:space="0"/>
            </w:tcBorders>
            <w:vAlign w:val="center"/>
          </w:tcPr>
          <w:p w14:paraId="7B6738C2">
            <w:pPr>
              <w:jc w:val="left"/>
              <w:rPr>
                <w:rFonts w:hint="eastAsia" w:ascii="宋体" w:hAnsi="宋体" w:cs="宋体"/>
                <w:color w:val="auto"/>
                <w:szCs w:val="21"/>
                <w:highlight w:val="none"/>
              </w:rPr>
            </w:pPr>
          </w:p>
        </w:tc>
        <w:tc>
          <w:tcPr>
            <w:tcW w:w="7577" w:type="dxa"/>
            <w:tcBorders>
              <w:top w:val="single" w:color="auto" w:sz="4" w:space="0"/>
              <w:left w:val="single" w:color="auto" w:sz="4" w:space="0"/>
              <w:bottom w:val="single" w:color="auto" w:sz="4" w:space="0"/>
              <w:right w:val="single" w:color="auto" w:sz="4" w:space="0"/>
            </w:tcBorders>
            <w:vAlign w:val="center"/>
          </w:tcPr>
          <w:p w14:paraId="41F95F71">
            <w:pPr>
              <w:jc w:val="left"/>
              <w:rPr>
                <w:rFonts w:hint="eastAsia" w:ascii="宋体" w:hAnsi="宋体" w:cs="宋体"/>
                <w:b/>
                <w:bCs/>
                <w:color w:val="auto"/>
                <w:szCs w:val="21"/>
                <w:highlight w:val="none"/>
              </w:rPr>
            </w:pPr>
            <w:r>
              <w:rPr>
                <w:rFonts w:hint="eastAsia" w:ascii="宋体" w:hAnsi="宋体" w:cs="宋体"/>
                <w:b/>
                <w:bCs/>
                <w:color w:val="auto"/>
                <w:szCs w:val="21"/>
                <w:highlight w:val="none"/>
              </w:rPr>
              <w:t>3、定标委员会对合格的中标候选人的进度控制措施进行评审：</w:t>
            </w:r>
          </w:p>
          <w:p w14:paraId="16CF3A5C">
            <w:pPr>
              <w:jc w:val="left"/>
              <w:rPr>
                <w:rFonts w:hint="eastAsia" w:ascii="宋体" w:hAnsi="宋体" w:cs="宋体"/>
                <w:color w:val="auto"/>
                <w:szCs w:val="21"/>
                <w:highlight w:val="none"/>
              </w:rPr>
            </w:pPr>
            <w:r>
              <w:rPr>
                <w:rFonts w:hint="eastAsia" w:ascii="宋体" w:hAnsi="宋体" w:cs="宋体"/>
                <w:color w:val="auto"/>
                <w:szCs w:val="21"/>
                <w:highlight w:val="none"/>
              </w:rPr>
              <w:t>（1）针对本项目的特点，从深化设计、生产制造、运输、装卸及保管、吊装施工、验收各环节提出进度控制措施，各项措施具体、可行、针对性强，措施完善的，得[10,7）分；</w:t>
            </w:r>
          </w:p>
          <w:p w14:paraId="26FE99C4">
            <w:pPr>
              <w:jc w:val="left"/>
              <w:rPr>
                <w:rFonts w:hint="eastAsia" w:ascii="宋体" w:hAnsi="宋体" w:cs="宋体"/>
                <w:color w:val="auto"/>
                <w:szCs w:val="21"/>
                <w:highlight w:val="none"/>
              </w:rPr>
            </w:pPr>
            <w:r>
              <w:rPr>
                <w:rFonts w:hint="eastAsia" w:ascii="宋体" w:hAnsi="宋体" w:cs="宋体"/>
                <w:color w:val="auto"/>
                <w:szCs w:val="21"/>
                <w:highlight w:val="none"/>
              </w:rPr>
              <w:t>（2）针对本项目的特点，制定进度控制措施，措施较具体、较可行，得[7,3）分；</w:t>
            </w:r>
          </w:p>
          <w:p w14:paraId="105DAC7A">
            <w:pPr>
              <w:jc w:val="left"/>
              <w:rPr>
                <w:rFonts w:hint="eastAsia" w:ascii="宋体" w:hAnsi="宋体" w:cs="宋体"/>
                <w:color w:val="auto"/>
                <w:szCs w:val="21"/>
                <w:highlight w:val="none"/>
              </w:rPr>
            </w:pPr>
            <w:r>
              <w:rPr>
                <w:rFonts w:hint="eastAsia" w:ascii="宋体" w:hAnsi="宋体" w:cs="宋体"/>
                <w:color w:val="auto"/>
                <w:szCs w:val="21"/>
                <w:highlight w:val="none"/>
              </w:rPr>
              <w:t>（3）针对本项目制定的进度控制措施，不具体、针对性不强，得[3,0）分。</w:t>
            </w:r>
          </w:p>
          <w:p w14:paraId="74AE879A">
            <w:pPr>
              <w:jc w:val="left"/>
              <w:rPr>
                <w:rFonts w:hint="eastAsia" w:ascii="宋体" w:hAnsi="宋体" w:cs="宋体"/>
                <w:color w:val="auto"/>
                <w:szCs w:val="21"/>
                <w:highlight w:val="none"/>
              </w:rPr>
            </w:pPr>
            <w:r>
              <w:rPr>
                <w:rFonts w:hint="eastAsia" w:ascii="宋体" w:hAnsi="宋体" w:cs="宋体"/>
                <w:color w:val="auto"/>
                <w:szCs w:val="21"/>
                <w:highlight w:val="none"/>
              </w:rPr>
              <w:t>（4）不满足前述要求者或不提供内容的，得0分。</w:t>
            </w:r>
          </w:p>
        </w:tc>
      </w:tr>
      <w:tr w14:paraId="66E2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2" w:type="dxa"/>
            <w:vMerge w:val="continue"/>
            <w:tcBorders>
              <w:left w:val="single" w:color="auto" w:sz="4" w:space="0"/>
              <w:right w:val="single" w:color="auto" w:sz="4" w:space="0"/>
            </w:tcBorders>
            <w:vAlign w:val="center"/>
          </w:tcPr>
          <w:p w14:paraId="027F7F0E">
            <w:pPr>
              <w:jc w:val="left"/>
              <w:rPr>
                <w:rFonts w:hint="eastAsia" w:ascii="宋体" w:hAnsi="宋体" w:cs="宋体"/>
                <w:color w:val="auto"/>
                <w:szCs w:val="21"/>
                <w:highlight w:val="none"/>
              </w:rPr>
            </w:pPr>
          </w:p>
        </w:tc>
        <w:tc>
          <w:tcPr>
            <w:tcW w:w="1271" w:type="dxa"/>
            <w:vMerge w:val="continue"/>
            <w:tcBorders>
              <w:left w:val="single" w:color="auto" w:sz="4" w:space="0"/>
              <w:right w:val="single" w:color="auto" w:sz="4" w:space="0"/>
            </w:tcBorders>
            <w:vAlign w:val="center"/>
          </w:tcPr>
          <w:p w14:paraId="7039ED3C">
            <w:pPr>
              <w:jc w:val="left"/>
              <w:rPr>
                <w:rFonts w:hint="eastAsia" w:ascii="宋体" w:hAnsi="宋体" w:cs="宋体"/>
                <w:color w:val="auto"/>
                <w:szCs w:val="21"/>
                <w:highlight w:val="none"/>
              </w:rPr>
            </w:pPr>
          </w:p>
        </w:tc>
        <w:tc>
          <w:tcPr>
            <w:tcW w:w="7577" w:type="dxa"/>
            <w:tcBorders>
              <w:top w:val="single" w:color="auto" w:sz="4" w:space="0"/>
              <w:left w:val="single" w:color="auto" w:sz="4" w:space="0"/>
              <w:bottom w:val="single" w:color="auto" w:sz="4" w:space="0"/>
              <w:right w:val="single" w:color="auto" w:sz="4" w:space="0"/>
            </w:tcBorders>
            <w:vAlign w:val="center"/>
          </w:tcPr>
          <w:p w14:paraId="794F1CFE">
            <w:pPr>
              <w:jc w:val="left"/>
              <w:rPr>
                <w:rFonts w:hint="eastAsia" w:ascii="宋体" w:hAnsi="宋体" w:cs="宋体"/>
                <w:b/>
                <w:bCs/>
                <w:color w:val="auto"/>
                <w:szCs w:val="21"/>
                <w:highlight w:val="none"/>
              </w:rPr>
            </w:pPr>
            <w:r>
              <w:rPr>
                <w:rFonts w:hint="eastAsia" w:ascii="宋体" w:hAnsi="宋体" w:cs="宋体"/>
                <w:b/>
                <w:bCs/>
                <w:color w:val="auto"/>
                <w:szCs w:val="21"/>
                <w:highlight w:val="none"/>
              </w:rPr>
              <w:t>4、定标委员会对合格的中标候选人的绿色节能控制措施进行评审：</w:t>
            </w:r>
          </w:p>
          <w:p w14:paraId="6B183954">
            <w:pPr>
              <w:rPr>
                <w:rFonts w:hint="eastAsia" w:ascii="宋体" w:hAnsi="宋体"/>
                <w:color w:val="auto"/>
                <w:kern w:val="0"/>
                <w:szCs w:val="21"/>
                <w:highlight w:val="none"/>
              </w:rPr>
            </w:pPr>
            <w:r>
              <w:rPr>
                <w:rFonts w:hint="eastAsia" w:ascii="宋体" w:hAnsi="宋体" w:cs="宋体"/>
                <w:color w:val="auto"/>
                <w:kern w:val="0"/>
                <w:szCs w:val="21"/>
                <w:highlight w:val="none"/>
              </w:rPr>
              <w:t>（1）</w:t>
            </w:r>
            <w:r>
              <w:rPr>
                <w:rFonts w:hint="eastAsia" w:ascii="宋体" w:hAnsi="宋体"/>
                <w:color w:val="auto"/>
                <w:kern w:val="0"/>
                <w:szCs w:val="21"/>
                <w:highlight w:val="none"/>
              </w:rPr>
              <w:t>有绿色节能控制措施，措施明确、具体、可行、针对性强，措施完善的，并有承诺在施工过程中通过科学管理和先进的技术手段，最大限度地节约资源与减少对环境的负面影响，以达到四节一环保（节能、节地、节水、节材和环境保护）的目标，得</w:t>
            </w:r>
            <w:r>
              <w:rPr>
                <w:rFonts w:hint="eastAsia" w:ascii="宋体" w:hAnsi="宋体" w:cs="宋体"/>
                <w:color w:val="auto"/>
                <w:kern w:val="0"/>
                <w:szCs w:val="21"/>
                <w:highlight w:val="none"/>
              </w:rPr>
              <w:t>[10,7）分</w:t>
            </w:r>
            <w:r>
              <w:rPr>
                <w:rFonts w:hint="eastAsia" w:ascii="宋体" w:hAnsi="宋体"/>
                <w:color w:val="auto"/>
                <w:kern w:val="0"/>
                <w:szCs w:val="21"/>
                <w:highlight w:val="none"/>
              </w:rPr>
              <w:t>；</w:t>
            </w:r>
          </w:p>
          <w:p w14:paraId="1B5C2B80">
            <w:pPr>
              <w:rPr>
                <w:rFonts w:hint="eastAsia" w:ascii="宋体" w:hAnsi="宋体"/>
                <w:color w:val="auto"/>
                <w:szCs w:val="21"/>
                <w:highlight w:val="none"/>
              </w:rPr>
            </w:pPr>
            <w:r>
              <w:rPr>
                <w:rFonts w:hint="eastAsia" w:ascii="Times New Roman" w:hAnsi="宋体"/>
                <w:color w:val="auto"/>
                <w:szCs w:val="21"/>
                <w:highlight w:val="none"/>
              </w:rPr>
              <w:t>（2）</w:t>
            </w:r>
            <w:r>
              <w:rPr>
                <w:rFonts w:hint="eastAsia" w:ascii="宋体" w:hAnsi="宋体"/>
                <w:color w:val="auto"/>
                <w:szCs w:val="21"/>
                <w:highlight w:val="none"/>
              </w:rPr>
              <w:t>有绿色节能控制措施，措施较明确、较具体、较可行、针对性较强，措施较完善的，有承诺在施工过程中通过科学管理和先进的技术手段，较好地节约资源与减少对环境的负面影响，以达到四节一环保（节能、节地、节水、节材和环境保护）的目标，得</w:t>
            </w:r>
            <w:r>
              <w:rPr>
                <w:rFonts w:hint="eastAsia" w:ascii="宋体" w:hAnsi="宋体" w:cs="宋体"/>
                <w:color w:val="auto"/>
                <w:szCs w:val="21"/>
                <w:highlight w:val="none"/>
              </w:rPr>
              <w:t>[7,3）分</w:t>
            </w:r>
            <w:r>
              <w:rPr>
                <w:rFonts w:hint="eastAsia" w:ascii="宋体" w:hAnsi="宋体"/>
                <w:color w:val="auto"/>
                <w:szCs w:val="21"/>
                <w:highlight w:val="none"/>
              </w:rPr>
              <w:t>；</w:t>
            </w:r>
          </w:p>
          <w:p w14:paraId="39FD9B34">
            <w:pPr>
              <w:rPr>
                <w:rFonts w:hint="eastAsia" w:ascii="宋体" w:hAnsi="宋体"/>
                <w:color w:val="auto"/>
                <w:kern w:val="0"/>
                <w:szCs w:val="21"/>
                <w:highlight w:val="none"/>
              </w:rPr>
            </w:pPr>
            <w:r>
              <w:rPr>
                <w:rFonts w:hint="eastAsia" w:ascii="宋体" w:hAnsi="宋体"/>
                <w:color w:val="auto"/>
                <w:kern w:val="0"/>
                <w:szCs w:val="21"/>
                <w:highlight w:val="none"/>
              </w:rPr>
              <w:t>（3）有绿色节能控制措施，但明确性一般，具体、可行、针对性一般，措施一般的，有承诺在施工过程中通过科学管理和先进的技术手段，节约资源与减少对环境的负面影响，达到四节一环保（节能、节地、节水、节材和环境保护）的目标，</w:t>
            </w:r>
            <w:r>
              <w:rPr>
                <w:rFonts w:hint="eastAsia" w:ascii="宋体" w:hAnsi="宋体" w:cs="宋体"/>
                <w:color w:val="auto"/>
                <w:kern w:val="0"/>
                <w:szCs w:val="21"/>
                <w:highlight w:val="none"/>
              </w:rPr>
              <w:t>得[3,0）分；</w:t>
            </w:r>
          </w:p>
          <w:p w14:paraId="5137DB3A">
            <w:pPr>
              <w:rPr>
                <w:rFonts w:ascii="Times New Roman" w:hAnsi="Times New Roman"/>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）不满足前述要求者或不提供内容的，得0分。</w:t>
            </w:r>
          </w:p>
        </w:tc>
      </w:tr>
      <w:tr w14:paraId="29B1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92" w:type="dxa"/>
            <w:vMerge w:val="continue"/>
            <w:tcBorders>
              <w:left w:val="single" w:color="auto" w:sz="4" w:space="0"/>
              <w:bottom w:val="single" w:color="auto" w:sz="4" w:space="0"/>
              <w:right w:val="single" w:color="auto" w:sz="4" w:space="0"/>
            </w:tcBorders>
            <w:vAlign w:val="center"/>
          </w:tcPr>
          <w:p w14:paraId="0D47B774">
            <w:pPr>
              <w:jc w:val="left"/>
              <w:rPr>
                <w:rFonts w:hint="eastAsia" w:ascii="宋体" w:hAnsi="宋体" w:cs="宋体"/>
                <w:color w:val="auto"/>
                <w:szCs w:val="21"/>
                <w:highlight w:val="none"/>
              </w:rPr>
            </w:pPr>
          </w:p>
        </w:tc>
        <w:tc>
          <w:tcPr>
            <w:tcW w:w="1271" w:type="dxa"/>
            <w:vMerge w:val="continue"/>
            <w:tcBorders>
              <w:left w:val="single" w:color="auto" w:sz="4" w:space="0"/>
              <w:bottom w:val="single" w:color="auto" w:sz="4" w:space="0"/>
              <w:right w:val="single" w:color="auto" w:sz="4" w:space="0"/>
            </w:tcBorders>
            <w:vAlign w:val="center"/>
          </w:tcPr>
          <w:p w14:paraId="1355A3F3">
            <w:pPr>
              <w:jc w:val="left"/>
              <w:rPr>
                <w:rFonts w:hint="eastAsia" w:ascii="宋体" w:hAnsi="宋体" w:cs="宋体"/>
                <w:color w:val="auto"/>
                <w:szCs w:val="21"/>
                <w:highlight w:val="none"/>
              </w:rPr>
            </w:pPr>
          </w:p>
        </w:tc>
        <w:tc>
          <w:tcPr>
            <w:tcW w:w="7577" w:type="dxa"/>
            <w:tcBorders>
              <w:top w:val="single" w:color="auto" w:sz="4" w:space="0"/>
              <w:left w:val="single" w:color="auto" w:sz="4" w:space="0"/>
              <w:bottom w:val="single" w:color="auto" w:sz="4" w:space="0"/>
              <w:right w:val="single" w:color="auto" w:sz="4" w:space="0"/>
            </w:tcBorders>
            <w:vAlign w:val="center"/>
          </w:tcPr>
          <w:p w14:paraId="577F6DB4">
            <w:pPr>
              <w:rPr>
                <w:rFonts w:hint="eastAsia" w:ascii="Times New Roman" w:hAnsi="宋体"/>
                <w:b/>
                <w:bCs/>
                <w:color w:val="auto"/>
                <w:szCs w:val="21"/>
                <w:highlight w:val="none"/>
              </w:rPr>
            </w:pPr>
            <w:r>
              <w:rPr>
                <w:rFonts w:hint="eastAsia" w:ascii="Times New Roman" w:hAnsi="宋体"/>
                <w:b/>
                <w:bCs/>
                <w:color w:val="auto"/>
                <w:szCs w:val="21"/>
                <w:highlight w:val="none"/>
              </w:rPr>
              <w:t>5、鼓励合格的中标候选人将建筑业科技创新应用在项目中（重点支持新型建筑工业化、数字化、绿色化等方向的技术创新）：</w:t>
            </w:r>
          </w:p>
          <w:p w14:paraId="4EA076B8">
            <w:pPr>
              <w:rPr>
                <w:rFonts w:hint="eastAsia" w:ascii="Times New Roman" w:hAnsi="宋体"/>
                <w:color w:val="auto"/>
                <w:szCs w:val="21"/>
                <w:highlight w:val="none"/>
              </w:rPr>
            </w:pPr>
            <w:r>
              <w:rPr>
                <w:rFonts w:hint="eastAsia" w:ascii="Times New Roman" w:hAnsi="宋体"/>
                <w:color w:val="auto"/>
                <w:szCs w:val="21"/>
                <w:highlight w:val="none"/>
              </w:rPr>
              <w:t>（1）根据本项目特点提出具有创新性的新技术应用方案，方案与项目需求契合度高，技术路线具体、可行，能有效提升施工效率/工程质量/节能环保水平，得</w:t>
            </w:r>
            <w:r>
              <w:rPr>
                <w:rFonts w:hint="eastAsia" w:ascii="宋体" w:hAnsi="宋体" w:cs="宋体"/>
                <w:color w:val="auto"/>
                <w:szCs w:val="21"/>
                <w:highlight w:val="none"/>
              </w:rPr>
              <w:t>[10,7）</w:t>
            </w:r>
            <w:r>
              <w:rPr>
                <w:rFonts w:hint="eastAsia" w:ascii="Times New Roman" w:hAnsi="宋体"/>
                <w:color w:val="auto"/>
                <w:szCs w:val="21"/>
                <w:highlight w:val="none"/>
              </w:rPr>
              <w:t>分；</w:t>
            </w:r>
          </w:p>
          <w:p w14:paraId="7CF752FF">
            <w:pPr>
              <w:rPr>
                <w:rFonts w:hint="eastAsia" w:ascii="Times New Roman" w:hAnsi="宋体"/>
                <w:color w:val="auto"/>
                <w:szCs w:val="21"/>
                <w:highlight w:val="none"/>
              </w:rPr>
            </w:pPr>
            <w:r>
              <w:rPr>
                <w:rFonts w:hint="eastAsia" w:ascii="Times New Roman" w:hAnsi="宋体"/>
                <w:color w:val="auto"/>
                <w:szCs w:val="21"/>
                <w:highlight w:val="none"/>
              </w:rPr>
              <w:t>（2）根据本项目特点提出具有一定创新性的技术应用方案，方案与项目需求较为契合，技术路线较具体、较可行，对施工效率/工程质量/节能环保水平有提升作用，得</w:t>
            </w:r>
            <w:r>
              <w:rPr>
                <w:rFonts w:hint="eastAsia" w:ascii="宋体" w:hAnsi="宋体" w:cs="宋体"/>
                <w:color w:val="auto"/>
                <w:szCs w:val="21"/>
                <w:highlight w:val="none"/>
              </w:rPr>
              <w:t>[7,3）</w:t>
            </w:r>
            <w:r>
              <w:rPr>
                <w:rFonts w:hint="eastAsia" w:ascii="Times New Roman" w:hAnsi="宋体"/>
                <w:color w:val="auto"/>
                <w:szCs w:val="21"/>
                <w:highlight w:val="none"/>
              </w:rPr>
              <w:t>分；</w:t>
            </w:r>
          </w:p>
          <w:p w14:paraId="3737FEE4">
            <w:pPr>
              <w:rPr>
                <w:rFonts w:hint="eastAsia" w:ascii="Times New Roman" w:hAnsi="宋体"/>
                <w:color w:val="auto"/>
                <w:szCs w:val="21"/>
                <w:highlight w:val="none"/>
              </w:rPr>
            </w:pPr>
            <w:r>
              <w:rPr>
                <w:rFonts w:hint="eastAsia" w:ascii="Times New Roman" w:hAnsi="宋体"/>
                <w:color w:val="auto"/>
                <w:szCs w:val="21"/>
                <w:highlight w:val="none"/>
              </w:rPr>
              <w:t>（3）提出的技术应用方案创新性不足，与项目需求契合度一般，技术路线可行性一般，得</w:t>
            </w:r>
            <w:r>
              <w:rPr>
                <w:rFonts w:hint="eastAsia" w:ascii="宋体" w:hAnsi="宋体" w:cs="宋体"/>
                <w:color w:val="auto"/>
                <w:kern w:val="0"/>
                <w:szCs w:val="21"/>
                <w:highlight w:val="none"/>
              </w:rPr>
              <w:t>[3,0）</w:t>
            </w:r>
            <w:r>
              <w:rPr>
                <w:rFonts w:hint="eastAsia" w:ascii="Times New Roman" w:hAnsi="宋体"/>
                <w:color w:val="auto"/>
                <w:szCs w:val="21"/>
                <w:highlight w:val="none"/>
              </w:rPr>
              <w:t>分；</w:t>
            </w:r>
          </w:p>
          <w:p w14:paraId="7A3A4D36">
            <w:pPr>
              <w:rPr>
                <w:rFonts w:hint="eastAsia" w:ascii="宋体" w:hAnsi="宋体" w:cs="宋体"/>
                <w:color w:val="auto"/>
                <w:kern w:val="0"/>
                <w:szCs w:val="21"/>
                <w:highlight w:val="none"/>
              </w:rPr>
            </w:pPr>
            <w:r>
              <w:rPr>
                <w:rFonts w:hint="eastAsia" w:ascii="Times New Roman" w:hAnsi="宋体"/>
                <w:color w:val="auto"/>
                <w:szCs w:val="21"/>
                <w:highlight w:val="none"/>
              </w:rPr>
              <w:t>（4）未提出新技术应用方案或不满足基本要求的，得0分。</w:t>
            </w:r>
          </w:p>
        </w:tc>
      </w:tr>
      <w:tr w14:paraId="627D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8A87C6C">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71" w:type="dxa"/>
            <w:tcBorders>
              <w:top w:val="single" w:color="auto" w:sz="4" w:space="0"/>
              <w:left w:val="single" w:color="auto" w:sz="4" w:space="0"/>
              <w:bottom w:val="single" w:color="auto" w:sz="4" w:space="0"/>
              <w:right w:val="single" w:color="auto" w:sz="4" w:space="0"/>
            </w:tcBorders>
            <w:vAlign w:val="center"/>
          </w:tcPr>
          <w:p w14:paraId="42B9EFD6">
            <w:pPr>
              <w:jc w:val="center"/>
              <w:rPr>
                <w:rFonts w:hint="eastAsia" w:ascii="宋体" w:hAnsi="宋体" w:cs="宋体"/>
                <w:color w:val="auto"/>
                <w:szCs w:val="21"/>
                <w:highlight w:val="none"/>
              </w:rPr>
            </w:pPr>
            <w:r>
              <w:rPr>
                <w:rFonts w:hint="eastAsia" w:ascii="宋体" w:hAnsi="宋体" w:cs="宋体"/>
                <w:color w:val="auto"/>
                <w:szCs w:val="21"/>
                <w:highlight w:val="none"/>
              </w:rPr>
              <w:t>价格因素</w:t>
            </w:r>
          </w:p>
          <w:p w14:paraId="7232ABD9">
            <w:pPr>
              <w:jc w:val="center"/>
              <w:rPr>
                <w:rFonts w:hint="eastAsia" w:ascii="宋体" w:hAnsi="宋体" w:cs="宋体"/>
                <w:color w:val="auto"/>
                <w:szCs w:val="21"/>
                <w:highlight w:val="none"/>
              </w:rPr>
            </w:pPr>
            <w:r>
              <w:rPr>
                <w:rFonts w:hint="eastAsia" w:ascii="宋体" w:hAnsi="宋体" w:cs="宋体"/>
                <w:color w:val="auto"/>
                <w:szCs w:val="21"/>
                <w:highlight w:val="none"/>
              </w:rPr>
              <w:t>（20分）</w:t>
            </w:r>
          </w:p>
        </w:tc>
        <w:tc>
          <w:tcPr>
            <w:tcW w:w="7577" w:type="dxa"/>
            <w:tcBorders>
              <w:top w:val="single" w:color="auto" w:sz="4" w:space="0"/>
              <w:left w:val="single" w:color="auto" w:sz="4" w:space="0"/>
              <w:bottom w:val="single" w:color="auto" w:sz="4" w:space="0"/>
              <w:right w:val="single" w:color="auto" w:sz="4" w:space="0"/>
            </w:tcBorders>
            <w:vAlign w:val="center"/>
          </w:tcPr>
          <w:p w14:paraId="1CF78C22">
            <w:pPr>
              <w:widowControl/>
              <w:jc w:val="left"/>
              <w:rPr>
                <w:rFonts w:hint="eastAsia" w:ascii="宋体" w:hAnsi="宋体"/>
                <w:b/>
                <w:bCs/>
                <w:color w:val="auto"/>
                <w:kern w:val="0"/>
                <w:szCs w:val="21"/>
                <w:highlight w:val="none"/>
                <w:lang w:bidi="ar"/>
              </w:rPr>
            </w:pPr>
            <w:r>
              <w:rPr>
                <w:rFonts w:hint="eastAsia" w:ascii="宋体" w:hAnsi="宋体"/>
                <w:b/>
                <w:bCs/>
                <w:color w:val="auto"/>
                <w:kern w:val="0"/>
                <w:szCs w:val="21"/>
                <w:highlight w:val="none"/>
                <w:lang w:bidi="ar"/>
              </w:rPr>
              <w:t>定标委员会对合格的中标候选人投标报价进行评审：</w:t>
            </w:r>
          </w:p>
          <w:p w14:paraId="5FC7C832">
            <w:pPr>
              <w:widowControl/>
              <w:jc w:val="left"/>
              <w:rPr>
                <w:rFonts w:hint="eastAsia" w:ascii="宋体" w:hAnsi="宋体"/>
                <w:color w:val="auto"/>
                <w:kern w:val="0"/>
                <w:szCs w:val="21"/>
                <w:highlight w:val="none"/>
                <w:lang w:bidi="ar"/>
              </w:rPr>
            </w:pPr>
            <w:r>
              <w:rPr>
                <w:rFonts w:hint="eastAsia" w:ascii="宋体" w:hAnsi="宋体"/>
                <w:color w:val="auto"/>
                <w:kern w:val="0"/>
                <w:szCs w:val="21"/>
                <w:highlight w:val="none"/>
                <w:lang w:bidi="ar"/>
              </w:rPr>
              <w:t>投标报价得分＝（评标基准价/投标报价）×价格分值。</w:t>
            </w:r>
          </w:p>
          <w:p w14:paraId="0E5809D2">
            <w:pPr>
              <w:widowControl/>
              <w:jc w:val="left"/>
              <w:rPr>
                <w:rFonts w:hint="eastAsia" w:ascii="宋体" w:hAnsi="宋体" w:cs="宋体"/>
                <w:color w:val="auto"/>
                <w:kern w:val="0"/>
                <w:szCs w:val="21"/>
                <w:highlight w:val="none"/>
              </w:rPr>
            </w:pPr>
            <w:r>
              <w:rPr>
                <w:rFonts w:hint="eastAsia" w:ascii="宋体" w:hAnsi="宋体"/>
                <w:color w:val="auto"/>
                <w:kern w:val="0"/>
                <w:szCs w:val="21"/>
                <w:highlight w:val="none"/>
                <w:lang w:bidi="ar"/>
              </w:rPr>
              <w:t>注：合格的中标候选人的最低投标报价为评标基准价；如合格的中标候选人的最低投标报价存在低于成本警戒价的，应以成本警戒价为评标基准价，且低于成本警戒价的合格的中标候选人不需要参与价格因素评审，按满分计；</w:t>
            </w:r>
          </w:p>
        </w:tc>
      </w:tr>
      <w:tr w14:paraId="0D9A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4B47A57">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71" w:type="dxa"/>
            <w:tcBorders>
              <w:top w:val="single" w:color="auto" w:sz="4" w:space="0"/>
              <w:left w:val="single" w:color="auto" w:sz="4" w:space="0"/>
              <w:bottom w:val="single" w:color="auto" w:sz="4" w:space="0"/>
              <w:right w:val="single" w:color="auto" w:sz="4" w:space="0"/>
            </w:tcBorders>
            <w:vAlign w:val="center"/>
          </w:tcPr>
          <w:p w14:paraId="1AC60E2F">
            <w:pPr>
              <w:jc w:val="center"/>
              <w:rPr>
                <w:rFonts w:hint="eastAsia" w:ascii="宋体" w:hAnsi="宋体" w:cs="宋体"/>
                <w:color w:val="auto"/>
                <w:szCs w:val="21"/>
                <w:highlight w:val="none"/>
              </w:rPr>
            </w:pPr>
            <w:r>
              <w:rPr>
                <w:rFonts w:hint="eastAsia" w:ascii="宋体" w:hAnsi="宋体" w:cs="宋体"/>
                <w:color w:val="auto"/>
                <w:szCs w:val="21"/>
                <w:highlight w:val="none"/>
              </w:rPr>
              <w:t>答辩因素</w:t>
            </w:r>
          </w:p>
          <w:p w14:paraId="3B1AEBDA">
            <w:pPr>
              <w:jc w:val="center"/>
              <w:rPr>
                <w:rFonts w:hint="eastAsia" w:ascii="宋体" w:hAnsi="宋体" w:cs="宋体"/>
                <w:color w:val="auto"/>
                <w:szCs w:val="21"/>
                <w:highlight w:val="none"/>
              </w:rPr>
            </w:pPr>
            <w:r>
              <w:rPr>
                <w:rFonts w:hint="eastAsia" w:ascii="宋体" w:hAnsi="宋体" w:cs="宋体"/>
                <w:color w:val="auto"/>
                <w:szCs w:val="21"/>
                <w:highlight w:val="none"/>
              </w:rPr>
              <w:t>（30分）</w:t>
            </w:r>
          </w:p>
        </w:tc>
        <w:tc>
          <w:tcPr>
            <w:tcW w:w="7577" w:type="dxa"/>
            <w:tcBorders>
              <w:top w:val="single" w:color="auto" w:sz="4" w:space="0"/>
              <w:left w:val="single" w:color="auto" w:sz="4" w:space="0"/>
              <w:bottom w:val="single" w:color="auto" w:sz="4" w:space="0"/>
              <w:right w:val="single" w:color="auto" w:sz="4" w:space="0"/>
            </w:tcBorders>
            <w:vAlign w:val="center"/>
          </w:tcPr>
          <w:p w14:paraId="12D6EEAD">
            <w:pPr>
              <w:jc w:val="left"/>
              <w:rPr>
                <w:rFonts w:hint="eastAsia" w:ascii="宋体" w:hAnsi="宋体" w:cs="宋体"/>
                <w:color w:val="auto"/>
                <w:szCs w:val="21"/>
                <w:highlight w:val="none"/>
              </w:rPr>
            </w:pPr>
            <w:r>
              <w:rPr>
                <w:rFonts w:hint="eastAsia" w:ascii="宋体" w:hAnsi="宋体" w:cs="宋体"/>
                <w:color w:val="auto"/>
                <w:szCs w:val="21"/>
                <w:highlight w:val="none"/>
              </w:rPr>
              <w:t>投标人派本项目拟投入项目负责人、技术负责人组成1-2人答辩小组进行现场答辩：</w:t>
            </w:r>
          </w:p>
          <w:p w14:paraId="5A8F2C93">
            <w:pPr>
              <w:jc w:val="left"/>
              <w:rPr>
                <w:rFonts w:hint="eastAsia" w:ascii="宋体" w:hAnsi="宋体" w:cs="宋体"/>
                <w:color w:val="auto"/>
                <w:szCs w:val="21"/>
                <w:highlight w:val="none"/>
              </w:rPr>
            </w:pPr>
            <w:r>
              <w:rPr>
                <w:rFonts w:hint="eastAsia" w:ascii="宋体" w:hAnsi="宋体" w:cs="宋体"/>
                <w:color w:val="auto"/>
                <w:szCs w:val="21"/>
                <w:highlight w:val="none"/>
              </w:rPr>
              <w:t>1.答辩小组对本项目履约能力和履约水平的介绍，介绍时间不超过10分钟；介绍内容包括但不限于：项目管理人员配备、施工安全、工期及质量管理，对本项目施工重点和难点的分析和应对措施，结合本项目的特点及投标人的资源情况，提出实施本项目的优势，合理、可行。</w:t>
            </w:r>
          </w:p>
          <w:p w14:paraId="41ADF96A">
            <w:pPr>
              <w:jc w:val="left"/>
              <w:rPr>
                <w:rFonts w:hint="eastAsia" w:ascii="宋体" w:hAnsi="宋体" w:cs="宋体"/>
                <w:color w:val="auto"/>
                <w:szCs w:val="21"/>
                <w:highlight w:val="none"/>
              </w:rPr>
            </w:pPr>
            <w:r>
              <w:rPr>
                <w:rFonts w:hint="eastAsia" w:ascii="宋体" w:hAnsi="宋体" w:cs="宋体"/>
                <w:color w:val="auto"/>
                <w:szCs w:val="21"/>
                <w:highlight w:val="none"/>
              </w:rPr>
              <w:t>表现优秀得[15,10)分，良好得[10,5)分，一般得[5,0)分，差得0分。本小项最高得15分。</w:t>
            </w:r>
          </w:p>
          <w:p w14:paraId="4A463492">
            <w:pPr>
              <w:jc w:val="left"/>
              <w:rPr>
                <w:rFonts w:hint="eastAsia" w:ascii="宋体" w:hAnsi="宋体" w:cs="宋体"/>
                <w:color w:val="auto"/>
                <w:szCs w:val="21"/>
                <w:highlight w:val="none"/>
              </w:rPr>
            </w:pPr>
            <w:r>
              <w:rPr>
                <w:rFonts w:hint="eastAsia" w:ascii="宋体" w:hAnsi="宋体" w:cs="宋体"/>
                <w:color w:val="auto"/>
                <w:szCs w:val="21"/>
                <w:highlight w:val="none"/>
              </w:rPr>
              <w:t>2.答辩小组就本项目接受评标委员会提问并进行问答：表现优秀得[15,10)分，良好得[10,5)分，一般得[5,0)分，差得0分。本小项最高得15分。</w:t>
            </w:r>
          </w:p>
          <w:p w14:paraId="025B8F72">
            <w:pPr>
              <w:widowControl/>
              <w:jc w:val="left"/>
              <w:rPr>
                <w:rFonts w:hint="eastAsia" w:ascii="宋体" w:hAnsi="宋体"/>
                <w:color w:val="auto"/>
                <w:kern w:val="0"/>
                <w:szCs w:val="21"/>
                <w:highlight w:val="none"/>
                <w:lang w:bidi="ar"/>
              </w:rPr>
            </w:pPr>
            <w:r>
              <w:rPr>
                <w:rFonts w:hint="eastAsia" w:ascii="宋体" w:hAnsi="宋体" w:cs="宋体"/>
                <w:color w:val="auto"/>
                <w:szCs w:val="21"/>
                <w:highlight w:val="none"/>
              </w:rPr>
              <w:t>3.投标人未按要求组成答辩小组参加现场答辩或未参加现场答辩，以上两项均为0分。</w:t>
            </w:r>
          </w:p>
        </w:tc>
      </w:tr>
    </w:tbl>
    <w:p w14:paraId="06463310">
      <w:pPr>
        <w:spacing w:line="360" w:lineRule="auto"/>
        <w:jc w:val="right"/>
        <w:rPr>
          <w:rFonts w:hint="eastAsia" w:ascii="宋体" w:hAnsi="宋体" w:cs="宋体"/>
          <w:color w:val="auto"/>
          <w:szCs w:val="21"/>
          <w:highlight w:val="none"/>
        </w:rPr>
      </w:pPr>
    </w:p>
    <w:p w14:paraId="4E21AB3A">
      <w:pPr>
        <w:spacing w:line="360" w:lineRule="auto"/>
        <w:jc w:val="right"/>
        <w:rPr>
          <w:rFonts w:hint="eastAsia" w:ascii="宋体" w:hAnsi="宋体" w:cs="宋体"/>
          <w:color w:val="auto"/>
          <w:szCs w:val="21"/>
          <w:highlight w:val="none"/>
        </w:rPr>
      </w:pPr>
    </w:p>
    <w:p w14:paraId="7CB2B5AB">
      <w:pPr>
        <w:spacing w:line="360" w:lineRule="auto"/>
        <w:rPr>
          <w:rFonts w:hint="eastAsia" w:ascii="宋体" w:hAnsi="宋体" w:cs="宋体"/>
          <w:color w:val="auto"/>
          <w:szCs w:val="21"/>
          <w:highlight w:val="none"/>
        </w:rPr>
      </w:pPr>
    </w:p>
    <w:bookmarkEnd w:id="205"/>
    <w:bookmarkEnd w:id="206"/>
    <w:bookmarkEnd w:id="207"/>
    <w:bookmarkEnd w:id="208"/>
    <w:bookmarkEnd w:id="209"/>
    <w:bookmarkEnd w:id="210"/>
    <w:bookmarkEnd w:id="211"/>
    <w:bookmarkEnd w:id="212"/>
    <w:p w14:paraId="6EF06D02">
      <w:pPr>
        <w:pStyle w:val="31"/>
        <w:spacing w:line="360" w:lineRule="auto"/>
        <w:rPr>
          <w:rFonts w:hint="eastAsia" w:ascii="宋体" w:hAnsi="宋体" w:eastAsia="宋体" w:cs="宋体"/>
          <w:color w:val="auto"/>
          <w:highlight w:val="none"/>
        </w:rPr>
      </w:pPr>
    </w:p>
    <w:p w14:paraId="1892EABA">
      <w:pPr>
        <w:jc w:val="left"/>
        <w:rPr>
          <w:rFonts w:hint="eastAsia" w:ascii="宋体" w:hAnsi="宋体" w:cs="宋体"/>
          <w:b/>
          <w:bCs/>
          <w:color w:val="auto"/>
          <w:kern w:val="44"/>
          <w:sz w:val="28"/>
          <w:szCs w:val="28"/>
          <w:highlight w:val="none"/>
        </w:rPr>
      </w:pPr>
      <w:bookmarkStart w:id="215" w:name="_Toc1052"/>
      <w:bookmarkStart w:id="216" w:name="_Toc12101"/>
      <w:bookmarkStart w:id="217" w:name="_Toc6826"/>
      <w:bookmarkStart w:id="218" w:name="_Toc32093"/>
      <w:bookmarkStart w:id="219" w:name="_Toc17155"/>
      <w:bookmarkStart w:id="220" w:name="_Toc6940"/>
      <w:bookmarkStart w:id="221" w:name="_Toc1339"/>
      <w:bookmarkStart w:id="222" w:name="_Toc30231"/>
      <w:bookmarkStart w:id="223" w:name="_Toc22028"/>
      <w:bookmarkStart w:id="224" w:name="_Toc4517"/>
      <w:r>
        <w:rPr>
          <w:rFonts w:hint="eastAsia" w:ascii="宋体" w:hAnsi="宋体" w:cs="宋体"/>
          <w:b/>
          <w:bCs/>
          <w:color w:val="auto"/>
          <w:kern w:val="44"/>
          <w:sz w:val="28"/>
          <w:szCs w:val="28"/>
          <w:highlight w:val="none"/>
        </w:rPr>
        <w:br w:type="page"/>
      </w:r>
    </w:p>
    <w:p w14:paraId="5743A4EE">
      <w:pPr>
        <w:spacing w:line="360" w:lineRule="auto"/>
        <w:jc w:val="center"/>
        <w:outlineLvl w:val="0"/>
        <w:rPr>
          <w:rFonts w:hint="eastAsia" w:ascii="宋体" w:hAnsi="宋体" w:cs="宋体"/>
          <w:b/>
          <w:bCs/>
          <w:color w:val="auto"/>
          <w:kern w:val="44"/>
          <w:sz w:val="28"/>
          <w:szCs w:val="28"/>
          <w:highlight w:val="none"/>
        </w:rPr>
      </w:pPr>
      <w:bookmarkStart w:id="225" w:name="_Toc26724"/>
      <w:r>
        <w:rPr>
          <w:rFonts w:hint="eastAsia" w:ascii="宋体" w:hAnsi="宋体" w:cs="宋体"/>
          <w:b/>
          <w:bCs/>
          <w:color w:val="auto"/>
          <w:kern w:val="44"/>
          <w:sz w:val="28"/>
          <w:szCs w:val="28"/>
          <w:highlight w:val="none"/>
        </w:rPr>
        <w:t>第三章 合同条款</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591B239D">
      <w:pPr>
        <w:pStyle w:val="32"/>
        <w:spacing w:line="360" w:lineRule="auto"/>
        <w:ind w:firstLine="480" w:firstLineChars="200"/>
        <w:jc w:val="center"/>
        <w:rPr>
          <w:rFonts w:hint="eastAsia" w:ascii="宋体" w:hAnsi="宋体"/>
          <w:bCs/>
          <w:color w:val="auto"/>
          <w:sz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u w:val="single"/>
        </w:rPr>
        <w:t>另册</w:t>
      </w:r>
      <w:r>
        <w:rPr>
          <w:rFonts w:hint="eastAsia" w:ascii="宋体" w:hAnsi="宋体"/>
          <w:color w:val="auto"/>
          <w:sz w:val="24"/>
          <w:szCs w:val="24"/>
          <w:highlight w:val="none"/>
        </w:rPr>
        <w:t>）</w:t>
      </w:r>
    </w:p>
    <w:p w14:paraId="0132201F">
      <w:pPr>
        <w:snapToGrid w:val="0"/>
        <w:spacing w:line="360" w:lineRule="auto"/>
        <w:jc w:val="center"/>
        <w:rPr>
          <w:rFonts w:hint="eastAsia" w:ascii="宋体" w:hAnsi="宋体" w:cs="宋体"/>
          <w:color w:val="auto"/>
          <w:sz w:val="24"/>
          <w:highlight w:val="none"/>
        </w:rPr>
      </w:pPr>
    </w:p>
    <w:p w14:paraId="7B06EFD1">
      <w:pPr>
        <w:pStyle w:val="3"/>
        <w:jc w:val="center"/>
        <w:rPr>
          <w:rFonts w:hint="eastAsia"/>
          <w:color w:val="auto"/>
          <w:highlight w:val="none"/>
        </w:rPr>
      </w:pPr>
      <w:bookmarkStart w:id="226" w:name="_Toc15094"/>
      <w:bookmarkStart w:id="227" w:name="_Toc8343"/>
      <w:bookmarkStart w:id="228" w:name="_Toc235"/>
      <w:bookmarkStart w:id="229" w:name="_Toc11946"/>
      <w:bookmarkStart w:id="230" w:name="_Toc25572"/>
      <w:bookmarkStart w:id="231" w:name="_Toc32333"/>
      <w:bookmarkStart w:id="232" w:name="_Toc7622"/>
      <w:bookmarkStart w:id="233" w:name="_Toc2272567"/>
      <w:bookmarkStart w:id="234" w:name="_Toc9383"/>
      <w:bookmarkStart w:id="235" w:name="_Toc274"/>
      <w:bookmarkStart w:id="236" w:name="_Toc8323"/>
    </w:p>
    <w:p w14:paraId="542B2BB9">
      <w:pPr>
        <w:rPr>
          <w:rFonts w:hint="eastAsia" w:ascii="宋体" w:hAnsi="宋体" w:cs="宋体"/>
          <w:color w:val="auto"/>
          <w:highlight w:val="none"/>
        </w:rPr>
      </w:pPr>
    </w:p>
    <w:p w14:paraId="173934E5">
      <w:pPr>
        <w:rPr>
          <w:rFonts w:hint="eastAsia" w:ascii="宋体" w:hAnsi="宋体" w:cs="宋体"/>
          <w:color w:val="auto"/>
          <w:highlight w:val="none"/>
        </w:rPr>
      </w:pPr>
    </w:p>
    <w:p w14:paraId="08AF031F">
      <w:pPr>
        <w:rPr>
          <w:rFonts w:hint="eastAsia" w:ascii="宋体" w:hAnsi="宋体" w:cs="宋体"/>
          <w:color w:val="auto"/>
          <w:highlight w:val="none"/>
        </w:rPr>
      </w:pPr>
    </w:p>
    <w:p w14:paraId="3D176C24">
      <w:pPr>
        <w:rPr>
          <w:rFonts w:hint="eastAsia" w:ascii="宋体" w:hAnsi="宋体" w:cs="宋体"/>
          <w:color w:val="auto"/>
          <w:highlight w:val="none"/>
        </w:rPr>
      </w:pPr>
    </w:p>
    <w:p w14:paraId="469C7D8A">
      <w:pPr>
        <w:rPr>
          <w:rFonts w:hint="eastAsia" w:ascii="宋体" w:hAnsi="宋体" w:cs="宋体"/>
          <w:color w:val="auto"/>
          <w:highlight w:val="none"/>
        </w:rPr>
      </w:pPr>
    </w:p>
    <w:p w14:paraId="7C88F683">
      <w:pPr>
        <w:rPr>
          <w:rFonts w:hint="eastAsia" w:ascii="宋体" w:hAnsi="宋体" w:cs="宋体"/>
          <w:color w:val="auto"/>
          <w:highlight w:val="none"/>
        </w:rPr>
      </w:pPr>
    </w:p>
    <w:p w14:paraId="2D66088F">
      <w:pPr>
        <w:rPr>
          <w:rFonts w:hint="eastAsia" w:ascii="宋体" w:hAnsi="宋体" w:cs="宋体"/>
          <w:color w:val="auto"/>
          <w:highlight w:val="none"/>
        </w:rPr>
      </w:pPr>
    </w:p>
    <w:p w14:paraId="3E63314A">
      <w:pPr>
        <w:rPr>
          <w:rFonts w:hint="eastAsia" w:ascii="宋体" w:hAnsi="宋体" w:cs="宋体"/>
          <w:color w:val="auto"/>
          <w:highlight w:val="none"/>
        </w:rPr>
      </w:pPr>
    </w:p>
    <w:p w14:paraId="7E66A777">
      <w:pPr>
        <w:rPr>
          <w:rFonts w:hint="eastAsia" w:ascii="宋体" w:hAnsi="宋体" w:cs="宋体"/>
          <w:color w:val="auto"/>
          <w:highlight w:val="none"/>
        </w:rPr>
      </w:pPr>
    </w:p>
    <w:p w14:paraId="43337A4A">
      <w:pPr>
        <w:rPr>
          <w:rFonts w:hint="eastAsia" w:ascii="宋体" w:hAnsi="宋体" w:cs="宋体"/>
          <w:color w:val="auto"/>
          <w:highlight w:val="none"/>
        </w:rPr>
      </w:pPr>
    </w:p>
    <w:p w14:paraId="28E73EAD">
      <w:pPr>
        <w:rPr>
          <w:rFonts w:hint="eastAsia" w:ascii="宋体" w:hAnsi="宋体" w:cs="宋体"/>
          <w:color w:val="auto"/>
          <w:highlight w:val="none"/>
        </w:rPr>
      </w:pPr>
    </w:p>
    <w:p w14:paraId="4A5C4BDD">
      <w:pPr>
        <w:rPr>
          <w:rFonts w:hint="eastAsia" w:ascii="宋体" w:hAnsi="宋体" w:cs="宋体"/>
          <w:color w:val="auto"/>
          <w:highlight w:val="none"/>
        </w:rPr>
      </w:pPr>
    </w:p>
    <w:p w14:paraId="51D72F08">
      <w:pPr>
        <w:rPr>
          <w:rFonts w:hint="eastAsia" w:ascii="宋体" w:hAnsi="宋体" w:cs="宋体"/>
          <w:color w:val="auto"/>
          <w:highlight w:val="none"/>
        </w:rPr>
      </w:pPr>
    </w:p>
    <w:p w14:paraId="47342644">
      <w:pPr>
        <w:rPr>
          <w:rFonts w:hint="eastAsia" w:ascii="宋体" w:hAnsi="宋体" w:cs="宋体"/>
          <w:color w:val="auto"/>
          <w:highlight w:val="none"/>
        </w:rPr>
      </w:pPr>
    </w:p>
    <w:p w14:paraId="36ACC8CF">
      <w:pPr>
        <w:rPr>
          <w:rFonts w:hint="eastAsia" w:ascii="宋体" w:hAnsi="宋体" w:cs="宋体"/>
          <w:color w:val="auto"/>
          <w:highlight w:val="none"/>
        </w:rPr>
      </w:pPr>
    </w:p>
    <w:p w14:paraId="1DA07954">
      <w:pPr>
        <w:rPr>
          <w:rFonts w:hint="eastAsia" w:ascii="宋体" w:hAnsi="宋体" w:cs="宋体"/>
          <w:color w:val="auto"/>
          <w:highlight w:val="none"/>
        </w:rPr>
      </w:pPr>
    </w:p>
    <w:p w14:paraId="305B53F9">
      <w:pPr>
        <w:rPr>
          <w:rFonts w:hint="eastAsia" w:ascii="宋体" w:hAnsi="宋体" w:cs="宋体"/>
          <w:color w:val="auto"/>
          <w:highlight w:val="none"/>
        </w:rPr>
      </w:pPr>
    </w:p>
    <w:p w14:paraId="3AB143BC">
      <w:pPr>
        <w:rPr>
          <w:rFonts w:hint="eastAsia" w:ascii="宋体" w:hAnsi="宋体" w:cs="宋体"/>
          <w:color w:val="auto"/>
          <w:highlight w:val="none"/>
        </w:rPr>
      </w:pPr>
    </w:p>
    <w:p w14:paraId="3D8059B1">
      <w:pPr>
        <w:rPr>
          <w:rFonts w:hint="eastAsia" w:ascii="宋体" w:hAnsi="宋体" w:cs="宋体"/>
          <w:color w:val="auto"/>
          <w:highlight w:val="none"/>
        </w:rPr>
      </w:pPr>
    </w:p>
    <w:p w14:paraId="7FFD9F55">
      <w:pPr>
        <w:rPr>
          <w:rFonts w:hint="eastAsia" w:ascii="宋体" w:hAnsi="宋体" w:cs="宋体"/>
          <w:color w:val="auto"/>
          <w:highlight w:val="none"/>
        </w:rPr>
      </w:pPr>
    </w:p>
    <w:p w14:paraId="3FD67D62">
      <w:pPr>
        <w:rPr>
          <w:rFonts w:hint="eastAsia" w:ascii="宋体" w:hAnsi="宋体" w:cs="宋体"/>
          <w:color w:val="auto"/>
          <w:highlight w:val="none"/>
        </w:rPr>
      </w:pPr>
    </w:p>
    <w:p w14:paraId="2294FC09">
      <w:pPr>
        <w:rPr>
          <w:rFonts w:hint="eastAsia" w:ascii="宋体" w:hAnsi="宋体" w:cs="宋体"/>
          <w:color w:val="auto"/>
          <w:highlight w:val="none"/>
        </w:rPr>
      </w:pPr>
    </w:p>
    <w:p w14:paraId="48959A2B">
      <w:pPr>
        <w:rPr>
          <w:rFonts w:hint="eastAsia" w:ascii="宋体" w:hAnsi="宋体" w:cs="宋体"/>
          <w:color w:val="auto"/>
          <w:highlight w:val="none"/>
        </w:rPr>
      </w:pPr>
    </w:p>
    <w:p w14:paraId="2E48469A">
      <w:pPr>
        <w:rPr>
          <w:rFonts w:hint="eastAsia" w:ascii="宋体" w:hAnsi="宋体" w:cs="宋体"/>
          <w:color w:val="auto"/>
          <w:highlight w:val="none"/>
        </w:rPr>
      </w:pPr>
    </w:p>
    <w:p w14:paraId="25C959C3">
      <w:pPr>
        <w:rPr>
          <w:rFonts w:hint="eastAsia" w:ascii="宋体" w:hAnsi="宋体" w:cs="宋体"/>
          <w:color w:val="auto"/>
          <w:highlight w:val="none"/>
        </w:rPr>
      </w:pPr>
    </w:p>
    <w:p w14:paraId="3885632F">
      <w:pPr>
        <w:rPr>
          <w:rFonts w:hint="eastAsia" w:ascii="宋体" w:hAnsi="宋体" w:cs="宋体"/>
          <w:color w:val="auto"/>
          <w:highlight w:val="none"/>
        </w:rPr>
      </w:pPr>
    </w:p>
    <w:p w14:paraId="703AD7A4">
      <w:pPr>
        <w:rPr>
          <w:rFonts w:hint="eastAsia" w:ascii="宋体" w:hAnsi="宋体" w:cs="宋体"/>
          <w:color w:val="auto"/>
          <w:highlight w:val="none"/>
        </w:rPr>
      </w:pPr>
    </w:p>
    <w:p w14:paraId="1C6F990E">
      <w:pPr>
        <w:rPr>
          <w:rFonts w:hint="eastAsia" w:ascii="宋体" w:hAnsi="宋体" w:cs="宋体"/>
          <w:color w:val="auto"/>
          <w:highlight w:val="none"/>
        </w:rPr>
      </w:pPr>
    </w:p>
    <w:p w14:paraId="004F65E9">
      <w:pPr>
        <w:rPr>
          <w:rFonts w:hint="eastAsia" w:ascii="宋体" w:hAnsi="宋体" w:cs="宋体"/>
          <w:color w:val="auto"/>
          <w:highlight w:val="none"/>
        </w:rPr>
      </w:pPr>
    </w:p>
    <w:p w14:paraId="01055B7D">
      <w:pPr>
        <w:rPr>
          <w:rFonts w:hint="eastAsia" w:ascii="宋体" w:hAnsi="宋体" w:cs="宋体"/>
          <w:color w:val="auto"/>
          <w:highlight w:val="none"/>
        </w:rPr>
      </w:pPr>
    </w:p>
    <w:p w14:paraId="45937499">
      <w:pPr>
        <w:rPr>
          <w:rFonts w:hint="eastAsia" w:ascii="宋体" w:hAnsi="宋体" w:cs="宋体"/>
          <w:color w:val="auto"/>
          <w:highlight w:val="none"/>
        </w:rPr>
      </w:pPr>
    </w:p>
    <w:p w14:paraId="44ECDD8C">
      <w:pPr>
        <w:rPr>
          <w:rFonts w:hint="eastAsia" w:ascii="宋体" w:hAnsi="宋体" w:cs="宋体"/>
          <w:color w:val="auto"/>
          <w:highlight w:val="none"/>
        </w:rPr>
      </w:pPr>
    </w:p>
    <w:p w14:paraId="4DFC195A">
      <w:pPr>
        <w:rPr>
          <w:rFonts w:hint="eastAsia" w:ascii="宋体" w:hAnsi="宋体" w:cs="宋体"/>
          <w:color w:val="auto"/>
          <w:highlight w:val="none"/>
        </w:rPr>
      </w:pPr>
    </w:p>
    <w:p w14:paraId="5B657533">
      <w:pPr>
        <w:rPr>
          <w:rFonts w:hint="eastAsia" w:ascii="宋体" w:hAnsi="宋体" w:cs="宋体"/>
          <w:color w:val="auto"/>
          <w:highlight w:val="none"/>
        </w:rPr>
      </w:pPr>
    </w:p>
    <w:p w14:paraId="5E4E07C2">
      <w:pPr>
        <w:jc w:val="center"/>
        <w:rPr>
          <w:color w:val="auto"/>
          <w:highlight w:val="none"/>
        </w:rPr>
      </w:pPr>
      <w:bookmarkStart w:id="237" w:name="_Toc15926"/>
      <w:bookmarkStart w:id="238" w:name="_Toc17765"/>
      <w:r>
        <w:rPr>
          <w:rFonts w:hint="eastAsia"/>
          <w:color w:val="auto"/>
          <w:highlight w:val="none"/>
        </w:rPr>
        <w:br w:type="page"/>
      </w:r>
    </w:p>
    <w:p w14:paraId="728C7C55">
      <w:pPr>
        <w:pStyle w:val="3"/>
        <w:jc w:val="center"/>
        <w:rPr>
          <w:rFonts w:hint="eastAsia"/>
          <w:color w:val="auto"/>
          <w:highlight w:val="none"/>
        </w:rPr>
      </w:pPr>
      <w:r>
        <w:rPr>
          <w:rFonts w:hint="eastAsia"/>
          <w:color w:val="auto"/>
          <w:highlight w:val="none"/>
        </w:rPr>
        <w:t>第四章 投标文件格式</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128AC770">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7111BF38">
      <w:pPr>
        <w:pStyle w:val="12"/>
        <w:spacing w:line="360" w:lineRule="auto"/>
        <w:rPr>
          <w:rFonts w:hint="eastAsia" w:hAnsi="宋体" w:cs="宋体"/>
          <w:color w:val="auto"/>
          <w:highlight w:val="none"/>
        </w:rPr>
      </w:pPr>
    </w:p>
    <w:p w14:paraId="50E1B5A3">
      <w:pPr>
        <w:pStyle w:val="4"/>
        <w:spacing w:line="360" w:lineRule="auto"/>
        <w:rPr>
          <w:rFonts w:hint="eastAsia"/>
          <w:color w:val="auto"/>
          <w:highlight w:val="none"/>
        </w:rPr>
      </w:pPr>
      <w:bookmarkStart w:id="239" w:name="_Toc2068"/>
      <w:bookmarkStart w:id="240" w:name="_Toc6065"/>
      <w:bookmarkStart w:id="241" w:name="_Toc6049"/>
      <w:bookmarkStart w:id="242" w:name="_Toc16581"/>
      <w:bookmarkStart w:id="243" w:name="_Toc18513"/>
      <w:bookmarkStart w:id="244" w:name="_Toc29156"/>
      <w:bookmarkStart w:id="245" w:name="_Toc17726"/>
      <w:bookmarkStart w:id="246" w:name="_Toc14864"/>
      <w:bookmarkStart w:id="247" w:name="_Toc21775"/>
      <w:bookmarkStart w:id="248" w:name="_Toc4847"/>
      <w:bookmarkStart w:id="249" w:name="_Toc13546"/>
      <w:bookmarkStart w:id="250" w:name="_Toc21543"/>
      <w:bookmarkStart w:id="251" w:name="_Toc9396"/>
      <w:r>
        <w:rPr>
          <w:rFonts w:hint="eastAsia"/>
          <w:color w:val="auto"/>
          <w:highlight w:val="none"/>
        </w:rPr>
        <w:t>一、技术标投标文件格式</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7E021670">
      <w:pPr>
        <w:spacing w:line="360" w:lineRule="auto"/>
        <w:rPr>
          <w:rFonts w:hint="eastAsia" w:ascii="宋体" w:hAnsi="宋体" w:cs="宋体"/>
          <w:b/>
          <w:bCs/>
          <w:color w:val="auto"/>
          <w:sz w:val="27"/>
          <w:szCs w:val="27"/>
          <w:highlight w:val="none"/>
        </w:rPr>
      </w:pPr>
      <w:bookmarkStart w:id="252" w:name="_Toc60070621"/>
      <w:r>
        <w:rPr>
          <w:rFonts w:hint="eastAsia" w:ascii="宋体" w:hAnsi="宋体" w:cs="宋体"/>
          <w:b/>
          <w:bCs/>
          <w:color w:val="auto"/>
          <w:sz w:val="27"/>
          <w:szCs w:val="27"/>
          <w:highlight w:val="none"/>
        </w:rPr>
        <w:t>格式一：</w:t>
      </w:r>
      <w:bookmarkEnd w:id="252"/>
    </w:p>
    <w:p w14:paraId="3123B9EE">
      <w:pPr>
        <w:spacing w:line="360" w:lineRule="auto"/>
        <w:jc w:val="center"/>
        <w:rPr>
          <w:rFonts w:hint="eastAsia" w:ascii="宋体" w:hAnsi="宋体" w:cs="宋体"/>
          <w:b/>
          <w:color w:val="auto"/>
          <w:sz w:val="36"/>
          <w:szCs w:val="36"/>
          <w:highlight w:val="none"/>
        </w:rPr>
      </w:pPr>
      <w:bookmarkStart w:id="253" w:name="_Toc58838587"/>
      <w:r>
        <w:rPr>
          <w:rFonts w:hint="eastAsia" w:ascii="宋体" w:hAnsi="宋体" w:cs="宋体"/>
          <w:b/>
          <w:color w:val="auto"/>
          <w:sz w:val="36"/>
          <w:szCs w:val="36"/>
          <w:highlight w:val="none"/>
        </w:rPr>
        <w:t>广州建设工程施工招标投标书（技术标）</w:t>
      </w:r>
      <w:bookmarkEnd w:id="253"/>
    </w:p>
    <w:tbl>
      <w:tblPr>
        <w:tblStyle w:val="22"/>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7F28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vAlign w:val="center"/>
          </w:tcPr>
          <w:p w14:paraId="42A0A106">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vAlign w:val="center"/>
          </w:tcPr>
          <w:p w14:paraId="274E3A8C">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7225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vAlign w:val="center"/>
          </w:tcPr>
          <w:p w14:paraId="5DF68068">
            <w:pPr>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vAlign w:val="center"/>
          </w:tcPr>
          <w:p w14:paraId="54A8FE01">
            <w:pPr>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日历天</w:t>
            </w:r>
          </w:p>
        </w:tc>
      </w:tr>
      <w:tr w14:paraId="5AAD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vAlign w:val="center"/>
          </w:tcPr>
          <w:p w14:paraId="1ED17EB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vAlign w:val="center"/>
          </w:tcPr>
          <w:p w14:paraId="65F748B6">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06A0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vAlign w:val="center"/>
          </w:tcPr>
          <w:p w14:paraId="45C52722">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tcPr>
          <w:p w14:paraId="377B0CA2">
            <w:pPr>
              <w:autoSpaceDE w:val="0"/>
              <w:autoSpaceDN w:val="0"/>
              <w:adjustRightInd w:val="0"/>
              <w:spacing w:line="360" w:lineRule="auto"/>
              <w:rPr>
                <w:rFonts w:hint="eastAsia" w:ascii="宋体" w:hAnsi="宋体" w:cs="宋体"/>
                <w:bCs/>
                <w:color w:val="auto"/>
                <w:sz w:val="24"/>
                <w:szCs w:val="24"/>
                <w:highlight w:val="none"/>
                <w:lang w:val="zh-CN"/>
              </w:rPr>
            </w:pPr>
          </w:p>
        </w:tc>
      </w:tr>
      <w:tr w14:paraId="6BCC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14:paraId="53D13B82">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vAlign w:val="center"/>
          </w:tcPr>
          <w:p w14:paraId="1CE4D8C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3834" w:type="dxa"/>
            <w:tcBorders>
              <w:top w:val="single" w:color="auto" w:sz="4" w:space="0"/>
              <w:left w:val="single" w:color="auto" w:sz="4" w:space="0"/>
              <w:bottom w:val="single" w:color="auto" w:sz="4" w:space="0"/>
              <w:right w:val="single" w:color="auto" w:sz="4" w:space="0"/>
            </w:tcBorders>
          </w:tcPr>
          <w:p w14:paraId="125BEE28">
            <w:pPr>
              <w:autoSpaceDE w:val="0"/>
              <w:autoSpaceDN w:val="0"/>
              <w:adjustRightInd w:val="0"/>
              <w:spacing w:line="360" w:lineRule="auto"/>
              <w:rPr>
                <w:rFonts w:hint="eastAsia" w:ascii="宋体" w:hAnsi="宋体" w:cs="宋体"/>
                <w:bCs/>
                <w:color w:val="auto"/>
                <w:sz w:val="24"/>
                <w:szCs w:val="24"/>
                <w:highlight w:val="none"/>
                <w:lang w:val="zh-CN"/>
              </w:rPr>
            </w:pPr>
          </w:p>
        </w:tc>
      </w:tr>
      <w:tr w14:paraId="78AC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14:paraId="141BCFE6">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vAlign w:val="center"/>
          </w:tcPr>
          <w:p w14:paraId="0A03696C">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tcPr>
          <w:p w14:paraId="3FF016EC">
            <w:pPr>
              <w:autoSpaceDE w:val="0"/>
              <w:autoSpaceDN w:val="0"/>
              <w:adjustRightInd w:val="0"/>
              <w:spacing w:line="360" w:lineRule="auto"/>
              <w:rPr>
                <w:rFonts w:hint="eastAsia" w:ascii="宋体" w:hAnsi="宋体" w:cs="宋体"/>
                <w:bCs/>
                <w:color w:val="auto"/>
                <w:sz w:val="24"/>
                <w:szCs w:val="24"/>
                <w:highlight w:val="none"/>
                <w:lang w:val="zh-CN"/>
              </w:rPr>
            </w:pPr>
          </w:p>
        </w:tc>
      </w:tr>
    </w:tbl>
    <w:p w14:paraId="7F9BF093">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b/>
          <w:color w:val="auto"/>
          <w:highlight w:val="none"/>
        </w:rPr>
        <w:br w:type="page"/>
      </w:r>
    </w:p>
    <w:p w14:paraId="1C692B52">
      <w:pPr>
        <w:spacing w:line="360" w:lineRule="auto"/>
        <w:rPr>
          <w:rFonts w:hint="eastAsia" w:ascii="宋体" w:hAnsi="宋体" w:cs="宋体"/>
          <w:b/>
          <w:bCs/>
          <w:color w:val="auto"/>
          <w:sz w:val="27"/>
          <w:szCs w:val="27"/>
          <w:highlight w:val="none"/>
        </w:rPr>
      </w:pPr>
      <w:bookmarkStart w:id="254" w:name="_Toc60070622"/>
      <w:r>
        <w:rPr>
          <w:rFonts w:hint="eastAsia" w:ascii="宋体" w:hAnsi="宋体" w:cs="宋体"/>
          <w:b/>
          <w:bCs/>
          <w:color w:val="auto"/>
          <w:sz w:val="27"/>
          <w:szCs w:val="27"/>
          <w:highlight w:val="none"/>
        </w:rPr>
        <w:t>格式二：</w:t>
      </w:r>
      <w:bookmarkEnd w:id="254"/>
    </w:p>
    <w:p w14:paraId="09AF9C45">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投标函</w:t>
      </w:r>
    </w:p>
    <w:p w14:paraId="310AAE60">
      <w:pPr>
        <w:topLinePunct/>
        <w:adjustRightInd w:val="0"/>
        <w:snapToGrid w:val="0"/>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hint="eastAsia" w:ascii="宋体" w:hAnsi="宋体" w:cs="宋体"/>
          <w:snapToGrid w:val="0"/>
          <w:color w:val="auto"/>
          <w:spacing w:val="4"/>
          <w:kern w:val="0"/>
          <w:sz w:val="24"/>
          <w:szCs w:val="24"/>
          <w:highlight w:val="none"/>
          <w:u w:val="single"/>
        </w:rPr>
        <w:t xml:space="preserve"> （招标人名称） </w:t>
      </w:r>
    </w:p>
    <w:p w14:paraId="01D0724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项目的招标文件，并已详细审核了全部招标文件及有关附件。</w:t>
      </w:r>
    </w:p>
    <w:p w14:paraId="34BC68EE">
      <w:pPr>
        <w:snapToGrid w:val="0"/>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3B123E3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14:paraId="45E9A6F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给贵方造成的损失，贵方还有权要求我方进行赔偿。</w:t>
      </w:r>
    </w:p>
    <w:p w14:paraId="2FB7032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4.我方理解贵方将不受必须接受你们所收到的最低标价或其它任何投标文件的约束。</w:t>
      </w:r>
    </w:p>
    <w:p w14:paraId="1B01F76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日历天内完成并移交本工程，质量标准达到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要求。</w:t>
      </w:r>
    </w:p>
    <w:p w14:paraId="357D997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14:paraId="2E744829">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14:paraId="3E012B01">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4DDBA499">
      <w:pPr>
        <w:spacing w:line="360" w:lineRule="auto"/>
        <w:ind w:firstLine="480"/>
        <w:rPr>
          <w:rFonts w:hint="eastAsia" w:ascii="宋体" w:hAnsi="宋体" w:cs="宋体"/>
          <w:color w:val="auto"/>
          <w:sz w:val="24"/>
          <w:szCs w:val="24"/>
          <w:highlight w:val="none"/>
        </w:rPr>
      </w:pPr>
    </w:p>
    <w:p w14:paraId="7E46563F">
      <w:pPr>
        <w:spacing w:line="360" w:lineRule="auto"/>
        <w:ind w:firstLine="481"/>
        <w:rPr>
          <w:rFonts w:hint="eastAsia" w:ascii="宋体" w:hAnsi="宋体" w:cs="宋体"/>
          <w:snapToGrid w:val="0"/>
          <w:color w:val="auto"/>
          <w:spacing w:val="4"/>
          <w:kern w:val="0"/>
          <w:sz w:val="24"/>
          <w:szCs w:val="24"/>
          <w:highlight w:val="none"/>
        </w:rPr>
      </w:pPr>
    </w:p>
    <w:p w14:paraId="6B67B8D4">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人：（盖章）</w:t>
      </w:r>
    </w:p>
    <w:p w14:paraId="052A864B">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14:paraId="4B6EA6AA">
      <w:pPr>
        <w:spacing w:line="360" w:lineRule="auto"/>
        <w:ind w:firstLine="691" w:firstLineChars="279"/>
        <w:jc w:val="left"/>
        <w:rPr>
          <w:rFonts w:hint="eastAsia" w:ascii="宋体" w:hAnsi="宋体" w:cs="宋体"/>
          <w:color w:val="auto"/>
          <w:sz w:val="24"/>
          <w:szCs w:val="20"/>
          <w:highlight w:val="none"/>
        </w:rPr>
      </w:pPr>
      <w:r>
        <w:rPr>
          <w:rFonts w:hint="eastAsia" w:ascii="宋体" w:hAnsi="宋体" w:cs="宋体"/>
          <w:snapToGrid w:val="0"/>
          <w:color w:val="auto"/>
          <w:spacing w:val="4"/>
          <w:kern w:val="0"/>
          <w:sz w:val="24"/>
          <w:szCs w:val="24"/>
          <w:highlight w:val="none"/>
        </w:rPr>
        <w:t>日    期：    年    月    日</w:t>
      </w:r>
    </w:p>
    <w:p w14:paraId="6EFCA32B">
      <w:pPr>
        <w:autoSpaceDN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br w:type="page"/>
      </w:r>
    </w:p>
    <w:p w14:paraId="6D0C9989">
      <w:pPr>
        <w:spacing w:line="360" w:lineRule="auto"/>
        <w:rPr>
          <w:rFonts w:hint="eastAsia" w:ascii="宋体" w:hAnsi="宋体" w:cs="宋体"/>
          <w:b/>
          <w:bCs/>
          <w:snapToGrid w:val="0"/>
          <w:color w:val="auto"/>
          <w:spacing w:val="4"/>
          <w:sz w:val="27"/>
          <w:szCs w:val="27"/>
          <w:highlight w:val="none"/>
        </w:rPr>
      </w:pPr>
      <w:bookmarkStart w:id="255" w:name="_Toc60070623"/>
      <w:r>
        <w:rPr>
          <w:rFonts w:hint="eastAsia" w:ascii="宋体" w:hAnsi="宋体" w:cs="宋体"/>
          <w:b/>
          <w:bCs/>
          <w:color w:val="auto"/>
          <w:sz w:val="27"/>
          <w:szCs w:val="27"/>
          <w:highlight w:val="none"/>
        </w:rPr>
        <w:t>格式三：</w:t>
      </w:r>
      <w:bookmarkEnd w:id="255"/>
    </w:p>
    <w:p w14:paraId="176B12C9">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标函承诺书</w:t>
      </w:r>
    </w:p>
    <w:p w14:paraId="01BC5FCC">
      <w:pPr>
        <w:pStyle w:val="33"/>
        <w:spacing w:after="0" w:line="360" w:lineRule="auto"/>
        <w:ind w:left="339" w:leftChars="101" w:hanging="127" w:hangingChars="53"/>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致：广州穗泰交通产业发展有限公司</w:t>
      </w:r>
    </w:p>
    <w:p w14:paraId="32B3C01F">
      <w:pPr>
        <w:pStyle w:val="33"/>
        <w:spacing w:after="0" w:line="360" w:lineRule="auto"/>
        <w:ind w:left="357" w:leftChars="17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如果在本招标工程中我司中标，我司将积极响应贵单位提出的合同条件及招标文件的要求，并做出如下承诺：</w:t>
      </w:r>
    </w:p>
    <w:p w14:paraId="34DE22C8">
      <w:pPr>
        <w:pStyle w:val="33"/>
        <w:spacing w:after="0" w:line="360" w:lineRule="auto"/>
        <w:ind w:left="357" w:leftChars="17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1、若我公司中标，我公司承诺按时交纳履约保证金。</w:t>
      </w:r>
    </w:p>
    <w:p w14:paraId="48E92201">
      <w:pPr>
        <w:pStyle w:val="33"/>
        <w:spacing w:after="0" w:line="360" w:lineRule="auto"/>
        <w:ind w:left="357" w:leftChars="17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2、在本工程施工期间，拟投入的人力不少于下表中的人数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14:paraId="406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32CA67EA">
            <w:pPr>
              <w:pStyle w:val="34"/>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工种</w:t>
            </w:r>
          </w:p>
        </w:tc>
        <w:tc>
          <w:tcPr>
            <w:tcW w:w="3783" w:type="dxa"/>
            <w:tcBorders>
              <w:top w:val="single" w:color="auto" w:sz="4" w:space="0"/>
              <w:left w:val="single" w:color="auto" w:sz="4" w:space="0"/>
              <w:bottom w:val="single" w:color="auto" w:sz="4" w:space="0"/>
              <w:right w:val="single" w:color="auto" w:sz="4" w:space="0"/>
            </w:tcBorders>
            <w:vAlign w:val="center"/>
          </w:tcPr>
          <w:p w14:paraId="1A0156E6">
            <w:pPr>
              <w:spacing w:line="360" w:lineRule="auto"/>
              <w:jc w:val="center"/>
              <w:rPr>
                <w:rFonts w:hint="eastAsia" w:ascii="宋体" w:hAnsi="宋体" w:cs="宋体"/>
                <w:color w:val="auto"/>
                <w:kern w:val="0"/>
                <w:szCs w:val="21"/>
                <w:highlight w:val="none"/>
                <w:u w:val="single"/>
              </w:rPr>
            </w:pPr>
            <w:r>
              <w:rPr>
                <w:rFonts w:hint="eastAsia" w:ascii="宋体" w:hAnsi="宋体" w:cs="宋体"/>
                <w:color w:val="auto"/>
                <w:szCs w:val="21"/>
                <w:highlight w:val="none"/>
                <w:u w:val="single"/>
              </w:rPr>
              <w:t>施工低峰期数量</w:t>
            </w:r>
          </w:p>
        </w:tc>
      </w:tr>
      <w:tr w14:paraId="4161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0F02F3BA">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7F4CD3AC">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1C2C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53B973AA">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0C971C79">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50B9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6122BB45">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0C771DA9">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2592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7BC2794F">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6EB4B50C">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679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7ECCC768">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110AD4EC">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03AC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2D3A6614">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346AE3A9">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3690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0DE0E91B">
            <w:pPr>
              <w:spacing w:line="360" w:lineRule="auto"/>
              <w:ind w:left="357" w:leftChars="170"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085B6DCE">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07B5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5305B74E">
            <w:pPr>
              <w:spacing w:line="360" w:lineRule="auto"/>
              <w:ind w:left="357" w:leftChars="170" w:firstLine="420" w:firstLineChars="200"/>
              <w:jc w:val="center"/>
              <w:rPr>
                <w:rFonts w:hint="eastAsia" w:ascii="宋体" w:hAnsi="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1D5602C8">
            <w:pPr>
              <w:spacing w:line="360" w:lineRule="auto"/>
              <w:ind w:left="357" w:leftChars="170" w:firstLine="420" w:firstLineChars="200"/>
              <w:jc w:val="center"/>
              <w:rPr>
                <w:rFonts w:hint="eastAsia" w:ascii="宋体" w:hAnsi="宋体" w:cs="宋体"/>
                <w:color w:val="auto"/>
                <w:kern w:val="0"/>
                <w:szCs w:val="21"/>
                <w:highlight w:val="none"/>
                <w:u w:val="single"/>
              </w:rPr>
            </w:pPr>
          </w:p>
        </w:tc>
      </w:tr>
      <w:tr w14:paraId="4FA8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54F699B4">
            <w:pPr>
              <w:spacing w:line="360" w:lineRule="auto"/>
              <w:ind w:left="357" w:leftChars="170" w:firstLine="420" w:firstLineChars="200"/>
              <w:jc w:val="center"/>
              <w:rPr>
                <w:rFonts w:hint="eastAsia" w:ascii="宋体" w:hAnsi="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14:paraId="137376FE">
            <w:pPr>
              <w:spacing w:line="360" w:lineRule="auto"/>
              <w:ind w:left="357" w:leftChars="170" w:firstLine="420" w:firstLineChars="200"/>
              <w:jc w:val="center"/>
              <w:rPr>
                <w:rFonts w:hint="eastAsia" w:ascii="宋体" w:hAnsi="宋体" w:cs="宋体"/>
                <w:color w:val="auto"/>
                <w:kern w:val="0"/>
                <w:szCs w:val="21"/>
                <w:highlight w:val="none"/>
                <w:u w:val="single"/>
              </w:rPr>
            </w:pPr>
          </w:p>
        </w:tc>
      </w:tr>
    </w:tbl>
    <w:p w14:paraId="16996EA9">
      <w:pPr>
        <w:spacing w:line="360" w:lineRule="auto"/>
        <w:ind w:left="357" w:leftChars="17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14:paraId="173714B3">
      <w:pPr>
        <w:spacing w:line="360" w:lineRule="auto"/>
        <w:ind w:left="357" w:leftChars="17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14:paraId="3721DF8F">
      <w:pPr>
        <w:spacing w:line="360" w:lineRule="auto"/>
        <w:ind w:left="357" w:leftChars="17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5、拟投入到本工程的主要技术人员、经济和管理人员如表：</w:t>
      </w:r>
      <w:r>
        <w:rPr>
          <w:rFonts w:hint="eastAsia" w:ascii="宋体" w:hAnsi="宋体" w:cs="宋体"/>
          <w:color w:val="auto"/>
          <w:sz w:val="24"/>
          <w:szCs w:val="24"/>
          <w:highlight w:val="none"/>
          <w:u w:val="single"/>
        </w:rPr>
        <w:t>详见《施工项目管理团队人员信息表》中标后，拟投入到本工程安全人员人数不得低于住建部相关文件的最低要求。</w:t>
      </w:r>
    </w:p>
    <w:p w14:paraId="298A4432">
      <w:pPr>
        <w:pStyle w:val="33"/>
        <w:spacing w:after="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14:paraId="38670470">
      <w:pPr>
        <w:pStyle w:val="33"/>
        <w:spacing w:after="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7、本工程施工过程中，我司将严格按照国家、省、市有关施工及验收规范、标准进行施工，确保本工程质量达到</w:t>
      </w:r>
      <w:r>
        <w:rPr>
          <w:rFonts w:hint="eastAsia" w:ascii="宋体" w:hAnsi="宋体" w:eastAsia="宋体" w:cs="宋体"/>
          <w:b/>
          <w:color w:val="auto"/>
          <w:sz w:val="24"/>
          <w:szCs w:val="24"/>
          <w:highlight w:val="none"/>
          <w:u w:val="single"/>
        </w:rPr>
        <w:t xml:space="preserve">     等级</w:t>
      </w:r>
      <w:r>
        <w:rPr>
          <w:rFonts w:hint="eastAsia" w:ascii="宋体" w:hAnsi="宋体" w:eastAsia="宋体" w:cs="宋体"/>
          <w:color w:val="auto"/>
          <w:sz w:val="24"/>
          <w:szCs w:val="24"/>
          <w:highlight w:val="none"/>
          <w:u w:val="single"/>
        </w:rPr>
        <w:t>。</w:t>
      </w:r>
    </w:p>
    <w:p w14:paraId="63220118">
      <w:pPr>
        <w:pStyle w:val="33"/>
        <w:spacing w:after="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8、在确保工程质量的前提下，我司严格控制工程工期，确保工程在</w:t>
      </w:r>
      <w:r>
        <w:rPr>
          <w:rFonts w:hint="eastAsia" w:ascii="宋体" w:hAnsi="宋体" w:eastAsia="宋体" w:cs="宋体"/>
          <w:b/>
          <w:color w:val="auto"/>
          <w:sz w:val="24"/>
          <w:szCs w:val="24"/>
          <w:highlight w:val="none"/>
          <w:u w:val="single"/>
        </w:rPr>
        <w:t xml:space="preserve">    日历天内完成</w:t>
      </w:r>
      <w:r>
        <w:rPr>
          <w:rFonts w:hint="eastAsia" w:ascii="宋体" w:hAnsi="宋体" w:eastAsia="宋体" w:cs="宋体"/>
          <w:color w:val="auto"/>
          <w:sz w:val="24"/>
          <w:szCs w:val="24"/>
          <w:highlight w:val="none"/>
          <w:u w:val="single"/>
        </w:rPr>
        <w:t>。</w:t>
      </w:r>
    </w:p>
    <w:p w14:paraId="2A90EFB4">
      <w:pPr>
        <w:pStyle w:val="33"/>
        <w:spacing w:after="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15489B25">
      <w:pPr>
        <w:pStyle w:val="33"/>
        <w:spacing w:after="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10、按照发包人、监理工程师的要求及时为各专业工程（电信、电力管线、电力走廊、煤气、道路绿化、路灯、交通设施等）提供工作面，并为专业工程穿插施工所需各项配合工作给予方便。</w:t>
      </w:r>
    </w:p>
    <w:p w14:paraId="1D748A40">
      <w:pPr>
        <w:spacing w:line="360" w:lineRule="auto"/>
        <w:ind w:left="420" w:leftChars="200"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14:paraId="60F9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vAlign w:val="center"/>
          </w:tcPr>
          <w:p w14:paraId="1AE86862">
            <w:pPr>
              <w:spacing w:line="360" w:lineRule="auto"/>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必须分包的专业工程内容</w:t>
            </w:r>
          </w:p>
        </w:tc>
      </w:tr>
      <w:tr w14:paraId="7FA3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3693F41">
            <w:pPr>
              <w:spacing w:line="360" w:lineRule="auto"/>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vAlign w:val="center"/>
          </w:tcPr>
          <w:p w14:paraId="07AC7F7A">
            <w:pPr>
              <w:spacing w:line="360" w:lineRule="auto"/>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工程内容</w:t>
            </w:r>
          </w:p>
        </w:tc>
      </w:tr>
      <w:tr w14:paraId="6E01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FA20CA1">
            <w:pPr>
              <w:spacing w:line="360" w:lineRule="auto"/>
              <w:ind w:left="420" w:leftChars="200" w:firstLine="480" w:firstLineChars="200"/>
              <w:rPr>
                <w:rFonts w:hint="eastAsia" w:ascii="宋体" w:hAnsi="宋体" w:cs="宋体"/>
                <w:color w:val="auto"/>
                <w:sz w:val="24"/>
                <w:szCs w:val="24"/>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14:paraId="76CB3D73">
            <w:pPr>
              <w:spacing w:line="360" w:lineRule="auto"/>
              <w:ind w:left="420" w:leftChars="200" w:firstLine="480" w:firstLineChars="200"/>
              <w:rPr>
                <w:rFonts w:hint="eastAsia" w:ascii="宋体" w:hAnsi="宋体" w:cs="宋体"/>
                <w:color w:val="auto"/>
                <w:sz w:val="24"/>
                <w:szCs w:val="24"/>
                <w:highlight w:val="none"/>
                <w:u w:val="single"/>
              </w:rPr>
            </w:pPr>
          </w:p>
        </w:tc>
      </w:tr>
      <w:tr w14:paraId="0489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43920547">
            <w:pPr>
              <w:spacing w:line="360" w:lineRule="auto"/>
              <w:ind w:left="420" w:leftChars="200" w:firstLine="480" w:firstLineChars="200"/>
              <w:rPr>
                <w:rFonts w:hint="eastAsia" w:ascii="宋体" w:hAnsi="宋体" w:cs="宋体"/>
                <w:color w:val="auto"/>
                <w:sz w:val="24"/>
                <w:szCs w:val="24"/>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14:paraId="53E147BD">
            <w:pPr>
              <w:spacing w:line="360" w:lineRule="auto"/>
              <w:ind w:left="420" w:leftChars="200" w:firstLine="480" w:firstLineChars="200"/>
              <w:rPr>
                <w:rFonts w:hint="eastAsia" w:ascii="宋体" w:hAnsi="宋体" w:cs="宋体"/>
                <w:color w:val="auto"/>
                <w:sz w:val="24"/>
                <w:szCs w:val="24"/>
                <w:highlight w:val="none"/>
                <w:u w:val="single"/>
              </w:rPr>
            </w:pPr>
          </w:p>
        </w:tc>
      </w:tr>
      <w:tr w14:paraId="355B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C58D621">
            <w:pPr>
              <w:spacing w:line="360" w:lineRule="auto"/>
              <w:ind w:left="420" w:leftChars="200" w:firstLine="480" w:firstLineChars="200"/>
              <w:rPr>
                <w:rFonts w:hint="eastAsia" w:ascii="宋体" w:hAnsi="宋体" w:cs="宋体"/>
                <w:color w:val="auto"/>
                <w:sz w:val="24"/>
                <w:szCs w:val="24"/>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14:paraId="371B821C">
            <w:pPr>
              <w:spacing w:line="360" w:lineRule="auto"/>
              <w:ind w:left="420" w:leftChars="200" w:firstLine="480" w:firstLineChars="200"/>
              <w:rPr>
                <w:rFonts w:hint="eastAsia" w:ascii="宋体" w:hAnsi="宋体" w:cs="宋体"/>
                <w:color w:val="auto"/>
                <w:sz w:val="24"/>
                <w:szCs w:val="24"/>
                <w:highlight w:val="none"/>
                <w:u w:val="single"/>
              </w:rPr>
            </w:pPr>
          </w:p>
        </w:tc>
      </w:tr>
    </w:tbl>
    <w:p w14:paraId="0A0CAD98">
      <w:pPr>
        <w:tabs>
          <w:tab w:val="left" w:pos="645"/>
          <w:tab w:val="left" w:pos="930"/>
        </w:tabs>
        <w:spacing w:line="360" w:lineRule="auto"/>
        <w:ind w:left="420" w:leftChars="200" w:firstLine="480" w:firstLineChars="200"/>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u w:val="single"/>
        </w:rPr>
        <w:t>12、我司保证在中标后，严格按照 《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236C47DC">
      <w:pPr>
        <w:tabs>
          <w:tab w:val="left" w:pos="315"/>
        </w:tabs>
        <w:spacing w:line="360" w:lineRule="auto"/>
        <w:ind w:left="420" w:leftChars="200"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13、我司保证在中标后，根据工程特点，编制本工程详细的施工组织设计和施工方案，并报监理和发包人审核批准，并严格按审批的意见和要求组织施工。</w:t>
      </w:r>
    </w:p>
    <w:p w14:paraId="0C0D79C6">
      <w:pPr>
        <w:spacing w:line="360" w:lineRule="auto"/>
        <w:ind w:left="420" w:leftChars="200"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14、我司承诺积极响应并接受招标文件中合同专用专款关于合同价款的调整办法。</w:t>
      </w:r>
    </w:p>
    <w:p w14:paraId="7C0552E7">
      <w:pPr>
        <w:pStyle w:val="35"/>
        <w:spacing w:line="360" w:lineRule="auto"/>
        <w:ind w:left="420" w:leftChars="200"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[2008]1008号）、广州市住房和城乡建设委员会关于《广州市建设工程绿色施工围蔽指导图集(V2.0试行版 )》(穂建质〔 2020〕1号)、《黄埔区住房和城乡建设局 广州开发区建设和交通局关于进一步规范全区建设工程施工围蔽标准的通知》（穗埔建〔2020〕183号）、《关于进一步落实我区市政建设项目施工围蔽提升工作的通知》（穗埔建[2019]123号）、广州开发区建设和交通局《关于在全区建设项目推广使用封闭式外脚手架金属防护网的通知》（房建工程及桥梁工程要求使用）及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14:paraId="734A6E09">
      <w:pPr>
        <w:pStyle w:val="33"/>
        <w:spacing w:after="0" w:line="360" w:lineRule="auto"/>
        <w:ind w:firstLine="4620" w:firstLineChars="19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 标 人：</w:t>
      </w:r>
    </w:p>
    <w:p w14:paraId="096C54DF">
      <w:pPr>
        <w:pStyle w:val="33"/>
        <w:spacing w:after="0" w:line="360" w:lineRule="auto"/>
        <w:ind w:right="560" w:firstLine="5040" w:firstLineChars="2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年  月  日</w:t>
      </w:r>
    </w:p>
    <w:p w14:paraId="1C009D65">
      <w:pPr>
        <w:tabs>
          <w:tab w:val="left" w:pos="720"/>
        </w:tabs>
        <w:snapToGrid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14:paraId="5EA2EFE0">
      <w:pPr>
        <w:spacing w:line="360" w:lineRule="auto"/>
        <w:rPr>
          <w:rFonts w:hint="eastAsia" w:ascii="宋体" w:hAnsi="宋体" w:cs="宋体"/>
          <w:color w:val="auto"/>
          <w:highlight w:val="none"/>
        </w:rPr>
      </w:pPr>
      <w:r>
        <w:rPr>
          <w:rFonts w:hint="eastAsia" w:ascii="宋体" w:hAnsi="宋体" w:cs="宋体"/>
          <w:color w:val="auto"/>
          <w:highlight w:val="none"/>
        </w:rPr>
        <w:br w:type="page"/>
      </w:r>
      <w:bookmarkStart w:id="256" w:name="_Toc60070624"/>
      <w:r>
        <w:rPr>
          <w:rFonts w:hint="eastAsia" w:ascii="宋体" w:hAnsi="宋体" w:cs="宋体"/>
          <w:b/>
          <w:bCs/>
          <w:color w:val="auto"/>
          <w:sz w:val="27"/>
          <w:szCs w:val="27"/>
          <w:highlight w:val="none"/>
        </w:rPr>
        <w:t>格式四</w:t>
      </w:r>
      <w:r>
        <w:rPr>
          <w:rFonts w:hint="eastAsia" w:ascii="宋体" w:hAnsi="宋体" w:cs="宋体"/>
          <w:b/>
          <w:bCs/>
          <w:snapToGrid w:val="0"/>
          <w:color w:val="auto"/>
          <w:spacing w:val="4"/>
          <w:sz w:val="27"/>
          <w:szCs w:val="27"/>
          <w:highlight w:val="none"/>
        </w:rPr>
        <w:t>：</w:t>
      </w:r>
      <w:bookmarkEnd w:id="256"/>
    </w:p>
    <w:p w14:paraId="2BD94974">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项目负责人驻场承诺书</w:t>
      </w:r>
    </w:p>
    <w:p w14:paraId="49E3C241">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致（业主/监理）                                           ：</w:t>
      </w:r>
    </w:p>
    <w:p w14:paraId="41A00CA8">
      <w:pPr>
        <w:spacing w:line="360" w:lineRule="auto"/>
        <w:ind w:firstLine="523" w:firstLineChars="218"/>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本人（姓名）              ，项目负责人证书注册编号：                       </w:t>
      </w:r>
    </w:p>
    <w:p w14:paraId="34126917">
      <w:pPr>
        <w:spacing w:line="360" w:lineRule="auto"/>
        <w:ind w:left="1"/>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受（投标人）                                                              委派，拟在（项目名称）                                                   担任项目负责人一职。为加强本工程项目管理，保证我公司在中标后严格履行与业主签定的工程建设承包合同，圆满的完成本项工程，我愿就此做出以下承诺；</w:t>
      </w:r>
    </w:p>
    <w:p w14:paraId="41566BF3">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2B7825E4">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2．如果本招标工程我公司中标，我本人保证在工程签订合同之日起至工程竣工验收完成期间只担任此工程的项目负责人，不参加其他任何工程的登记和任何工作，不在其他任何工程担任本职务。</w:t>
      </w:r>
    </w:p>
    <w:p w14:paraId="3B5262C9">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等有关部门并接受上述部门给予的通报和相关职能部门给予的扣证等处罚。</w:t>
      </w:r>
    </w:p>
    <w:p w14:paraId="62A49362">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4．项目负责人本人身份证扫描件和两寸相片：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14:paraId="7E6F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043" w:type="dxa"/>
            <w:tcBorders>
              <w:top w:val="single" w:color="auto" w:sz="4" w:space="0"/>
              <w:left w:val="single" w:color="auto" w:sz="4" w:space="0"/>
              <w:bottom w:val="single" w:color="auto" w:sz="4" w:space="0"/>
              <w:right w:val="single" w:color="auto" w:sz="4" w:space="0"/>
            </w:tcBorders>
          </w:tcPr>
          <w:p w14:paraId="5EB6F2B0">
            <w:pPr>
              <w:spacing w:line="360" w:lineRule="auto"/>
              <w:jc w:val="center"/>
              <w:rPr>
                <w:rFonts w:hint="eastAsia" w:ascii="宋体" w:hAnsi="宋体" w:cs="宋体"/>
                <w:color w:val="auto"/>
                <w:szCs w:val="21"/>
                <w:highlight w:val="none"/>
                <w:u w:val="single"/>
              </w:rPr>
            </w:pPr>
          </w:p>
          <w:p w14:paraId="2B892CD8">
            <w:pPr>
              <w:spacing w:line="360" w:lineRule="auto"/>
              <w:jc w:val="center"/>
              <w:rPr>
                <w:rFonts w:hint="eastAsia" w:ascii="宋体" w:hAnsi="宋体" w:cs="宋体"/>
                <w:color w:val="auto"/>
                <w:szCs w:val="21"/>
                <w:highlight w:val="none"/>
                <w:u w:val="single"/>
              </w:rPr>
            </w:pPr>
          </w:p>
          <w:p w14:paraId="488A2B51">
            <w:pPr>
              <w:spacing w:line="360" w:lineRule="auto"/>
              <w:jc w:val="center"/>
              <w:rPr>
                <w:rFonts w:hint="eastAsia" w:ascii="宋体" w:hAnsi="宋体" w:cs="宋体"/>
                <w:color w:val="auto"/>
                <w:szCs w:val="21"/>
                <w:highlight w:val="none"/>
                <w:u w:val="single"/>
              </w:rPr>
            </w:pPr>
          </w:p>
          <w:p w14:paraId="77AC9BE3">
            <w:pPr>
              <w:spacing w:line="360" w:lineRule="auto"/>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身份证正反面扫描件</w:t>
            </w:r>
          </w:p>
        </w:tc>
        <w:tc>
          <w:tcPr>
            <w:tcW w:w="2492" w:type="dxa"/>
            <w:tcBorders>
              <w:top w:val="single" w:color="auto" w:sz="4" w:space="0"/>
              <w:left w:val="single" w:color="auto" w:sz="4" w:space="0"/>
              <w:bottom w:val="single" w:color="auto" w:sz="4" w:space="0"/>
              <w:right w:val="single" w:color="auto" w:sz="4" w:space="0"/>
            </w:tcBorders>
          </w:tcPr>
          <w:p w14:paraId="33E54F06">
            <w:pPr>
              <w:spacing w:line="360" w:lineRule="auto"/>
              <w:jc w:val="center"/>
              <w:rPr>
                <w:rFonts w:hint="eastAsia" w:ascii="宋体" w:hAnsi="宋体" w:cs="宋体"/>
                <w:color w:val="auto"/>
                <w:szCs w:val="21"/>
                <w:highlight w:val="none"/>
                <w:u w:val="single"/>
              </w:rPr>
            </w:pPr>
          </w:p>
          <w:p w14:paraId="7F1560E2">
            <w:pPr>
              <w:spacing w:line="360" w:lineRule="auto"/>
              <w:jc w:val="center"/>
              <w:rPr>
                <w:rFonts w:hint="eastAsia" w:ascii="宋体" w:hAnsi="宋体" w:cs="宋体"/>
                <w:color w:val="auto"/>
                <w:szCs w:val="21"/>
                <w:highlight w:val="none"/>
                <w:u w:val="single"/>
              </w:rPr>
            </w:pPr>
          </w:p>
          <w:p w14:paraId="7232B7C8">
            <w:pPr>
              <w:spacing w:line="360" w:lineRule="auto"/>
              <w:jc w:val="center"/>
              <w:rPr>
                <w:rFonts w:hint="eastAsia" w:ascii="宋体" w:hAnsi="宋体" w:cs="宋体"/>
                <w:color w:val="auto"/>
                <w:szCs w:val="21"/>
                <w:highlight w:val="none"/>
                <w:u w:val="single"/>
              </w:rPr>
            </w:pPr>
          </w:p>
          <w:p w14:paraId="1EC17343">
            <w:pPr>
              <w:spacing w:line="360" w:lineRule="auto"/>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相片</w:t>
            </w:r>
          </w:p>
        </w:tc>
      </w:tr>
    </w:tbl>
    <w:p w14:paraId="1935815B">
      <w:pPr>
        <w:spacing w:line="360" w:lineRule="auto"/>
        <w:rPr>
          <w:rFonts w:hint="eastAsia" w:ascii="宋体" w:hAnsi="宋体" w:cs="宋体"/>
          <w:color w:val="auto"/>
          <w:sz w:val="24"/>
          <w:szCs w:val="24"/>
          <w:highlight w:val="none"/>
          <w:u w:val="single"/>
        </w:rPr>
      </w:pPr>
    </w:p>
    <w:p w14:paraId="34B04751">
      <w:pPr>
        <w:spacing w:line="360" w:lineRule="auto"/>
        <w:ind w:firstLine="3840" w:firstLineChars="16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投 标 人：</w:t>
      </w:r>
    </w:p>
    <w:p w14:paraId="69ACBE4C">
      <w:pPr>
        <w:spacing w:line="360" w:lineRule="auto"/>
        <w:ind w:firstLine="3840" w:firstLineChars="16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项目负责人签名：                 </w:t>
      </w:r>
    </w:p>
    <w:p w14:paraId="230D5B94">
      <w:pPr>
        <w:tabs>
          <w:tab w:val="left" w:pos="720"/>
        </w:tabs>
        <w:snapToGrid w:val="0"/>
        <w:spacing w:line="360" w:lineRule="auto"/>
        <w:jc w:val="righ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年   月    日</w:t>
      </w:r>
    </w:p>
    <w:p w14:paraId="527EFACE">
      <w:pPr>
        <w:spacing w:line="360" w:lineRule="auto"/>
        <w:rPr>
          <w:rFonts w:hint="eastAsia" w:ascii="宋体" w:hAnsi="宋体" w:cs="宋体"/>
          <w:b/>
          <w:bCs/>
          <w:color w:val="auto"/>
          <w:sz w:val="27"/>
          <w:szCs w:val="27"/>
          <w:highlight w:val="none"/>
        </w:rPr>
      </w:pPr>
      <w:bookmarkStart w:id="257" w:name="_Toc60070625"/>
      <w:r>
        <w:rPr>
          <w:rFonts w:hint="eastAsia" w:ascii="宋体" w:hAnsi="宋体" w:cs="宋体"/>
          <w:b/>
          <w:bCs/>
          <w:color w:val="auto"/>
          <w:sz w:val="27"/>
          <w:szCs w:val="27"/>
          <w:highlight w:val="none"/>
        </w:rPr>
        <w:t>格式五：</w:t>
      </w:r>
      <w:bookmarkEnd w:id="257"/>
    </w:p>
    <w:p w14:paraId="6C6899F5">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施工项目管理团队人员信息表</w:t>
      </w:r>
    </w:p>
    <w:tbl>
      <w:tblPr>
        <w:tblStyle w:val="22"/>
        <w:tblW w:w="4989" w:type="pct"/>
        <w:tblInd w:w="0" w:type="dxa"/>
        <w:tblLayout w:type="fixed"/>
        <w:tblCellMar>
          <w:top w:w="0" w:type="dxa"/>
          <w:left w:w="108" w:type="dxa"/>
          <w:bottom w:w="0" w:type="dxa"/>
          <w:right w:w="108" w:type="dxa"/>
        </w:tblCellMar>
      </w:tblPr>
      <w:tblGrid>
        <w:gridCol w:w="631"/>
        <w:gridCol w:w="858"/>
        <w:gridCol w:w="2070"/>
        <w:gridCol w:w="419"/>
        <w:gridCol w:w="1064"/>
        <w:gridCol w:w="4897"/>
      </w:tblGrid>
      <w:tr w14:paraId="6E1942B9">
        <w:tblPrEx>
          <w:tblCellMar>
            <w:top w:w="0" w:type="dxa"/>
            <w:left w:w="108" w:type="dxa"/>
            <w:bottom w:w="0" w:type="dxa"/>
            <w:right w:w="108" w:type="dxa"/>
          </w:tblCellMar>
        </w:tblPrEx>
        <w:trPr>
          <w:trHeight w:val="975" w:hRule="atLeast"/>
        </w:trPr>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03E74624">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432" w:type="pct"/>
            <w:tcBorders>
              <w:top w:val="single" w:color="auto" w:sz="4" w:space="0"/>
              <w:left w:val="nil"/>
              <w:bottom w:val="single" w:color="auto" w:sz="4" w:space="0"/>
              <w:right w:val="single" w:color="auto" w:sz="4" w:space="0"/>
            </w:tcBorders>
            <w:shd w:val="clear" w:color="auto" w:fill="auto"/>
            <w:vAlign w:val="center"/>
          </w:tcPr>
          <w:p w14:paraId="5A7A898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1041" w:type="pct"/>
            <w:tcBorders>
              <w:top w:val="single" w:color="auto" w:sz="4" w:space="0"/>
              <w:left w:val="nil"/>
              <w:bottom w:val="single" w:color="auto" w:sz="4" w:space="0"/>
              <w:right w:val="single" w:color="auto" w:sz="4" w:space="0"/>
            </w:tcBorders>
            <w:shd w:val="clear" w:color="auto" w:fill="auto"/>
            <w:vAlign w:val="center"/>
          </w:tcPr>
          <w:p w14:paraId="29FBC21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211" w:type="pct"/>
            <w:tcBorders>
              <w:top w:val="single" w:color="auto" w:sz="4" w:space="0"/>
              <w:left w:val="nil"/>
              <w:bottom w:val="single" w:color="auto" w:sz="4" w:space="0"/>
              <w:right w:val="single" w:color="auto" w:sz="4" w:space="0"/>
            </w:tcBorders>
            <w:shd w:val="clear" w:color="auto" w:fill="auto"/>
            <w:vAlign w:val="center"/>
          </w:tcPr>
          <w:p w14:paraId="3A5193FE">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535" w:type="pct"/>
            <w:tcBorders>
              <w:top w:val="single" w:color="auto" w:sz="4" w:space="0"/>
              <w:left w:val="nil"/>
              <w:bottom w:val="single" w:color="auto" w:sz="4" w:space="0"/>
              <w:right w:val="single" w:color="auto" w:sz="4" w:space="0"/>
            </w:tcBorders>
            <w:shd w:val="clear" w:color="auto" w:fill="auto"/>
            <w:vAlign w:val="center"/>
          </w:tcPr>
          <w:p w14:paraId="66A7547B">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c>
          <w:tcPr>
            <w:tcW w:w="2460" w:type="pct"/>
            <w:tcBorders>
              <w:top w:val="single" w:color="auto" w:sz="4" w:space="0"/>
              <w:left w:val="single" w:color="auto" w:sz="4" w:space="0"/>
              <w:bottom w:val="single" w:color="auto" w:sz="4" w:space="0"/>
              <w:right w:val="single" w:color="auto" w:sz="4" w:space="0"/>
            </w:tcBorders>
            <w:shd w:val="clear" w:color="auto" w:fill="auto"/>
            <w:vAlign w:val="center"/>
          </w:tcPr>
          <w:p w14:paraId="3C60F163">
            <w:pPr>
              <w:widowControl/>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基本要求</w:t>
            </w:r>
          </w:p>
        </w:tc>
      </w:tr>
      <w:tr w14:paraId="714BA5E5">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5A21924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2" w:type="pct"/>
            <w:tcBorders>
              <w:top w:val="nil"/>
              <w:left w:val="nil"/>
              <w:bottom w:val="single" w:color="auto" w:sz="4" w:space="0"/>
              <w:right w:val="single" w:color="auto" w:sz="4" w:space="0"/>
            </w:tcBorders>
            <w:shd w:val="clear" w:color="auto" w:fill="auto"/>
            <w:noWrap/>
            <w:vAlign w:val="center"/>
          </w:tcPr>
          <w:p w14:paraId="54F60E0D">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7E85FB82">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项目负责人</w:t>
            </w:r>
          </w:p>
        </w:tc>
        <w:tc>
          <w:tcPr>
            <w:tcW w:w="211" w:type="pct"/>
            <w:tcBorders>
              <w:top w:val="nil"/>
              <w:left w:val="nil"/>
              <w:bottom w:val="single" w:color="auto" w:sz="4" w:space="0"/>
              <w:right w:val="single" w:color="auto" w:sz="4" w:space="0"/>
            </w:tcBorders>
            <w:shd w:val="clear" w:color="auto" w:fill="auto"/>
            <w:noWrap/>
            <w:vAlign w:val="center"/>
          </w:tcPr>
          <w:p w14:paraId="750EB4EA">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503F7D9A">
            <w:pPr>
              <w:widowControl/>
              <w:jc w:val="center"/>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2EC25BE1">
            <w:pPr>
              <w:adjustRightInd w:val="0"/>
              <w:snapToGrid w:val="0"/>
              <w:rPr>
                <w:rFonts w:hint="eastAsia" w:ascii="宋体" w:hAnsi="宋体" w:cs="宋体"/>
                <w:color w:val="auto"/>
                <w:sz w:val="20"/>
                <w:szCs w:val="20"/>
                <w:highlight w:val="none"/>
              </w:rPr>
            </w:pPr>
          </w:p>
        </w:tc>
      </w:tr>
      <w:tr w14:paraId="1A12155D">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7E28364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432" w:type="pct"/>
            <w:tcBorders>
              <w:top w:val="nil"/>
              <w:left w:val="nil"/>
              <w:bottom w:val="single" w:color="auto" w:sz="4" w:space="0"/>
              <w:right w:val="single" w:color="auto" w:sz="4" w:space="0"/>
            </w:tcBorders>
            <w:shd w:val="clear" w:color="auto" w:fill="auto"/>
            <w:noWrap/>
            <w:vAlign w:val="center"/>
          </w:tcPr>
          <w:p w14:paraId="67B64363">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56441CD5">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技术负责人</w:t>
            </w:r>
          </w:p>
        </w:tc>
        <w:tc>
          <w:tcPr>
            <w:tcW w:w="211" w:type="pct"/>
            <w:tcBorders>
              <w:top w:val="nil"/>
              <w:left w:val="nil"/>
              <w:bottom w:val="single" w:color="auto" w:sz="4" w:space="0"/>
              <w:right w:val="single" w:color="auto" w:sz="4" w:space="0"/>
            </w:tcBorders>
            <w:shd w:val="clear" w:color="auto" w:fill="auto"/>
            <w:noWrap/>
            <w:vAlign w:val="center"/>
          </w:tcPr>
          <w:p w14:paraId="0E12F87D">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08D3967A">
            <w:pPr>
              <w:widowControl/>
              <w:jc w:val="center"/>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3840693D">
            <w:pPr>
              <w:adjustRightInd w:val="0"/>
              <w:snapToGrid w:val="0"/>
              <w:rPr>
                <w:rFonts w:hint="eastAsia" w:ascii="宋体" w:hAnsi="宋体" w:cs="宋体"/>
                <w:color w:val="auto"/>
                <w:sz w:val="20"/>
                <w:szCs w:val="20"/>
                <w:highlight w:val="none"/>
              </w:rPr>
            </w:pPr>
          </w:p>
        </w:tc>
      </w:tr>
      <w:tr w14:paraId="39151C67">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42CA603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432" w:type="pct"/>
            <w:tcBorders>
              <w:top w:val="nil"/>
              <w:left w:val="nil"/>
              <w:bottom w:val="single" w:color="auto" w:sz="4" w:space="0"/>
              <w:right w:val="single" w:color="auto" w:sz="4" w:space="0"/>
            </w:tcBorders>
            <w:shd w:val="clear" w:color="auto" w:fill="auto"/>
            <w:noWrap/>
            <w:vAlign w:val="center"/>
          </w:tcPr>
          <w:p w14:paraId="68D9BFC5">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049EE5B3">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专职安全员</w:t>
            </w:r>
          </w:p>
        </w:tc>
        <w:tc>
          <w:tcPr>
            <w:tcW w:w="211" w:type="pct"/>
            <w:tcBorders>
              <w:top w:val="nil"/>
              <w:left w:val="nil"/>
              <w:bottom w:val="single" w:color="auto" w:sz="4" w:space="0"/>
              <w:right w:val="single" w:color="auto" w:sz="4" w:space="0"/>
            </w:tcBorders>
            <w:shd w:val="clear" w:color="auto" w:fill="auto"/>
            <w:noWrap/>
            <w:vAlign w:val="center"/>
          </w:tcPr>
          <w:p w14:paraId="5EDEC48A">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2326CB09">
            <w:pPr>
              <w:widowControl/>
              <w:jc w:val="center"/>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2247D723">
            <w:pPr>
              <w:adjustRightInd w:val="0"/>
              <w:snapToGrid w:val="0"/>
              <w:rPr>
                <w:rFonts w:hint="eastAsia" w:ascii="宋体" w:hAnsi="宋体" w:cs="宋体"/>
                <w:color w:val="auto"/>
                <w:sz w:val="20"/>
                <w:szCs w:val="20"/>
                <w:highlight w:val="none"/>
              </w:rPr>
            </w:pPr>
          </w:p>
        </w:tc>
      </w:tr>
      <w:tr w14:paraId="01F6D119">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79EF683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432" w:type="pct"/>
            <w:tcBorders>
              <w:top w:val="nil"/>
              <w:left w:val="nil"/>
              <w:bottom w:val="single" w:color="auto" w:sz="4" w:space="0"/>
              <w:right w:val="single" w:color="auto" w:sz="4" w:space="0"/>
            </w:tcBorders>
            <w:shd w:val="clear" w:color="auto" w:fill="auto"/>
            <w:noWrap/>
            <w:vAlign w:val="center"/>
          </w:tcPr>
          <w:p w14:paraId="707E0D26">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2ECB5EB8">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质量负责人</w:t>
            </w:r>
          </w:p>
        </w:tc>
        <w:tc>
          <w:tcPr>
            <w:tcW w:w="211" w:type="pct"/>
            <w:tcBorders>
              <w:top w:val="nil"/>
              <w:left w:val="nil"/>
              <w:bottom w:val="single" w:color="auto" w:sz="4" w:space="0"/>
              <w:right w:val="single" w:color="auto" w:sz="4" w:space="0"/>
            </w:tcBorders>
            <w:shd w:val="clear" w:color="auto" w:fill="auto"/>
            <w:noWrap/>
            <w:vAlign w:val="center"/>
          </w:tcPr>
          <w:p w14:paraId="4AFD92AF">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7CF1153E">
            <w:pPr>
              <w:widowControl/>
              <w:jc w:val="center"/>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47C8EB47">
            <w:pPr>
              <w:adjustRightInd w:val="0"/>
              <w:snapToGrid w:val="0"/>
              <w:rPr>
                <w:rFonts w:hint="eastAsia" w:ascii="宋体" w:hAnsi="宋体" w:cs="宋体"/>
                <w:color w:val="auto"/>
                <w:sz w:val="20"/>
                <w:szCs w:val="20"/>
                <w:highlight w:val="none"/>
              </w:rPr>
            </w:pPr>
          </w:p>
        </w:tc>
      </w:tr>
      <w:tr w14:paraId="3FBA84D2">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74C0587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432" w:type="pct"/>
            <w:tcBorders>
              <w:top w:val="nil"/>
              <w:left w:val="nil"/>
              <w:bottom w:val="single" w:color="auto" w:sz="4" w:space="0"/>
              <w:right w:val="single" w:color="auto" w:sz="4" w:space="0"/>
            </w:tcBorders>
            <w:shd w:val="clear" w:color="auto" w:fill="auto"/>
            <w:noWrap/>
            <w:vAlign w:val="center"/>
          </w:tcPr>
          <w:p w14:paraId="120DAEEA">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31FBF28B">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安全负责人</w:t>
            </w:r>
          </w:p>
        </w:tc>
        <w:tc>
          <w:tcPr>
            <w:tcW w:w="211" w:type="pct"/>
            <w:tcBorders>
              <w:top w:val="nil"/>
              <w:left w:val="nil"/>
              <w:bottom w:val="single" w:color="auto" w:sz="4" w:space="0"/>
              <w:right w:val="single" w:color="auto" w:sz="4" w:space="0"/>
            </w:tcBorders>
            <w:shd w:val="clear" w:color="auto" w:fill="auto"/>
            <w:noWrap/>
            <w:vAlign w:val="center"/>
          </w:tcPr>
          <w:p w14:paraId="2994866E">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41F5EBD3">
            <w:pPr>
              <w:widowControl/>
              <w:jc w:val="center"/>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1264CA88">
            <w:pPr>
              <w:adjustRightInd w:val="0"/>
              <w:snapToGrid w:val="0"/>
              <w:rPr>
                <w:rFonts w:hint="eastAsia" w:ascii="宋体" w:hAnsi="宋体" w:cs="宋体"/>
                <w:color w:val="auto"/>
                <w:sz w:val="20"/>
                <w:szCs w:val="20"/>
                <w:highlight w:val="none"/>
              </w:rPr>
            </w:pPr>
          </w:p>
        </w:tc>
      </w:tr>
      <w:tr w14:paraId="51F306E2">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718635B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432" w:type="pct"/>
            <w:tcBorders>
              <w:top w:val="nil"/>
              <w:left w:val="nil"/>
              <w:bottom w:val="single" w:color="auto" w:sz="4" w:space="0"/>
              <w:right w:val="single" w:color="auto" w:sz="4" w:space="0"/>
            </w:tcBorders>
            <w:shd w:val="clear" w:color="auto" w:fill="auto"/>
            <w:noWrap/>
            <w:vAlign w:val="center"/>
          </w:tcPr>
          <w:p w14:paraId="44C7ADFC">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3B6A63CE">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造价负责人</w:t>
            </w:r>
          </w:p>
        </w:tc>
        <w:tc>
          <w:tcPr>
            <w:tcW w:w="211" w:type="pct"/>
            <w:tcBorders>
              <w:top w:val="nil"/>
              <w:left w:val="nil"/>
              <w:bottom w:val="single" w:color="auto" w:sz="4" w:space="0"/>
              <w:right w:val="single" w:color="auto" w:sz="4" w:space="0"/>
            </w:tcBorders>
            <w:shd w:val="clear" w:color="auto" w:fill="auto"/>
            <w:noWrap/>
            <w:vAlign w:val="center"/>
          </w:tcPr>
          <w:p w14:paraId="7B83A5B5">
            <w:pPr>
              <w:adjustRightInd w:val="0"/>
              <w:snapToGrid w:val="0"/>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047902B9">
            <w:pPr>
              <w:adjustRightInd w:val="0"/>
              <w:snapToGrid w:val="0"/>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316A3153">
            <w:pPr>
              <w:adjustRightInd w:val="0"/>
              <w:snapToGrid w:val="0"/>
              <w:rPr>
                <w:rFonts w:hint="eastAsia" w:ascii="宋体" w:hAnsi="宋体" w:cs="宋体"/>
                <w:color w:val="auto"/>
                <w:sz w:val="20"/>
                <w:szCs w:val="20"/>
                <w:highlight w:val="none"/>
              </w:rPr>
            </w:pPr>
          </w:p>
        </w:tc>
      </w:tr>
      <w:tr w14:paraId="23A09A3E">
        <w:tblPrEx>
          <w:tblCellMar>
            <w:top w:w="0" w:type="dxa"/>
            <w:left w:w="108" w:type="dxa"/>
            <w:bottom w:w="0" w:type="dxa"/>
            <w:right w:w="108" w:type="dxa"/>
          </w:tblCellMar>
        </w:tblPrEx>
        <w:trPr>
          <w:trHeight w:val="61"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735BDBB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432" w:type="pct"/>
            <w:tcBorders>
              <w:top w:val="nil"/>
              <w:left w:val="nil"/>
              <w:bottom w:val="single" w:color="auto" w:sz="4" w:space="0"/>
              <w:right w:val="single" w:color="auto" w:sz="4" w:space="0"/>
            </w:tcBorders>
            <w:shd w:val="clear" w:color="auto" w:fill="auto"/>
            <w:noWrap/>
            <w:vAlign w:val="center"/>
          </w:tcPr>
          <w:p w14:paraId="260A31D0">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7025C31D">
            <w:pPr>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w:t>
            </w:r>
          </w:p>
        </w:tc>
        <w:tc>
          <w:tcPr>
            <w:tcW w:w="211" w:type="pct"/>
            <w:tcBorders>
              <w:top w:val="nil"/>
              <w:left w:val="nil"/>
              <w:bottom w:val="single" w:color="auto" w:sz="4" w:space="0"/>
              <w:right w:val="single" w:color="auto" w:sz="4" w:space="0"/>
            </w:tcBorders>
            <w:shd w:val="clear" w:color="auto" w:fill="auto"/>
            <w:noWrap/>
            <w:vAlign w:val="center"/>
          </w:tcPr>
          <w:p w14:paraId="73BB2578">
            <w:pPr>
              <w:adjustRightInd w:val="0"/>
              <w:snapToGrid w:val="0"/>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6D996932">
            <w:pPr>
              <w:adjustRightInd w:val="0"/>
              <w:snapToGrid w:val="0"/>
              <w:rPr>
                <w:rFonts w:hint="eastAsia" w:ascii="宋体" w:hAnsi="宋体" w:cs="宋体"/>
                <w:color w:val="auto"/>
                <w:kern w:val="0"/>
                <w:sz w:val="20"/>
                <w:szCs w:val="20"/>
                <w:highlight w:val="none"/>
              </w:rPr>
            </w:pP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3165A611">
            <w:pPr>
              <w:adjustRightInd w:val="0"/>
              <w:snapToGrid w:val="0"/>
              <w:rPr>
                <w:rFonts w:hint="eastAsia" w:ascii="宋体" w:hAnsi="宋体" w:cs="宋体"/>
                <w:color w:val="auto"/>
                <w:sz w:val="20"/>
                <w:szCs w:val="20"/>
                <w:highlight w:val="none"/>
              </w:rPr>
            </w:pPr>
          </w:p>
        </w:tc>
      </w:tr>
      <w:tr w14:paraId="269BD043">
        <w:tblPrEx>
          <w:tblCellMar>
            <w:top w:w="0" w:type="dxa"/>
            <w:left w:w="108" w:type="dxa"/>
            <w:bottom w:w="0" w:type="dxa"/>
            <w:right w:w="108" w:type="dxa"/>
          </w:tblCellMar>
        </w:tblPrEx>
        <w:trPr>
          <w:trHeight w:val="266"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9FB9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28468DA1">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35B419ED">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59537B07">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72A3A4E4">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F9A782">
            <w:pPr>
              <w:adjustRightInd w:val="0"/>
              <w:snapToGrid w:val="0"/>
              <w:rPr>
                <w:rFonts w:hint="eastAsia" w:ascii="宋体" w:hAnsi="宋体" w:cs="宋体"/>
                <w:color w:val="auto"/>
                <w:sz w:val="20"/>
                <w:szCs w:val="20"/>
                <w:highlight w:val="none"/>
              </w:rPr>
            </w:pPr>
          </w:p>
        </w:tc>
      </w:tr>
      <w:tr w14:paraId="593078DC">
        <w:tblPrEx>
          <w:tblCellMar>
            <w:top w:w="0" w:type="dxa"/>
            <w:left w:w="108" w:type="dxa"/>
            <w:bottom w:w="0" w:type="dxa"/>
            <w:right w:w="108" w:type="dxa"/>
          </w:tblCellMar>
        </w:tblPrEx>
        <w:trPr>
          <w:trHeight w:val="10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91705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609040FA">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1919A292">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077E7629">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1987C270">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AF75E">
            <w:pPr>
              <w:adjustRightInd w:val="0"/>
              <w:snapToGrid w:val="0"/>
              <w:rPr>
                <w:rFonts w:hint="eastAsia" w:ascii="宋体" w:hAnsi="宋体" w:cs="宋体"/>
                <w:color w:val="auto"/>
                <w:sz w:val="20"/>
                <w:szCs w:val="20"/>
                <w:highlight w:val="none"/>
              </w:rPr>
            </w:pPr>
          </w:p>
        </w:tc>
      </w:tr>
      <w:tr w14:paraId="0B3B619B">
        <w:tblPrEx>
          <w:tblCellMar>
            <w:top w:w="0" w:type="dxa"/>
            <w:left w:w="108" w:type="dxa"/>
            <w:bottom w:w="0" w:type="dxa"/>
            <w:right w:w="108" w:type="dxa"/>
          </w:tblCellMar>
        </w:tblPrEx>
        <w:trPr>
          <w:trHeight w:val="112"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9741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2107DDAB">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45CFA2E4">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49A8E064">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6EB534D1">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8239F">
            <w:pPr>
              <w:adjustRightInd w:val="0"/>
              <w:snapToGrid w:val="0"/>
              <w:rPr>
                <w:rFonts w:hint="eastAsia" w:ascii="宋体" w:hAnsi="宋体" w:cs="宋体"/>
                <w:color w:val="auto"/>
                <w:sz w:val="20"/>
                <w:szCs w:val="20"/>
                <w:highlight w:val="none"/>
              </w:rPr>
            </w:pPr>
          </w:p>
        </w:tc>
      </w:tr>
      <w:tr w14:paraId="4FA9D5C9">
        <w:tblPrEx>
          <w:tblCellMar>
            <w:top w:w="0" w:type="dxa"/>
            <w:left w:w="108" w:type="dxa"/>
            <w:bottom w:w="0" w:type="dxa"/>
            <w:right w:w="108" w:type="dxa"/>
          </w:tblCellMar>
        </w:tblPrEx>
        <w:trPr>
          <w:trHeight w:val="88"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C3EC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56A1B029">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13EFFA80">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7869CE0C">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0E12A27D">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06043">
            <w:pPr>
              <w:adjustRightInd w:val="0"/>
              <w:snapToGrid w:val="0"/>
              <w:rPr>
                <w:rFonts w:hint="eastAsia" w:ascii="宋体" w:hAnsi="宋体" w:cs="宋体"/>
                <w:color w:val="auto"/>
                <w:sz w:val="20"/>
                <w:szCs w:val="20"/>
                <w:highlight w:val="none"/>
              </w:rPr>
            </w:pPr>
          </w:p>
        </w:tc>
      </w:tr>
      <w:tr w14:paraId="18F4BFE2">
        <w:tblPrEx>
          <w:tblCellMar>
            <w:top w:w="0" w:type="dxa"/>
            <w:left w:w="108" w:type="dxa"/>
            <w:bottom w:w="0" w:type="dxa"/>
            <w:right w:w="108" w:type="dxa"/>
          </w:tblCellMar>
        </w:tblPrEx>
        <w:trPr>
          <w:trHeight w:val="23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B6C2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36F07F0A">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434673EE">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00DA4E60">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51FD7557">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B7ADA">
            <w:pPr>
              <w:adjustRightInd w:val="0"/>
              <w:snapToGrid w:val="0"/>
              <w:rPr>
                <w:rFonts w:hint="eastAsia" w:ascii="宋体" w:hAnsi="宋体" w:cs="宋体"/>
                <w:color w:val="auto"/>
                <w:sz w:val="20"/>
                <w:szCs w:val="20"/>
                <w:highlight w:val="none"/>
              </w:rPr>
            </w:pPr>
          </w:p>
        </w:tc>
      </w:tr>
      <w:tr w14:paraId="5314C115">
        <w:tblPrEx>
          <w:tblCellMar>
            <w:top w:w="0" w:type="dxa"/>
            <w:left w:w="108" w:type="dxa"/>
            <w:bottom w:w="0" w:type="dxa"/>
            <w:right w:w="108" w:type="dxa"/>
          </w:tblCellMar>
        </w:tblPrEx>
        <w:trPr>
          <w:trHeight w:val="23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20DE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328C37BA">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4842A81F">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40389287">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555A1E5B">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B76AD">
            <w:pPr>
              <w:adjustRightInd w:val="0"/>
              <w:snapToGrid w:val="0"/>
              <w:rPr>
                <w:rFonts w:hint="eastAsia" w:ascii="宋体" w:hAnsi="宋体" w:cs="宋体"/>
                <w:color w:val="auto"/>
                <w:sz w:val="20"/>
                <w:szCs w:val="20"/>
                <w:highlight w:val="none"/>
              </w:rPr>
            </w:pPr>
          </w:p>
        </w:tc>
      </w:tr>
      <w:tr w14:paraId="27D28203">
        <w:tblPrEx>
          <w:tblCellMar>
            <w:top w:w="0" w:type="dxa"/>
            <w:left w:w="108" w:type="dxa"/>
            <w:bottom w:w="0" w:type="dxa"/>
            <w:right w:w="108" w:type="dxa"/>
          </w:tblCellMar>
        </w:tblPrEx>
        <w:trPr>
          <w:trHeight w:val="23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034B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60344F5D">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51D583AB">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07290BA5">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4CB06839">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B1DC9">
            <w:pPr>
              <w:adjustRightInd w:val="0"/>
              <w:snapToGrid w:val="0"/>
              <w:rPr>
                <w:rFonts w:hint="eastAsia" w:ascii="宋体" w:hAnsi="宋体" w:cs="宋体"/>
                <w:color w:val="auto"/>
                <w:sz w:val="20"/>
                <w:szCs w:val="20"/>
                <w:highlight w:val="none"/>
              </w:rPr>
            </w:pPr>
          </w:p>
        </w:tc>
      </w:tr>
      <w:tr w14:paraId="42AD7C31">
        <w:tblPrEx>
          <w:tblCellMar>
            <w:top w:w="0" w:type="dxa"/>
            <w:left w:w="108" w:type="dxa"/>
            <w:bottom w:w="0" w:type="dxa"/>
            <w:right w:w="108" w:type="dxa"/>
          </w:tblCellMar>
        </w:tblPrEx>
        <w:trPr>
          <w:trHeight w:val="23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D2665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0FACC265">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71AA454D">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2C31860C">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02F04392">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CD6E9">
            <w:pPr>
              <w:adjustRightInd w:val="0"/>
              <w:snapToGrid w:val="0"/>
              <w:rPr>
                <w:rFonts w:hint="eastAsia" w:ascii="宋体" w:hAnsi="宋体" w:cs="宋体"/>
                <w:color w:val="auto"/>
                <w:sz w:val="20"/>
                <w:szCs w:val="20"/>
                <w:highlight w:val="none"/>
              </w:rPr>
            </w:pPr>
          </w:p>
        </w:tc>
      </w:tr>
      <w:tr w14:paraId="702DD774">
        <w:tblPrEx>
          <w:tblCellMar>
            <w:top w:w="0" w:type="dxa"/>
            <w:left w:w="108" w:type="dxa"/>
            <w:bottom w:w="0" w:type="dxa"/>
            <w:right w:w="108" w:type="dxa"/>
          </w:tblCellMar>
        </w:tblPrEx>
        <w:trPr>
          <w:trHeight w:val="239"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82429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644145B6">
            <w:pPr>
              <w:widowControl/>
              <w:jc w:val="center"/>
              <w:rPr>
                <w:rFonts w:hint="eastAsia" w:ascii="宋体" w:hAnsi="宋体" w:cs="宋体"/>
                <w:color w:val="auto"/>
                <w:kern w:val="0"/>
                <w:sz w:val="20"/>
                <w:szCs w:val="20"/>
                <w:highlight w:val="none"/>
              </w:rPr>
            </w:pPr>
          </w:p>
        </w:tc>
        <w:tc>
          <w:tcPr>
            <w:tcW w:w="1041" w:type="pct"/>
            <w:tcBorders>
              <w:top w:val="single" w:color="auto" w:sz="4" w:space="0"/>
              <w:left w:val="nil"/>
              <w:bottom w:val="single" w:color="auto" w:sz="4" w:space="0"/>
              <w:right w:val="single" w:color="auto" w:sz="4" w:space="0"/>
            </w:tcBorders>
            <w:shd w:val="clear" w:color="auto" w:fill="auto"/>
            <w:noWrap/>
            <w:vAlign w:val="center"/>
          </w:tcPr>
          <w:p w14:paraId="371C536D">
            <w:pPr>
              <w:adjustRightInd w:val="0"/>
              <w:snapToGrid w:val="0"/>
              <w:jc w:val="center"/>
              <w:rPr>
                <w:rFonts w:hint="eastAsia" w:ascii="宋体" w:hAnsi="宋体" w:cs="宋体"/>
                <w:color w:val="auto"/>
                <w:kern w:val="0"/>
                <w:sz w:val="20"/>
                <w:szCs w:val="20"/>
                <w:highlight w:val="none"/>
              </w:rPr>
            </w:pPr>
          </w:p>
        </w:tc>
        <w:tc>
          <w:tcPr>
            <w:tcW w:w="211" w:type="pct"/>
            <w:tcBorders>
              <w:top w:val="single" w:color="auto" w:sz="4" w:space="0"/>
              <w:left w:val="nil"/>
              <w:bottom w:val="single" w:color="auto" w:sz="4" w:space="0"/>
              <w:right w:val="single" w:color="auto" w:sz="4" w:space="0"/>
            </w:tcBorders>
            <w:shd w:val="clear" w:color="auto" w:fill="auto"/>
            <w:noWrap/>
            <w:vAlign w:val="center"/>
          </w:tcPr>
          <w:p w14:paraId="54B93D2F">
            <w:pPr>
              <w:adjustRightInd w:val="0"/>
              <w:snapToGrid w:val="0"/>
              <w:jc w:val="center"/>
              <w:rPr>
                <w:rFonts w:hint="eastAsia" w:ascii="宋体" w:hAnsi="宋体" w:cs="宋体"/>
                <w:color w:val="auto"/>
                <w:kern w:val="0"/>
                <w:sz w:val="20"/>
                <w:szCs w:val="20"/>
                <w:highlight w:val="none"/>
              </w:rPr>
            </w:pPr>
          </w:p>
        </w:tc>
        <w:tc>
          <w:tcPr>
            <w:tcW w:w="535" w:type="pct"/>
            <w:tcBorders>
              <w:top w:val="single" w:color="auto" w:sz="4" w:space="0"/>
              <w:left w:val="nil"/>
              <w:bottom w:val="single" w:color="auto" w:sz="4" w:space="0"/>
              <w:right w:val="single" w:color="auto" w:sz="4" w:space="0"/>
            </w:tcBorders>
            <w:shd w:val="clear" w:color="auto" w:fill="auto"/>
            <w:noWrap/>
            <w:vAlign w:val="center"/>
          </w:tcPr>
          <w:p w14:paraId="616D23F1">
            <w:pPr>
              <w:adjustRightInd w:val="0"/>
              <w:snapToGrid w:val="0"/>
              <w:rPr>
                <w:rFonts w:hint="eastAsia" w:ascii="宋体" w:hAnsi="宋体" w:cs="宋体"/>
                <w:color w:val="auto"/>
                <w:kern w:val="0"/>
                <w:sz w:val="20"/>
                <w:szCs w:val="20"/>
                <w:highlight w:val="none"/>
              </w:rPr>
            </w:pPr>
          </w:p>
        </w:tc>
        <w:tc>
          <w:tcPr>
            <w:tcW w:w="2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8B5A9">
            <w:pPr>
              <w:adjustRightInd w:val="0"/>
              <w:snapToGrid w:val="0"/>
              <w:rPr>
                <w:rFonts w:hint="eastAsia" w:ascii="宋体" w:hAnsi="宋体" w:cs="宋体"/>
                <w:color w:val="auto"/>
                <w:sz w:val="20"/>
                <w:szCs w:val="20"/>
                <w:highlight w:val="none"/>
              </w:rPr>
            </w:pPr>
          </w:p>
        </w:tc>
      </w:tr>
      <w:tr w14:paraId="62686984">
        <w:tblPrEx>
          <w:tblCellMar>
            <w:top w:w="0" w:type="dxa"/>
            <w:left w:w="108" w:type="dxa"/>
            <w:bottom w:w="0" w:type="dxa"/>
            <w:right w:w="108" w:type="dxa"/>
          </w:tblCellMar>
        </w:tblPrEx>
        <w:trPr>
          <w:trHeight w:val="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14:paraId="29AF6CC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432" w:type="pct"/>
            <w:tcBorders>
              <w:top w:val="nil"/>
              <w:left w:val="nil"/>
              <w:bottom w:val="single" w:color="auto" w:sz="4" w:space="0"/>
              <w:right w:val="single" w:color="auto" w:sz="4" w:space="0"/>
            </w:tcBorders>
            <w:shd w:val="clear" w:color="auto" w:fill="auto"/>
            <w:noWrap/>
            <w:vAlign w:val="center"/>
          </w:tcPr>
          <w:p w14:paraId="49ED275F">
            <w:pPr>
              <w:widowControl/>
              <w:jc w:val="center"/>
              <w:rPr>
                <w:rFonts w:hint="eastAsia" w:ascii="宋体" w:hAnsi="宋体" w:cs="宋体"/>
                <w:color w:val="auto"/>
                <w:kern w:val="0"/>
                <w:sz w:val="20"/>
                <w:szCs w:val="20"/>
                <w:highlight w:val="none"/>
              </w:rPr>
            </w:pPr>
          </w:p>
        </w:tc>
        <w:tc>
          <w:tcPr>
            <w:tcW w:w="1041" w:type="pct"/>
            <w:tcBorders>
              <w:top w:val="nil"/>
              <w:left w:val="nil"/>
              <w:bottom w:val="single" w:color="auto" w:sz="4" w:space="0"/>
              <w:right w:val="single" w:color="auto" w:sz="4" w:space="0"/>
            </w:tcBorders>
            <w:shd w:val="clear" w:color="auto" w:fill="auto"/>
            <w:noWrap/>
            <w:vAlign w:val="center"/>
          </w:tcPr>
          <w:p w14:paraId="2A0C44E0">
            <w:pPr>
              <w:widowControl/>
              <w:jc w:val="center"/>
              <w:rPr>
                <w:rFonts w:hint="eastAsia" w:ascii="宋体" w:hAnsi="宋体" w:cs="宋体"/>
                <w:color w:val="auto"/>
                <w:kern w:val="0"/>
                <w:sz w:val="20"/>
                <w:szCs w:val="20"/>
                <w:highlight w:val="none"/>
              </w:rPr>
            </w:pPr>
          </w:p>
        </w:tc>
        <w:tc>
          <w:tcPr>
            <w:tcW w:w="211" w:type="pct"/>
            <w:tcBorders>
              <w:top w:val="nil"/>
              <w:left w:val="nil"/>
              <w:bottom w:val="single" w:color="auto" w:sz="4" w:space="0"/>
              <w:right w:val="single" w:color="auto" w:sz="4" w:space="0"/>
            </w:tcBorders>
            <w:shd w:val="clear" w:color="auto" w:fill="auto"/>
            <w:noWrap/>
            <w:vAlign w:val="center"/>
          </w:tcPr>
          <w:p w14:paraId="33BB054A">
            <w:pPr>
              <w:widowControl/>
              <w:jc w:val="center"/>
              <w:rPr>
                <w:rFonts w:hint="eastAsia" w:ascii="宋体" w:hAnsi="宋体" w:cs="宋体"/>
                <w:color w:val="auto"/>
                <w:kern w:val="0"/>
                <w:sz w:val="20"/>
                <w:szCs w:val="20"/>
                <w:highlight w:val="none"/>
              </w:rPr>
            </w:pPr>
          </w:p>
        </w:tc>
        <w:tc>
          <w:tcPr>
            <w:tcW w:w="535" w:type="pct"/>
            <w:tcBorders>
              <w:top w:val="nil"/>
              <w:left w:val="nil"/>
              <w:bottom w:val="single" w:color="auto" w:sz="4" w:space="0"/>
              <w:right w:val="single" w:color="auto" w:sz="4" w:space="0"/>
            </w:tcBorders>
            <w:shd w:val="clear" w:color="auto" w:fill="auto"/>
            <w:noWrap/>
            <w:vAlign w:val="center"/>
          </w:tcPr>
          <w:p w14:paraId="28C6BF6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0" w:type="pct"/>
            <w:tcBorders>
              <w:top w:val="nil"/>
              <w:left w:val="single" w:color="auto" w:sz="4" w:space="0"/>
              <w:bottom w:val="single" w:color="auto" w:sz="4" w:space="0"/>
              <w:right w:val="single" w:color="auto" w:sz="4" w:space="0"/>
            </w:tcBorders>
            <w:shd w:val="clear" w:color="auto" w:fill="auto"/>
            <w:noWrap/>
            <w:vAlign w:val="center"/>
          </w:tcPr>
          <w:p w14:paraId="6BA98BE3">
            <w:pPr>
              <w:widowControl/>
              <w:jc w:val="center"/>
              <w:rPr>
                <w:rFonts w:hint="eastAsia" w:ascii="宋体" w:hAnsi="宋体" w:cs="宋体"/>
                <w:color w:val="auto"/>
                <w:kern w:val="0"/>
                <w:sz w:val="20"/>
                <w:szCs w:val="20"/>
                <w:highlight w:val="none"/>
              </w:rPr>
            </w:pPr>
          </w:p>
        </w:tc>
      </w:tr>
      <w:tr w14:paraId="26143011">
        <w:tblPrEx>
          <w:tblCellMar>
            <w:top w:w="0" w:type="dxa"/>
            <w:left w:w="108" w:type="dxa"/>
            <w:bottom w:w="0" w:type="dxa"/>
            <w:right w:w="108" w:type="dxa"/>
          </w:tblCellMar>
        </w:tblPrEx>
        <w:trPr>
          <w:trHeight w:val="3787"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A4D61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p w14:paraId="00B5910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1、本表为项目经理部主要人员的基本要求，投标单位可根据自身情况增加专业技术管理人员，各岗位人员不得相互兼职。</w:t>
            </w:r>
          </w:p>
          <w:p w14:paraId="5089E2F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2、本表项目经理部主要人员需提供2025年</w:t>
            </w:r>
            <w:r>
              <w:rPr>
                <w:rFonts w:hint="eastAsia" w:ascii="宋体" w:hAnsi="宋体" w:cs="宋体"/>
                <w:color w:val="auto"/>
                <w:kern w:val="0"/>
                <w:sz w:val="20"/>
                <w:szCs w:val="20"/>
                <w:highlight w:val="none"/>
                <w:lang w:val="en-US" w:eastAsia="zh-CN"/>
              </w:rPr>
              <w:t>3</w:t>
            </w:r>
            <w:r>
              <w:rPr>
                <w:rFonts w:hint="eastAsia" w:ascii="宋体" w:hAnsi="宋体" w:cs="宋体"/>
                <w:color w:val="auto"/>
                <w:kern w:val="0"/>
                <w:sz w:val="20"/>
                <w:szCs w:val="20"/>
                <w:highlight w:val="none"/>
              </w:rPr>
              <w:t>月的社保证明文件扫描件，项目经理部主要人员需提供的其他证明文件详见基本要求及备注。</w:t>
            </w:r>
          </w:p>
          <w:p w14:paraId="54D49EE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7BE1F22A">
            <w:pPr>
              <w:widowControl/>
              <w:jc w:val="left"/>
              <w:rPr>
                <w:color w:val="auto"/>
                <w:sz w:val="20"/>
                <w:szCs w:val="20"/>
                <w:highlight w:val="none"/>
              </w:rPr>
            </w:pPr>
            <w:r>
              <w:rPr>
                <w:rFonts w:hint="eastAsia" w:ascii="宋体" w:hAnsi="宋体" w:cs="宋体"/>
                <w:color w:val="auto"/>
                <w:kern w:val="0"/>
                <w:sz w:val="20"/>
                <w:szCs w:val="20"/>
                <w:highlight w:val="none"/>
              </w:rPr>
              <w:t>4、本表中投标人提供的“项目负责人、技术负责人、专职安全员”须满足招标公告要求，其余人员不全或未满足招标文件要求的，不作为废标否决性条款。中标后须按招标文件的要求补充完善并报发包人审批同意；涉及违约的，还需按合同约定承担相应的违约责任。</w:t>
            </w:r>
          </w:p>
        </w:tc>
      </w:tr>
    </w:tbl>
    <w:p w14:paraId="6F84CAEC">
      <w:pPr>
        <w:pStyle w:val="36"/>
        <w:spacing w:line="240" w:lineRule="auto"/>
        <w:ind w:firstLine="0" w:firstLineChars="0"/>
        <w:rPr>
          <w:rFonts w:hint="eastAsia" w:eastAsia="宋体" w:cs="宋体"/>
          <w:color w:val="auto"/>
          <w:sz w:val="20"/>
          <w:szCs w:val="20"/>
          <w:highlight w:val="none"/>
        </w:rPr>
      </w:pPr>
      <w:r>
        <w:rPr>
          <w:rFonts w:hint="eastAsia" w:eastAsia="宋体" w:cs="宋体"/>
          <w:color w:val="auto"/>
          <w:sz w:val="20"/>
          <w:szCs w:val="20"/>
          <w:highlight w:val="none"/>
        </w:rPr>
        <w:t>注：附相关的证明材料。</w:t>
      </w:r>
    </w:p>
    <w:p w14:paraId="5469BC44">
      <w:pPr>
        <w:topLinePunct/>
        <w:adjustRightInd w:val="0"/>
        <w:snapToGrid w:val="0"/>
        <w:rPr>
          <w:rFonts w:hint="eastAsia" w:ascii="宋体" w:hAnsi="宋体" w:cs="宋体"/>
          <w:color w:val="auto"/>
          <w:spacing w:val="4"/>
          <w:kern w:val="0"/>
          <w:sz w:val="20"/>
          <w:szCs w:val="20"/>
          <w:highlight w:val="none"/>
        </w:rPr>
      </w:pPr>
    </w:p>
    <w:p w14:paraId="77685258">
      <w:pPr>
        <w:topLinePunct/>
        <w:adjustRightInd w:val="0"/>
        <w:snapToGrid w:val="0"/>
        <w:spacing w:line="360" w:lineRule="auto"/>
        <w:ind w:firstLine="3306" w:firstLineChars="1450"/>
        <w:jc w:val="left"/>
        <w:rPr>
          <w:rFonts w:hint="eastAsia" w:ascii="宋体" w:hAnsi="宋体" w:cs="宋体"/>
          <w:color w:val="auto"/>
          <w:spacing w:val="4"/>
          <w:kern w:val="0"/>
          <w:sz w:val="22"/>
          <w:highlight w:val="none"/>
        </w:rPr>
      </w:pPr>
      <w:r>
        <w:rPr>
          <w:rFonts w:hint="eastAsia" w:ascii="宋体" w:hAnsi="宋体" w:cs="宋体"/>
          <w:color w:val="auto"/>
          <w:spacing w:val="4"/>
          <w:kern w:val="0"/>
          <w:sz w:val="22"/>
          <w:highlight w:val="none"/>
        </w:rPr>
        <w:t>投标人：</w:t>
      </w:r>
    </w:p>
    <w:p w14:paraId="782BEB68">
      <w:pPr>
        <w:autoSpaceDE w:val="0"/>
        <w:autoSpaceDN w:val="0"/>
        <w:adjustRightInd w:val="0"/>
        <w:spacing w:line="360" w:lineRule="auto"/>
        <w:ind w:firstLine="3306" w:firstLineChars="1450"/>
        <w:jc w:val="left"/>
        <w:rPr>
          <w:rFonts w:hint="eastAsia" w:ascii="宋体" w:hAnsi="宋体" w:cs="宋体"/>
          <w:color w:val="auto"/>
          <w:spacing w:val="4"/>
          <w:kern w:val="0"/>
          <w:sz w:val="22"/>
          <w:highlight w:val="none"/>
        </w:rPr>
      </w:pPr>
      <w:r>
        <w:rPr>
          <w:rFonts w:hint="eastAsia" w:ascii="宋体" w:hAnsi="宋体" w:cs="宋体"/>
          <w:color w:val="auto"/>
          <w:spacing w:val="4"/>
          <w:kern w:val="0"/>
          <w:sz w:val="22"/>
          <w:highlight w:val="none"/>
        </w:rPr>
        <w:t>日   期：    年    月    日</w:t>
      </w:r>
    </w:p>
    <w:p w14:paraId="47F2F548">
      <w:pPr>
        <w:spacing w:line="360" w:lineRule="auto"/>
        <w:jc w:val="center"/>
        <w:rPr>
          <w:rFonts w:hint="eastAsia" w:ascii="宋体" w:hAnsi="宋体" w:cs="宋体"/>
          <w:b/>
          <w:color w:val="auto"/>
          <w:sz w:val="36"/>
          <w:szCs w:val="36"/>
          <w:highlight w:val="none"/>
        </w:rPr>
      </w:pPr>
      <w:r>
        <w:rPr>
          <w:rFonts w:hint="eastAsia" w:ascii="宋体" w:hAnsi="宋体" w:cs="宋体"/>
          <w:color w:val="auto"/>
          <w:spacing w:val="4"/>
          <w:highlight w:val="none"/>
        </w:rPr>
        <w:br w:type="page"/>
      </w:r>
      <w:r>
        <w:rPr>
          <w:rFonts w:hint="eastAsia" w:ascii="宋体" w:hAnsi="宋体" w:cs="宋体"/>
          <w:b/>
          <w:color w:val="auto"/>
          <w:sz w:val="36"/>
          <w:szCs w:val="36"/>
          <w:highlight w:val="none"/>
        </w:rPr>
        <w:t>主要人员简历表</w:t>
      </w:r>
    </w:p>
    <w:tbl>
      <w:tblPr>
        <w:tblStyle w:val="22"/>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0" w:type="dxa"/>
          <w:left w:w="60" w:type="dxa"/>
          <w:bottom w:w="60" w:type="dxa"/>
          <w:right w:w="60" w:type="dxa"/>
        </w:tblCellMar>
      </w:tblPr>
      <w:tblGrid>
        <w:gridCol w:w="1334"/>
        <w:gridCol w:w="1488"/>
        <w:gridCol w:w="1534"/>
        <w:gridCol w:w="1911"/>
        <w:gridCol w:w="1361"/>
        <w:gridCol w:w="1582"/>
      </w:tblGrid>
      <w:tr w14:paraId="3BCE5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20" w:hRule="atLeast"/>
          <w:tblCellSpacing w:w="0" w:type="dxa"/>
          <w:jc w:val="center"/>
        </w:trPr>
        <w:tc>
          <w:tcPr>
            <w:tcW w:w="1334" w:type="dxa"/>
            <w:tcBorders>
              <w:tl2br w:val="nil"/>
              <w:tr2bl w:val="nil"/>
            </w:tcBorders>
            <w:vAlign w:val="center"/>
          </w:tcPr>
          <w:p w14:paraId="4EB8B8C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488" w:type="dxa"/>
            <w:tcBorders>
              <w:tl2br w:val="nil"/>
              <w:tr2bl w:val="nil"/>
            </w:tcBorders>
            <w:vAlign w:val="center"/>
          </w:tcPr>
          <w:p w14:paraId="1F957A2B">
            <w:pPr>
              <w:spacing w:line="360" w:lineRule="auto"/>
              <w:jc w:val="center"/>
              <w:rPr>
                <w:rFonts w:hint="eastAsia" w:ascii="宋体" w:hAnsi="宋体" w:cs="宋体"/>
                <w:color w:val="auto"/>
                <w:szCs w:val="21"/>
                <w:highlight w:val="none"/>
              </w:rPr>
            </w:pPr>
          </w:p>
        </w:tc>
        <w:tc>
          <w:tcPr>
            <w:tcW w:w="1534" w:type="dxa"/>
            <w:tcBorders>
              <w:tl2br w:val="nil"/>
              <w:tr2bl w:val="nil"/>
            </w:tcBorders>
            <w:vAlign w:val="center"/>
          </w:tcPr>
          <w:p w14:paraId="447C8F3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1911" w:type="dxa"/>
            <w:tcBorders>
              <w:tl2br w:val="nil"/>
              <w:tr2bl w:val="nil"/>
            </w:tcBorders>
            <w:vAlign w:val="center"/>
          </w:tcPr>
          <w:p w14:paraId="798F621C">
            <w:pPr>
              <w:spacing w:line="360" w:lineRule="auto"/>
              <w:jc w:val="center"/>
              <w:rPr>
                <w:rFonts w:hint="eastAsia" w:ascii="宋体" w:hAnsi="宋体" w:cs="宋体"/>
                <w:color w:val="auto"/>
                <w:szCs w:val="21"/>
                <w:highlight w:val="none"/>
              </w:rPr>
            </w:pPr>
          </w:p>
        </w:tc>
        <w:tc>
          <w:tcPr>
            <w:tcW w:w="1361" w:type="dxa"/>
            <w:tcBorders>
              <w:tl2br w:val="nil"/>
              <w:tr2bl w:val="nil"/>
            </w:tcBorders>
            <w:vAlign w:val="center"/>
          </w:tcPr>
          <w:p w14:paraId="0CB3B5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582" w:type="dxa"/>
            <w:tcBorders>
              <w:tl2br w:val="nil"/>
              <w:tr2bl w:val="nil"/>
            </w:tcBorders>
            <w:vAlign w:val="center"/>
          </w:tcPr>
          <w:p w14:paraId="653EF874">
            <w:pPr>
              <w:spacing w:line="360" w:lineRule="auto"/>
              <w:jc w:val="center"/>
              <w:rPr>
                <w:rFonts w:hint="eastAsia" w:ascii="宋体" w:hAnsi="宋体" w:cs="宋体"/>
                <w:color w:val="auto"/>
                <w:szCs w:val="21"/>
                <w:highlight w:val="none"/>
              </w:rPr>
            </w:pPr>
          </w:p>
        </w:tc>
      </w:tr>
      <w:tr w14:paraId="074D0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4" w:type="dxa"/>
            <w:tcBorders>
              <w:tl2br w:val="nil"/>
              <w:tr2bl w:val="nil"/>
            </w:tcBorders>
            <w:vAlign w:val="center"/>
          </w:tcPr>
          <w:p w14:paraId="76F124E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488" w:type="dxa"/>
            <w:tcBorders>
              <w:tl2br w:val="nil"/>
              <w:tr2bl w:val="nil"/>
            </w:tcBorders>
            <w:vAlign w:val="center"/>
          </w:tcPr>
          <w:p w14:paraId="1C21FBA1">
            <w:pPr>
              <w:spacing w:line="360" w:lineRule="auto"/>
              <w:jc w:val="center"/>
              <w:rPr>
                <w:rFonts w:hint="eastAsia" w:ascii="宋体" w:hAnsi="宋体" w:cs="宋体"/>
                <w:color w:val="auto"/>
                <w:szCs w:val="21"/>
                <w:highlight w:val="none"/>
              </w:rPr>
            </w:pPr>
          </w:p>
        </w:tc>
        <w:tc>
          <w:tcPr>
            <w:tcW w:w="1534" w:type="dxa"/>
            <w:tcBorders>
              <w:tl2br w:val="nil"/>
              <w:tr2bl w:val="nil"/>
            </w:tcBorders>
            <w:vAlign w:val="center"/>
          </w:tcPr>
          <w:p w14:paraId="5EBF021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911" w:type="dxa"/>
            <w:tcBorders>
              <w:tl2br w:val="nil"/>
              <w:tr2bl w:val="nil"/>
            </w:tcBorders>
            <w:vAlign w:val="center"/>
          </w:tcPr>
          <w:p w14:paraId="60BF10F4">
            <w:pPr>
              <w:spacing w:line="360" w:lineRule="auto"/>
              <w:jc w:val="center"/>
              <w:rPr>
                <w:rFonts w:hint="eastAsia" w:ascii="宋体" w:hAnsi="宋体" w:cs="宋体"/>
                <w:color w:val="auto"/>
                <w:szCs w:val="21"/>
                <w:highlight w:val="none"/>
              </w:rPr>
            </w:pPr>
          </w:p>
        </w:tc>
        <w:tc>
          <w:tcPr>
            <w:tcW w:w="1361" w:type="dxa"/>
            <w:tcBorders>
              <w:tl2br w:val="nil"/>
              <w:tr2bl w:val="nil"/>
            </w:tcBorders>
            <w:vAlign w:val="center"/>
          </w:tcPr>
          <w:p w14:paraId="1CFA451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582" w:type="dxa"/>
            <w:tcBorders>
              <w:tl2br w:val="nil"/>
              <w:tr2bl w:val="nil"/>
            </w:tcBorders>
            <w:vAlign w:val="center"/>
          </w:tcPr>
          <w:p w14:paraId="483A7FFE">
            <w:pPr>
              <w:spacing w:line="360" w:lineRule="auto"/>
              <w:jc w:val="center"/>
              <w:rPr>
                <w:rFonts w:hint="eastAsia" w:ascii="宋体" w:hAnsi="宋体" w:cs="宋体"/>
                <w:color w:val="auto"/>
                <w:szCs w:val="21"/>
                <w:highlight w:val="none"/>
              </w:rPr>
            </w:pPr>
          </w:p>
        </w:tc>
      </w:tr>
      <w:tr w14:paraId="05B4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2822" w:type="dxa"/>
            <w:gridSpan w:val="2"/>
            <w:tcBorders>
              <w:tl2br w:val="nil"/>
              <w:tr2bl w:val="nil"/>
            </w:tcBorders>
            <w:vAlign w:val="center"/>
          </w:tcPr>
          <w:p w14:paraId="3075F4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参加工作时间</w:t>
            </w:r>
          </w:p>
        </w:tc>
        <w:tc>
          <w:tcPr>
            <w:tcW w:w="1534" w:type="dxa"/>
            <w:tcBorders>
              <w:tl2br w:val="nil"/>
              <w:tr2bl w:val="nil"/>
            </w:tcBorders>
            <w:vAlign w:val="center"/>
          </w:tcPr>
          <w:p w14:paraId="383D0084">
            <w:pPr>
              <w:spacing w:line="360" w:lineRule="auto"/>
              <w:jc w:val="center"/>
              <w:rPr>
                <w:rFonts w:hint="eastAsia" w:ascii="宋体" w:hAnsi="宋体" w:cs="宋体"/>
                <w:color w:val="auto"/>
                <w:szCs w:val="21"/>
                <w:highlight w:val="none"/>
              </w:rPr>
            </w:pPr>
          </w:p>
        </w:tc>
        <w:tc>
          <w:tcPr>
            <w:tcW w:w="1911" w:type="dxa"/>
            <w:tcBorders>
              <w:tl2br w:val="nil"/>
              <w:tr2bl w:val="nil"/>
            </w:tcBorders>
            <w:vAlign w:val="center"/>
          </w:tcPr>
          <w:p w14:paraId="1749899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担任相应职务年限</w:t>
            </w:r>
          </w:p>
        </w:tc>
        <w:tc>
          <w:tcPr>
            <w:tcW w:w="2943" w:type="dxa"/>
            <w:gridSpan w:val="2"/>
            <w:tcBorders>
              <w:tl2br w:val="nil"/>
              <w:tr2bl w:val="nil"/>
            </w:tcBorders>
            <w:vAlign w:val="center"/>
          </w:tcPr>
          <w:p w14:paraId="7B304430">
            <w:pPr>
              <w:spacing w:line="360" w:lineRule="auto"/>
              <w:jc w:val="center"/>
              <w:rPr>
                <w:rFonts w:hint="eastAsia" w:ascii="宋体" w:hAnsi="宋体" w:cs="宋体"/>
                <w:color w:val="auto"/>
                <w:szCs w:val="21"/>
                <w:highlight w:val="none"/>
              </w:rPr>
            </w:pPr>
          </w:p>
        </w:tc>
      </w:tr>
      <w:tr w14:paraId="05D83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2822" w:type="dxa"/>
            <w:gridSpan w:val="2"/>
            <w:tcBorders>
              <w:tl2br w:val="nil"/>
              <w:tr2bl w:val="nil"/>
            </w:tcBorders>
            <w:vAlign w:val="center"/>
          </w:tcPr>
          <w:p w14:paraId="060BCB3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资格证书号</w:t>
            </w:r>
          </w:p>
        </w:tc>
        <w:tc>
          <w:tcPr>
            <w:tcW w:w="6388" w:type="dxa"/>
            <w:gridSpan w:val="4"/>
            <w:tcBorders>
              <w:tl2br w:val="nil"/>
              <w:tr2bl w:val="nil"/>
            </w:tcBorders>
            <w:vAlign w:val="center"/>
          </w:tcPr>
          <w:p w14:paraId="0D8015FD">
            <w:pPr>
              <w:spacing w:line="360" w:lineRule="auto"/>
              <w:jc w:val="center"/>
              <w:rPr>
                <w:rFonts w:hint="eastAsia" w:ascii="宋体" w:hAnsi="宋体" w:cs="宋体"/>
                <w:color w:val="auto"/>
                <w:szCs w:val="21"/>
                <w:highlight w:val="none"/>
              </w:rPr>
            </w:pPr>
          </w:p>
        </w:tc>
      </w:tr>
      <w:tr w14:paraId="3CE29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9210" w:type="dxa"/>
            <w:gridSpan w:val="6"/>
            <w:tcBorders>
              <w:tl2br w:val="nil"/>
              <w:tr2bl w:val="nil"/>
            </w:tcBorders>
            <w:vAlign w:val="center"/>
          </w:tcPr>
          <w:p w14:paraId="5359F39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业绩简介</w:t>
            </w:r>
          </w:p>
        </w:tc>
      </w:tr>
      <w:tr w14:paraId="7FC1D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4" w:type="dxa"/>
            <w:tcBorders>
              <w:tl2br w:val="nil"/>
              <w:tr2bl w:val="nil"/>
            </w:tcBorders>
            <w:vAlign w:val="center"/>
          </w:tcPr>
          <w:p w14:paraId="5C06623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建设单位</w:t>
            </w:r>
          </w:p>
        </w:tc>
        <w:tc>
          <w:tcPr>
            <w:tcW w:w="1488" w:type="dxa"/>
            <w:tcBorders>
              <w:tl2br w:val="nil"/>
              <w:tr2bl w:val="nil"/>
            </w:tcBorders>
            <w:vAlign w:val="center"/>
          </w:tcPr>
          <w:p w14:paraId="7BF25F8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534" w:type="dxa"/>
            <w:tcBorders>
              <w:tl2br w:val="nil"/>
              <w:tr2bl w:val="nil"/>
            </w:tcBorders>
            <w:vAlign w:val="center"/>
          </w:tcPr>
          <w:p w14:paraId="1C4864F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1911" w:type="dxa"/>
            <w:tcBorders>
              <w:tl2br w:val="nil"/>
              <w:tr2bl w:val="nil"/>
            </w:tcBorders>
            <w:vAlign w:val="center"/>
          </w:tcPr>
          <w:p w14:paraId="205608D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开、竣工日期</w:t>
            </w:r>
          </w:p>
        </w:tc>
        <w:tc>
          <w:tcPr>
            <w:tcW w:w="1361" w:type="dxa"/>
            <w:tcBorders>
              <w:tl2br w:val="nil"/>
              <w:tr2bl w:val="nil"/>
            </w:tcBorders>
            <w:vAlign w:val="center"/>
          </w:tcPr>
          <w:p w14:paraId="1F9CC6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在建或已完工程质量</w:t>
            </w:r>
          </w:p>
        </w:tc>
        <w:tc>
          <w:tcPr>
            <w:tcW w:w="1582" w:type="dxa"/>
            <w:tcBorders>
              <w:tl2br w:val="nil"/>
              <w:tr2bl w:val="nil"/>
            </w:tcBorders>
            <w:vAlign w:val="center"/>
          </w:tcPr>
          <w:p w14:paraId="5C673D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r>
      <w:tr w14:paraId="39045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4" w:type="dxa"/>
            <w:tcBorders>
              <w:tl2br w:val="nil"/>
              <w:tr2bl w:val="nil"/>
            </w:tcBorders>
            <w:vAlign w:val="center"/>
          </w:tcPr>
          <w:p w14:paraId="4A1ADC29">
            <w:pPr>
              <w:spacing w:line="360" w:lineRule="auto"/>
              <w:jc w:val="left"/>
              <w:rPr>
                <w:rFonts w:hint="eastAsia" w:ascii="宋体" w:hAnsi="宋体" w:cs="宋体"/>
                <w:color w:val="auto"/>
                <w:szCs w:val="21"/>
                <w:highlight w:val="none"/>
              </w:rPr>
            </w:pPr>
          </w:p>
        </w:tc>
        <w:tc>
          <w:tcPr>
            <w:tcW w:w="1488" w:type="dxa"/>
            <w:tcBorders>
              <w:tl2br w:val="nil"/>
              <w:tr2bl w:val="nil"/>
            </w:tcBorders>
            <w:vAlign w:val="center"/>
          </w:tcPr>
          <w:p w14:paraId="037CE425">
            <w:pPr>
              <w:spacing w:line="360" w:lineRule="auto"/>
              <w:jc w:val="left"/>
              <w:rPr>
                <w:rFonts w:hint="eastAsia" w:ascii="宋体" w:hAnsi="宋体" w:cs="宋体"/>
                <w:color w:val="auto"/>
                <w:szCs w:val="21"/>
                <w:highlight w:val="none"/>
              </w:rPr>
            </w:pPr>
          </w:p>
        </w:tc>
        <w:tc>
          <w:tcPr>
            <w:tcW w:w="1534" w:type="dxa"/>
            <w:tcBorders>
              <w:tl2br w:val="nil"/>
              <w:tr2bl w:val="nil"/>
            </w:tcBorders>
            <w:vAlign w:val="center"/>
          </w:tcPr>
          <w:p w14:paraId="69490B59">
            <w:pPr>
              <w:spacing w:line="360" w:lineRule="auto"/>
              <w:jc w:val="left"/>
              <w:rPr>
                <w:rFonts w:hint="eastAsia" w:ascii="宋体" w:hAnsi="宋体" w:cs="宋体"/>
                <w:color w:val="auto"/>
                <w:szCs w:val="21"/>
                <w:highlight w:val="none"/>
              </w:rPr>
            </w:pPr>
          </w:p>
        </w:tc>
        <w:tc>
          <w:tcPr>
            <w:tcW w:w="1911" w:type="dxa"/>
            <w:tcBorders>
              <w:tl2br w:val="nil"/>
              <w:tr2bl w:val="nil"/>
            </w:tcBorders>
            <w:vAlign w:val="center"/>
          </w:tcPr>
          <w:p w14:paraId="3245401B">
            <w:pPr>
              <w:spacing w:line="360" w:lineRule="auto"/>
              <w:jc w:val="left"/>
              <w:rPr>
                <w:rFonts w:hint="eastAsia" w:ascii="宋体" w:hAnsi="宋体" w:cs="宋体"/>
                <w:color w:val="auto"/>
                <w:szCs w:val="21"/>
                <w:highlight w:val="none"/>
              </w:rPr>
            </w:pPr>
          </w:p>
        </w:tc>
        <w:tc>
          <w:tcPr>
            <w:tcW w:w="1361" w:type="dxa"/>
            <w:tcBorders>
              <w:tl2br w:val="nil"/>
              <w:tr2bl w:val="nil"/>
            </w:tcBorders>
            <w:vAlign w:val="center"/>
          </w:tcPr>
          <w:p w14:paraId="25B91F6E">
            <w:pPr>
              <w:spacing w:line="360" w:lineRule="auto"/>
              <w:jc w:val="left"/>
              <w:rPr>
                <w:rFonts w:hint="eastAsia" w:ascii="宋体" w:hAnsi="宋体" w:cs="宋体"/>
                <w:color w:val="auto"/>
                <w:szCs w:val="21"/>
                <w:highlight w:val="none"/>
              </w:rPr>
            </w:pPr>
          </w:p>
        </w:tc>
        <w:tc>
          <w:tcPr>
            <w:tcW w:w="1582" w:type="dxa"/>
            <w:tcBorders>
              <w:tl2br w:val="nil"/>
              <w:tr2bl w:val="nil"/>
            </w:tcBorders>
            <w:vAlign w:val="center"/>
          </w:tcPr>
          <w:p w14:paraId="49F78DB6">
            <w:pPr>
              <w:spacing w:line="360" w:lineRule="auto"/>
              <w:jc w:val="left"/>
              <w:rPr>
                <w:rFonts w:hint="eastAsia" w:ascii="宋体" w:hAnsi="宋体" w:cs="宋体"/>
                <w:color w:val="auto"/>
                <w:szCs w:val="21"/>
                <w:highlight w:val="none"/>
              </w:rPr>
            </w:pPr>
          </w:p>
        </w:tc>
      </w:tr>
      <w:tr w14:paraId="383EF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4" w:type="dxa"/>
            <w:tcBorders>
              <w:tl2br w:val="nil"/>
              <w:tr2bl w:val="nil"/>
            </w:tcBorders>
            <w:vAlign w:val="center"/>
          </w:tcPr>
          <w:p w14:paraId="7648A702">
            <w:pPr>
              <w:spacing w:line="360" w:lineRule="auto"/>
              <w:jc w:val="left"/>
              <w:rPr>
                <w:rFonts w:hint="eastAsia" w:ascii="宋体" w:hAnsi="宋体" w:cs="宋体"/>
                <w:color w:val="auto"/>
                <w:szCs w:val="21"/>
                <w:highlight w:val="none"/>
              </w:rPr>
            </w:pPr>
          </w:p>
        </w:tc>
        <w:tc>
          <w:tcPr>
            <w:tcW w:w="1488" w:type="dxa"/>
            <w:tcBorders>
              <w:tl2br w:val="nil"/>
              <w:tr2bl w:val="nil"/>
            </w:tcBorders>
            <w:vAlign w:val="center"/>
          </w:tcPr>
          <w:p w14:paraId="5C3C0198">
            <w:pPr>
              <w:spacing w:line="360" w:lineRule="auto"/>
              <w:jc w:val="left"/>
              <w:rPr>
                <w:rFonts w:hint="eastAsia" w:ascii="宋体" w:hAnsi="宋体" w:cs="宋体"/>
                <w:color w:val="auto"/>
                <w:szCs w:val="21"/>
                <w:highlight w:val="none"/>
              </w:rPr>
            </w:pPr>
          </w:p>
        </w:tc>
        <w:tc>
          <w:tcPr>
            <w:tcW w:w="1534" w:type="dxa"/>
            <w:tcBorders>
              <w:tl2br w:val="nil"/>
              <w:tr2bl w:val="nil"/>
            </w:tcBorders>
            <w:vAlign w:val="center"/>
          </w:tcPr>
          <w:p w14:paraId="05160674">
            <w:pPr>
              <w:spacing w:line="360" w:lineRule="auto"/>
              <w:jc w:val="left"/>
              <w:rPr>
                <w:rFonts w:hint="eastAsia" w:ascii="宋体" w:hAnsi="宋体" w:cs="宋体"/>
                <w:color w:val="auto"/>
                <w:szCs w:val="21"/>
                <w:highlight w:val="none"/>
              </w:rPr>
            </w:pPr>
          </w:p>
        </w:tc>
        <w:tc>
          <w:tcPr>
            <w:tcW w:w="1911" w:type="dxa"/>
            <w:tcBorders>
              <w:tl2br w:val="nil"/>
              <w:tr2bl w:val="nil"/>
            </w:tcBorders>
            <w:vAlign w:val="center"/>
          </w:tcPr>
          <w:p w14:paraId="390248A3">
            <w:pPr>
              <w:spacing w:line="360" w:lineRule="auto"/>
              <w:jc w:val="left"/>
              <w:rPr>
                <w:rFonts w:hint="eastAsia" w:ascii="宋体" w:hAnsi="宋体" w:cs="宋体"/>
                <w:color w:val="auto"/>
                <w:szCs w:val="21"/>
                <w:highlight w:val="none"/>
              </w:rPr>
            </w:pPr>
          </w:p>
        </w:tc>
        <w:tc>
          <w:tcPr>
            <w:tcW w:w="1361" w:type="dxa"/>
            <w:tcBorders>
              <w:tl2br w:val="nil"/>
              <w:tr2bl w:val="nil"/>
            </w:tcBorders>
            <w:vAlign w:val="center"/>
          </w:tcPr>
          <w:p w14:paraId="27A96D68">
            <w:pPr>
              <w:spacing w:line="360" w:lineRule="auto"/>
              <w:jc w:val="left"/>
              <w:rPr>
                <w:rFonts w:hint="eastAsia" w:ascii="宋体" w:hAnsi="宋体" w:cs="宋体"/>
                <w:color w:val="auto"/>
                <w:szCs w:val="21"/>
                <w:highlight w:val="none"/>
              </w:rPr>
            </w:pPr>
          </w:p>
        </w:tc>
        <w:tc>
          <w:tcPr>
            <w:tcW w:w="1582" w:type="dxa"/>
            <w:tcBorders>
              <w:tl2br w:val="nil"/>
              <w:tr2bl w:val="nil"/>
            </w:tcBorders>
            <w:vAlign w:val="center"/>
          </w:tcPr>
          <w:p w14:paraId="29D7009B">
            <w:pPr>
              <w:spacing w:line="360" w:lineRule="auto"/>
              <w:jc w:val="left"/>
              <w:rPr>
                <w:rFonts w:hint="eastAsia" w:ascii="宋体" w:hAnsi="宋体" w:cs="宋体"/>
                <w:color w:val="auto"/>
                <w:szCs w:val="21"/>
                <w:highlight w:val="none"/>
              </w:rPr>
            </w:pPr>
          </w:p>
        </w:tc>
      </w:tr>
      <w:tr w14:paraId="3F06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4" w:type="dxa"/>
            <w:tcBorders>
              <w:tl2br w:val="nil"/>
              <w:tr2bl w:val="nil"/>
            </w:tcBorders>
            <w:vAlign w:val="center"/>
          </w:tcPr>
          <w:p w14:paraId="633A7269">
            <w:pPr>
              <w:spacing w:line="360" w:lineRule="auto"/>
              <w:jc w:val="left"/>
              <w:rPr>
                <w:rFonts w:hint="eastAsia" w:ascii="宋体" w:hAnsi="宋体" w:cs="宋体"/>
                <w:color w:val="auto"/>
                <w:szCs w:val="21"/>
                <w:highlight w:val="none"/>
              </w:rPr>
            </w:pPr>
          </w:p>
        </w:tc>
        <w:tc>
          <w:tcPr>
            <w:tcW w:w="1488" w:type="dxa"/>
            <w:tcBorders>
              <w:tl2br w:val="nil"/>
              <w:tr2bl w:val="nil"/>
            </w:tcBorders>
            <w:vAlign w:val="center"/>
          </w:tcPr>
          <w:p w14:paraId="54441902">
            <w:pPr>
              <w:spacing w:line="360" w:lineRule="auto"/>
              <w:jc w:val="left"/>
              <w:rPr>
                <w:rFonts w:hint="eastAsia" w:ascii="宋体" w:hAnsi="宋体" w:cs="宋体"/>
                <w:color w:val="auto"/>
                <w:szCs w:val="21"/>
                <w:highlight w:val="none"/>
              </w:rPr>
            </w:pPr>
          </w:p>
        </w:tc>
        <w:tc>
          <w:tcPr>
            <w:tcW w:w="1534" w:type="dxa"/>
            <w:tcBorders>
              <w:tl2br w:val="nil"/>
              <w:tr2bl w:val="nil"/>
            </w:tcBorders>
            <w:vAlign w:val="center"/>
          </w:tcPr>
          <w:p w14:paraId="53804D06">
            <w:pPr>
              <w:spacing w:line="360" w:lineRule="auto"/>
              <w:jc w:val="left"/>
              <w:rPr>
                <w:rFonts w:hint="eastAsia" w:ascii="宋体" w:hAnsi="宋体" w:cs="宋体"/>
                <w:color w:val="auto"/>
                <w:szCs w:val="21"/>
                <w:highlight w:val="none"/>
              </w:rPr>
            </w:pPr>
          </w:p>
        </w:tc>
        <w:tc>
          <w:tcPr>
            <w:tcW w:w="1911" w:type="dxa"/>
            <w:tcBorders>
              <w:tl2br w:val="nil"/>
              <w:tr2bl w:val="nil"/>
            </w:tcBorders>
            <w:vAlign w:val="center"/>
          </w:tcPr>
          <w:p w14:paraId="7C17BD36">
            <w:pPr>
              <w:spacing w:line="360" w:lineRule="auto"/>
              <w:jc w:val="left"/>
              <w:rPr>
                <w:rFonts w:hint="eastAsia" w:ascii="宋体" w:hAnsi="宋体" w:cs="宋体"/>
                <w:color w:val="auto"/>
                <w:szCs w:val="21"/>
                <w:highlight w:val="none"/>
              </w:rPr>
            </w:pPr>
          </w:p>
        </w:tc>
        <w:tc>
          <w:tcPr>
            <w:tcW w:w="1361" w:type="dxa"/>
            <w:tcBorders>
              <w:tl2br w:val="nil"/>
              <w:tr2bl w:val="nil"/>
            </w:tcBorders>
            <w:vAlign w:val="center"/>
          </w:tcPr>
          <w:p w14:paraId="35C2BF3F">
            <w:pPr>
              <w:spacing w:line="360" w:lineRule="auto"/>
              <w:jc w:val="left"/>
              <w:rPr>
                <w:rFonts w:hint="eastAsia" w:ascii="宋体" w:hAnsi="宋体" w:cs="宋体"/>
                <w:color w:val="auto"/>
                <w:szCs w:val="21"/>
                <w:highlight w:val="none"/>
              </w:rPr>
            </w:pPr>
          </w:p>
        </w:tc>
        <w:tc>
          <w:tcPr>
            <w:tcW w:w="1582" w:type="dxa"/>
            <w:tcBorders>
              <w:tl2br w:val="nil"/>
              <w:tr2bl w:val="nil"/>
            </w:tcBorders>
            <w:vAlign w:val="center"/>
          </w:tcPr>
          <w:p w14:paraId="0B2FACD5">
            <w:pPr>
              <w:spacing w:line="360" w:lineRule="auto"/>
              <w:jc w:val="left"/>
              <w:rPr>
                <w:rFonts w:hint="eastAsia" w:ascii="宋体" w:hAnsi="宋体" w:cs="宋体"/>
                <w:color w:val="auto"/>
                <w:szCs w:val="21"/>
                <w:highlight w:val="none"/>
              </w:rPr>
            </w:pPr>
          </w:p>
        </w:tc>
      </w:tr>
    </w:tbl>
    <w:p w14:paraId="65FF4F3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E8F2DC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5DCE12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5B53F53">
      <w:pPr>
        <w:autoSpaceDE w:val="0"/>
        <w:autoSpaceDN w:val="0"/>
        <w:adjustRightInd w:val="0"/>
        <w:spacing w:line="360" w:lineRule="auto"/>
        <w:ind w:firstLine="4677" w:firstLineChars="1886"/>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w:t>
      </w:r>
    </w:p>
    <w:p w14:paraId="354B1D8F">
      <w:pPr>
        <w:autoSpaceDE w:val="0"/>
        <w:autoSpaceDN w:val="0"/>
        <w:adjustRightInd w:val="0"/>
        <w:spacing w:line="360" w:lineRule="auto"/>
        <w:ind w:firstLine="4677" w:firstLineChars="1886"/>
        <w:jc w:val="left"/>
        <w:rPr>
          <w:rFonts w:hint="eastAsia" w:ascii="宋体" w:hAnsi="宋体" w:cs="宋体"/>
          <w:color w:val="auto"/>
          <w:sz w:val="24"/>
          <w:szCs w:val="24"/>
          <w:highlight w:val="none"/>
        </w:rPr>
      </w:pPr>
      <w:r>
        <w:rPr>
          <w:rFonts w:hint="eastAsia" w:ascii="宋体" w:hAnsi="宋体" w:cs="宋体"/>
          <w:color w:val="auto"/>
          <w:spacing w:val="4"/>
          <w:kern w:val="0"/>
          <w:sz w:val="24"/>
          <w:szCs w:val="24"/>
          <w:highlight w:val="none"/>
        </w:rPr>
        <w:t>日   期：    年    月    日</w:t>
      </w:r>
    </w:p>
    <w:p w14:paraId="1DB9B897">
      <w:pPr>
        <w:autoSpaceDE w:val="0"/>
        <w:autoSpaceDN w:val="0"/>
        <w:adjustRightInd w:val="0"/>
        <w:spacing w:line="360" w:lineRule="auto"/>
        <w:jc w:val="right"/>
        <w:rPr>
          <w:rFonts w:hint="eastAsia" w:ascii="宋体" w:hAnsi="宋体" w:cs="宋体"/>
          <w:color w:val="auto"/>
          <w:sz w:val="24"/>
          <w:szCs w:val="24"/>
          <w:highlight w:val="none"/>
        </w:rPr>
      </w:pPr>
    </w:p>
    <w:p w14:paraId="78EB30D3">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71BD02CA">
      <w:pPr>
        <w:spacing w:line="360" w:lineRule="auto"/>
        <w:rPr>
          <w:rFonts w:hint="eastAsia" w:ascii="宋体" w:hAnsi="宋体" w:cs="宋体"/>
          <w:b/>
          <w:bCs/>
          <w:color w:val="auto"/>
          <w:sz w:val="27"/>
          <w:szCs w:val="27"/>
          <w:highlight w:val="none"/>
        </w:rPr>
      </w:pPr>
      <w:bookmarkStart w:id="258" w:name="_Toc60070626"/>
      <w:r>
        <w:rPr>
          <w:rFonts w:hint="eastAsia" w:ascii="宋体" w:hAnsi="宋体" w:cs="宋体"/>
          <w:b/>
          <w:bCs/>
          <w:color w:val="auto"/>
          <w:sz w:val="27"/>
          <w:szCs w:val="27"/>
          <w:highlight w:val="none"/>
        </w:rPr>
        <w:t>格式六：</w:t>
      </w:r>
      <w:bookmarkEnd w:id="258"/>
    </w:p>
    <w:p w14:paraId="7B20EE33">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企业业绩信息表</w:t>
      </w:r>
    </w:p>
    <w:p w14:paraId="395F0D3E">
      <w:pPr>
        <w:spacing w:line="360" w:lineRule="auto"/>
        <w:rPr>
          <w:rFonts w:hint="eastAsia" w:ascii="宋体" w:hAnsi="宋体" w:cs="宋体"/>
          <w:color w:val="auto"/>
          <w:sz w:val="24"/>
          <w:szCs w:val="24"/>
          <w:highlight w:val="none"/>
        </w:rPr>
      </w:pPr>
    </w:p>
    <w:tbl>
      <w:tblPr>
        <w:tblStyle w:val="22"/>
        <w:tblpPr w:leftFromText="180" w:rightFromText="180" w:vertAnchor="text" w:horzAnchor="margin" w:tblpXSpec="center" w:tblpY="-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821"/>
        <w:gridCol w:w="2821"/>
        <w:gridCol w:w="2822"/>
      </w:tblGrid>
      <w:tr w14:paraId="16DC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restart"/>
            <w:tcBorders>
              <w:top w:val="single" w:color="auto" w:sz="4" w:space="0"/>
              <w:left w:val="single" w:color="auto" w:sz="4" w:space="0"/>
              <w:right w:val="single" w:color="auto" w:sz="4" w:space="0"/>
            </w:tcBorders>
            <w:vAlign w:val="center"/>
          </w:tcPr>
          <w:p w14:paraId="0E8BE0F6">
            <w:pPr>
              <w:widowControl/>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类似工程业绩</w:t>
            </w:r>
          </w:p>
        </w:tc>
        <w:tc>
          <w:tcPr>
            <w:tcW w:w="2821" w:type="dxa"/>
            <w:tcBorders>
              <w:top w:val="single" w:color="auto" w:sz="4" w:space="0"/>
              <w:left w:val="single" w:color="auto" w:sz="4" w:space="0"/>
              <w:right w:val="single" w:color="auto" w:sz="4" w:space="0"/>
            </w:tcBorders>
            <w:vAlign w:val="center"/>
          </w:tcPr>
          <w:p w14:paraId="27420440">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2821" w:type="dxa"/>
            <w:tcBorders>
              <w:top w:val="single" w:color="auto" w:sz="4" w:space="0"/>
              <w:left w:val="single" w:color="auto" w:sz="4" w:space="0"/>
              <w:bottom w:val="single" w:color="auto" w:sz="4" w:space="0"/>
              <w:right w:val="single" w:color="auto" w:sz="4" w:space="0"/>
            </w:tcBorders>
            <w:vAlign w:val="center"/>
          </w:tcPr>
          <w:p w14:paraId="2AA9DEA6">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 金额</w:t>
            </w:r>
          </w:p>
        </w:tc>
        <w:tc>
          <w:tcPr>
            <w:tcW w:w="2822" w:type="dxa"/>
            <w:tcBorders>
              <w:top w:val="single" w:color="auto" w:sz="4" w:space="0"/>
              <w:left w:val="single" w:color="auto" w:sz="4" w:space="0"/>
              <w:bottom w:val="single" w:color="auto" w:sz="4" w:space="0"/>
              <w:right w:val="single" w:color="auto" w:sz="4" w:space="0"/>
            </w:tcBorders>
            <w:vAlign w:val="center"/>
          </w:tcPr>
          <w:p w14:paraId="51CF4026">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项目编号</w:t>
            </w:r>
          </w:p>
        </w:tc>
      </w:tr>
      <w:tr w14:paraId="4ACD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continue"/>
            <w:tcBorders>
              <w:left w:val="single" w:color="auto" w:sz="4" w:space="0"/>
              <w:right w:val="single" w:color="auto" w:sz="4" w:space="0"/>
            </w:tcBorders>
            <w:vAlign w:val="center"/>
          </w:tcPr>
          <w:p w14:paraId="30CABB9D">
            <w:pPr>
              <w:widowControl/>
              <w:spacing w:line="360" w:lineRule="auto"/>
              <w:jc w:val="center"/>
              <w:rPr>
                <w:rFonts w:hint="eastAsia" w:ascii="宋体" w:hAnsi="宋体" w:cs="宋体"/>
                <w:bCs/>
                <w:color w:val="auto"/>
                <w:sz w:val="24"/>
                <w:szCs w:val="24"/>
                <w:highlight w:val="none"/>
                <w:lang w:val="zh-CN"/>
              </w:rPr>
            </w:pPr>
          </w:p>
        </w:tc>
        <w:tc>
          <w:tcPr>
            <w:tcW w:w="2821" w:type="dxa"/>
            <w:tcBorders>
              <w:left w:val="single" w:color="auto" w:sz="4" w:space="0"/>
              <w:right w:val="single" w:color="auto" w:sz="4" w:space="0"/>
            </w:tcBorders>
            <w:vAlign w:val="center"/>
          </w:tcPr>
          <w:p w14:paraId="6C8C3DBD">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1" w:type="dxa"/>
            <w:tcBorders>
              <w:top w:val="single" w:color="auto" w:sz="4" w:space="0"/>
              <w:left w:val="single" w:color="auto" w:sz="4" w:space="0"/>
              <w:bottom w:val="single" w:color="auto" w:sz="4" w:space="0"/>
              <w:right w:val="single" w:color="auto" w:sz="4" w:space="0"/>
            </w:tcBorders>
            <w:vAlign w:val="center"/>
          </w:tcPr>
          <w:p w14:paraId="5B297558">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2" w:type="dxa"/>
            <w:tcBorders>
              <w:top w:val="single" w:color="auto" w:sz="4" w:space="0"/>
              <w:left w:val="single" w:color="auto" w:sz="4" w:space="0"/>
              <w:bottom w:val="single" w:color="auto" w:sz="4" w:space="0"/>
              <w:right w:val="single" w:color="auto" w:sz="4" w:space="0"/>
            </w:tcBorders>
            <w:vAlign w:val="center"/>
          </w:tcPr>
          <w:p w14:paraId="60878A35">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72BC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continue"/>
            <w:tcBorders>
              <w:left w:val="single" w:color="auto" w:sz="4" w:space="0"/>
              <w:right w:val="single" w:color="auto" w:sz="4" w:space="0"/>
            </w:tcBorders>
            <w:vAlign w:val="center"/>
          </w:tcPr>
          <w:p w14:paraId="5AF90D46">
            <w:pPr>
              <w:widowControl/>
              <w:spacing w:line="360" w:lineRule="auto"/>
              <w:jc w:val="center"/>
              <w:rPr>
                <w:rFonts w:hint="eastAsia" w:ascii="宋体" w:hAnsi="宋体" w:cs="宋体"/>
                <w:bCs/>
                <w:color w:val="auto"/>
                <w:sz w:val="24"/>
                <w:szCs w:val="24"/>
                <w:highlight w:val="none"/>
                <w:lang w:val="zh-CN"/>
              </w:rPr>
            </w:pPr>
          </w:p>
        </w:tc>
        <w:tc>
          <w:tcPr>
            <w:tcW w:w="2821" w:type="dxa"/>
            <w:tcBorders>
              <w:left w:val="single" w:color="auto" w:sz="4" w:space="0"/>
              <w:right w:val="single" w:color="auto" w:sz="4" w:space="0"/>
            </w:tcBorders>
            <w:vAlign w:val="center"/>
          </w:tcPr>
          <w:p w14:paraId="1F7F2806">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1" w:type="dxa"/>
            <w:tcBorders>
              <w:top w:val="single" w:color="auto" w:sz="4" w:space="0"/>
              <w:left w:val="single" w:color="auto" w:sz="4" w:space="0"/>
              <w:bottom w:val="single" w:color="auto" w:sz="4" w:space="0"/>
              <w:right w:val="single" w:color="auto" w:sz="4" w:space="0"/>
            </w:tcBorders>
            <w:vAlign w:val="center"/>
          </w:tcPr>
          <w:p w14:paraId="6C2F2FBD">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2" w:type="dxa"/>
            <w:tcBorders>
              <w:top w:val="single" w:color="auto" w:sz="4" w:space="0"/>
              <w:left w:val="single" w:color="auto" w:sz="4" w:space="0"/>
              <w:bottom w:val="single" w:color="auto" w:sz="4" w:space="0"/>
              <w:right w:val="single" w:color="auto" w:sz="4" w:space="0"/>
            </w:tcBorders>
            <w:vAlign w:val="center"/>
          </w:tcPr>
          <w:p w14:paraId="69476363">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381E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restart"/>
            <w:tcBorders>
              <w:left w:val="single" w:color="auto" w:sz="4" w:space="0"/>
              <w:right w:val="single" w:color="auto" w:sz="4" w:space="0"/>
            </w:tcBorders>
            <w:vAlign w:val="center"/>
          </w:tcPr>
          <w:p w14:paraId="4EECC9BE">
            <w:pPr>
              <w:widowControl/>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获奖情况</w:t>
            </w:r>
          </w:p>
        </w:tc>
        <w:tc>
          <w:tcPr>
            <w:tcW w:w="2821" w:type="dxa"/>
            <w:tcBorders>
              <w:left w:val="single" w:color="auto" w:sz="4" w:space="0"/>
              <w:right w:val="single" w:color="auto" w:sz="4" w:space="0"/>
            </w:tcBorders>
            <w:vAlign w:val="center"/>
          </w:tcPr>
          <w:p w14:paraId="6D045E27">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2821" w:type="dxa"/>
            <w:tcBorders>
              <w:top w:val="single" w:color="auto" w:sz="4" w:space="0"/>
              <w:left w:val="single" w:color="auto" w:sz="4" w:space="0"/>
              <w:bottom w:val="single" w:color="auto" w:sz="4" w:space="0"/>
              <w:right w:val="single" w:color="auto" w:sz="4" w:space="0"/>
            </w:tcBorders>
            <w:vAlign w:val="center"/>
          </w:tcPr>
          <w:p w14:paraId="5B9D0018">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所获奖项</w:t>
            </w:r>
          </w:p>
        </w:tc>
        <w:tc>
          <w:tcPr>
            <w:tcW w:w="2822" w:type="dxa"/>
            <w:tcBorders>
              <w:top w:val="single" w:color="auto" w:sz="4" w:space="0"/>
              <w:left w:val="single" w:color="auto" w:sz="4" w:space="0"/>
              <w:bottom w:val="single" w:color="auto" w:sz="4" w:space="0"/>
              <w:right w:val="single" w:color="auto" w:sz="4" w:space="0"/>
            </w:tcBorders>
            <w:vAlign w:val="center"/>
          </w:tcPr>
          <w:p w14:paraId="3119715C">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备注</w:t>
            </w:r>
          </w:p>
        </w:tc>
      </w:tr>
      <w:tr w14:paraId="6B62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continue"/>
            <w:tcBorders>
              <w:left w:val="single" w:color="auto" w:sz="4" w:space="0"/>
              <w:right w:val="single" w:color="auto" w:sz="4" w:space="0"/>
            </w:tcBorders>
            <w:vAlign w:val="center"/>
          </w:tcPr>
          <w:p w14:paraId="0BAD73E7">
            <w:pPr>
              <w:widowControl/>
              <w:spacing w:line="360" w:lineRule="auto"/>
              <w:jc w:val="center"/>
              <w:rPr>
                <w:rFonts w:hint="eastAsia" w:ascii="宋体" w:hAnsi="宋体" w:cs="宋体"/>
                <w:bCs/>
                <w:color w:val="auto"/>
                <w:sz w:val="24"/>
                <w:szCs w:val="24"/>
                <w:highlight w:val="none"/>
                <w:lang w:val="zh-CN"/>
              </w:rPr>
            </w:pPr>
          </w:p>
        </w:tc>
        <w:tc>
          <w:tcPr>
            <w:tcW w:w="2821" w:type="dxa"/>
            <w:tcBorders>
              <w:left w:val="single" w:color="auto" w:sz="4" w:space="0"/>
              <w:right w:val="single" w:color="auto" w:sz="4" w:space="0"/>
            </w:tcBorders>
          </w:tcPr>
          <w:p w14:paraId="18442D27">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1" w:type="dxa"/>
            <w:tcBorders>
              <w:top w:val="single" w:color="auto" w:sz="4" w:space="0"/>
              <w:left w:val="single" w:color="auto" w:sz="4" w:space="0"/>
              <w:bottom w:val="single" w:color="auto" w:sz="4" w:space="0"/>
              <w:right w:val="single" w:color="auto" w:sz="4" w:space="0"/>
            </w:tcBorders>
            <w:vAlign w:val="center"/>
          </w:tcPr>
          <w:p w14:paraId="0A84E88B">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2" w:type="dxa"/>
            <w:tcBorders>
              <w:top w:val="single" w:color="auto" w:sz="4" w:space="0"/>
              <w:left w:val="single" w:color="auto" w:sz="4" w:space="0"/>
              <w:bottom w:val="single" w:color="auto" w:sz="4" w:space="0"/>
              <w:right w:val="single" w:color="auto" w:sz="4" w:space="0"/>
            </w:tcBorders>
            <w:vAlign w:val="center"/>
          </w:tcPr>
          <w:p w14:paraId="27D9D8E4">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3814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2" w:type="dxa"/>
            <w:vMerge w:val="continue"/>
            <w:tcBorders>
              <w:left w:val="single" w:color="auto" w:sz="4" w:space="0"/>
              <w:right w:val="single" w:color="auto" w:sz="4" w:space="0"/>
            </w:tcBorders>
            <w:vAlign w:val="center"/>
          </w:tcPr>
          <w:p w14:paraId="38E5E55E">
            <w:pPr>
              <w:widowControl/>
              <w:spacing w:line="360" w:lineRule="auto"/>
              <w:jc w:val="center"/>
              <w:rPr>
                <w:rFonts w:hint="eastAsia" w:ascii="宋体" w:hAnsi="宋体" w:cs="宋体"/>
                <w:bCs/>
                <w:color w:val="auto"/>
                <w:sz w:val="24"/>
                <w:szCs w:val="24"/>
                <w:highlight w:val="none"/>
                <w:lang w:val="zh-CN"/>
              </w:rPr>
            </w:pPr>
          </w:p>
        </w:tc>
        <w:tc>
          <w:tcPr>
            <w:tcW w:w="2821" w:type="dxa"/>
            <w:tcBorders>
              <w:left w:val="single" w:color="auto" w:sz="4" w:space="0"/>
              <w:right w:val="single" w:color="auto" w:sz="4" w:space="0"/>
            </w:tcBorders>
          </w:tcPr>
          <w:p w14:paraId="669D1B97">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1" w:type="dxa"/>
            <w:tcBorders>
              <w:top w:val="single" w:color="auto" w:sz="4" w:space="0"/>
              <w:left w:val="single" w:color="auto" w:sz="4" w:space="0"/>
              <w:bottom w:val="single" w:color="auto" w:sz="4" w:space="0"/>
              <w:right w:val="single" w:color="auto" w:sz="4" w:space="0"/>
            </w:tcBorders>
            <w:vAlign w:val="center"/>
          </w:tcPr>
          <w:p w14:paraId="343864E5">
            <w:pPr>
              <w:autoSpaceDE w:val="0"/>
              <w:autoSpaceDN w:val="0"/>
              <w:adjustRightInd w:val="0"/>
              <w:spacing w:line="360" w:lineRule="auto"/>
              <w:jc w:val="center"/>
              <w:rPr>
                <w:rFonts w:hint="eastAsia" w:ascii="宋体" w:hAnsi="宋体" w:cs="宋体"/>
                <w:bCs/>
                <w:color w:val="auto"/>
                <w:sz w:val="24"/>
                <w:szCs w:val="24"/>
                <w:highlight w:val="none"/>
                <w:lang w:val="zh-CN"/>
              </w:rPr>
            </w:pPr>
          </w:p>
        </w:tc>
        <w:tc>
          <w:tcPr>
            <w:tcW w:w="2822" w:type="dxa"/>
            <w:tcBorders>
              <w:top w:val="single" w:color="auto" w:sz="4" w:space="0"/>
              <w:left w:val="single" w:color="auto" w:sz="4" w:space="0"/>
              <w:bottom w:val="single" w:color="auto" w:sz="4" w:space="0"/>
              <w:right w:val="single" w:color="auto" w:sz="4" w:space="0"/>
            </w:tcBorders>
            <w:vAlign w:val="center"/>
          </w:tcPr>
          <w:p w14:paraId="72837463">
            <w:pPr>
              <w:autoSpaceDE w:val="0"/>
              <w:autoSpaceDN w:val="0"/>
              <w:adjustRightInd w:val="0"/>
              <w:spacing w:line="360" w:lineRule="auto"/>
              <w:jc w:val="center"/>
              <w:rPr>
                <w:rFonts w:hint="eastAsia" w:ascii="宋体" w:hAnsi="宋体" w:cs="宋体"/>
                <w:bCs/>
                <w:color w:val="auto"/>
                <w:sz w:val="24"/>
                <w:szCs w:val="24"/>
                <w:highlight w:val="none"/>
                <w:lang w:val="zh-CN"/>
              </w:rPr>
            </w:pPr>
          </w:p>
        </w:tc>
      </w:tr>
    </w:tbl>
    <w:p w14:paraId="17C575AF">
      <w:pPr>
        <w:spacing w:line="360" w:lineRule="auto"/>
        <w:jc w:val="left"/>
        <w:rPr>
          <w:rFonts w:hint="eastAsia" w:ascii="宋体" w:hAnsi="宋体" w:cs="宋体"/>
          <w:bCs/>
          <w:color w:val="auto"/>
          <w:szCs w:val="24"/>
          <w:highlight w:val="none"/>
        </w:rPr>
      </w:pPr>
    </w:p>
    <w:p w14:paraId="0D4079F8">
      <w:pPr>
        <w:autoSpaceDE w:val="0"/>
        <w:autoSpaceDN w:val="0"/>
        <w:adjustRightInd w:val="0"/>
        <w:spacing w:line="360" w:lineRule="auto"/>
        <w:rPr>
          <w:rFonts w:hint="eastAsia" w:ascii="宋体" w:hAnsi="宋体" w:cs="宋体"/>
          <w:color w:val="auto"/>
          <w:sz w:val="24"/>
          <w:szCs w:val="24"/>
          <w:highlight w:val="none"/>
        </w:rPr>
      </w:pPr>
    </w:p>
    <w:p w14:paraId="7D93C5D4">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291952B3">
      <w:pPr>
        <w:spacing w:line="360" w:lineRule="auto"/>
        <w:rPr>
          <w:rFonts w:hint="eastAsia" w:ascii="宋体" w:hAnsi="宋体" w:cs="宋体"/>
          <w:b/>
          <w:bCs/>
          <w:color w:val="auto"/>
          <w:sz w:val="27"/>
          <w:szCs w:val="27"/>
          <w:highlight w:val="none"/>
          <w:lang w:val="zh-CN"/>
        </w:rPr>
      </w:pPr>
      <w:bookmarkStart w:id="259" w:name="_Toc60070629"/>
      <w:r>
        <w:rPr>
          <w:rFonts w:hint="eastAsia" w:ascii="宋体" w:hAnsi="宋体" w:cs="宋体"/>
          <w:b/>
          <w:bCs/>
          <w:color w:val="auto"/>
          <w:sz w:val="27"/>
          <w:szCs w:val="27"/>
          <w:highlight w:val="none"/>
        </w:rPr>
        <w:t>格式七：</w:t>
      </w:r>
      <w:bookmarkEnd w:id="259"/>
    </w:p>
    <w:p w14:paraId="4B865A18">
      <w:pPr>
        <w:autoSpaceDE w:val="0"/>
        <w:autoSpaceDN w:val="0"/>
        <w:adjustRightIn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1545"/>
      </w:tblGrid>
      <w:tr w14:paraId="46C63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C3B25FA">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序</w:t>
            </w:r>
          </w:p>
          <w:p w14:paraId="042CF12B">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号</w:t>
            </w:r>
          </w:p>
        </w:tc>
        <w:tc>
          <w:tcPr>
            <w:tcW w:w="2856" w:type="dxa"/>
            <w:tcBorders>
              <w:top w:val="single" w:color="auto" w:sz="4" w:space="0"/>
              <w:left w:val="single" w:color="auto" w:sz="4" w:space="0"/>
              <w:bottom w:val="single" w:color="auto" w:sz="4" w:space="0"/>
              <w:right w:val="single" w:color="auto" w:sz="4" w:space="0"/>
            </w:tcBorders>
            <w:vAlign w:val="center"/>
          </w:tcPr>
          <w:p w14:paraId="4B2CB026">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设备名称</w:t>
            </w:r>
          </w:p>
        </w:tc>
        <w:tc>
          <w:tcPr>
            <w:tcW w:w="2024" w:type="dxa"/>
            <w:tcBorders>
              <w:top w:val="single" w:color="auto" w:sz="4" w:space="0"/>
              <w:left w:val="single" w:color="auto" w:sz="4" w:space="0"/>
              <w:bottom w:val="single" w:color="auto" w:sz="4" w:space="0"/>
              <w:right w:val="single" w:color="auto" w:sz="4" w:space="0"/>
            </w:tcBorders>
            <w:vAlign w:val="center"/>
          </w:tcPr>
          <w:p w14:paraId="0C6E7E1F">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投入总数量</w:t>
            </w:r>
          </w:p>
        </w:tc>
        <w:tc>
          <w:tcPr>
            <w:tcW w:w="1559" w:type="dxa"/>
            <w:tcBorders>
              <w:top w:val="single" w:color="auto" w:sz="4" w:space="0"/>
              <w:left w:val="single" w:color="auto" w:sz="4" w:space="0"/>
              <w:bottom w:val="single" w:color="auto" w:sz="4" w:space="0"/>
              <w:right w:val="single" w:color="auto" w:sz="4" w:space="0"/>
            </w:tcBorders>
            <w:vAlign w:val="center"/>
          </w:tcPr>
          <w:p w14:paraId="05E91659">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来源</w:t>
            </w:r>
          </w:p>
          <w:p w14:paraId="5A0B18D1">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(自有/</w:t>
            </w:r>
          </w:p>
          <w:p w14:paraId="76C3E483">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租赁)</w:t>
            </w:r>
          </w:p>
        </w:tc>
        <w:tc>
          <w:tcPr>
            <w:tcW w:w="1545" w:type="dxa"/>
            <w:tcBorders>
              <w:top w:val="single" w:color="auto" w:sz="4" w:space="0"/>
              <w:left w:val="single" w:color="auto" w:sz="4" w:space="0"/>
              <w:bottom w:val="single" w:color="auto" w:sz="4" w:space="0"/>
              <w:right w:val="single" w:color="auto" w:sz="4" w:space="0"/>
            </w:tcBorders>
            <w:vAlign w:val="center"/>
          </w:tcPr>
          <w:p w14:paraId="54226695">
            <w:pPr>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62F5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D78F075">
            <w:pPr>
              <w:spacing w:line="360" w:lineRule="auto"/>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63AD8767">
            <w:pPr>
              <w:spacing w:line="360" w:lineRule="auto"/>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13305E86">
            <w:pPr>
              <w:spacing w:line="360" w:lineRule="auto"/>
              <w:jc w:val="center"/>
              <w:textAlignment w:val="center"/>
              <w:rPr>
                <w:rFonts w:hint="eastAsia"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1A707EE">
            <w:pPr>
              <w:spacing w:line="360" w:lineRule="auto"/>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3FE819B7">
            <w:pPr>
              <w:spacing w:line="360" w:lineRule="auto"/>
              <w:jc w:val="center"/>
              <w:textAlignment w:val="center"/>
              <w:rPr>
                <w:rFonts w:hint="eastAsia" w:ascii="宋体" w:hAnsi="宋体" w:cs="宋体"/>
                <w:color w:val="auto"/>
                <w:szCs w:val="21"/>
                <w:highlight w:val="none"/>
              </w:rPr>
            </w:pPr>
          </w:p>
        </w:tc>
      </w:tr>
      <w:tr w14:paraId="71B51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202E823">
            <w:pPr>
              <w:spacing w:line="360" w:lineRule="auto"/>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64903C49">
            <w:pPr>
              <w:spacing w:line="360" w:lineRule="auto"/>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0C65B7DB">
            <w:pPr>
              <w:spacing w:line="360" w:lineRule="auto"/>
              <w:jc w:val="center"/>
              <w:textAlignment w:val="center"/>
              <w:rPr>
                <w:rFonts w:hint="eastAsia"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54AFF49">
            <w:pPr>
              <w:spacing w:line="360" w:lineRule="auto"/>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19306C3D">
            <w:pPr>
              <w:spacing w:line="360" w:lineRule="auto"/>
              <w:jc w:val="center"/>
              <w:textAlignment w:val="center"/>
              <w:rPr>
                <w:rFonts w:hint="eastAsia" w:ascii="宋体" w:hAnsi="宋体" w:cs="宋体"/>
                <w:color w:val="auto"/>
                <w:szCs w:val="21"/>
                <w:highlight w:val="none"/>
              </w:rPr>
            </w:pPr>
          </w:p>
        </w:tc>
      </w:tr>
      <w:tr w14:paraId="4A8BE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B1B21BF">
            <w:pPr>
              <w:spacing w:line="360" w:lineRule="auto"/>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6AEA8B81">
            <w:pPr>
              <w:spacing w:line="360" w:lineRule="auto"/>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42F6BC04">
            <w:pPr>
              <w:spacing w:line="360" w:lineRule="auto"/>
              <w:jc w:val="center"/>
              <w:textAlignment w:val="center"/>
              <w:rPr>
                <w:rFonts w:hint="eastAsia"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E97AB84">
            <w:pPr>
              <w:spacing w:line="360" w:lineRule="auto"/>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6B9B940F">
            <w:pPr>
              <w:spacing w:line="360" w:lineRule="auto"/>
              <w:jc w:val="center"/>
              <w:textAlignment w:val="center"/>
              <w:rPr>
                <w:rFonts w:hint="eastAsia" w:ascii="宋体" w:hAnsi="宋体" w:cs="宋体"/>
                <w:color w:val="auto"/>
                <w:szCs w:val="21"/>
                <w:highlight w:val="none"/>
              </w:rPr>
            </w:pPr>
          </w:p>
        </w:tc>
      </w:tr>
      <w:tr w14:paraId="638DA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4B4DA9B">
            <w:pPr>
              <w:spacing w:line="360" w:lineRule="auto"/>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59336E62">
            <w:pPr>
              <w:spacing w:line="360" w:lineRule="auto"/>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251E8C08">
            <w:pPr>
              <w:spacing w:line="360" w:lineRule="auto"/>
              <w:jc w:val="center"/>
              <w:textAlignment w:val="center"/>
              <w:rPr>
                <w:rFonts w:hint="eastAsia"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FEECE00">
            <w:pPr>
              <w:spacing w:line="360" w:lineRule="auto"/>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2761873B">
            <w:pPr>
              <w:spacing w:line="360" w:lineRule="auto"/>
              <w:jc w:val="center"/>
              <w:textAlignment w:val="center"/>
              <w:rPr>
                <w:rFonts w:hint="eastAsia" w:ascii="宋体" w:hAnsi="宋体" w:cs="宋体"/>
                <w:color w:val="auto"/>
                <w:szCs w:val="21"/>
                <w:highlight w:val="none"/>
              </w:rPr>
            </w:pPr>
          </w:p>
        </w:tc>
      </w:tr>
      <w:tr w14:paraId="17CD4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BAE26F1">
            <w:pPr>
              <w:spacing w:line="360" w:lineRule="auto"/>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7318D4E6">
            <w:pPr>
              <w:spacing w:line="360" w:lineRule="auto"/>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1AAC643B">
            <w:pPr>
              <w:spacing w:line="360" w:lineRule="auto"/>
              <w:jc w:val="center"/>
              <w:textAlignment w:val="center"/>
              <w:rPr>
                <w:rFonts w:hint="eastAsia"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28DFBD4">
            <w:pPr>
              <w:spacing w:line="360" w:lineRule="auto"/>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right w:val="single" w:color="auto" w:sz="4" w:space="0"/>
            </w:tcBorders>
            <w:vAlign w:val="center"/>
          </w:tcPr>
          <w:p w14:paraId="7C02F065">
            <w:pPr>
              <w:spacing w:line="360" w:lineRule="auto"/>
              <w:jc w:val="center"/>
              <w:textAlignment w:val="center"/>
              <w:rPr>
                <w:rFonts w:hint="eastAsia" w:ascii="宋体" w:hAnsi="宋体" w:cs="宋体"/>
                <w:color w:val="auto"/>
                <w:szCs w:val="21"/>
                <w:highlight w:val="none"/>
              </w:rPr>
            </w:pPr>
          </w:p>
        </w:tc>
      </w:tr>
    </w:tbl>
    <w:p w14:paraId="38348C7F">
      <w:pPr>
        <w:topLinePunct/>
        <w:adjustRightInd w:val="0"/>
        <w:snapToGrid w:val="0"/>
        <w:spacing w:line="360" w:lineRule="auto"/>
        <w:ind w:firstLine="691" w:firstLineChars="279"/>
        <w:jc w:val="lef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注：1、设备名称及要求数量由投标人视本工程具体情况结合招标人对本工程的具体要求自行配备。</w:t>
      </w:r>
    </w:p>
    <w:p w14:paraId="52FEA639">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2、为贯彻绿色发展理念，本项目应积极使用燃料电池汽车等新能源工程车。</w:t>
      </w:r>
    </w:p>
    <w:p w14:paraId="0E3BBA7E">
      <w:pPr>
        <w:spacing w:line="360" w:lineRule="auto"/>
        <w:ind w:right="-130" w:rightChars="-62"/>
        <w:rPr>
          <w:rFonts w:hint="eastAsia" w:ascii="宋体" w:hAnsi="宋体" w:cs="宋体"/>
          <w:color w:val="auto"/>
          <w:highlight w:val="none"/>
        </w:rPr>
      </w:pPr>
    </w:p>
    <w:p w14:paraId="246E28D3">
      <w:pPr>
        <w:topLinePunct/>
        <w:adjustRightInd w:val="0"/>
        <w:snapToGrid w:val="0"/>
        <w:spacing w:line="360" w:lineRule="auto"/>
        <w:ind w:firstLine="3161" w:firstLineChars="1450"/>
        <w:rPr>
          <w:rFonts w:hint="eastAsia" w:ascii="宋体" w:hAnsi="宋体" w:cs="宋体"/>
          <w:snapToGrid w:val="0"/>
          <w:color w:val="auto"/>
          <w:spacing w:val="4"/>
          <w:kern w:val="0"/>
          <w:szCs w:val="21"/>
          <w:highlight w:val="none"/>
        </w:rPr>
      </w:pPr>
    </w:p>
    <w:p w14:paraId="3120F135">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w:t>
      </w:r>
    </w:p>
    <w:p w14:paraId="57D24DD4">
      <w:pPr>
        <w:topLinePunct/>
        <w:adjustRightInd w:val="0"/>
        <w:snapToGrid w:val="0"/>
        <w:spacing w:line="360" w:lineRule="auto"/>
        <w:ind w:firstLine="691" w:firstLineChars="279"/>
        <w:jc w:val="left"/>
        <w:rPr>
          <w:rFonts w:hint="eastAsia" w:ascii="宋体" w:hAnsi="宋体" w:cs="宋体"/>
          <w:snapToGrid w:val="0"/>
          <w:color w:val="auto"/>
          <w:spacing w:val="4"/>
          <w:kern w:val="0"/>
          <w:szCs w:val="21"/>
          <w:highlight w:val="none"/>
        </w:rPr>
      </w:pPr>
      <w:r>
        <w:rPr>
          <w:rFonts w:hint="eastAsia" w:ascii="宋体" w:hAnsi="宋体" w:cs="宋体"/>
          <w:snapToGrid w:val="0"/>
          <w:color w:val="auto"/>
          <w:spacing w:val="4"/>
          <w:kern w:val="0"/>
          <w:sz w:val="24"/>
          <w:szCs w:val="24"/>
          <w:highlight w:val="none"/>
        </w:rPr>
        <w:t>日    期：    年    月    日</w:t>
      </w:r>
    </w:p>
    <w:p w14:paraId="3A00941C">
      <w:pPr>
        <w:spacing w:line="360" w:lineRule="auto"/>
        <w:rPr>
          <w:rFonts w:hint="eastAsia" w:ascii="宋体" w:hAnsi="宋体" w:cs="宋体"/>
          <w:color w:val="auto"/>
          <w:highlight w:val="none"/>
        </w:rPr>
      </w:pPr>
    </w:p>
    <w:p w14:paraId="433EC4B2">
      <w:pPr>
        <w:widowControl/>
        <w:spacing w:line="360" w:lineRule="auto"/>
        <w:jc w:val="left"/>
        <w:rPr>
          <w:rFonts w:hint="eastAsia" w:ascii="宋体" w:hAnsi="宋体" w:cs="宋体"/>
          <w:color w:val="auto"/>
          <w:highlight w:val="none"/>
        </w:rPr>
      </w:pPr>
      <w:r>
        <w:rPr>
          <w:rFonts w:hint="eastAsia" w:ascii="宋体" w:hAnsi="宋体" w:cs="宋体"/>
          <w:color w:val="auto"/>
          <w:highlight w:val="none"/>
        </w:rPr>
        <w:br w:type="page"/>
      </w:r>
    </w:p>
    <w:p w14:paraId="5A0CC84A">
      <w:pPr>
        <w:spacing w:line="360" w:lineRule="auto"/>
        <w:rPr>
          <w:rFonts w:hint="eastAsia" w:ascii="宋体" w:hAnsi="宋体" w:cs="宋体"/>
          <w:b/>
          <w:bCs/>
          <w:color w:val="auto"/>
          <w:sz w:val="27"/>
          <w:szCs w:val="27"/>
          <w:highlight w:val="none"/>
        </w:rPr>
      </w:pPr>
      <w:bookmarkStart w:id="260" w:name="_Toc60070630"/>
      <w:bookmarkStart w:id="261" w:name="_Toc58838602"/>
      <w:r>
        <w:rPr>
          <w:rFonts w:hint="eastAsia" w:ascii="宋体" w:hAnsi="宋体" w:cs="宋体"/>
          <w:b/>
          <w:bCs/>
          <w:color w:val="auto"/>
          <w:sz w:val="27"/>
          <w:szCs w:val="27"/>
          <w:highlight w:val="none"/>
        </w:rPr>
        <w:t>格式八：</w:t>
      </w:r>
      <w:bookmarkEnd w:id="260"/>
    </w:p>
    <w:p w14:paraId="376CA0BD">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危险性较大的分部分项工程安全管理措施</w:t>
      </w:r>
      <w:bookmarkEnd w:id="261"/>
    </w:p>
    <w:p w14:paraId="5D5F550A">
      <w:pPr>
        <w:numPr>
          <w:ilvl w:val="0"/>
          <w:numId w:val="2"/>
        </w:numPr>
        <w:autoSpaceDE w:val="0"/>
        <w:autoSpaceDN w:val="0"/>
        <w:adjustRightInd w:val="0"/>
        <w:spacing w:line="360" w:lineRule="auto"/>
        <w:jc w:val="left"/>
        <w:rPr>
          <w:rFonts w:hint="eastAsia" w:ascii="宋体" w:hAnsi="宋体" w:cs="宋体"/>
          <w:snapToGrid w:val="0"/>
          <w:color w:val="auto"/>
          <w:spacing w:val="4"/>
          <w:kern w:val="0"/>
          <w:sz w:val="24"/>
          <w:szCs w:val="24"/>
          <w:highlight w:val="none"/>
        </w:rPr>
      </w:pPr>
      <w:r>
        <w:rPr>
          <w:rFonts w:hint="eastAsia" w:ascii="宋体" w:hAnsi="宋体" w:cs="宋体"/>
          <w:color w:val="auto"/>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2D4E4D6E">
      <w:pPr>
        <w:numPr>
          <w:ilvl w:val="0"/>
          <w:numId w:val="2"/>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s="宋体"/>
          <w:color w:val="auto"/>
          <w:sz w:val="24"/>
          <w:szCs w:val="36"/>
          <w:highlight w:val="none"/>
        </w:rPr>
        <w:t>√”标识。</w:t>
      </w:r>
    </w:p>
    <w:p w14:paraId="2FFD44E9">
      <w:pPr>
        <w:numPr>
          <w:ilvl w:val="0"/>
          <w:numId w:val="3"/>
        </w:numPr>
        <w:autoSpaceDE w:val="0"/>
        <w:autoSpaceDN w:val="0"/>
        <w:adjustRightInd w:val="0"/>
        <w:spacing w:line="360" w:lineRule="auto"/>
        <w:jc w:val="left"/>
        <w:rPr>
          <w:rFonts w:hint="eastAsia" w:ascii="宋体" w:hAnsi="宋体" w:cs="宋体"/>
          <w:color w:val="auto"/>
          <w:sz w:val="24"/>
          <w:szCs w:val="36"/>
          <w:highlight w:val="none"/>
        </w:rPr>
      </w:pPr>
      <w:r>
        <w:rPr>
          <w:rFonts w:hint="eastAsia" w:ascii="宋体" w:hAnsi="宋体" w:cs="宋体"/>
          <w:color w:val="auto"/>
          <w:sz w:val="24"/>
          <w:szCs w:val="28"/>
          <w:highlight w:val="none"/>
        </w:rPr>
        <w:t>投标单位同意招标人在清单中标识的该项请在对应项打“</w:t>
      </w:r>
      <w:r>
        <w:rPr>
          <w:rFonts w:hint="eastAsia" w:ascii="宋体" w:hAnsi="宋体" w:cs="宋体"/>
          <w:color w:val="auto"/>
          <w:sz w:val="24"/>
          <w:szCs w:val="36"/>
          <w:highlight w:val="none"/>
        </w:rPr>
        <w:t>√”标识，并在投标文件中提供相应的安全管理措施。</w:t>
      </w:r>
    </w:p>
    <w:p w14:paraId="22497138">
      <w:pPr>
        <w:numPr>
          <w:ilvl w:val="0"/>
          <w:numId w:val="3"/>
        </w:numPr>
        <w:autoSpaceDE w:val="0"/>
        <w:autoSpaceDN w:val="0"/>
        <w:adjustRightInd w:val="0"/>
        <w:spacing w:line="360" w:lineRule="auto"/>
        <w:jc w:val="left"/>
        <w:rPr>
          <w:rFonts w:hint="eastAsia" w:ascii="宋体" w:hAnsi="宋体" w:cs="宋体"/>
          <w:color w:val="auto"/>
          <w:sz w:val="24"/>
          <w:szCs w:val="36"/>
          <w:highlight w:val="none"/>
        </w:rPr>
      </w:pPr>
      <w:r>
        <w:rPr>
          <w:rFonts w:hint="eastAsia" w:ascii="宋体" w:hAnsi="宋体" w:cs="宋体"/>
          <w:color w:val="auto"/>
          <w:sz w:val="24"/>
          <w:szCs w:val="28"/>
          <w:highlight w:val="none"/>
        </w:rPr>
        <w:t>投标单位对清单中认为需要补充的该项请在对应项打“</w:t>
      </w:r>
      <w:r>
        <w:rPr>
          <w:rFonts w:hint="eastAsia" w:ascii="宋体" w:hAnsi="宋体" w:cs="宋体"/>
          <w:color w:val="auto"/>
          <w:sz w:val="24"/>
          <w:szCs w:val="36"/>
          <w:highlight w:val="none"/>
        </w:rPr>
        <w:t>√”标识，并在投标文件中提供相应的安全管理措施。</w:t>
      </w:r>
    </w:p>
    <w:p w14:paraId="76892B43">
      <w:pPr>
        <w:numPr>
          <w:ilvl w:val="0"/>
          <w:numId w:val="3"/>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36"/>
          <w:highlight w:val="none"/>
        </w:rPr>
        <w:t>投标单位不同意招标人</w:t>
      </w:r>
      <w:r>
        <w:rPr>
          <w:rFonts w:hint="eastAsia" w:ascii="宋体" w:hAnsi="宋体" w:cs="宋体"/>
          <w:color w:val="auto"/>
          <w:sz w:val="24"/>
          <w:szCs w:val="28"/>
          <w:highlight w:val="none"/>
        </w:rPr>
        <w:t>在清单中标识的该项</w:t>
      </w:r>
      <w:r>
        <w:rPr>
          <w:rFonts w:hint="eastAsia" w:ascii="宋体" w:hAnsi="宋体" w:cs="宋体"/>
          <w:color w:val="auto"/>
          <w:sz w:val="24"/>
          <w:szCs w:val="36"/>
          <w:highlight w:val="none"/>
        </w:rPr>
        <w:t>请在对应项打“×”标识，并在备注栏填上相关说明。</w:t>
      </w:r>
    </w:p>
    <w:p w14:paraId="074D92D8">
      <w:pPr>
        <w:numPr>
          <w:ilvl w:val="0"/>
          <w:numId w:val="2"/>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投标单位应当在投标时根据招标人提供的下述第5点清单，在投标文件中编制专项施工方案。</w:t>
      </w:r>
    </w:p>
    <w:p w14:paraId="4607125B">
      <w:pPr>
        <w:numPr>
          <w:ilvl w:val="0"/>
          <w:numId w:val="2"/>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857F524">
      <w:pPr>
        <w:numPr>
          <w:ilvl w:val="0"/>
          <w:numId w:val="2"/>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危险性较大的分部分项工程清单及超过一定规模的危险性较大的分部分项工程清单：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1"/>
        <w:gridCol w:w="1579"/>
        <w:gridCol w:w="1579"/>
        <w:gridCol w:w="1239"/>
      </w:tblGrid>
      <w:tr w14:paraId="1D50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79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16435E2">
            <w:pPr>
              <w:widowControl/>
              <w:spacing w:line="360" w:lineRule="auto"/>
              <w:jc w:val="left"/>
              <w:rPr>
                <w:rFonts w:hint="eastAsia" w:ascii="宋体" w:hAnsi="宋体" w:cs="宋体"/>
                <w:b/>
                <w:color w:val="auto"/>
                <w:highlight w:val="none"/>
              </w:rPr>
            </w:pPr>
            <w:r>
              <w:rPr>
                <w:rFonts w:hint="eastAsia" w:ascii="宋体" w:hAnsi="宋体" w:cs="宋体"/>
                <w:color w:val="auto"/>
                <w:sz w:val="24"/>
                <w:szCs w:val="28"/>
                <w:highlight w:val="none"/>
              </w:rPr>
              <w:br w:type="page"/>
            </w:r>
            <w:r>
              <w:rPr>
                <w:rFonts w:hint="eastAsia" w:ascii="宋体" w:hAnsi="宋体" w:cs="宋体"/>
                <w:b/>
                <w:color w:val="auto"/>
                <w:highlight w:val="none"/>
              </w:rPr>
              <w:t>危险性较大的分部分项工程清单</w:t>
            </w:r>
          </w:p>
        </w:tc>
        <w:tc>
          <w:tcPr>
            <w:tcW w:w="79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7C73BD5F">
            <w:pPr>
              <w:spacing w:line="360" w:lineRule="auto"/>
              <w:jc w:val="center"/>
              <w:rPr>
                <w:rFonts w:hint="eastAsia" w:ascii="宋体" w:hAnsi="宋体" w:cs="宋体"/>
                <w:b/>
                <w:color w:val="auto"/>
                <w:highlight w:val="none"/>
              </w:rPr>
            </w:pPr>
            <w:r>
              <w:rPr>
                <w:rFonts w:hint="eastAsia" w:ascii="宋体" w:hAnsi="宋体" w:cs="宋体"/>
                <w:b/>
                <w:color w:val="auto"/>
                <w:highlight w:val="none"/>
              </w:rPr>
              <w:t>招标人</w:t>
            </w:r>
          </w:p>
        </w:tc>
        <w:tc>
          <w:tcPr>
            <w:tcW w:w="79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7F34CE09">
            <w:pPr>
              <w:spacing w:line="360" w:lineRule="auto"/>
              <w:jc w:val="center"/>
              <w:rPr>
                <w:rFonts w:hint="eastAsia" w:ascii="宋体" w:hAnsi="宋体" w:cs="宋体"/>
                <w:b/>
                <w:color w:val="auto"/>
                <w:highlight w:val="none"/>
              </w:rPr>
            </w:pPr>
            <w:r>
              <w:rPr>
                <w:rFonts w:hint="eastAsia" w:ascii="宋体" w:hAnsi="宋体" w:cs="宋体"/>
                <w:b/>
                <w:color w:val="auto"/>
                <w:highlight w:val="none"/>
              </w:rPr>
              <w:t>投标单位</w:t>
            </w:r>
          </w:p>
        </w:tc>
        <w:tc>
          <w:tcPr>
            <w:tcW w:w="620"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27D123A3">
            <w:pPr>
              <w:spacing w:line="360" w:lineRule="auto"/>
              <w:jc w:val="center"/>
              <w:rPr>
                <w:rFonts w:hint="eastAsia" w:ascii="宋体" w:hAnsi="宋体" w:cs="宋体"/>
                <w:b/>
                <w:color w:val="auto"/>
                <w:highlight w:val="none"/>
              </w:rPr>
            </w:pPr>
            <w:r>
              <w:rPr>
                <w:rFonts w:hint="eastAsia" w:ascii="宋体" w:hAnsi="宋体" w:cs="宋体"/>
                <w:b/>
                <w:color w:val="auto"/>
                <w:highlight w:val="none"/>
              </w:rPr>
              <w:t>备注</w:t>
            </w:r>
          </w:p>
        </w:tc>
      </w:tr>
      <w:tr w14:paraId="3C41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41F3AD06">
            <w:pPr>
              <w:spacing w:line="360" w:lineRule="auto"/>
              <w:rPr>
                <w:rFonts w:hint="eastAsia" w:ascii="宋体" w:hAnsi="宋体" w:cs="宋体"/>
                <w:b/>
                <w:color w:val="auto"/>
                <w:highlight w:val="none"/>
              </w:rPr>
            </w:pPr>
            <w:r>
              <w:rPr>
                <w:rFonts w:hint="eastAsia" w:ascii="宋体" w:hAnsi="宋体" w:cs="宋体"/>
                <w:b/>
                <w:color w:val="auto"/>
                <w:highlight w:val="none"/>
              </w:rPr>
              <w:t>一、基坑支护</w:t>
            </w:r>
          </w:p>
        </w:tc>
      </w:tr>
      <w:tr w14:paraId="6272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92" w:type="pct"/>
            <w:tcBorders>
              <w:top w:val="single" w:color="auto" w:sz="4" w:space="0"/>
              <w:left w:val="single" w:color="auto" w:sz="4" w:space="0"/>
              <w:bottom w:val="single" w:color="auto" w:sz="4" w:space="0"/>
              <w:right w:val="single" w:color="auto" w:sz="4" w:space="0"/>
            </w:tcBorders>
            <w:vAlign w:val="center"/>
          </w:tcPr>
          <w:p w14:paraId="3BDD2363">
            <w:pPr>
              <w:spacing w:line="360" w:lineRule="auto"/>
              <w:rPr>
                <w:rFonts w:hint="eastAsia" w:ascii="宋体" w:hAnsi="宋体" w:cs="宋体"/>
                <w:color w:val="auto"/>
                <w:highlight w:val="none"/>
              </w:rPr>
            </w:pPr>
            <w:r>
              <w:rPr>
                <w:rFonts w:hint="eastAsia" w:ascii="宋体" w:hAnsi="宋体" w:cs="宋体"/>
                <w:color w:val="auto"/>
                <w:highlight w:val="none"/>
              </w:rPr>
              <w:t>（一）开挖深度超过3m（含3m）的基坑（槽）的土方开挖、支护、降水工程。</w:t>
            </w:r>
          </w:p>
        </w:tc>
        <w:tc>
          <w:tcPr>
            <w:tcW w:w="793" w:type="pct"/>
            <w:tcBorders>
              <w:top w:val="single" w:color="auto" w:sz="4" w:space="0"/>
              <w:left w:val="nil"/>
              <w:bottom w:val="single" w:color="auto" w:sz="4" w:space="0"/>
              <w:right w:val="single" w:color="auto" w:sz="4" w:space="0"/>
            </w:tcBorders>
            <w:vAlign w:val="center"/>
          </w:tcPr>
          <w:p w14:paraId="2DA3502D">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D47A590">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70A76FA2">
            <w:pPr>
              <w:spacing w:line="360" w:lineRule="auto"/>
              <w:jc w:val="center"/>
              <w:rPr>
                <w:rFonts w:hint="eastAsia" w:ascii="宋体" w:hAnsi="宋体" w:cs="宋体"/>
                <w:color w:val="auto"/>
                <w:highlight w:val="none"/>
              </w:rPr>
            </w:pPr>
          </w:p>
        </w:tc>
      </w:tr>
      <w:tr w14:paraId="419A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601CED63">
            <w:pPr>
              <w:spacing w:line="360" w:lineRule="auto"/>
              <w:rPr>
                <w:rFonts w:hint="eastAsia" w:ascii="宋体" w:hAnsi="宋体" w:cs="宋体"/>
                <w:color w:val="auto"/>
                <w:highlight w:val="none"/>
              </w:rPr>
            </w:pPr>
            <w:r>
              <w:rPr>
                <w:rFonts w:hint="eastAsia" w:ascii="宋体" w:hAnsi="宋体" w:cs="宋体"/>
                <w:color w:val="auto"/>
                <w:highlight w:val="none"/>
              </w:rPr>
              <w:t>（二）开挖深度虽未超过3m，但地质条件、周围环境和地下管线复杂，或影响毗邻建、构筑物安全的基坑（槽）的土方开挖、支护、降水工程。</w:t>
            </w:r>
          </w:p>
        </w:tc>
        <w:tc>
          <w:tcPr>
            <w:tcW w:w="793" w:type="pct"/>
            <w:tcBorders>
              <w:top w:val="single" w:color="auto" w:sz="4" w:space="0"/>
              <w:left w:val="nil"/>
              <w:bottom w:val="single" w:color="auto" w:sz="4" w:space="0"/>
              <w:right w:val="single" w:color="auto" w:sz="4" w:space="0"/>
            </w:tcBorders>
            <w:vAlign w:val="center"/>
          </w:tcPr>
          <w:p w14:paraId="50CBC5BB">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346D7DD0">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67805719">
            <w:pPr>
              <w:spacing w:line="360" w:lineRule="auto"/>
              <w:jc w:val="center"/>
              <w:rPr>
                <w:rFonts w:hint="eastAsia" w:ascii="宋体" w:hAnsi="宋体" w:cs="宋体"/>
                <w:color w:val="auto"/>
                <w:highlight w:val="none"/>
              </w:rPr>
            </w:pPr>
          </w:p>
        </w:tc>
      </w:tr>
      <w:tr w14:paraId="031F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557BA2BF">
            <w:pPr>
              <w:spacing w:line="360" w:lineRule="auto"/>
              <w:rPr>
                <w:rFonts w:hint="eastAsia" w:ascii="宋体" w:hAnsi="宋体" w:cs="宋体"/>
                <w:color w:val="auto"/>
                <w:highlight w:val="none"/>
              </w:rPr>
            </w:pPr>
            <w:r>
              <w:rPr>
                <w:rFonts w:hint="eastAsia" w:ascii="宋体" w:hAnsi="宋体" w:cs="宋体"/>
                <w:b/>
                <w:color w:val="auto"/>
                <w:highlight w:val="none"/>
              </w:rPr>
              <w:t>二、模板工程及支撑体系</w:t>
            </w:r>
          </w:p>
        </w:tc>
      </w:tr>
      <w:tr w14:paraId="635B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67943E07">
            <w:pPr>
              <w:spacing w:line="360" w:lineRule="auto"/>
              <w:rPr>
                <w:rFonts w:hint="eastAsia" w:ascii="宋体" w:hAnsi="宋体" w:cs="宋体"/>
                <w:color w:val="auto"/>
                <w:highlight w:val="none"/>
              </w:rPr>
            </w:pPr>
            <w:r>
              <w:rPr>
                <w:rFonts w:hint="eastAsia" w:ascii="宋体" w:hAnsi="宋体" w:cs="宋体"/>
                <w:color w:val="auto"/>
                <w:highlight w:val="none"/>
              </w:rPr>
              <w:t>（一）各类工具式模板工程：包括滑模、爬模、飞模、隧道模等工程。</w:t>
            </w:r>
          </w:p>
        </w:tc>
        <w:tc>
          <w:tcPr>
            <w:tcW w:w="793" w:type="pct"/>
            <w:tcBorders>
              <w:top w:val="single" w:color="auto" w:sz="4" w:space="0"/>
              <w:left w:val="nil"/>
              <w:bottom w:val="single" w:color="auto" w:sz="4" w:space="0"/>
              <w:right w:val="single" w:color="auto" w:sz="4" w:space="0"/>
            </w:tcBorders>
            <w:vAlign w:val="center"/>
          </w:tcPr>
          <w:p w14:paraId="3D1C8676">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0A5F2746">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7F726A10">
            <w:pPr>
              <w:spacing w:line="360" w:lineRule="auto"/>
              <w:jc w:val="center"/>
              <w:rPr>
                <w:rFonts w:hint="eastAsia" w:ascii="宋体" w:hAnsi="宋体" w:cs="宋体"/>
                <w:color w:val="auto"/>
                <w:highlight w:val="none"/>
              </w:rPr>
            </w:pPr>
          </w:p>
        </w:tc>
      </w:tr>
      <w:tr w14:paraId="0D2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588D2B70">
            <w:pPr>
              <w:spacing w:line="360" w:lineRule="auto"/>
              <w:rPr>
                <w:rFonts w:hint="eastAsia" w:ascii="宋体" w:hAnsi="宋体" w:cs="宋体"/>
                <w:color w:val="auto"/>
                <w:highlight w:val="none"/>
              </w:rPr>
            </w:pPr>
            <w:r>
              <w:rPr>
                <w:rFonts w:hint="eastAsia" w:ascii="宋体" w:hAnsi="宋体" w:cs="宋体"/>
                <w:color w:val="auto"/>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93" w:type="pct"/>
            <w:tcBorders>
              <w:top w:val="single" w:color="auto" w:sz="4" w:space="0"/>
              <w:left w:val="nil"/>
              <w:bottom w:val="single" w:color="auto" w:sz="4" w:space="0"/>
              <w:right w:val="single" w:color="auto" w:sz="4" w:space="0"/>
            </w:tcBorders>
            <w:vAlign w:val="center"/>
          </w:tcPr>
          <w:p w14:paraId="3AC85D53">
            <w:pPr>
              <w:spacing w:line="360" w:lineRule="auto"/>
              <w:jc w:val="center"/>
              <w:rPr>
                <w:rFonts w:hint="eastAsia" w:ascii="宋体" w:hAnsi="宋体" w:cs="宋体"/>
                <w:color w:val="auto"/>
                <w:highlight w:val="none"/>
              </w:rPr>
            </w:pPr>
            <w:r>
              <w:rPr>
                <w:rFonts w:hint="eastAsia" w:ascii="宋体" w:hAnsi="宋体" w:cs="宋体"/>
                <w:color w:val="auto"/>
                <w:sz w:val="24"/>
                <w:szCs w:val="36"/>
                <w:highlight w:val="none"/>
              </w:rPr>
              <w:t>√</w:t>
            </w:r>
          </w:p>
        </w:tc>
        <w:tc>
          <w:tcPr>
            <w:tcW w:w="793" w:type="pct"/>
            <w:tcBorders>
              <w:top w:val="single" w:color="auto" w:sz="4" w:space="0"/>
              <w:left w:val="nil"/>
              <w:bottom w:val="single" w:color="auto" w:sz="4" w:space="0"/>
              <w:right w:val="single" w:color="auto" w:sz="4" w:space="0"/>
            </w:tcBorders>
            <w:vAlign w:val="center"/>
          </w:tcPr>
          <w:p w14:paraId="33B119BC">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2C35204F">
            <w:pPr>
              <w:spacing w:line="360" w:lineRule="auto"/>
              <w:jc w:val="center"/>
              <w:rPr>
                <w:rFonts w:hint="eastAsia" w:ascii="宋体" w:hAnsi="宋体" w:cs="宋体"/>
                <w:color w:val="auto"/>
                <w:highlight w:val="none"/>
              </w:rPr>
            </w:pPr>
          </w:p>
        </w:tc>
      </w:tr>
      <w:tr w14:paraId="4CD5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67A73CCF">
            <w:pPr>
              <w:widowControl/>
              <w:spacing w:line="360" w:lineRule="auto"/>
              <w:rPr>
                <w:rFonts w:hint="eastAsia" w:ascii="宋体" w:hAnsi="宋体" w:cs="宋体"/>
                <w:color w:val="auto"/>
                <w:highlight w:val="none"/>
              </w:rPr>
            </w:pPr>
            <w:r>
              <w:rPr>
                <w:rFonts w:hint="eastAsia" w:ascii="宋体" w:hAnsi="宋体" w:cs="宋体"/>
                <w:color w:val="auto"/>
                <w:highlight w:val="none"/>
              </w:rPr>
              <w:t>（三）承重支撑体系：用于钢结构安装等满堂支撑体系。</w:t>
            </w:r>
          </w:p>
        </w:tc>
        <w:tc>
          <w:tcPr>
            <w:tcW w:w="793" w:type="pct"/>
            <w:tcBorders>
              <w:top w:val="single" w:color="auto" w:sz="4" w:space="0"/>
              <w:left w:val="nil"/>
              <w:bottom w:val="single" w:color="auto" w:sz="4" w:space="0"/>
              <w:right w:val="single" w:color="auto" w:sz="4" w:space="0"/>
            </w:tcBorders>
            <w:vAlign w:val="center"/>
          </w:tcPr>
          <w:p w14:paraId="15D4B947">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CD497BC">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22CDD0F4">
            <w:pPr>
              <w:spacing w:line="360" w:lineRule="auto"/>
              <w:jc w:val="center"/>
              <w:rPr>
                <w:rFonts w:hint="eastAsia" w:ascii="宋体" w:hAnsi="宋体" w:cs="宋体"/>
                <w:color w:val="auto"/>
                <w:highlight w:val="none"/>
              </w:rPr>
            </w:pPr>
          </w:p>
        </w:tc>
      </w:tr>
      <w:tr w14:paraId="478B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4564CFF9">
            <w:pPr>
              <w:spacing w:line="360" w:lineRule="auto"/>
              <w:rPr>
                <w:rFonts w:hint="eastAsia" w:ascii="宋体" w:hAnsi="宋体" w:cs="宋体"/>
                <w:color w:val="auto"/>
                <w:highlight w:val="none"/>
              </w:rPr>
            </w:pPr>
            <w:r>
              <w:rPr>
                <w:rFonts w:hint="eastAsia" w:ascii="宋体" w:hAnsi="宋体" w:cs="宋体"/>
                <w:b/>
                <w:color w:val="auto"/>
                <w:highlight w:val="none"/>
              </w:rPr>
              <w:t>三、起重吊装及起重机械安装拆卸工程</w:t>
            </w:r>
          </w:p>
        </w:tc>
      </w:tr>
      <w:tr w14:paraId="7B43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46287992">
            <w:pPr>
              <w:widowControl/>
              <w:spacing w:line="360" w:lineRule="auto"/>
              <w:rPr>
                <w:rFonts w:hint="eastAsia" w:ascii="宋体" w:hAnsi="宋体" w:cs="宋体"/>
                <w:color w:val="auto"/>
                <w:highlight w:val="none"/>
              </w:rPr>
            </w:pPr>
            <w:r>
              <w:rPr>
                <w:rFonts w:hint="eastAsia" w:ascii="宋体" w:hAnsi="宋体" w:cs="宋体"/>
                <w:color w:val="auto"/>
                <w:highlight w:val="none"/>
              </w:rPr>
              <w:t>（一）采用非常规起重设备、方法，且单件起吊重量在10kN及以上的起重吊装工程。</w:t>
            </w:r>
          </w:p>
        </w:tc>
        <w:tc>
          <w:tcPr>
            <w:tcW w:w="793" w:type="pct"/>
            <w:tcBorders>
              <w:top w:val="single" w:color="auto" w:sz="4" w:space="0"/>
              <w:left w:val="nil"/>
              <w:bottom w:val="single" w:color="auto" w:sz="4" w:space="0"/>
              <w:right w:val="single" w:color="auto" w:sz="4" w:space="0"/>
            </w:tcBorders>
            <w:vAlign w:val="center"/>
          </w:tcPr>
          <w:p w14:paraId="19CCA29E">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5A87534D">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14938AE4">
            <w:pPr>
              <w:spacing w:line="360" w:lineRule="auto"/>
              <w:jc w:val="center"/>
              <w:rPr>
                <w:rFonts w:hint="eastAsia" w:ascii="宋体" w:hAnsi="宋体" w:cs="宋体"/>
                <w:color w:val="auto"/>
                <w:highlight w:val="none"/>
              </w:rPr>
            </w:pPr>
          </w:p>
        </w:tc>
      </w:tr>
      <w:tr w14:paraId="5D08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7A9E8413">
            <w:pPr>
              <w:spacing w:line="360" w:lineRule="auto"/>
              <w:rPr>
                <w:rFonts w:hint="eastAsia" w:ascii="宋体" w:hAnsi="宋体" w:cs="宋体"/>
                <w:color w:val="auto"/>
                <w:highlight w:val="none"/>
              </w:rPr>
            </w:pPr>
            <w:r>
              <w:rPr>
                <w:rFonts w:hint="eastAsia" w:ascii="宋体" w:hAnsi="宋体" w:cs="宋体"/>
                <w:color w:val="auto"/>
                <w:highlight w:val="none"/>
              </w:rPr>
              <w:t>（二）采用起重机械进行安装的工程。</w:t>
            </w:r>
          </w:p>
        </w:tc>
        <w:tc>
          <w:tcPr>
            <w:tcW w:w="793" w:type="pct"/>
            <w:tcBorders>
              <w:top w:val="single" w:color="auto" w:sz="4" w:space="0"/>
              <w:left w:val="nil"/>
              <w:bottom w:val="single" w:color="auto" w:sz="4" w:space="0"/>
              <w:right w:val="single" w:color="auto" w:sz="4" w:space="0"/>
            </w:tcBorders>
            <w:vAlign w:val="center"/>
          </w:tcPr>
          <w:p w14:paraId="2E3DC204">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248E9B3">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123A2E21">
            <w:pPr>
              <w:spacing w:line="360" w:lineRule="auto"/>
              <w:jc w:val="center"/>
              <w:rPr>
                <w:rFonts w:hint="eastAsia" w:ascii="宋体" w:hAnsi="宋体" w:cs="宋体"/>
                <w:color w:val="auto"/>
                <w:highlight w:val="none"/>
              </w:rPr>
            </w:pPr>
          </w:p>
        </w:tc>
      </w:tr>
      <w:tr w14:paraId="70BB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257E6C56">
            <w:pPr>
              <w:spacing w:line="360" w:lineRule="auto"/>
              <w:rPr>
                <w:rFonts w:hint="eastAsia" w:ascii="宋体" w:hAnsi="宋体" w:cs="宋体"/>
                <w:color w:val="auto"/>
                <w:highlight w:val="none"/>
              </w:rPr>
            </w:pPr>
            <w:r>
              <w:rPr>
                <w:rFonts w:hint="eastAsia" w:ascii="宋体" w:hAnsi="宋体" w:cs="宋体"/>
                <w:color w:val="auto"/>
                <w:highlight w:val="none"/>
              </w:rPr>
              <w:t>（三）起重机械安装和拆卸工程。</w:t>
            </w:r>
          </w:p>
        </w:tc>
        <w:tc>
          <w:tcPr>
            <w:tcW w:w="793" w:type="pct"/>
            <w:tcBorders>
              <w:top w:val="single" w:color="auto" w:sz="4" w:space="0"/>
              <w:left w:val="nil"/>
              <w:bottom w:val="single" w:color="auto" w:sz="4" w:space="0"/>
              <w:right w:val="single" w:color="auto" w:sz="4" w:space="0"/>
            </w:tcBorders>
            <w:vAlign w:val="center"/>
          </w:tcPr>
          <w:p w14:paraId="7E0ED437">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9F02BEF">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2DD21D4F">
            <w:pPr>
              <w:spacing w:line="360" w:lineRule="auto"/>
              <w:jc w:val="center"/>
              <w:rPr>
                <w:rFonts w:hint="eastAsia" w:ascii="宋体" w:hAnsi="宋体" w:cs="宋体"/>
                <w:color w:val="auto"/>
                <w:highlight w:val="none"/>
              </w:rPr>
            </w:pPr>
          </w:p>
        </w:tc>
      </w:tr>
      <w:tr w14:paraId="137A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55540614">
            <w:pPr>
              <w:spacing w:line="360" w:lineRule="auto"/>
              <w:rPr>
                <w:rFonts w:hint="eastAsia" w:ascii="宋体" w:hAnsi="宋体" w:cs="宋体"/>
                <w:color w:val="auto"/>
                <w:highlight w:val="none"/>
              </w:rPr>
            </w:pPr>
            <w:r>
              <w:rPr>
                <w:rFonts w:hint="eastAsia" w:ascii="宋体" w:hAnsi="宋体" w:cs="宋体"/>
                <w:b/>
                <w:color w:val="auto"/>
                <w:highlight w:val="none"/>
              </w:rPr>
              <w:t>四、脚手架工程</w:t>
            </w:r>
          </w:p>
        </w:tc>
      </w:tr>
      <w:tr w14:paraId="5125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4AF6ADE9">
            <w:pPr>
              <w:spacing w:line="360" w:lineRule="auto"/>
              <w:rPr>
                <w:rFonts w:hint="eastAsia" w:ascii="宋体" w:hAnsi="宋体" w:cs="宋体"/>
                <w:color w:val="auto"/>
                <w:highlight w:val="none"/>
              </w:rPr>
            </w:pPr>
            <w:r>
              <w:rPr>
                <w:rFonts w:hint="eastAsia" w:ascii="宋体" w:hAnsi="宋体" w:cs="宋体"/>
                <w:color w:val="auto"/>
                <w:highlight w:val="none"/>
              </w:rPr>
              <w:t>（一）搭设高度24m及以上的落地式钢管脚手架工程（包括采光井、电梯井脚手架）。</w:t>
            </w:r>
          </w:p>
        </w:tc>
        <w:tc>
          <w:tcPr>
            <w:tcW w:w="793" w:type="pct"/>
            <w:tcBorders>
              <w:top w:val="single" w:color="auto" w:sz="4" w:space="0"/>
              <w:left w:val="nil"/>
              <w:bottom w:val="single" w:color="auto" w:sz="4" w:space="0"/>
              <w:right w:val="single" w:color="auto" w:sz="4" w:space="0"/>
            </w:tcBorders>
            <w:vAlign w:val="center"/>
          </w:tcPr>
          <w:p w14:paraId="747AB0AA">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21D84E9D">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024CA366">
            <w:pPr>
              <w:spacing w:line="360" w:lineRule="auto"/>
              <w:jc w:val="center"/>
              <w:rPr>
                <w:rFonts w:hint="eastAsia" w:ascii="宋体" w:hAnsi="宋体" w:cs="宋体"/>
                <w:color w:val="auto"/>
                <w:highlight w:val="none"/>
              </w:rPr>
            </w:pPr>
          </w:p>
        </w:tc>
      </w:tr>
      <w:tr w14:paraId="2FB7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18AFF72E">
            <w:pPr>
              <w:spacing w:line="360" w:lineRule="auto"/>
              <w:rPr>
                <w:rFonts w:hint="eastAsia" w:ascii="宋体" w:hAnsi="宋体" w:cs="宋体"/>
                <w:color w:val="auto"/>
                <w:highlight w:val="none"/>
              </w:rPr>
            </w:pPr>
            <w:r>
              <w:rPr>
                <w:rFonts w:hint="eastAsia" w:ascii="宋体" w:hAnsi="宋体" w:cs="宋体"/>
                <w:color w:val="auto"/>
                <w:highlight w:val="none"/>
              </w:rPr>
              <w:t>（二）附着式升降脚手架工程。</w:t>
            </w:r>
          </w:p>
        </w:tc>
        <w:tc>
          <w:tcPr>
            <w:tcW w:w="793" w:type="pct"/>
            <w:tcBorders>
              <w:top w:val="single" w:color="auto" w:sz="4" w:space="0"/>
              <w:left w:val="nil"/>
              <w:bottom w:val="single" w:color="auto" w:sz="4" w:space="0"/>
              <w:right w:val="single" w:color="auto" w:sz="4" w:space="0"/>
            </w:tcBorders>
            <w:vAlign w:val="center"/>
          </w:tcPr>
          <w:p w14:paraId="31AA7043">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72A177EE">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3782CB24">
            <w:pPr>
              <w:spacing w:line="360" w:lineRule="auto"/>
              <w:jc w:val="center"/>
              <w:rPr>
                <w:rFonts w:hint="eastAsia" w:ascii="宋体" w:hAnsi="宋体" w:cs="宋体"/>
                <w:color w:val="auto"/>
                <w:highlight w:val="none"/>
              </w:rPr>
            </w:pPr>
          </w:p>
        </w:tc>
      </w:tr>
      <w:tr w14:paraId="513C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3DA3D3ED">
            <w:pPr>
              <w:spacing w:line="360" w:lineRule="auto"/>
              <w:rPr>
                <w:rFonts w:hint="eastAsia" w:ascii="宋体" w:hAnsi="宋体" w:cs="宋体"/>
                <w:color w:val="auto"/>
                <w:highlight w:val="none"/>
              </w:rPr>
            </w:pPr>
            <w:r>
              <w:rPr>
                <w:rFonts w:hint="eastAsia" w:ascii="宋体" w:hAnsi="宋体" w:cs="宋体"/>
                <w:color w:val="auto"/>
                <w:highlight w:val="none"/>
              </w:rPr>
              <w:t>（三）悬挑式脚手架工程。</w:t>
            </w:r>
          </w:p>
        </w:tc>
        <w:tc>
          <w:tcPr>
            <w:tcW w:w="793" w:type="pct"/>
            <w:tcBorders>
              <w:top w:val="single" w:color="auto" w:sz="4" w:space="0"/>
              <w:left w:val="nil"/>
              <w:bottom w:val="single" w:color="auto" w:sz="4" w:space="0"/>
              <w:right w:val="single" w:color="auto" w:sz="4" w:space="0"/>
            </w:tcBorders>
            <w:vAlign w:val="center"/>
          </w:tcPr>
          <w:p w14:paraId="51060A08">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FBBB410">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0EF7BDE1">
            <w:pPr>
              <w:spacing w:line="360" w:lineRule="auto"/>
              <w:jc w:val="center"/>
              <w:rPr>
                <w:rFonts w:hint="eastAsia" w:ascii="宋体" w:hAnsi="宋体" w:cs="宋体"/>
                <w:color w:val="auto"/>
                <w:highlight w:val="none"/>
              </w:rPr>
            </w:pPr>
          </w:p>
        </w:tc>
      </w:tr>
      <w:tr w14:paraId="7F81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AF6FB9A">
            <w:pPr>
              <w:spacing w:line="360" w:lineRule="auto"/>
              <w:rPr>
                <w:rFonts w:hint="eastAsia" w:ascii="宋体" w:hAnsi="宋体" w:cs="宋体"/>
                <w:color w:val="auto"/>
                <w:highlight w:val="none"/>
              </w:rPr>
            </w:pPr>
            <w:r>
              <w:rPr>
                <w:rFonts w:hint="eastAsia" w:ascii="宋体" w:hAnsi="宋体" w:cs="宋体"/>
                <w:color w:val="auto"/>
                <w:highlight w:val="none"/>
              </w:rPr>
              <w:t>（四）高处作业吊篮。</w:t>
            </w:r>
          </w:p>
        </w:tc>
        <w:tc>
          <w:tcPr>
            <w:tcW w:w="793" w:type="pct"/>
            <w:tcBorders>
              <w:top w:val="single" w:color="auto" w:sz="4" w:space="0"/>
              <w:left w:val="nil"/>
              <w:bottom w:val="single" w:color="auto" w:sz="4" w:space="0"/>
              <w:right w:val="single" w:color="auto" w:sz="4" w:space="0"/>
            </w:tcBorders>
            <w:vAlign w:val="center"/>
          </w:tcPr>
          <w:p w14:paraId="401EF6B9">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7EEBDE63">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39BF6B3C">
            <w:pPr>
              <w:spacing w:line="360" w:lineRule="auto"/>
              <w:jc w:val="center"/>
              <w:rPr>
                <w:rFonts w:hint="eastAsia" w:ascii="宋体" w:hAnsi="宋体" w:cs="宋体"/>
                <w:color w:val="auto"/>
                <w:highlight w:val="none"/>
              </w:rPr>
            </w:pPr>
          </w:p>
        </w:tc>
      </w:tr>
      <w:tr w14:paraId="4ADA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2CC72E38">
            <w:pPr>
              <w:spacing w:line="360" w:lineRule="auto"/>
              <w:rPr>
                <w:rFonts w:hint="eastAsia" w:ascii="宋体" w:hAnsi="宋体" w:cs="宋体"/>
                <w:color w:val="auto"/>
                <w:highlight w:val="none"/>
              </w:rPr>
            </w:pPr>
            <w:r>
              <w:rPr>
                <w:rFonts w:hint="eastAsia" w:ascii="宋体" w:hAnsi="宋体" w:cs="宋体"/>
                <w:color w:val="auto"/>
                <w:highlight w:val="none"/>
              </w:rPr>
              <w:t>（五）卸料平台、操作平台工程。</w:t>
            </w:r>
          </w:p>
        </w:tc>
        <w:tc>
          <w:tcPr>
            <w:tcW w:w="793" w:type="pct"/>
            <w:tcBorders>
              <w:top w:val="single" w:color="auto" w:sz="4" w:space="0"/>
              <w:left w:val="nil"/>
              <w:bottom w:val="single" w:color="auto" w:sz="4" w:space="0"/>
              <w:right w:val="single" w:color="auto" w:sz="4" w:space="0"/>
            </w:tcBorders>
            <w:vAlign w:val="center"/>
          </w:tcPr>
          <w:p w14:paraId="7044DC81">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CCC299E">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5F65437A">
            <w:pPr>
              <w:spacing w:line="360" w:lineRule="auto"/>
              <w:jc w:val="center"/>
              <w:rPr>
                <w:rFonts w:hint="eastAsia" w:ascii="宋体" w:hAnsi="宋体" w:cs="宋体"/>
                <w:color w:val="auto"/>
                <w:highlight w:val="none"/>
              </w:rPr>
            </w:pPr>
          </w:p>
        </w:tc>
      </w:tr>
      <w:tr w14:paraId="3047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3A418D40">
            <w:pPr>
              <w:spacing w:line="360" w:lineRule="auto"/>
              <w:rPr>
                <w:rFonts w:hint="eastAsia" w:ascii="宋体" w:hAnsi="宋体" w:cs="宋体"/>
                <w:color w:val="auto"/>
                <w:highlight w:val="none"/>
              </w:rPr>
            </w:pPr>
            <w:r>
              <w:rPr>
                <w:rFonts w:hint="eastAsia" w:ascii="宋体" w:hAnsi="宋体" w:cs="宋体"/>
                <w:color w:val="auto"/>
                <w:highlight w:val="none"/>
              </w:rPr>
              <w:t>（六）异型脚手架工程。</w:t>
            </w:r>
          </w:p>
        </w:tc>
        <w:tc>
          <w:tcPr>
            <w:tcW w:w="793" w:type="pct"/>
            <w:tcBorders>
              <w:top w:val="single" w:color="auto" w:sz="4" w:space="0"/>
              <w:left w:val="nil"/>
              <w:bottom w:val="single" w:color="auto" w:sz="4" w:space="0"/>
              <w:right w:val="single" w:color="auto" w:sz="4" w:space="0"/>
            </w:tcBorders>
            <w:vAlign w:val="center"/>
          </w:tcPr>
          <w:p w14:paraId="7FD4927C">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9048EC5">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5EE5C872">
            <w:pPr>
              <w:spacing w:line="360" w:lineRule="auto"/>
              <w:jc w:val="center"/>
              <w:rPr>
                <w:rFonts w:hint="eastAsia" w:ascii="宋体" w:hAnsi="宋体" w:cs="宋体"/>
                <w:color w:val="auto"/>
                <w:highlight w:val="none"/>
              </w:rPr>
            </w:pPr>
          </w:p>
        </w:tc>
      </w:tr>
      <w:tr w14:paraId="4240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4A1FD522">
            <w:pPr>
              <w:spacing w:line="360" w:lineRule="auto"/>
              <w:rPr>
                <w:rFonts w:hint="eastAsia" w:ascii="宋体" w:hAnsi="宋体" w:cs="宋体"/>
                <w:color w:val="auto"/>
                <w:highlight w:val="none"/>
              </w:rPr>
            </w:pPr>
            <w:r>
              <w:rPr>
                <w:rFonts w:hint="eastAsia" w:ascii="宋体" w:hAnsi="宋体" w:cs="宋体"/>
                <w:b/>
                <w:color w:val="auto"/>
                <w:highlight w:val="none"/>
              </w:rPr>
              <w:t>五、拆除工程</w:t>
            </w:r>
          </w:p>
        </w:tc>
      </w:tr>
      <w:tr w14:paraId="7327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37D5BB35">
            <w:pPr>
              <w:spacing w:line="360" w:lineRule="auto"/>
              <w:rPr>
                <w:rFonts w:hint="eastAsia" w:ascii="宋体" w:hAnsi="宋体" w:cs="宋体"/>
                <w:color w:val="auto"/>
                <w:highlight w:val="none"/>
              </w:rPr>
            </w:pPr>
            <w:r>
              <w:rPr>
                <w:rFonts w:hint="eastAsia" w:ascii="宋体" w:hAnsi="宋体" w:cs="宋体"/>
                <w:color w:val="auto"/>
                <w:highlight w:val="none"/>
              </w:rPr>
              <w:t>可能影响行人、交通、电力设施、通讯设施或其它建、构筑物安全的拆除工程。</w:t>
            </w:r>
          </w:p>
        </w:tc>
        <w:tc>
          <w:tcPr>
            <w:tcW w:w="793" w:type="pct"/>
            <w:tcBorders>
              <w:top w:val="single" w:color="auto" w:sz="4" w:space="0"/>
              <w:left w:val="nil"/>
              <w:bottom w:val="single" w:color="auto" w:sz="4" w:space="0"/>
              <w:right w:val="single" w:color="auto" w:sz="4" w:space="0"/>
            </w:tcBorders>
            <w:vAlign w:val="center"/>
          </w:tcPr>
          <w:p w14:paraId="1D7BB66D">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2E1222BB">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08CB1D14">
            <w:pPr>
              <w:spacing w:line="360" w:lineRule="auto"/>
              <w:jc w:val="center"/>
              <w:rPr>
                <w:rFonts w:hint="eastAsia" w:ascii="宋体" w:hAnsi="宋体" w:cs="宋体"/>
                <w:color w:val="auto"/>
                <w:highlight w:val="none"/>
              </w:rPr>
            </w:pPr>
          </w:p>
        </w:tc>
      </w:tr>
      <w:tr w14:paraId="3E4E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446DAB36">
            <w:pPr>
              <w:spacing w:line="360" w:lineRule="auto"/>
              <w:rPr>
                <w:rFonts w:hint="eastAsia" w:ascii="宋体" w:hAnsi="宋体" w:cs="宋体"/>
                <w:color w:val="auto"/>
                <w:highlight w:val="none"/>
              </w:rPr>
            </w:pPr>
            <w:r>
              <w:rPr>
                <w:rFonts w:hint="eastAsia" w:ascii="宋体" w:hAnsi="宋体" w:cs="宋体"/>
                <w:b/>
                <w:color w:val="auto"/>
                <w:highlight w:val="none"/>
              </w:rPr>
              <w:t>六、暗挖工程</w:t>
            </w:r>
          </w:p>
        </w:tc>
      </w:tr>
      <w:tr w14:paraId="1C3F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53A0ACC3">
            <w:pPr>
              <w:spacing w:line="360" w:lineRule="auto"/>
              <w:rPr>
                <w:rFonts w:hint="eastAsia" w:ascii="宋体" w:hAnsi="宋体" w:cs="宋体"/>
                <w:color w:val="auto"/>
                <w:highlight w:val="none"/>
              </w:rPr>
            </w:pPr>
            <w:r>
              <w:rPr>
                <w:rFonts w:hint="eastAsia" w:ascii="宋体" w:hAnsi="宋体" w:cs="宋体"/>
                <w:color w:val="auto"/>
                <w:highlight w:val="none"/>
              </w:rPr>
              <w:t>采用矿山法、盾构法、顶管法施工的隧道、洞室工程。</w:t>
            </w:r>
          </w:p>
        </w:tc>
        <w:tc>
          <w:tcPr>
            <w:tcW w:w="793" w:type="pct"/>
            <w:tcBorders>
              <w:top w:val="single" w:color="auto" w:sz="4" w:space="0"/>
              <w:left w:val="nil"/>
              <w:bottom w:val="single" w:color="auto" w:sz="4" w:space="0"/>
              <w:right w:val="single" w:color="auto" w:sz="4" w:space="0"/>
            </w:tcBorders>
            <w:vAlign w:val="center"/>
          </w:tcPr>
          <w:p w14:paraId="561093EC">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5507B1D4">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233DFDD7">
            <w:pPr>
              <w:spacing w:line="360" w:lineRule="auto"/>
              <w:jc w:val="center"/>
              <w:rPr>
                <w:rFonts w:hint="eastAsia" w:ascii="宋体" w:hAnsi="宋体" w:cs="宋体"/>
                <w:color w:val="auto"/>
                <w:highlight w:val="none"/>
              </w:rPr>
            </w:pPr>
          </w:p>
        </w:tc>
      </w:tr>
      <w:tr w14:paraId="27B2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59FBB095">
            <w:pPr>
              <w:spacing w:line="360" w:lineRule="auto"/>
              <w:rPr>
                <w:rFonts w:hint="eastAsia" w:ascii="宋体" w:hAnsi="宋体" w:cs="宋体"/>
                <w:color w:val="auto"/>
                <w:highlight w:val="none"/>
              </w:rPr>
            </w:pPr>
            <w:r>
              <w:rPr>
                <w:rFonts w:hint="eastAsia" w:ascii="宋体" w:hAnsi="宋体" w:cs="宋体"/>
                <w:b/>
                <w:color w:val="auto"/>
                <w:highlight w:val="none"/>
              </w:rPr>
              <w:t>七、其它</w:t>
            </w:r>
          </w:p>
        </w:tc>
      </w:tr>
      <w:tr w14:paraId="0EC4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7770E20C">
            <w:pPr>
              <w:spacing w:line="360" w:lineRule="auto"/>
              <w:rPr>
                <w:rFonts w:hint="eastAsia" w:ascii="宋体" w:hAnsi="宋体" w:cs="宋体"/>
                <w:color w:val="auto"/>
                <w:highlight w:val="none"/>
              </w:rPr>
            </w:pPr>
            <w:r>
              <w:rPr>
                <w:rFonts w:hint="eastAsia" w:ascii="宋体" w:hAnsi="宋体" w:cs="宋体"/>
                <w:color w:val="auto"/>
                <w:highlight w:val="none"/>
              </w:rPr>
              <w:t>（一）建筑幕墙安装工程。</w:t>
            </w:r>
          </w:p>
        </w:tc>
        <w:tc>
          <w:tcPr>
            <w:tcW w:w="793" w:type="pct"/>
            <w:tcBorders>
              <w:top w:val="single" w:color="auto" w:sz="4" w:space="0"/>
              <w:left w:val="nil"/>
              <w:bottom w:val="single" w:color="auto" w:sz="4" w:space="0"/>
              <w:right w:val="single" w:color="auto" w:sz="4" w:space="0"/>
            </w:tcBorders>
            <w:vAlign w:val="center"/>
          </w:tcPr>
          <w:p w14:paraId="409CDC4C">
            <w:pPr>
              <w:spacing w:line="360" w:lineRule="auto"/>
              <w:jc w:val="center"/>
              <w:rPr>
                <w:rFonts w:hint="eastAsia" w:ascii="宋体" w:hAnsi="宋体" w:cs="宋体"/>
                <w:color w:val="auto"/>
                <w:highlight w:val="none"/>
              </w:rPr>
            </w:pPr>
            <w:r>
              <w:rPr>
                <w:rFonts w:hint="eastAsia" w:ascii="宋体" w:hAnsi="宋体" w:cs="宋体"/>
                <w:color w:val="auto"/>
                <w:sz w:val="24"/>
                <w:szCs w:val="36"/>
                <w:highlight w:val="none"/>
              </w:rPr>
              <w:t>√</w:t>
            </w:r>
          </w:p>
        </w:tc>
        <w:tc>
          <w:tcPr>
            <w:tcW w:w="793" w:type="pct"/>
            <w:tcBorders>
              <w:top w:val="single" w:color="auto" w:sz="4" w:space="0"/>
              <w:left w:val="nil"/>
              <w:bottom w:val="single" w:color="auto" w:sz="4" w:space="0"/>
              <w:right w:val="single" w:color="auto" w:sz="4" w:space="0"/>
            </w:tcBorders>
            <w:vAlign w:val="center"/>
          </w:tcPr>
          <w:p w14:paraId="5CBC25DA">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3904F8A8">
            <w:pPr>
              <w:spacing w:line="360" w:lineRule="auto"/>
              <w:jc w:val="center"/>
              <w:rPr>
                <w:rFonts w:hint="eastAsia" w:ascii="宋体" w:hAnsi="宋体" w:cs="宋体"/>
                <w:color w:val="auto"/>
                <w:highlight w:val="none"/>
              </w:rPr>
            </w:pPr>
          </w:p>
        </w:tc>
      </w:tr>
      <w:tr w14:paraId="17BF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15B5D91E">
            <w:pPr>
              <w:spacing w:line="360" w:lineRule="auto"/>
              <w:rPr>
                <w:rFonts w:hint="eastAsia" w:ascii="宋体" w:hAnsi="宋体" w:cs="宋体"/>
                <w:color w:val="auto"/>
                <w:highlight w:val="none"/>
              </w:rPr>
            </w:pPr>
            <w:r>
              <w:rPr>
                <w:rFonts w:hint="eastAsia" w:ascii="宋体" w:hAnsi="宋体" w:cs="宋体"/>
                <w:color w:val="auto"/>
                <w:highlight w:val="none"/>
              </w:rPr>
              <w:t>（二）钢结构、网架和索膜结构安装工程。</w:t>
            </w:r>
          </w:p>
        </w:tc>
        <w:tc>
          <w:tcPr>
            <w:tcW w:w="793" w:type="pct"/>
            <w:tcBorders>
              <w:top w:val="single" w:color="auto" w:sz="4" w:space="0"/>
              <w:left w:val="nil"/>
              <w:bottom w:val="single" w:color="auto" w:sz="4" w:space="0"/>
              <w:right w:val="single" w:color="auto" w:sz="4" w:space="0"/>
            </w:tcBorders>
            <w:vAlign w:val="center"/>
          </w:tcPr>
          <w:p w14:paraId="7C5708DF">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31FC3CF6">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34BB7D37">
            <w:pPr>
              <w:spacing w:line="360" w:lineRule="auto"/>
              <w:jc w:val="center"/>
              <w:rPr>
                <w:rFonts w:hint="eastAsia" w:ascii="宋体" w:hAnsi="宋体" w:cs="宋体"/>
                <w:color w:val="auto"/>
                <w:highlight w:val="none"/>
              </w:rPr>
            </w:pPr>
          </w:p>
        </w:tc>
      </w:tr>
      <w:tr w14:paraId="1CCD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24769B3C">
            <w:pPr>
              <w:spacing w:line="360" w:lineRule="auto"/>
              <w:rPr>
                <w:rFonts w:hint="eastAsia" w:ascii="宋体" w:hAnsi="宋体" w:cs="宋体"/>
                <w:color w:val="auto"/>
                <w:highlight w:val="none"/>
              </w:rPr>
            </w:pPr>
            <w:r>
              <w:rPr>
                <w:rFonts w:hint="eastAsia" w:ascii="宋体" w:hAnsi="宋体" w:cs="宋体"/>
                <w:color w:val="auto"/>
                <w:highlight w:val="none"/>
              </w:rPr>
              <w:t>（三）人工挖孔桩工程。</w:t>
            </w:r>
          </w:p>
        </w:tc>
        <w:tc>
          <w:tcPr>
            <w:tcW w:w="793" w:type="pct"/>
            <w:tcBorders>
              <w:top w:val="single" w:color="auto" w:sz="4" w:space="0"/>
              <w:left w:val="nil"/>
              <w:bottom w:val="single" w:color="auto" w:sz="4" w:space="0"/>
              <w:right w:val="single" w:color="auto" w:sz="4" w:space="0"/>
            </w:tcBorders>
            <w:vAlign w:val="center"/>
          </w:tcPr>
          <w:p w14:paraId="752E2369">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06117274">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666070A1">
            <w:pPr>
              <w:spacing w:line="360" w:lineRule="auto"/>
              <w:jc w:val="center"/>
              <w:rPr>
                <w:rFonts w:hint="eastAsia" w:ascii="宋体" w:hAnsi="宋体" w:cs="宋体"/>
                <w:color w:val="auto"/>
                <w:highlight w:val="none"/>
              </w:rPr>
            </w:pPr>
          </w:p>
        </w:tc>
      </w:tr>
      <w:tr w14:paraId="1FCF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1BAFABCC">
            <w:pPr>
              <w:spacing w:line="360" w:lineRule="auto"/>
              <w:rPr>
                <w:rFonts w:hint="eastAsia" w:ascii="宋体" w:hAnsi="宋体" w:cs="宋体"/>
                <w:color w:val="auto"/>
                <w:highlight w:val="none"/>
              </w:rPr>
            </w:pPr>
            <w:r>
              <w:rPr>
                <w:rFonts w:hint="eastAsia" w:ascii="宋体" w:hAnsi="宋体" w:cs="宋体"/>
                <w:color w:val="auto"/>
                <w:highlight w:val="none"/>
              </w:rPr>
              <w:t>（四）水下作业工程。</w:t>
            </w:r>
          </w:p>
        </w:tc>
        <w:tc>
          <w:tcPr>
            <w:tcW w:w="793" w:type="pct"/>
            <w:tcBorders>
              <w:top w:val="single" w:color="auto" w:sz="4" w:space="0"/>
              <w:left w:val="nil"/>
              <w:bottom w:val="single" w:color="auto" w:sz="4" w:space="0"/>
              <w:right w:val="single" w:color="auto" w:sz="4" w:space="0"/>
            </w:tcBorders>
            <w:vAlign w:val="center"/>
          </w:tcPr>
          <w:p w14:paraId="3D5E8122">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D8CCEE3">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DE9DCFD">
            <w:pPr>
              <w:spacing w:line="360" w:lineRule="auto"/>
              <w:jc w:val="center"/>
              <w:rPr>
                <w:rFonts w:hint="eastAsia" w:ascii="宋体" w:hAnsi="宋体" w:cs="宋体"/>
                <w:color w:val="auto"/>
                <w:highlight w:val="none"/>
              </w:rPr>
            </w:pPr>
          </w:p>
        </w:tc>
      </w:tr>
      <w:tr w14:paraId="228D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0030E7E">
            <w:pPr>
              <w:spacing w:line="360" w:lineRule="auto"/>
              <w:rPr>
                <w:rFonts w:hint="eastAsia" w:ascii="宋体" w:hAnsi="宋体" w:cs="宋体"/>
                <w:color w:val="auto"/>
                <w:highlight w:val="none"/>
              </w:rPr>
            </w:pPr>
            <w:r>
              <w:rPr>
                <w:rFonts w:hint="eastAsia" w:ascii="宋体" w:hAnsi="宋体" w:cs="宋体"/>
                <w:color w:val="auto"/>
                <w:highlight w:val="none"/>
              </w:rPr>
              <w:t>（五）装配式建筑混凝土预制构件安装工程。</w:t>
            </w:r>
          </w:p>
        </w:tc>
        <w:tc>
          <w:tcPr>
            <w:tcW w:w="793" w:type="pct"/>
            <w:tcBorders>
              <w:top w:val="single" w:color="auto" w:sz="4" w:space="0"/>
              <w:left w:val="nil"/>
              <w:bottom w:val="single" w:color="auto" w:sz="4" w:space="0"/>
              <w:right w:val="single" w:color="auto" w:sz="4" w:space="0"/>
            </w:tcBorders>
            <w:vAlign w:val="center"/>
          </w:tcPr>
          <w:p w14:paraId="104FA303">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5A2D5626">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184ECFFA">
            <w:pPr>
              <w:spacing w:line="360" w:lineRule="auto"/>
              <w:jc w:val="center"/>
              <w:rPr>
                <w:rFonts w:hint="eastAsia" w:ascii="宋体" w:hAnsi="宋体" w:cs="宋体"/>
                <w:color w:val="auto"/>
                <w:highlight w:val="none"/>
              </w:rPr>
            </w:pPr>
          </w:p>
        </w:tc>
      </w:tr>
      <w:tr w14:paraId="4A3C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27E73441">
            <w:pPr>
              <w:spacing w:line="360" w:lineRule="auto"/>
              <w:rPr>
                <w:rFonts w:hint="eastAsia" w:ascii="宋体" w:hAnsi="宋体" w:cs="宋体"/>
                <w:color w:val="auto"/>
                <w:highlight w:val="none"/>
              </w:rPr>
            </w:pPr>
            <w:r>
              <w:rPr>
                <w:rFonts w:hint="eastAsia" w:ascii="宋体" w:hAnsi="宋体" w:cs="宋体"/>
                <w:color w:val="auto"/>
                <w:highlight w:val="none"/>
              </w:rPr>
              <w:t>（六）采用新技术、新工艺、新材料、新设备可能影响工程施工安全，尚无国家、行业及地方技术标准的分部分项工程。</w:t>
            </w:r>
          </w:p>
        </w:tc>
        <w:tc>
          <w:tcPr>
            <w:tcW w:w="793" w:type="pct"/>
            <w:tcBorders>
              <w:top w:val="single" w:color="auto" w:sz="4" w:space="0"/>
              <w:left w:val="nil"/>
              <w:bottom w:val="single" w:color="auto" w:sz="4" w:space="0"/>
              <w:right w:val="single" w:color="auto" w:sz="4" w:space="0"/>
            </w:tcBorders>
            <w:vAlign w:val="center"/>
          </w:tcPr>
          <w:p w14:paraId="6BCC5802">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9593FFC">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0FF878BF">
            <w:pPr>
              <w:spacing w:line="360" w:lineRule="auto"/>
              <w:jc w:val="center"/>
              <w:rPr>
                <w:rFonts w:hint="eastAsia" w:ascii="宋体" w:hAnsi="宋体" w:cs="宋体"/>
                <w:color w:val="auto"/>
                <w:highlight w:val="none"/>
              </w:rPr>
            </w:pPr>
          </w:p>
        </w:tc>
      </w:tr>
      <w:tr w14:paraId="3095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9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F8940C2">
            <w:pPr>
              <w:spacing w:line="360" w:lineRule="auto"/>
              <w:jc w:val="center"/>
              <w:rPr>
                <w:rFonts w:hint="eastAsia" w:ascii="宋体" w:hAnsi="宋体" w:cs="宋体"/>
                <w:b/>
                <w:color w:val="auto"/>
                <w:highlight w:val="none"/>
              </w:rPr>
            </w:pPr>
            <w:r>
              <w:rPr>
                <w:rFonts w:hint="eastAsia" w:ascii="宋体" w:hAnsi="宋体" w:cs="宋体"/>
                <w:b/>
                <w:color w:val="auto"/>
                <w:highlight w:val="none"/>
              </w:rPr>
              <w:t>超过一定规模的危险性较大的分部分项工程清单</w:t>
            </w:r>
          </w:p>
        </w:tc>
        <w:tc>
          <w:tcPr>
            <w:tcW w:w="79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6F8620D9">
            <w:pPr>
              <w:spacing w:line="360" w:lineRule="auto"/>
              <w:jc w:val="center"/>
              <w:rPr>
                <w:rFonts w:hint="eastAsia" w:ascii="宋体" w:hAnsi="宋体" w:cs="宋体"/>
                <w:b/>
                <w:color w:val="auto"/>
                <w:highlight w:val="none"/>
              </w:rPr>
            </w:pPr>
            <w:r>
              <w:rPr>
                <w:rFonts w:hint="eastAsia" w:ascii="宋体" w:hAnsi="宋体" w:cs="宋体"/>
                <w:b/>
                <w:color w:val="auto"/>
                <w:highlight w:val="none"/>
              </w:rPr>
              <w:t>招标人</w:t>
            </w:r>
          </w:p>
        </w:tc>
        <w:tc>
          <w:tcPr>
            <w:tcW w:w="79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07A724E3">
            <w:pPr>
              <w:spacing w:line="360" w:lineRule="auto"/>
              <w:jc w:val="center"/>
              <w:rPr>
                <w:rFonts w:hint="eastAsia" w:ascii="宋体" w:hAnsi="宋体" w:cs="宋体"/>
                <w:b/>
                <w:color w:val="auto"/>
                <w:highlight w:val="none"/>
              </w:rPr>
            </w:pPr>
            <w:r>
              <w:rPr>
                <w:rFonts w:hint="eastAsia" w:ascii="宋体" w:hAnsi="宋体" w:cs="宋体"/>
                <w:b/>
                <w:color w:val="auto"/>
                <w:highlight w:val="none"/>
              </w:rPr>
              <w:t>投标单位</w:t>
            </w:r>
          </w:p>
        </w:tc>
        <w:tc>
          <w:tcPr>
            <w:tcW w:w="620"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323EDC47">
            <w:pPr>
              <w:spacing w:line="360" w:lineRule="auto"/>
              <w:jc w:val="center"/>
              <w:rPr>
                <w:rFonts w:hint="eastAsia" w:ascii="宋体" w:hAnsi="宋体" w:cs="宋体"/>
                <w:b/>
                <w:color w:val="auto"/>
                <w:highlight w:val="none"/>
              </w:rPr>
            </w:pPr>
            <w:r>
              <w:rPr>
                <w:rFonts w:hint="eastAsia" w:ascii="宋体" w:hAnsi="宋体" w:cs="宋体"/>
                <w:b/>
                <w:color w:val="auto"/>
                <w:highlight w:val="none"/>
              </w:rPr>
              <w:t>备注</w:t>
            </w:r>
          </w:p>
        </w:tc>
      </w:tr>
      <w:tr w14:paraId="135A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6B78C642">
            <w:pPr>
              <w:spacing w:line="360" w:lineRule="auto"/>
              <w:rPr>
                <w:rFonts w:hint="eastAsia" w:ascii="宋体" w:hAnsi="宋体" w:cs="宋体"/>
                <w:b/>
                <w:color w:val="auto"/>
                <w:highlight w:val="none"/>
              </w:rPr>
            </w:pPr>
            <w:r>
              <w:rPr>
                <w:rFonts w:hint="eastAsia" w:ascii="宋体" w:hAnsi="宋体" w:cs="宋体"/>
                <w:b/>
                <w:color w:val="auto"/>
                <w:highlight w:val="none"/>
              </w:rPr>
              <w:t>一、深基坑工程</w:t>
            </w:r>
          </w:p>
        </w:tc>
      </w:tr>
      <w:tr w14:paraId="65C5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1D3E2C0C">
            <w:pPr>
              <w:spacing w:line="360" w:lineRule="auto"/>
              <w:rPr>
                <w:rFonts w:hint="eastAsia" w:ascii="宋体" w:hAnsi="宋体" w:cs="宋体"/>
                <w:color w:val="auto"/>
                <w:highlight w:val="none"/>
              </w:rPr>
            </w:pPr>
            <w:r>
              <w:rPr>
                <w:rFonts w:hint="eastAsia" w:ascii="宋体" w:hAnsi="宋体" w:cs="宋体"/>
                <w:color w:val="auto"/>
                <w:highlight w:val="none"/>
              </w:rPr>
              <w:t>开挖深度超过5m（含5m）的基坑（槽）的土方开挖、支护、降水工程。</w:t>
            </w:r>
          </w:p>
        </w:tc>
        <w:tc>
          <w:tcPr>
            <w:tcW w:w="793" w:type="pct"/>
            <w:tcBorders>
              <w:top w:val="single" w:color="auto" w:sz="4" w:space="0"/>
              <w:left w:val="nil"/>
              <w:bottom w:val="single" w:color="auto" w:sz="4" w:space="0"/>
              <w:right w:val="single" w:color="auto" w:sz="4" w:space="0"/>
            </w:tcBorders>
            <w:vAlign w:val="center"/>
          </w:tcPr>
          <w:p w14:paraId="752C7876">
            <w:pPr>
              <w:spacing w:line="360" w:lineRule="auto"/>
              <w:jc w:val="center"/>
              <w:rPr>
                <w:rFonts w:hint="eastAsia" w:ascii="宋体" w:hAnsi="宋体" w:cs="宋体"/>
                <w:b/>
                <w:color w:val="auto"/>
                <w:highlight w:val="none"/>
              </w:rPr>
            </w:pPr>
            <w:r>
              <w:rPr>
                <w:rFonts w:hint="eastAsia" w:ascii="宋体" w:hAnsi="宋体" w:cs="宋体"/>
                <w:color w:val="auto"/>
                <w:sz w:val="24"/>
                <w:szCs w:val="36"/>
                <w:highlight w:val="none"/>
              </w:rPr>
              <w:t>√</w:t>
            </w:r>
          </w:p>
        </w:tc>
        <w:tc>
          <w:tcPr>
            <w:tcW w:w="793" w:type="pct"/>
            <w:tcBorders>
              <w:top w:val="single" w:color="auto" w:sz="4" w:space="0"/>
              <w:left w:val="nil"/>
              <w:bottom w:val="single" w:color="auto" w:sz="4" w:space="0"/>
              <w:right w:val="single" w:color="auto" w:sz="4" w:space="0"/>
            </w:tcBorders>
            <w:vAlign w:val="center"/>
          </w:tcPr>
          <w:p w14:paraId="4616383C">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5D7828E4">
            <w:pPr>
              <w:spacing w:line="360" w:lineRule="auto"/>
              <w:jc w:val="center"/>
              <w:rPr>
                <w:rFonts w:hint="eastAsia" w:ascii="宋体" w:hAnsi="宋体" w:cs="宋体"/>
                <w:color w:val="auto"/>
                <w:highlight w:val="none"/>
              </w:rPr>
            </w:pPr>
          </w:p>
        </w:tc>
      </w:tr>
      <w:tr w14:paraId="4D42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693910B1">
            <w:pPr>
              <w:spacing w:line="360" w:lineRule="auto"/>
              <w:rPr>
                <w:rFonts w:hint="eastAsia" w:ascii="宋体" w:hAnsi="宋体" w:cs="宋体"/>
                <w:color w:val="auto"/>
                <w:highlight w:val="none"/>
              </w:rPr>
            </w:pPr>
            <w:r>
              <w:rPr>
                <w:rFonts w:hint="eastAsia" w:ascii="宋体" w:hAnsi="宋体" w:cs="宋体"/>
                <w:b/>
                <w:color w:val="auto"/>
                <w:highlight w:val="none"/>
              </w:rPr>
              <w:t>二、模板工程及支撑体系</w:t>
            </w:r>
          </w:p>
        </w:tc>
      </w:tr>
      <w:tr w14:paraId="5AD7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3F21091">
            <w:pPr>
              <w:spacing w:line="360" w:lineRule="auto"/>
              <w:rPr>
                <w:rFonts w:hint="eastAsia" w:ascii="宋体" w:hAnsi="宋体" w:cs="宋体"/>
                <w:color w:val="auto"/>
                <w:highlight w:val="none"/>
              </w:rPr>
            </w:pPr>
            <w:r>
              <w:rPr>
                <w:rFonts w:hint="eastAsia" w:ascii="宋体" w:hAnsi="宋体" w:cs="宋体"/>
                <w:color w:val="auto"/>
                <w:highlight w:val="none"/>
              </w:rPr>
              <w:t>（一）各类工具式模板工程：包括滑模、爬模、飞模、隧道模等工程。</w:t>
            </w:r>
          </w:p>
        </w:tc>
        <w:tc>
          <w:tcPr>
            <w:tcW w:w="793" w:type="pct"/>
            <w:tcBorders>
              <w:top w:val="single" w:color="auto" w:sz="4" w:space="0"/>
              <w:left w:val="nil"/>
              <w:bottom w:val="single" w:color="auto" w:sz="4" w:space="0"/>
              <w:right w:val="single" w:color="auto" w:sz="4" w:space="0"/>
            </w:tcBorders>
            <w:vAlign w:val="center"/>
          </w:tcPr>
          <w:p w14:paraId="78723D53">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51A79143">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247C97C6">
            <w:pPr>
              <w:spacing w:line="360" w:lineRule="auto"/>
              <w:jc w:val="center"/>
              <w:rPr>
                <w:rFonts w:hint="eastAsia" w:ascii="宋体" w:hAnsi="宋体" w:cs="宋体"/>
                <w:color w:val="auto"/>
                <w:highlight w:val="none"/>
              </w:rPr>
            </w:pPr>
          </w:p>
        </w:tc>
      </w:tr>
      <w:tr w14:paraId="55FA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1257E65F">
            <w:pPr>
              <w:spacing w:line="360" w:lineRule="auto"/>
              <w:rPr>
                <w:rFonts w:hint="eastAsia" w:ascii="宋体" w:hAnsi="宋体" w:cs="宋体"/>
                <w:color w:val="auto"/>
                <w:highlight w:val="none"/>
              </w:rPr>
            </w:pPr>
            <w:r>
              <w:rPr>
                <w:rFonts w:hint="eastAsia" w:ascii="宋体" w:hAnsi="宋体" w:cs="宋体"/>
                <w:color w:val="auto"/>
                <w:highlight w:val="none"/>
              </w:rPr>
              <w:t>（二）混凝土模板支撑工程：搭设高度8m及以上，或搭设跨度18m及以上，或施工总荷载（设计值）15kN/m2及以上，或集中线荷载（设计值）20kN/m及以上。</w:t>
            </w:r>
          </w:p>
        </w:tc>
        <w:tc>
          <w:tcPr>
            <w:tcW w:w="793" w:type="pct"/>
            <w:tcBorders>
              <w:top w:val="single" w:color="auto" w:sz="4" w:space="0"/>
              <w:left w:val="nil"/>
              <w:bottom w:val="single" w:color="auto" w:sz="4" w:space="0"/>
              <w:right w:val="single" w:color="auto" w:sz="4" w:space="0"/>
            </w:tcBorders>
            <w:vAlign w:val="center"/>
          </w:tcPr>
          <w:p w14:paraId="512D9357">
            <w:pPr>
              <w:spacing w:line="360" w:lineRule="auto"/>
              <w:jc w:val="center"/>
              <w:rPr>
                <w:rFonts w:hint="eastAsia" w:ascii="宋体" w:hAnsi="宋体" w:cs="宋体"/>
                <w:color w:val="auto"/>
                <w:highlight w:val="none"/>
              </w:rPr>
            </w:pPr>
            <w:r>
              <w:rPr>
                <w:rFonts w:hint="eastAsia" w:ascii="宋体" w:hAnsi="宋体" w:cs="宋体"/>
                <w:color w:val="auto"/>
                <w:sz w:val="24"/>
                <w:szCs w:val="36"/>
                <w:highlight w:val="none"/>
              </w:rPr>
              <w:t>√</w:t>
            </w:r>
          </w:p>
        </w:tc>
        <w:tc>
          <w:tcPr>
            <w:tcW w:w="793" w:type="pct"/>
            <w:tcBorders>
              <w:top w:val="single" w:color="auto" w:sz="4" w:space="0"/>
              <w:left w:val="nil"/>
              <w:bottom w:val="single" w:color="auto" w:sz="4" w:space="0"/>
              <w:right w:val="single" w:color="auto" w:sz="4" w:space="0"/>
            </w:tcBorders>
            <w:vAlign w:val="center"/>
          </w:tcPr>
          <w:p w14:paraId="5C7A5FB9">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5DB7245B">
            <w:pPr>
              <w:spacing w:line="360" w:lineRule="auto"/>
              <w:jc w:val="center"/>
              <w:rPr>
                <w:rFonts w:hint="eastAsia" w:ascii="宋体" w:hAnsi="宋体" w:cs="宋体"/>
                <w:color w:val="auto"/>
                <w:highlight w:val="none"/>
              </w:rPr>
            </w:pPr>
          </w:p>
        </w:tc>
      </w:tr>
      <w:tr w14:paraId="6D55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B58B96A">
            <w:pPr>
              <w:spacing w:line="360" w:lineRule="auto"/>
              <w:rPr>
                <w:rFonts w:hint="eastAsia" w:ascii="宋体" w:hAnsi="宋体" w:cs="宋体"/>
                <w:color w:val="auto"/>
                <w:highlight w:val="none"/>
              </w:rPr>
            </w:pPr>
            <w:r>
              <w:rPr>
                <w:rFonts w:hint="eastAsia" w:ascii="宋体" w:hAnsi="宋体" w:cs="宋体"/>
                <w:color w:val="auto"/>
                <w:highlight w:val="none"/>
              </w:rPr>
              <w:t>（三）承重支撑体系：用于钢结构安装等满堂支撑体系，承受单点集中荷载7kN及以上。</w:t>
            </w:r>
          </w:p>
        </w:tc>
        <w:tc>
          <w:tcPr>
            <w:tcW w:w="793" w:type="pct"/>
            <w:tcBorders>
              <w:top w:val="single" w:color="auto" w:sz="4" w:space="0"/>
              <w:left w:val="nil"/>
              <w:bottom w:val="single" w:color="auto" w:sz="4" w:space="0"/>
              <w:right w:val="single" w:color="auto" w:sz="4" w:space="0"/>
            </w:tcBorders>
            <w:vAlign w:val="center"/>
          </w:tcPr>
          <w:p w14:paraId="65CDE090">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262CD1FA">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2080193F">
            <w:pPr>
              <w:spacing w:line="360" w:lineRule="auto"/>
              <w:jc w:val="center"/>
              <w:rPr>
                <w:rFonts w:hint="eastAsia" w:ascii="宋体" w:hAnsi="宋体" w:cs="宋体"/>
                <w:color w:val="auto"/>
                <w:highlight w:val="none"/>
              </w:rPr>
            </w:pPr>
          </w:p>
        </w:tc>
      </w:tr>
      <w:tr w14:paraId="2445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7C74B4B3">
            <w:pPr>
              <w:spacing w:line="360" w:lineRule="auto"/>
              <w:rPr>
                <w:rFonts w:hint="eastAsia" w:ascii="宋体" w:hAnsi="宋体" w:cs="宋体"/>
                <w:color w:val="auto"/>
                <w:highlight w:val="none"/>
              </w:rPr>
            </w:pPr>
            <w:r>
              <w:rPr>
                <w:rFonts w:hint="eastAsia" w:ascii="宋体" w:hAnsi="宋体" w:cs="宋体"/>
                <w:b/>
                <w:color w:val="auto"/>
                <w:highlight w:val="none"/>
              </w:rPr>
              <w:t>三、起重吊装及起重机械安装拆卸工程</w:t>
            </w:r>
          </w:p>
        </w:tc>
      </w:tr>
      <w:tr w14:paraId="0826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2" w:type="pct"/>
            <w:tcBorders>
              <w:top w:val="single" w:color="auto" w:sz="4" w:space="0"/>
              <w:left w:val="single" w:color="auto" w:sz="4" w:space="0"/>
              <w:bottom w:val="single" w:color="auto" w:sz="4" w:space="0"/>
              <w:right w:val="single" w:color="auto" w:sz="4" w:space="0"/>
            </w:tcBorders>
            <w:vAlign w:val="center"/>
          </w:tcPr>
          <w:p w14:paraId="0E1FA74A">
            <w:pPr>
              <w:spacing w:line="360" w:lineRule="auto"/>
              <w:rPr>
                <w:rFonts w:hint="eastAsia" w:ascii="宋体" w:hAnsi="宋体" w:cs="宋体"/>
                <w:color w:val="auto"/>
                <w:highlight w:val="none"/>
              </w:rPr>
            </w:pPr>
            <w:r>
              <w:rPr>
                <w:rFonts w:hint="eastAsia" w:ascii="宋体" w:hAnsi="宋体" w:cs="宋体"/>
                <w:color w:val="auto"/>
                <w:highlight w:val="none"/>
              </w:rPr>
              <w:t>（一）采用非常规起重设备、方法，且单件起吊重量在100kN及以上的起重吊装工程。</w:t>
            </w:r>
          </w:p>
        </w:tc>
        <w:tc>
          <w:tcPr>
            <w:tcW w:w="793" w:type="pct"/>
            <w:tcBorders>
              <w:top w:val="single" w:color="auto" w:sz="4" w:space="0"/>
              <w:left w:val="nil"/>
              <w:bottom w:val="single" w:color="auto" w:sz="4" w:space="0"/>
              <w:right w:val="single" w:color="auto" w:sz="4" w:space="0"/>
            </w:tcBorders>
            <w:vAlign w:val="center"/>
          </w:tcPr>
          <w:p w14:paraId="6F616BB1">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076D4CC8">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0727424B">
            <w:pPr>
              <w:spacing w:line="360" w:lineRule="auto"/>
              <w:jc w:val="center"/>
              <w:rPr>
                <w:rFonts w:hint="eastAsia" w:ascii="宋体" w:hAnsi="宋体" w:cs="宋体"/>
                <w:color w:val="auto"/>
                <w:highlight w:val="none"/>
              </w:rPr>
            </w:pPr>
          </w:p>
        </w:tc>
      </w:tr>
      <w:tr w14:paraId="5A9C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55D70619">
            <w:pPr>
              <w:spacing w:line="360" w:lineRule="auto"/>
              <w:rPr>
                <w:rFonts w:hint="eastAsia" w:ascii="宋体" w:hAnsi="宋体" w:cs="宋体"/>
                <w:color w:val="auto"/>
                <w:highlight w:val="none"/>
              </w:rPr>
            </w:pPr>
            <w:r>
              <w:rPr>
                <w:rFonts w:hint="eastAsia" w:ascii="宋体" w:hAnsi="宋体" w:cs="宋体"/>
                <w:color w:val="auto"/>
                <w:highlight w:val="none"/>
              </w:rPr>
              <w:t>（二）起重量300kN及以上，或搭设总高度200m及以上，或搭设基础标高在200m及以上的起重机械安装和拆卸工程。</w:t>
            </w:r>
          </w:p>
        </w:tc>
        <w:tc>
          <w:tcPr>
            <w:tcW w:w="793" w:type="pct"/>
            <w:tcBorders>
              <w:top w:val="single" w:color="auto" w:sz="4" w:space="0"/>
              <w:left w:val="nil"/>
              <w:bottom w:val="single" w:color="auto" w:sz="4" w:space="0"/>
              <w:right w:val="single" w:color="auto" w:sz="4" w:space="0"/>
            </w:tcBorders>
            <w:vAlign w:val="center"/>
          </w:tcPr>
          <w:p w14:paraId="3511C473">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05AA41AE">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6FA651C7">
            <w:pPr>
              <w:spacing w:line="360" w:lineRule="auto"/>
              <w:jc w:val="center"/>
              <w:rPr>
                <w:rFonts w:hint="eastAsia" w:ascii="宋体" w:hAnsi="宋体" w:cs="宋体"/>
                <w:color w:val="auto"/>
                <w:highlight w:val="none"/>
              </w:rPr>
            </w:pPr>
          </w:p>
        </w:tc>
      </w:tr>
      <w:tr w14:paraId="5822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33A4E645">
            <w:pPr>
              <w:spacing w:line="360" w:lineRule="auto"/>
              <w:rPr>
                <w:rFonts w:hint="eastAsia" w:ascii="宋体" w:hAnsi="宋体" w:cs="宋体"/>
                <w:b/>
                <w:color w:val="auto"/>
                <w:highlight w:val="none"/>
              </w:rPr>
            </w:pPr>
            <w:r>
              <w:rPr>
                <w:rFonts w:hint="eastAsia" w:ascii="宋体" w:hAnsi="宋体" w:cs="宋体"/>
                <w:b/>
                <w:color w:val="auto"/>
                <w:highlight w:val="none"/>
              </w:rPr>
              <w:t>四、脚手架工程</w:t>
            </w:r>
          </w:p>
        </w:tc>
      </w:tr>
      <w:tr w14:paraId="3E56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4564DA16">
            <w:pPr>
              <w:spacing w:line="360" w:lineRule="auto"/>
              <w:rPr>
                <w:rFonts w:hint="eastAsia" w:ascii="宋体" w:hAnsi="宋体" w:cs="宋体"/>
                <w:color w:val="auto"/>
                <w:highlight w:val="none"/>
              </w:rPr>
            </w:pPr>
            <w:r>
              <w:rPr>
                <w:rFonts w:hint="eastAsia" w:ascii="宋体" w:hAnsi="宋体" w:cs="宋体"/>
                <w:color w:val="auto"/>
                <w:highlight w:val="none"/>
              </w:rPr>
              <w:t>（一）搭设高度50m及以上的落地式钢管脚手架工程。</w:t>
            </w:r>
          </w:p>
        </w:tc>
        <w:tc>
          <w:tcPr>
            <w:tcW w:w="793" w:type="pct"/>
            <w:tcBorders>
              <w:top w:val="single" w:color="auto" w:sz="4" w:space="0"/>
              <w:left w:val="nil"/>
              <w:bottom w:val="single" w:color="auto" w:sz="4" w:space="0"/>
              <w:right w:val="single" w:color="auto" w:sz="4" w:space="0"/>
            </w:tcBorders>
            <w:vAlign w:val="center"/>
          </w:tcPr>
          <w:p w14:paraId="490F5881">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CC336E2">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181D7D21">
            <w:pPr>
              <w:spacing w:line="360" w:lineRule="auto"/>
              <w:jc w:val="center"/>
              <w:rPr>
                <w:rFonts w:hint="eastAsia" w:ascii="宋体" w:hAnsi="宋体" w:cs="宋体"/>
                <w:color w:val="auto"/>
                <w:highlight w:val="none"/>
              </w:rPr>
            </w:pPr>
          </w:p>
        </w:tc>
      </w:tr>
      <w:tr w14:paraId="12EA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0AFF08A9">
            <w:pPr>
              <w:spacing w:line="360" w:lineRule="auto"/>
              <w:rPr>
                <w:rFonts w:hint="eastAsia" w:ascii="宋体" w:hAnsi="宋体" w:cs="宋体"/>
                <w:color w:val="auto"/>
                <w:highlight w:val="none"/>
              </w:rPr>
            </w:pPr>
            <w:r>
              <w:rPr>
                <w:rFonts w:hint="eastAsia" w:ascii="宋体" w:hAnsi="宋体" w:cs="宋体"/>
                <w:color w:val="auto"/>
                <w:highlight w:val="none"/>
              </w:rPr>
              <w:t>（二）提升高度在150m及以上的附着式升降脚手架工程或附着式升降操作平台工程。</w:t>
            </w:r>
          </w:p>
        </w:tc>
        <w:tc>
          <w:tcPr>
            <w:tcW w:w="793" w:type="pct"/>
            <w:tcBorders>
              <w:top w:val="single" w:color="auto" w:sz="4" w:space="0"/>
              <w:left w:val="nil"/>
              <w:bottom w:val="single" w:color="auto" w:sz="4" w:space="0"/>
              <w:right w:val="single" w:color="auto" w:sz="4" w:space="0"/>
            </w:tcBorders>
            <w:vAlign w:val="center"/>
          </w:tcPr>
          <w:p w14:paraId="74FBDF22">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7DAC0DD7">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C9BDFED">
            <w:pPr>
              <w:spacing w:line="360" w:lineRule="auto"/>
              <w:jc w:val="center"/>
              <w:rPr>
                <w:rFonts w:hint="eastAsia" w:ascii="宋体" w:hAnsi="宋体" w:cs="宋体"/>
                <w:color w:val="auto"/>
                <w:highlight w:val="none"/>
              </w:rPr>
            </w:pPr>
          </w:p>
        </w:tc>
      </w:tr>
      <w:tr w14:paraId="6AC0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42904023">
            <w:pPr>
              <w:spacing w:line="360" w:lineRule="auto"/>
              <w:rPr>
                <w:rFonts w:hint="eastAsia" w:ascii="宋体" w:hAnsi="宋体" w:cs="宋体"/>
                <w:color w:val="auto"/>
                <w:highlight w:val="none"/>
              </w:rPr>
            </w:pPr>
            <w:r>
              <w:rPr>
                <w:rFonts w:hint="eastAsia" w:ascii="宋体" w:hAnsi="宋体" w:cs="宋体"/>
                <w:color w:val="auto"/>
                <w:highlight w:val="none"/>
              </w:rPr>
              <w:t>（三）分段架体搭设高度20m及以上的悬挑式脚手架工程。</w:t>
            </w:r>
          </w:p>
        </w:tc>
        <w:tc>
          <w:tcPr>
            <w:tcW w:w="793" w:type="pct"/>
            <w:tcBorders>
              <w:top w:val="single" w:color="auto" w:sz="4" w:space="0"/>
              <w:left w:val="nil"/>
              <w:bottom w:val="single" w:color="auto" w:sz="4" w:space="0"/>
              <w:right w:val="single" w:color="auto" w:sz="4" w:space="0"/>
            </w:tcBorders>
            <w:vAlign w:val="center"/>
          </w:tcPr>
          <w:p w14:paraId="32F964FE">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24A43BCB">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B969437">
            <w:pPr>
              <w:spacing w:line="360" w:lineRule="auto"/>
              <w:jc w:val="center"/>
              <w:rPr>
                <w:rFonts w:hint="eastAsia" w:ascii="宋体" w:hAnsi="宋体" w:cs="宋体"/>
                <w:color w:val="auto"/>
                <w:highlight w:val="none"/>
              </w:rPr>
            </w:pPr>
          </w:p>
        </w:tc>
      </w:tr>
      <w:tr w14:paraId="5C0E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059263E2">
            <w:pPr>
              <w:spacing w:line="360" w:lineRule="auto"/>
              <w:rPr>
                <w:rFonts w:hint="eastAsia" w:ascii="宋体" w:hAnsi="宋体" w:cs="宋体"/>
                <w:b/>
                <w:color w:val="auto"/>
                <w:highlight w:val="none"/>
              </w:rPr>
            </w:pPr>
            <w:r>
              <w:rPr>
                <w:rFonts w:hint="eastAsia" w:ascii="宋体" w:hAnsi="宋体" w:cs="宋体"/>
                <w:b/>
                <w:color w:val="auto"/>
                <w:highlight w:val="none"/>
              </w:rPr>
              <w:t>五、拆除工程</w:t>
            </w:r>
          </w:p>
        </w:tc>
      </w:tr>
      <w:tr w14:paraId="7593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375AA7C1">
            <w:pPr>
              <w:spacing w:line="360" w:lineRule="auto"/>
              <w:rPr>
                <w:rFonts w:hint="eastAsia" w:ascii="宋体" w:hAnsi="宋体" w:cs="宋体"/>
                <w:color w:val="auto"/>
                <w:highlight w:val="none"/>
              </w:rPr>
            </w:pPr>
            <w:r>
              <w:rPr>
                <w:rFonts w:hint="eastAsia" w:ascii="宋体" w:hAnsi="宋体" w:cs="宋体"/>
                <w:color w:val="auto"/>
                <w:highlight w:val="none"/>
              </w:rPr>
              <w:t>（一）码头、桥梁、高架、烟囱、水塔或拆除中容易引起有毒有害气（液）体或粉尘扩散、易燃易爆事故发生的特殊建、构筑物的拆除工程。</w:t>
            </w:r>
          </w:p>
        </w:tc>
        <w:tc>
          <w:tcPr>
            <w:tcW w:w="793" w:type="pct"/>
            <w:tcBorders>
              <w:top w:val="single" w:color="auto" w:sz="4" w:space="0"/>
              <w:left w:val="nil"/>
              <w:bottom w:val="single" w:color="auto" w:sz="4" w:space="0"/>
              <w:right w:val="single" w:color="auto" w:sz="4" w:space="0"/>
            </w:tcBorders>
            <w:vAlign w:val="center"/>
          </w:tcPr>
          <w:p w14:paraId="2BE2644A">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272E482C">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359378EE">
            <w:pPr>
              <w:spacing w:line="360" w:lineRule="auto"/>
              <w:jc w:val="center"/>
              <w:rPr>
                <w:rFonts w:hint="eastAsia" w:ascii="宋体" w:hAnsi="宋体" w:cs="宋体"/>
                <w:color w:val="auto"/>
                <w:highlight w:val="none"/>
              </w:rPr>
            </w:pPr>
          </w:p>
        </w:tc>
      </w:tr>
      <w:tr w14:paraId="58DA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27F6848B">
            <w:pPr>
              <w:spacing w:line="360" w:lineRule="auto"/>
              <w:rPr>
                <w:rFonts w:hint="eastAsia" w:ascii="宋体" w:hAnsi="宋体" w:cs="宋体"/>
                <w:color w:val="auto"/>
                <w:highlight w:val="none"/>
              </w:rPr>
            </w:pPr>
            <w:r>
              <w:rPr>
                <w:rFonts w:hint="eastAsia" w:ascii="宋体" w:hAnsi="宋体" w:cs="宋体"/>
                <w:color w:val="auto"/>
                <w:highlight w:val="none"/>
              </w:rPr>
              <w:t>（二）文物保护建筑、优秀历史建筑或历史文化风貌区影响范围内的拆除工程。</w:t>
            </w:r>
          </w:p>
        </w:tc>
        <w:tc>
          <w:tcPr>
            <w:tcW w:w="793" w:type="pct"/>
            <w:tcBorders>
              <w:top w:val="single" w:color="auto" w:sz="4" w:space="0"/>
              <w:left w:val="nil"/>
              <w:bottom w:val="single" w:color="auto" w:sz="4" w:space="0"/>
              <w:right w:val="single" w:color="auto" w:sz="4" w:space="0"/>
            </w:tcBorders>
            <w:vAlign w:val="center"/>
          </w:tcPr>
          <w:p w14:paraId="37478BDC">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4ECD35B6">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31926933">
            <w:pPr>
              <w:spacing w:line="360" w:lineRule="auto"/>
              <w:jc w:val="center"/>
              <w:rPr>
                <w:rFonts w:hint="eastAsia" w:ascii="宋体" w:hAnsi="宋体" w:cs="宋体"/>
                <w:color w:val="auto"/>
                <w:highlight w:val="none"/>
              </w:rPr>
            </w:pPr>
          </w:p>
        </w:tc>
      </w:tr>
      <w:tr w14:paraId="7A81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55640E36">
            <w:pPr>
              <w:spacing w:line="360" w:lineRule="auto"/>
              <w:rPr>
                <w:rFonts w:hint="eastAsia" w:ascii="宋体" w:hAnsi="宋体" w:cs="宋体"/>
                <w:b/>
                <w:color w:val="auto"/>
                <w:highlight w:val="none"/>
              </w:rPr>
            </w:pPr>
            <w:r>
              <w:rPr>
                <w:rFonts w:hint="eastAsia" w:ascii="宋体" w:hAnsi="宋体" w:cs="宋体"/>
                <w:b/>
                <w:color w:val="auto"/>
                <w:highlight w:val="none"/>
              </w:rPr>
              <w:t>六、暗挖工程</w:t>
            </w:r>
          </w:p>
        </w:tc>
      </w:tr>
      <w:tr w14:paraId="784C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6814944E">
            <w:pPr>
              <w:spacing w:line="360" w:lineRule="auto"/>
              <w:rPr>
                <w:rFonts w:hint="eastAsia" w:ascii="宋体" w:hAnsi="宋体" w:cs="宋体"/>
                <w:color w:val="auto"/>
                <w:highlight w:val="none"/>
              </w:rPr>
            </w:pPr>
            <w:r>
              <w:rPr>
                <w:rFonts w:hint="eastAsia" w:ascii="宋体" w:hAnsi="宋体" w:cs="宋体"/>
                <w:color w:val="auto"/>
                <w:highlight w:val="none"/>
              </w:rPr>
              <w:t>采用矿山法、盾构法、顶管法施工的隧道、洞室工程。</w:t>
            </w:r>
          </w:p>
        </w:tc>
        <w:tc>
          <w:tcPr>
            <w:tcW w:w="793" w:type="pct"/>
            <w:tcBorders>
              <w:top w:val="single" w:color="auto" w:sz="4" w:space="0"/>
              <w:left w:val="nil"/>
              <w:bottom w:val="single" w:color="auto" w:sz="4" w:space="0"/>
              <w:right w:val="single" w:color="auto" w:sz="4" w:space="0"/>
            </w:tcBorders>
            <w:vAlign w:val="center"/>
          </w:tcPr>
          <w:p w14:paraId="788A639A">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701C0108">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7D6073EF">
            <w:pPr>
              <w:spacing w:line="360" w:lineRule="auto"/>
              <w:jc w:val="center"/>
              <w:rPr>
                <w:rFonts w:hint="eastAsia" w:ascii="宋体" w:hAnsi="宋体" w:cs="宋体"/>
                <w:color w:val="auto"/>
                <w:highlight w:val="none"/>
              </w:rPr>
            </w:pPr>
          </w:p>
        </w:tc>
      </w:tr>
      <w:tr w14:paraId="66ED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2A85B7EB">
            <w:pPr>
              <w:spacing w:line="360" w:lineRule="auto"/>
              <w:rPr>
                <w:rFonts w:hint="eastAsia" w:ascii="宋体" w:hAnsi="宋体" w:cs="宋体"/>
                <w:b/>
                <w:color w:val="auto"/>
                <w:highlight w:val="none"/>
              </w:rPr>
            </w:pPr>
            <w:r>
              <w:rPr>
                <w:rFonts w:hint="eastAsia" w:ascii="宋体" w:hAnsi="宋体" w:cs="宋体"/>
                <w:b/>
                <w:color w:val="auto"/>
                <w:highlight w:val="none"/>
              </w:rPr>
              <w:t>七、其它</w:t>
            </w:r>
          </w:p>
        </w:tc>
      </w:tr>
      <w:tr w14:paraId="0532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3CFE80C8">
            <w:pPr>
              <w:spacing w:line="360" w:lineRule="auto"/>
              <w:rPr>
                <w:rFonts w:hint="eastAsia" w:ascii="宋体" w:hAnsi="宋体" w:cs="宋体"/>
                <w:color w:val="auto"/>
                <w:highlight w:val="none"/>
              </w:rPr>
            </w:pPr>
            <w:r>
              <w:rPr>
                <w:rFonts w:hint="eastAsia" w:ascii="宋体" w:hAnsi="宋体" w:cs="宋体"/>
                <w:color w:val="auto"/>
                <w:highlight w:val="none"/>
              </w:rPr>
              <w:t>（一）施工高度50m及以上的建筑幕墙安装工程。</w:t>
            </w:r>
          </w:p>
        </w:tc>
        <w:tc>
          <w:tcPr>
            <w:tcW w:w="793" w:type="pct"/>
            <w:tcBorders>
              <w:top w:val="single" w:color="auto" w:sz="4" w:space="0"/>
              <w:left w:val="nil"/>
              <w:bottom w:val="single" w:color="auto" w:sz="4" w:space="0"/>
              <w:right w:val="single" w:color="auto" w:sz="4" w:space="0"/>
            </w:tcBorders>
            <w:vAlign w:val="center"/>
          </w:tcPr>
          <w:p w14:paraId="0A9F3B92">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9BD0B63">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046A830D">
            <w:pPr>
              <w:spacing w:line="360" w:lineRule="auto"/>
              <w:jc w:val="center"/>
              <w:rPr>
                <w:rFonts w:hint="eastAsia" w:ascii="宋体" w:hAnsi="宋体" w:cs="宋体"/>
                <w:color w:val="auto"/>
                <w:highlight w:val="none"/>
              </w:rPr>
            </w:pPr>
          </w:p>
        </w:tc>
      </w:tr>
      <w:tr w14:paraId="79F8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71B65277">
            <w:pPr>
              <w:spacing w:line="360" w:lineRule="auto"/>
              <w:rPr>
                <w:rFonts w:hint="eastAsia" w:ascii="宋体" w:hAnsi="宋体" w:cs="宋体"/>
                <w:color w:val="auto"/>
                <w:highlight w:val="none"/>
              </w:rPr>
            </w:pPr>
            <w:r>
              <w:rPr>
                <w:rFonts w:hint="eastAsia" w:ascii="宋体" w:hAnsi="宋体" w:cs="宋体"/>
                <w:color w:val="auto"/>
                <w:highlight w:val="none"/>
              </w:rPr>
              <w:t>（二）跨度36m及以上的钢结构安装工程，或跨度60m及以上的网架和索膜结构安装工程。</w:t>
            </w:r>
          </w:p>
        </w:tc>
        <w:tc>
          <w:tcPr>
            <w:tcW w:w="793" w:type="pct"/>
            <w:tcBorders>
              <w:top w:val="single" w:color="auto" w:sz="4" w:space="0"/>
              <w:left w:val="nil"/>
              <w:bottom w:val="single" w:color="auto" w:sz="4" w:space="0"/>
              <w:right w:val="single" w:color="auto" w:sz="4" w:space="0"/>
            </w:tcBorders>
            <w:vAlign w:val="center"/>
          </w:tcPr>
          <w:p w14:paraId="7A869F34">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19969763">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13A706E">
            <w:pPr>
              <w:spacing w:line="360" w:lineRule="auto"/>
              <w:jc w:val="center"/>
              <w:rPr>
                <w:rFonts w:hint="eastAsia" w:ascii="宋体" w:hAnsi="宋体" w:cs="宋体"/>
                <w:color w:val="auto"/>
                <w:highlight w:val="none"/>
              </w:rPr>
            </w:pPr>
          </w:p>
        </w:tc>
      </w:tr>
      <w:tr w14:paraId="271C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3A26051A">
            <w:pPr>
              <w:spacing w:line="360" w:lineRule="auto"/>
              <w:rPr>
                <w:rFonts w:hint="eastAsia" w:ascii="宋体" w:hAnsi="宋体" w:cs="宋体"/>
                <w:color w:val="auto"/>
                <w:highlight w:val="none"/>
              </w:rPr>
            </w:pPr>
            <w:r>
              <w:rPr>
                <w:rFonts w:hint="eastAsia" w:ascii="宋体" w:hAnsi="宋体" w:cs="宋体"/>
                <w:color w:val="auto"/>
                <w:highlight w:val="none"/>
              </w:rPr>
              <w:t>（三）开挖深度16m及以上的人工挖孔桩工程。</w:t>
            </w:r>
          </w:p>
        </w:tc>
        <w:tc>
          <w:tcPr>
            <w:tcW w:w="793" w:type="pct"/>
            <w:tcBorders>
              <w:top w:val="single" w:color="auto" w:sz="4" w:space="0"/>
              <w:left w:val="nil"/>
              <w:bottom w:val="single" w:color="auto" w:sz="4" w:space="0"/>
              <w:right w:val="single" w:color="auto" w:sz="4" w:space="0"/>
            </w:tcBorders>
            <w:vAlign w:val="center"/>
          </w:tcPr>
          <w:p w14:paraId="5F9E9A53">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29340DC">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62C288A">
            <w:pPr>
              <w:spacing w:line="360" w:lineRule="auto"/>
              <w:jc w:val="center"/>
              <w:rPr>
                <w:rFonts w:hint="eastAsia" w:ascii="宋体" w:hAnsi="宋体" w:cs="宋体"/>
                <w:color w:val="auto"/>
                <w:highlight w:val="none"/>
              </w:rPr>
            </w:pPr>
          </w:p>
        </w:tc>
      </w:tr>
      <w:tr w14:paraId="1B82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7AA634BD">
            <w:pPr>
              <w:spacing w:line="360" w:lineRule="auto"/>
              <w:rPr>
                <w:rFonts w:hint="eastAsia" w:ascii="宋体" w:hAnsi="宋体" w:cs="宋体"/>
                <w:color w:val="auto"/>
                <w:highlight w:val="none"/>
              </w:rPr>
            </w:pPr>
            <w:r>
              <w:rPr>
                <w:rFonts w:hint="eastAsia" w:ascii="宋体" w:hAnsi="宋体" w:cs="宋体"/>
                <w:color w:val="auto"/>
                <w:highlight w:val="none"/>
              </w:rPr>
              <w:t>（四）水下作业工程。</w:t>
            </w:r>
          </w:p>
        </w:tc>
        <w:tc>
          <w:tcPr>
            <w:tcW w:w="793" w:type="pct"/>
            <w:tcBorders>
              <w:top w:val="single" w:color="auto" w:sz="4" w:space="0"/>
              <w:left w:val="nil"/>
              <w:bottom w:val="single" w:color="auto" w:sz="4" w:space="0"/>
              <w:right w:val="single" w:color="auto" w:sz="4" w:space="0"/>
            </w:tcBorders>
            <w:vAlign w:val="center"/>
          </w:tcPr>
          <w:p w14:paraId="55422A0C">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6540412">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02D0E17">
            <w:pPr>
              <w:spacing w:line="360" w:lineRule="auto"/>
              <w:jc w:val="center"/>
              <w:rPr>
                <w:rFonts w:hint="eastAsia" w:ascii="宋体" w:hAnsi="宋体" w:cs="宋体"/>
                <w:color w:val="auto"/>
                <w:highlight w:val="none"/>
              </w:rPr>
            </w:pPr>
          </w:p>
        </w:tc>
      </w:tr>
      <w:tr w14:paraId="690A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74262806">
            <w:pPr>
              <w:spacing w:line="360" w:lineRule="auto"/>
              <w:rPr>
                <w:rFonts w:hint="eastAsia" w:ascii="宋体" w:hAnsi="宋体" w:cs="宋体"/>
                <w:color w:val="auto"/>
                <w:highlight w:val="none"/>
              </w:rPr>
            </w:pPr>
            <w:r>
              <w:rPr>
                <w:rFonts w:hint="eastAsia" w:ascii="宋体" w:hAnsi="宋体" w:cs="宋体"/>
                <w:color w:val="auto"/>
                <w:highlight w:val="none"/>
              </w:rPr>
              <w:t>（五）重量1000kN及以上的大型结构整体顶升、平移、转体等施工工艺。</w:t>
            </w:r>
          </w:p>
        </w:tc>
        <w:tc>
          <w:tcPr>
            <w:tcW w:w="793" w:type="pct"/>
            <w:tcBorders>
              <w:top w:val="single" w:color="auto" w:sz="4" w:space="0"/>
              <w:left w:val="nil"/>
              <w:bottom w:val="single" w:color="auto" w:sz="4" w:space="0"/>
              <w:right w:val="single" w:color="auto" w:sz="4" w:space="0"/>
            </w:tcBorders>
            <w:vAlign w:val="center"/>
          </w:tcPr>
          <w:p w14:paraId="76DA5A99">
            <w:pPr>
              <w:spacing w:line="360" w:lineRule="auto"/>
              <w:jc w:val="center"/>
              <w:rPr>
                <w:rFonts w:hint="eastAsia" w:ascii="宋体" w:hAnsi="宋体" w:cs="宋体"/>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31D2997E">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77573EA0">
            <w:pPr>
              <w:spacing w:line="360" w:lineRule="auto"/>
              <w:jc w:val="center"/>
              <w:rPr>
                <w:rFonts w:hint="eastAsia" w:ascii="宋体" w:hAnsi="宋体" w:cs="宋体"/>
                <w:color w:val="auto"/>
                <w:highlight w:val="none"/>
              </w:rPr>
            </w:pPr>
          </w:p>
        </w:tc>
      </w:tr>
      <w:tr w14:paraId="6C38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Borders>
              <w:top w:val="single" w:color="auto" w:sz="4" w:space="0"/>
              <w:left w:val="single" w:color="auto" w:sz="4" w:space="0"/>
              <w:bottom w:val="single" w:color="auto" w:sz="4" w:space="0"/>
              <w:right w:val="single" w:color="auto" w:sz="4" w:space="0"/>
            </w:tcBorders>
            <w:vAlign w:val="center"/>
          </w:tcPr>
          <w:p w14:paraId="54067B88">
            <w:pPr>
              <w:spacing w:line="360" w:lineRule="auto"/>
              <w:rPr>
                <w:rFonts w:hint="eastAsia" w:ascii="宋体" w:hAnsi="宋体" w:cs="宋体"/>
                <w:color w:val="auto"/>
                <w:highlight w:val="none"/>
              </w:rPr>
            </w:pPr>
            <w:r>
              <w:rPr>
                <w:rFonts w:hint="eastAsia" w:ascii="宋体" w:hAnsi="宋体" w:cs="宋体"/>
                <w:color w:val="auto"/>
                <w:highlight w:val="none"/>
              </w:rPr>
              <w:t>（六）采用新技术、新工艺、新材料、新设备可能影响工程施工安全，尚无国家、行业及地方技术标准的分部分项工程。</w:t>
            </w:r>
          </w:p>
        </w:tc>
        <w:tc>
          <w:tcPr>
            <w:tcW w:w="793" w:type="pct"/>
            <w:tcBorders>
              <w:top w:val="single" w:color="auto" w:sz="4" w:space="0"/>
              <w:left w:val="nil"/>
              <w:bottom w:val="single" w:color="auto" w:sz="4" w:space="0"/>
              <w:right w:val="single" w:color="auto" w:sz="4" w:space="0"/>
            </w:tcBorders>
            <w:vAlign w:val="center"/>
          </w:tcPr>
          <w:p w14:paraId="17BE05BF">
            <w:pPr>
              <w:spacing w:line="360" w:lineRule="auto"/>
              <w:jc w:val="center"/>
              <w:rPr>
                <w:rFonts w:hint="eastAsia" w:ascii="宋体" w:hAnsi="宋体" w:cs="宋体"/>
                <w:b/>
                <w:color w:val="auto"/>
                <w:highlight w:val="none"/>
              </w:rPr>
            </w:pPr>
          </w:p>
        </w:tc>
        <w:tc>
          <w:tcPr>
            <w:tcW w:w="793" w:type="pct"/>
            <w:tcBorders>
              <w:top w:val="single" w:color="auto" w:sz="4" w:space="0"/>
              <w:left w:val="nil"/>
              <w:bottom w:val="single" w:color="auto" w:sz="4" w:space="0"/>
              <w:right w:val="single" w:color="auto" w:sz="4" w:space="0"/>
            </w:tcBorders>
            <w:vAlign w:val="center"/>
          </w:tcPr>
          <w:p w14:paraId="6FEF3518">
            <w:pPr>
              <w:spacing w:line="360" w:lineRule="auto"/>
              <w:jc w:val="center"/>
              <w:rPr>
                <w:rFonts w:hint="eastAsia" w:ascii="宋体" w:hAnsi="宋体" w:cs="宋体"/>
                <w:color w:val="auto"/>
                <w:highlight w:val="none"/>
              </w:rPr>
            </w:pPr>
          </w:p>
        </w:tc>
        <w:tc>
          <w:tcPr>
            <w:tcW w:w="620" w:type="pct"/>
            <w:tcBorders>
              <w:top w:val="single" w:color="auto" w:sz="4" w:space="0"/>
              <w:left w:val="nil"/>
              <w:bottom w:val="single" w:color="auto" w:sz="4" w:space="0"/>
              <w:right w:val="single" w:color="auto" w:sz="4" w:space="0"/>
            </w:tcBorders>
            <w:vAlign w:val="center"/>
          </w:tcPr>
          <w:p w14:paraId="46D4C936">
            <w:pPr>
              <w:spacing w:line="360" w:lineRule="auto"/>
              <w:jc w:val="center"/>
              <w:rPr>
                <w:rFonts w:hint="eastAsia" w:ascii="宋体" w:hAnsi="宋体" w:cs="宋体"/>
                <w:color w:val="auto"/>
                <w:highlight w:val="none"/>
              </w:rPr>
            </w:pPr>
          </w:p>
        </w:tc>
      </w:tr>
    </w:tbl>
    <w:p w14:paraId="3B94A58E">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p>
    <w:p w14:paraId="50A00024">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w:t>
      </w:r>
    </w:p>
    <w:p w14:paraId="253250D4">
      <w:pPr>
        <w:autoSpaceDE w:val="0"/>
        <w:autoSpaceDN w:val="0"/>
        <w:adjustRightInd w:val="0"/>
        <w:spacing w:line="360" w:lineRule="auto"/>
        <w:ind w:firstLine="691" w:firstLineChars="279"/>
        <w:rPr>
          <w:rFonts w:hint="eastAsia" w:ascii="宋体" w:hAnsi="宋体" w:cs="宋体"/>
          <w:bCs/>
          <w:color w:val="auto"/>
          <w:sz w:val="24"/>
          <w:szCs w:val="24"/>
          <w:highlight w:val="none"/>
        </w:rPr>
      </w:pPr>
      <w:r>
        <w:rPr>
          <w:rFonts w:hint="eastAsia" w:ascii="宋体" w:hAnsi="宋体" w:cs="宋体"/>
          <w:snapToGrid w:val="0"/>
          <w:color w:val="auto"/>
          <w:spacing w:val="4"/>
          <w:kern w:val="0"/>
          <w:sz w:val="24"/>
          <w:szCs w:val="24"/>
          <w:highlight w:val="none"/>
        </w:rPr>
        <w:t>日期：    年    月    日</w:t>
      </w:r>
    </w:p>
    <w:p w14:paraId="16539023">
      <w:pPr>
        <w:spacing w:line="360" w:lineRule="auto"/>
        <w:ind w:right="-130" w:rightChars="-62"/>
        <w:rPr>
          <w:rFonts w:hint="eastAsia" w:ascii="宋体" w:hAnsi="宋体" w:cs="宋体"/>
          <w:color w:val="auto"/>
          <w:highlight w:val="none"/>
        </w:rPr>
      </w:pPr>
    </w:p>
    <w:p w14:paraId="1ECD4E42">
      <w:pPr>
        <w:widowControl/>
        <w:spacing w:line="360" w:lineRule="auto"/>
        <w:jc w:val="left"/>
        <w:rPr>
          <w:rFonts w:hint="eastAsia" w:ascii="宋体" w:hAnsi="宋体" w:cs="宋体"/>
          <w:color w:val="auto"/>
          <w:highlight w:val="none"/>
        </w:rPr>
      </w:pPr>
      <w:r>
        <w:rPr>
          <w:rFonts w:hint="eastAsia" w:ascii="宋体" w:hAnsi="宋体" w:cs="宋体"/>
          <w:color w:val="auto"/>
          <w:highlight w:val="none"/>
        </w:rPr>
        <w:br w:type="page"/>
      </w:r>
    </w:p>
    <w:p w14:paraId="453FEEA7">
      <w:pPr>
        <w:spacing w:line="360" w:lineRule="auto"/>
        <w:rPr>
          <w:rFonts w:hint="eastAsia" w:ascii="宋体" w:hAnsi="宋体" w:cs="宋体"/>
          <w:b/>
          <w:bCs/>
          <w:color w:val="auto"/>
          <w:sz w:val="27"/>
          <w:szCs w:val="27"/>
          <w:highlight w:val="none"/>
        </w:rPr>
      </w:pPr>
      <w:bookmarkStart w:id="262" w:name="_Toc60070631"/>
      <w:bookmarkStart w:id="263" w:name="_Toc58838603"/>
      <w:r>
        <w:rPr>
          <w:rFonts w:hint="eastAsia" w:ascii="宋体" w:hAnsi="宋体" w:cs="宋体"/>
          <w:b/>
          <w:bCs/>
          <w:color w:val="auto"/>
          <w:sz w:val="27"/>
          <w:szCs w:val="27"/>
          <w:highlight w:val="none"/>
        </w:rPr>
        <w:t>格式九：</w:t>
      </w:r>
      <w:bookmarkEnd w:id="262"/>
      <w:bookmarkEnd w:id="263"/>
    </w:p>
    <w:p w14:paraId="40B34ABE">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参与编制技术标投标文件人员名单</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606"/>
        <w:gridCol w:w="2752"/>
        <w:gridCol w:w="2638"/>
        <w:gridCol w:w="1588"/>
      </w:tblGrid>
      <w:tr w14:paraId="7D50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9473F34">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投标单位名称</w:t>
            </w:r>
          </w:p>
        </w:tc>
      </w:tr>
      <w:tr w14:paraId="56AB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2" w:type="pct"/>
            <w:tcBorders>
              <w:top w:val="single" w:color="auto" w:sz="4" w:space="0"/>
              <w:left w:val="single" w:color="auto" w:sz="4" w:space="0"/>
              <w:bottom w:val="single" w:color="auto" w:sz="4" w:space="0"/>
              <w:right w:val="single" w:color="auto" w:sz="4" w:space="0"/>
            </w:tcBorders>
            <w:vAlign w:val="center"/>
          </w:tcPr>
          <w:p w14:paraId="149C4C4F">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806" w:type="pct"/>
            <w:tcBorders>
              <w:top w:val="single" w:color="auto" w:sz="4" w:space="0"/>
              <w:left w:val="single" w:color="auto" w:sz="4" w:space="0"/>
              <w:bottom w:val="single" w:color="auto" w:sz="4" w:space="0"/>
              <w:right w:val="single" w:color="auto" w:sz="4" w:space="0"/>
            </w:tcBorders>
            <w:vAlign w:val="center"/>
          </w:tcPr>
          <w:p w14:paraId="4B2827F9">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381" w:type="pct"/>
            <w:tcBorders>
              <w:top w:val="single" w:color="auto" w:sz="4" w:space="0"/>
              <w:left w:val="single" w:color="auto" w:sz="4" w:space="0"/>
              <w:bottom w:val="single" w:color="auto" w:sz="4" w:space="0"/>
              <w:right w:val="single" w:color="auto" w:sz="4" w:space="0"/>
            </w:tcBorders>
            <w:vAlign w:val="center"/>
          </w:tcPr>
          <w:p w14:paraId="5E925AEA">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1324" w:type="pct"/>
            <w:tcBorders>
              <w:top w:val="single" w:color="auto" w:sz="4" w:space="0"/>
              <w:left w:val="single" w:color="auto" w:sz="4" w:space="0"/>
              <w:bottom w:val="single" w:color="auto" w:sz="4" w:space="0"/>
              <w:right w:val="single" w:color="auto" w:sz="4" w:space="0"/>
            </w:tcBorders>
            <w:vAlign w:val="center"/>
          </w:tcPr>
          <w:p w14:paraId="2FB6AC95">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795" w:type="pct"/>
            <w:tcBorders>
              <w:top w:val="single" w:color="auto" w:sz="4" w:space="0"/>
              <w:left w:val="single" w:color="auto" w:sz="4" w:space="0"/>
              <w:bottom w:val="single" w:color="auto" w:sz="4" w:space="0"/>
              <w:right w:val="single" w:color="auto" w:sz="4" w:space="0"/>
            </w:tcBorders>
            <w:vAlign w:val="center"/>
          </w:tcPr>
          <w:p w14:paraId="0E07A759">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4EE0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2" w:type="pct"/>
            <w:tcBorders>
              <w:top w:val="single" w:color="auto" w:sz="4" w:space="0"/>
              <w:left w:val="single" w:color="auto" w:sz="4" w:space="0"/>
              <w:bottom w:val="single" w:color="auto" w:sz="4" w:space="0"/>
              <w:right w:val="single" w:color="auto" w:sz="4" w:space="0"/>
            </w:tcBorders>
            <w:vAlign w:val="center"/>
          </w:tcPr>
          <w:p w14:paraId="16BC9E6C">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5D165658">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3CFB6841">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13DB49E0">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5EADDC0F">
            <w:pPr>
              <w:tabs>
                <w:tab w:val="left" w:pos="720"/>
              </w:tabs>
              <w:snapToGrid w:val="0"/>
              <w:spacing w:line="360" w:lineRule="auto"/>
              <w:jc w:val="center"/>
              <w:rPr>
                <w:rFonts w:hint="eastAsia" w:ascii="宋体" w:hAnsi="宋体" w:cs="宋体"/>
                <w:color w:val="auto"/>
                <w:szCs w:val="21"/>
                <w:highlight w:val="none"/>
              </w:rPr>
            </w:pPr>
          </w:p>
        </w:tc>
      </w:tr>
      <w:tr w14:paraId="14CE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14:paraId="02CA7E79">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2D629E22">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3B593E58">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69B98517">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0D33BC5E">
            <w:pPr>
              <w:tabs>
                <w:tab w:val="left" w:pos="720"/>
              </w:tabs>
              <w:snapToGrid w:val="0"/>
              <w:spacing w:line="360" w:lineRule="auto"/>
              <w:jc w:val="center"/>
              <w:rPr>
                <w:rFonts w:hint="eastAsia" w:ascii="宋体" w:hAnsi="宋体" w:cs="宋体"/>
                <w:color w:val="auto"/>
                <w:szCs w:val="21"/>
                <w:highlight w:val="none"/>
              </w:rPr>
            </w:pPr>
          </w:p>
        </w:tc>
      </w:tr>
      <w:tr w14:paraId="7127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14:paraId="4322F5A6">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2F36B1EE">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6054BC05">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2DBDED60">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6A484261">
            <w:pPr>
              <w:tabs>
                <w:tab w:val="left" w:pos="720"/>
              </w:tabs>
              <w:snapToGrid w:val="0"/>
              <w:spacing w:line="360" w:lineRule="auto"/>
              <w:jc w:val="center"/>
              <w:rPr>
                <w:rFonts w:hint="eastAsia" w:ascii="宋体" w:hAnsi="宋体" w:cs="宋体"/>
                <w:color w:val="auto"/>
                <w:szCs w:val="21"/>
                <w:highlight w:val="none"/>
              </w:rPr>
            </w:pPr>
          </w:p>
        </w:tc>
      </w:tr>
      <w:tr w14:paraId="6FA7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14:paraId="137A3CC5">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537A0BEF">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0C28BCC6">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11DEAF74">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26FDBF79">
            <w:pPr>
              <w:tabs>
                <w:tab w:val="left" w:pos="720"/>
              </w:tabs>
              <w:snapToGrid w:val="0"/>
              <w:spacing w:line="360" w:lineRule="auto"/>
              <w:jc w:val="center"/>
              <w:rPr>
                <w:rFonts w:hint="eastAsia" w:ascii="宋体" w:hAnsi="宋体" w:cs="宋体"/>
                <w:color w:val="auto"/>
                <w:szCs w:val="21"/>
                <w:highlight w:val="none"/>
              </w:rPr>
            </w:pPr>
          </w:p>
        </w:tc>
      </w:tr>
      <w:tr w14:paraId="6F02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14:paraId="7E40BF94">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150284AF">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1CA8E10D">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15CE8166">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2E46D915">
            <w:pPr>
              <w:tabs>
                <w:tab w:val="left" w:pos="720"/>
              </w:tabs>
              <w:snapToGrid w:val="0"/>
              <w:spacing w:line="360" w:lineRule="auto"/>
              <w:jc w:val="center"/>
              <w:rPr>
                <w:rFonts w:hint="eastAsia" w:ascii="宋体" w:hAnsi="宋体" w:cs="宋体"/>
                <w:color w:val="auto"/>
                <w:szCs w:val="21"/>
                <w:highlight w:val="none"/>
              </w:rPr>
            </w:pPr>
          </w:p>
        </w:tc>
      </w:tr>
      <w:tr w14:paraId="5326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vAlign w:val="center"/>
          </w:tcPr>
          <w:p w14:paraId="58E0454F">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2ECFDA1E">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76EF7262">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5B04105D">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45F495E1">
            <w:pPr>
              <w:tabs>
                <w:tab w:val="left" w:pos="720"/>
              </w:tabs>
              <w:snapToGrid w:val="0"/>
              <w:spacing w:line="360" w:lineRule="auto"/>
              <w:jc w:val="center"/>
              <w:rPr>
                <w:rFonts w:hint="eastAsia" w:ascii="宋体" w:hAnsi="宋体" w:cs="宋体"/>
                <w:color w:val="auto"/>
                <w:szCs w:val="21"/>
                <w:highlight w:val="none"/>
              </w:rPr>
            </w:pPr>
          </w:p>
        </w:tc>
      </w:tr>
      <w:tr w14:paraId="5959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2" w:type="pct"/>
            <w:tcBorders>
              <w:top w:val="single" w:color="auto" w:sz="4" w:space="0"/>
              <w:left w:val="single" w:color="auto" w:sz="4" w:space="0"/>
              <w:bottom w:val="single" w:color="auto" w:sz="4" w:space="0"/>
              <w:right w:val="single" w:color="auto" w:sz="4" w:space="0"/>
            </w:tcBorders>
            <w:vAlign w:val="center"/>
          </w:tcPr>
          <w:p w14:paraId="0CEB9CF8">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45F19196">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5F6B09DF">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28669CCF">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039A8127">
            <w:pPr>
              <w:tabs>
                <w:tab w:val="left" w:pos="720"/>
              </w:tabs>
              <w:snapToGrid w:val="0"/>
              <w:spacing w:line="360" w:lineRule="auto"/>
              <w:jc w:val="center"/>
              <w:rPr>
                <w:rFonts w:hint="eastAsia" w:ascii="宋体" w:hAnsi="宋体" w:cs="宋体"/>
                <w:color w:val="auto"/>
                <w:szCs w:val="21"/>
                <w:highlight w:val="none"/>
              </w:rPr>
            </w:pPr>
          </w:p>
        </w:tc>
      </w:tr>
      <w:tr w14:paraId="44E2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2" w:type="pct"/>
            <w:tcBorders>
              <w:top w:val="single" w:color="auto" w:sz="4" w:space="0"/>
              <w:left w:val="single" w:color="auto" w:sz="4" w:space="0"/>
              <w:bottom w:val="single" w:color="auto" w:sz="4" w:space="0"/>
              <w:right w:val="single" w:color="auto" w:sz="4" w:space="0"/>
            </w:tcBorders>
            <w:vAlign w:val="center"/>
          </w:tcPr>
          <w:p w14:paraId="54F98028">
            <w:pPr>
              <w:tabs>
                <w:tab w:val="left" w:pos="720"/>
              </w:tabs>
              <w:snapToGrid w:val="0"/>
              <w:spacing w:line="360" w:lineRule="auto"/>
              <w:jc w:val="center"/>
              <w:rPr>
                <w:rFonts w:hint="eastAsia"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2B66809">
            <w:pPr>
              <w:tabs>
                <w:tab w:val="left" w:pos="720"/>
              </w:tabs>
              <w:snapToGrid w:val="0"/>
              <w:spacing w:line="360" w:lineRule="auto"/>
              <w:jc w:val="center"/>
              <w:rPr>
                <w:rFonts w:hint="eastAsia" w:ascii="宋体" w:hAnsi="宋体" w:cs="宋体"/>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vAlign w:val="center"/>
          </w:tcPr>
          <w:p w14:paraId="2AC1CB28">
            <w:pPr>
              <w:tabs>
                <w:tab w:val="left" w:pos="720"/>
              </w:tabs>
              <w:snapToGrid w:val="0"/>
              <w:spacing w:line="360" w:lineRule="auto"/>
              <w:jc w:val="center"/>
              <w:rPr>
                <w:rFonts w:hint="eastAsia" w:ascii="宋体" w:hAnsi="宋体" w:cs="宋体"/>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679B859D">
            <w:pPr>
              <w:tabs>
                <w:tab w:val="left" w:pos="720"/>
              </w:tabs>
              <w:snapToGrid w:val="0"/>
              <w:spacing w:line="360" w:lineRule="auto"/>
              <w:jc w:val="center"/>
              <w:rPr>
                <w:rFonts w:hint="eastAsia" w:ascii="宋体" w:hAnsi="宋体" w:cs="宋体"/>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5461BED6">
            <w:pPr>
              <w:tabs>
                <w:tab w:val="left" w:pos="720"/>
              </w:tabs>
              <w:snapToGrid w:val="0"/>
              <w:spacing w:line="360" w:lineRule="auto"/>
              <w:jc w:val="center"/>
              <w:rPr>
                <w:rFonts w:hint="eastAsia" w:ascii="宋体" w:hAnsi="宋体" w:cs="宋体"/>
                <w:color w:val="auto"/>
                <w:szCs w:val="21"/>
                <w:highlight w:val="none"/>
              </w:rPr>
            </w:pPr>
          </w:p>
        </w:tc>
      </w:tr>
    </w:tbl>
    <w:p w14:paraId="529124D5">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注：1、参与编制技术标书所有人员名单应包括如编制技术投标方案、负责清样校对、负责打印及复印等所有人员在内的人员名单。</w:t>
      </w:r>
    </w:p>
    <w:p w14:paraId="253EE80E">
      <w:pPr>
        <w:pStyle w:val="3"/>
        <w:rPr>
          <w:rFonts w:hint="eastAsia"/>
          <w:color w:val="auto"/>
          <w:highlight w:val="none"/>
        </w:rPr>
      </w:pPr>
      <w:r>
        <w:rPr>
          <w:rFonts w:hint="eastAsia"/>
          <w:color w:val="auto"/>
          <w:sz w:val="24"/>
          <w:szCs w:val="24"/>
          <w:highlight w:val="none"/>
        </w:rPr>
        <w:t>2、上述人员须为投标人正式员工，并须提供投标截止前近一个月(2025年3月)有效社保证明资料扫描件。</w:t>
      </w:r>
    </w:p>
    <w:p w14:paraId="7959316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6DC95831">
      <w:pPr>
        <w:pStyle w:val="12"/>
        <w:spacing w:line="360" w:lineRule="auto"/>
        <w:rPr>
          <w:rFonts w:hint="eastAsia" w:hAnsi="宋体" w:cs="宋体"/>
          <w:color w:val="auto"/>
          <w:highlight w:val="none"/>
        </w:rPr>
        <w:sectPr>
          <w:pgSz w:w="11906" w:h="16838"/>
          <w:pgMar w:top="1440" w:right="1080" w:bottom="1440" w:left="1080" w:header="850" w:footer="992" w:gutter="0"/>
          <w:cols w:space="0" w:num="1"/>
          <w:docGrid w:type="lines" w:linePitch="317" w:charSpace="0"/>
        </w:sectPr>
      </w:pPr>
    </w:p>
    <w:p w14:paraId="604941EA">
      <w:pPr>
        <w:pStyle w:val="4"/>
        <w:spacing w:line="360" w:lineRule="auto"/>
        <w:rPr>
          <w:rFonts w:hint="eastAsia"/>
          <w:color w:val="auto"/>
          <w:highlight w:val="none"/>
        </w:rPr>
      </w:pPr>
      <w:bookmarkStart w:id="264" w:name="_Toc3150"/>
      <w:bookmarkStart w:id="265" w:name="_Toc2430"/>
      <w:bookmarkStart w:id="266" w:name="_Toc26124"/>
      <w:bookmarkStart w:id="267" w:name="_Toc7624"/>
      <w:bookmarkStart w:id="268" w:name="_Toc11517"/>
      <w:bookmarkStart w:id="269" w:name="_Toc4365"/>
      <w:bookmarkStart w:id="270" w:name="_Toc12275"/>
      <w:bookmarkStart w:id="271" w:name="_Toc18221"/>
      <w:bookmarkStart w:id="272" w:name="_Toc3791"/>
      <w:bookmarkStart w:id="273" w:name="_Toc29521"/>
      <w:bookmarkStart w:id="274" w:name="_Toc31178"/>
      <w:bookmarkStart w:id="275" w:name="_Toc19883"/>
      <w:bookmarkStart w:id="276" w:name="_Toc58838604"/>
      <w:bookmarkStart w:id="277" w:name="_Toc29236"/>
      <w:r>
        <w:rPr>
          <w:rFonts w:hint="eastAsia"/>
          <w:color w:val="auto"/>
          <w:highlight w:val="none"/>
        </w:rPr>
        <w:t>二、经济标投标文件格式</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7572A06C">
      <w:pPr>
        <w:spacing w:line="360" w:lineRule="auto"/>
        <w:rPr>
          <w:rFonts w:hint="eastAsia" w:ascii="宋体" w:hAnsi="宋体" w:cs="宋体"/>
          <w:b/>
          <w:bCs/>
          <w:color w:val="auto"/>
          <w:sz w:val="27"/>
          <w:szCs w:val="27"/>
          <w:highlight w:val="none"/>
          <w:lang w:val="zh-CN"/>
        </w:rPr>
      </w:pPr>
      <w:bookmarkStart w:id="278" w:name="_Toc6493862"/>
      <w:bookmarkStart w:id="279" w:name="_Toc58838605"/>
      <w:bookmarkStart w:id="280" w:name="_Toc60070633"/>
      <w:r>
        <w:rPr>
          <w:rFonts w:hint="eastAsia" w:ascii="宋体" w:hAnsi="宋体" w:cs="宋体"/>
          <w:b/>
          <w:bCs/>
          <w:color w:val="auto"/>
          <w:sz w:val="27"/>
          <w:szCs w:val="27"/>
          <w:highlight w:val="none"/>
        </w:rPr>
        <w:t>格式十</w:t>
      </w:r>
      <w:bookmarkEnd w:id="278"/>
      <w:bookmarkEnd w:id="279"/>
      <w:r>
        <w:rPr>
          <w:rFonts w:hint="eastAsia" w:ascii="宋体" w:hAnsi="宋体" w:cs="宋体"/>
          <w:b/>
          <w:bCs/>
          <w:color w:val="auto"/>
          <w:sz w:val="27"/>
          <w:szCs w:val="27"/>
          <w:highlight w:val="none"/>
        </w:rPr>
        <w:t>：</w:t>
      </w:r>
      <w:bookmarkEnd w:id="280"/>
    </w:p>
    <w:p w14:paraId="49813716">
      <w:pPr>
        <w:spacing w:line="360" w:lineRule="auto"/>
        <w:jc w:val="center"/>
        <w:rPr>
          <w:rFonts w:hint="eastAsia" w:ascii="宋体" w:hAnsi="宋体" w:cs="宋体"/>
          <w:b/>
          <w:color w:val="auto"/>
          <w:sz w:val="36"/>
          <w:szCs w:val="36"/>
          <w:highlight w:val="none"/>
        </w:rPr>
      </w:pPr>
      <w:bookmarkStart w:id="281" w:name="_Toc58838606"/>
      <w:r>
        <w:rPr>
          <w:rFonts w:hint="eastAsia" w:ascii="宋体" w:hAnsi="宋体" w:cs="宋体"/>
          <w:b/>
          <w:color w:val="auto"/>
          <w:sz w:val="36"/>
          <w:szCs w:val="36"/>
          <w:highlight w:val="none"/>
        </w:rPr>
        <w:t>广州建设工程施工招标投标书（经济标）</w:t>
      </w:r>
      <w:bookmarkEnd w:id="281"/>
    </w:p>
    <w:tbl>
      <w:tblPr>
        <w:tblStyle w:val="2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14:paraId="31BE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vAlign w:val="center"/>
          </w:tcPr>
          <w:p w14:paraId="7D2B1789">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tcBorders>
              <w:top w:val="single" w:color="auto" w:sz="4" w:space="0"/>
              <w:left w:val="single" w:color="auto" w:sz="4" w:space="0"/>
              <w:bottom w:val="single" w:color="auto" w:sz="4" w:space="0"/>
              <w:right w:val="single" w:color="auto" w:sz="4" w:space="0"/>
            </w:tcBorders>
            <w:vAlign w:val="center"/>
          </w:tcPr>
          <w:p w14:paraId="7932ED16">
            <w:pPr>
              <w:autoSpaceDE w:val="0"/>
              <w:autoSpaceDN w:val="0"/>
              <w:adjustRightInd w:val="0"/>
              <w:spacing w:line="360" w:lineRule="auto"/>
              <w:jc w:val="center"/>
              <w:rPr>
                <w:rFonts w:hint="eastAsia" w:ascii="宋体" w:hAnsi="宋体" w:cs="宋体"/>
                <w:bCs/>
                <w:color w:val="auto"/>
                <w:sz w:val="24"/>
                <w:szCs w:val="24"/>
                <w:highlight w:val="none"/>
                <w:lang w:val="zh-CN"/>
              </w:rPr>
            </w:pPr>
          </w:p>
        </w:tc>
      </w:tr>
      <w:tr w14:paraId="3382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6C492E6E">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vAlign w:val="center"/>
          </w:tcPr>
          <w:p w14:paraId="4E87317D">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大写：</w:t>
            </w:r>
            <w:r>
              <w:rPr>
                <w:rFonts w:hint="eastAsia" w:ascii="宋体" w:hAnsi="宋体" w:cs="宋体"/>
                <w:bCs/>
                <w:color w:val="auto"/>
                <w:sz w:val="24"/>
                <w:szCs w:val="24"/>
                <w:highlight w:val="none"/>
                <w:lang w:val="zh-CN"/>
              </w:rPr>
              <w:t xml:space="preserve"> </w:t>
            </w:r>
          </w:p>
        </w:tc>
      </w:tr>
      <w:tr w14:paraId="3714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2CE5F894">
            <w:pPr>
              <w:widowControl/>
              <w:spacing w:line="360" w:lineRule="auto"/>
              <w:jc w:val="left"/>
              <w:rPr>
                <w:rFonts w:hint="eastAsia"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0D7E0861">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小写：</w:t>
            </w:r>
            <w:r>
              <w:rPr>
                <w:rFonts w:hint="eastAsia" w:ascii="宋体" w:hAnsi="宋体" w:cs="宋体"/>
                <w:bCs/>
                <w:color w:val="auto"/>
                <w:sz w:val="24"/>
                <w:szCs w:val="24"/>
                <w:highlight w:val="none"/>
                <w:lang w:val="zh-CN"/>
              </w:rPr>
              <w:t xml:space="preserve"> </w:t>
            </w:r>
          </w:p>
        </w:tc>
      </w:tr>
      <w:tr w14:paraId="251E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1D919278">
            <w:pPr>
              <w:autoSpaceDE w:val="0"/>
              <w:autoSpaceDN w:val="0"/>
              <w:adjustRightIn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14:paraId="74ACD2C4">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大写：</w:t>
            </w:r>
            <w:r>
              <w:rPr>
                <w:rFonts w:hint="eastAsia" w:ascii="宋体" w:hAnsi="宋体" w:cs="宋体"/>
                <w:bCs/>
                <w:color w:val="auto"/>
                <w:sz w:val="24"/>
                <w:szCs w:val="24"/>
                <w:highlight w:val="none"/>
                <w:lang w:val="zh-CN"/>
              </w:rPr>
              <w:t xml:space="preserve"> </w:t>
            </w:r>
          </w:p>
        </w:tc>
      </w:tr>
      <w:tr w14:paraId="0AD4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24DA0695">
            <w:pPr>
              <w:widowControl/>
              <w:spacing w:line="360" w:lineRule="auto"/>
              <w:jc w:val="left"/>
              <w:rPr>
                <w:rFonts w:hint="eastAsia"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5B3B3E5F">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小写：</w:t>
            </w:r>
            <w:r>
              <w:rPr>
                <w:rFonts w:hint="eastAsia" w:ascii="宋体" w:hAnsi="宋体" w:cs="宋体"/>
                <w:bCs/>
                <w:color w:val="auto"/>
                <w:sz w:val="24"/>
                <w:szCs w:val="24"/>
                <w:highlight w:val="none"/>
                <w:lang w:val="zh-CN"/>
              </w:rPr>
              <w:t xml:space="preserve"> </w:t>
            </w:r>
          </w:p>
        </w:tc>
      </w:tr>
      <w:tr w14:paraId="7E9E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vAlign w:val="center"/>
          </w:tcPr>
          <w:p w14:paraId="19B877C9">
            <w:pPr>
              <w:widowControl/>
              <w:spacing w:line="360" w:lineRule="auto"/>
              <w:jc w:val="left"/>
              <w:rPr>
                <w:rFonts w:hint="eastAsia"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vAlign w:val="center"/>
          </w:tcPr>
          <w:p w14:paraId="54D8075A">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大写：</w:t>
            </w:r>
            <w:r>
              <w:rPr>
                <w:rFonts w:hint="eastAsia" w:ascii="宋体" w:hAnsi="宋体" w:cs="宋体"/>
                <w:bCs/>
                <w:color w:val="auto"/>
                <w:sz w:val="24"/>
                <w:szCs w:val="24"/>
                <w:highlight w:val="none"/>
                <w:lang w:val="zh-CN"/>
              </w:rPr>
              <w:t xml:space="preserve"> </w:t>
            </w:r>
          </w:p>
        </w:tc>
      </w:tr>
      <w:tr w14:paraId="0A03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vAlign w:val="center"/>
          </w:tcPr>
          <w:p w14:paraId="2FA0FD8E">
            <w:pPr>
              <w:widowControl/>
              <w:spacing w:line="360" w:lineRule="auto"/>
              <w:jc w:val="left"/>
              <w:rPr>
                <w:rFonts w:hint="eastAsia"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4E2C0687">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小写：</w:t>
            </w:r>
            <w:r>
              <w:rPr>
                <w:rFonts w:hint="eastAsia" w:ascii="宋体" w:hAnsi="宋体" w:cs="宋体"/>
                <w:bCs/>
                <w:color w:val="auto"/>
                <w:sz w:val="24"/>
                <w:szCs w:val="24"/>
                <w:highlight w:val="none"/>
                <w:lang w:val="zh-CN"/>
              </w:rPr>
              <w:t xml:space="preserve"> </w:t>
            </w:r>
          </w:p>
        </w:tc>
      </w:tr>
      <w:tr w14:paraId="0DEE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vAlign w:val="center"/>
          </w:tcPr>
          <w:p w14:paraId="3C20B324">
            <w:pPr>
              <w:widowControl/>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 暂列金额（元）</w:t>
            </w:r>
          </w:p>
        </w:tc>
        <w:tc>
          <w:tcPr>
            <w:tcW w:w="6045" w:type="dxa"/>
            <w:tcBorders>
              <w:top w:val="single" w:color="auto" w:sz="4" w:space="0"/>
              <w:left w:val="single" w:color="auto" w:sz="4" w:space="0"/>
              <w:bottom w:val="single" w:color="auto" w:sz="4" w:space="0"/>
              <w:right w:val="single" w:color="auto" w:sz="4" w:space="0"/>
            </w:tcBorders>
            <w:vAlign w:val="center"/>
          </w:tcPr>
          <w:p w14:paraId="4D854D2F">
            <w:pPr>
              <w:widowControl/>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大写： </w:t>
            </w:r>
          </w:p>
        </w:tc>
      </w:tr>
      <w:tr w14:paraId="4715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vAlign w:val="center"/>
          </w:tcPr>
          <w:p w14:paraId="221A10C8">
            <w:pPr>
              <w:widowControl/>
              <w:spacing w:line="360" w:lineRule="auto"/>
              <w:jc w:val="left"/>
              <w:rPr>
                <w:rFonts w:hint="eastAsia"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5D0294DB">
            <w:pPr>
              <w:widowControl/>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小写： </w:t>
            </w:r>
          </w:p>
        </w:tc>
      </w:tr>
    </w:tbl>
    <w:p w14:paraId="208F9D7D">
      <w:pPr>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br w:type="page"/>
      </w:r>
    </w:p>
    <w:p w14:paraId="40999B2D">
      <w:pPr>
        <w:spacing w:line="360" w:lineRule="auto"/>
        <w:rPr>
          <w:rFonts w:hint="eastAsia" w:ascii="宋体" w:hAnsi="宋体" w:cs="宋体"/>
          <w:bCs/>
          <w:color w:val="auto"/>
          <w:highlight w:val="none"/>
        </w:rPr>
      </w:pPr>
      <w:bookmarkStart w:id="282" w:name="_Toc6493863"/>
      <w:bookmarkStart w:id="283" w:name="_Toc58838607"/>
      <w:bookmarkStart w:id="284" w:name="_Toc60070634"/>
      <w:r>
        <w:rPr>
          <w:rFonts w:hint="eastAsia" w:ascii="宋体" w:hAnsi="宋体" w:cs="宋体"/>
          <w:b/>
          <w:bCs/>
          <w:color w:val="auto"/>
          <w:sz w:val="27"/>
          <w:szCs w:val="27"/>
          <w:highlight w:val="none"/>
        </w:rPr>
        <w:t>格式十</w:t>
      </w:r>
      <w:bookmarkEnd w:id="282"/>
      <w:bookmarkEnd w:id="283"/>
      <w:r>
        <w:rPr>
          <w:rFonts w:hint="eastAsia" w:ascii="宋体" w:hAnsi="宋体" w:cs="宋体"/>
          <w:b/>
          <w:bCs/>
          <w:color w:val="auto"/>
          <w:sz w:val="27"/>
          <w:szCs w:val="27"/>
          <w:highlight w:val="none"/>
        </w:rPr>
        <w:t>一：</w:t>
      </w:r>
      <w:bookmarkEnd w:id="284"/>
    </w:p>
    <w:p w14:paraId="5FE2F439">
      <w:pPr>
        <w:spacing w:line="360" w:lineRule="auto"/>
        <w:jc w:val="center"/>
        <w:rPr>
          <w:rFonts w:hint="eastAsia" w:ascii="宋体" w:hAnsi="宋体" w:cs="宋体"/>
          <w:b/>
          <w:color w:val="auto"/>
          <w:sz w:val="36"/>
          <w:szCs w:val="36"/>
          <w:highlight w:val="none"/>
        </w:rPr>
      </w:pPr>
      <w:bookmarkStart w:id="285" w:name="_Toc58838608"/>
      <w:r>
        <w:rPr>
          <w:rFonts w:hint="eastAsia" w:ascii="宋体" w:hAnsi="宋体" w:cs="宋体"/>
          <w:b/>
          <w:color w:val="auto"/>
          <w:sz w:val="36"/>
          <w:szCs w:val="36"/>
          <w:highlight w:val="none"/>
        </w:rPr>
        <w:t>参与编制经济标投标文件人员名单</w:t>
      </w:r>
      <w:bookmarkEnd w:id="285"/>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608"/>
        <w:gridCol w:w="2748"/>
        <w:gridCol w:w="2634"/>
        <w:gridCol w:w="1590"/>
      </w:tblGrid>
      <w:tr w14:paraId="0456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vAlign w:val="center"/>
          </w:tcPr>
          <w:p w14:paraId="20C0179C">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投标单位名称</w:t>
            </w:r>
          </w:p>
        </w:tc>
      </w:tr>
      <w:tr w14:paraId="6DA2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4" w:type="pct"/>
            <w:vAlign w:val="center"/>
          </w:tcPr>
          <w:p w14:paraId="04A7C2D3">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807" w:type="pct"/>
            <w:vAlign w:val="center"/>
          </w:tcPr>
          <w:p w14:paraId="32E9BF17">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职务</w:t>
            </w:r>
          </w:p>
        </w:tc>
        <w:tc>
          <w:tcPr>
            <w:tcW w:w="1379" w:type="pct"/>
            <w:vAlign w:val="center"/>
          </w:tcPr>
          <w:p w14:paraId="4C54B62A">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所承担工作</w:t>
            </w:r>
          </w:p>
        </w:tc>
        <w:tc>
          <w:tcPr>
            <w:tcW w:w="1322" w:type="pct"/>
            <w:vAlign w:val="center"/>
          </w:tcPr>
          <w:p w14:paraId="68DD36CE">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797" w:type="pct"/>
            <w:vAlign w:val="center"/>
          </w:tcPr>
          <w:p w14:paraId="098C7CF8">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本人签名栏</w:t>
            </w:r>
          </w:p>
        </w:tc>
      </w:tr>
      <w:tr w14:paraId="50FC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4" w:type="pct"/>
            <w:vAlign w:val="center"/>
          </w:tcPr>
          <w:p w14:paraId="1BA2B1D6">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4B8D2C98">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01F4927F">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1EA4CC5C">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33409E12">
            <w:pPr>
              <w:tabs>
                <w:tab w:val="left" w:pos="720"/>
              </w:tabs>
              <w:snapToGrid w:val="0"/>
              <w:spacing w:line="360" w:lineRule="auto"/>
              <w:jc w:val="center"/>
              <w:rPr>
                <w:rFonts w:hint="eastAsia" w:ascii="宋体" w:hAnsi="宋体" w:cs="宋体"/>
                <w:color w:val="auto"/>
                <w:sz w:val="24"/>
                <w:szCs w:val="24"/>
                <w:highlight w:val="none"/>
              </w:rPr>
            </w:pPr>
          </w:p>
        </w:tc>
      </w:tr>
      <w:tr w14:paraId="1B87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14:paraId="12756A37">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3D788284">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5333E72E">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0938B8C4">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6014DDA4">
            <w:pPr>
              <w:tabs>
                <w:tab w:val="left" w:pos="720"/>
              </w:tabs>
              <w:snapToGrid w:val="0"/>
              <w:spacing w:line="360" w:lineRule="auto"/>
              <w:jc w:val="center"/>
              <w:rPr>
                <w:rFonts w:hint="eastAsia" w:ascii="宋体" w:hAnsi="宋体" w:cs="宋体"/>
                <w:color w:val="auto"/>
                <w:sz w:val="24"/>
                <w:szCs w:val="24"/>
                <w:highlight w:val="none"/>
              </w:rPr>
            </w:pPr>
          </w:p>
        </w:tc>
      </w:tr>
      <w:tr w14:paraId="606B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14:paraId="41794C84">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65793DB7">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7741868B">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27D3865F">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78D6B85C">
            <w:pPr>
              <w:tabs>
                <w:tab w:val="left" w:pos="720"/>
              </w:tabs>
              <w:snapToGrid w:val="0"/>
              <w:spacing w:line="360" w:lineRule="auto"/>
              <w:jc w:val="center"/>
              <w:rPr>
                <w:rFonts w:hint="eastAsia" w:ascii="宋体" w:hAnsi="宋体" w:cs="宋体"/>
                <w:color w:val="auto"/>
                <w:sz w:val="24"/>
                <w:szCs w:val="24"/>
                <w:highlight w:val="none"/>
              </w:rPr>
            </w:pPr>
          </w:p>
        </w:tc>
      </w:tr>
      <w:tr w14:paraId="366C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14:paraId="1A8EFB2F">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7A4700A7">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10F10AEB">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0A3CA3C7">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5363CAEE">
            <w:pPr>
              <w:tabs>
                <w:tab w:val="left" w:pos="720"/>
              </w:tabs>
              <w:snapToGrid w:val="0"/>
              <w:spacing w:line="360" w:lineRule="auto"/>
              <w:jc w:val="center"/>
              <w:rPr>
                <w:rFonts w:hint="eastAsia" w:ascii="宋体" w:hAnsi="宋体" w:cs="宋体"/>
                <w:color w:val="auto"/>
                <w:sz w:val="24"/>
                <w:szCs w:val="24"/>
                <w:highlight w:val="none"/>
              </w:rPr>
            </w:pPr>
          </w:p>
        </w:tc>
      </w:tr>
      <w:tr w14:paraId="5272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14:paraId="0B7861E3">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245009C6">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2D93AF45">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15B7C8B4">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469B64AD">
            <w:pPr>
              <w:tabs>
                <w:tab w:val="left" w:pos="720"/>
              </w:tabs>
              <w:snapToGrid w:val="0"/>
              <w:spacing w:line="360" w:lineRule="auto"/>
              <w:jc w:val="center"/>
              <w:rPr>
                <w:rFonts w:hint="eastAsia" w:ascii="宋体" w:hAnsi="宋体" w:cs="宋体"/>
                <w:color w:val="auto"/>
                <w:sz w:val="24"/>
                <w:szCs w:val="24"/>
                <w:highlight w:val="none"/>
              </w:rPr>
            </w:pPr>
          </w:p>
        </w:tc>
      </w:tr>
      <w:tr w14:paraId="7216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4" w:type="pct"/>
            <w:vAlign w:val="center"/>
          </w:tcPr>
          <w:p w14:paraId="7F1D5C1B">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24636EB9">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159B6CE0">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06AC93A9">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25A97C69">
            <w:pPr>
              <w:tabs>
                <w:tab w:val="left" w:pos="720"/>
              </w:tabs>
              <w:snapToGrid w:val="0"/>
              <w:spacing w:line="360" w:lineRule="auto"/>
              <w:jc w:val="center"/>
              <w:rPr>
                <w:rFonts w:hint="eastAsia" w:ascii="宋体" w:hAnsi="宋体" w:cs="宋体"/>
                <w:color w:val="auto"/>
                <w:sz w:val="24"/>
                <w:szCs w:val="24"/>
                <w:highlight w:val="none"/>
              </w:rPr>
            </w:pPr>
          </w:p>
        </w:tc>
      </w:tr>
      <w:tr w14:paraId="254C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4" w:type="pct"/>
            <w:vAlign w:val="center"/>
          </w:tcPr>
          <w:p w14:paraId="63B6B2C0">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72F4605D">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2421D037">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403D8E58">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148AA0EF">
            <w:pPr>
              <w:tabs>
                <w:tab w:val="left" w:pos="720"/>
              </w:tabs>
              <w:snapToGrid w:val="0"/>
              <w:spacing w:line="360" w:lineRule="auto"/>
              <w:jc w:val="center"/>
              <w:rPr>
                <w:rFonts w:hint="eastAsia" w:ascii="宋体" w:hAnsi="宋体" w:cs="宋体"/>
                <w:color w:val="auto"/>
                <w:sz w:val="24"/>
                <w:szCs w:val="24"/>
                <w:highlight w:val="none"/>
              </w:rPr>
            </w:pPr>
          </w:p>
        </w:tc>
      </w:tr>
      <w:tr w14:paraId="450B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4" w:type="pct"/>
            <w:vAlign w:val="center"/>
          </w:tcPr>
          <w:p w14:paraId="0B390DC4">
            <w:pPr>
              <w:tabs>
                <w:tab w:val="left" w:pos="720"/>
              </w:tabs>
              <w:snapToGrid w:val="0"/>
              <w:spacing w:line="360" w:lineRule="auto"/>
              <w:jc w:val="center"/>
              <w:rPr>
                <w:rFonts w:hint="eastAsia" w:ascii="宋体" w:hAnsi="宋体" w:cs="宋体"/>
                <w:color w:val="auto"/>
                <w:sz w:val="24"/>
                <w:szCs w:val="24"/>
                <w:highlight w:val="none"/>
              </w:rPr>
            </w:pPr>
          </w:p>
        </w:tc>
        <w:tc>
          <w:tcPr>
            <w:tcW w:w="807" w:type="pct"/>
            <w:vAlign w:val="center"/>
          </w:tcPr>
          <w:p w14:paraId="26D1C5B0">
            <w:pPr>
              <w:tabs>
                <w:tab w:val="left" w:pos="720"/>
              </w:tabs>
              <w:snapToGrid w:val="0"/>
              <w:spacing w:line="360" w:lineRule="auto"/>
              <w:jc w:val="center"/>
              <w:rPr>
                <w:rFonts w:hint="eastAsia" w:ascii="宋体" w:hAnsi="宋体" w:cs="宋体"/>
                <w:color w:val="auto"/>
                <w:sz w:val="24"/>
                <w:szCs w:val="24"/>
                <w:highlight w:val="none"/>
              </w:rPr>
            </w:pPr>
          </w:p>
        </w:tc>
        <w:tc>
          <w:tcPr>
            <w:tcW w:w="1379" w:type="pct"/>
            <w:vAlign w:val="center"/>
          </w:tcPr>
          <w:p w14:paraId="5899AE3A">
            <w:pPr>
              <w:tabs>
                <w:tab w:val="left" w:pos="720"/>
              </w:tabs>
              <w:snapToGrid w:val="0"/>
              <w:spacing w:line="360" w:lineRule="auto"/>
              <w:jc w:val="center"/>
              <w:rPr>
                <w:rFonts w:hint="eastAsia" w:ascii="宋体" w:hAnsi="宋体" w:cs="宋体"/>
                <w:color w:val="auto"/>
                <w:sz w:val="24"/>
                <w:szCs w:val="24"/>
                <w:highlight w:val="none"/>
              </w:rPr>
            </w:pPr>
          </w:p>
        </w:tc>
        <w:tc>
          <w:tcPr>
            <w:tcW w:w="1322" w:type="pct"/>
            <w:vAlign w:val="center"/>
          </w:tcPr>
          <w:p w14:paraId="1ABDD73E">
            <w:pPr>
              <w:tabs>
                <w:tab w:val="left" w:pos="720"/>
              </w:tabs>
              <w:snapToGrid w:val="0"/>
              <w:spacing w:line="360" w:lineRule="auto"/>
              <w:jc w:val="center"/>
              <w:rPr>
                <w:rFonts w:hint="eastAsia" w:ascii="宋体" w:hAnsi="宋体" w:cs="宋体"/>
                <w:color w:val="auto"/>
                <w:sz w:val="24"/>
                <w:szCs w:val="24"/>
                <w:highlight w:val="none"/>
              </w:rPr>
            </w:pPr>
          </w:p>
        </w:tc>
        <w:tc>
          <w:tcPr>
            <w:tcW w:w="797" w:type="pct"/>
            <w:vAlign w:val="center"/>
          </w:tcPr>
          <w:p w14:paraId="7FF715C6">
            <w:pPr>
              <w:tabs>
                <w:tab w:val="left" w:pos="720"/>
              </w:tabs>
              <w:snapToGrid w:val="0"/>
              <w:spacing w:line="360" w:lineRule="auto"/>
              <w:jc w:val="center"/>
              <w:rPr>
                <w:rFonts w:hint="eastAsia" w:ascii="宋体" w:hAnsi="宋体" w:cs="宋体"/>
                <w:color w:val="auto"/>
                <w:sz w:val="24"/>
                <w:szCs w:val="24"/>
                <w:highlight w:val="none"/>
              </w:rPr>
            </w:pPr>
          </w:p>
        </w:tc>
      </w:tr>
    </w:tbl>
    <w:p w14:paraId="5D7864A6">
      <w:pPr>
        <w:tabs>
          <w:tab w:val="left" w:pos="720"/>
        </w:tabs>
        <w:snapToGrid w:val="0"/>
        <w:spacing w:line="360" w:lineRule="auto"/>
        <w:rPr>
          <w:rFonts w:hint="eastAsia" w:ascii="宋体" w:hAnsi="宋体" w:cs="宋体"/>
          <w:color w:val="auto"/>
          <w:sz w:val="24"/>
          <w:szCs w:val="24"/>
          <w:highlight w:val="none"/>
        </w:rPr>
      </w:pPr>
    </w:p>
    <w:p w14:paraId="6EBA1FC0">
      <w:pPr>
        <w:spacing w:line="360" w:lineRule="auto"/>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注：1、参与编制经济标书所有人员名单应包括如编制各种专业工程量清单投标报价、负责清样校对、负责打印及复印等所有人员在内的人员名单。</w:t>
      </w:r>
    </w:p>
    <w:p w14:paraId="7560F4B8">
      <w:pPr>
        <w:widowControl/>
        <w:spacing w:line="360" w:lineRule="auto"/>
        <w:jc w:val="left"/>
        <w:rPr>
          <w:rFonts w:hint="eastAsia" w:ascii="宋体" w:hAnsi="宋体" w:cs="宋体"/>
          <w:b/>
          <w:color w:val="auto"/>
          <w:kern w:val="0"/>
          <w:sz w:val="24"/>
          <w:szCs w:val="24"/>
          <w:highlight w:val="none"/>
        </w:rPr>
      </w:pPr>
      <w:r>
        <w:rPr>
          <w:rFonts w:hint="eastAsia" w:ascii="宋体" w:hAnsi="宋体" w:cs="宋体"/>
          <w:color w:val="auto"/>
          <w:spacing w:val="4"/>
          <w:kern w:val="0"/>
          <w:sz w:val="24"/>
          <w:szCs w:val="24"/>
          <w:highlight w:val="none"/>
        </w:rPr>
        <w:t>2、上述人员须为投标人正式员工，并须提供投标截止前近一个月(2025年3月)有效社保证明资料扫描件。</w:t>
      </w:r>
      <w:r>
        <w:rPr>
          <w:rFonts w:hint="eastAsia" w:ascii="宋体" w:hAnsi="宋体" w:cs="宋体"/>
          <w:color w:val="auto"/>
          <w:highlight w:val="none"/>
        </w:rPr>
        <w:br w:type="page"/>
      </w:r>
    </w:p>
    <w:p w14:paraId="23992D4F">
      <w:pPr>
        <w:spacing w:line="360" w:lineRule="auto"/>
        <w:rPr>
          <w:rFonts w:hint="eastAsia" w:ascii="宋体" w:hAnsi="宋体" w:cs="宋体"/>
          <w:b/>
          <w:bCs/>
          <w:color w:val="auto"/>
          <w:sz w:val="27"/>
          <w:szCs w:val="27"/>
          <w:highlight w:val="none"/>
        </w:rPr>
      </w:pPr>
      <w:bookmarkStart w:id="286" w:name="_Toc60070635"/>
      <w:r>
        <w:rPr>
          <w:rFonts w:hint="eastAsia" w:ascii="宋体" w:hAnsi="宋体" w:cs="宋体"/>
          <w:b/>
          <w:bCs/>
          <w:color w:val="auto"/>
          <w:sz w:val="27"/>
          <w:szCs w:val="27"/>
          <w:highlight w:val="none"/>
        </w:rPr>
        <w:t>格式</w:t>
      </w:r>
      <w:r>
        <w:rPr>
          <w:rFonts w:hint="eastAsia" w:ascii="宋体" w:hAnsi="宋体" w:cs="宋体"/>
          <w:b/>
          <w:bCs/>
          <w:snapToGrid w:val="0"/>
          <w:color w:val="auto"/>
          <w:sz w:val="27"/>
          <w:szCs w:val="27"/>
          <w:highlight w:val="none"/>
        </w:rPr>
        <w:t>十二</w:t>
      </w:r>
      <w:r>
        <w:rPr>
          <w:rFonts w:hint="eastAsia" w:ascii="宋体" w:hAnsi="宋体" w:cs="宋体"/>
          <w:b/>
          <w:bCs/>
          <w:color w:val="auto"/>
          <w:sz w:val="27"/>
          <w:szCs w:val="27"/>
          <w:highlight w:val="none"/>
        </w:rPr>
        <w:t>：</w:t>
      </w:r>
      <w:bookmarkEnd w:id="286"/>
    </w:p>
    <w:p w14:paraId="466BE9EB">
      <w:pPr>
        <w:pStyle w:val="20"/>
        <w:spacing w:after="0" w:line="360" w:lineRule="auto"/>
        <w:ind w:firstLine="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对投标文件编制的承诺</w:t>
      </w:r>
    </w:p>
    <w:p w14:paraId="34F9BB62">
      <w:pPr>
        <w:pStyle w:val="20"/>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本公司授权</w:t>
      </w:r>
      <w:r>
        <w:rPr>
          <w:rFonts w:hint="eastAsia" w:ascii="宋体" w:hAnsi="宋体" w:eastAsia="宋体" w:cs="宋体"/>
          <w:color w:val="auto"/>
          <w:sz w:val="24"/>
          <w:szCs w:val="24"/>
          <w:highlight w:val="none"/>
          <w:u w:val="single"/>
        </w:rPr>
        <w:t xml:space="preserve">         （身份证号：               ）</w:t>
      </w:r>
      <w:r>
        <w:rPr>
          <w:rFonts w:hint="eastAsia" w:ascii="宋体" w:hAnsi="宋体" w:eastAsia="宋体" w:cs="宋体"/>
          <w:color w:val="auto"/>
          <w:sz w:val="24"/>
          <w:szCs w:val="24"/>
          <w:highlight w:val="none"/>
        </w:rPr>
        <w:t>负责对投标文件的编制及内容进行解释、说明，并承诺以下事项：</w:t>
      </w:r>
    </w:p>
    <w:p w14:paraId="6B965E5D">
      <w:pPr>
        <w:pStyle w:val="20"/>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1.被授权人清楚投标文件编制的具体情况，包括技术方案文件、工程量清单、以及投标文件的加密打包的理解；</w:t>
      </w:r>
    </w:p>
    <w:p w14:paraId="02AF05BB">
      <w:pPr>
        <w:pStyle w:val="20"/>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2.在本项目开标至评标结束前，努力确保被授权人在项目评标所在地附近；</w:t>
      </w:r>
    </w:p>
    <w:p w14:paraId="0F7B98CD">
      <w:pPr>
        <w:pStyle w:val="20"/>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3.从评标委员会要求澄清起二小时内，被授权人应如实地书面澄清。</w:t>
      </w:r>
    </w:p>
    <w:p w14:paraId="13A196FE">
      <w:pPr>
        <w:pStyle w:val="20"/>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如由于未遵守上述承诺内容之一导致无法进行澄清的，我公司认可和接受评标委员会作出的评审结论。                                 </w:t>
      </w:r>
    </w:p>
    <w:p w14:paraId="392A4054">
      <w:pPr>
        <w:pStyle w:val="20"/>
        <w:spacing w:after="0" w:line="360" w:lineRule="auto"/>
        <w:ind w:firstLine="360" w:firstLineChars="150"/>
        <w:rPr>
          <w:rFonts w:hint="eastAsia" w:ascii="宋体" w:hAnsi="宋体" w:eastAsia="宋体" w:cs="宋体"/>
          <w:color w:val="auto"/>
          <w:sz w:val="24"/>
          <w:szCs w:val="24"/>
          <w:highlight w:val="none"/>
        </w:rPr>
      </w:pPr>
    </w:p>
    <w:p w14:paraId="24F296E2">
      <w:pPr>
        <w:pStyle w:val="2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附件：《投标文件编制情况》</w:t>
      </w:r>
    </w:p>
    <w:p w14:paraId="099310B4">
      <w:pPr>
        <w:spacing w:line="360" w:lineRule="auto"/>
        <w:ind w:right="90" w:firstLine="3240" w:firstLineChars="1350"/>
        <w:rPr>
          <w:rFonts w:hint="eastAsia" w:ascii="宋体" w:hAnsi="宋体" w:cs="宋体"/>
          <w:color w:val="auto"/>
          <w:sz w:val="24"/>
          <w:szCs w:val="24"/>
          <w:highlight w:val="none"/>
        </w:rPr>
      </w:pPr>
      <w:r>
        <w:rPr>
          <w:rFonts w:hint="eastAsia" w:ascii="宋体" w:hAnsi="宋体" w:cs="宋体"/>
          <w:color w:val="auto"/>
          <w:sz w:val="24"/>
          <w:szCs w:val="24"/>
          <w:highlight w:val="none"/>
        </w:rPr>
        <w:t>投 标 人：</w:t>
      </w:r>
    </w:p>
    <w:p w14:paraId="69F4907F">
      <w:pPr>
        <w:spacing w:line="360" w:lineRule="auto"/>
        <w:ind w:right="90" w:firstLine="3240" w:firstLineChars="1350"/>
        <w:rPr>
          <w:rFonts w:hint="eastAsia" w:ascii="宋体" w:hAnsi="宋体" w:cs="宋体"/>
          <w:color w:val="auto"/>
          <w:sz w:val="24"/>
          <w:szCs w:val="24"/>
          <w:highlight w:val="none"/>
        </w:rPr>
      </w:pPr>
      <w:r>
        <w:rPr>
          <w:rFonts w:hint="eastAsia" w:ascii="宋体" w:hAnsi="宋体" w:cs="宋体"/>
          <w:color w:val="auto"/>
          <w:sz w:val="24"/>
          <w:szCs w:val="24"/>
          <w:highlight w:val="none"/>
        </w:rPr>
        <w:t>日    期：    年    月    日</w:t>
      </w:r>
    </w:p>
    <w:p w14:paraId="6658406F">
      <w:pPr>
        <w:pStyle w:val="20"/>
        <w:spacing w:after="0" w:line="360" w:lineRule="auto"/>
        <w:ind w:firstLine="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投标文件编制情况</w:t>
      </w:r>
    </w:p>
    <w:p w14:paraId="62ACDC88">
      <w:pPr>
        <w:pStyle w:val="2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1.投标文件报价编制方式: □自行编制的，编制的负责人：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（盖造价工程师执业专用章或全国建设工程造价员章，执业单位应与投标人一致）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953110">
      <w:pPr>
        <w:pStyle w:val="20"/>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□委托编制的，受委托单位，编制的负责人：</w:t>
      </w:r>
      <w:r>
        <w:rPr>
          <w:rFonts w:hint="eastAsia" w:ascii="宋体" w:hAnsi="宋体" w:eastAsia="宋体" w:cs="宋体"/>
          <w:b/>
          <w:bCs/>
          <w:color w:val="auto"/>
          <w:sz w:val="24"/>
          <w:szCs w:val="24"/>
          <w:highlight w:val="none"/>
          <w:u w:val="single"/>
        </w:rPr>
        <w:t xml:space="preserve"> （盖造价工程师执业专用章或全国建设工程造价员章，执业单位应与受委托单位一致）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87FC9E">
      <w:pPr>
        <w:pStyle w:val="2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2.投标文件加密打包的电脑情况</w:t>
      </w:r>
    </w:p>
    <w:tbl>
      <w:tblPr>
        <w:tblStyle w:val="22"/>
        <w:tblW w:w="5000" w:type="pct"/>
        <w:tblInd w:w="0" w:type="dxa"/>
        <w:tblLayout w:type="autofit"/>
        <w:tblCellMar>
          <w:top w:w="0" w:type="dxa"/>
          <w:left w:w="108" w:type="dxa"/>
          <w:bottom w:w="0" w:type="dxa"/>
          <w:right w:w="108" w:type="dxa"/>
        </w:tblCellMar>
      </w:tblPr>
      <w:tblGrid>
        <w:gridCol w:w="9962"/>
      </w:tblGrid>
      <w:tr w14:paraId="39A061A2">
        <w:tblPrEx>
          <w:tblCellMar>
            <w:top w:w="0" w:type="dxa"/>
            <w:left w:w="108" w:type="dxa"/>
            <w:bottom w:w="0" w:type="dxa"/>
            <w:right w:w="108" w:type="dxa"/>
          </w:tblCellMar>
        </w:tblPrEx>
        <w:trPr>
          <w:trHeight w:val="2819" w:hRule="atLeast"/>
        </w:trPr>
        <w:tc>
          <w:tcPr>
            <w:tcW w:w="5000" w:type="pct"/>
          </w:tcPr>
          <w:p w14:paraId="55F31004">
            <w:pPr>
              <w:pStyle w:val="2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    □      外包    □   其他    □</w:t>
            </w:r>
          </w:p>
          <w:p w14:paraId="68BA4264">
            <w:pPr>
              <w:pStyle w:val="2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14:paraId="4C91E778">
            <w:pPr>
              <w:pStyle w:val="2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14:paraId="1469CB13">
            <w:pPr>
              <w:pStyle w:val="2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tbl>
    <w:p w14:paraId="58CE5380">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7E66328F">
      <w:pPr>
        <w:pStyle w:val="3"/>
        <w:jc w:val="center"/>
        <w:rPr>
          <w:rStyle w:val="37"/>
          <w:rFonts w:hint="eastAsia"/>
          <w:b w:val="0"/>
          <w:color w:val="auto"/>
          <w:highlight w:val="none"/>
        </w:rPr>
      </w:pPr>
      <w:bookmarkStart w:id="287" w:name="_Toc23411"/>
      <w:bookmarkStart w:id="288" w:name="_Toc24951"/>
      <w:bookmarkStart w:id="289" w:name="_Toc3891"/>
      <w:bookmarkStart w:id="290" w:name="_Toc29755"/>
      <w:bookmarkStart w:id="291" w:name="_Toc26234"/>
      <w:bookmarkStart w:id="292" w:name="_Toc3499"/>
      <w:bookmarkStart w:id="293" w:name="_Toc7870"/>
      <w:bookmarkStart w:id="294" w:name="_Toc29417"/>
      <w:bookmarkStart w:id="295" w:name="_Toc4304"/>
      <w:bookmarkStart w:id="296" w:name="_Toc12427"/>
      <w:bookmarkStart w:id="297" w:name="_Toc94"/>
      <w:bookmarkStart w:id="298" w:name="_Toc6715"/>
      <w:bookmarkStart w:id="299" w:name="_Toc2272568"/>
      <w:r>
        <w:rPr>
          <w:rFonts w:hint="eastAsia"/>
          <w:color w:val="auto"/>
          <w:highlight w:val="none"/>
        </w:rPr>
        <w:t>第五章 技术条件（工程建设标准）</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31AE88B8">
      <w:pPr>
        <w:rPr>
          <w:rFonts w:hint="eastAsia" w:ascii="宋体" w:hAnsi="宋体" w:cs="宋体"/>
          <w:b/>
          <w:color w:val="auto"/>
          <w:szCs w:val="21"/>
          <w:highlight w:val="none"/>
        </w:rPr>
      </w:pPr>
      <w:r>
        <w:rPr>
          <w:rFonts w:hint="eastAsia" w:ascii="宋体" w:hAnsi="宋体" w:cs="宋体"/>
          <w:b/>
          <w:color w:val="auto"/>
          <w:szCs w:val="21"/>
          <w:highlight w:val="none"/>
        </w:rPr>
        <w:t>一、标准</w:t>
      </w:r>
    </w:p>
    <w:p w14:paraId="0FBFBC8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以现行的中华人民共和国及有关部委颁布的标准、规范、和规程。若施工时期建设主管部门颁布新的规范、标准，则按照新的规范、标准执行。</w:t>
      </w:r>
    </w:p>
    <w:p w14:paraId="49B178E4">
      <w:pPr>
        <w:rPr>
          <w:rFonts w:hint="eastAsia" w:ascii="宋体" w:hAnsi="宋体" w:cs="宋体"/>
          <w:b/>
          <w:color w:val="auto"/>
          <w:szCs w:val="21"/>
          <w:highlight w:val="none"/>
        </w:rPr>
      </w:pPr>
      <w:r>
        <w:rPr>
          <w:rFonts w:hint="eastAsia" w:ascii="宋体" w:hAnsi="宋体" w:cs="宋体"/>
          <w:b/>
          <w:color w:val="auto"/>
          <w:szCs w:val="21"/>
          <w:highlight w:val="none"/>
        </w:rPr>
        <w:t>二、施工组织设计要点</w:t>
      </w:r>
    </w:p>
    <w:p w14:paraId="38778C7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14:paraId="5D5539B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（一）工程概况及特点</w:t>
      </w:r>
    </w:p>
    <w:p w14:paraId="299475C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工程概况</w:t>
      </w:r>
    </w:p>
    <w:p w14:paraId="3F76372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工程简述，工程规模，工程承包范围，地质及地貌状况，自然环境，交通情况等。</w:t>
      </w:r>
    </w:p>
    <w:p w14:paraId="352E4B9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工程特点</w:t>
      </w:r>
    </w:p>
    <w:p w14:paraId="4C171F8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设计特点、工程特点、影响施工的主要和特殊环节分析等。</w:t>
      </w:r>
    </w:p>
    <w:p w14:paraId="2E21239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（二）施工现场组织机构</w:t>
      </w:r>
    </w:p>
    <w:p w14:paraId="485EE50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组织机构关系图</w:t>
      </w:r>
    </w:p>
    <w:p w14:paraId="7B85AFA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工程主要负责人简介。</w:t>
      </w:r>
    </w:p>
    <w:p w14:paraId="52AFD57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（三）施工现场总平面布置图</w:t>
      </w:r>
    </w:p>
    <w:p w14:paraId="3E9DC4C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施工现场平面布置图</w:t>
      </w:r>
    </w:p>
    <w:p w14:paraId="45939C4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4ADF254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（四）施工方案</w:t>
      </w:r>
    </w:p>
    <w:p w14:paraId="6DA6450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 施工准备</w:t>
      </w:r>
    </w:p>
    <w:p w14:paraId="1EB2D96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简要叙述施工技术资料、材料、通讯、施工场地的准备，施工机械、施工力量的配置，以及生活设施等的准备情况。主要施工机械设备表。</w:t>
      </w:r>
    </w:p>
    <w:p w14:paraId="4E4B701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 施工工序总体安排</w:t>
      </w:r>
    </w:p>
    <w:p w14:paraId="3F178E6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 主要工序和特殊工序的施工方法和施工效率估计，潜在问题的分析。</w:t>
      </w:r>
    </w:p>
    <w:p w14:paraId="05BFB94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 工程成本的控制措施为控制成本，提高效益，拟采取的措施。</w:t>
      </w:r>
    </w:p>
    <w:p w14:paraId="2734805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（五）工期及施工进度计划</w:t>
      </w:r>
    </w:p>
    <w:p w14:paraId="242B3F8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工期规划及要求</w:t>
      </w:r>
    </w:p>
    <w:p w14:paraId="2A30D5F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用横道图反映各主要施工过程的计划进度，深度达到全面、准确、清楚的描述工程实施过程，从中可衍生出各种施工资源计划及其过程管理信息。</w:t>
      </w:r>
    </w:p>
    <w:p w14:paraId="2E8C455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施工进度计划网络图</w:t>
      </w:r>
    </w:p>
    <w:p w14:paraId="564DA6D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施工网络图应明确工程开工、竣工日期，工程施工的关键路线，并针对关键工序，提出确保工期拟采取的措施。</w:t>
      </w:r>
    </w:p>
    <w:p w14:paraId="7C06B72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施工资源（人力、材料、机具、场地及进场道路、公共关系）计划</w:t>
      </w:r>
    </w:p>
    <w:p w14:paraId="28AD820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施工进度计划分析</w:t>
      </w:r>
    </w:p>
    <w:p w14:paraId="236304C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计划潜在问题，计划中的潜力及其开发途径等。</w:t>
      </w:r>
    </w:p>
    <w:p w14:paraId="28BA971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 计划控制</w:t>
      </w:r>
    </w:p>
    <w:p w14:paraId="1943169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程序、方法及制度等。</w:t>
      </w:r>
    </w:p>
    <w:p w14:paraId="3DC5578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（六）质量目标、质量保证体系及技术组织措施</w:t>
      </w:r>
    </w:p>
    <w:p w14:paraId="56BC696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 质量目标</w:t>
      </w:r>
    </w:p>
    <w:p w14:paraId="1524829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本工程要求的质量目标：合格。</w:t>
      </w:r>
    </w:p>
    <w:p w14:paraId="34B1A89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用单位工程和分项工程合格率、优良品率表示，欲达到的工程质量等级。</w:t>
      </w:r>
    </w:p>
    <w:p w14:paraId="1E9DF11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 质量管理组织机构及主要职责</w:t>
      </w:r>
    </w:p>
    <w:p w14:paraId="2C35D9D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用框图表示质量管理组织机构，并简要叙述各质量管理部门的主要职责。</w:t>
      </w:r>
    </w:p>
    <w:p w14:paraId="28F2DD9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 质量管理的措施</w:t>
      </w:r>
    </w:p>
    <w:p w14:paraId="082B53C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简要叙述质量管理的措施和关键工序的质量控制。</w:t>
      </w:r>
    </w:p>
    <w:p w14:paraId="0138D68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 质量管理及检验的标准</w:t>
      </w:r>
    </w:p>
    <w:p w14:paraId="7C8BA4F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执行的主要质量标准、规范。</w:t>
      </w:r>
    </w:p>
    <w:p w14:paraId="14450F2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 质量保证技术措施</w:t>
      </w:r>
    </w:p>
    <w:p w14:paraId="3862DB4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针对本工程特点，分析质量薄弱环节，拟将采取的技术措施。</w:t>
      </w:r>
    </w:p>
    <w:p w14:paraId="43830EA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（七）安全目标、安全保证体系及技术组织措施</w:t>
      </w:r>
    </w:p>
    <w:p w14:paraId="15D6110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安全管理目标</w:t>
      </w:r>
    </w:p>
    <w:p w14:paraId="50583D1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 安全管理组织机构及主要职责</w:t>
      </w:r>
    </w:p>
    <w:p w14:paraId="642D803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用框图表示安全管理组织机构，并简要叙述各安全管理部门及人员的主要职责。</w:t>
      </w:r>
    </w:p>
    <w:p w14:paraId="409D83E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安全管理制度及办法</w:t>
      </w:r>
    </w:p>
    <w:p w14:paraId="75DAAD7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 安全组织技术措施</w:t>
      </w:r>
    </w:p>
    <w:p w14:paraId="613D283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针对本工程特点，分析安全薄弱环节，拟将采取的技术措施。</w:t>
      </w:r>
    </w:p>
    <w:p w14:paraId="023D719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 重要施工方案和特殊施工工序的安全过程控制</w:t>
      </w:r>
    </w:p>
    <w:p w14:paraId="0A3CA2D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5340409D">
      <w:pPr>
        <w:ind w:firstLine="420" w:firstLineChars="200"/>
        <w:rPr>
          <w:rFonts w:hint="eastAsia" w:ascii="宋体" w:hAnsi="宋体" w:cs="宋体"/>
          <w:color w:val="auto"/>
          <w:szCs w:val="21"/>
          <w:highlight w:val="none"/>
        </w:rPr>
      </w:pPr>
      <w:bookmarkStart w:id="300" w:name="_Hlt531956504"/>
      <w:r>
        <w:rPr>
          <w:rFonts w:hint="eastAsia" w:ascii="宋体" w:hAnsi="宋体" w:cs="宋体"/>
          <w:color w:val="auto"/>
          <w:szCs w:val="21"/>
          <w:highlight w:val="none"/>
        </w:rPr>
        <w:t>安全生产目标：杜绝本项目施工人员重大伤亡事故。</w:t>
      </w:r>
      <w:bookmarkEnd w:id="300"/>
    </w:p>
    <w:p w14:paraId="62FBB97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文明施工目标：标准化管理。</w:t>
      </w:r>
    </w:p>
    <w:p w14:paraId="6E05FC9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（八）环境保护及文明施工</w:t>
      </w:r>
    </w:p>
    <w:p w14:paraId="76B907B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 环境保护</w:t>
      </w:r>
    </w:p>
    <w:p w14:paraId="336930D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分析因施工可能引起的环境保护方面的问题。</w:t>
      </w:r>
    </w:p>
    <w:p w14:paraId="6582DD8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 加强施工管理、严格保护环境</w:t>
      </w:r>
    </w:p>
    <w:p w14:paraId="687A4E5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提出环境保护的目标及采取的具体措施。</w:t>
      </w:r>
    </w:p>
    <w:p w14:paraId="371BB9C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8.3 文明施工的目标、组织机构和实施方案</w:t>
      </w:r>
    </w:p>
    <w:p w14:paraId="3DB2787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8.4 文明施工考核、管理办法</w:t>
      </w:r>
    </w:p>
    <w:p w14:paraId="02C3FBB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（九）计划、统计和信息管理</w:t>
      </w:r>
    </w:p>
    <w:p w14:paraId="339B915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 计划、统计报表的编制与传递；</w:t>
      </w:r>
    </w:p>
    <w:p w14:paraId="7222860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 信息管理</w:t>
      </w:r>
    </w:p>
    <w:p w14:paraId="317B99F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提出信息管理的目标及拟将采取的措施。</w:t>
      </w:r>
    </w:p>
    <w:p w14:paraId="6DCEB58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r>
        <w:rPr>
          <w:rFonts w:hint="eastAsia" w:ascii="宋体" w:hAnsi="宋体" w:cs="宋体"/>
          <w:color w:val="auto"/>
          <w:szCs w:val="21"/>
          <w:highlight w:val="none"/>
        </w:rPr>
        <w:br w:type="textWrapping"/>
      </w:r>
      <w:r>
        <w:rPr>
          <w:rFonts w:hint="eastAsia" w:ascii="宋体" w:hAnsi="宋体" w:cs="宋体"/>
          <w:color w:val="auto"/>
          <w:szCs w:val="21"/>
          <w:highlight w:val="none"/>
        </w:rPr>
        <w:t>建筑垃圾处理方案应当包括下列内容：</w:t>
      </w:r>
    </w:p>
    <w:p w14:paraId="2E17E91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(一)工程概况和施工单位基本信息；</w:t>
      </w:r>
    </w:p>
    <w:p w14:paraId="665615C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(二)建筑垃圾产生量与种类；</w:t>
      </w:r>
    </w:p>
    <w:p w14:paraId="0F8D9DB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(三)建筑垃圾源头减量、分类收集、综合利用、污染防治的措施和目标；</w:t>
      </w:r>
    </w:p>
    <w:p w14:paraId="46E8B1C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(四)需要外运的建筑垃圾种类、数量与运输的时间、路线、方式和运输单位；</w:t>
      </w:r>
    </w:p>
    <w:p w14:paraId="67F8E48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(五)建筑垃圾回填、消纳、综合利用场所名称；</w:t>
      </w:r>
    </w:p>
    <w:p w14:paraId="5263E29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(六)法律、法规规定的其他内容。</w:t>
      </w:r>
      <w:bookmarkStart w:id="301" w:name="_Toc6784"/>
      <w:bookmarkStart w:id="302" w:name="_Toc27543"/>
      <w:bookmarkStart w:id="303" w:name="_Toc87306278"/>
      <w:bookmarkStart w:id="304" w:name="_Toc29278"/>
      <w:bookmarkStart w:id="305" w:name="_Toc4143"/>
      <w:bookmarkStart w:id="306" w:name="_Toc19143"/>
      <w:bookmarkStart w:id="307" w:name="_Toc13552"/>
      <w:bookmarkStart w:id="308" w:name="_Toc457"/>
      <w:bookmarkStart w:id="309" w:name="_Toc89179887"/>
      <w:bookmarkStart w:id="310" w:name="_Toc9051"/>
      <w:bookmarkStart w:id="311" w:name="_Toc29203"/>
      <w:bookmarkStart w:id="312" w:name="_Toc27988"/>
      <w:bookmarkStart w:id="313" w:name="_Toc8579"/>
      <w:bookmarkStart w:id="314" w:name="_Toc441"/>
    </w:p>
    <w:p w14:paraId="5CF882A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三、主要材料设备推荐品牌按《主要材料设备品牌推荐表》要求（另册发出）。</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44B8818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四、办公区域二次装修项目需求书（另册发出）。</w:t>
      </w:r>
    </w:p>
    <w:p w14:paraId="754D06FB">
      <w:pPr>
        <w:ind w:firstLine="420" w:firstLineChars="200"/>
        <w:rPr>
          <w:rFonts w:hint="eastAsia" w:ascii="宋体" w:hAnsi="宋体" w:cs="宋体"/>
          <w:color w:val="auto"/>
          <w:szCs w:val="21"/>
          <w:highlight w:val="none"/>
        </w:rPr>
      </w:pPr>
    </w:p>
    <w:p w14:paraId="2711B236">
      <w:pPr>
        <w:pStyle w:val="3"/>
        <w:jc w:val="center"/>
        <w:rPr>
          <w:rFonts w:hint="eastAsia"/>
          <w:color w:val="auto"/>
          <w:highlight w:val="none"/>
        </w:rPr>
      </w:pPr>
      <w:r>
        <w:rPr>
          <w:rFonts w:hint="eastAsia"/>
          <w:color w:val="auto"/>
          <w:sz w:val="24"/>
          <w:szCs w:val="24"/>
          <w:highlight w:val="none"/>
        </w:rPr>
        <w:br w:type="page"/>
      </w:r>
      <w:bookmarkStart w:id="315" w:name="_Toc32478"/>
      <w:bookmarkStart w:id="316" w:name="_Toc5305"/>
      <w:bookmarkStart w:id="317" w:name="_Toc30321"/>
      <w:bookmarkStart w:id="318" w:name="_Toc284"/>
      <w:bookmarkStart w:id="319" w:name="_Toc14765"/>
      <w:bookmarkStart w:id="320" w:name="_Toc17144"/>
      <w:bookmarkStart w:id="321" w:name="_Toc15088"/>
      <w:bookmarkStart w:id="322" w:name="_Toc9286"/>
      <w:bookmarkStart w:id="323" w:name="_Toc6454"/>
      <w:bookmarkStart w:id="324" w:name="_Toc6477"/>
      <w:bookmarkStart w:id="325" w:name="_Toc18521"/>
      <w:bookmarkStart w:id="326" w:name="_Toc2272569"/>
      <w:bookmarkStart w:id="327" w:name="_Toc8953"/>
      <w:r>
        <w:rPr>
          <w:rFonts w:hint="eastAsia"/>
          <w:color w:val="auto"/>
          <w:highlight w:val="none"/>
        </w:rPr>
        <w:t>第六章 图纸及勘察资料</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6CEE922A">
      <w:pPr>
        <w:spacing w:line="360" w:lineRule="auto"/>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注：本章由招标人自行制定。</w:t>
      </w:r>
    </w:p>
    <w:p w14:paraId="176A393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（另册）</w:t>
      </w:r>
    </w:p>
    <w:p w14:paraId="6121B27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64C7937B">
      <w:pPr>
        <w:pStyle w:val="3"/>
        <w:rPr>
          <w:rFonts w:hint="eastAsia"/>
          <w:color w:val="auto"/>
          <w:highlight w:val="none"/>
        </w:rPr>
      </w:pPr>
      <w:bookmarkStart w:id="328" w:name="_Toc6338"/>
      <w:bookmarkStart w:id="329" w:name="_Toc15274"/>
      <w:bookmarkStart w:id="330" w:name="_Toc20968"/>
      <w:bookmarkStart w:id="331" w:name="_Toc19678"/>
      <w:bookmarkStart w:id="332" w:name="_Toc20002"/>
      <w:bookmarkStart w:id="333" w:name="_Toc26158"/>
      <w:bookmarkStart w:id="334" w:name="_Toc10597"/>
      <w:bookmarkStart w:id="335" w:name="_Toc17474"/>
      <w:bookmarkStart w:id="336" w:name="_Toc2272570"/>
      <w:bookmarkStart w:id="337" w:name="_Toc21758"/>
      <w:bookmarkStart w:id="338" w:name="_Toc28947"/>
      <w:bookmarkStart w:id="339" w:name="_Toc10951"/>
      <w:bookmarkStart w:id="340" w:name="_Toc27436"/>
      <w:r>
        <w:rPr>
          <w:rFonts w:hint="eastAsia"/>
          <w:color w:val="auto"/>
          <w:highlight w:val="none"/>
        </w:rPr>
        <w:t>第七章 工程量清单</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5771CE3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注：本章由招标人自行制定。</w:t>
      </w:r>
    </w:p>
    <w:p w14:paraId="44020454">
      <w:pPr>
        <w:spacing w:line="360" w:lineRule="auto"/>
        <w:jc w:val="center"/>
        <w:rPr>
          <w:rFonts w:hint="eastAsia" w:ascii="宋体" w:hAnsi="宋体" w:cs="宋体"/>
          <w:color w:val="auto"/>
          <w:highlight w:val="none"/>
        </w:rPr>
      </w:pPr>
      <w:r>
        <w:rPr>
          <w:rFonts w:hint="eastAsia" w:ascii="宋体" w:hAnsi="宋体" w:cs="宋体"/>
          <w:color w:val="auto"/>
          <w:sz w:val="24"/>
          <w:szCs w:val="24"/>
          <w:highlight w:val="none"/>
        </w:rPr>
        <w:t>（另册）</w:t>
      </w:r>
    </w:p>
    <w:p w14:paraId="1C6CE242">
      <w:pPr>
        <w:pStyle w:val="20"/>
        <w:spacing w:after="0" w:line="360" w:lineRule="auto"/>
        <w:ind w:left="-2" w:leftChars="-1" w:firstLine="960" w:firstLineChars="400"/>
        <w:rPr>
          <w:rFonts w:hint="eastAsia" w:ascii="宋体" w:hAnsi="宋体" w:eastAsia="宋体" w:cs="宋体"/>
          <w:color w:val="auto"/>
          <w:sz w:val="24"/>
          <w:highlight w:val="none"/>
        </w:rPr>
      </w:pPr>
    </w:p>
    <w:p w14:paraId="1830CC5B">
      <w:pPr>
        <w:pStyle w:val="3"/>
        <w:jc w:val="center"/>
        <w:rPr>
          <w:rFonts w:hint="eastAsia"/>
          <w:color w:val="auto"/>
          <w:highlight w:val="none"/>
        </w:rPr>
      </w:pPr>
      <w:r>
        <w:rPr>
          <w:rFonts w:hint="eastAsia"/>
          <w:color w:val="auto"/>
          <w:sz w:val="24"/>
          <w:szCs w:val="24"/>
          <w:highlight w:val="none"/>
        </w:rPr>
        <w:br w:type="page"/>
      </w:r>
      <w:bookmarkStart w:id="341" w:name="_Toc26389"/>
      <w:bookmarkStart w:id="342" w:name="_Toc7467"/>
      <w:bookmarkStart w:id="343" w:name="_Toc2272571"/>
      <w:bookmarkStart w:id="344" w:name="_Toc3515"/>
      <w:bookmarkStart w:id="345" w:name="_Toc23985"/>
      <w:bookmarkStart w:id="346" w:name="_Toc32020"/>
      <w:bookmarkStart w:id="347" w:name="_Toc25055"/>
      <w:bookmarkStart w:id="348" w:name="_Toc28098"/>
      <w:bookmarkStart w:id="349" w:name="_Toc8155"/>
      <w:bookmarkStart w:id="350" w:name="_Toc22976"/>
      <w:bookmarkStart w:id="351" w:name="_Toc17841"/>
      <w:bookmarkStart w:id="352" w:name="_Toc10753"/>
      <w:bookmarkStart w:id="353" w:name="_Toc22151"/>
      <w:r>
        <w:rPr>
          <w:rFonts w:hint="eastAsia"/>
          <w:color w:val="auto"/>
          <w:highlight w:val="none"/>
        </w:rPr>
        <w:t>第八章 最高投标限价</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231C7263">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155D03B4">
      <w:pPr>
        <w:spacing w:line="360" w:lineRule="auto"/>
        <w:ind w:firstLine="48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另册</w:t>
      </w:r>
      <w:r>
        <w:rPr>
          <w:rFonts w:hint="eastAsia" w:ascii="宋体" w:hAnsi="宋体" w:cs="宋体"/>
          <w:color w:val="auto"/>
          <w:sz w:val="24"/>
          <w:szCs w:val="24"/>
          <w:highlight w:val="none"/>
        </w:rPr>
        <w:t>）。</w:t>
      </w:r>
    </w:p>
    <w:p w14:paraId="2C63CBA9">
      <w:pPr>
        <w:spacing w:line="360" w:lineRule="auto"/>
        <w:rPr>
          <w:rFonts w:hint="eastAsia" w:ascii="宋体" w:hAnsi="宋体" w:cs="宋体"/>
          <w:color w:val="auto"/>
          <w:highlight w:val="none"/>
        </w:rPr>
      </w:pPr>
    </w:p>
    <w:p w14:paraId="0B88DFE0">
      <w:pPr>
        <w:spacing w:line="360" w:lineRule="auto"/>
        <w:rPr>
          <w:rFonts w:hint="eastAsia" w:ascii="宋体" w:hAnsi="宋体" w:cs="宋体"/>
          <w:color w:val="auto"/>
          <w:highlight w:val="none"/>
        </w:rPr>
      </w:pPr>
    </w:p>
    <w:p w14:paraId="1D0140CF">
      <w:pPr>
        <w:spacing w:line="360" w:lineRule="auto"/>
        <w:rPr>
          <w:rFonts w:hint="eastAsia" w:ascii="宋体" w:hAnsi="宋体" w:cs="宋体"/>
          <w:color w:val="auto"/>
          <w:highlight w:val="none"/>
        </w:rPr>
      </w:pPr>
    </w:p>
    <w:p w14:paraId="54201406">
      <w:pPr>
        <w:spacing w:line="360" w:lineRule="auto"/>
        <w:rPr>
          <w:rFonts w:hint="eastAsia" w:ascii="宋体" w:hAnsi="宋体" w:cs="宋体"/>
          <w:color w:val="auto"/>
          <w:highlight w:val="none"/>
        </w:rPr>
      </w:pPr>
    </w:p>
    <w:p w14:paraId="6DAD0750">
      <w:pPr>
        <w:spacing w:line="360" w:lineRule="auto"/>
        <w:rPr>
          <w:rFonts w:hint="eastAsia" w:ascii="宋体" w:hAnsi="宋体" w:cs="宋体"/>
          <w:color w:val="auto"/>
          <w:highlight w:val="none"/>
        </w:rPr>
      </w:pPr>
    </w:p>
    <w:p w14:paraId="21FE7FCD">
      <w:pPr>
        <w:spacing w:line="360" w:lineRule="auto"/>
        <w:rPr>
          <w:rFonts w:hint="eastAsia" w:ascii="宋体" w:hAnsi="宋体" w:cs="宋体"/>
          <w:color w:val="auto"/>
          <w:highlight w:val="none"/>
        </w:rPr>
      </w:pPr>
    </w:p>
    <w:p w14:paraId="3B799924">
      <w:pPr>
        <w:rPr>
          <w:rFonts w:hint="eastAsia" w:ascii="宋体" w:hAnsi="宋体" w:cs="宋体"/>
          <w:color w:val="auto"/>
          <w:highlight w:val="none"/>
        </w:rPr>
      </w:pPr>
    </w:p>
    <w:sectPr>
      <w:pgSz w:w="11906" w:h="16838"/>
      <w:pgMar w:top="1440" w:right="1080" w:bottom="1440" w:left="1080"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5731">
    <w:pPr>
      <w:pStyle w:val="14"/>
      <w:jc w:val="center"/>
    </w:pPr>
    <w:r>
      <w:fldChar w:fldCharType="begin"/>
    </w:r>
    <w:r>
      <w:instrText xml:space="preserve"> PAGE   \* MERGEFORMAT </w:instrText>
    </w:r>
    <w:r>
      <w:fldChar w:fldCharType="separate"/>
    </w:r>
    <w:r>
      <w:rPr>
        <w:lang w:val="zh-CN"/>
      </w:rPr>
      <w:t>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B880">
    <w:pPr>
      <w:pStyle w:val="14"/>
      <w:ind w:firstLine="392"/>
      <w:rPr>
        <w:rStyle w:val="24"/>
      </w:rPr>
    </w:pPr>
    <w:r>
      <w:fldChar w:fldCharType="begin"/>
    </w:r>
    <w:r>
      <w:rPr>
        <w:rStyle w:val="24"/>
      </w:rPr>
      <w:instrText xml:space="preserve">PAGE  </w:instrText>
    </w:r>
    <w:r>
      <w:fldChar w:fldCharType="separate"/>
    </w:r>
    <w:r>
      <w:rPr>
        <w:rStyle w:val="24"/>
        <w:rFonts w:hint="eastAsia"/>
      </w:rPr>
      <w:t>一</w:t>
    </w:r>
    <w:r>
      <w:rPr>
        <w:rStyle w:val="24"/>
      </w:rPr>
      <w:t>–2</w:t>
    </w:r>
    <w:r>
      <w:fldChar w:fldCharType="end"/>
    </w:r>
  </w:p>
  <w:p w14:paraId="63F7EEB9">
    <w:pPr>
      <w:pStyle w:val="14"/>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FD92">
    <w:pPr>
      <w:pStyle w:val="14"/>
      <w:jc w:val="center"/>
    </w:pPr>
    <w:r>
      <w:fldChar w:fldCharType="begin"/>
    </w:r>
    <w:r>
      <w:instrText xml:space="preserve"> PAGE   \* MERGEFORMAT </w:instrText>
    </w:r>
    <w:r>
      <w:fldChar w:fldCharType="separate"/>
    </w:r>
    <w:r>
      <w:rPr>
        <w:lang w:val="zh-CN"/>
      </w:rPr>
      <w:t>55</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9C53">
    <w:pPr>
      <w:pStyle w:val="14"/>
      <w:jc w:val="center"/>
    </w:pPr>
    <w:r>
      <w:fldChar w:fldCharType="begin"/>
    </w:r>
    <w:r>
      <w:instrText xml:space="preserve"> PAGE   \* MERGEFORMAT </w:instrText>
    </w:r>
    <w:r>
      <w:fldChar w:fldCharType="separate"/>
    </w:r>
    <w:r>
      <w:t>60</w:t>
    </w:r>
    <w:r>
      <w:fldChar w:fldCharType="end"/>
    </w:r>
  </w:p>
  <w:p w14:paraId="5430E28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DDE4">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0E86">
    <w:pPr>
      <w:pStyle w:val="1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BE6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3AD5465A"/>
    <w:multiLevelType w:val="multilevel"/>
    <w:tmpl w:val="3AD546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721576"/>
    <w:multiLevelType w:val="multilevel"/>
    <w:tmpl w:val="79721576"/>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0"/>
      </w:pPr>
      <w:rPr>
        <w:rFonts w:hint="eastAsia" w:ascii="黑体" w:hAnsi="黑体" w:eastAsia="黑体"/>
      </w:rPr>
    </w:lvl>
    <w:lvl w:ilvl="4" w:tentative="0">
      <w:start w:val="1"/>
      <w:numFmt w:val="decimalFullWidth"/>
      <w:suff w:val="nothing"/>
      <w:lvlText w:val="（%5）"/>
      <w:lvlJc w:val="left"/>
      <w:pPr>
        <w:tabs>
          <w:tab w:val="left" w:pos="0"/>
        </w:tabs>
        <w:ind w:left="0" w:firstLine="0"/>
      </w:pPr>
      <w:rPr>
        <w:rFonts w:hint="eastAsia" w:ascii="黑体" w:hAnsi="黑体" w:eastAsia="黑体" w:cs="宋体"/>
        <w:szCs w:val="24"/>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N2VhZTA2OWIwNjliNTc2OGM5MzY4NWRlZDQ4NjAifQ=="/>
  </w:docVars>
  <w:rsids>
    <w:rsidRoot w:val="3DA02742"/>
    <w:rsid w:val="001A5E64"/>
    <w:rsid w:val="00215802"/>
    <w:rsid w:val="0033508E"/>
    <w:rsid w:val="0040367D"/>
    <w:rsid w:val="004409FE"/>
    <w:rsid w:val="00491DC5"/>
    <w:rsid w:val="00541695"/>
    <w:rsid w:val="005D327A"/>
    <w:rsid w:val="005E3C66"/>
    <w:rsid w:val="00614395"/>
    <w:rsid w:val="006B2979"/>
    <w:rsid w:val="006D3516"/>
    <w:rsid w:val="00744087"/>
    <w:rsid w:val="00876001"/>
    <w:rsid w:val="009B5629"/>
    <w:rsid w:val="009F33C9"/>
    <w:rsid w:val="00A521FA"/>
    <w:rsid w:val="00A634A6"/>
    <w:rsid w:val="00AE41B5"/>
    <w:rsid w:val="00B14691"/>
    <w:rsid w:val="00BE3B83"/>
    <w:rsid w:val="00BF2A64"/>
    <w:rsid w:val="00C1756B"/>
    <w:rsid w:val="00D10712"/>
    <w:rsid w:val="00D11168"/>
    <w:rsid w:val="00D56987"/>
    <w:rsid w:val="00DC4775"/>
    <w:rsid w:val="00EA6A7C"/>
    <w:rsid w:val="00ED717E"/>
    <w:rsid w:val="00FB5C53"/>
    <w:rsid w:val="00FF27BB"/>
    <w:rsid w:val="014A2125"/>
    <w:rsid w:val="030376E3"/>
    <w:rsid w:val="035B7FC2"/>
    <w:rsid w:val="050667B6"/>
    <w:rsid w:val="094445B2"/>
    <w:rsid w:val="0A41489C"/>
    <w:rsid w:val="0B0D4A25"/>
    <w:rsid w:val="0BE91440"/>
    <w:rsid w:val="0C5C518F"/>
    <w:rsid w:val="0C5E0B8C"/>
    <w:rsid w:val="0E8D2557"/>
    <w:rsid w:val="0F3D2815"/>
    <w:rsid w:val="0F7756E1"/>
    <w:rsid w:val="10B1077E"/>
    <w:rsid w:val="138B5016"/>
    <w:rsid w:val="14376A61"/>
    <w:rsid w:val="145558C5"/>
    <w:rsid w:val="158E10A8"/>
    <w:rsid w:val="17620A24"/>
    <w:rsid w:val="198F4904"/>
    <w:rsid w:val="19F811CC"/>
    <w:rsid w:val="1B281F85"/>
    <w:rsid w:val="1B373F76"/>
    <w:rsid w:val="200E0021"/>
    <w:rsid w:val="211B7EC1"/>
    <w:rsid w:val="21921F06"/>
    <w:rsid w:val="219226BE"/>
    <w:rsid w:val="220A3BAC"/>
    <w:rsid w:val="22B67E76"/>
    <w:rsid w:val="237F64BA"/>
    <w:rsid w:val="23F1286B"/>
    <w:rsid w:val="245C48BC"/>
    <w:rsid w:val="25756F59"/>
    <w:rsid w:val="261F21D6"/>
    <w:rsid w:val="27146BD2"/>
    <w:rsid w:val="2DAB3064"/>
    <w:rsid w:val="2F953A19"/>
    <w:rsid w:val="30635FE0"/>
    <w:rsid w:val="31A742A2"/>
    <w:rsid w:val="34C54EA2"/>
    <w:rsid w:val="34E6283D"/>
    <w:rsid w:val="35892636"/>
    <w:rsid w:val="35DF46E5"/>
    <w:rsid w:val="37B95D33"/>
    <w:rsid w:val="37E62C43"/>
    <w:rsid w:val="3A3000B7"/>
    <w:rsid w:val="3CA51EB9"/>
    <w:rsid w:val="3D271561"/>
    <w:rsid w:val="3D5173AE"/>
    <w:rsid w:val="3D791D75"/>
    <w:rsid w:val="3DA02742"/>
    <w:rsid w:val="3F8C5D8F"/>
    <w:rsid w:val="418D7CAF"/>
    <w:rsid w:val="43A30E51"/>
    <w:rsid w:val="43D1290A"/>
    <w:rsid w:val="44766939"/>
    <w:rsid w:val="44A829AD"/>
    <w:rsid w:val="44D46DC0"/>
    <w:rsid w:val="45B45068"/>
    <w:rsid w:val="493D00FA"/>
    <w:rsid w:val="49B8776F"/>
    <w:rsid w:val="4B051674"/>
    <w:rsid w:val="4BCE5CCF"/>
    <w:rsid w:val="4C2A6C76"/>
    <w:rsid w:val="4C3677AE"/>
    <w:rsid w:val="4D34632C"/>
    <w:rsid w:val="4F383CE4"/>
    <w:rsid w:val="50D94BAC"/>
    <w:rsid w:val="51AB479B"/>
    <w:rsid w:val="536F26B6"/>
    <w:rsid w:val="53DC014C"/>
    <w:rsid w:val="545F717E"/>
    <w:rsid w:val="54B24092"/>
    <w:rsid w:val="54B91935"/>
    <w:rsid w:val="55A0015A"/>
    <w:rsid w:val="57233ED3"/>
    <w:rsid w:val="584D0443"/>
    <w:rsid w:val="58DE2BCD"/>
    <w:rsid w:val="5BEA5EBF"/>
    <w:rsid w:val="5E685A72"/>
    <w:rsid w:val="5F680952"/>
    <w:rsid w:val="5FB97304"/>
    <w:rsid w:val="60F30906"/>
    <w:rsid w:val="63B079EF"/>
    <w:rsid w:val="65291781"/>
    <w:rsid w:val="65393821"/>
    <w:rsid w:val="66293A88"/>
    <w:rsid w:val="66F46F2C"/>
    <w:rsid w:val="66FB20ED"/>
    <w:rsid w:val="6988073E"/>
    <w:rsid w:val="699102C2"/>
    <w:rsid w:val="69A03AE0"/>
    <w:rsid w:val="6B1C3BBC"/>
    <w:rsid w:val="6B8A074D"/>
    <w:rsid w:val="6B964E9E"/>
    <w:rsid w:val="6BB45CBE"/>
    <w:rsid w:val="6BB84FEE"/>
    <w:rsid w:val="6D2F397F"/>
    <w:rsid w:val="6D3B6D3C"/>
    <w:rsid w:val="6D512242"/>
    <w:rsid w:val="6DB50A44"/>
    <w:rsid w:val="6EA20EA4"/>
    <w:rsid w:val="6EC10D02"/>
    <w:rsid w:val="717B7633"/>
    <w:rsid w:val="71F23C7C"/>
    <w:rsid w:val="73C05A2C"/>
    <w:rsid w:val="767F74F6"/>
    <w:rsid w:val="78144158"/>
    <w:rsid w:val="785A227F"/>
    <w:rsid w:val="7C021428"/>
    <w:rsid w:val="7D146F72"/>
    <w:rsid w:val="7E920914"/>
    <w:rsid w:val="7E953F59"/>
    <w:rsid w:val="7F0A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after="120" w:line="360" w:lineRule="auto"/>
      <w:outlineLvl w:val="0"/>
    </w:pPr>
    <w:rPr>
      <w:rFonts w:ascii="宋体" w:hAnsi="宋体" w:cs="宋体"/>
      <w:kern w:val="44"/>
      <w:sz w:val="28"/>
      <w:szCs w:val="28"/>
    </w:rPr>
  </w:style>
  <w:style w:type="paragraph" w:styleId="4">
    <w:name w:val="heading 2"/>
    <w:basedOn w:val="1"/>
    <w:next w:val="1"/>
    <w:link w:val="29"/>
    <w:autoRedefine/>
    <w:qFormat/>
    <w:uiPriority w:val="0"/>
    <w:pPr>
      <w:keepNext/>
      <w:keepLines/>
      <w:tabs>
        <w:tab w:val="right" w:leader="dot" w:pos="9060"/>
      </w:tabs>
      <w:spacing w:before="120" w:after="120" w:line="415" w:lineRule="auto"/>
      <w:jc w:val="center"/>
      <w:outlineLvl w:val="1"/>
    </w:pPr>
    <w:rPr>
      <w:rFonts w:ascii="宋体" w:hAnsi="宋体" w:cs="宋体"/>
      <w:b/>
      <w:kern w:val="0"/>
      <w:sz w:val="24"/>
      <w:szCs w:val="24"/>
    </w:rPr>
  </w:style>
  <w:style w:type="paragraph" w:styleId="5">
    <w:name w:val="heading 3"/>
    <w:basedOn w:val="1"/>
    <w:next w:val="1"/>
    <w:qFormat/>
    <w:uiPriority w:val="0"/>
    <w:pPr>
      <w:widowControl/>
      <w:jc w:val="left"/>
      <w:outlineLvl w:val="2"/>
    </w:pPr>
    <w:rPr>
      <w:rFonts w:ascii="宋体" w:hAnsi="宋体"/>
      <w:kern w:val="0"/>
      <w:sz w:val="27"/>
      <w:szCs w:val="27"/>
    </w:rPr>
  </w:style>
  <w:style w:type="paragraph" w:styleId="6">
    <w:name w:val="heading 4"/>
    <w:basedOn w:val="1"/>
    <w:next w:val="1"/>
    <w:semiHidden/>
    <w:unhideWhenUsed/>
    <w:qFormat/>
    <w:uiPriority w:val="9"/>
    <w:pPr>
      <w:keepNext/>
      <w:keepLines/>
      <w:numPr>
        <w:ilvl w:val="3"/>
        <w:numId w:val="1"/>
      </w:numPr>
      <w:spacing w:line="360" w:lineRule="auto"/>
      <w:ind w:firstLine="690" w:firstLineChars="229"/>
      <w:outlineLvl w:val="3"/>
    </w:pPr>
    <w:rPr>
      <w:rFonts w:ascii="宋体" w:hAnsi="宋体" w:eastAsia="黑体" w:cs="宋体"/>
      <w:snapToGrid w:val="0"/>
      <w:color w:val="00B050"/>
      <w:kern w:val="0"/>
      <w:sz w:val="24"/>
      <w:lang w:eastAsia="en-US"/>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cstheme="minorBidi"/>
    </w:rPr>
  </w:style>
  <w:style w:type="paragraph" w:styleId="7">
    <w:name w:val="annotation text"/>
    <w:basedOn w:val="1"/>
    <w:link w:val="45"/>
    <w:qFormat/>
    <w:uiPriority w:val="0"/>
    <w:pPr>
      <w:spacing w:line="360" w:lineRule="auto"/>
      <w:ind w:firstLine="523" w:firstLineChars="218"/>
      <w:jc w:val="left"/>
    </w:pPr>
    <w:rPr>
      <w:rFonts w:ascii="宋体" w:hAnsi="宋体"/>
      <w:sz w:val="24"/>
      <w:szCs w:val="24"/>
    </w:rPr>
  </w:style>
  <w:style w:type="paragraph" w:styleId="8">
    <w:name w:val="Body Text"/>
    <w:basedOn w:val="1"/>
    <w:qFormat/>
    <w:uiPriority w:val="99"/>
    <w:pPr>
      <w:spacing w:after="120"/>
    </w:pPr>
    <w:rPr>
      <w:rFonts w:ascii="Times New Roman" w:hAnsi="Times New Roman"/>
      <w:szCs w:val="20"/>
    </w:rPr>
  </w:style>
  <w:style w:type="paragraph" w:styleId="9">
    <w:name w:val="Body Text Indent"/>
    <w:basedOn w:val="1"/>
    <w:next w:val="10"/>
    <w:qFormat/>
    <w:uiPriority w:val="0"/>
    <w:pPr>
      <w:ind w:firstLine="570"/>
    </w:pPr>
    <w:rPr>
      <w:rFonts w:ascii="Times New Roman" w:hAnsi="Times New Roman"/>
      <w:sz w:val="28"/>
      <w:szCs w:val="20"/>
    </w:rPr>
  </w:style>
  <w:style w:type="paragraph" w:styleId="10">
    <w:name w:val="envelope return"/>
    <w:basedOn w:val="1"/>
    <w:autoRedefine/>
    <w:qFormat/>
    <w:uiPriority w:val="0"/>
    <w:pPr>
      <w:snapToGrid w:val="0"/>
    </w:pPr>
    <w:rPr>
      <w:rFonts w:ascii="Arial" w:hAnsi="Arial"/>
      <w:szCs w:val="24"/>
    </w:rPr>
  </w:style>
  <w:style w:type="paragraph" w:styleId="11">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2">
    <w:name w:val="Plain Text"/>
    <w:basedOn w:val="1"/>
    <w:next w:val="1"/>
    <w:qFormat/>
    <w:uiPriority w:val="0"/>
    <w:rPr>
      <w:rFonts w:ascii="宋体" w:hAnsi="Courier New"/>
      <w:szCs w:val="20"/>
    </w:rPr>
  </w:style>
  <w:style w:type="paragraph" w:styleId="13">
    <w:name w:val="Date"/>
    <w:basedOn w:val="1"/>
    <w:next w:val="1"/>
    <w:qFormat/>
    <w:uiPriority w:val="0"/>
    <w:rPr>
      <w:rFonts w:ascii="Times New Roman" w:hAnsi="Times New Roman"/>
      <w:szCs w:val="20"/>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7">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18">
    <w:name w:val="Title"/>
    <w:basedOn w:val="1"/>
    <w:qFormat/>
    <w:uiPriority w:val="0"/>
    <w:pPr>
      <w:spacing w:before="120" w:after="60"/>
      <w:jc w:val="center"/>
    </w:pPr>
    <w:rPr>
      <w:rFonts w:ascii="Arial" w:hAnsi="Arial"/>
      <w:b/>
      <w:sz w:val="44"/>
      <w:szCs w:val="20"/>
    </w:rPr>
  </w:style>
  <w:style w:type="paragraph" w:styleId="19">
    <w:name w:val="annotation subject"/>
    <w:basedOn w:val="7"/>
    <w:next w:val="7"/>
    <w:link w:val="46"/>
    <w:qFormat/>
    <w:uiPriority w:val="0"/>
    <w:pPr>
      <w:spacing w:line="240" w:lineRule="auto"/>
      <w:ind w:firstLine="0" w:firstLineChars="0"/>
    </w:pPr>
    <w:rPr>
      <w:rFonts w:ascii="Calibri" w:hAnsi="Calibri"/>
      <w:b/>
      <w:bCs/>
      <w:sz w:val="21"/>
      <w:szCs w:val="22"/>
    </w:rPr>
  </w:style>
  <w:style w:type="paragraph" w:styleId="20">
    <w:name w:val="Body Text First Indent"/>
    <w:basedOn w:val="8"/>
    <w:qFormat/>
    <w:uiPriority w:val="0"/>
    <w:pPr>
      <w:ind w:firstLine="420"/>
    </w:pPr>
    <w:rPr>
      <w:rFonts w:asciiTheme="minorHAnsi" w:hAnsiTheme="minorHAnsi" w:eastAsiaTheme="minorEastAsia" w:cstheme="minorBidi"/>
      <w:szCs w:val="22"/>
    </w:rPr>
  </w:style>
  <w:style w:type="paragraph" w:styleId="21">
    <w:name w:val="Body Text First Indent 2"/>
    <w:basedOn w:val="9"/>
    <w:qFormat/>
    <w:uiPriority w:val="0"/>
    <w:pPr>
      <w:spacing w:after="120"/>
      <w:ind w:left="200" w:leftChars="200" w:firstLine="200" w:firstLineChars="200"/>
    </w:pPr>
    <w:rPr>
      <w:rFonts w:ascii="Calibri" w:hAnsi="Calibri"/>
      <w:color w:val="0D0D0D"/>
      <w:sz w:val="21"/>
      <w:szCs w:val="24"/>
      <w:lang w:eastAsia="en-US"/>
    </w:rPr>
  </w:style>
  <w:style w:type="character" w:styleId="24">
    <w:name w:val="page number"/>
    <w:basedOn w:val="23"/>
    <w:qFormat/>
    <w:uiPriority w:val="0"/>
    <w:rPr>
      <w:rFonts w:cs="Times New Roman"/>
    </w:rPr>
  </w:style>
  <w:style w:type="character" w:styleId="25">
    <w:name w:val="Hyperlink"/>
    <w:qFormat/>
    <w:uiPriority w:val="99"/>
    <w:rPr>
      <w:color w:val="0000FF"/>
      <w:u w:val="single"/>
    </w:rPr>
  </w:style>
  <w:style w:type="character" w:styleId="26">
    <w:name w:val="annotation reference"/>
    <w:basedOn w:val="23"/>
    <w:qFormat/>
    <w:uiPriority w:val="0"/>
    <w:rPr>
      <w:sz w:val="21"/>
      <w:szCs w:val="21"/>
    </w:rPr>
  </w:style>
  <w:style w:type="character" w:customStyle="1" w:styleId="27">
    <w:name w:val="font11"/>
    <w:basedOn w:val="23"/>
    <w:qFormat/>
    <w:uiPriority w:val="0"/>
    <w:rPr>
      <w:rFonts w:hint="eastAsia" w:ascii="宋体" w:hAnsi="宋体" w:eastAsia="宋体"/>
      <w:color w:val="000000"/>
      <w:sz w:val="24"/>
      <w:szCs w:val="24"/>
      <w:u w:val="single"/>
    </w:rPr>
  </w:style>
  <w:style w:type="paragraph" w:customStyle="1" w:styleId="28">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29">
    <w:name w:val="标题 2 字符"/>
    <w:basedOn w:val="23"/>
    <w:link w:val="4"/>
    <w:autoRedefine/>
    <w:qFormat/>
    <w:uiPriority w:val="0"/>
    <w:rPr>
      <w:rFonts w:ascii="宋体" w:hAnsi="宋体" w:cs="宋体"/>
      <w:b/>
      <w:kern w:val="0"/>
      <w:sz w:val="24"/>
      <w:szCs w:val="24"/>
    </w:rPr>
  </w:style>
  <w:style w:type="paragraph" w:customStyle="1" w:styleId="30">
    <w:name w:val="样式 宋体 四号 首行缩进:  2 字符"/>
    <w:basedOn w:val="1"/>
    <w:autoRedefine/>
    <w:qFormat/>
    <w:uiPriority w:val="0"/>
    <w:pPr>
      <w:widowControl/>
    </w:pPr>
    <w:rPr>
      <w:rFonts w:ascii="Times New Roman" w:hAnsi="Times New Roman" w:cs="宋体"/>
      <w:color w:val="000000"/>
      <w:kern w:val="0"/>
      <w:szCs w:val="20"/>
    </w:rPr>
  </w:style>
  <w:style w:type="paragraph" w:styleId="31">
    <w:name w:val="No Spacing"/>
    <w:basedOn w:val="1"/>
    <w:autoRedefine/>
    <w:qFormat/>
    <w:uiPriority w:val="0"/>
    <w:rPr>
      <w:rFonts w:asciiTheme="minorHAnsi" w:hAnsiTheme="minorHAnsi" w:eastAsiaTheme="minorEastAsia" w:cstheme="minorBidi"/>
      <w:sz w:val="22"/>
    </w:rPr>
  </w:style>
  <w:style w:type="paragraph" w:customStyle="1" w:styleId="32">
    <w:name w:val="正文 New New New New New New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3">
    <w:name w:val="正文文本缩进 New New"/>
    <w:basedOn w:val="1"/>
    <w:autoRedefine/>
    <w:qFormat/>
    <w:uiPriority w:val="0"/>
    <w:pPr>
      <w:spacing w:after="120"/>
      <w:ind w:left="420" w:leftChars="200"/>
    </w:pPr>
    <w:rPr>
      <w:rFonts w:ascii="Times New Roman" w:eastAsia="楷体_GB2312"/>
      <w:szCs w:val="20"/>
    </w:rPr>
  </w:style>
  <w:style w:type="paragraph" w:customStyle="1" w:styleId="34">
    <w:name w:val="表头"/>
    <w:basedOn w:val="1"/>
    <w:qFormat/>
    <w:uiPriority w:val="0"/>
    <w:pPr>
      <w:spacing w:line="360" w:lineRule="auto"/>
      <w:jc w:val="center"/>
    </w:pPr>
    <w:rPr>
      <w:rFonts w:ascii="黑体" w:hAnsi="Times New Roman" w:eastAsia="黑体"/>
      <w:kern w:val="0"/>
      <w:sz w:val="24"/>
      <w:szCs w:val="20"/>
    </w:rPr>
  </w:style>
  <w:style w:type="paragraph" w:customStyle="1" w:styleId="35">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6">
    <w:name w:val="文一"/>
    <w:basedOn w:val="1"/>
    <w:qFormat/>
    <w:uiPriority w:val="0"/>
    <w:pPr>
      <w:topLinePunct/>
      <w:adjustRightInd w:val="0"/>
      <w:snapToGrid w:val="0"/>
      <w:spacing w:line="360" w:lineRule="auto"/>
      <w:ind w:firstLine="200" w:firstLineChars="200"/>
    </w:pPr>
    <w:rPr>
      <w:rFonts w:ascii="宋体" w:hAnsi="宋体" w:eastAsiaTheme="minorEastAsia" w:cstheme="minorBidi"/>
      <w:spacing w:val="4"/>
      <w:sz w:val="24"/>
      <w:szCs w:val="24"/>
    </w:rPr>
  </w:style>
  <w:style w:type="character" w:customStyle="1" w:styleId="37">
    <w:name w:val="标题 1 字符1"/>
    <w:basedOn w:val="23"/>
    <w:autoRedefine/>
    <w:qFormat/>
    <w:uiPriority w:val="0"/>
    <w:rPr>
      <w:rFonts w:ascii="宋体" w:hAnsi="宋体" w:eastAsia="宋体" w:cs="宋体"/>
      <w:b/>
      <w:kern w:val="44"/>
      <w:sz w:val="28"/>
      <w:szCs w:val="28"/>
    </w:rPr>
  </w:style>
  <w:style w:type="paragraph" w:customStyle="1" w:styleId="38">
    <w:name w:val="样式 宋体 行距: 1.5 倍行距"/>
    <w:basedOn w:val="1"/>
    <w:autoRedefine/>
    <w:qFormat/>
    <w:uiPriority w:val="99"/>
    <w:pPr>
      <w:spacing w:line="360" w:lineRule="auto"/>
    </w:pPr>
    <w:rPr>
      <w:bCs/>
      <w:sz w:val="24"/>
    </w:rPr>
  </w:style>
  <w:style w:type="character" w:customStyle="1" w:styleId="39">
    <w:name w:val="font21"/>
    <w:basedOn w:val="23"/>
    <w:qFormat/>
    <w:uiPriority w:val="0"/>
    <w:rPr>
      <w:rFonts w:hint="eastAsia" w:ascii="宋体" w:hAnsi="宋体" w:eastAsia="宋体" w:cs="宋体"/>
      <w:b/>
      <w:bCs/>
      <w:color w:val="000000"/>
      <w:sz w:val="36"/>
      <w:szCs w:val="36"/>
      <w:u w:val="none"/>
    </w:rPr>
  </w:style>
  <w:style w:type="character" w:customStyle="1" w:styleId="40">
    <w:name w:val="font41"/>
    <w:basedOn w:val="23"/>
    <w:qFormat/>
    <w:uiPriority w:val="0"/>
    <w:rPr>
      <w:rFonts w:hint="eastAsia" w:ascii="宋体" w:hAnsi="宋体" w:eastAsia="宋体" w:cs="宋体"/>
      <w:color w:val="000000"/>
      <w:sz w:val="36"/>
      <w:szCs w:val="36"/>
      <w:u w:val="none"/>
    </w:rPr>
  </w:style>
  <w:style w:type="character" w:customStyle="1" w:styleId="41">
    <w:name w:val="font51"/>
    <w:basedOn w:val="23"/>
    <w:qFormat/>
    <w:uiPriority w:val="0"/>
    <w:rPr>
      <w:rFonts w:hint="eastAsia" w:ascii="宋体" w:hAnsi="宋体" w:eastAsia="宋体" w:cs="宋体"/>
      <w:color w:val="FF0000"/>
      <w:sz w:val="36"/>
      <w:szCs w:val="36"/>
      <w:u w:val="none"/>
    </w:rPr>
  </w:style>
  <w:style w:type="character" w:customStyle="1" w:styleId="42">
    <w:name w:val="NormalCharacter"/>
    <w:qFormat/>
    <w:uiPriority w:val="0"/>
  </w:style>
  <w:style w:type="paragraph" w:customStyle="1" w:styleId="43">
    <w:name w:val="样式1-正文"/>
    <w:basedOn w:val="1"/>
    <w:qFormat/>
    <w:uiPriority w:val="0"/>
    <w:pPr>
      <w:autoSpaceDE w:val="0"/>
      <w:autoSpaceDN w:val="0"/>
      <w:adjustRightInd w:val="0"/>
      <w:spacing w:line="360" w:lineRule="auto"/>
      <w:ind w:firstLine="600" w:firstLineChars="200"/>
      <w:jc w:val="left"/>
    </w:pPr>
    <w:rPr>
      <w:rFonts w:eastAsia="仿宋_GB2312"/>
      <w:color w:val="000000"/>
      <w:kern w:val="0"/>
      <w:szCs w:val="32"/>
    </w:rPr>
  </w:style>
  <w:style w:type="paragraph" w:customStyle="1" w:styleId="44">
    <w:name w:val="修订1"/>
    <w:hidden/>
    <w:unhideWhenUsed/>
    <w:qFormat/>
    <w:uiPriority w:val="99"/>
    <w:rPr>
      <w:rFonts w:ascii="Calibri" w:hAnsi="Calibri" w:eastAsia="宋体" w:cs="Times New Roman"/>
      <w:kern w:val="2"/>
      <w:sz w:val="21"/>
      <w:szCs w:val="22"/>
      <w:lang w:val="en-US" w:eastAsia="zh-CN" w:bidi="ar-SA"/>
    </w:rPr>
  </w:style>
  <w:style w:type="character" w:customStyle="1" w:styleId="45">
    <w:name w:val="批注文字 字符"/>
    <w:basedOn w:val="23"/>
    <w:link w:val="7"/>
    <w:qFormat/>
    <w:uiPriority w:val="0"/>
    <w:rPr>
      <w:rFonts w:ascii="宋体" w:hAnsi="宋体"/>
      <w:kern w:val="2"/>
      <w:sz w:val="24"/>
      <w:szCs w:val="24"/>
    </w:rPr>
  </w:style>
  <w:style w:type="character" w:customStyle="1" w:styleId="46">
    <w:name w:val="批注主题 字符"/>
    <w:basedOn w:val="45"/>
    <w:link w:val="19"/>
    <w:qFormat/>
    <w:uiPriority w:val="0"/>
    <w:rPr>
      <w:rFonts w:ascii="Calibri" w:hAnsi="Calibri"/>
      <w:b/>
      <w:bCs/>
      <w:kern w:val="2"/>
      <w:sz w:val="21"/>
      <w:szCs w:val="22"/>
    </w:rPr>
  </w:style>
  <w:style w:type="paragraph" w:customStyle="1" w:styleId="47">
    <w:name w:val="修订2"/>
    <w:hidden/>
    <w:unhideWhenUsed/>
    <w:qFormat/>
    <w:uiPriority w:val="99"/>
    <w:rPr>
      <w:rFonts w:ascii="Calibri" w:hAnsi="Calibri" w:eastAsia="宋体" w:cs="Times New Roman"/>
      <w:kern w:val="2"/>
      <w:sz w:val="21"/>
      <w:szCs w:val="22"/>
      <w:lang w:val="en-US" w:eastAsia="zh-CN" w:bidi="ar-SA"/>
    </w:rPr>
  </w:style>
  <w:style w:type="paragraph" w:customStyle="1" w:styleId="48">
    <w:name w:val="修订3"/>
    <w:hidden/>
    <w:unhideWhenUsed/>
    <w:qFormat/>
    <w:uiPriority w:val="99"/>
    <w:rPr>
      <w:rFonts w:ascii="Calibri" w:hAnsi="Calibri" w:eastAsia="宋体" w:cs="Times New Roman"/>
      <w:kern w:val="2"/>
      <w:sz w:val="21"/>
      <w:szCs w:val="22"/>
      <w:lang w:val="en-US" w:eastAsia="zh-CN" w:bidi="ar-SA"/>
    </w:rPr>
  </w:style>
  <w:style w:type="paragraph" w:customStyle="1" w:styleId="49">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103</Pages>
  <Words>602</Words>
  <Characters>634</Characters>
  <Lines>540</Lines>
  <Paragraphs>152</Paragraphs>
  <TotalTime>33</TotalTime>
  <ScaleCrop>false</ScaleCrop>
  <LinksUpToDate>false</LinksUpToDate>
  <CharactersWithSpaces>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2025-04-08T09:00:00Z</dcterms:created>
  <dc:creator>佚名</dc:creator>
  <cp:lastModifiedBy>Y</cp:lastModifiedBy>
  <cp:lastPrinted>2025-04-08T03:06:00Z</cp:lastPrinted>
  <dcterms:modified xsi:type="dcterms:W3CDTF">2025-04-24T07:38:22Z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92D3A9B40B84457C923608B75CE8E99C_13</vt:lpwstr>
  </property>
  <property fmtid="{D5CDD505-2E9C-101B-9397-08002B2CF9AE}" pid="4" name="KSOTemplateDocerSaveRecord">
    <vt:lpwstr>eyJoZGlkIjoiYjE3N2VhZTA2OWIwNjliNTc2OGM5MzY4NWRlZDQ4NjAiLCJ1c2VySWQiOiIzNDA4NjUyMjAifQ==</vt:lpwstr>
  </property>
</Properties>
</file>