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b/>
          <w:bCs/>
          <w:kern w:val="28"/>
          <w:sz w:val="36"/>
          <w:szCs w:val="36"/>
        </w:rPr>
      </w:pPr>
      <w:bookmarkStart w:id="0" w:name="_Hlk193812418"/>
      <w:bookmarkStart w:id="22" w:name="_GoBack"/>
      <w:r>
        <w:rPr>
          <w:rFonts w:hint="eastAsia" w:ascii="宋体" w:hAnsi="宋体" w:eastAsia="宋体"/>
          <w:b/>
          <w:bCs/>
          <w:kern w:val="28"/>
          <w:sz w:val="36"/>
          <w:szCs w:val="36"/>
        </w:rPr>
        <w:t>王老吉雅安公司三期项目</w:t>
      </w:r>
    </w:p>
    <w:p>
      <w:pPr>
        <w:widowControl/>
        <w:spacing w:line="360" w:lineRule="auto"/>
        <w:jc w:val="center"/>
        <w:rPr>
          <w:rFonts w:hint="eastAsia" w:ascii="宋体" w:hAnsi="宋体" w:eastAsia="宋体"/>
          <w:b/>
          <w:bCs/>
          <w:kern w:val="28"/>
          <w:sz w:val="36"/>
          <w:szCs w:val="36"/>
        </w:rPr>
      </w:pPr>
      <w:r>
        <w:rPr>
          <w:rFonts w:hint="eastAsia" w:ascii="宋体" w:hAnsi="宋体" w:eastAsia="宋体"/>
          <w:b/>
          <w:bCs/>
          <w:kern w:val="28"/>
          <w:sz w:val="36"/>
          <w:szCs w:val="36"/>
        </w:rPr>
        <w:t>S3线包装设备采购安装及相关服务</w:t>
      </w:r>
    </w:p>
    <w:p>
      <w:pPr>
        <w:widowControl/>
        <w:spacing w:line="360" w:lineRule="auto"/>
        <w:jc w:val="center"/>
        <w:rPr>
          <w:rFonts w:hint="eastAsia" w:ascii="宋体" w:hAnsi="宋体" w:eastAsia="宋体" w:cs="Times New Roman"/>
          <w:b/>
          <w:kern w:val="0"/>
          <w:sz w:val="36"/>
          <w:szCs w:val="36"/>
        </w:rPr>
      </w:pPr>
      <w:r>
        <w:rPr>
          <w:rFonts w:hint="eastAsia" w:ascii="宋体" w:hAnsi="宋体" w:eastAsia="宋体" w:cs="Times New Roman"/>
          <w:b/>
          <w:kern w:val="0"/>
          <w:sz w:val="36"/>
          <w:szCs w:val="36"/>
        </w:rPr>
        <w:t>用户需求书</w:t>
      </w:r>
    </w:p>
    <w:bookmarkEnd w:id="0"/>
    <w:p>
      <w:pPr>
        <w:widowControl/>
        <w:spacing w:line="360" w:lineRule="auto"/>
        <w:jc w:val="left"/>
        <w:rPr>
          <w:rFonts w:hint="eastAsia" w:ascii="宋体" w:hAnsi="宋体" w:eastAsia="宋体" w:cs="Times New Roman"/>
          <w:b/>
          <w:kern w:val="0"/>
          <w:szCs w:val="21"/>
        </w:rPr>
      </w:pPr>
      <w:r>
        <w:rPr>
          <w:rFonts w:hint="eastAsia" w:ascii="宋体" w:hAnsi="宋体" w:eastAsia="宋体" w:cs="Times New Roman"/>
          <w:b/>
          <w:kern w:val="0"/>
          <w:szCs w:val="21"/>
        </w:rPr>
        <w:t>一、标的情况</w:t>
      </w:r>
    </w:p>
    <w:p>
      <w:pPr>
        <w:pStyle w:val="13"/>
        <w:widowControl/>
        <w:numPr>
          <w:ilvl w:val="0"/>
          <w:numId w:val="1"/>
        </w:numPr>
        <w:spacing w:line="360" w:lineRule="auto"/>
        <w:ind w:firstLineChars="0"/>
        <w:jc w:val="left"/>
        <w:rPr>
          <w:rFonts w:hint="eastAsia" w:ascii="宋体" w:hAnsi="宋体" w:eastAsia="宋体" w:cs="Times New Roman"/>
          <w:kern w:val="0"/>
          <w:szCs w:val="21"/>
        </w:rPr>
      </w:pPr>
      <w:r>
        <w:rPr>
          <w:rFonts w:hint="eastAsia" w:ascii="宋体" w:hAnsi="宋体" w:eastAsia="宋体" w:cs="Times New Roman"/>
          <w:kern w:val="0"/>
          <w:szCs w:val="21"/>
        </w:rPr>
        <w:t>名称：王老吉雅安公司三期项目S3线包装设备采购安装及相关服务</w:t>
      </w:r>
    </w:p>
    <w:p>
      <w:pPr>
        <w:pStyle w:val="13"/>
        <w:widowControl/>
        <w:numPr>
          <w:ilvl w:val="0"/>
          <w:numId w:val="1"/>
        </w:numPr>
        <w:spacing w:line="360" w:lineRule="auto"/>
        <w:ind w:firstLineChars="0"/>
        <w:jc w:val="left"/>
        <w:rPr>
          <w:rFonts w:hint="eastAsia" w:ascii="宋体" w:hAnsi="宋体" w:eastAsia="宋体" w:cs="Times New Roman"/>
          <w:kern w:val="0"/>
          <w:szCs w:val="21"/>
        </w:rPr>
      </w:pPr>
      <w:r>
        <w:rPr>
          <w:rFonts w:hint="eastAsia" w:ascii="宋体" w:hAnsi="宋体" w:eastAsia="宋体" w:cs="Times New Roman"/>
          <w:kern w:val="0"/>
          <w:szCs w:val="21"/>
        </w:rPr>
        <w:t>数量：</w:t>
      </w:r>
      <w:r>
        <w:rPr>
          <w:rFonts w:ascii="宋体" w:hAnsi="宋体" w:eastAsia="宋体" w:cs="Times New Roman"/>
          <w:kern w:val="0"/>
          <w:szCs w:val="21"/>
        </w:rPr>
        <w:t>1</w:t>
      </w:r>
      <w:r>
        <w:rPr>
          <w:rFonts w:hint="eastAsia" w:ascii="宋体" w:hAnsi="宋体" w:eastAsia="宋体" w:cs="Times New Roman"/>
          <w:kern w:val="0"/>
          <w:szCs w:val="21"/>
        </w:rPr>
        <w:t>套。</w:t>
      </w:r>
    </w:p>
    <w:p>
      <w:pPr>
        <w:pStyle w:val="13"/>
        <w:widowControl/>
        <w:numPr>
          <w:ilvl w:val="0"/>
          <w:numId w:val="1"/>
        </w:numPr>
        <w:spacing w:line="360" w:lineRule="auto"/>
        <w:ind w:firstLineChars="0"/>
        <w:jc w:val="left"/>
        <w:rPr>
          <w:rFonts w:hint="eastAsia" w:ascii="宋体" w:hAnsi="宋体" w:eastAsia="宋体" w:cs="Times New Roman"/>
          <w:kern w:val="0"/>
          <w:szCs w:val="21"/>
        </w:rPr>
      </w:pPr>
      <w:r>
        <w:rPr>
          <w:rFonts w:hint="eastAsia" w:ascii="宋体" w:hAnsi="宋体" w:eastAsia="宋体" w:cs="Times New Roman"/>
          <w:kern w:val="0"/>
          <w:szCs w:val="21"/>
        </w:rPr>
        <w:t>标的主要包括：纸箱包装机、</w:t>
      </w:r>
      <w:r>
        <w:rPr>
          <w:rFonts w:hint="eastAsia" w:ascii="宋体" w:hAnsi="宋体" w:eastAsia="宋体" w:cs="Times New Roman"/>
          <w:b/>
          <w:kern w:val="0"/>
          <w:szCs w:val="21"/>
        </w:rPr>
        <w:t>C</w:t>
      </w:r>
      <w:r>
        <w:rPr>
          <w:rFonts w:ascii="宋体" w:hAnsi="宋体" w:eastAsia="宋体" w:cs="Times New Roman"/>
          <w:b/>
          <w:kern w:val="0"/>
          <w:szCs w:val="21"/>
        </w:rPr>
        <w:t>O</w:t>
      </w:r>
      <w:r>
        <w:rPr>
          <w:rFonts w:ascii="宋体" w:hAnsi="宋体" w:eastAsia="宋体" w:cs="Times New Roman"/>
          <w:b/>
          <w:kern w:val="0"/>
          <w:szCs w:val="21"/>
          <w:vertAlign w:val="subscript"/>
        </w:rPr>
        <w:t>2</w:t>
      </w:r>
      <w:r>
        <w:rPr>
          <w:rFonts w:hint="eastAsia" w:ascii="宋体" w:hAnsi="宋体" w:eastAsia="宋体" w:cs="Times New Roman"/>
          <w:kern w:val="0"/>
          <w:szCs w:val="21"/>
        </w:rPr>
        <w:t>激光打码机、侧式封箱机、称重检测、二维码采集系统、配套输送带及辅件、码垛机等。（详见标的范围）</w:t>
      </w:r>
    </w:p>
    <w:p>
      <w:pPr>
        <w:pStyle w:val="13"/>
        <w:widowControl/>
        <w:numPr>
          <w:ilvl w:val="0"/>
          <w:numId w:val="1"/>
        </w:numPr>
        <w:spacing w:line="360" w:lineRule="auto"/>
        <w:ind w:firstLineChars="0"/>
        <w:jc w:val="left"/>
        <w:rPr>
          <w:rFonts w:hint="eastAsia" w:ascii="宋体" w:hAnsi="宋体" w:eastAsia="宋体" w:cs="Times New Roman"/>
          <w:kern w:val="0"/>
          <w:szCs w:val="21"/>
        </w:rPr>
      </w:pPr>
      <w:r>
        <w:rPr>
          <w:rFonts w:hint="eastAsia" w:ascii="宋体" w:hAnsi="宋体" w:eastAsia="宋体" w:cs="Times New Roman"/>
          <w:kern w:val="0"/>
          <w:szCs w:val="21"/>
        </w:rPr>
        <w:t>标的伴随服务内容：本项目标的范围内所有设备的设计、供货、运输、安装、调试、验收及相关服务。</w:t>
      </w:r>
    </w:p>
    <w:p>
      <w:pPr>
        <w:spacing w:line="360" w:lineRule="auto"/>
        <w:rPr>
          <w:rFonts w:hint="eastAsia" w:ascii="宋体" w:hAnsi="宋体" w:eastAsia="宋体" w:cs="Times New Roman"/>
          <w:b/>
          <w:kern w:val="0"/>
          <w:szCs w:val="21"/>
        </w:rPr>
      </w:pPr>
      <w:r>
        <w:rPr>
          <w:rFonts w:ascii="宋体" w:hAnsi="宋体" w:eastAsia="宋体" w:cs="Times New Roman"/>
          <w:b/>
          <w:kern w:val="0"/>
          <w:szCs w:val="21"/>
        </w:rPr>
        <w:t>二、</w:t>
      </w:r>
      <w:r>
        <w:rPr>
          <w:rFonts w:hint="eastAsia" w:ascii="宋体" w:hAnsi="宋体" w:eastAsia="宋体" w:cs="Times New Roman"/>
          <w:b/>
          <w:bCs/>
          <w:kern w:val="0"/>
          <w:szCs w:val="21"/>
        </w:rPr>
        <w:t>项目介绍和工艺要求</w:t>
      </w:r>
    </w:p>
    <w:p>
      <w:pPr>
        <w:numPr>
          <w:ilvl w:val="0"/>
          <w:numId w:val="2"/>
        </w:numPr>
        <w:spacing w:line="360" w:lineRule="auto"/>
        <w:rPr>
          <w:rFonts w:hint="eastAsia" w:ascii="宋体" w:hAnsi="宋体" w:eastAsia="宋体" w:cs="宋体"/>
        </w:rPr>
      </w:pPr>
      <w:r>
        <w:rPr>
          <w:rFonts w:hint="eastAsia" w:ascii="宋体" w:hAnsi="宋体" w:eastAsia="宋体" w:cs="宋体"/>
          <w:b/>
          <w:szCs w:val="21"/>
        </w:rPr>
        <w:t>项目介绍：</w:t>
      </w:r>
      <w:bookmarkStart w:id="1" w:name="_Hlk194937015"/>
      <w:r>
        <w:rPr>
          <w:rFonts w:hint="eastAsia" w:ascii="宋体" w:hAnsi="宋体" w:eastAsia="宋体" w:cs="宋体"/>
          <w:szCs w:val="21"/>
        </w:rPr>
        <w:t>招标方</w:t>
      </w:r>
      <w:r>
        <w:rPr>
          <w:rFonts w:hint="eastAsia" w:ascii="宋体" w:hAnsi="宋体" w:eastAsia="宋体" w:cs="Times New Roman"/>
          <w:szCs w:val="21"/>
        </w:rPr>
        <w:t>拟在四川省雅安经济开发区德光路1号王老吉大健康产业（雅安）有限公司（S3线）</w:t>
      </w:r>
      <w:r>
        <w:rPr>
          <w:rFonts w:hint="eastAsia" w:ascii="宋体" w:hAnsi="宋体" w:eastAsia="宋体" w:cs="宋体"/>
        </w:rPr>
        <w:t>项目现有</w:t>
      </w:r>
      <w:r>
        <w:rPr>
          <w:rFonts w:hint="eastAsia" w:ascii="宋体" w:hAnsi="宋体" w:eastAsia="宋体" w:cs="宋体"/>
          <w:szCs w:val="21"/>
        </w:rPr>
        <w:t>厂房的2条易拉罐罐装生产线的基础上</w:t>
      </w:r>
      <w:r>
        <w:rPr>
          <w:rFonts w:hint="eastAsia" w:ascii="宋体" w:hAnsi="宋体" w:eastAsia="宋体" w:cs="宋体"/>
        </w:rPr>
        <w:t>安装1条易拉罐灌装生产线（产能36000罐/小时），</w:t>
      </w:r>
      <w:r>
        <w:rPr>
          <w:rFonts w:hint="eastAsia" w:ascii="宋体" w:hAnsi="宋体" w:eastAsia="宋体" w:cs="Times New Roman"/>
          <w:kern w:val="0"/>
          <w:szCs w:val="21"/>
        </w:rPr>
        <w:t>把上游下来的产品进行包装后通过码垛机送入码垛区。</w:t>
      </w:r>
      <w:bookmarkEnd w:id="1"/>
    </w:p>
    <w:p>
      <w:pPr>
        <w:pStyle w:val="13"/>
        <w:widowControl/>
        <w:numPr>
          <w:ilvl w:val="0"/>
          <w:numId w:val="2"/>
        </w:numPr>
        <w:spacing w:line="360" w:lineRule="auto"/>
        <w:ind w:firstLineChars="0"/>
        <w:jc w:val="left"/>
        <w:rPr>
          <w:rFonts w:hint="eastAsia" w:ascii="宋体" w:hAnsi="宋体" w:eastAsia="宋体" w:cs="Times New Roman"/>
          <w:b/>
          <w:kern w:val="0"/>
          <w:szCs w:val="21"/>
        </w:rPr>
      </w:pPr>
      <w:r>
        <w:rPr>
          <w:rFonts w:hint="eastAsia" w:ascii="宋体" w:hAnsi="宋体" w:eastAsia="宋体" w:cs="Times New Roman"/>
          <w:b/>
          <w:kern w:val="0"/>
          <w:szCs w:val="21"/>
        </w:rPr>
        <w:t>工艺要求及包装规格</w:t>
      </w:r>
    </w:p>
    <w:p>
      <w:pPr>
        <w:pStyle w:val="13"/>
        <w:widowControl/>
        <w:spacing w:line="360" w:lineRule="auto"/>
        <w:jc w:val="left"/>
        <w:rPr>
          <w:rFonts w:hint="eastAsia" w:ascii="宋体" w:hAnsi="宋体" w:eastAsia="宋体" w:cs="Times New Roman"/>
          <w:kern w:val="0"/>
          <w:szCs w:val="21"/>
        </w:rPr>
      </w:pPr>
      <w:bookmarkStart w:id="2" w:name="_Hlk194937076"/>
      <w:r>
        <w:rPr>
          <w:rFonts w:hint="eastAsia" w:ascii="宋体" w:hAnsi="宋体" w:eastAsia="宋体" w:cs="Times New Roman"/>
          <w:kern w:val="0"/>
          <w:szCs w:val="21"/>
        </w:rPr>
        <w:t>生产线配2台包装设备，每台包装机都能满足常规包装及加泡沫包装和其他包装，具体包装要求如下：</w:t>
      </w:r>
    </w:p>
    <w:bookmarkEnd w:id="2"/>
    <w:p>
      <w:pPr>
        <w:pStyle w:val="13"/>
        <w:widowControl/>
        <w:spacing w:line="360" w:lineRule="auto"/>
        <w:jc w:val="left"/>
        <w:rPr>
          <w:rFonts w:hint="eastAsia" w:ascii="宋体" w:hAnsi="宋体" w:eastAsia="宋体" w:cs="Times New Roman"/>
          <w:kern w:val="0"/>
          <w:szCs w:val="21"/>
        </w:rPr>
      </w:pPr>
      <w:bookmarkStart w:id="3" w:name="_Hlk194937089"/>
      <w:r>
        <w:rPr>
          <w:rFonts w:hint="eastAsia" w:ascii="宋体" w:hAnsi="宋体" w:eastAsia="宋体" w:cs="Times New Roman"/>
          <w:kern w:val="0"/>
          <w:szCs w:val="21"/>
        </w:rPr>
        <w:t>输送带输送两片罐→纸箱包装机→</w:t>
      </w:r>
      <w:r>
        <w:rPr>
          <w:rFonts w:ascii="宋体" w:hAnsi="宋体" w:eastAsia="宋体" w:cs="Times New Roman"/>
          <w:kern w:val="0"/>
          <w:szCs w:val="21"/>
        </w:rPr>
        <w:t>CO</w:t>
      </w:r>
      <w:r>
        <w:rPr>
          <w:rFonts w:ascii="宋体" w:hAnsi="宋体" w:eastAsia="宋体" w:cs="Times New Roman"/>
          <w:kern w:val="0"/>
          <w:szCs w:val="21"/>
          <w:vertAlign w:val="subscript"/>
        </w:rPr>
        <w:t>2</w:t>
      </w:r>
      <w:r>
        <w:rPr>
          <w:rFonts w:hint="eastAsia" w:ascii="宋体" w:hAnsi="宋体" w:eastAsia="宋体" w:cs="Times New Roman"/>
          <w:kern w:val="0"/>
          <w:szCs w:val="21"/>
        </w:rPr>
        <w:t>激光打码→称重检测机→侧式封箱机→二维码采集→输送去码垛区码垛；</w:t>
      </w:r>
      <w:bookmarkEnd w:id="3"/>
    </w:p>
    <w:tbl>
      <w:tblPr>
        <w:tblStyle w:val="7"/>
        <w:tblW w:w="861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126"/>
        <w:gridCol w:w="1701"/>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66" w:type="dxa"/>
            <w:vAlign w:val="center"/>
          </w:tcPr>
          <w:p>
            <w:pPr>
              <w:ind w:left="567" w:hanging="567"/>
              <w:jc w:val="center"/>
              <w:rPr>
                <w:rFonts w:hint="eastAsia" w:ascii="宋体" w:hAnsi="宋体" w:eastAsia="宋体" w:cs="Times New Roman"/>
                <w:szCs w:val="21"/>
              </w:rPr>
            </w:pPr>
            <w:bookmarkStart w:id="4" w:name="_Hlk194937115"/>
            <w:r>
              <w:rPr>
                <w:rFonts w:hint="eastAsia" w:ascii="宋体" w:hAnsi="宋体" w:eastAsia="宋体" w:cs="Times New Roman"/>
                <w:szCs w:val="21"/>
              </w:rPr>
              <w:t>产品</w:t>
            </w:r>
          </w:p>
        </w:tc>
        <w:tc>
          <w:tcPr>
            <w:tcW w:w="2126" w:type="dxa"/>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包装组合</w:t>
            </w:r>
          </w:p>
        </w:tc>
        <w:tc>
          <w:tcPr>
            <w:tcW w:w="1701" w:type="dxa"/>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生产包装速度</w:t>
            </w:r>
          </w:p>
        </w:tc>
        <w:tc>
          <w:tcPr>
            <w:tcW w:w="3117" w:type="dxa"/>
          </w:tcPr>
          <w:p>
            <w:pPr>
              <w:ind w:left="567" w:hanging="567"/>
              <w:rPr>
                <w:rFonts w:hint="eastAsia" w:ascii="宋体" w:hAnsi="宋体" w:eastAsia="宋体" w:cs="Times New Roman"/>
                <w:szCs w:val="21"/>
              </w:rPr>
            </w:pPr>
            <w:r>
              <w:rPr>
                <w:rFonts w:hint="eastAsia" w:ascii="宋体" w:hAnsi="宋体" w:eastAsia="宋体" w:cs="Times New Roman"/>
                <w:szCs w:val="21"/>
              </w:rPr>
              <w:t>包装纸箱尺寸（长×宽×高，单位：mm）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66"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普通易拉罐</w:t>
            </w:r>
          </w:p>
        </w:tc>
        <w:tc>
          <w:tcPr>
            <w:tcW w:w="2126"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6</w:t>
            </w:r>
          </w:p>
        </w:tc>
        <w:tc>
          <w:tcPr>
            <w:tcW w:w="1701"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0-3</w:t>
            </w:r>
            <w:r>
              <w:rPr>
                <w:rFonts w:ascii="宋体" w:hAnsi="宋体" w:eastAsia="宋体" w:cs="Times New Roman"/>
                <w:szCs w:val="21"/>
              </w:rPr>
              <w:t>0</w:t>
            </w:r>
            <w:r>
              <w:rPr>
                <w:rFonts w:hint="eastAsia" w:ascii="宋体" w:hAnsi="宋体" w:eastAsia="宋体" w:cs="Times New Roman"/>
                <w:szCs w:val="21"/>
              </w:rPr>
              <w:t>箱/分</w:t>
            </w:r>
          </w:p>
        </w:tc>
        <w:tc>
          <w:tcPr>
            <w:tcW w:w="3117"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02</w:t>
            </w:r>
            <w:r>
              <w:rPr>
                <w:rFonts w:hint="eastAsia" w:ascii="宋体" w:hAnsi="宋体" w:eastAsia="宋体" w:cs="Times New Roman"/>
                <w:szCs w:val="21"/>
              </w:rPr>
              <w:t>×</w:t>
            </w:r>
            <w:r>
              <w:rPr>
                <w:rFonts w:ascii="宋体" w:hAnsi="宋体" w:eastAsia="宋体" w:cs="Times New Roman"/>
                <w:szCs w:val="21"/>
              </w:rPr>
              <w:t>267</w:t>
            </w:r>
            <w:r>
              <w:rPr>
                <w:rFonts w:hint="eastAsia" w:ascii="宋体" w:hAnsi="宋体" w:eastAsia="宋体" w:cs="Times New Roman"/>
                <w:szCs w:val="21"/>
              </w:rPr>
              <w:t>×</w:t>
            </w:r>
            <w:r>
              <w:rPr>
                <w:rFonts w:ascii="宋体" w:hAnsi="宋体" w:eastAsia="宋体" w:cs="Times New Roman"/>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66"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普通易拉罐</w:t>
            </w:r>
          </w:p>
        </w:tc>
        <w:tc>
          <w:tcPr>
            <w:tcW w:w="2126"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3×4+泡沫（手提）</w:t>
            </w:r>
          </w:p>
        </w:tc>
        <w:tc>
          <w:tcPr>
            <w:tcW w:w="1701"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0-3</w:t>
            </w:r>
            <w:r>
              <w:rPr>
                <w:rFonts w:ascii="宋体" w:hAnsi="宋体" w:eastAsia="宋体" w:cs="Times New Roman"/>
                <w:szCs w:val="21"/>
              </w:rPr>
              <w:t>0</w:t>
            </w:r>
            <w:r>
              <w:rPr>
                <w:rFonts w:hint="eastAsia" w:ascii="宋体" w:hAnsi="宋体" w:eastAsia="宋体" w:cs="Times New Roman"/>
                <w:szCs w:val="21"/>
              </w:rPr>
              <w:t>箱/分</w:t>
            </w:r>
          </w:p>
        </w:tc>
        <w:tc>
          <w:tcPr>
            <w:tcW w:w="3117"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33</w:t>
            </w:r>
            <w:r>
              <w:rPr>
                <w:rFonts w:hint="eastAsia" w:ascii="宋体" w:hAnsi="宋体" w:eastAsia="宋体" w:cs="Times New Roman"/>
                <w:szCs w:val="21"/>
              </w:rPr>
              <w:t>×</w:t>
            </w:r>
            <w:r>
              <w:rPr>
                <w:rFonts w:ascii="宋体" w:hAnsi="宋体" w:eastAsia="宋体" w:cs="Times New Roman"/>
                <w:szCs w:val="21"/>
              </w:rPr>
              <w:t>200</w:t>
            </w:r>
            <w:r>
              <w:rPr>
                <w:rFonts w:hint="eastAsia" w:ascii="宋体" w:hAnsi="宋体" w:eastAsia="宋体" w:cs="Times New Roman"/>
                <w:szCs w:val="21"/>
              </w:rPr>
              <w:t>×</w:t>
            </w:r>
            <w:r>
              <w:rPr>
                <w:rFonts w:ascii="宋体" w:hAnsi="宋体" w:eastAsia="宋体" w:cs="Times New Roman"/>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 w:hRule="atLeast"/>
        </w:trPr>
        <w:tc>
          <w:tcPr>
            <w:tcW w:w="1666"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普通易拉罐</w:t>
            </w:r>
          </w:p>
        </w:tc>
        <w:tc>
          <w:tcPr>
            <w:tcW w:w="2126"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4×5+泡沫</w:t>
            </w:r>
          </w:p>
        </w:tc>
        <w:tc>
          <w:tcPr>
            <w:tcW w:w="1701"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0-3</w:t>
            </w:r>
            <w:r>
              <w:rPr>
                <w:rFonts w:ascii="宋体" w:hAnsi="宋体" w:eastAsia="宋体" w:cs="Times New Roman"/>
                <w:szCs w:val="21"/>
              </w:rPr>
              <w:t>0</w:t>
            </w:r>
            <w:r>
              <w:rPr>
                <w:rFonts w:hint="eastAsia" w:ascii="宋体" w:hAnsi="宋体" w:eastAsia="宋体" w:cs="Times New Roman"/>
                <w:szCs w:val="21"/>
              </w:rPr>
              <w:t>箱/分</w:t>
            </w:r>
          </w:p>
        </w:tc>
        <w:tc>
          <w:tcPr>
            <w:tcW w:w="3117" w:type="dxa"/>
          </w:tcPr>
          <w:p>
            <w:pPr>
              <w:ind w:left="567" w:hanging="567"/>
              <w:jc w:val="center"/>
              <w:rPr>
                <w:rFonts w:hint="eastAsia" w:ascii="宋体" w:hAnsi="宋体" w:eastAsia="宋体" w:cs="Times New Roman"/>
                <w:szCs w:val="21"/>
              </w:rPr>
            </w:pPr>
            <w:r>
              <w:rPr>
                <w:rFonts w:ascii="宋体" w:hAnsi="宋体" w:eastAsia="宋体" w:cs="Times New Roman"/>
                <w:szCs w:val="21"/>
              </w:rPr>
              <w:t>402×267×121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666" w:type="dxa"/>
            <w:shd w:val="clear" w:color="auto" w:fill="auto"/>
          </w:tcPr>
          <w:p>
            <w:pPr>
              <w:ind w:left="567" w:hanging="567"/>
              <w:jc w:val="center"/>
              <w:rPr>
                <w:rFonts w:hint="eastAsia" w:ascii="宋体" w:hAnsi="宋体" w:eastAsia="宋体" w:cs="Times New Roman"/>
                <w:szCs w:val="21"/>
              </w:rPr>
            </w:pPr>
            <w:r>
              <w:rPr>
                <w:rFonts w:hint="eastAsia" w:ascii="宋体" w:hAnsi="宋体" w:eastAsia="宋体" w:cs="Times New Roman"/>
                <w:szCs w:val="21"/>
              </w:rPr>
              <w:t>普通易拉罐</w:t>
            </w:r>
          </w:p>
        </w:tc>
        <w:tc>
          <w:tcPr>
            <w:tcW w:w="2126" w:type="dxa"/>
            <w:shd w:val="clear" w:color="auto" w:fill="auto"/>
          </w:tcPr>
          <w:p>
            <w:pPr>
              <w:ind w:left="567" w:hanging="567"/>
              <w:jc w:val="center"/>
              <w:rPr>
                <w:rFonts w:hint="eastAsia" w:ascii="宋体" w:hAnsi="宋体" w:eastAsia="宋体" w:cs="Times New Roman"/>
                <w:szCs w:val="21"/>
              </w:rPr>
            </w:pPr>
            <w:r>
              <w:rPr>
                <w:rFonts w:hint="eastAsia" w:ascii="宋体" w:hAnsi="宋体" w:eastAsia="宋体" w:cs="Times New Roman"/>
                <w:szCs w:val="21"/>
              </w:rPr>
              <w:t>4×4+泡沫</w:t>
            </w:r>
          </w:p>
        </w:tc>
        <w:tc>
          <w:tcPr>
            <w:tcW w:w="1701" w:type="dxa"/>
            <w:shd w:val="clear" w:color="auto" w:fill="auto"/>
          </w:tcPr>
          <w:p>
            <w:pPr>
              <w:ind w:left="567" w:hanging="567"/>
              <w:jc w:val="center"/>
              <w:rPr>
                <w:rFonts w:hint="eastAsia" w:ascii="宋体" w:hAnsi="宋体" w:eastAsia="宋体" w:cs="Times New Roman"/>
                <w:szCs w:val="21"/>
              </w:rPr>
            </w:pPr>
            <w:r>
              <w:rPr>
                <w:rFonts w:hint="eastAsia" w:ascii="宋体" w:hAnsi="宋体" w:eastAsia="宋体" w:cs="Times New Roman"/>
                <w:szCs w:val="21"/>
              </w:rPr>
              <w:t>0-3</w:t>
            </w:r>
            <w:r>
              <w:rPr>
                <w:rFonts w:ascii="宋体" w:hAnsi="宋体" w:eastAsia="宋体" w:cs="Times New Roman"/>
                <w:szCs w:val="21"/>
              </w:rPr>
              <w:t>0</w:t>
            </w:r>
            <w:r>
              <w:rPr>
                <w:rFonts w:hint="eastAsia" w:ascii="宋体" w:hAnsi="宋体" w:eastAsia="宋体" w:cs="Times New Roman"/>
                <w:szCs w:val="21"/>
              </w:rPr>
              <w:t>箱/分</w:t>
            </w:r>
          </w:p>
        </w:tc>
        <w:tc>
          <w:tcPr>
            <w:tcW w:w="3117" w:type="dxa"/>
            <w:shd w:val="clear" w:color="auto" w:fill="auto"/>
          </w:tcPr>
          <w:p>
            <w:pPr>
              <w:ind w:left="567" w:hanging="567"/>
              <w:jc w:val="center"/>
              <w:rPr>
                <w:rFonts w:hint="eastAsia" w:ascii="宋体" w:hAnsi="宋体" w:eastAsia="宋体" w:cs="Times New Roman"/>
                <w:szCs w:val="21"/>
              </w:rPr>
            </w:pPr>
            <w:r>
              <w:rPr>
                <w:rFonts w:hint="eastAsia" w:ascii="宋体" w:hAnsi="宋体" w:eastAsia="宋体" w:cs="Times New Roman"/>
                <w:szCs w:val="21"/>
              </w:rPr>
              <w:t>403</w:t>
            </w:r>
            <w:r>
              <w:rPr>
                <w:rFonts w:ascii="宋体" w:hAnsi="宋体" w:eastAsia="宋体" w:cs="Times New Roman"/>
                <w:szCs w:val="21"/>
              </w:rPr>
              <w:t>×</w:t>
            </w:r>
            <w:r>
              <w:rPr>
                <w:rFonts w:hint="eastAsia" w:ascii="宋体" w:hAnsi="宋体" w:eastAsia="宋体" w:cs="Times New Roman"/>
                <w:szCs w:val="21"/>
              </w:rPr>
              <w:t>268</w:t>
            </w:r>
            <w:r>
              <w:rPr>
                <w:rFonts w:ascii="宋体" w:hAnsi="宋体" w:eastAsia="宋体" w:cs="Times New Roman"/>
                <w:szCs w:val="21"/>
              </w:rPr>
              <w:t>×12</w:t>
            </w:r>
            <w:r>
              <w:rPr>
                <w:rFonts w:hint="eastAsia" w:ascii="宋体" w:hAnsi="宋体"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666" w:type="dxa"/>
            <w:shd w:val="clear" w:color="auto" w:fill="auto"/>
          </w:tcPr>
          <w:p>
            <w:pPr>
              <w:ind w:left="567" w:hanging="567"/>
              <w:jc w:val="center"/>
              <w:rPr>
                <w:rFonts w:hint="eastAsia" w:ascii="宋体" w:hAnsi="宋体" w:eastAsia="宋体" w:cs="Times New Roman"/>
                <w:szCs w:val="21"/>
              </w:rPr>
            </w:pPr>
            <w:r>
              <w:rPr>
                <w:rFonts w:hint="eastAsia" w:ascii="宋体" w:hAnsi="宋体" w:eastAsia="宋体" w:cs="Times New Roman"/>
                <w:szCs w:val="21"/>
              </w:rPr>
              <w:t>纤体易拉罐</w:t>
            </w:r>
          </w:p>
        </w:tc>
        <w:tc>
          <w:tcPr>
            <w:tcW w:w="2126" w:type="dxa"/>
            <w:shd w:val="clear" w:color="auto" w:fill="auto"/>
          </w:tcPr>
          <w:p>
            <w:pPr>
              <w:ind w:left="567" w:hanging="567"/>
              <w:jc w:val="center"/>
              <w:rPr>
                <w:rFonts w:hint="eastAsia" w:ascii="宋体" w:hAnsi="宋体" w:eastAsia="宋体" w:cs="Times New Roman"/>
                <w:szCs w:val="21"/>
              </w:rPr>
            </w:pPr>
            <w:r>
              <w:rPr>
                <w:rFonts w:hint="eastAsia" w:ascii="宋体" w:hAnsi="宋体" w:eastAsia="宋体" w:cs="Times New Roman"/>
                <w:szCs w:val="21"/>
              </w:rPr>
              <w:t>4×4+泡沫</w:t>
            </w:r>
          </w:p>
        </w:tc>
        <w:tc>
          <w:tcPr>
            <w:tcW w:w="1701" w:type="dxa"/>
            <w:shd w:val="clear" w:color="auto" w:fill="auto"/>
          </w:tcPr>
          <w:p>
            <w:pPr>
              <w:ind w:left="567" w:hanging="567"/>
              <w:jc w:val="center"/>
              <w:rPr>
                <w:rFonts w:hint="eastAsia" w:ascii="宋体" w:hAnsi="宋体" w:eastAsia="宋体" w:cs="Times New Roman"/>
                <w:szCs w:val="21"/>
              </w:rPr>
            </w:pPr>
            <w:r>
              <w:rPr>
                <w:rFonts w:hint="eastAsia" w:ascii="宋体" w:hAnsi="宋体" w:eastAsia="宋体" w:cs="Times New Roman"/>
                <w:szCs w:val="21"/>
              </w:rPr>
              <w:t>0-3</w:t>
            </w:r>
            <w:r>
              <w:rPr>
                <w:rFonts w:ascii="宋体" w:hAnsi="宋体" w:eastAsia="宋体" w:cs="Times New Roman"/>
                <w:szCs w:val="21"/>
              </w:rPr>
              <w:t>0</w:t>
            </w:r>
            <w:r>
              <w:rPr>
                <w:rFonts w:hint="eastAsia" w:ascii="宋体" w:hAnsi="宋体" w:eastAsia="宋体" w:cs="Times New Roman"/>
                <w:szCs w:val="21"/>
              </w:rPr>
              <w:t>箱/分</w:t>
            </w:r>
          </w:p>
        </w:tc>
        <w:tc>
          <w:tcPr>
            <w:tcW w:w="3117" w:type="dxa"/>
            <w:shd w:val="clear" w:color="auto" w:fill="auto"/>
          </w:tcPr>
          <w:p>
            <w:pPr>
              <w:ind w:left="567" w:hanging="567"/>
              <w:jc w:val="center"/>
              <w:rPr>
                <w:rFonts w:hint="eastAsia" w:ascii="宋体" w:hAnsi="宋体" w:eastAsia="宋体" w:cs="Times New Roman"/>
                <w:szCs w:val="21"/>
              </w:rPr>
            </w:pPr>
            <w:r>
              <w:rPr>
                <w:rFonts w:hint="eastAsia" w:ascii="宋体" w:hAnsi="宋体" w:eastAsia="宋体" w:cs="Times New Roman"/>
                <w:szCs w:val="21"/>
              </w:rPr>
              <w:t>296</w:t>
            </w:r>
            <w:r>
              <w:rPr>
                <w:rFonts w:ascii="宋体" w:hAnsi="宋体" w:eastAsia="宋体" w:cs="Times New Roman"/>
                <w:szCs w:val="21"/>
              </w:rPr>
              <w:t>×</w:t>
            </w:r>
            <w:r>
              <w:rPr>
                <w:rFonts w:hint="eastAsia" w:ascii="宋体" w:hAnsi="宋体" w:eastAsia="宋体" w:cs="Times New Roman"/>
                <w:szCs w:val="21"/>
              </w:rPr>
              <w:t>233</w:t>
            </w:r>
            <w:r>
              <w:rPr>
                <w:rFonts w:ascii="宋体" w:hAnsi="宋体" w:eastAsia="宋体" w:cs="Times New Roman"/>
                <w:szCs w:val="21"/>
              </w:rPr>
              <w:t>×1</w:t>
            </w:r>
            <w:r>
              <w:rPr>
                <w:rFonts w:hint="eastAsia" w:ascii="宋体" w:hAnsi="宋体" w:eastAsia="宋体" w:cs="Times New Roman"/>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666"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纤体易拉罐</w:t>
            </w:r>
          </w:p>
        </w:tc>
        <w:tc>
          <w:tcPr>
            <w:tcW w:w="2126"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3×4+泡沫（手提）</w:t>
            </w:r>
          </w:p>
        </w:tc>
        <w:tc>
          <w:tcPr>
            <w:tcW w:w="1701"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0-3</w:t>
            </w:r>
            <w:r>
              <w:rPr>
                <w:rFonts w:ascii="宋体" w:hAnsi="宋体" w:eastAsia="宋体" w:cs="Times New Roman"/>
                <w:szCs w:val="21"/>
              </w:rPr>
              <w:t>0</w:t>
            </w:r>
            <w:r>
              <w:rPr>
                <w:rFonts w:hint="eastAsia" w:ascii="宋体" w:hAnsi="宋体" w:eastAsia="宋体" w:cs="Times New Roman"/>
                <w:szCs w:val="21"/>
              </w:rPr>
              <w:t>箱/分</w:t>
            </w:r>
          </w:p>
        </w:tc>
        <w:tc>
          <w:tcPr>
            <w:tcW w:w="3117" w:type="dxa"/>
          </w:tcPr>
          <w:p>
            <w:pPr>
              <w:ind w:left="567" w:hanging="567"/>
              <w:jc w:val="center"/>
              <w:rPr>
                <w:rFonts w:hint="eastAsia" w:ascii="宋体" w:hAnsi="宋体" w:eastAsia="宋体" w:cs="Times New Roman"/>
                <w:szCs w:val="21"/>
              </w:rPr>
            </w:pPr>
            <w:r>
              <w:rPr>
                <w:rFonts w:ascii="宋体" w:hAnsi="宋体" w:eastAsia="宋体" w:cs="Times New Roman"/>
                <w:szCs w:val="21"/>
              </w:rPr>
              <w:t>293×176×152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666"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纤体易拉罐</w:t>
            </w:r>
          </w:p>
        </w:tc>
        <w:tc>
          <w:tcPr>
            <w:tcW w:w="2126"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4×5+泡沫/4×6</w:t>
            </w:r>
          </w:p>
        </w:tc>
        <w:tc>
          <w:tcPr>
            <w:tcW w:w="1701"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0-3</w:t>
            </w:r>
            <w:r>
              <w:rPr>
                <w:rFonts w:ascii="宋体" w:hAnsi="宋体" w:eastAsia="宋体" w:cs="Times New Roman"/>
                <w:szCs w:val="21"/>
              </w:rPr>
              <w:t>0</w:t>
            </w:r>
            <w:r>
              <w:rPr>
                <w:rFonts w:hint="eastAsia" w:ascii="宋体" w:hAnsi="宋体" w:eastAsia="宋体" w:cs="Times New Roman"/>
                <w:szCs w:val="21"/>
              </w:rPr>
              <w:t>箱/分</w:t>
            </w:r>
          </w:p>
        </w:tc>
        <w:tc>
          <w:tcPr>
            <w:tcW w:w="3117" w:type="dxa"/>
          </w:tcPr>
          <w:p>
            <w:pPr>
              <w:ind w:left="567" w:hanging="567"/>
              <w:jc w:val="center"/>
              <w:rPr>
                <w:rFonts w:hint="eastAsia" w:ascii="宋体" w:hAnsi="宋体" w:eastAsia="宋体" w:cs="Times New Roman"/>
                <w:szCs w:val="21"/>
              </w:rPr>
            </w:pPr>
            <w:r>
              <w:rPr>
                <w:rFonts w:ascii="宋体" w:hAnsi="宋体" w:eastAsia="宋体" w:cs="Times New Roman"/>
                <w:szCs w:val="21"/>
              </w:rPr>
              <w:t>351×232×152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666"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纤体易拉罐</w:t>
            </w:r>
          </w:p>
        </w:tc>
        <w:tc>
          <w:tcPr>
            <w:tcW w:w="2126"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4×6+泡沫</w:t>
            </w:r>
          </w:p>
        </w:tc>
        <w:tc>
          <w:tcPr>
            <w:tcW w:w="1701" w:type="dxa"/>
          </w:tcPr>
          <w:p>
            <w:pPr>
              <w:ind w:left="567" w:hanging="567"/>
              <w:jc w:val="center"/>
              <w:rPr>
                <w:rFonts w:hint="eastAsia" w:ascii="宋体" w:hAnsi="宋体" w:eastAsia="宋体" w:cs="Times New Roman"/>
                <w:szCs w:val="21"/>
              </w:rPr>
            </w:pPr>
            <w:r>
              <w:rPr>
                <w:rFonts w:hint="eastAsia" w:ascii="宋体" w:hAnsi="宋体" w:eastAsia="宋体" w:cs="Times New Roman"/>
                <w:szCs w:val="21"/>
              </w:rPr>
              <w:t>0-3</w:t>
            </w:r>
            <w:r>
              <w:rPr>
                <w:rFonts w:ascii="宋体" w:hAnsi="宋体" w:eastAsia="宋体" w:cs="Times New Roman"/>
                <w:szCs w:val="21"/>
              </w:rPr>
              <w:t>0</w:t>
            </w:r>
            <w:r>
              <w:rPr>
                <w:rFonts w:hint="eastAsia" w:ascii="宋体" w:hAnsi="宋体" w:eastAsia="宋体" w:cs="Times New Roman"/>
                <w:szCs w:val="21"/>
              </w:rPr>
              <w:t>箱/分</w:t>
            </w:r>
          </w:p>
        </w:tc>
        <w:tc>
          <w:tcPr>
            <w:tcW w:w="3117" w:type="dxa"/>
          </w:tcPr>
          <w:p>
            <w:pPr>
              <w:ind w:left="567" w:hanging="567"/>
              <w:jc w:val="center"/>
              <w:rPr>
                <w:rFonts w:hint="eastAsia" w:ascii="宋体" w:hAnsi="宋体" w:eastAsia="宋体" w:cs="Times New Roman"/>
                <w:szCs w:val="21"/>
              </w:rPr>
            </w:pPr>
            <w:r>
              <w:rPr>
                <w:rFonts w:ascii="宋体" w:hAnsi="宋体" w:eastAsia="宋体" w:cs="Times New Roman"/>
                <w:szCs w:val="21"/>
              </w:rPr>
              <w:t>408×232×152</w:t>
            </w:r>
          </w:p>
        </w:tc>
      </w:tr>
      <w:bookmarkEnd w:id="4"/>
    </w:tbl>
    <w:p>
      <w:pPr>
        <w:spacing w:line="360" w:lineRule="auto"/>
        <w:rPr>
          <w:rFonts w:hint="eastAsia" w:ascii="宋体" w:hAnsi="宋体" w:eastAsia="宋体" w:cs="Times New Roman"/>
          <w:b/>
          <w:kern w:val="0"/>
          <w:szCs w:val="21"/>
        </w:rPr>
      </w:pPr>
    </w:p>
    <w:p>
      <w:pPr>
        <w:widowControl/>
        <w:spacing w:line="360" w:lineRule="auto"/>
        <w:jc w:val="left"/>
        <w:rPr>
          <w:rFonts w:hint="eastAsia" w:ascii="宋体" w:hAnsi="宋体" w:eastAsia="宋体" w:cs="Times New Roman"/>
          <w:b/>
          <w:kern w:val="0"/>
          <w:szCs w:val="21"/>
        </w:rPr>
      </w:pPr>
      <w:r>
        <w:rPr>
          <w:rFonts w:hint="eastAsia" w:ascii="宋体" w:hAnsi="宋体" w:eastAsia="宋体" w:cs="Times New Roman"/>
          <w:b/>
          <w:kern w:val="0"/>
          <w:szCs w:val="21"/>
        </w:rPr>
        <w:t>三、</w:t>
      </w:r>
      <w:bookmarkStart w:id="5" w:name="_Hlk194937163"/>
      <w:r>
        <w:rPr>
          <w:rFonts w:hint="eastAsia" w:ascii="宋体" w:hAnsi="宋体" w:eastAsia="宋体" w:cs="Times New Roman"/>
          <w:b/>
          <w:kern w:val="0"/>
          <w:szCs w:val="21"/>
        </w:rPr>
        <w:t>包装原料规格：</w:t>
      </w:r>
    </w:p>
    <w:p>
      <w:pPr>
        <w:widowControl/>
        <w:numPr>
          <w:ilvl w:val="0"/>
          <w:numId w:val="3"/>
        </w:numPr>
        <w:jc w:val="left"/>
        <w:rPr>
          <w:rFonts w:hint="eastAsia" w:ascii="宋体" w:hAnsi="宋体" w:eastAsia="宋体" w:cs="Times New Roman"/>
          <w:kern w:val="0"/>
          <w:szCs w:val="21"/>
        </w:rPr>
      </w:pPr>
      <w:r>
        <w:rPr>
          <w:rFonts w:ascii="宋体" w:hAnsi="宋体" w:eastAsia="宋体" w:cs="Times New Roman"/>
          <w:kern w:val="0"/>
          <w:szCs w:val="21"/>
        </w:rPr>
        <w:t>包装罐规格：</w:t>
      </w:r>
    </w:p>
    <w:tbl>
      <w:tblPr>
        <w:tblStyle w:val="6"/>
        <w:tblW w:w="5034" w:type="pct"/>
        <w:tblInd w:w="-14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426"/>
        <w:gridCol w:w="3147"/>
        <w:gridCol w:w="30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413" w:type="pct"/>
          </w:tcPr>
          <w:p>
            <w:pPr>
              <w:ind w:left="567" w:hanging="567"/>
              <w:jc w:val="center"/>
              <w:rPr>
                <w:rFonts w:hint="eastAsia" w:ascii="宋体" w:hAnsi="宋体" w:eastAsia="宋体" w:cs="Times New Roman"/>
                <w:szCs w:val="21"/>
              </w:rPr>
            </w:pPr>
            <w:r>
              <w:rPr>
                <w:rFonts w:hint="eastAsia" w:ascii="宋体" w:hAnsi="宋体" w:eastAsia="宋体" w:cs="Times New Roman"/>
                <w:szCs w:val="21"/>
              </w:rPr>
              <w:t>产品</w:t>
            </w:r>
          </w:p>
        </w:tc>
        <w:tc>
          <w:tcPr>
            <w:tcW w:w="1833" w:type="pct"/>
          </w:tcPr>
          <w:p>
            <w:pPr>
              <w:ind w:left="567" w:hanging="567"/>
              <w:jc w:val="center"/>
              <w:rPr>
                <w:rFonts w:hint="eastAsia" w:ascii="宋体" w:hAnsi="宋体" w:eastAsia="宋体" w:cs="Times New Roman"/>
                <w:szCs w:val="21"/>
              </w:rPr>
            </w:pPr>
            <w:r>
              <w:rPr>
                <w:rFonts w:hint="eastAsia" w:ascii="宋体" w:hAnsi="宋体" w:eastAsia="宋体" w:cs="Times New Roman"/>
                <w:szCs w:val="21"/>
              </w:rPr>
              <w:t>罐身直径</w:t>
            </w:r>
          </w:p>
        </w:tc>
        <w:tc>
          <w:tcPr>
            <w:tcW w:w="1752" w:type="pct"/>
          </w:tcPr>
          <w:p>
            <w:pPr>
              <w:ind w:left="567" w:hanging="567"/>
              <w:jc w:val="center"/>
              <w:rPr>
                <w:rFonts w:hint="eastAsia" w:ascii="宋体" w:hAnsi="宋体" w:eastAsia="宋体" w:cs="Times New Roman"/>
                <w:szCs w:val="21"/>
              </w:rPr>
            </w:pPr>
            <w:r>
              <w:rPr>
                <w:rFonts w:ascii="宋体" w:hAnsi="宋体" w:eastAsia="宋体" w:cs="Times New Roman"/>
                <w:szCs w:val="21"/>
              </w:rPr>
              <w:t>罐身高度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413" w:type="pct"/>
          </w:tcPr>
          <w:p>
            <w:pPr>
              <w:ind w:left="567" w:hanging="567"/>
              <w:jc w:val="center"/>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10</w:t>
            </w:r>
            <w:r>
              <w:rPr>
                <w:rFonts w:hint="eastAsia" w:ascii="宋体" w:hAnsi="宋体" w:eastAsia="宋体" w:cs="Times New Roman"/>
                <w:szCs w:val="21"/>
              </w:rPr>
              <w:t>普通罐</w:t>
            </w:r>
          </w:p>
        </w:tc>
        <w:tc>
          <w:tcPr>
            <w:tcW w:w="1833" w:type="pct"/>
          </w:tcPr>
          <w:p>
            <w:pPr>
              <w:ind w:left="567" w:hanging="567"/>
              <w:jc w:val="center"/>
              <w:rPr>
                <w:rFonts w:hint="eastAsia" w:ascii="宋体" w:hAnsi="宋体" w:eastAsia="宋体" w:cs="Times New Roman"/>
                <w:szCs w:val="21"/>
              </w:rPr>
            </w:pPr>
            <w:r>
              <w:rPr>
                <w:rFonts w:ascii="宋体" w:hAnsi="宋体" w:eastAsia="宋体" w:cs="Times New Roman"/>
                <w:szCs w:val="21"/>
              </w:rPr>
              <w:t>66.10±0.15 mm</w:t>
            </w:r>
          </w:p>
        </w:tc>
        <w:tc>
          <w:tcPr>
            <w:tcW w:w="1752" w:type="pct"/>
          </w:tcPr>
          <w:p>
            <w:pPr>
              <w:ind w:left="567" w:hanging="567"/>
              <w:jc w:val="center"/>
              <w:rPr>
                <w:rFonts w:hint="eastAsia" w:ascii="宋体" w:hAnsi="宋体" w:eastAsia="宋体" w:cs="Times New Roman"/>
                <w:szCs w:val="21"/>
              </w:rPr>
            </w:pPr>
            <w:r>
              <w:rPr>
                <w:rFonts w:ascii="宋体" w:hAnsi="宋体" w:eastAsia="宋体" w:cs="Times New Roman"/>
                <w:szCs w:val="21"/>
              </w:rPr>
              <w:t>115.20±0.38mm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1413" w:type="pct"/>
          </w:tcPr>
          <w:p>
            <w:pPr>
              <w:ind w:left="567" w:hanging="567"/>
              <w:jc w:val="center"/>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10纤体罐</w:t>
            </w:r>
          </w:p>
        </w:tc>
        <w:tc>
          <w:tcPr>
            <w:tcW w:w="1833" w:type="pct"/>
          </w:tcPr>
          <w:p>
            <w:pPr>
              <w:ind w:left="567" w:hanging="567"/>
              <w:jc w:val="center"/>
              <w:rPr>
                <w:rFonts w:hint="eastAsia" w:ascii="宋体" w:hAnsi="宋体" w:eastAsia="宋体" w:cs="Times New Roman"/>
                <w:szCs w:val="21"/>
              </w:rPr>
            </w:pPr>
            <w:r>
              <w:rPr>
                <w:rFonts w:ascii="宋体" w:hAnsi="宋体" w:eastAsia="宋体" w:cs="Times New Roman"/>
                <w:szCs w:val="21"/>
              </w:rPr>
              <w:t>57.40±0.15 mm</w:t>
            </w:r>
          </w:p>
        </w:tc>
        <w:tc>
          <w:tcPr>
            <w:tcW w:w="1752" w:type="pct"/>
          </w:tcPr>
          <w:p>
            <w:pPr>
              <w:ind w:left="567" w:hanging="567"/>
              <w:jc w:val="center"/>
              <w:rPr>
                <w:rFonts w:hint="eastAsia" w:ascii="宋体" w:hAnsi="宋体" w:eastAsia="宋体" w:cs="Times New Roman"/>
                <w:szCs w:val="21"/>
              </w:rPr>
            </w:pPr>
            <w:r>
              <w:rPr>
                <w:rFonts w:ascii="宋体" w:hAnsi="宋体" w:eastAsia="宋体" w:cs="Times New Roman"/>
                <w:szCs w:val="21"/>
              </w:rPr>
              <w:t>146.05±0.38mm</w:t>
            </w:r>
          </w:p>
        </w:tc>
      </w:tr>
    </w:tbl>
    <w:p>
      <w:pPr>
        <w:widowControl/>
        <w:numPr>
          <w:ilvl w:val="0"/>
          <w:numId w:val="3"/>
        </w:numPr>
        <w:jc w:val="left"/>
        <w:rPr>
          <w:rFonts w:hint="eastAsia" w:ascii="宋体" w:hAnsi="宋体" w:eastAsia="宋体" w:cs="Times New Roman"/>
          <w:kern w:val="0"/>
          <w:szCs w:val="21"/>
        </w:rPr>
      </w:pPr>
      <w:r>
        <w:rPr>
          <w:rFonts w:ascii="宋体" w:hAnsi="宋体" w:eastAsia="宋体" w:cs="Times New Roman"/>
          <w:kern w:val="0"/>
          <w:szCs w:val="21"/>
        </w:rPr>
        <w:t>泡沫规格：</w:t>
      </w:r>
    </w:p>
    <w:tbl>
      <w:tblPr>
        <w:tblStyle w:val="7"/>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701"/>
        <w:gridCol w:w="1843"/>
        <w:gridCol w:w="850"/>
        <w:gridCol w:w="851"/>
        <w:gridCol w:w="987"/>
        <w:gridCol w:w="85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restart"/>
          </w:tcPr>
          <w:p>
            <w:pPr>
              <w:pStyle w:val="17"/>
              <w:spacing w:before="217"/>
              <w:ind w:left="136"/>
              <w:jc w:val="center"/>
              <w:rPr>
                <w:rFonts w:hint="eastAsia" w:cs="Times New Roman"/>
                <w:sz w:val="21"/>
                <w:szCs w:val="21"/>
                <w:lang w:eastAsia="zh-CN"/>
              </w:rPr>
            </w:pPr>
            <w:r>
              <w:rPr>
                <w:rFonts w:hint="eastAsia"/>
                <w:spacing w:val="5"/>
                <w:sz w:val="21"/>
                <w:szCs w:val="21"/>
                <w:lang w:eastAsia="zh-CN"/>
              </w:rPr>
              <w:t>序号</w:t>
            </w:r>
          </w:p>
        </w:tc>
        <w:tc>
          <w:tcPr>
            <w:tcW w:w="1701" w:type="dxa"/>
            <w:vMerge w:val="restart"/>
          </w:tcPr>
          <w:p>
            <w:pPr>
              <w:pStyle w:val="17"/>
              <w:spacing w:before="217"/>
              <w:rPr>
                <w:rFonts w:hint="eastAsia" w:cs="Times New Roman"/>
                <w:sz w:val="21"/>
                <w:szCs w:val="21"/>
              </w:rPr>
            </w:pPr>
            <w:r>
              <w:rPr>
                <w:spacing w:val="7"/>
                <w:sz w:val="21"/>
                <w:szCs w:val="21"/>
              </w:rPr>
              <w:t>包装类型</w:t>
            </w:r>
          </w:p>
        </w:tc>
        <w:tc>
          <w:tcPr>
            <w:tcW w:w="1843" w:type="dxa"/>
            <w:vMerge w:val="restart"/>
          </w:tcPr>
          <w:p>
            <w:pPr>
              <w:pStyle w:val="17"/>
              <w:spacing w:before="217"/>
              <w:ind w:left="252"/>
              <w:rPr>
                <w:rFonts w:hint="eastAsia" w:cs="Times New Roman"/>
                <w:sz w:val="21"/>
                <w:szCs w:val="21"/>
              </w:rPr>
            </w:pPr>
            <w:r>
              <w:rPr>
                <w:spacing w:val="7"/>
                <w:sz w:val="21"/>
                <w:szCs w:val="21"/>
              </w:rPr>
              <w:t>产品规格</w:t>
            </w:r>
          </w:p>
        </w:tc>
        <w:tc>
          <w:tcPr>
            <w:tcW w:w="850" w:type="dxa"/>
            <w:vMerge w:val="restart"/>
          </w:tcPr>
          <w:p>
            <w:pPr>
              <w:pStyle w:val="17"/>
              <w:spacing w:before="61"/>
              <w:ind w:left="115"/>
              <w:rPr>
                <w:rFonts w:hint="eastAsia"/>
                <w:sz w:val="21"/>
                <w:szCs w:val="21"/>
              </w:rPr>
            </w:pPr>
            <w:r>
              <w:rPr>
                <w:spacing w:val="4"/>
                <w:sz w:val="21"/>
                <w:szCs w:val="21"/>
              </w:rPr>
              <w:t>重量</w:t>
            </w:r>
          </w:p>
          <w:p>
            <w:pPr>
              <w:pStyle w:val="17"/>
              <w:spacing w:before="58"/>
              <w:rPr>
                <w:rFonts w:hint="eastAsia" w:cs="Times New Roman"/>
                <w:sz w:val="21"/>
                <w:szCs w:val="21"/>
              </w:rPr>
            </w:pPr>
            <w:r>
              <w:rPr>
                <w:spacing w:val="2"/>
                <w:sz w:val="21"/>
                <w:szCs w:val="21"/>
              </w:rPr>
              <w:t>（g/个）</w:t>
            </w:r>
          </w:p>
        </w:tc>
        <w:tc>
          <w:tcPr>
            <w:tcW w:w="2693" w:type="dxa"/>
            <w:gridSpan w:val="3"/>
          </w:tcPr>
          <w:p>
            <w:pPr>
              <w:pStyle w:val="17"/>
              <w:spacing w:before="56"/>
              <w:ind w:left="755"/>
              <w:rPr>
                <w:rFonts w:hint="eastAsia" w:cs="Times New Roman"/>
                <w:sz w:val="21"/>
                <w:szCs w:val="21"/>
              </w:rPr>
            </w:pPr>
            <w:r>
              <w:rPr>
                <w:spacing w:val="8"/>
                <w:sz w:val="21"/>
                <w:szCs w:val="21"/>
              </w:rPr>
              <w:t>尺寸（</w:t>
            </w:r>
            <w:r>
              <w:rPr>
                <w:sz w:val="21"/>
                <w:szCs w:val="21"/>
              </w:rPr>
              <w:t>mm</w:t>
            </w:r>
            <w:r>
              <w:rPr>
                <w:spacing w:val="8"/>
                <w:sz w:val="21"/>
                <w:szCs w:val="21"/>
              </w:rPr>
              <w:t>）</w:t>
            </w:r>
          </w:p>
        </w:tc>
        <w:tc>
          <w:tcPr>
            <w:tcW w:w="990" w:type="dxa"/>
            <w:vMerge w:val="restart"/>
          </w:tcPr>
          <w:p>
            <w:pPr>
              <w:pStyle w:val="17"/>
              <w:spacing w:before="217"/>
              <w:ind w:left="293"/>
              <w:rPr>
                <w:rFonts w:hint="eastAsia" w:cs="Times New Roman"/>
                <w:sz w:val="21"/>
                <w:szCs w:val="21"/>
              </w:rPr>
            </w:pPr>
            <w:r>
              <w:rPr>
                <w:spacing w:val="3"/>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33" w:type="dxa"/>
            <w:vMerge w:val="continue"/>
          </w:tcPr>
          <w:p>
            <w:pPr>
              <w:jc w:val="center"/>
              <w:rPr>
                <w:rFonts w:hint="eastAsia" w:ascii="宋体" w:hAnsi="宋体" w:eastAsia="宋体" w:cs="Times New Roman"/>
                <w:szCs w:val="21"/>
              </w:rPr>
            </w:pPr>
          </w:p>
        </w:tc>
        <w:tc>
          <w:tcPr>
            <w:tcW w:w="1701" w:type="dxa"/>
            <w:vMerge w:val="continue"/>
          </w:tcPr>
          <w:p>
            <w:pPr>
              <w:rPr>
                <w:rFonts w:hint="eastAsia" w:ascii="宋体" w:hAnsi="宋体" w:eastAsia="宋体" w:cs="Times New Roman"/>
                <w:szCs w:val="21"/>
              </w:rPr>
            </w:pPr>
          </w:p>
        </w:tc>
        <w:tc>
          <w:tcPr>
            <w:tcW w:w="1843" w:type="dxa"/>
            <w:vMerge w:val="continue"/>
          </w:tcPr>
          <w:p>
            <w:pPr>
              <w:rPr>
                <w:rFonts w:hint="eastAsia" w:ascii="宋体" w:hAnsi="宋体" w:eastAsia="宋体" w:cs="Times New Roman"/>
                <w:szCs w:val="21"/>
              </w:rPr>
            </w:pPr>
          </w:p>
        </w:tc>
        <w:tc>
          <w:tcPr>
            <w:tcW w:w="850" w:type="dxa"/>
            <w:vMerge w:val="continue"/>
          </w:tcPr>
          <w:p>
            <w:pPr>
              <w:rPr>
                <w:rFonts w:hint="eastAsia" w:ascii="宋体" w:hAnsi="宋体" w:eastAsia="宋体" w:cs="Times New Roman"/>
                <w:szCs w:val="21"/>
              </w:rPr>
            </w:pPr>
          </w:p>
        </w:tc>
        <w:tc>
          <w:tcPr>
            <w:tcW w:w="851" w:type="dxa"/>
          </w:tcPr>
          <w:p>
            <w:pPr>
              <w:pStyle w:val="17"/>
              <w:spacing w:before="52"/>
              <w:ind w:left="185"/>
              <w:rPr>
                <w:rFonts w:hint="eastAsia" w:cs="Times New Roman"/>
                <w:sz w:val="21"/>
                <w:szCs w:val="21"/>
              </w:rPr>
            </w:pPr>
            <w:r>
              <w:rPr>
                <w:spacing w:val="5"/>
                <w:sz w:val="21"/>
                <w:szCs w:val="21"/>
              </w:rPr>
              <w:t>长±2</w:t>
            </w:r>
          </w:p>
        </w:tc>
        <w:tc>
          <w:tcPr>
            <w:tcW w:w="987" w:type="dxa"/>
          </w:tcPr>
          <w:p>
            <w:pPr>
              <w:pStyle w:val="17"/>
              <w:spacing w:before="52"/>
              <w:ind w:left="180"/>
              <w:rPr>
                <w:rFonts w:hint="eastAsia" w:cs="Times New Roman"/>
                <w:sz w:val="21"/>
                <w:szCs w:val="21"/>
              </w:rPr>
            </w:pPr>
            <w:r>
              <w:rPr>
                <w:spacing w:val="1"/>
                <w:sz w:val="21"/>
                <w:szCs w:val="21"/>
              </w:rPr>
              <w:t>宽±2</w:t>
            </w:r>
          </w:p>
        </w:tc>
        <w:tc>
          <w:tcPr>
            <w:tcW w:w="855" w:type="dxa"/>
          </w:tcPr>
          <w:p>
            <w:pPr>
              <w:pStyle w:val="17"/>
              <w:spacing w:before="52"/>
              <w:ind w:left="159"/>
              <w:rPr>
                <w:rFonts w:hint="eastAsia" w:cs="Times New Roman"/>
                <w:sz w:val="21"/>
                <w:szCs w:val="21"/>
              </w:rPr>
            </w:pPr>
            <w:r>
              <w:rPr>
                <w:spacing w:val="3"/>
                <w:sz w:val="21"/>
                <w:szCs w:val="21"/>
              </w:rPr>
              <w:t>厚±1</w:t>
            </w:r>
          </w:p>
        </w:tc>
        <w:tc>
          <w:tcPr>
            <w:tcW w:w="990" w:type="dxa"/>
            <w:vMerge w:val="continue"/>
          </w:tcPr>
          <w:p>
            <w:pPr>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vAlign w:val="center"/>
          </w:tcPr>
          <w:p>
            <w:pPr>
              <w:pStyle w:val="17"/>
              <w:spacing w:before="241"/>
              <w:jc w:val="center"/>
              <w:rPr>
                <w:rFonts w:hint="eastAsia" w:cs="Times New Roman"/>
                <w:sz w:val="21"/>
                <w:szCs w:val="21"/>
              </w:rPr>
            </w:pPr>
            <w:r>
              <w:rPr>
                <w:sz w:val="21"/>
                <w:szCs w:val="21"/>
              </w:rPr>
              <w:t>1</w:t>
            </w:r>
          </w:p>
        </w:tc>
        <w:tc>
          <w:tcPr>
            <w:tcW w:w="1701" w:type="dxa"/>
            <w:vAlign w:val="center"/>
          </w:tcPr>
          <w:p>
            <w:pPr>
              <w:pStyle w:val="17"/>
              <w:spacing w:before="208"/>
              <w:rPr>
                <w:rFonts w:hint="eastAsia" w:cs="Times New Roman"/>
                <w:sz w:val="21"/>
                <w:szCs w:val="21"/>
              </w:rPr>
            </w:pPr>
            <w:r>
              <w:rPr>
                <w:spacing w:val="6"/>
                <w:sz w:val="21"/>
                <w:szCs w:val="21"/>
              </w:rPr>
              <w:t>310</w:t>
            </w:r>
            <w:r>
              <w:rPr>
                <w:sz w:val="21"/>
                <w:szCs w:val="21"/>
              </w:rPr>
              <w:t>ml</w:t>
            </w:r>
            <w:r>
              <w:rPr>
                <w:spacing w:val="6"/>
                <w:sz w:val="21"/>
                <w:szCs w:val="21"/>
              </w:rPr>
              <w:t>普通罐</w:t>
            </w:r>
          </w:p>
        </w:tc>
        <w:tc>
          <w:tcPr>
            <w:tcW w:w="1843" w:type="dxa"/>
            <w:vAlign w:val="center"/>
          </w:tcPr>
          <w:p>
            <w:pPr>
              <w:pStyle w:val="17"/>
              <w:spacing w:before="208"/>
              <w:ind w:left="168"/>
              <w:jc w:val="left"/>
              <w:rPr>
                <w:rFonts w:hint="eastAsia" w:cs="Times New Roman"/>
                <w:sz w:val="21"/>
                <w:szCs w:val="21"/>
              </w:rPr>
            </w:pPr>
            <w:r>
              <w:rPr>
                <w:rFonts w:hint="eastAsia"/>
                <w:spacing w:val="6"/>
                <w:sz w:val="21"/>
                <w:szCs w:val="21"/>
              </w:rPr>
              <w:t>12 罐×310ml</w:t>
            </w:r>
          </w:p>
        </w:tc>
        <w:tc>
          <w:tcPr>
            <w:tcW w:w="850" w:type="dxa"/>
            <w:vAlign w:val="center"/>
          </w:tcPr>
          <w:p>
            <w:pPr>
              <w:pStyle w:val="17"/>
              <w:spacing w:before="208"/>
              <w:jc w:val="center"/>
              <w:rPr>
                <w:rFonts w:hint="eastAsia" w:cs="Times New Roman"/>
                <w:sz w:val="21"/>
                <w:szCs w:val="21"/>
                <w:lang w:eastAsia="zh-CN"/>
              </w:rPr>
            </w:pPr>
            <w:r>
              <w:rPr>
                <w:spacing w:val="-8"/>
                <w:position w:val="1"/>
                <w:sz w:val="21"/>
                <w:szCs w:val="21"/>
              </w:rPr>
              <w:t>≥4</w:t>
            </w:r>
            <w:r>
              <w:rPr>
                <w:rFonts w:hint="eastAsia"/>
                <w:spacing w:val="-8"/>
                <w:position w:val="1"/>
                <w:sz w:val="21"/>
                <w:szCs w:val="21"/>
                <w:lang w:eastAsia="zh-CN"/>
              </w:rPr>
              <w:t>.0</w:t>
            </w:r>
          </w:p>
        </w:tc>
        <w:tc>
          <w:tcPr>
            <w:tcW w:w="851" w:type="dxa"/>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190</w:t>
            </w:r>
          </w:p>
        </w:tc>
        <w:tc>
          <w:tcPr>
            <w:tcW w:w="987" w:type="dxa"/>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110</w:t>
            </w:r>
          </w:p>
        </w:tc>
        <w:tc>
          <w:tcPr>
            <w:tcW w:w="855" w:type="dxa"/>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30</w:t>
            </w:r>
          </w:p>
        </w:tc>
        <w:tc>
          <w:tcPr>
            <w:tcW w:w="990" w:type="dxa"/>
            <w:vAlign w:val="center"/>
          </w:tcPr>
          <w:p>
            <w:pPr>
              <w:pStyle w:val="17"/>
              <w:spacing w:before="209"/>
              <w:ind w:left="162"/>
              <w:rPr>
                <w:rFonts w:hint="eastAsia" w:cs="Times New Roman"/>
                <w:sz w:val="21"/>
                <w:szCs w:val="21"/>
              </w:rPr>
            </w:pPr>
            <w:r>
              <w:rPr>
                <w:spacing w:val="2"/>
                <w:sz w:val="21"/>
                <w:szCs w:val="21"/>
              </w:rPr>
              <w:t>2</w:t>
            </w:r>
            <w:r>
              <w:rPr>
                <w:spacing w:val="-38"/>
                <w:sz w:val="21"/>
                <w:szCs w:val="21"/>
              </w:rPr>
              <w:t xml:space="preserve"> </w:t>
            </w:r>
            <w:r>
              <w:rPr>
                <w:spacing w:val="2"/>
                <w:sz w:val="21"/>
                <w:szCs w:val="21"/>
              </w:rPr>
              <w:t>块/套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33" w:type="dxa"/>
            <w:vAlign w:val="center"/>
          </w:tcPr>
          <w:p>
            <w:pPr>
              <w:pStyle w:val="17"/>
              <w:spacing w:before="243"/>
              <w:jc w:val="center"/>
              <w:rPr>
                <w:rFonts w:hint="eastAsia" w:cs="Times New Roman"/>
                <w:sz w:val="21"/>
                <w:szCs w:val="21"/>
              </w:rPr>
            </w:pPr>
            <w:r>
              <w:rPr>
                <w:sz w:val="21"/>
                <w:szCs w:val="21"/>
              </w:rPr>
              <w:t>2</w:t>
            </w:r>
          </w:p>
        </w:tc>
        <w:tc>
          <w:tcPr>
            <w:tcW w:w="1701" w:type="dxa"/>
            <w:vAlign w:val="center"/>
          </w:tcPr>
          <w:p>
            <w:pPr>
              <w:pStyle w:val="17"/>
              <w:spacing w:before="208"/>
              <w:ind w:left="168"/>
              <w:rPr>
                <w:rFonts w:hint="eastAsia"/>
                <w:spacing w:val="6"/>
                <w:sz w:val="21"/>
                <w:szCs w:val="21"/>
              </w:rPr>
            </w:pPr>
            <w:r>
              <w:rPr>
                <w:spacing w:val="6"/>
                <w:sz w:val="21"/>
                <w:szCs w:val="21"/>
              </w:rPr>
              <w:t>310</w:t>
            </w:r>
            <w:r>
              <w:rPr>
                <w:sz w:val="21"/>
                <w:szCs w:val="21"/>
              </w:rPr>
              <w:t>ml</w:t>
            </w:r>
            <w:r>
              <w:rPr>
                <w:spacing w:val="-42"/>
                <w:sz w:val="21"/>
                <w:szCs w:val="21"/>
              </w:rPr>
              <w:t xml:space="preserve"> </w:t>
            </w:r>
            <w:r>
              <w:rPr>
                <w:spacing w:val="6"/>
                <w:sz w:val="21"/>
                <w:szCs w:val="21"/>
              </w:rPr>
              <w:t>普通罐</w:t>
            </w:r>
          </w:p>
        </w:tc>
        <w:tc>
          <w:tcPr>
            <w:tcW w:w="1843" w:type="dxa"/>
            <w:vAlign w:val="center"/>
          </w:tcPr>
          <w:p>
            <w:pPr>
              <w:pStyle w:val="17"/>
              <w:spacing w:before="208"/>
              <w:ind w:left="168"/>
              <w:jc w:val="left"/>
              <w:rPr>
                <w:rFonts w:hint="eastAsia"/>
                <w:spacing w:val="6"/>
                <w:sz w:val="21"/>
                <w:szCs w:val="21"/>
              </w:rPr>
            </w:pPr>
            <w:r>
              <w:rPr>
                <w:rFonts w:hint="eastAsia"/>
                <w:spacing w:val="6"/>
                <w:sz w:val="21"/>
                <w:szCs w:val="21"/>
              </w:rPr>
              <w:t>20 罐×310ml</w:t>
            </w:r>
          </w:p>
        </w:tc>
        <w:tc>
          <w:tcPr>
            <w:tcW w:w="850" w:type="dxa"/>
            <w:vAlign w:val="center"/>
          </w:tcPr>
          <w:p>
            <w:pPr>
              <w:pStyle w:val="17"/>
              <w:spacing w:before="210"/>
              <w:jc w:val="center"/>
              <w:rPr>
                <w:rFonts w:hint="eastAsia" w:cs="Times New Roman"/>
                <w:sz w:val="21"/>
                <w:szCs w:val="21"/>
                <w:lang w:eastAsia="zh-CN"/>
              </w:rPr>
            </w:pPr>
            <w:r>
              <w:rPr>
                <w:spacing w:val="-8"/>
                <w:position w:val="1"/>
                <w:sz w:val="21"/>
                <w:szCs w:val="21"/>
              </w:rPr>
              <w:t>≥6</w:t>
            </w:r>
            <w:r>
              <w:rPr>
                <w:rFonts w:hint="eastAsia"/>
                <w:spacing w:val="-8"/>
                <w:position w:val="1"/>
                <w:sz w:val="21"/>
                <w:szCs w:val="21"/>
                <w:lang w:eastAsia="zh-CN"/>
              </w:rPr>
              <w:t>.0</w:t>
            </w:r>
          </w:p>
        </w:tc>
        <w:tc>
          <w:tcPr>
            <w:tcW w:w="851" w:type="dxa"/>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250</w:t>
            </w:r>
          </w:p>
        </w:tc>
        <w:tc>
          <w:tcPr>
            <w:tcW w:w="987" w:type="dxa"/>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110</w:t>
            </w:r>
          </w:p>
        </w:tc>
        <w:tc>
          <w:tcPr>
            <w:tcW w:w="855" w:type="dxa"/>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33</w:t>
            </w:r>
          </w:p>
        </w:tc>
        <w:tc>
          <w:tcPr>
            <w:tcW w:w="990" w:type="dxa"/>
            <w:vAlign w:val="center"/>
          </w:tcPr>
          <w:p>
            <w:pPr>
              <w:pStyle w:val="17"/>
              <w:spacing w:before="210"/>
              <w:ind w:left="162"/>
              <w:rPr>
                <w:rFonts w:hint="eastAsia" w:cs="Times New Roman"/>
                <w:sz w:val="21"/>
                <w:szCs w:val="21"/>
              </w:rPr>
            </w:pPr>
            <w:r>
              <w:rPr>
                <w:spacing w:val="2"/>
                <w:sz w:val="21"/>
                <w:szCs w:val="21"/>
              </w:rPr>
              <w:t>2</w:t>
            </w:r>
            <w:r>
              <w:rPr>
                <w:spacing w:val="-38"/>
                <w:sz w:val="21"/>
                <w:szCs w:val="21"/>
              </w:rPr>
              <w:t xml:space="preserve"> </w:t>
            </w:r>
            <w:r>
              <w:rPr>
                <w:spacing w:val="2"/>
                <w:sz w:val="21"/>
                <w:szCs w:val="21"/>
              </w:rPr>
              <w:t>块/套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33" w:type="dxa"/>
            <w:vAlign w:val="center"/>
          </w:tcPr>
          <w:p>
            <w:pPr>
              <w:pStyle w:val="17"/>
              <w:spacing w:before="243"/>
              <w:jc w:val="center"/>
              <w:rPr>
                <w:rFonts w:hint="eastAsia"/>
                <w:sz w:val="21"/>
                <w:szCs w:val="21"/>
                <w:lang w:eastAsia="zh-CN"/>
              </w:rPr>
            </w:pPr>
            <w:r>
              <w:rPr>
                <w:rFonts w:hint="eastAsia"/>
                <w:sz w:val="21"/>
                <w:szCs w:val="21"/>
                <w:lang w:eastAsia="zh-CN"/>
              </w:rPr>
              <w:t>3</w:t>
            </w:r>
          </w:p>
        </w:tc>
        <w:tc>
          <w:tcPr>
            <w:tcW w:w="1701" w:type="dxa"/>
            <w:shd w:val="clear" w:color="auto" w:fill="auto"/>
            <w:vAlign w:val="center"/>
          </w:tcPr>
          <w:p>
            <w:pPr>
              <w:pStyle w:val="17"/>
              <w:spacing w:before="208"/>
              <w:ind w:left="168"/>
              <w:rPr>
                <w:rFonts w:hint="eastAsia"/>
                <w:spacing w:val="6"/>
                <w:sz w:val="21"/>
                <w:szCs w:val="21"/>
              </w:rPr>
            </w:pPr>
            <w:r>
              <w:rPr>
                <w:spacing w:val="6"/>
                <w:sz w:val="21"/>
                <w:szCs w:val="21"/>
              </w:rPr>
              <w:t>310</w:t>
            </w:r>
            <w:r>
              <w:rPr>
                <w:sz w:val="21"/>
                <w:szCs w:val="21"/>
              </w:rPr>
              <w:t>ml</w:t>
            </w:r>
            <w:r>
              <w:rPr>
                <w:spacing w:val="-42"/>
                <w:sz w:val="21"/>
                <w:szCs w:val="21"/>
              </w:rPr>
              <w:t xml:space="preserve"> </w:t>
            </w:r>
            <w:r>
              <w:rPr>
                <w:spacing w:val="6"/>
                <w:sz w:val="21"/>
                <w:szCs w:val="21"/>
              </w:rPr>
              <w:t>普通罐</w:t>
            </w:r>
          </w:p>
        </w:tc>
        <w:tc>
          <w:tcPr>
            <w:tcW w:w="1843" w:type="dxa"/>
            <w:shd w:val="clear" w:color="auto" w:fill="auto"/>
            <w:vAlign w:val="center"/>
          </w:tcPr>
          <w:p>
            <w:pPr>
              <w:pStyle w:val="17"/>
              <w:spacing w:before="208"/>
              <w:ind w:left="168"/>
              <w:jc w:val="left"/>
              <w:rPr>
                <w:rFonts w:hint="eastAsia"/>
                <w:spacing w:val="6"/>
                <w:sz w:val="21"/>
                <w:szCs w:val="21"/>
              </w:rPr>
            </w:pPr>
            <w:r>
              <w:rPr>
                <w:rFonts w:hint="eastAsia"/>
                <w:spacing w:val="6"/>
                <w:sz w:val="21"/>
                <w:szCs w:val="21"/>
                <w:lang w:eastAsia="zh-CN"/>
              </w:rPr>
              <w:t>16</w:t>
            </w:r>
            <w:r>
              <w:rPr>
                <w:rFonts w:hint="eastAsia"/>
                <w:spacing w:val="6"/>
                <w:sz w:val="21"/>
                <w:szCs w:val="21"/>
              </w:rPr>
              <w:t xml:space="preserve"> 罐×310ml</w:t>
            </w:r>
          </w:p>
        </w:tc>
        <w:tc>
          <w:tcPr>
            <w:tcW w:w="850" w:type="dxa"/>
            <w:shd w:val="clear" w:color="auto" w:fill="auto"/>
            <w:vAlign w:val="center"/>
          </w:tcPr>
          <w:p>
            <w:pPr>
              <w:pStyle w:val="17"/>
              <w:spacing w:before="210"/>
              <w:jc w:val="center"/>
              <w:rPr>
                <w:rFonts w:hint="eastAsia" w:cs="Times New Roman"/>
                <w:sz w:val="21"/>
                <w:szCs w:val="21"/>
                <w:lang w:eastAsia="zh-CN"/>
              </w:rPr>
            </w:pPr>
            <w:r>
              <w:rPr>
                <w:spacing w:val="-8"/>
                <w:position w:val="1"/>
                <w:sz w:val="21"/>
                <w:szCs w:val="21"/>
              </w:rPr>
              <w:t>≥</w:t>
            </w:r>
            <w:r>
              <w:rPr>
                <w:rFonts w:hint="eastAsia"/>
                <w:spacing w:val="-8"/>
                <w:position w:val="1"/>
                <w:sz w:val="21"/>
                <w:szCs w:val="21"/>
                <w:lang w:eastAsia="zh-CN"/>
              </w:rPr>
              <w:t>12.0</w:t>
            </w:r>
          </w:p>
        </w:tc>
        <w:tc>
          <w:tcPr>
            <w:tcW w:w="851" w:type="dxa"/>
            <w:shd w:val="clear" w:color="auto" w:fill="auto"/>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260</w:t>
            </w:r>
          </w:p>
        </w:tc>
        <w:tc>
          <w:tcPr>
            <w:tcW w:w="987" w:type="dxa"/>
            <w:shd w:val="clear" w:color="auto" w:fill="auto"/>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110</w:t>
            </w:r>
          </w:p>
        </w:tc>
        <w:tc>
          <w:tcPr>
            <w:tcW w:w="855" w:type="dxa"/>
            <w:shd w:val="clear" w:color="auto" w:fill="auto"/>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65</w:t>
            </w:r>
          </w:p>
        </w:tc>
        <w:tc>
          <w:tcPr>
            <w:tcW w:w="990" w:type="dxa"/>
            <w:shd w:val="clear" w:color="auto" w:fill="auto"/>
            <w:vAlign w:val="center"/>
          </w:tcPr>
          <w:p>
            <w:pPr>
              <w:pStyle w:val="17"/>
              <w:spacing w:before="210"/>
              <w:ind w:left="162"/>
              <w:rPr>
                <w:rFonts w:hint="eastAsia" w:cs="Times New Roman"/>
                <w:sz w:val="21"/>
                <w:szCs w:val="21"/>
              </w:rPr>
            </w:pPr>
            <w:r>
              <w:rPr>
                <w:rFonts w:hint="eastAsia"/>
                <w:spacing w:val="2"/>
                <w:sz w:val="21"/>
                <w:szCs w:val="21"/>
                <w:lang w:eastAsia="zh-CN"/>
              </w:rPr>
              <w:t>2</w:t>
            </w:r>
            <w:r>
              <w:rPr>
                <w:spacing w:val="2"/>
                <w:sz w:val="21"/>
                <w:szCs w:val="21"/>
              </w:rPr>
              <w:t>块/套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33" w:type="dxa"/>
            <w:vAlign w:val="center"/>
          </w:tcPr>
          <w:p>
            <w:pPr>
              <w:pStyle w:val="17"/>
              <w:spacing w:before="243"/>
              <w:jc w:val="center"/>
              <w:rPr>
                <w:rFonts w:hint="eastAsia"/>
                <w:sz w:val="21"/>
                <w:szCs w:val="21"/>
                <w:lang w:eastAsia="zh-CN"/>
              </w:rPr>
            </w:pPr>
            <w:r>
              <w:rPr>
                <w:rFonts w:hint="eastAsia"/>
                <w:sz w:val="21"/>
                <w:szCs w:val="21"/>
                <w:lang w:eastAsia="zh-CN"/>
              </w:rPr>
              <w:t>4</w:t>
            </w:r>
          </w:p>
        </w:tc>
        <w:tc>
          <w:tcPr>
            <w:tcW w:w="1701" w:type="dxa"/>
            <w:shd w:val="clear" w:color="auto" w:fill="auto"/>
            <w:vAlign w:val="center"/>
          </w:tcPr>
          <w:p>
            <w:pPr>
              <w:pStyle w:val="17"/>
              <w:spacing w:before="208"/>
              <w:ind w:left="168"/>
              <w:rPr>
                <w:rFonts w:hint="eastAsia"/>
                <w:spacing w:val="6"/>
                <w:sz w:val="21"/>
                <w:szCs w:val="21"/>
              </w:rPr>
            </w:pPr>
            <w:r>
              <w:rPr>
                <w:spacing w:val="6"/>
                <w:sz w:val="21"/>
                <w:szCs w:val="21"/>
              </w:rPr>
              <w:t>310</w:t>
            </w:r>
            <w:r>
              <w:rPr>
                <w:sz w:val="21"/>
                <w:szCs w:val="21"/>
              </w:rPr>
              <w:t>ml</w:t>
            </w:r>
            <w:r>
              <w:rPr>
                <w:spacing w:val="-42"/>
                <w:sz w:val="21"/>
                <w:szCs w:val="21"/>
              </w:rPr>
              <w:t xml:space="preserve"> </w:t>
            </w:r>
            <w:r>
              <w:rPr>
                <w:spacing w:val="6"/>
                <w:sz w:val="21"/>
                <w:szCs w:val="21"/>
              </w:rPr>
              <w:t>纤体罐</w:t>
            </w:r>
          </w:p>
        </w:tc>
        <w:tc>
          <w:tcPr>
            <w:tcW w:w="1843" w:type="dxa"/>
            <w:shd w:val="clear" w:color="auto" w:fill="auto"/>
            <w:vAlign w:val="center"/>
          </w:tcPr>
          <w:p>
            <w:pPr>
              <w:pStyle w:val="17"/>
              <w:spacing w:before="208"/>
              <w:ind w:left="168"/>
              <w:jc w:val="left"/>
              <w:rPr>
                <w:rFonts w:hint="eastAsia"/>
                <w:spacing w:val="6"/>
                <w:sz w:val="21"/>
                <w:szCs w:val="21"/>
                <w:lang w:eastAsia="zh-CN"/>
              </w:rPr>
            </w:pPr>
            <w:r>
              <w:rPr>
                <w:rFonts w:hint="eastAsia"/>
                <w:spacing w:val="6"/>
                <w:sz w:val="21"/>
                <w:szCs w:val="21"/>
                <w:lang w:eastAsia="zh-CN"/>
              </w:rPr>
              <w:t>16</w:t>
            </w:r>
            <w:r>
              <w:rPr>
                <w:rFonts w:hint="eastAsia"/>
                <w:spacing w:val="6"/>
                <w:sz w:val="21"/>
                <w:szCs w:val="21"/>
              </w:rPr>
              <w:t xml:space="preserve"> 罐×310ml</w:t>
            </w:r>
          </w:p>
        </w:tc>
        <w:tc>
          <w:tcPr>
            <w:tcW w:w="850" w:type="dxa"/>
            <w:shd w:val="clear" w:color="auto" w:fill="auto"/>
            <w:vAlign w:val="center"/>
          </w:tcPr>
          <w:p>
            <w:pPr>
              <w:pStyle w:val="17"/>
              <w:spacing w:before="210"/>
              <w:jc w:val="center"/>
              <w:rPr>
                <w:rFonts w:hint="eastAsia"/>
                <w:spacing w:val="-8"/>
                <w:position w:val="1"/>
                <w:sz w:val="21"/>
                <w:szCs w:val="21"/>
              </w:rPr>
            </w:pPr>
            <w:r>
              <w:rPr>
                <w:spacing w:val="-8"/>
                <w:position w:val="1"/>
                <w:sz w:val="21"/>
                <w:szCs w:val="21"/>
              </w:rPr>
              <w:t>≥</w:t>
            </w:r>
            <w:r>
              <w:rPr>
                <w:rFonts w:hint="eastAsia"/>
                <w:spacing w:val="-8"/>
                <w:position w:val="1"/>
                <w:sz w:val="21"/>
                <w:szCs w:val="21"/>
                <w:lang w:eastAsia="zh-CN"/>
              </w:rPr>
              <w:t>12.0</w:t>
            </w:r>
          </w:p>
        </w:tc>
        <w:tc>
          <w:tcPr>
            <w:tcW w:w="851" w:type="dxa"/>
            <w:shd w:val="clear" w:color="auto" w:fill="auto"/>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222</w:t>
            </w:r>
          </w:p>
        </w:tc>
        <w:tc>
          <w:tcPr>
            <w:tcW w:w="987" w:type="dxa"/>
            <w:shd w:val="clear" w:color="auto" w:fill="auto"/>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142</w:t>
            </w:r>
          </w:p>
        </w:tc>
        <w:tc>
          <w:tcPr>
            <w:tcW w:w="855" w:type="dxa"/>
            <w:shd w:val="clear" w:color="auto" w:fill="auto"/>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27</w:t>
            </w:r>
          </w:p>
        </w:tc>
        <w:tc>
          <w:tcPr>
            <w:tcW w:w="990" w:type="dxa"/>
            <w:shd w:val="clear" w:color="auto" w:fill="auto"/>
            <w:vAlign w:val="center"/>
          </w:tcPr>
          <w:p>
            <w:pPr>
              <w:pStyle w:val="17"/>
              <w:spacing w:before="210"/>
              <w:ind w:left="162"/>
              <w:rPr>
                <w:rFonts w:hint="eastAsia"/>
                <w:spacing w:val="2"/>
                <w:sz w:val="21"/>
                <w:szCs w:val="21"/>
                <w:lang w:eastAsia="zh-CN"/>
              </w:rPr>
            </w:pPr>
            <w:r>
              <w:rPr>
                <w:rFonts w:hint="eastAsia"/>
                <w:spacing w:val="2"/>
                <w:sz w:val="21"/>
                <w:szCs w:val="21"/>
                <w:lang w:eastAsia="zh-CN"/>
              </w:rPr>
              <w:t>2</w:t>
            </w:r>
            <w:r>
              <w:rPr>
                <w:spacing w:val="2"/>
                <w:sz w:val="21"/>
                <w:szCs w:val="21"/>
              </w:rPr>
              <w:t>块/套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33" w:type="dxa"/>
            <w:vAlign w:val="center"/>
          </w:tcPr>
          <w:p>
            <w:pPr>
              <w:pStyle w:val="17"/>
              <w:spacing w:before="143"/>
              <w:jc w:val="center"/>
              <w:rPr>
                <w:rFonts w:hint="eastAsia" w:cs="Times New Roman"/>
                <w:sz w:val="21"/>
                <w:szCs w:val="21"/>
                <w:lang w:eastAsia="zh-CN"/>
              </w:rPr>
            </w:pPr>
            <w:r>
              <w:rPr>
                <w:rFonts w:hint="eastAsia"/>
                <w:sz w:val="21"/>
                <w:szCs w:val="21"/>
                <w:lang w:eastAsia="zh-CN"/>
              </w:rPr>
              <w:t>5</w:t>
            </w:r>
          </w:p>
        </w:tc>
        <w:tc>
          <w:tcPr>
            <w:tcW w:w="1701" w:type="dxa"/>
            <w:vAlign w:val="center"/>
          </w:tcPr>
          <w:p>
            <w:pPr>
              <w:pStyle w:val="17"/>
              <w:spacing w:before="208"/>
              <w:ind w:left="168"/>
              <w:rPr>
                <w:rFonts w:hint="eastAsia"/>
                <w:spacing w:val="6"/>
                <w:sz w:val="21"/>
                <w:szCs w:val="21"/>
              </w:rPr>
            </w:pPr>
            <w:r>
              <w:rPr>
                <w:spacing w:val="6"/>
                <w:sz w:val="21"/>
                <w:szCs w:val="21"/>
              </w:rPr>
              <w:t>310</w:t>
            </w:r>
            <w:r>
              <w:rPr>
                <w:sz w:val="21"/>
                <w:szCs w:val="21"/>
              </w:rPr>
              <w:t>ml</w:t>
            </w:r>
            <w:r>
              <w:rPr>
                <w:spacing w:val="-42"/>
                <w:sz w:val="21"/>
                <w:szCs w:val="21"/>
              </w:rPr>
              <w:t xml:space="preserve"> </w:t>
            </w:r>
            <w:r>
              <w:rPr>
                <w:spacing w:val="6"/>
                <w:sz w:val="21"/>
                <w:szCs w:val="21"/>
              </w:rPr>
              <w:t>纤体罐</w:t>
            </w:r>
          </w:p>
        </w:tc>
        <w:tc>
          <w:tcPr>
            <w:tcW w:w="1843" w:type="dxa"/>
            <w:vAlign w:val="center"/>
          </w:tcPr>
          <w:p>
            <w:pPr>
              <w:pStyle w:val="17"/>
              <w:spacing w:before="208"/>
              <w:ind w:left="168"/>
              <w:jc w:val="left"/>
              <w:rPr>
                <w:rFonts w:hint="eastAsia"/>
                <w:spacing w:val="6"/>
                <w:sz w:val="21"/>
                <w:szCs w:val="21"/>
              </w:rPr>
            </w:pPr>
            <w:r>
              <w:rPr>
                <w:rFonts w:hint="eastAsia"/>
                <w:spacing w:val="6"/>
                <w:sz w:val="21"/>
                <w:szCs w:val="21"/>
              </w:rPr>
              <w:t>12 罐×310ml</w:t>
            </w:r>
          </w:p>
        </w:tc>
        <w:tc>
          <w:tcPr>
            <w:tcW w:w="850" w:type="dxa"/>
            <w:vAlign w:val="center"/>
          </w:tcPr>
          <w:p>
            <w:pPr>
              <w:pStyle w:val="17"/>
              <w:spacing w:before="110"/>
              <w:jc w:val="center"/>
              <w:rPr>
                <w:rFonts w:hint="eastAsia" w:cs="Times New Roman"/>
                <w:sz w:val="21"/>
                <w:szCs w:val="21"/>
              </w:rPr>
            </w:pPr>
            <w:r>
              <w:rPr>
                <w:spacing w:val="-2"/>
                <w:position w:val="1"/>
                <w:sz w:val="21"/>
                <w:szCs w:val="21"/>
              </w:rPr>
              <w:t>≥4.5</w:t>
            </w:r>
          </w:p>
        </w:tc>
        <w:tc>
          <w:tcPr>
            <w:tcW w:w="851" w:type="dxa"/>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165</w:t>
            </w:r>
          </w:p>
        </w:tc>
        <w:tc>
          <w:tcPr>
            <w:tcW w:w="987" w:type="dxa"/>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142</w:t>
            </w:r>
          </w:p>
        </w:tc>
        <w:tc>
          <w:tcPr>
            <w:tcW w:w="855" w:type="dxa"/>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28</w:t>
            </w:r>
          </w:p>
        </w:tc>
        <w:tc>
          <w:tcPr>
            <w:tcW w:w="990" w:type="dxa"/>
            <w:vAlign w:val="center"/>
          </w:tcPr>
          <w:p>
            <w:pPr>
              <w:pStyle w:val="17"/>
              <w:spacing w:before="110"/>
              <w:ind w:left="162"/>
              <w:rPr>
                <w:rFonts w:hint="eastAsia" w:cs="Times New Roman"/>
                <w:sz w:val="21"/>
                <w:szCs w:val="21"/>
              </w:rPr>
            </w:pPr>
            <w:r>
              <w:rPr>
                <w:spacing w:val="2"/>
                <w:sz w:val="21"/>
                <w:szCs w:val="21"/>
              </w:rPr>
              <w:t>2</w:t>
            </w:r>
            <w:r>
              <w:rPr>
                <w:spacing w:val="-38"/>
                <w:sz w:val="21"/>
                <w:szCs w:val="21"/>
              </w:rPr>
              <w:t xml:space="preserve"> </w:t>
            </w:r>
            <w:r>
              <w:rPr>
                <w:spacing w:val="2"/>
                <w:sz w:val="21"/>
                <w:szCs w:val="21"/>
              </w:rPr>
              <w:t>块/套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3" w:type="dxa"/>
            <w:vAlign w:val="center"/>
          </w:tcPr>
          <w:p>
            <w:pPr>
              <w:pStyle w:val="17"/>
              <w:spacing w:before="243"/>
              <w:jc w:val="center"/>
              <w:rPr>
                <w:rFonts w:hint="eastAsia" w:cs="Times New Roman"/>
                <w:sz w:val="21"/>
                <w:szCs w:val="21"/>
                <w:lang w:eastAsia="zh-CN"/>
              </w:rPr>
            </w:pPr>
            <w:r>
              <w:rPr>
                <w:rFonts w:hint="eastAsia"/>
                <w:sz w:val="21"/>
                <w:szCs w:val="21"/>
                <w:lang w:eastAsia="zh-CN"/>
              </w:rPr>
              <w:t>6</w:t>
            </w:r>
          </w:p>
        </w:tc>
        <w:tc>
          <w:tcPr>
            <w:tcW w:w="1701" w:type="dxa"/>
            <w:vAlign w:val="center"/>
          </w:tcPr>
          <w:p>
            <w:pPr>
              <w:pStyle w:val="17"/>
              <w:spacing w:before="208"/>
              <w:ind w:left="168"/>
              <w:rPr>
                <w:rFonts w:hint="eastAsia"/>
                <w:spacing w:val="6"/>
                <w:sz w:val="21"/>
                <w:szCs w:val="21"/>
              </w:rPr>
            </w:pPr>
            <w:r>
              <w:rPr>
                <w:spacing w:val="6"/>
                <w:sz w:val="21"/>
                <w:szCs w:val="21"/>
              </w:rPr>
              <w:t>310</w:t>
            </w:r>
            <w:r>
              <w:rPr>
                <w:sz w:val="21"/>
                <w:szCs w:val="21"/>
              </w:rPr>
              <w:t>ml</w:t>
            </w:r>
            <w:r>
              <w:rPr>
                <w:spacing w:val="-42"/>
                <w:sz w:val="21"/>
                <w:szCs w:val="21"/>
              </w:rPr>
              <w:t xml:space="preserve"> </w:t>
            </w:r>
            <w:r>
              <w:rPr>
                <w:spacing w:val="6"/>
                <w:sz w:val="21"/>
                <w:szCs w:val="21"/>
              </w:rPr>
              <w:t>纤体罐</w:t>
            </w:r>
          </w:p>
        </w:tc>
        <w:tc>
          <w:tcPr>
            <w:tcW w:w="1843" w:type="dxa"/>
            <w:vAlign w:val="center"/>
          </w:tcPr>
          <w:p>
            <w:pPr>
              <w:pStyle w:val="17"/>
              <w:spacing w:before="208"/>
              <w:ind w:left="168"/>
              <w:jc w:val="left"/>
              <w:rPr>
                <w:rFonts w:hint="eastAsia"/>
                <w:spacing w:val="6"/>
                <w:sz w:val="21"/>
                <w:szCs w:val="21"/>
                <w:lang w:eastAsia="zh-CN"/>
              </w:rPr>
            </w:pPr>
            <w:r>
              <w:rPr>
                <w:rFonts w:hint="eastAsia"/>
                <w:spacing w:val="6"/>
                <w:sz w:val="21"/>
                <w:szCs w:val="21"/>
                <w:lang w:eastAsia="zh-CN"/>
              </w:rPr>
              <w:t>20/24罐×310ml</w:t>
            </w:r>
          </w:p>
        </w:tc>
        <w:tc>
          <w:tcPr>
            <w:tcW w:w="850" w:type="dxa"/>
            <w:vAlign w:val="center"/>
          </w:tcPr>
          <w:p>
            <w:pPr>
              <w:pStyle w:val="17"/>
              <w:spacing w:before="211"/>
              <w:jc w:val="center"/>
              <w:rPr>
                <w:rFonts w:hint="eastAsia" w:cs="Times New Roman"/>
                <w:sz w:val="21"/>
                <w:szCs w:val="21"/>
                <w:lang w:eastAsia="zh-CN"/>
              </w:rPr>
            </w:pPr>
            <w:r>
              <w:rPr>
                <w:spacing w:val="-8"/>
                <w:position w:val="1"/>
                <w:sz w:val="21"/>
                <w:szCs w:val="21"/>
              </w:rPr>
              <w:t>≥6</w:t>
            </w:r>
            <w:r>
              <w:rPr>
                <w:rFonts w:hint="eastAsia"/>
                <w:spacing w:val="-8"/>
                <w:position w:val="1"/>
                <w:sz w:val="21"/>
                <w:szCs w:val="21"/>
                <w:lang w:eastAsia="zh-CN"/>
              </w:rPr>
              <w:t>.0</w:t>
            </w:r>
          </w:p>
        </w:tc>
        <w:tc>
          <w:tcPr>
            <w:tcW w:w="851" w:type="dxa"/>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222</w:t>
            </w:r>
          </w:p>
        </w:tc>
        <w:tc>
          <w:tcPr>
            <w:tcW w:w="987" w:type="dxa"/>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142</w:t>
            </w:r>
          </w:p>
        </w:tc>
        <w:tc>
          <w:tcPr>
            <w:tcW w:w="855" w:type="dxa"/>
            <w:vAlign w:val="center"/>
          </w:tcPr>
          <w:p>
            <w:pPr>
              <w:ind w:left="567" w:hanging="567"/>
              <w:jc w:val="center"/>
              <w:rPr>
                <w:rFonts w:hint="eastAsia" w:ascii="宋体" w:hAnsi="宋体" w:eastAsia="宋体" w:cs="Times New Roman"/>
                <w:szCs w:val="21"/>
              </w:rPr>
            </w:pPr>
            <w:r>
              <w:rPr>
                <w:rFonts w:hint="eastAsia" w:ascii="宋体" w:hAnsi="宋体" w:eastAsia="宋体" w:cs="Times New Roman"/>
                <w:szCs w:val="21"/>
              </w:rPr>
              <w:t>27</w:t>
            </w:r>
          </w:p>
        </w:tc>
        <w:tc>
          <w:tcPr>
            <w:tcW w:w="990" w:type="dxa"/>
            <w:vAlign w:val="center"/>
          </w:tcPr>
          <w:p>
            <w:pPr>
              <w:pStyle w:val="17"/>
              <w:spacing w:before="211"/>
              <w:ind w:left="162"/>
              <w:rPr>
                <w:rFonts w:hint="eastAsia" w:cs="Times New Roman"/>
                <w:sz w:val="21"/>
                <w:szCs w:val="21"/>
              </w:rPr>
            </w:pPr>
            <w:r>
              <w:rPr>
                <w:spacing w:val="2"/>
                <w:sz w:val="21"/>
                <w:szCs w:val="21"/>
              </w:rPr>
              <w:t>2</w:t>
            </w:r>
            <w:r>
              <w:rPr>
                <w:spacing w:val="-38"/>
                <w:sz w:val="21"/>
                <w:szCs w:val="21"/>
              </w:rPr>
              <w:t xml:space="preserve"> </w:t>
            </w:r>
            <w:r>
              <w:rPr>
                <w:spacing w:val="2"/>
                <w:sz w:val="21"/>
                <w:szCs w:val="21"/>
              </w:rPr>
              <w:t>块/套</w:t>
            </w:r>
          </w:p>
        </w:tc>
      </w:tr>
    </w:tbl>
    <w:p>
      <w:pPr>
        <w:rPr>
          <w:rFonts w:hint="eastAsia" w:ascii="宋体" w:hAnsi="宋体" w:eastAsia="宋体" w:cs="Times New Roman"/>
          <w:kern w:val="0"/>
          <w:szCs w:val="21"/>
        </w:rPr>
      </w:pPr>
      <w:r>
        <w:rPr>
          <w:rFonts w:hint="eastAsia" w:ascii="宋体" w:hAnsi="宋体" w:eastAsia="宋体" w:cs="Times New Roman"/>
          <w:kern w:val="0"/>
          <w:szCs w:val="21"/>
        </w:rPr>
        <w:t>3、纸板规格：</w:t>
      </w:r>
    </w:p>
    <w:tbl>
      <w:tblPr>
        <w:tblStyle w:val="6"/>
        <w:tblW w:w="862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134"/>
        <w:gridCol w:w="2126"/>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42" w:type="dxa"/>
            <w:vAlign w:val="center"/>
          </w:tcPr>
          <w:p>
            <w:pPr>
              <w:widowControl/>
              <w:jc w:val="left"/>
              <w:rPr>
                <w:rFonts w:hint="eastAsia" w:ascii="宋体" w:hAnsi="宋体" w:eastAsia="宋体" w:cs="Times New Roman"/>
                <w:kern w:val="0"/>
                <w:szCs w:val="21"/>
              </w:rPr>
            </w:pPr>
            <w:r>
              <w:rPr>
                <w:rFonts w:hint="eastAsia" w:ascii="宋体" w:hAnsi="宋体" w:eastAsia="宋体" w:cs="Times New Roman"/>
                <w:kern w:val="0"/>
                <w:szCs w:val="21"/>
              </w:rPr>
              <w:t>序号</w:t>
            </w:r>
          </w:p>
        </w:tc>
        <w:tc>
          <w:tcPr>
            <w:tcW w:w="1134" w:type="dxa"/>
            <w:vAlign w:val="center"/>
          </w:tcPr>
          <w:p>
            <w:pPr>
              <w:widowControl/>
              <w:jc w:val="left"/>
              <w:rPr>
                <w:rFonts w:hint="eastAsia" w:ascii="宋体" w:hAnsi="宋体" w:eastAsia="宋体" w:cs="Times New Roman"/>
                <w:kern w:val="0"/>
                <w:szCs w:val="21"/>
              </w:rPr>
            </w:pPr>
            <w:r>
              <w:rPr>
                <w:rFonts w:hint="eastAsia" w:ascii="宋体" w:hAnsi="宋体" w:eastAsia="宋体" w:cs="Times New Roman"/>
                <w:kern w:val="0"/>
                <w:szCs w:val="21"/>
              </w:rPr>
              <w:t>规格名称</w:t>
            </w:r>
          </w:p>
        </w:tc>
        <w:tc>
          <w:tcPr>
            <w:tcW w:w="2126" w:type="dxa"/>
            <w:vAlign w:val="center"/>
          </w:tcPr>
          <w:p>
            <w:pPr>
              <w:widowControl/>
              <w:jc w:val="left"/>
              <w:rPr>
                <w:rFonts w:hint="eastAsia" w:ascii="宋体" w:hAnsi="宋体" w:eastAsia="宋体" w:cs="Times New Roman"/>
                <w:kern w:val="0"/>
                <w:szCs w:val="21"/>
              </w:rPr>
            </w:pPr>
            <w:r>
              <w:rPr>
                <w:rFonts w:hint="eastAsia" w:ascii="宋体" w:hAnsi="宋体" w:eastAsia="宋体" w:cs="Times New Roman"/>
                <w:kern w:val="0"/>
                <w:szCs w:val="21"/>
              </w:rPr>
              <w:t>纸板要求</w:t>
            </w:r>
          </w:p>
        </w:tc>
        <w:tc>
          <w:tcPr>
            <w:tcW w:w="4423" w:type="dxa"/>
            <w:vAlign w:val="center"/>
          </w:tcPr>
          <w:p>
            <w:pPr>
              <w:widowControl/>
              <w:jc w:val="left"/>
              <w:rPr>
                <w:rFonts w:hint="eastAsia" w:ascii="宋体" w:hAnsi="宋体" w:eastAsia="宋体" w:cs="Times New Roman"/>
                <w:kern w:val="0"/>
                <w:szCs w:val="21"/>
              </w:rPr>
            </w:pPr>
            <w:r>
              <w:rPr>
                <w:rFonts w:hint="eastAsia" w:ascii="宋体" w:hAnsi="宋体" w:eastAsia="宋体"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42" w:type="dxa"/>
          </w:tcPr>
          <w:p>
            <w:pPr>
              <w:widowControl/>
              <w:jc w:val="center"/>
              <w:rPr>
                <w:rFonts w:hint="eastAsia" w:ascii="宋体" w:hAnsi="宋体" w:eastAsia="宋体" w:cs="Times New Roman"/>
                <w:kern w:val="0"/>
                <w:szCs w:val="21"/>
              </w:rPr>
            </w:pPr>
            <w:r>
              <w:rPr>
                <w:rFonts w:hint="eastAsia" w:ascii="宋体" w:hAnsi="宋体" w:eastAsia="宋体" w:cs="Times New Roman"/>
                <w:kern w:val="0"/>
                <w:szCs w:val="21"/>
              </w:rPr>
              <w:t>1</w:t>
            </w:r>
          </w:p>
        </w:tc>
        <w:tc>
          <w:tcPr>
            <w:tcW w:w="1134" w:type="dxa"/>
          </w:tcPr>
          <w:p>
            <w:pPr>
              <w:widowControl/>
              <w:jc w:val="left"/>
              <w:rPr>
                <w:rFonts w:hint="eastAsia" w:ascii="宋体" w:hAnsi="宋体" w:eastAsia="宋体" w:cs="Times New Roman"/>
                <w:kern w:val="0"/>
                <w:szCs w:val="21"/>
              </w:rPr>
            </w:pPr>
            <w:r>
              <w:rPr>
                <w:rFonts w:hint="eastAsia" w:ascii="宋体" w:hAnsi="宋体" w:eastAsia="宋体" w:cs="Times New Roman"/>
                <w:kern w:val="0"/>
                <w:szCs w:val="21"/>
              </w:rPr>
              <w:t>瓦楞纸</w:t>
            </w:r>
          </w:p>
        </w:tc>
        <w:tc>
          <w:tcPr>
            <w:tcW w:w="2126" w:type="dxa"/>
          </w:tcPr>
          <w:p>
            <w:pPr>
              <w:widowControl/>
              <w:jc w:val="left"/>
              <w:rPr>
                <w:rFonts w:hint="eastAsia" w:ascii="宋体" w:hAnsi="宋体" w:eastAsia="宋体" w:cs="Times New Roman"/>
                <w:kern w:val="0"/>
                <w:szCs w:val="21"/>
              </w:rPr>
            </w:pPr>
            <w:r>
              <w:rPr>
                <w:rFonts w:hint="eastAsia" w:ascii="宋体" w:hAnsi="宋体" w:eastAsia="宋体" w:cs="Times New Roman"/>
                <w:kern w:val="0"/>
                <w:szCs w:val="21"/>
              </w:rPr>
              <w:t>单瓦楞纸和双瓦楞纸</w:t>
            </w:r>
          </w:p>
        </w:tc>
        <w:tc>
          <w:tcPr>
            <w:tcW w:w="4423" w:type="dxa"/>
          </w:tcPr>
          <w:p>
            <w:pPr>
              <w:widowControl/>
              <w:jc w:val="left"/>
              <w:rPr>
                <w:rFonts w:hint="eastAsia" w:ascii="宋体" w:hAnsi="宋体" w:eastAsia="宋体" w:cs="Times New Roman"/>
                <w:kern w:val="0"/>
                <w:szCs w:val="21"/>
              </w:rPr>
            </w:pPr>
            <w:r>
              <w:rPr>
                <w:rFonts w:hint="eastAsia" w:ascii="宋体" w:hAnsi="宋体" w:eastAsia="宋体" w:cs="Times New Roman"/>
                <w:kern w:val="0"/>
                <w:szCs w:val="21"/>
              </w:rPr>
              <w:t>抗压强度≧110kg;耐破强度</w:t>
            </w:r>
            <w:r>
              <w:rPr>
                <w:rFonts w:ascii="宋体" w:hAnsi="宋体" w:eastAsia="宋体" w:cs="Times New Roman"/>
                <w:kern w:val="0"/>
                <w:szCs w:val="21"/>
              </w:rPr>
              <w:t>≧</w:t>
            </w:r>
            <w:r>
              <w:rPr>
                <w:rFonts w:hint="eastAsia" w:ascii="宋体" w:hAnsi="宋体" w:eastAsia="宋体" w:cs="Times New Roman"/>
                <w:kern w:val="0"/>
                <w:szCs w:val="21"/>
              </w:rPr>
              <w:t>800</w:t>
            </w:r>
            <w:r>
              <w:rPr>
                <w:rFonts w:ascii="宋体" w:hAnsi="宋体" w:eastAsia="宋体" w:cs="Times New Roman"/>
                <w:kern w:val="0"/>
                <w:szCs w:val="21"/>
              </w:rPr>
              <w:t>kpa</w:t>
            </w:r>
            <w:r>
              <w:rPr>
                <w:rFonts w:hint="eastAsia" w:ascii="宋体" w:hAnsi="宋体"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25" w:type="dxa"/>
            <w:gridSpan w:val="4"/>
          </w:tcPr>
          <w:p>
            <w:pPr>
              <w:widowControl/>
              <w:ind w:firstLine="105" w:firstLineChars="50"/>
              <w:jc w:val="left"/>
              <w:rPr>
                <w:rFonts w:hint="eastAsia" w:ascii="宋体" w:hAnsi="宋体" w:eastAsia="宋体" w:cs="Times New Roman"/>
                <w:b/>
                <w:kern w:val="0"/>
                <w:szCs w:val="21"/>
              </w:rPr>
            </w:pPr>
            <w:r>
              <w:rPr>
                <w:rFonts w:hint="eastAsia" w:ascii="宋体" w:hAnsi="宋体" w:eastAsia="宋体" w:cs="Times New Roman"/>
                <w:b/>
                <w:kern w:val="0"/>
                <w:szCs w:val="21"/>
              </w:rPr>
              <w:t>注：</w:t>
            </w:r>
            <w:r>
              <w:rPr>
                <w:rFonts w:hint="eastAsia" w:ascii="宋体" w:hAnsi="宋体" w:eastAsia="宋体" w:cs="Times New Roman"/>
                <w:kern w:val="0"/>
                <w:szCs w:val="21"/>
              </w:rPr>
              <w:t>以我公司提供的样板为准。</w:t>
            </w:r>
          </w:p>
        </w:tc>
      </w:tr>
      <w:bookmarkEnd w:id="5"/>
    </w:tbl>
    <w:p>
      <w:pPr>
        <w:spacing w:before="156" w:beforeLines="50" w:line="360" w:lineRule="auto"/>
        <w:rPr>
          <w:rFonts w:hint="eastAsia" w:ascii="宋体" w:hAnsi="宋体" w:eastAsia="宋体" w:cs="Times New Roman"/>
          <w:b/>
          <w:kern w:val="0"/>
          <w:szCs w:val="21"/>
        </w:rPr>
      </w:pPr>
      <w:r>
        <w:rPr>
          <w:rFonts w:hint="eastAsia" w:ascii="宋体" w:hAnsi="宋体" w:eastAsia="宋体" w:cs="Times New Roman"/>
          <w:b/>
          <w:kern w:val="0"/>
          <w:szCs w:val="21"/>
        </w:rPr>
        <w:t>四、工况条件</w:t>
      </w:r>
    </w:p>
    <w:p>
      <w:pPr>
        <w:pStyle w:val="13"/>
        <w:widowControl/>
        <w:numPr>
          <w:ilvl w:val="0"/>
          <w:numId w:val="4"/>
        </w:numPr>
        <w:spacing w:line="360" w:lineRule="auto"/>
        <w:ind w:firstLineChars="0"/>
        <w:jc w:val="left"/>
        <w:rPr>
          <w:rFonts w:hint="eastAsia" w:ascii="宋体" w:hAnsi="宋体" w:eastAsia="宋体" w:cs="Times New Roman"/>
          <w:kern w:val="0"/>
          <w:szCs w:val="21"/>
        </w:rPr>
      </w:pPr>
      <w:r>
        <w:rPr>
          <w:rFonts w:hint="eastAsia" w:ascii="宋体" w:hAnsi="宋体" w:eastAsia="宋体" w:cs="Times New Roman"/>
          <w:kern w:val="0"/>
          <w:szCs w:val="21"/>
        </w:rPr>
        <w:t>工作环境：一般区。</w:t>
      </w:r>
    </w:p>
    <w:p>
      <w:pPr>
        <w:pStyle w:val="13"/>
        <w:widowControl/>
        <w:numPr>
          <w:ilvl w:val="0"/>
          <w:numId w:val="4"/>
        </w:numPr>
        <w:spacing w:line="360" w:lineRule="auto"/>
        <w:ind w:firstLineChars="0"/>
        <w:jc w:val="left"/>
        <w:rPr>
          <w:rFonts w:hint="eastAsia" w:ascii="宋体" w:hAnsi="宋体" w:eastAsia="宋体" w:cs="Times New Roman"/>
          <w:kern w:val="0"/>
          <w:szCs w:val="21"/>
        </w:rPr>
      </w:pPr>
      <w:r>
        <w:rPr>
          <w:rFonts w:hint="eastAsia" w:ascii="宋体" w:hAnsi="宋体" w:eastAsia="宋体" w:cs="Times New Roman"/>
          <w:kern w:val="0"/>
          <w:szCs w:val="21"/>
        </w:rPr>
        <w:t>电</w:t>
      </w:r>
      <w:r>
        <w:rPr>
          <w:rFonts w:ascii="宋体" w:hAnsi="宋体" w:eastAsia="宋体" w:cs="Times New Roman"/>
          <w:kern w:val="0"/>
          <w:szCs w:val="21"/>
        </w:rPr>
        <w:t xml:space="preserve">    </w:t>
      </w:r>
      <w:r>
        <w:rPr>
          <w:rFonts w:hint="eastAsia" w:ascii="宋体" w:hAnsi="宋体" w:eastAsia="宋体" w:cs="Times New Roman"/>
          <w:kern w:val="0"/>
          <w:szCs w:val="21"/>
        </w:rPr>
        <w:t>源：3相，</w:t>
      </w:r>
      <w:r>
        <w:rPr>
          <w:rFonts w:ascii="宋体" w:hAnsi="宋体" w:eastAsia="宋体" w:cs="Times New Roman"/>
          <w:kern w:val="0"/>
          <w:szCs w:val="21"/>
        </w:rPr>
        <w:t xml:space="preserve">380V </w:t>
      </w:r>
      <w:r>
        <w:rPr>
          <w:rFonts w:hint="eastAsia" w:ascii="宋体" w:hAnsi="宋体" w:eastAsia="宋体" w:cs="Times New Roman"/>
          <w:kern w:val="0"/>
          <w:szCs w:val="21"/>
        </w:rPr>
        <w:t>，</w:t>
      </w:r>
      <w:r>
        <w:rPr>
          <w:rFonts w:ascii="宋体" w:hAnsi="宋体" w:eastAsia="宋体" w:cs="Times New Roman"/>
          <w:kern w:val="0"/>
          <w:szCs w:val="21"/>
        </w:rPr>
        <w:t xml:space="preserve">50Hz </w:t>
      </w:r>
      <w:r>
        <w:rPr>
          <w:rFonts w:hint="eastAsia" w:ascii="宋体" w:hAnsi="宋体" w:eastAsia="宋体" w:cs="Times New Roman"/>
          <w:kern w:val="0"/>
          <w:szCs w:val="21"/>
        </w:rPr>
        <w:t>，三相五线接地保护。</w:t>
      </w:r>
    </w:p>
    <w:p>
      <w:pPr>
        <w:pStyle w:val="13"/>
        <w:widowControl/>
        <w:numPr>
          <w:ilvl w:val="0"/>
          <w:numId w:val="4"/>
        </w:numPr>
        <w:spacing w:line="360" w:lineRule="auto"/>
        <w:ind w:firstLineChars="0"/>
        <w:jc w:val="left"/>
        <w:rPr>
          <w:rFonts w:hint="eastAsia" w:ascii="宋体" w:hAnsi="宋体" w:eastAsia="宋体" w:cs="Times New Roman"/>
          <w:kern w:val="0"/>
          <w:szCs w:val="21"/>
        </w:rPr>
      </w:pPr>
      <w:r>
        <w:rPr>
          <w:rFonts w:hint="eastAsia" w:ascii="宋体" w:hAnsi="宋体" w:eastAsia="宋体" w:cs="Times New Roman"/>
          <w:kern w:val="0"/>
          <w:szCs w:val="21"/>
        </w:rPr>
        <w:t>压缩空气：压力</w:t>
      </w:r>
      <w:r>
        <w:rPr>
          <w:rFonts w:ascii="宋体" w:hAnsi="宋体" w:eastAsia="宋体" w:cs="Times New Roman"/>
          <w:kern w:val="0"/>
          <w:szCs w:val="21"/>
        </w:rPr>
        <w:t>5～7bar</w:t>
      </w:r>
      <w:r>
        <w:rPr>
          <w:rFonts w:hint="eastAsia" w:ascii="宋体" w:hAnsi="宋体" w:eastAsia="宋体" w:cs="Times New Roman"/>
          <w:kern w:val="0"/>
          <w:szCs w:val="21"/>
        </w:rPr>
        <w:t xml:space="preserve"> </w:t>
      </w:r>
      <w:r>
        <w:rPr>
          <w:rFonts w:ascii="宋体" w:hAnsi="宋体" w:eastAsia="宋体" w:cs="Times New Roman"/>
          <w:kern w:val="0"/>
          <w:szCs w:val="21"/>
        </w:rPr>
        <w:t>，</w:t>
      </w:r>
      <w:r>
        <w:rPr>
          <w:rFonts w:hint="eastAsia" w:ascii="宋体" w:hAnsi="宋体" w:eastAsia="宋体" w:cs="Times New Roman"/>
          <w:kern w:val="0"/>
          <w:szCs w:val="21"/>
        </w:rPr>
        <w:t>微</w:t>
      </w:r>
      <w:r>
        <w:rPr>
          <w:rFonts w:ascii="宋体" w:hAnsi="宋体" w:eastAsia="宋体" w:cs="Times New Roman"/>
          <w:kern w:val="0"/>
          <w:szCs w:val="21"/>
        </w:rPr>
        <w:t>油压缩空气</w:t>
      </w:r>
      <w:r>
        <w:rPr>
          <w:rFonts w:hint="eastAsia" w:ascii="宋体" w:hAnsi="宋体" w:eastAsia="宋体" w:cs="Times New Roman"/>
          <w:kern w:val="0"/>
          <w:szCs w:val="21"/>
        </w:rPr>
        <w:t>。</w:t>
      </w:r>
    </w:p>
    <w:p>
      <w:pPr>
        <w:pStyle w:val="13"/>
        <w:widowControl/>
        <w:numPr>
          <w:ilvl w:val="0"/>
          <w:numId w:val="4"/>
        </w:numPr>
        <w:spacing w:line="360" w:lineRule="auto"/>
        <w:ind w:firstLineChars="0"/>
        <w:jc w:val="left"/>
        <w:rPr>
          <w:rFonts w:hint="eastAsia" w:ascii="宋体" w:hAnsi="宋体" w:eastAsia="宋体" w:cs="Times New Roman"/>
          <w:kern w:val="0"/>
          <w:szCs w:val="21"/>
        </w:rPr>
      </w:pPr>
      <w:r>
        <w:rPr>
          <w:rFonts w:ascii="宋体" w:hAnsi="宋体" w:eastAsia="宋体" w:cs="Times New Roman"/>
          <w:kern w:val="0"/>
          <w:szCs w:val="21"/>
        </w:rPr>
        <w:t>车间外包间区域</w:t>
      </w: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1</w:t>
      </w:r>
      <w:r>
        <w:rPr>
          <w:rFonts w:hint="eastAsia" w:ascii="宋体" w:hAnsi="宋体"/>
          <w:szCs w:val="21"/>
        </w:rPr>
        <w:t>～</w:t>
      </w:r>
      <w:r>
        <w:rPr>
          <w:rFonts w:hint="eastAsia" w:ascii="宋体" w:hAnsi="宋体" w:eastAsia="宋体" w:cs="Times New Roman"/>
          <w:kern w:val="0"/>
          <w:szCs w:val="21"/>
        </w:rPr>
        <w:t>18轴</w:t>
      </w:r>
      <w:r>
        <w:rPr>
          <w:rFonts w:hint="eastAsia" w:ascii="宋体" w:hAnsi="宋体"/>
          <w:szCs w:val="21"/>
        </w:rPr>
        <w:t>交L-K轴）</w:t>
      </w:r>
      <w:r>
        <w:rPr>
          <w:rFonts w:ascii="宋体" w:hAnsi="宋体" w:eastAsia="宋体" w:cs="Times New Roman"/>
          <w:kern w:val="0"/>
          <w:szCs w:val="21"/>
        </w:rPr>
        <w:t>：车间</w:t>
      </w:r>
      <w:r>
        <w:rPr>
          <w:rFonts w:hint="eastAsia" w:ascii="宋体" w:hAnsi="宋体" w:eastAsia="宋体" w:cs="Times New Roman"/>
          <w:kern w:val="0"/>
          <w:szCs w:val="21"/>
        </w:rPr>
        <w:t>钢板筋情况：</w:t>
      </w:r>
      <w:r>
        <w:rPr>
          <w:rFonts w:ascii="宋体" w:hAnsi="宋体" w:eastAsia="宋体" w:cs="Times New Roman"/>
          <w:kern w:val="0"/>
          <w:szCs w:val="21"/>
        </w:rPr>
        <w:t>图中除注明外，</w:t>
      </w:r>
      <w:r>
        <w:rPr>
          <w:rFonts w:hint="eastAsia" w:ascii="宋体" w:hAnsi="宋体" w:eastAsia="宋体" w:cs="Times New Roman"/>
          <w:kern w:val="0"/>
          <w:szCs w:val="21"/>
        </w:rPr>
        <w:t>混凝土强度等级为</w:t>
      </w:r>
      <w:r>
        <w:rPr>
          <w:rFonts w:ascii="宋体" w:hAnsi="宋体" w:eastAsia="宋体" w:cs="Times New Roman"/>
          <w:kern w:val="0"/>
          <w:szCs w:val="21"/>
        </w:rPr>
        <w:t>C20</w:t>
      </w:r>
      <w:r>
        <w:rPr>
          <w:rFonts w:hint="eastAsia" w:ascii="宋体" w:hAnsi="宋体" w:eastAsia="宋体" w:cs="Times New Roman"/>
          <w:kern w:val="0"/>
          <w:szCs w:val="21"/>
        </w:rPr>
        <w:t>。</w:t>
      </w:r>
    </w:p>
    <w:p>
      <w:pPr>
        <w:spacing w:line="360" w:lineRule="auto"/>
        <w:rPr>
          <w:rFonts w:hint="eastAsia" w:ascii="宋体" w:hAnsi="宋体" w:eastAsia="宋体" w:cs="Times New Roman"/>
          <w:b/>
          <w:bCs/>
        </w:rPr>
      </w:pPr>
      <w:r>
        <w:rPr>
          <w:rFonts w:hint="eastAsia" w:ascii="宋体" w:hAnsi="宋体" w:eastAsia="宋体" w:cs="Times New Roman"/>
          <w:b/>
          <w:bCs/>
        </w:rPr>
        <w:t>五、总体要求</w:t>
      </w:r>
    </w:p>
    <w:p>
      <w:pPr>
        <w:widowControl/>
        <w:numPr>
          <w:ilvl w:val="0"/>
          <w:numId w:val="5"/>
        </w:numPr>
        <w:spacing w:line="360" w:lineRule="auto"/>
        <w:jc w:val="left"/>
        <w:rPr>
          <w:rFonts w:hint="eastAsia" w:ascii="宋体" w:hAnsi="宋体" w:eastAsia="宋体" w:cs="Times New Roman"/>
          <w:kern w:val="0"/>
          <w:szCs w:val="21"/>
        </w:rPr>
      </w:pPr>
      <w:bookmarkStart w:id="6" w:name="_Hlk194939190"/>
      <w:r>
        <w:rPr>
          <w:rFonts w:hint="eastAsia" w:ascii="宋体" w:hAnsi="宋体" w:eastAsia="宋体" w:cs="Times New Roman"/>
          <w:kern w:val="0"/>
          <w:szCs w:val="21"/>
        </w:rPr>
        <w:t>本工程是交钥匙项目，所提交的系统必须是通电并可使用的系统。投标人将对该项目的总体性、成套性和稳定性负责。</w:t>
      </w:r>
      <w:bookmarkEnd w:id="6"/>
    </w:p>
    <w:p>
      <w:pPr>
        <w:widowControl/>
        <w:numPr>
          <w:ilvl w:val="0"/>
          <w:numId w:val="5"/>
        </w:numPr>
        <w:spacing w:line="360" w:lineRule="auto"/>
        <w:jc w:val="left"/>
        <w:rPr>
          <w:rFonts w:hint="eastAsia" w:ascii="宋体" w:hAnsi="宋体" w:eastAsia="宋体" w:cs="Times New Roman"/>
          <w:kern w:val="0"/>
          <w:szCs w:val="21"/>
        </w:rPr>
      </w:pPr>
      <w:r>
        <w:rPr>
          <w:rFonts w:hint="eastAsia" w:ascii="宋体" w:hAnsi="宋体" w:eastAsia="宋体" w:cs="Times New Roman"/>
          <w:kern w:val="0"/>
          <w:szCs w:val="21"/>
        </w:rPr>
        <w:t>投标人在提交的技术文件中，要逐项响应。若标记★内容有一项或以上没有响应，视为无效投标。</w:t>
      </w:r>
    </w:p>
    <w:p>
      <w:pPr>
        <w:widowControl/>
        <w:numPr>
          <w:ilvl w:val="0"/>
          <w:numId w:val="5"/>
        </w:numPr>
        <w:spacing w:line="360" w:lineRule="auto"/>
        <w:jc w:val="left"/>
        <w:rPr>
          <w:rFonts w:hint="eastAsia" w:ascii="宋体" w:hAnsi="宋体" w:eastAsia="宋体" w:cs="Times New Roman"/>
          <w:kern w:val="0"/>
          <w:szCs w:val="21"/>
        </w:rPr>
      </w:pPr>
      <w:r>
        <w:rPr>
          <w:rFonts w:hint="eastAsia" w:ascii="宋体" w:hAnsi="宋体" w:eastAsia="宋体" w:cs="Times New Roman"/>
          <w:kern w:val="0"/>
          <w:szCs w:val="21"/>
        </w:rPr>
        <w:t>投标人必须在投标文件中详细列出其提供的整套设备和主要部件的生产商和生产产地说明。</w:t>
      </w:r>
    </w:p>
    <w:p>
      <w:pPr>
        <w:widowControl/>
        <w:numPr>
          <w:ilvl w:val="0"/>
          <w:numId w:val="5"/>
        </w:numPr>
        <w:spacing w:line="360" w:lineRule="auto"/>
        <w:jc w:val="left"/>
        <w:rPr>
          <w:rFonts w:hint="eastAsia" w:ascii="宋体" w:hAnsi="宋体" w:eastAsia="宋体" w:cs="Times New Roman"/>
          <w:kern w:val="0"/>
          <w:szCs w:val="21"/>
        </w:rPr>
      </w:pPr>
      <w:r>
        <w:rPr>
          <w:rFonts w:hint="eastAsia" w:ascii="宋体" w:hAnsi="宋体" w:eastAsia="宋体" w:cs="Times New Roman"/>
          <w:kern w:val="0"/>
          <w:szCs w:val="21"/>
        </w:rPr>
        <w:t>对于本用户需求书中未提到的功能，或投标人认为有更好的方案，可在所提交投标文件中向招标人提出建议或优化方案，详细阐述理由，并在投标文件中列明该建议或方案的报价，招标人保留采纳投标人所提供的更为优秀可靠的系统方案的权利。</w:t>
      </w:r>
    </w:p>
    <w:p>
      <w:pPr>
        <w:widowControl/>
        <w:numPr>
          <w:ilvl w:val="0"/>
          <w:numId w:val="5"/>
        </w:numPr>
        <w:spacing w:line="360" w:lineRule="auto"/>
        <w:jc w:val="left"/>
        <w:rPr>
          <w:rFonts w:hint="eastAsia" w:ascii="宋体" w:hAnsi="宋体" w:eastAsia="宋体" w:cs="Times New Roman"/>
          <w:kern w:val="0"/>
          <w:szCs w:val="21"/>
        </w:rPr>
      </w:pPr>
      <w:r>
        <w:rPr>
          <w:rFonts w:hint="eastAsia" w:ascii="宋体" w:hAnsi="宋体" w:eastAsia="宋体" w:cs="Times New Roman"/>
          <w:kern w:val="0"/>
          <w:szCs w:val="21"/>
        </w:rPr>
        <w:t>投标文件中，与招标技术要求有差异之处，必须汇集填写到《技术要求偏离表》中。本用户需求的相关内容，没有在投标文件的技术规格偏离表中注明偏离（文字说明或在投标差异表中注明）的参数、配置、条款视为被投标人完全接受，投标方投标必；</w:t>
      </w:r>
    </w:p>
    <w:p>
      <w:pPr>
        <w:widowControl/>
        <w:numPr>
          <w:ilvl w:val="0"/>
          <w:numId w:val="5"/>
        </w:numPr>
        <w:spacing w:line="360" w:lineRule="auto"/>
        <w:jc w:val="left"/>
        <w:rPr>
          <w:rFonts w:hint="eastAsia" w:ascii="宋体" w:hAnsi="宋体" w:eastAsia="宋体" w:cs="Times New Roman"/>
          <w:kern w:val="0"/>
          <w:szCs w:val="21"/>
        </w:rPr>
      </w:pPr>
      <w:r>
        <w:rPr>
          <w:rFonts w:hint="eastAsia" w:ascii="宋体" w:hAnsi="宋体" w:eastAsia="宋体" w:cs="Times New Roman"/>
          <w:kern w:val="0"/>
          <w:szCs w:val="21"/>
        </w:rPr>
        <w:t>投标文件中，涉及量化指标必须明确应答，主要技术指标提供检测报告和样本。</w:t>
      </w:r>
    </w:p>
    <w:p>
      <w:pPr>
        <w:widowControl/>
        <w:numPr>
          <w:ilvl w:val="0"/>
          <w:numId w:val="5"/>
        </w:numPr>
        <w:spacing w:line="360" w:lineRule="auto"/>
        <w:jc w:val="left"/>
        <w:rPr>
          <w:rFonts w:hint="eastAsia" w:ascii="宋体" w:hAnsi="宋体" w:eastAsia="宋体" w:cs="Times New Roman"/>
          <w:kern w:val="0"/>
          <w:szCs w:val="21"/>
        </w:rPr>
      </w:pPr>
      <w:r>
        <w:rPr>
          <w:rFonts w:hint="eastAsia" w:ascii="宋体" w:hAnsi="宋体" w:eastAsia="宋体" w:cs="Times New Roman"/>
          <w:kern w:val="0"/>
          <w:szCs w:val="21"/>
        </w:rPr>
        <w:t>投标文件中，至少包含以下技术资料：详细的方案描述、技术参数的详细应答、设备平面布局图、详细备品备件清单、项目工作推进计划、施工安全管理方案。投标时同时提供电子文档，存于同一个U</w:t>
      </w:r>
      <w:r>
        <w:rPr>
          <w:rFonts w:ascii="宋体" w:hAnsi="宋体" w:eastAsia="宋体" w:cs="Times New Roman"/>
          <w:kern w:val="0"/>
          <w:szCs w:val="21"/>
        </w:rPr>
        <w:t xml:space="preserve"> </w:t>
      </w:r>
      <w:r>
        <w:rPr>
          <w:rFonts w:hint="eastAsia" w:ascii="宋体" w:hAnsi="宋体" w:eastAsia="宋体" w:cs="Times New Roman"/>
          <w:kern w:val="0"/>
          <w:szCs w:val="21"/>
        </w:rPr>
        <w:t>盘中。</w:t>
      </w:r>
    </w:p>
    <w:p>
      <w:pPr>
        <w:widowControl/>
        <w:numPr>
          <w:ilvl w:val="0"/>
          <w:numId w:val="5"/>
        </w:numPr>
        <w:spacing w:line="360" w:lineRule="auto"/>
        <w:jc w:val="left"/>
        <w:rPr>
          <w:rFonts w:hint="eastAsia" w:ascii="宋体" w:hAnsi="宋体" w:eastAsia="宋体" w:cs="Times New Roman"/>
          <w:kern w:val="0"/>
          <w:szCs w:val="21"/>
        </w:rPr>
      </w:pPr>
      <w:r>
        <w:rPr>
          <w:rFonts w:hint="eastAsia" w:ascii="宋体" w:hAnsi="宋体" w:eastAsia="宋体" w:cs="Times New Roman"/>
          <w:kern w:val="0"/>
          <w:szCs w:val="21"/>
        </w:rPr>
        <w:t>施工过程中的临时用水、用电，招标方提供施工用水用电接驳点，投标方自行接驳至施工现场，并自带合格的水、电表和电箱进行计量核算及承担费用。</w:t>
      </w:r>
    </w:p>
    <w:p>
      <w:pPr>
        <w:widowControl/>
        <w:numPr>
          <w:ilvl w:val="0"/>
          <w:numId w:val="5"/>
        </w:numPr>
        <w:spacing w:line="360" w:lineRule="auto"/>
        <w:jc w:val="left"/>
        <w:rPr>
          <w:rFonts w:hint="eastAsia" w:ascii="宋体" w:hAnsi="宋体" w:eastAsia="宋体" w:cs="Times New Roman"/>
          <w:kern w:val="0"/>
          <w:szCs w:val="21"/>
        </w:rPr>
      </w:pPr>
      <w:r>
        <w:rPr>
          <w:rFonts w:hint="eastAsia" w:ascii="宋体" w:hAnsi="宋体" w:eastAsia="宋体" w:cs="Times New Roman"/>
          <w:kern w:val="0"/>
          <w:szCs w:val="21"/>
        </w:rPr>
        <w:t>安装过程中招标方提供施工场所，参与施工的过程监督，不负责提供任何施工工具及人工服务。投标方负责安装、调试期间、</w:t>
      </w:r>
      <w:r>
        <w:rPr>
          <w:rFonts w:ascii="宋体" w:hAnsi="宋体" w:eastAsia="宋体" w:cs="Times New Roman"/>
          <w:kern w:val="0"/>
          <w:szCs w:val="21"/>
        </w:rPr>
        <w:t>试运行</w:t>
      </w:r>
      <w:r>
        <w:rPr>
          <w:rFonts w:hint="eastAsia" w:ascii="宋体" w:hAnsi="宋体" w:eastAsia="宋体" w:cs="Times New Roman"/>
          <w:kern w:val="0"/>
          <w:szCs w:val="21"/>
        </w:rPr>
        <w:t>期间所需的人工、设备易耗品等，并承担所有费用。</w:t>
      </w:r>
    </w:p>
    <w:p>
      <w:pPr>
        <w:widowControl/>
        <w:numPr>
          <w:ilvl w:val="0"/>
          <w:numId w:val="5"/>
        </w:numPr>
        <w:spacing w:line="360" w:lineRule="auto"/>
        <w:jc w:val="left"/>
        <w:rPr>
          <w:rFonts w:hint="eastAsia" w:ascii="宋体" w:hAnsi="宋体" w:eastAsia="宋体" w:cs="Times New Roman"/>
          <w:kern w:val="0"/>
          <w:szCs w:val="21"/>
        </w:rPr>
      </w:pPr>
      <w:r>
        <w:rPr>
          <w:rFonts w:hint="eastAsia" w:ascii="宋体" w:hAnsi="宋体" w:eastAsia="宋体" w:cs="Times New Roman"/>
          <w:kern w:val="0"/>
          <w:szCs w:val="21"/>
        </w:rPr>
        <w:t>投标方负责施工期间安全、场地垃圾清理、人员管理工作，并在签合同时签订《安全协议》。在施工时需要服从总包单位安全管理和规定。</w:t>
      </w:r>
    </w:p>
    <w:p>
      <w:pPr>
        <w:widowControl/>
        <w:numPr>
          <w:ilvl w:val="0"/>
          <w:numId w:val="5"/>
        </w:numPr>
        <w:spacing w:line="360" w:lineRule="auto"/>
        <w:jc w:val="left"/>
        <w:rPr>
          <w:rFonts w:hint="eastAsia" w:ascii="宋体" w:hAnsi="宋体" w:eastAsia="宋体" w:cs="Times New Roman"/>
          <w:kern w:val="0"/>
          <w:szCs w:val="21"/>
        </w:rPr>
      </w:pPr>
      <w:r>
        <w:rPr>
          <w:rFonts w:hint="eastAsia" w:ascii="宋体" w:hAnsi="宋体" w:eastAsia="宋体" w:cs="Times New Roman"/>
          <w:kern w:val="0"/>
          <w:szCs w:val="21"/>
        </w:rPr>
        <w:t>投标方负责将所供设备运到招标方的工地现场，并负责所供设备的设计、供货、运输、装卸、保管、开箱（买方参与清点货物）、就位、安装、调试、培训、售后服务等。</w:t>
      </w:r>
    </w:p>
    <w:p>
      <w:pPr>
        <w:widowControl/>
        <w:numPr>
          <w:ilvl w:val="0"/>
          <w:numId w:val="5"/>
        </w:numPr>
        <w:spacing w:line="360" w:lineRule="auto"/>
        <w:jc w:val="left"/>
        <w:rPr>
          <w:rFonts w:hint="eastAsia" w:ascii="宋体" w:hAnsi="宋体" w:eastAsia="宋体" w:cs="Times New Roman"/>
          <w:kern w:val="0"/>
          <w:szCs w:val="21"/>
        </w:rPr>
      </w:pPr>
      <w:r>
        <w:rPr>
          <w:rFonts w:hint="eastAsia" w:ascii="宋体" w:hAnsi="宋体" w:eastAsia="宋体" w:cs="Times New Roman"/>
          <w:kern w:val="0"/>
          <w:szCs w:val="21"/>
        </w:rPr>
        <w:t>项目投标应对本项目设备各易损件列出具体清单，并配置有相应的易损备件（投标书体现清单内容及数量），备件费用为项目总金额的0.</w:t>
      </w:r>
      <w:r>
        <w:rPr>
          <w:rFonts w:ascii="宋体" w:hAnsi="宋体" w:eastAsia="宋体" w:cs="Times New Roman"/>
          <w:kern w:val="0"/>
          <w:szCs w:val="21"/>
        </w:rPr>
        <w:t>5</w:t>
      </w:r>
      <w:r>
        <w:rPr>
          <w:rFonts w:hint="eastAsia" w:ascii="宋体" w:hAnsi="宋体" w:eastAsia="宋体" w:cs="Times New Roman"/>
          <w:kern w:val="0"/>
          <w:szCs w:val="21"/>
        </w:rPr>
        <w:t>%以上。</w:t>
      </w:r>
    </w:p>
    <w:p>
      <w:pPr>
        <w:widowControl/>
        <w:numPr>
          <w:ilvl w:val="0"/>
          <w:numId w:val="5"/>
        </w:numPr>
        <w:spacing w:line="360" w:lineRule="auto"/>
        <w:jc w:val="left"/>
        <w:rPr>
          <w:rFonts w:hint="eastAsia" w:ascii="宋体" w:hAnsi="宋体" w:eastAsia="宋体" w:cs="Times New Roman"/>
          <w:kern w:val="0"/>
          <w:szCs w:val="21"/>
        </w:rPr>
      </w:pPr>
      <w:r>
        <w:rPr>
          <w:rFonts w:hint="eastAsia" w:ascii="宋体" w:hAnsi="宋体" w:cs="Times New Roman"/>
          <w:szCs w:val="24"/>
        </w:rPr>
        <w:t>当需求书与其附件内容不一致时，以有利于招标方的执行。</w:t>
      </w:r>
    </w:p>
    <w:p>
      <w:pPr>
        <w:spacing w:line="360" w:lineRule="auto"/>
        <w:rPr>
          <w:rFonts w:hint="eastAsia" w:ascii="宋体" w:hAnsi="宋体" w:eastAsia="宋体" w:cs="Times New Roman"/>
          <w:b/>
          <w:kern w:val="0"/>
          <w:szCs w:val="21"/>
        </w:rPr>
      </w:pPr>
      <w:r>
        <w:rPr>
          <w:rFonts w:hint="eastAsia" w:ascii="宋体" w:hAnsi="宋体" w:eastAsia="宋体" w:cs="Times New Roman"/>
          <w:b/>
          <w:kern w:val="0"/>
          <w:szCs w:val="21"/>
        </w:rPr>
        <w:t>六、技术要求</w:t>
      </w:r>
    </w:p>
    <w:p>
      <w:pPr>
        <w:widowControl/>
        <w:numPr>
          <w:ilvl w:val="0"/>
          <w:numId w:val="6"/>
        </w:numPr>
        <w:spacing w:line="360" w:lineRule="auto"/>
        <w:jc w:val="left"/>
        <w:rPr>
          <w:rFonts w:hint="eastAsia" w:ascii="宋体" w:hAnsi="宋体" w:eastAsia="宋体" w:cs="Times New Roman"/>
          <w:b/>
          <w:kern w:val="0"/>
          <w:szCs w:val="21"/>
        </w:rPr>
      </w:pPr>
      <w:r>
        <w:rPr>
          <w:rFonts w:hint="eastAsia" w:ascii="宋体" w:hAnsi="宋体" w:eastAsia="宋体" w:cs="Times New Roman"/>
          <w:b/>
          <w:kern w:val="0"/>
          <w:szCs w:val="21"/>
        </w:rPr>
        <w:t>标的范围和工程界限</w:t>
      </w:r>
    </w:p>
    <w:p>
      <w:pPr>
        <w:widowControl/>
        <w:numPr>
          <w:ilvl w:val="0"/>
          <w:numId w:val="7"/>
        </w:numPr>
        <w:spacing w:line="360" w:lineRule="auto"/>
        <w:jc w:val="left"/>
        <w:rPr>
          <w:rFonts w:hint="eastAsia" w:ascii="宋体" w:hAnsi="宋体" w:eastAsia="宋体" w:cs="Times New Roman"/>
          <w:kern w:val="0"/>
          <w:szCs w:val="21"/>
        </w:rPr>
      </w:pPr>
      <w:r>
        <w:rPr>
          <w:rFonts w:hint="eastAsia" w:ascii="宋体" w:hAnsi="宋体" w:eastAsia="宋体" w:cs="Times New Roman"/>
          <w:kern w:val="0"/>
          <w:szCs w:val="21"/>
        </w:rPr>
        <w:t>标的范围</w:t>
      </w:r>
    </w:p>
    <w:p>
      <w:pPr>
        <w:widowControl/>
        <w:spacing w:line="360" w:lineRule="auto"/>
        <w:ind w:left="709"/>
        <w:jc w:val="left"/>
        <w:rPr>
          <w:rFonts w:hint="eastAsia" w:ascii="宋体" w:hAnsi="宋体" w:eastAsia="宋体" w:cs="Times New Roman"/>
          <w:kern w:val="0"/>
          <w:szCs w:val="21"/>
        </w:rPr>
      </w:pPr>
      <w:bookmarkStart w:id="7" w:name="_Hlk194939344"/>
      <w:r>
        <w:rPr>
          <w:rFonts w:hint="eastAsia" w:ascii="宋体" w:hAnsi="宋体" w:eastAsia="宋体" w:cs="Times New Roman"/>
          <w:kern w:val="0"/>
          <w:szCs w:val="21"/>
        </w:rPr>
        <w:t>纸箱包装机（</w:t>
      </w:r>
      <w:r>
        <w:rPr>
          <w:rFonts w:ascii="宋体" w:hAnsi="宋体" w:eastAsia="宋体" w:cs="Times New Roman"/>
          <w:kern w:val="0"/>
          <w:szCs w:val="21"/>
        </w:rPr>
        <w:t>2</w:t>
      </w:r>
      <w:r>
        <w:rPr>
          <w:rFonts w:hint="eastAsia" w:ascii="宋体" w:hAnsi="宋体" w:eastAsia="宋体" w:cs="Times New Roman"/>
          <w:kern w:val="0"/>
          <w:szCs w:val="21"/>
        </w:rPr>
        <w:t>台），</w:t>
      </w:r>
      <w:r>
        <w:rPr>
          <w:rFonts w:hint="eastAsia" w:ascii="宋体" w:hAnsi="宋体" w:eastAsia="宋体" w:cs="Times New Roman"/>
          <w:b/>
          <w:kern w:val="0"/>
          <w:szCs w:val="21"/>
        </w:rPr>
        <w:t>C</w:t>
      </w:r>
      <w:r>
        <w:rPr>
          <w:rFonts w:ascii="宋体" w:hAnsi="宋体" w:eastAsia="宋体" w:cs="Times New Roman"/>
          <w:b/>
          <w:kern w:val="0"/>
          <w:szCs w:val="21"/>
        </w:rPr>
        <w:t>O</w:t>
      </w:r>
      <w:r>
        <w:rPr>
          <w:rFonts w:ascii="宋体" w:hAnsi="宋体" w:eastAsia="宋体" w:cs="Times New Roman"/>
          <w:b/>
          <w:kern w:val="0"/>
          <w:szCs w:val="21"/>
          <w:vertAlign w:val="subscript"/>
        </w:rPr>
        <w:t>2</w:t>
      </w:r>
      <w:r>
        <w:rPr>
          <w:rFonts w:hint="eastAsia" w:ascii="宋体" w:hAnsi="宋体" w:eastAsia="宋体" w:cs="Times New Roman"/>
          <w:kern w:val="0"/>
          <w:szCs w:val="21"/>
        </w:rPr>
        <w:t>激光打码机（</w:t>
      </w:r>
      <w:r>
        <w:rPr>
          <w:rFonts w:ascii="宋体" w:hAnsi="宋体" w:eastAsia="宋体" w:cs="Times New Roman"/>
          <w:kern w:val="0"/>
          <w:szCs w:val="21"/>
        </w:rPr>
        <w:t>2</w:t>
      </w:r>
      <w:r>
        <w:rPr>
          <w:rFonts w:hint="eastAsia" w:ascii="宋体" w:hAnsi="宋体" w:eastAsia="宋体" w:cs="Times New Roman"/>
          <w:kern w:val="0"/>
          <w:szCs w:val="21"/>
        </w:rPr>
        <w:t>台），称重检测（</w:t>
      </w:r>
      <w:r>
        <w:rPr>
          <w:rFonts w:ascii="宋体" w:hAnsi="宋体" w:eastAsia="宋体" w:cs="Times New Roman"/>
          <w:kern w:val="0"/>
          <w:szCs w:val="21"/>
        </w:rPr>
        <w:t>2</w:t>
      </w:r>
      <w:r>
        <w:rPr>
          <w:rFonts w:hint="eastAsia" w:ascii="宋体" w:hAnsi="宋体" w:eastAsia="宋体" w:cs="Times New Roman"/>
          <w:kern w:val="0"/>
          <w:szCs w:val="21"/>
        </w:rPr>
        <w:t>台），侧式封箱机（</w:t>
      </w:r>
      <w:r>
        <w:rPr>
          <w:rFonts w:ascii="宋体" w:hAnsi="宋体" w:eastAsia="宋体" w:cs="Times New Roman"/>
          <w:kern w:val="0"/>
          <w:szCs w:val="21"/>
        </w:rPr>
        <w:t>2</w:t>
      </w:r>
      <w:r>
        <w:rPr>
          <w:rFonts w:hint="eastAsia" w:ascii="宋体" w:hAnsi="宋体" w:eastAsia="宋体" w:cs="Times New Roman"/>
          <w:kern w:val="0"/>
          <w:szCs w:val="21"/>
        </w:rPr>
        <w:t>台），设备配套的输送带系统、生产线二维码数据采集系统（2套）、仓库成品出库数据采集系统（2套）、自动码垛机（1台）、空压管道系统、配电系统、动力和控制电缆、线槽和线管、桥架和支架、配电和控制电柜、变频器和控制元件（数量根据投标方设计方案需要确定）等货物的设计、采购、安装、调试、验收和相关服务。</w:t>
      </w:r>
      <w:bookmarkEnd w:id="7"/>
    </w:p>
    <w:p>
      <w:pPr>
        <w:widowControl/>
        <w:numPr>
          <w:ilvl w:val="0"/>
          <w:numId w:val="7"/>
        </w:numPr>
        <w:spacing w:line="360" w:lineRule="auto"/>
        <w:jc w:val="left"/>
        <w:rPr>
          <w:rFonts w:hint="eastAsia" w:ascii="宋体" w:hAnsi="宋体" w:eastAsia="宋体" w:cs="Times New Roman"/>
          <w:kern w:val="0"/>
          <w:szCs w:val="21"/>
        </w:rPr>
      </w:pPr>
      <w:r>
        <w:rPr>
          <w:rFonts w:hint="eastAsia" w:ascii="宋体" w:hAnsi="宋体" w:eastAsia="宋体" w:cs="Times New Roman"/>
          <w:kern w:val="0"/>
          <w:szCs w:val="21"/>
        </w:rPr>
        <w:t>工程界限</w:t>
      </w:r>
    </w:p>
    <w:p>
      <w:pPr>
        <w:widowControl/>
        <w:numPr>
          <w:ilvl w:val="0"/>
          <w:numId w:val="8"/>
        </w:numPr>
        <w:spacing w:line="360" w:lineRule="auto"/>
        <w:ind w:left="210" w:leftChars="100"/>
        <w:jc w:val="left"/>
        <w:rPr>
          <w:rFonts w:eastAsia="宋体"/>
          <w:b/>
        </w:rPr>
      </w:pPr>
      <w:r>
        <w:rPr>
          <w:rFonts w:hint="eastAsia" w:ascii="宋体" w:hAnsi="宋体" w:eastAsia="宋体" w:cs="Times New Roman"/>
          <w:szCs w:val="21"/>
        </w:rPr>
        <w:t>电源：</w:t>
      </w:r>
      <w:r>
        <w:rPr>
          <w:rFonts w:hint="eastAsia" w:ascii="宋体" w:hAnsi="宋体" w:eastAsia="宋体" w:cs="Times New Roman"/>
          <w:kern w:val="0"/>
          <w:szCs w:val="21"/>
        </w:rPr>
        <w:t>投标方负责工程界限动力电柜，电源取自灌注车间配电室APb2电柜（可利用原空余2#彩膜机电缆3×70+2×35），</w:t>
      </w:r>
      <w:r>
        <w:rPr>
          <w:rFonts w:hint="eastAsia" w:ascii="宋体" w:hAnsi="宋体" w:cs="Times New Roman"/>
          <w:szCs w:val="21"/>
        </w:rPr>
        <w:t>并根据本项目设备的需要负责增加动力电缆、桥架、配线管及控制用元器件等供货</w:t>
      </w:r>
      <w:r>
        <w:rPr>
          <w:rFonts w:ascii="宋体" w:hAnsi="宋体" w:cs="Times New Roman"/>
          <w:szCs w:val="21"/>
        </w:rPr>
        <w:t>安装</w:t>
      </w:r>
      <w:r>
        <w:rPr>
          <w:rFonts w:hint="eastAsia" w:ascii="宋体" w:hAnsi="宋体" w:cs="Times New Roman"/>
          <w:szCs w:val="21"/>
        </w:rPr>
        <w:t>。招标方提供</w:t>
      </w:r>
      <w:r>
        <w:rPr>
          <w:rFonts w:hint="eastAsia" w:ascii="宋体" w:hAnsi="宋体" w:eastAsia="宋体" w:cs="Times New Roman"/>
          <w:kern w:val="0"/>
          <w:szCs w:val="21"/>
        </w:rPr>
        <w:t>原空余2#彩膜机电缆3×70+2×35）。</w:t>
      </w:r>
      <w:r>
        <w:rPr>
          <w:rFonts w:hint="eastAsia" w:ascii="宋体" w:hAnsi="宋体" w:eastAsia="宋体" w:cs="Times New Roman"/>
          <w:szCs w:val="21"/>
        </w:rPr>
        <w:t>详见</w:t>
      </w:r>
      <w:r>
        <w:rPr>
          <w:rFonts w:hint="eastAsia" w:ascii="宋体" w:hAnsi="宋体" w:cs="Times New Roman"/>
          <w:bCs/>
          <w:spacing w:val="20"/>
          <w:szCs w:val="21"/>
        </w:rPr>
        <w:t>附件2：灌装车间设备布局及改造平面图</w:t>
      </w:r>
      <w:r>
        <w:rPr>
          <w:rFonts w:hint="eastAsia" w:ascii="宋体" w:hAnsi="宋体" w:eastAsia="宋体" w:cs="Times New Roman"/>
          <w:szCs w:val="21"/>
        </w:rPr>
        <w:t>，</w:t>
      </w:r>
      <w:r>
        <w:rPr>
          <w:rFonts w:hint="eastAsia" w:ascii="宋体" w:hAnsi="宋体" w:cs="Times New Roman"/>
          <w:bCs/>
          <w:spacing w:val="20"/>
          <w:szCs w:val="21"/>
        </w:rPr>
        <w:t>附件3：</w:t>
      </w:r>
      <w:r>
        <w:rPr>
          <w:rFonts w:hint="eastAsia" w:ascii="宋体" w:hAnsi="宋体" w:cs="Times New Roman"/>
          <w:szCs w:val="21"/>
        </w:rPr>
        <w:t>APb2动力配电箱系统图。</w:t>
      </w:r>
    </w:p>
    <w:p>
      <w:pPr>
        <w:widowControl/>
        <w:numPr>
          <w:ilvl w:val="0"/>
          <w:numId w:val="8"/>
        </w:numPr>
        <w:spacing w:line="360" w:lineRule="auto"/>
        <w:ind w:left="210" w:leftChars="100"/>
        <w:jc w:val="left"/>
        <w:rPr>
          <w:rFonts w:hint="eastAsia" w:ascii="宋体" w:hAnsi="宋体" w:eastAsia="宋体" w:cs="Times New Roman"/>
          <w:szCs w:val="21"/>
        </w:rPr>
      </w:pPr>
      <w:r>
        <w:rPr>
          <w:rFonts w:hint="eastAsia" w:ascii="宋体" w:hAnsi="宋体" w:eastAsia="宋体" w:cs="Times New Roman"/>
          <w:szCs w:val="21"/>
        </w:rPr>
        <w:t>压缩空气：投标方负责工程界限压缩空气管道接驳（从原S2线杀菌主压缩空气管道接驳，位置在18轴）连接至本项目所有设备用气点，包含管道材料、阀门开关、压力表、减压阀、过滤器、气液三联件，用气快速接口、吹风枪等的设计、采购、安装及调试等，管道接口具体位置、高度、管径尺寸等详见</w:t>
      </w:r>
      <w:r>
        <w:rPr>
          <w:rFonts w:hint="eastAsia" w:ascii="宋体" w:hAnsi="宋体" w:cs="Times New Roman"/>
          <w:szCs w:val="21"/>
        </w:rPr>
        <w:t>附件4：1#罐装车间管道布置图</w:t>
      </w:r>
      <w:r>
        <w:rPr>
          <w:rFonts w:hint="eastAsia" w:ascii="宋体" w:hAnsi="宋体" w:eastAsia="宋体" w:cs="Times New Roman"/>
          <w:szCs w:val="21"/>
        </w:rPr>
        <w:t>。</w:t>
      </w:r>
    </w:p>
    <w:p>
      <w:pPr>
        <w:pStyle w:val="13"/>
        <w:numPr>
          <w:ilvl w:val="0"/>
          <w:numId w:val="8"/>
        </w:numPr>
        <w:spacing w:line="360" w:lineRule="auto"/>
        <w:ind w:firstLineChars="0"/>
        <w:rPr>
          <w:rFonts w:hint="eastAsia" w:ascii="宋体" w:hAnsi="宋体" w:eastAsia="宋体" w:cs="Times New Roman"/>
          <w:szCs w:val="21"/>
        </w:rPr>
      </w:pPr>
      <w:r>
        <w:rPr>
          <w:rFonts w:hint="eastAsia" w:ascii="宋体" w:hAnsi="宋体" w:eastAsia="宋体" w:cs="Times New Roman"/>
          <w:szCs w:val="21"/>
        </w:rPr>
        <w:t>投标方负责提供工程界限后段所有输送带设计、采购、安装和调试，主要包括外包装间的滚筒输送带至码垛机所有输送带、输送电机、变频器、配电电柜和控制电柜、动力电缆和控制电缆、程序编写、控制电器和元件、304不锈钢线槽和线管、304不锈钢桥架和支架、光电开关、配套辅件等货物设计、采购、安装及调试。</w:t>
      </w:r>
    </w:p>
    <w:p>
      <w:pPr>
        <w:pStyle w:val="13"/>
        <w:numPr>
          <w:ilvl w:val="0"/>
          <w:numId w:val="8"/>
        </w:numPr>
        <w:spacing w:line="360" w:lineRule="auto"/>
        <w:ind w:firstLineChars="0"/>
        <w:rPr>
          <w:rFonts w:hint="eastAsia" w:ascii="宋体" w:hAnsi="宋体" w:eastAsia="宋体" w:cs="Times New Roman"/>
          <w:szCs w:val="21"/>
        </w:rPr>
      </w:pPr>
      <w:r>
        <w:rPr>
          <w:rFonts w:hint="eastAsia" w:ascii="宋体" w:hAnsi="宋体" w:eastAsia="宋体" w:cs="Times New Roman"/>
          <w:szCs w:val="21"/>
        </w:rPr>
        <w:t>投标方负责S2线（原有）与S3线（新增）包装前产品罐子互通的输送改造及控制，能实现S2线和S3线产品相互切换，招标方负责提供杀菌间</w:t>
      </w:r>
      <w:r>
        <w:rPr>
          <w:rFonts w:ascii="宋体" w:hAnsi="宋体" w:eastAsia="宋体" w:cs="Times New Roman"/>
          <w:szCs w:val="21"/>
        </w:rPr>
        <w:t>1</w:t>
      </w:r>
      <w:r>
        <w:rPr>
          <w:rFonts w:hint="eastAsia" w:ascii="宋体" w:hAnsi="宋体" w:eastAsia="宋体" w:cs="Times New Roman"/>
          <w:szCs w:val="21"/>
        </w:rPr>
        <w:t>条生产线输送带至外包间离墙约1米作为工程界限（输送带实际需要长度，中标后提资确定具体连接和控制方案，并送招标方审核确认），详见附件1：车间S3线包装平面布局图 。</w:t>
      </w:r>
    </w:p>
    <w:p>
      <w:pPr>
        <w:widowControl/>
        <w:numPr>
          <w:ilvl w:val="0"/>
          <w:numId w:val="8"/>
        </w:numPr>
        <w:spacing w:line="360" w:lineRule="auto"/>
        <w:jc w:val="left"/>
        <w:rPr>
          <w:rFonts w:hint="eastAsia" w:ascii="宋体" w:hAnsi="宋体" w:eastAsia="宋体" w:cs="Times New Roman"/>
          <w:szCs w:val="21"/>
        </w:rPr>
      </w:pPr>
      <w:r>
        <w:rPr>
          <w:rFonts w:hint="eastAsia" w:ascii="宋体" w:hAnsi="宋体" w:eastAsia="宋体" w:cs="Times New Roman"/>
          <w:szCs w:val="21"/>
        </w:rPr>
        <w:t>安装过程中招标方提供施工场所、施工用电、参与施工的过程监督，不负责提供任何施工工具及人工服务。</w:t>
      </w:r>
    </w:p>
    <w:p>
      <w:pPr>
        <w:widowControl/>
        <w:numPr>
          <w:ilvl w:val="0"/>
          <w:numId w:val="8"/>
        </w:numPr>
        <w:spacing w:line="360" w:lineRule="auto"/>
        <w:jc w:val="left"/>
        <w:rPr>
          <w:rFonts w:hint="eastAsia" w:ascii="宋体" w:hAnsi="宋体" w:eastAsia="宋体" w:cs="Times New Roman"/>
          <w:szCs w:val="21"/>
        </w:rPr>
      </w:pPr>
      <w:r>
        <w:rPr>
          <w:rFonts w:hint="eastAsia" w:ascii="宋体" w:hAnsi="宋体" w:eastAsia="宋体" w:cs="Times New Roman"/>
          <w:szCs w:val="21"/>
        </w:rPr>
        <w:t>投标方负责安装、调试期间、试运行期间所需的人工、设备易耗品等所有费用。</w:t>
      </w:r>
    </w:p>
    <w:p>
      <w:pPr>
        <w:widowControl/>
        <w:numPr>
          <w:ilvl w:val="0"/>
          <w:numId w:val="8"/>
        </w:numPr>
        <w:spacing w:line="360" w:lineRule="auto"/>
        <w:jc w:val="left"/>
        <w:rPr>
          <w:rFonts w:hint="eastAsia" w:ascii="宋体" w:hAnsi="宋体" w:eastAsia="宋体" w:cs="Times New Roman"/>
          <w:szCs w:val="21"/>
        </w:rPr>
      </w:pPr>
      <w:r>
        <w:rPr>
          <w:rFonts w:hint="eastAsia" w:ascii="宋体" w:hAnsi="宋体" w:eastAsia="宋体" w:cs="Times New Roman"/>
          <w:szCs w:val="21"/>
        </w:rPr>
        <w:t>投标方负责施工期间安全、场地垃圾清理、人员管理工作，并在签合同时签订《安全管理协议》。在施工时需要服从工程项目总包单位安全管理和规定。</w:t>
      </w:r>
    </w:p>
    <w:p>
      <w:pPr>
        <w:widowControl/>
        <w:numPr>
          <w:ilvl w:val="0"/>
          <w:numId w:val="8"/>
        </w:numPr>
        <w:spacing w:line="360" w:lineRule="auto"/>
        <w:jc w:val="left"/>
        <w:rPr>
          <w:rFonts w:hint="eastAsia" w:ascii="宋体" w:hAnsi="宋体" w:eastAsia="宋体" w:cs="Times New Roman"/>
          <w:szCs w:val="21"/>
        </w:rPr>
      </w:pPr>
      <w:r>
        <w:rPr>
          <w:rFonts w:hint="eastAsia" w:ascii="宋体" w:hAnsi="宋体" w:eastAsia="宋体" w:cs="Times New Roman"/>
          <w:szCs w:val="21"/>
        </w:rPr>
        <w:t>投标方负责将所供设备运到招标方的工地现场，并负责所供设备的设计、供货、运输、装卸、保管、开箱（招标方参与清点货物）、就位、安装、调试、培训、售后服务</w:t>
      </w:r>
      <w:r>
        <w:rPr>
          <w:rFonts w:hint="eastAsia" w:ascii="宋体" w:hAnsi="宋体"/>
          <w:bCs/>
          <w:szCs w:val="21"/>
        </w:rPr>
        <w:t>和其费用等交钥匙工程所需要的一切费用</w:t>
      </w:r>
      <w:r>
        <w:rPr>
          <w:rFonts w:hint="eastAsia" w:ascii="宋体" w:hAnsi="宋体" w:eastAsia="宋体" w:cs="Times New Roman"/>
          <w:szCs w:val="21"/>
        </w:rPr>
        <w:t>。</w:t>
      </w:r>
    </w:p>
    <w:p>
      <w:pPr>
        <w:widowControl/>
        <w:numPr>
          <w:ilvl w:val="0"/>
          <w:numId w:val="8"/>
        </w:numPr>
        <w:spacing w:line="360" w:lineRule="auto"/>
        <w:jc w:val="left"/>
        <w:rPr>
          <w:rFonts w:hint="eastAsia" w:ascii="宋体" w:hAnsi="宋体" w:eastAsia="宋体" w:cs="Times New Roman"/>
          <w:szCs w:val="21"/>
        </w:rPr>
      </w:pPr>
      <w:r>
        <w:rPr>
          <w:rFonts w:hint="eastAsia" w:ascii="宋体" w:hAnsi="宋体" w:eastAsia="宋体" w:cs="Times New Roman"/>
          <w:szCs w:val="21"/>
        </w:rPr>
        <w:t>投标方在各设备控制系统内预留与招标方中控以太网通讯模块，提供完成生产所需要的信号交换表格，并配合与招标方中控信号对接、调试。招标方负责中控室到投标方本项目设备控制柜的通讯线安装，招标方在中控室能监控后段包装设备，并通过控制柜中的通讯模块读取运行数据、报警等数据以及设备运行状态。</w:t>
      </w:r>
    </w:p>
    <w:p>
      <w:pPr>
        <w:widowControl/>
        <w:numPr>
          <w:ilvl w:val="0"/>
          <w:numId w:val="6"/>
        </w:numPr>
        <w:spacing w:line="360" w:lineRule="auto"/>
        <w:jc w:val="left"/>
        <w:rPr>
          <w:rFonts w:hint="eastAsia" w:ascii="宋体" w:hAnsi="宋体" w:eastAsia="宋体" w:cs="Times New Roman"/>
          <w:b/>
          <w:kern w:val="0"/>
          <w:szCs w:val="21"/>
        </w:rPr>
      </w:pPr>
      <w:r>
        <w:rPr>
          <w:rFonts w:hint="eastAsia" w:ascii="宋体" w:hAnsi="宋体" w:eastAsia="宋体" w:cs="Times New Roman"/>
          <w:b/>
          <w:kern w:val="0"/>
          <w:szCs w:val="21"/>
        </w:rPr>
        <w:t>生产线基本要求</w:t>
      </w:r>
    </w:p>
    <w:p>
      <w:pPr>
        <w:widowControl/>
        <w:numPr>
          <w:ilvl w:val="0"/>
          <w:numId w:val="9"/>
        </w:numPr>
        <w:spacing w:line="360" w:lineRule="auto"/>
        <w:ind w:left="425"/>
        <w:jc w:val="left"/>
        <w:rPr>
          <w:rFonts w:hint="eastAsia" w:ascii="宋体" w:hAnsi="宋体" w:eastAsia="宋体" w:cs="Times New Roman"/>
          <w:szCs w:val="21"/>
        </w:rPr>
      </w:pPr>
      <w:r>
        <w:rPr>
          <w:rFonts w:hint="eastAsia" w:ascii="宋体" w:hAnsi="宋体" w:eastAsia="宋体" w:cs="Times New Roman"/>
          <w:szCs w:val="21"/>
        </w:rPr>
        <w:t>通过和上、下游设备的连接，把杀菌釜出来的产品进行纸箱包装、称重检测，侧面封箱、</w:t>
      </w:r>
      <w:r>
        <w:rPr>
          <w:rFonts w:hint="eastAsia" w:ascii="宋体" w:hAnsi="宋体" w:eastAsia="宋体" w:cs="Times New Roman"/>
          <w:b/>
          <w:kern w:val="0"/>
          <w:szCs w:val="21"/>
        </w:rPr>
        <w:t>C</w:t>
      </w:r>
      <w:r>
        <w:rPr>
          <w:rFonts w:ascii="宋体" w:hAnsi="宋体" w:eastAsia="宋体" w:cs="Times New Roman"/>
          <w:b/>
          <w:kern w:val="0"/>
          <w:szCs w:val="21"/>
        </w:rPr>
        <w:t>O</w:t>
      </w:r>
      <w:r>
        <w:rPr>
          <w:rFonts w:ascii="宋体" w:hAnsi="宋体" w:eastAsia="宋体" w:cs="Times New Roman"/>
          <w:b/>
          <w:kern w:val="0"/>
          <w:szCs w:val="21"/>
          <w:vertAlign w:val="subscript"/>
        </w:rPr>
        <w:t>2</w:t>
      </w:r>
      <w:r>
        <w:rPr>
          <w:rFonts w:hint="eastAsia" w:ascii="宋体" w:hAnsi="宋体" w:eastAsia="宋体" w:cs="Times New Roman"/>
          <w:szCs w:val="21"/>
        </w:rPr>
        <w:t>激光打码等工序，外包装后的产品进行二维码扫描采集，最后把产品送去机器人码垛机进行机器码垛</w:t>
      </w:r>
      <w:r>
        <w:rPr>
          <w:rFonts w:ascii="宋体" w:hAnsi="宋体" w:eastAsia="宋体" w:cs="Times New Roman"/>
          <w:szCs w:val="21"/>
        </w:rPr>
        <w:t>。</w:t>
      </w:r>
    </w:p>
    <w:p>
      <w:pPr>
        <w:widowControl/>
        <w:numPr>
          <w:ilvl w:val="0"/>
          <w:numId w:val="9"/>
        </w:numPr>
        <w:spacing w:line="360" w:lineRule="auto"/>
        <w:ind w:left="425"/>
        <w:jc w:val="left"/>
        <w:rPr>
          <w:rFonts w:hint="eastAsia" w:ascii="宋体" w:hAnsi="宋体" w:eastAsia="宋体" w:cs="Times New Roman"/>
          <w:szCs w:val="21"/>
        </w:rPr>
      </w:pPr>
      <w:r>
        <w:rPr>
          <w:rFonts w:hint="eastAsia" w:ascii="宋体" w:hAnsi="宋体" w:eastAsia="宋体" w:cs="Times New Roman"/>
          <w:szCs w:val="21"/>
        </w:rPr>
        <w:t>包装生产线能满足310ml普通罐及纤体罐包装格式。</w:t>
      </w:r>
    </w:p>
    <w:p>
      <w:pPr>
        <w:widowControl/>
        <w:numPr>
          <w:ilvl w:val="0"/>
          <w:numId w:val="9"/>
        </w:numPr>
        <w:spacing w:line="360" w:lineRule="auto"/>
        <w:ind w:left="425"/>
        <w:jc w:val="left"/>
        <w:rPr>
          <w:rFonts w:hint="eastAsia" w:ascii="宋体" w:hAnsi="宋体" w:eastAsia="宋体" w:cs="Times New Roman"/>
          <w:szCs w:val="21"/>
        </w:rPr>
      </w:pPr>
      <w:r>
        <w:rPr>
          <w:rFonts w:hint="eastAsia" w:ascii="宋体" w:hAnsi="宋体" w:eastAsia="宋体" w:cs="Times New Roman"/>
          <w:szCs w:val="21"/>
        </w:rPr>
        <w:t>S2线与S3线包装前罐子可切换互通。</w:t>
      </w:r>
    </w:p>
    <w:p>
      <w:pPr>
        <w:widowControl/>
        <w:numPr>
          <w:ilvl w:val="0"/>
          <w:numId w:val="9"/>
        </w:numPr>
        <w:spacing w:line="360" w:lineRule="auto"/>
        <w:ind w:left="425"/>
        <w:jc w:val="left"/>
        <w:rPr>
          <w:rFonts w:hint="eastAsia" w:ascii="宋体" w:hAnsi="宋体" w:eastAsia="宋体" w:cs="Times New Roman"/>
          <w:szCs w:val="21"/>
        </w:rPr>
      </w:pPr>
      <w:r>
        <w:rPr>
          <w:rFonts w:hint="eastAsia" w:ascii="宋体" w:hAnsi="宋体" w:eastAsia="宋体" w:cs="Times New Roman"/>
          <w:szCs w:val="21"/>
        </w:rPr>
        <w:t>能满足20入产品长边喷码要求（常规24入产品纸箱是短边喷码）。</w:t>
      </w:r>
    </w:p>
    <w:p>
      <w:pPr>
        <w:widowControl/>
        <w:numPr>
          <w:ilvl w:val="0"/>
          <w:numId w:val="9"/>
        </w:numPr>
        <w:spacing w:line="360" w:lineRule="auto"/>
        <w:ind w:left="425"/>
        <w:jc w:val="left"/>
        <w:rPr>
          <w:rFonts w:hint="eastAsia" w:ascii="宋体" w:hAnsi="宋体" w:eastAsia="宋体" w:cs="Times New Roman"/>
          <w:szCs w:val="21"/>
        </w:rPr>
      </w:pPr>
      <w:r>
        <w:rPr>
          <w:rFonts w:hint="eastAsia" w:ascii="宋体" w:hAnsi="宋体" w:eastAsia="宋体" w:cs="宋体"/>
          <w:szCs w:val="21"/>
        </w:rPr>
        <w:t>主</w:t>
      </w:r>
      <w:r>
        <w:rPr>
          <w:rFonts w:ascii="宋体" w:hAnsi="宋体" w:eastAsia="宋体" w:cs="宋体"/>
          <w:szCs w:val="21"/>
        </w:rPr>
        <w:t>电柜应有1</w:t>
      </w:r>
      <w:r>
        <w:rPr>
          <w:rFonts w:hint="eastAsia" w:ascii="宋体" w:hAnsi="宋体" w:eastAsia="宋体" w:cs="宋体"/>
          <w:szCs w:val="21"/>
        </w:rPr>
        <w:t>0</w:t>
      </w:r>
      <w:r>
        <w:rPr>
          <w:rFonts w:ascii="宋体" w:hAnsi="宋体" w:eastAsia="宋体" w:cs="宋体"/>
          <w:szCs w:val="21"/>
        </w:rPr>
        <w:t>%以上的安装</w:t>
      </w:r>
      <w:r>
        <w:rPr>
          <w:rFonts w:hint="eastAsia" w:ascii="宋体" w:hAnsi="宋体" w:eastAsia="宋体" w:cs="宋体"/>
          <w:szCs w:val="21"/>
        </w:rPr>
        <w:t>空间</w:t>
      </w:r>
      <w:r>
        <w:rPr>
          <w:rFonts w:ascii="宋体" w:hAnsi="宋体" w:eastAsia="宋体" w:cs="宋体"/>
          <w:szCs w:val="21"/>
        </w:rPr>
        <w:t>余量</w:t>
      </w:r>
      <w:r>
        <w:rPr>
          <w:rFonts w:hint="eastAsia" w:ascii="宋体" w:hAnsi="宋体" w:eastAsia="宋体" w:cs="宋体"/>
          <w:szCs w:val="21"/>
        </w:rPr>
        <w:t>,</w:t>
      </w:r>
      <w:r>
        <w:rPr>
          <w:rFonts w:hint="eastAsia" w:ascii="宋体" w:hAnsi="宋体" w:eastAsia="宋体" w:cs="Times New Roman"/>
          <w:szCs w:val="21"/>
        </w:rPr>
        <w:t xml:space="preserve"> 控制系统PLC的 I/O备用点不少总量的10%的</w:t>
      </w:r>
      <w:r>
        <w:rPr>
          <w:rFonts w:hint="eastAsia" w:ascii="宋体" w:hAnsi="宋体" w:eastAsia="宋体" w:cs="宋体"/>
          <w:szCs w:val="21"/>
        </w:rPr>
        <w:t>余量，</w:t>
      </w:r>
      <w:r>
        <w:rPr>
          <w:rFonts w:hint="eastAsia" w:ascii="宋体" w:hAnsi="宋体" w:eastAsia="宋体" w:cs="Arial"/>
          <w:szCs w:val="21"/>
        </w:rPr>
        <w:t>PLC</w:t>
      </w:r>
      <w:r>
        <w:rPr>
          <w:rFonts w:hint="eastAsia" w:ascii="宋体" w:hAnsi="宋体" w:eastAsia="宋体" w:cs="宋体"/>
          <w:szCs w:val="21"/>
        </w:rPr>
        <w:t>内存留有</w:t>
      </w:r>
      <w:r>
        <w:rPr>
          <w:rFonts w:hint="eastAsia" w:ascii="宋体" w:hAnsi="宋体" w:eastAsia="宋体" w:cs="Arial"/>
          <w:szCs w:val="21"/>
        </w:rPr>
        <w:t>10%</w:t>
      </w:r>
      <w:r>
        <w:rPr>
          <w:rFonts w:hint="eastAsia" w:ascii="宋体" w:hAnsi="宋体" w:eastAsia="宋体" w:cs="宋体"/>
          <w:szCs w:val="21"/>
        </w:rPr>
        <w:t>余量，</w:t>
      </w:r>
      <w:r>
        <w:rPr>
          <w:rFonts w:hint="eastAsia" w:ascii="宋体" w:hAnsi="宋体" w:eastAsia="宋体" w:cs="Arial"/>
          <w:szCs w:val="21"/>
        </w:rPr>
        <w:t>HMI</w:t>
      </w:r>
      <w:r>
        <w:rPr>
          <w:rFonts w:hint="eastAsia" w:ascii="宋体" w:hAnsi="宋体" w:eastAsia="宋体" w:cs="宋体"/>
          <w:szCs w:val="21"/>
        </w:rPr>
        <w:t>留有</w:t>
      </w:r>
      <w:r>
        <w:rPr>
          <w:rFonts w:hint="eastAsia" w:ascii="宋体" w:hAnsi="宋体" w:eastAsia="宋体" w:cs="Arial"/>
          <w:szCs w:val="21"/>
        </w:rPr>
        <w:t>10%</w:t>
      </w:r>
      <w:r>
        <w:rPr>
          <w:rFonts w:hint="eastAsia" w:ascii="宋体" w:hAnsi="宋体" w:eastAsia="宋体" w:cs="宋体"/>
          <w:szCs w:val="21"/>
        </w:rPr>
        <w:t>的余量，以备后续设备添加或系统升级时使用。</w:t>
      </w:r>
    </w:p>
    <w:p>
      <w:pPr>
        <w:widowControl/>
        <w:numPr>
          <w:ilvl w:val="0"/>
          <w:numId w:val="9"/>
        </w:numPr>
        <w:spacing w:line="360" w:lineRule="auto"/>
        <w:ind w:left="425"/>
        <w:jc w:val="left"/>
        <w:rPr>
          <w:rFonts w:hint="eastAsia" w:ascii="宋体" w:hAnsi="宋体" w:eastAsia="宋体" w:cs="Times New Roman"/>
          <w:szCs w:val="21"/>
        </w:rPr>
      </w:pPr>
      <w:r>
        <w:rPr>
          <w:rFonts w:ascii="宋体" w:hAnsi="宋体" w:eastAsia="宋体" w:cs="Times New Roman"/>
          <w:szCs w:val="21"/>
        </w:rPr>
        <w:t>控制柜的进、出线都需做好标记，表明线路的具体走向；所有动力线及控制线中间不准有接头</w:t>
      </w:r>
      <w:r>
        <w:rPr>
          <w:rFonts w:hint="eastAsia" w:ascii="宋体" w:hAnsi="宋体" w:eastAsia="宋体" w:cs="Times New Roman"/>
          <w:szCs w:val="21"/>
        </w:rPr>
        <w:t>；</w:t>
      </w:r>
      <w:r>
        <w:rPr>
          <w:rFonts w:ascii="宋体" w:hAnsi="宋体" w:eastAsia="宋体" w:cs="Times New Roman"/>
          <w:szCs w:val="21"/>
        </w:rPr>
        <w:t>所有电气元件</w:t>
      </w:r>
      <w:r>
        <w:rPr>
          <w:rFonts w:hint="eastAsia" w:ascii="宋体" w:hAnsi="宋体" w:eastAsia="宋体" w:cs="Times New Roman"/>
          <w:szCs w:val="21"/>
        </w:rPr>
        <w:t>首</w:t>
      </w:r>
      <w:r>
        <w:rPr>
          <w:rFonts w:ascii="宋体" w:hAnsi="宋体" w:eastAsia="宋体" w:cs="Times New Roman"/>
          <w:szCs w:val="21"/>
        </w:rPr>
        <w:t>末端需要进行标识</w:t>
      </w:r>
      <w:r>
        <w:rPr>
          <w:rFonts w:hint="eastAsia" w:ascii="宋体" w:hAnsi="宋体" w:eastAsia="宋体" w:cs="Times New Roman"/>
          <w:szCs w:val="21"/>
        </w:rPr>
        <w:t>。</w:t>
      </w:r>
    </w:p>
    <w:p>
      <w:pPr>
        <w:widowControl/>
        <w:numPr>
          <w:ilvl w:val="0"/>
          <w:numId w:val="9"/>
        </w:numPr>
        <w:spacing w:line="360" w:lineRule="auto"/>
        <w:ind w:left="425"/>
        <w:jc w:val="left"/>
        <w:rPr>
          <w:rFonts w:hint="eastAsia" w:ascii="宋体" w:hAnsi="宋体" w:eastAsia="宋体" w:cs="Times New Roman"/>
          <w:szCs w:val="21"/>
        </w:rPr>
      </w:pPr>
      <w:r>
        <w:rPr>
          <w:rFonts w:hint="eastAsia" w:ascii="宋体" w:hAnsi="宋体" w:eastAsia="宋体" w:cs="Times New Roman"/>
          <w:szCs w:val="21"/>
        </w:rPr>
        <w:t>设备必须机械结构简便、合理，技术上先进，自动化程度高，操作、清洗、维护方便。</w:t>
      </w:r>
    </w:p>
    <w:p>
      <w:pPr>
        <w:pStyle w:val="13"/>
        <w:numPr>
          <w:ilvl w:val="0"/>
          <w:numId w:val="9"/>
        </w:numPr>
        <w:spacing w:line="360" w:lineRule="auto"/>
        <w:ind w:left="425" w:firstLineChars="0"/>
        <w:rPr>
          <w:rFonts w:hint="eastAsia" w:ascii="宋体" w:hAnsi="宋体" w:eastAsia="宋体" w:cs="Times New Roman"/>
          <w:szCs w:val="21"/>
        </w:rPr>
      </w:pPr>
      <w:r>
        <w:rPr>
          <w:rFonts w:hint="eastAsia" w:ascii="宋体" w:hAnsi="宋体" w:eastAsia="宋体" w:cs="Times New Roman"/>
          <w:szCs w:val="21"/>
        </w:rPr>
        <w:t>所有设备的电缆桥架、穿线管为304不锈钢制品，厚度符合国家相关规范和要求。</w:t>
      </w:r>
    </w:p>
    <w:p>
      <w:pPr>
        <w:pStyle w:val="13"/>
        <w:numPr>
          <w:ilvl w:val="0"/>
          <w:numId w:val="9"/>
        </w:numPr>
        <w:spacing w:line="360" w:lineRule="auto"/>
        <w:ind w:left="425" w:firstLineChars="0"/>
        <w:rPr>
          <w:rFonts w:hint="eastAsia" w:ascii="宋体" w:hAnsi="宋体" w:eastAsia="宋体" w:cs="Times New Roman"/>
          <w:szCs w:val="21"/>
        </w:rPr>
      </w:pPr>
      <w:r>
        <w:rPr>
          <w:rFonts w:hint="eastAsia" w:ascii="宋体" w:hAnsi="宋体"/>
          <w:szCs w:val="21"/>
        </w:rPr>
        <w:t>所有线槽或线管安装时，驳接处须用铜导线或软铜线两端连接，且按规范进行两端接地连接，所有设备外壳可靠接地。</w:t>
      </w:r>
    </w:p>
    <w:p>
      <w:pPr>
        <w:pStyle w:val="13"/>
        <w:numPr>
          <w:ilvl w:val="0"/>
          <w:numId w:val="9"/>
        </w:numPr>
        <w:spacing w:line="360" w:lineRule="auto"/>
        <w:ind w:left="425" w:firstLineChars="0"/>
        <w:rPr>
          <w:rFonts w:hint="eastAsia" w:ascii="宋体" w:hAnsi="宋体" w:eastAsia="宋体" w:cs="Times New Roman"/>
          <w:szCs w:val="21"/>
        </w:rPr>
      </w:pPr>
      <w:r>
        <w:rPr>
          <w:rFonts w:hint="eastAsia" w:ascii="宋体" w:hAnsi="宋体"/>
          <w:szCs w:val="21"/>
        </w:rPr>
        <w:t>投标人施工安装桥架、支架、管道、线槽和线管件等，需要固定、穿墙或隔断开孔等，投标人负责修复洞口堵封或墙面复原等，所用材料符合消防防火要求。</w:t>
      </w:r>
    </w:p>
    <w:p>
      <w:pPr>
        <w:widowControl/>
        <w:numPr>
          <w:ilvl w:val="0"/>
          <w:numId w:val="9"/>
        </w:numPr>
        <w:spacing w:line="360" w:lineRule="auto"/>
        <w:ind w:left="425"/>
        <w:jc w:val="left"/>
        <w:rPr>
          <w:rFonts w:hint="eastAsia" w:ascii="宋体" w:hAnsi="宋体" w:eastAsia="宋体" w:cs="Times New Roman"/>
          <w:szCs w:val="21"/>
        </w:rPr>
      </w:pPr>
      <w:r>
        <w:rPr>
          <w:rFonts w:hint="eastAsia" w:ascii="宋体" w:hAnsi="宋体" w:eastAsia="宋体" w:cs="Times New Roman"/>
          <w:szCs w:val="21"/>
        </w:rPr>
        <w:t>设备所配套的各种计量仪表、仪器均必须符合国家标准要求。</w:t>
      </w:r>
    </w:p>
    <w:p>
      <w:pPr>
        <w:widowControl/>
        <w:numPr>
          <w:ilvl w:val="0"/>
          <w:numId w:val="9"/>
        </w:numPr>
        <w:spacing w:line="360" w:lineRule="auto"/>
        <w:ind w:left="425"/>
        <w:jc w:val="left"/>
        <w:rPr>
          <w:rFonts w:hint="eastAsia" w:ascii="宋体" w:hAnsi="宋体" w:eastAsia="宋体" w:cs="Times New Roman"/>
          <w:szCs w:val="21"/>
        </w:rPr>
      </w:pPr>
      <w:r>
        <w:rPr>
          <w:rFonts w:hint="eastAsia" w:ascii="宋体" w:hAnsi="宋体" w:eastAsia="宋体" w:cs="Times New Roman"/>
          <w:szCs w:val="21"/>
        </w:rPr>
        <w:t>设备设有急停按钮，设有手动、点动、安全装置。</w:t>
      </w:r>
    </w:p>
    <w:p>
      <w:pPr>
        <w:widowControl/>
        <w:numPr>
          <w:ilvl w:val="0"/>
          <w:numId w:val="9"/>
        </w:numPr>
        <w:spacing w:line="360" w:lineRule="auto"/>
        <w:ind w:left="425"/>
        <w:jc w:val="left"/>
        <w:rPr>
          <w:rFonts w:hint="eastAsia" w:ascii="宋体" w:hAnsi="宋体" w:eastAsia="宋体" w:cs="Times New Roman"/>
          <w:szCs w:val="21"/>
        </w:rPr>
      </w:pPr>
      <w:r>
        <w:rPr>
          <w:rFonts w:ascii="宋体" w:hAnsi="宋体" w:eastAsia="宋体" w:cs="Times New Roman"/>
          <w:szCs w:val="21"/>
        </w:rPr>
        <w:t>通过不同级别操作员管理权限功能</w:t>
      </w:r>
      <w:r>
        <w:rPr>
          <w:rFonts w:hint="eastAsia" w:ascii="宋体" w:hAnsi="宋体" w:eastAsia="宋体" w:cs="Times New Roman"/>
          <w:szCs w:val="21"/>
        </w:rPr>
        <w:t>，</w:t>
      </w:r>
      <w:r>
        <w:rPr>
          <w:rFonts w:ascii="宋体" w:hAnsi="宋体" w:eastAsia="宋体" w:cs="Times New Roman"/>
          <w:szCs w:val="21"/>
        </w:rPr>
        <w:t>实现对</w:t>
      </w:r>
      <w:r>
        <w:rPr>
          <w:rFonts w:hint="eastAsia" w:ascii="宋体" w:hAnsi="宋体" w:eastAsia="宋体" w:cs="Times New Roman"/>
          <w:szCs w:val="21"/>
        </w:rPr>
        <w:t>设备</w:t>
      </w:r>
      <w:r>
        <w:rPr>
          <w:rFonts w:ascii="宋体" w:hAnsi="宋体" w:eastAsia="宋体" w:cs="Times New Roman"/>
          <w:szCs w:val="21"/>
        </w:rPr>
        <w:t>系统</w:t>
      </w:r>
      <w:r>
        <w:rPr>
          <w:rFonts w:hint="eastAsia" w:ascii="宋体" w:hAnsi="宋体" w:eastAsia="宋体" w:cs="Times New Roman"/>
          <w:szCs w:val="21"/>
        </w:rPr>
        <w:t>的在线校准、</w:t>
      </w:r>
      <w:r>
        <w:rPr>
          <w:rFonts w:ascii="宋体" w:hAnsi="宋体" w:eastAsia="宋体" w:cs="Times New Roman"/>
          <w:szCs w:val="21"/>
        </w:rPr>
        <w:t>监控和有效的</w:t>
      </w:r>
      <w:r>
        <w:rPr>
          <w:rFonts w:hint="eastAsia" w:ascii="宋体" w:hAnsi="宋体" w:eastAsia="宋体" w:cs="Times New Roman"/>
          <w:szCs w:val="21"/>
        </w:rPr>
        <w:t>操作</w:t>
      </w:r>
      <w:r>
        <w:rPr>
          <w:rFonts w:ascii="宋体" w:hAnsi="宋体" w:eastAsia="宋体" w:cs="Times New Roman"/>
          <w:szCs w:val="21"/>
        </w:rPr>
        <w:t>管理</w:t>
      </w:r>
      <w:r>
        <w:rPr>
          <w:rFonts w:hint="eastAsia" w:ascii="宋体" w:hAnsi="宋体" w:eastAsia="宋体" w:cs="Times New Roman"/>
          <w:szCs w:val="21"/>
        </w:rPr>
        <w:t>。</w:t>
      </w:r>
    </w:p>
    <w:p>
      <w:pPr>
        <w:widowControl/>
        <w:numPr>
          <w:ilvl w:val="0"/>
          <w:numId w:val="9"/>
        </w:numPr>
        <w:spacing w:line="360" w:lineRule="auto"/>
        <w:ind w:left="425"/>
        <w:jc w:val="left"/>
        <w:rPr>
          <w:rFonts w:hint="eastAsia" w:ascii="宋体" w:hAnsi="宋体" w:eastAsia="宋体" w:cs="Times New Roman"/>
          <w:szCs w:val="21"/>
        </w:rPr>
      </w:pPr>
      <w:r>
        <w:rPr>
          <w:rFonts w:hint="eastAsia" w:ascii="宋体" w:hAnsi="宋体" w:eastAsia="宋体" w:cs="Times New Roman"/>
          <w:szCs w:val="21"/>
        </w:rPr>
        <w:t>操作说明书、显示屏等文字应为简体汉字。</w:t>
      </w:r>
    </w:p>
    <w:p>
      <w:pPr>
        <w:widowControl/>
        <w:numPr>
          <w:ilvl w:val="0"/>
          <w:numId w:val="9"/>
        </w:numPr>
        <w:spacing w:line="360" w:lineRule="auto"/>
        <w:ind w:left="425"/>
        <w:jc w:val="left"/>
        <w:rPr>
          <w:rFonts w:hint="eastAsia" w:ascii="宋体" w:hAnsi="宋体" w:eastAsia="宋体" w:cs="Times New Roman"/>
          <w:szCs w:val="21"/>
        </w:rPr>
      </w:pPr>
      <w:r>
        <w:rPr>
          <w:rFonts w:hint="eastAsia" w:ascii="宋体" w:hAnsi="宋体" w:eastAsia="宋体" w:cs="Times New Roman"/>
          <w:szCs w:val="21"/>
        </w:rPr>
        <w:t>技术资料完整齐备。</w:t>
      </w:r>
    </w:p>
    <w:p>
      <w:pPr>
        <w:widowControl/>
        <w:numPr>
          <w:ilvl w:val="0"/>
          <w:numId w:val="9"/>
        </w:numPr>
        <w:spacing w:line="360" w:lineRule="auto"/>
        <w:ind w:left="425"/>
        <w:jc w:val="left"/>
        <w:rPr>
          <w:rFonts w:hint="eastAsia" w:ascii="宋体" w:hAnsi="宋体" w:eastAsia="宋体" w:cs="Times New Roman"/>
          <w:szCs w:val="21"/>
        </w:rPr>
      </w:pPr>
      <w:r>
        <w:rPr>
          <w:rFonts w:hint="eastAsia" w:ascii="宋体" w:hAnsi="宋体" w:eastAsia="宋体" w:cs="Times New Roman"/>
          <w:szCs w:val="21"/>
        </w:rPr>
        <w:t>报价时须分项进行报价。</w:t>
      </w:r>
    </w:p>
    <w:p>
      <w:pPr>
        <w:widowControl/>
        <w:numPr>
          <w:ilvl w:val="0"/>
          <w:numId w:val="9"/>
        </w:numPr>
        <w:spacing w:line="360" w:lineRule="auto"/>
        <w:ind w:left="425"/>
        <w:jc w:val="left"/>
        <w:rPr>
          <w:rFonts w:hint="eastAsia" w:ascii="宋体" w:hAnsi="宋体" w:eastAsia="宋体" w:cs="Times New Roman"/>
          <w:szCs w:val="21"/>
        </w:rPr>
      </w:pPr>
      <w:r>
        <w:rPr>
          <w:rFonts w:hint="eastAsia" w:ascii="宋体" w:hAnsi="宋体" w:eastAsia="宋体" w:cs="Times New Roman"/>
          <w:szCs w:val="21"/>
        </w:rPr>
        <w:t>投标方在确定中标后7天内提供设备能耗数据，提供设备基础要求和图纸，提供设备配套设施要求，提供钢平台相关设计参数和图纸。</w:t>
      </w:r>
    </w:p>
    <w:p>
      <w:pPr>
        <w:widowControl/>
        <w:numPr>
          <w:ilvl w:val="0"/>
          <w:numId w:val="6"/>
        </w:numPr>
        <w:spacing w:line="360" w:lineRule="auto"/>
        <w:jc w:val="left"/>
        <w:rPr>
          <w:rFonts w:hint="eastAsia" w:ascii="宋体" w:hAnsi="宋体" w:eastAsia="宋体" w:cs="Times New Roman"/>
          <w:b/>
          <w:kern w:val="0"/>
          <w:szCs w:val="21"/>
        </w:rPr>
      </w:pPr>
      <w:r>
        <w:rPr>
          <w:rFonts w:hint="eastAsia" w:ascii="宋体" w:hAnsi="宋体" w:eastAsia="宋体" w:cs="Times New Roman"/>
          <w:b/>
          <w:kern w:val="0"/>
          <w:szCs w:val="21"/>
        </w:rPr>
        <w:t>设备电气配置要求</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所有控制柜配有工业空调，安装在电柜侧面，电柜防水防尘等级IP55。</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所有控制电柜材质为 304不锈钢材质，厚度符合国家相关规范和要求。</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每条生产线包装机后段输送系统需要单独分开控制。</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所有的电缆桥架、穿线管为304不锈钢制品，厚度符合国家相关规范和要求。</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所有单机设备配备红黄绿三色加蜂鸣器异常报警灯。</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每个电机配1个变频器。控制柜配可触摸屏控制调节参数。</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控制系统所选用的元器件均须采用知名品牌，选用Siemens、</w:t>
      </w:r>
      <w:r>
        <w:rPr>
          <w:rFonts w:ascii="宋体" w:hAnsi="宋体" w:eastAsia="宋体" w:cs="Times New Roman"/>
          <w:szCs w:val="21"/>
        </w:rPr>
        <w:t>Schneider</w:t>
      </w:r>
      <w:r>
        <w:rPr>
          <w:rFonts w:hint="eastAsia" w:ascii="宋体" w:hAnsi="宋体" w:eastAsia="宋体" w:cs="Times New Roman"/>
          <w:szCs w:val="21"/>
        </w:rPr>
        <w:t>、汇川或同等及以上品牌。</w:t>
      </w:r>
    </w:p>
    <w:p>
      <w:pPr>
        <w:pStyle w:val="13"/>
        <w:widowControl/>
        <w:numPr>
          <w:ilvl w:val="0"/>
          <w:numId w:val="10"/>
        </w:numPr>
        <w:spacing w:line="360" w:lineRule="auto"/>
        <w:ind w:firstLineChars="0"/>
        <w:jc w:val="left"/>
        <w:rPr>
          <w:rFonts w:hint="eastAsia" w:ascii="宋体" w:hAnsi="宋体" w:eastAsia="宋体" w:cs="Times New Roman"/>
          <w:szCs w:val="21"/>
        </w:rPr>
      </w:pPr>
      <w:bookmarkStart w:id="8" w:name="_Hlk122166594"/>
      <w:r>
        <w:rPr>
          <w:rFonts w:hint="eastAsia" w:ascii="宋体" w:hAnsi="宋体" w:eastAsia="宋体" w:cs="Times New Roman"/>
          <w:szCs w:val="21"/>
        </w:rPr>
        <w:t>控制系统PLC和触摸屏：</w:t>
      </w:r>
      <w:bookmarkStart w:id="9" w:name="_Hlk122166671"/>
      <w:r>
        <w:rPr>
          <w:rFonts w:hint="eastAsia" w:ascii="宋体" w:hAnsi="宋体" w:eastAsia="宋体" w:cs="Times New Roman"/>
          <w:szCs w:val="21"/>
        </w:rPr>
        <w:t>选用Siemens西门子、</w:t>
      </w:r>
      <w:r>
        <w:rPr>
          <w:rFonts w:ascii="宋体" w:hAnsi="宋体" w:eastAsia="宋体" w:cs="Times New Roman"/>
          <w:szCs w:val="21"/>
        </w:rPr>
        <w:t>Schneider施</w:t>
      </w:r>
      <w:r>
        <w:rPr>
          <w:rFonts w:hint="eastAsia" w:ascii="宋体" w:hAnsi="宋体" w:eastAsia="宋体" w:cs="Times New Roman"/>
          <w:szCs w:val="21"/>
        </w:rPr>
        <w:t>耐德、汇川AM</w:t>
      </w:r>
      <w:r>
        <w:rPr>
          <w:rFonts w:ascii="宋体" w:hAnsi="宋体" w:eastAsia="宋体" w:cs="Times New Roman"/>
          <w:szCs w:val="21"/>
        </w:rPr>
        <w:t>6</w:t>
      </w:r>
      <w:r>
        <w:rPr>
          <w:rFonts w:hint="eastAsia" w:ascii="宋体" w:hAnsi="宋体" w:eastAsia="宋体" w:cs="Times New Roman"/>
          <w:szCs w:val="21"/>
        </w:rPr>
        <w:t>00系列、同等及以上知名品牌</w:t>
      </w:r>
      <w:bookmarkEnd w:id="9"/>
      <w:r>
        <w:rPr>
          <w:rFonts w:hint="eastAsia" w:ascii="宋体" w:hAnsi="宋体" w:eastAsia="宋体" w:cs="Times New Roman"/>
          <w:szCs w:val="21"/>
        </w:rPr>
        <w:t>，</w:t>
      </w:r>
      <w:bookmarkStart w:id="10" w:name="_Hlk122166748"/>
      <w:r>
        <w:rPr>
          <w:rFonts w:hint="eastAsia" w:ascii="宋体" w:hAnsi="宋体" w:eastAsia="宋体" w:cs="Times New Roman"/>
          <w:szCs w:val="21"/>
        </w:rPr>
        <w:t>触摸屏品牌要求与PLC控制器同品牌,触摸屏尺寸≥1</w:t>
      </w:r>
      <w:r>
        <w:rPr>
          <w:rFonts w:ascii="宋体" w:hAnsi="宋体" w:eastAsia="宋体" w:cs="Times New Roman"/>
          <w:szCs w:val="21"/>
        </w:rPr>
        <w:t>2</w:t>
      </w:r>
      <w:r>
        <w:rPr>
          <w:rFonts w:hint="eastAsia" w:ascii="宋体" w:hAnsi="宋体" w:eastAsia="宋体" w:cs="Times New Roman"/>
          <w:szCs w:val="21"/>
        </w:rPr>
        <w:t>寸，分辨率≥1</w:t>
      </w:r>
      <w:r>
        <w:rPr>
          <w:rFonts w:ascii="宋体" w:hAnsi="宋体" w:eastAsia="宋体" w:cs="Times New Roman"/>
          <w:szCs w:val="21"/>
        </w:rPr>
        <w:t>024</w:t>
      </w:r>
      <w:r>
        <w:rPr>
          <w:rFonts w:hint="eastAsia" w:ascii="宋体" w:hAnsi="宋体" w:eastAsia="宋体" w:cs="Times New Roman"/>
          <w:szCs w:val="21"/>
        </w:rPr>
        <w:t>*</w:t>
      </w:r>
      <w:r>
        <w:rPr>
          <w:rFonts w:ascii="宋体" w:hAnsi="宋体" w:eastAsia="宋体" w:cs="Times New Roman"/>
          <w:szCs w:val="21"/>
        </w:rPr>
        <w:t>768</w:t>
      </w:r>
      <w:r>
        <w:rPr>
          <w:rFonts w:hint="eastAsia" w:ascii="宋体" w:hAnsi="宋体" w:eastAsia="宋体" w:cs="Times New Roman"/>
          <w:szCs w:val="21"/>
        </w:rPr>
        <w:t>，具备备份功能（含备份SD卡或U盘等外存储器）。</w:t>
      </w:r>
      <w:bookmarkEnd w:id="10"/>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变频器：</w:t>
      </w:r>
      <w:bookmarkStart w:id="11" w:name="_Hlk127799699"/>
      <w:r>
        <w:rPr>
          <w:rFonts w:hint="eastAsia" w:ascii="宋体" w:hAnsi="宋体" w:eastAsia="宋体" w:cs="Times New Roman"/>
          <w:szCs w:val="21"/>
        </w:rPr>
        <w:t>Danfoss丹佛斯、</w:t>
      </w:r>
      <w:r>
        <w:rPr>
          <w:rFonts w:ascii="宋体" w:hAnsi="宋体" w:eastAsia="宋体" w:cs="Times New Roman"/>
          <w:szCs w:val="21"/>
        </w:rPr>
        <w:t>Schneider</w:t>
      </w:r>
      <w:r>
        <w:rPr>
          <w:rFonts w:hint="eastAsia" w:ascii="宋体" w:hAnsi="宋体" w:eastAsia="宋体" w:cs="Times New Roman"/>
          <w:szCs w:val="21"/>
        </w:rPr>
        <w:t>施耐德、ABB</w:t>
      </w:r>
      <w:bookmarkEnd w:id="11"/>
      <w:bookmarkStart w:id="12" w:name="_Hlk127802471"/>
      <w:r>
        <w:rPr>
          <w:rFonts w:hint="eastAsia" w:ascii="宋体" w:hAnsi="宋体" w:eastAsia="宋体" w:cs="Times New Roman"/>
          <w:szCs w:val="21"/>
        </w:rPr>
        <w:t>或同等及以上品牌</w:t>
      </w:r>
      <w:bookmarkEnd w:id="12"/>
      <w:r>
        <w:rPr>
          <w:rFonts w:hint="eastAsia" w:ascii="宋体" w:hAnsi="宋体" w:eastAsia="宋体" w:cs="Times New Roman"/>
          <w:szCs w:val="21"/>
        </w:rPr>
        <w:t>，变频采用</w:t>
      </w:r>
      <w:bookmarkStart w:id="13" w:name="_Hlk128579407"/>
      <w:r>
        <w:rPr>
          <w:rFonts w:hint="eastAsia" w:ascii="宋体" w:hAnsi="宋体" w:eastAsia="宋体" w:cs="Times New Roman"/>
          <w:szCs w:val="21"/>
        </w:rPr>
        <w:t>EtherCAT、Profinet、</w:t>
      </w:r>
      <w:r>
        <w:rPr>
          <w:rFonts w:ascii="宋体" w:hAnsi="宋体" w:eastAsia="宋体" w:cs="Times New Roman"/>
          <w:szCs w:val="21"/>
        </w:rPr>
        <w:t>Ethernet/IP</w:t>
      </w:r>
      <w:r>
        <w:rPr>
          <w:rFonts w:hint="eastAsia" w:ascii="宋体" w:hAnsi="宋体" w:eastAsia="宋体" w:cs="Times New Roman"/>
          <w:szCs w:val="21"/>
        </w:rPr>
        <w:t>三种总线之一控制</w:t>
      </w:r>
      <w:bookmarkEnd w:id="13"/>
      <w:r>
        <w:rPr>
          <w:rFonts w:hint="eastAsia" w:ascii="宋体" w:hAnsi="宋体" w:eastAsia="宋体" w:cs="Times New Roman"/>
          <w:szCs w:val="21"/>
        </w:rPr>
        <w:t>。</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减速电机：SEW、邦飞利、伦茨或同等及以上品牌</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伺服驱动器和伺服电机：</w:t>
      </w:r>
      <w:r>
        <w:rPr>
          <w:rFonts w:ascii="宋体" w:hAnsi="宋体" w:eastAsia="宋体" w:cs="Times New Roman"/>
          <w:szCs w:val="21"/>
        </w:rPr>
        <w:t>Schneider施</w:t>
      </w:r>
      <w:r>
        <w:rPr>
          <w:rFonts w:hint="eastAsia" w:ascii="宋体" w:hAnsi="宋体" w:eastAsia="宋体" w:cs="Times New Roman"/>
          <w:szCs w:val="21"/>
        </w:rPr>
        <w:t>耐德、Siemens西门子、汇川SV</w:t>
      </w:r>
      <w:r>
        <w:rPr>
          <w:rFonts w:ascii="宋体" w:hAnsi="宋体" w:eastAsia="宋体" w:cs="Times New Roman"/>
          <w:szCs w:val="21"/>
        </w:rPr>
        <w:t>660</w:t>
      </w:r>
      <w:r>
        <w:rPr>
          <w:rFonts w:hint="eastAsia" w:ascii="宋体" w:hAnsi="宋体" w:eastAsia="宋体" w:cs="Times New Roman"/>
          <w:szCs w:val="21"/>
        </w:rPr>
        <w:t>系列伺服驱动器和MS</w:t>
      </w:r>
      <w:r>
        <w:rPr>
          <w:rFonts w:ascii="宋体" w:hAnsi="宋体" w:eastAsia="宋体" w:cs="Times New Roman"/>
          <w:szCs w:val="21"/>
        </w:rPr>
        <w:t>1</w:t>
      </w:r>
      <w:r>
        <w:rPr>
          <w:rFonts w:hint="eastAsia" w:ascii="宋体" w:hAnsi="宋体" w:eastAsia="宋体" w:cs="Times New Roman"/>
          <w:szCs w:val="21"/>
        </w:rPr>
        <w:t>系列伺服电机、安川Σ-7系列的伺服驱动器和伺服电机或同等及以上品牌，伺服驱动器采用EtherCAT、Profinet、Ethernet/IP三种总线之一控制。</w:t>
      </w:r>
    </w:p>
    <w:bookmarkEnd w:id="8"/>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光电/接近开关：</w:t>
      </w:r>
      <w:bookmarkStart w:id="14" w:name="_Hlk66176884"/>
      <w:r>
        <w:rPr>
          <w:rFonts w:hint="eastAsia" w:ascii="宋体" w:hAnsi="宋体" w:eastAsia="宋体" w:cs="Times New Roman"/>
          <w:szCs w:val="21"/>
        </w:rPr>
        <w:t>西克（SICK）、安德森耐格、易福门（ifm）</w:t>
      </w:r>
      <w:bookmarkEnd w:id="14"/>
      <w:r>
        <w:rPr>
          <w:rFonts w:hint="eastAsia" w:ascii="宋体" w:hAnsi="宋体" w:eastAsia="宋体" w:cs="Times New Roman"/>
          <w:szCs w:val="21"/>
        </w:rPr>
        <w:t>或同等及以上品牌。</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安全开关/光栅：安德森耐格、易福门ifm、西克SICK或同等及以上品牌。</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低压电器件采用：</w:t>
      </w:r>
      <w:bookmarkStart w:id="15" w:name="_Hlk122786124"/>
      <w:bookmarkStart w:id="16" w:name="_Hlk122786069"/>
      <w:r>
        <w:rPr>
          <w:rFonts w:hint="eastAsia" w:ascii="宋体" w:hAnsi="宋体" w:eastAsia="宋体" w:cs="Times New Roman"/>
          <w:szCs w:val="21"/>
        </w:rPr>
        <w:t>施耐德、ABB、西门子或同等及以上品牌，均需为工业应用型号</w:t>
      </w:r>
      <w:bookmarkEnd w:id="15"/>
      <w:r>
        <w:rPr>
          <w:rFonts w:hint="eastAsia" w:ascii="宋体" w:hAnsi="宋体" w:eastAsia="宋体" w:cs="Times New Roman"/>
          <w:szCs w:val="21"/>
        </w:rPr>
        <w:t>。</w:t>
      </w:r>
      <w:bookmarkEnd w:id="16"/>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气动元件采用：</w:t>
      </w:r>
      <w:r>
        <w:rPr>
          <w:rFonts w:ascii="宋体" w:hAnsi="宋体" w:eastAsia="宋体" w:cs="Times New Roman"/>
          <w:szCs w:val="21"/>
        </w:rPr>
        <w:t>AIRTAC</w:t>
      </w:r>
      <w:r>
        <w:rPr>
          <w:rFonts w:hint="eastAsia" w:ascii="宋体" w:hAnsi="宋体" w:eastAsia="宋体" w:cs="Times New Roman"/>
          <w:szCs w:val="21"/>
        </w:rPr>
        <w:t>、FOSTO、 SMC或同等及以上品牌。</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气源气管材质：采用尼龙管。</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所有</w:t>
      </w:r>
      <w:r>
        <w:rPr>
          <w:rFonts w:ascii="宋体" w:hAnsi="宋体" w:eastAsia="宋体" w:cs="Times New Roman"/>
          <w:szCs w:val="21"/>
        </w:rPr>
        <w:t>PLC</w:t>
      </w:r>
      <w:r>
        <w:rPr>
          <w:rFonts w:hint="eastAsia" w:ascii="宋体" w:hAnsi="宋体" w:eastAsia="宋体" w:cs="Times New Roman"/>
          <w:szCs w:val="21"/>
        </w:rPr>
        <w:t>预留一个</w:t>
      </w:r>
      <w:r>
        <w:rPr>
          <w:rFonts w:ascii="宋体" w:hAnsi="宋体" w:eastAsia="宋体" w:cs="Times New Roman"/>
          <w:szCs w:val="21"/>
        </w:rPr>
        <w:t>以太网接口，</w:t>
      </w:r>
      <w:r>
        <w:rPr>
          <w:rFonts w:hint="eastAsia" w:ascii="宋体" w:hAnsi="宋体" w:eastAsia="宋体" w:cs="Times New Roman"/>
          <w:szCs w:val="21"/>
        </w:rPr>
        <w:t>与招标方生产车间中控系统</w:t>
      </w:r>
      <w:r>
        <w:rPr>
          <w:rFonts w:ascii="宋体" w:hAnsi="宋体" w:eastAsia="宋体" w:cs="Times New Roman"/>
          <w:szCs w:val="21"/>
        </w:rPr>
        <w:t>上位机</w:t>
      </w:r>
      <w:r>
        <w:rPr>
          <w:rFonts w:hint="eastAsia" w:ascii="宋体" w:hAnsi="宋体" w:eastAsia="宋体" w:cs="Times New Roman"/>
          <w:szCs w:val="21"/>
        </w:rPr>
        <w:t>通讯</w:t>
      </w:r>
      <w:r>
        <w:rPr>
          <w:rFonts w:ascii="宋体" w:hAnsi="宋体" w:eastAsia="宋体" w:cs="Times New Roman"/>
          <w:szCs w:val="21"/>
        </w:rPr>
        <w:t>，需要将设备运行状态</w:t>
      </w:r>
      <w:r>
        <w:rPr>
          <w:rFonts w:hint="eastAsia" w:ascii="宋体" w:hAnsi="宋体" w:eastAsia="宋体" w:cs="Times New Roman"/>
          <w:szCs w:val="21"/>
        </w:rPr>
        <w:t>、过程数据及</w:t>
      </w:r>
      <w:r>
        <w:rPr>
          <w:rFonts w:ascii="宋体" w:hAnsi="宋体" w:eastAsia="宋体" w:cs="Times New Roman"/>
          <w:szCs w:val="21"/>
        </w:rPr>
        <w:t>报警数据上传到招标方</w:t>
      </w:r>
      <w:r>
        <w:rPr>
          <w:rFonts w:hint="eastAsia" w:ascii="宋体" w:hAnsi="宋体" w:eastAsia="宋体" w:cs="Times New Roman"/>
          <w:szCs w:val="21"/>
        </w:rPr>
        <w:t>生产车间</w:t>
      </w:r>
      <w:r>
        <w:rPr>
          <w:rFonts w:ascii="宋体" w:hAnsi="宋体" w:eastAsia="宋体" w:cs="Times New Roman"/>
          <w:szCs w:val="21"/>
        </w:rPr>
        <w:t>中控系统</w:t>
      </w:r>
      <w:r>
        <w:rPr>
          <w:rFonts w:hint="eastAsia" w:ascii="宋体" w:hAnsi="宋体" w:eastAsia="宋体" w:cs="Times New Roman"/>
          <w:szCs w:val="21"/>
        </w:rPr>
        <w:t>，中控系统调试时，投标方需要配合招标方进行中控系统调试及开放必要的权限</w:t>
      </w:r>
      <w:r>
        <w:rPr>
          <w:rFonts w:ascii="宋体" w:hAnsi="宋体" w:eastAsia="宋体" w:cs="Times New Roman"/>
          <w:szCs w:val="21"/>
        </w:rPr>
        <w:t>。</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电线电缆：国内一线。</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系统中未提及品牌和技术参数要求的使用国产一线优质品牌。</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线槽采用封闭式线槽，材料3</w:t>
      </w:r>
      <w:r>
        <w:rPr>
          <w:rFonts w:ascii="宋体" w:hAnsi="宋体" w:eastAsia="宋体" w:cs="Times New Roman"/>
          <w:szCs w:val="21"/>
        </w:rPr>
        <w:t>04</w:t>
      </w:r>
      <w:r>
        <w:rPr>
          <w:rFonts w:hint="eastAsia" w:ascii="宋体" w:hAnsi="宋体" w:eastAsia="宋体" w:cs="Times New Roman"/>
          <w:szCs w:val="21"/>
        </w:rPr>
        <w:t>不锈钢</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设备有关联性时，除硬件线路有连锁控制外，还应在程序设计时设计连锁控制。</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对于程序设计时，还应设计相应的安全保护功能。</w:t>
      </w:r>
    </w:p>
    <w:p>
      <w:pPr>
        <w:pStyle w:val="13"/>
        <w:widowControl/>
        <w:numPr>
          <w:ilvl w:val="0"/>
          <w:numId w:val="10"/>
        </w:numPr>
        <w:spacing w:line="360" w:lineRule="auto"/>
        <w:ind w:firstLineChars="0"/>
        <w:jc w:val="left"/>
        <w:rPr>
          <w:rFonts w:hint="eastAsia" w:ascii="宋体" w:hAnsi="宋体" w:eastAsia="宋体" w:cs="Times New Roman"/>
          <w:szCs w:val="21"/>
        </w:rPr>
      </w:pPr>
      <w:r>
        <w:rPr>
          <w:rFonts w:hint="eastAsia" w:ascii="宋体" w:hAnsi="宋体" w:eastAsia="宋体" w:cs="Times New Roman"/>
          <w:szCs w:val="21"/>
        </w:rPr>
        <w:t>主组态画面中有手/自动运行功能、状态监视功能、故障指示及报警功能。</w:t>
      </w:r>
    </w:p>
    <w:p>
      <w:pPr>
        <w:widowControl/>
        <w:numPr>
          <w:ilvl w:val="0"/>
          <w:numId w:val="6"/>
        </w:numPr>
        <w:spacing w:line="360" w:lineRule="auto"/>
        <w:jc w:val="left"/>
        <w:rPr>
          <w:rFonts w:hint="eastAsia" w:ascii="宋体" w:hAnsi="宋体" w:eastAsia="宋体" w:cs="Times New Roman"/>
          <w:b/>
          <w:kern w:val="0"/>
          <w:szCs w:val="21"/>
        </w:rPr>
      </w:pPr>
      <w:r>
        <w:rPr>
          <w:rFonts w:hint="eastAsia" w:ascii="宋体" w:hAnsi="宋体" w:eastAsia="宋体" w:cs="Times New Roman"/>
          <w:b/>
          <w:kern w:val="0"/>
          <w:szCs w:val="21"/>
        </w:rPr>
        <w:t>设备的技术要求</w:t>
      </w:r>
    </w:p>
    <w:p>
      <w:pPr>
        <w:spacing w:line="360" w:lineRule="auto"/>
        <w:ind w:left="425"/>
        <w:rPr>
          <w:rFonts w:hint="eastAsia" w:ascii="宋体" w:hAnsi="宋体" w:eastAsia="宋体" w:cs="Times New Roman"/>
          <w:b/>
          <w:kern w:val="0"/>
          <w:szCs w:val="21"/>
        </w:rPr>
      </w:pPr>
      <w:r>
        <w:rPr>
          <w:rFonts w:hint="eastAsia" w:ascii="宋体" w:hAnsi="宋体" w:eastAsia="宋体" w:cs="Times New Roman"/>
          <w:b/>
          <w:kern w:val="0"/>
          <w:szCs w:val="21"/>
        </w:rPr>
        <w:t>纸箱包装机技术参数</w:t>
      </w:r>
    </w:p>
    <w:p>
      <w:pPr>
        <w:widowControl/>
        <w:numPr>
          <w:ilvl w:val="0"/>
          <w:numId w:val="11"/>
        </w:numPr>
        <w:spacing w:line="360" w:lineRule="auto"/>
        <w:ind w:left="709"/>
        <w:jc w:val="left"/>
        <w:rPr>
          <w:rFonts w:hint="eastAsia" w:ascii="宋体" w:hAnsi="宋体" w:eastAsia="宋体" w:cs="Times New Roman"/>
          <w:szCs w:val="21"/>
        </w:rPr>
      </w:pPr>
      <w:r>
        <w:rPr>
          <w:rFonts w:hint="eastAsia" w:ascii="宋体" w:hAnsi="宋体" w:eastAsia="宋体" w:cs="Times New Roman"/>
          <w:szCs w:val="21"/>
        </w:rPr>
        <w:t>产品质量：符合国家相关标准及招标方控制标准；</w:t>
      </w:r>
    </w:p>
    <w:p>
      <w:pPr>
        <w:widowControl/>
        <w:numPr>
          <w:ilvl w:val="0"/>
          <w:numId w:val="11"/>
        </w:numPr>
        <w:spacing w:line="360" w:lineRule="auto"/>
        <w:ind w:left="709"/>
        <w:jc w:val="left"/>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包装机采用直线式连续纸箱裹包，自动连续进纸箱；</w:t>
      </w:r>
    </w:p>
    <w:p>
      <w:pPr>
        <w:widowControl/>
        <w:numPr>
          <w:ilvl w:val="0"/>
          <w:numId w:val="11"/>
        </w:numPr>
        <w:spacing w:line="360" w:lineRule="auto"/>
        <w:ind w:left="709"/>
        <w:jc w:val="left"/>
        <w:rPr>
          <w:rFonts w:hint="eastAsia" w:ascii="宋体" w:hAnsi="宋体" w:eastAsia="宋体" w:cs="Times New Roman"/>
          <w:szCs w:val="21"/>
        </w:rPr>
      </w:pPr>
      <w:r>
        <w:rPr>
          <w:rFonts w:hint="eastAsia" w:ascii="宋体" w:hAnsi="宋体" w:eastAsia="宋体" w:cs="Times New Roman"/>
          <w:szCs w:val="21"/>
        </w:rPr>
        <w:t>数量：2台</w:t>
      </w:r>
    </w:p>
    <w:p>
      <w:pPr>
        <w:widowControl/>
        <w:numPr>
          <w:ilvl w:val="0"/>
          <w:numId w:val="11"/>
        </w:numPr>
        <w:spacing w:line="360" w:lineRule="auto"/>
        <w:ind w:left="709"/>
        <w:jc w:val="left"/>
        <w:rPr>
          <w:rFonts w:hint="eastAsia" w:ascii="宋体" w:hAnsi="宋体" w:eastAsia="宋体" w:cs="Times New Roman"/>
          <w:szCs w:val="21"/>
        </w:rPr>
      </w:pPr>
      <w:r>
        <w:rPr>
          <w:rFonts w:hint="eastAsia" w:ascii="宋体" w:hAnsi="宋体" w:eastAsia="宋体" w:cs="Times New Roman"/>
          <w:szCs w:val="21"/>
        </w:rPr>
        <w:t>包装机伺服轴数要求：送纸、分瓶、上折页、</w:t>
      </w:r>
      <w:r>
        <w:rPr>
          <w:rFonts w:ascii="宋体" w:hAnsi="宋体" w:eastAsia="宋体" w:cs="Times New Roman"/>
          <w:szCs w:val="21"/>
        </w:rPr>
        <w:t>成型</w:t>
      </w:r>
      <w:r>
        <w:rPr>
          <w:rFonts w:hint="eastAsia" w:ascii="宋体" w:hAnsi="宋体" w:eastAsia="宋体" w:cs="Times New Roman"/>
          <w:szCs w:val="21"/>
        </w:rPr>
        <w:t>，</w:t>
      </w:r>
      <w:r>
        <w:rPr>
          <w:rFonts w:hint="eastAsia" w:ascii="宋体" w:hAnsi="宋体"/>
          <w:szCs w:val="21"/>
        </w:rPr>
        <w:t>以上各机构或单元都必须独立伺服轴。（以上机构或单元可以在上述要求上细分更多的独立伺服轴）。</w:t>
      </w:r>
    </w:p>
    <w:p>
      <w:pPr>
        <w:widowControl/>
        <w:numPr>
          <w:ilvl w:val="0"/>
          <w:numId w:val="11"/>
        </w:numPr>
        <w:spacing w:line="360" w:lineRule="auto"/>
        <w:ind w:left="709"/>
        <w:jc w:val="left"/>
        <w:rPr>
          <w:rFonts w:hint="eastAsia" w:ascii="宋体" w:hAnsi="宋体" w:eastAsia="宋体" w:cs="Times New Roman"/>
          <w:szCs w:val="21"/>
        </w:rPr>
      </w:pPr>
      <w:r>
        <w:rPr>
          <w:rFonts w:hint="eastAsia" w:ascii="宋体" w:hAnsi="宋体" w:eastAsia="宋体" w:cs="Times New Roman"/>
          <w:szCs w:val="21"/>
        </w:rPr>
        <w:t>包装机每个伺服轴的参数必须均在触摸屏上配置，满足更换新的伺服驱动器或伺服电机均可直接触摸屏配置参数均可。</w:t>
      </w:r>
    </w:p>
    <w:p>
      <w:pPr>
        <w:widowControl/>
        <w:numPr>
          <w:ilvl w:val="0"/>
          <w:numId w:val="11"/>
        </w:numPr>
        <w:spacing w:line="360" w:lineRule="auto"/>
        <w:ind w:left="709"/>
        <w:jc w:val="left"/>
        <w:rPr>
          <w:rFonts w:hint="eastAsia" w:ascii="宋体" w:hAnsi="宋体" w:eastAsia="宋体" w:cs="Times New Roman"/>
          <w:szCs w:val="21"/>
        </w:rPr>
      </w:pPr>
      <w:r>
        <w:rPr>
          <w:rFonts w:hint="eastAsia" w:ascii="宋体" w:hAnsi="宋体" w:eastAsia="宋体" w:cs="Times New Roman"/>
          <w:szCs w:val="21"/>
        </w:rPr>
        <w:t>能实现自动上纸箱，人工将纸箱放置于输送系统上，设备自动输送到包装机，输送带纸箱可缓存≥</w:t>
      </w:r>
      <w:r>
        <w:rPr>
          <w:rFonts w:ascii="宋体" w:hAnsi="宋体" w:eastAsia="宋体" w:cs="Times New Roman"/>
          <w:szCs w:val="21"/>
        </w:rPr>
        <w:t>300片</w:t>
      </w:r>
      <w:r>
        <w:rPr>
          <w:rFonts w:hint="eastAsia" w:ascii="宋体" w:hAnsi="宋体" w:eastAsia="宋体" w:cs="Times New Roman"/>
          <w:szCs w:val="21"/>
        </w:rPr>
        <w:t>，带手提的纸箱缓存≥1</w:t>
      </w:r>
      <w:r>
        <w:rPr>
          <w:rFonts w:ascii="宋体" w:hAnsi="宋体" w:eastAsia="宋体" w:cs="Times New Roman"/>
          <w:szCs w:val="21"/>
        </w:rPr>
        <w:t>50片</w:t>
      </w:r>
      <w:r>
        <w:rPr>
          <w:rFonts w:hint="eastAsia" w:ascii="宋体" w:hAnsi="宋体" w:eastAsia="宋体" w:cs="Times New Roman"/>
          <w:szCs w:val="21"/>
        </w:rPr>
        <w:t>；</w:t>
      </w:r>
    </w:p>
    <w:p>
      <w:pPr>
        <w:widowControl/>
        <w:numPr>
          <w:ilvl w:val="0"/>
          <w:numId w:val="11"/>
        </w:numPr>
        <w:spacing w:line="360" w:lineRule="auto"/>
        <w:ind w:left="709"/>
        <w:jc w:val="left"/>
        <w:rPr>
          <w:rFonts w:hint="eastAsia" w:ascii="宋体" w:hAnsi="宋体" w:eastAsia="宋体" w:cs="Times New Roman"/>
          <w:szCs w:val="21"/>
        </w:rPr>
      </w:pPr>
      <w:r>
        <w:rPr>
          <w:rFonts w:hint="eastAsia" w:ascii="宋体" w:hAnsi="宋体" w:eastAsia="宋体" w:cs="Times New Roman"/>
          <w:szCs w:val="21"/>
        </w:rPr>
        <w:t>热熔胶机：选用美国诺信</w:t>
      </w:r>
      <w:r>
        <w:rPr>
          <w:rFonts w:ascii="宋体" w:hAnsi="宋体" w:eastAsia="宋体" w:cs="Times New Roman"/>
          <w:szCs w:val="21"/>
        </w:rPr>
        <w:t>P系列品牌</w:t>
      </w:r>
      <w:r>
        <w:rPr>
          <w:rFonts w:hint="eastAsia" w:ascii="宋体" w:hAnsi="宋体" w:eastAsia="宋体" w:cs="Times New Roman"/>
          <w:szCs w:val="21"/>
        </w:rPr>
        <w:t>或同等及以上档次品牌，选型满足产能要求，热熔胶机备件提供加热胶管一条以及一套完整密封件。（配置热熔胶机通喷嘴专用工具）</w:t>
      </w:r>
    </w:p>
    <w:p>
      <w:pPr>
        <w:widowControl/>
        <w:numPr>
          <w:ilvl w:val="0"/>
          <w:numId w:val="11"/>
        </w:numPr>
        <w:spacing w:line="360" w:lineRule="auto"/>
        <w:ind w:left="709"/>
        <w:jc w:val="left"/>
        <w:rPr>
          <w:rFonts w:hint="eastAsia" w:ascii="宋体" w:hAnsi="宋体" w:eastAsia="宋体" w:cs="Times New Roman"/>
          <w:szCs w:val="21"/>
        </w:rPr>
      </w:pPr>
      <w:r>
        <w:rPr>
          <w:rFonts w:hint="eastAsia" w:ascii="宋体" w:hAnsi="宋体" w:eastAsia="宋体" w:cs="Times New Roman"/>
          <w:szCs w:val="21"/>
        </w:rPr>
        <w:t>设备兼容包装箱两侧自动加泡沫装置，人工放置泡沫在同一侧，满足形式多样化的需求。</w:t>
      </w:r>
    </w:p>
    <w:p>
      <w:pPr>
        <w:widowControl/>
        <w:numPr>
          <w:ilvl w:val="0"/>
          <w:numId w:val="11"/>
        </w:numPr>
        <w:spacing w:line="360" w:lineRule="auto"/>
        <w:ind w:left="709"/>
        <w:jc w:val="left"/>
        <w:rPr>
          <w:rFonts w:hint="eastAsia" w:ascii="宋体" w:hAnsi="宋体" w:eastAsia="宋体" w:cs="Times New Roman"/>
          <w:szCs w:val="21"/>
        </w:rPr>
      </w:pPr>
      <w:r>
        <w:rPr>
          <w:rFonts w:ascii="宋体" w:hAnsi="宋体" w:eastAsia="宋体" w:cs="Times New Roman"/>
          <w:szCs w:val="21"/>
        </w:rPr>
        <w:t>包装设备要配置有泡沫检测</w:t>
      </w:r>
      <w:r>
        <w:rPr>
          <w:rFonts w:hint="eastAsia" w:ascii="宋体" w:hAnsi="宋体" w:eastAsia="宋体" w:cs="Times New Roman"/>
          <w:szCs w:val="21"/>
        </w:rPr>
        <w:t>、</w:t>
      </w:r>
      <w:r>
        <w:rPr>
          <w:rFonts w:ascii="宋体" w:hAnsi="宋体" w:eastAsia="宋体" w:cs="Times New Roman"/>
          <w:szCs w:val="21"/>
        </w:rPr>
        <w:t>缺罐检测</w:t>
      </w:r>
      <w:r>
        <w:rPr>
          <w:rFonts w:hint="eastAsia" w:ascii="宋体" w:hAnsi="宋体" w:eastAsia="宋体" w:cs="Times New Roman"/>
          <w:szCs w:val="21"/>
        </w:rPr>
        <w:t>和</w:t>
      </w:r>
      <w:r>
        <w:rPr>
          <w:rFonts w:ascii="宋体" w:hAnsi="宋体" w:eastAsia="宋体" w:cs="Times New Roman"/>
          <w:szCs w:val="21"/>
        </w:rPr>
        <w:t>纸箱检测等</w:t>
      </w:r>
      <w:r>
        <w:rPr>
          <w:rFonts w:hint="eastAsia" w:ascii="宋体" w:hAnsi="宋体" w:eastAsia="宋体" w:cs="Times New Roman"/>
          <w:szCs w:val="21"/>
        </w:rPr>
        <w:t>功能</w:t>
      </w:r>
      <w:r>
        <w:rPr>
          <w:rFonts w:ascii="宋体" w:hAnsi="宋体" w:eastAsia="宋体" w:cs="Times New Roman"/>
          <w:szCs w:val="21"/>
        </w:rPr>
        <w:t>。</w:t>
      </w:r>
    </w:p>
    <w:p>
      <w:pPr>
        <w:widowControl/>
        <w:numPr>
          <w:ilvl w:val="0"/>
          <w:numId w:val="11"/>
        </w:numPr>
        <w:spacing w:line="360" w:lineRule="auto"/>
        <w:ind w:left="709"/>
        <w:jc w:val="left"/>
        <w:rPr>
          <w:rFonts w:hint="eastAsia" w:ascii="宋体" w:hAnsi="宋体" w:eastAsia="宋体" w:cs="Times New Roman"/>
          <w:szCs w:val="21"/>
        </w:rPr>
      </w:pPr>
      <w:r>
        <w:rPr>
          <w:rFonts w:hint="eastAsia" w:ascii="宋体" w:hAnsi="宋体" w:eastAsia="宋体" w:cs="Times New Roman"/>
          <w:szCs w:val="21"/>
        </w:rPr>
        <w:t>每台纸箱包装机能够具备3×4+泡沫、4×4</w:t>
      </w:r>
      <w:r>
        <w:rPr>
          <w:rFonts w:ascii="宋体" w:hAnsi="宋体" w:eastAsia="宋体" w:cs="Times New Roman"/>
          <w:szCs w:val="21"/>
        </w:rPr>
        <w:t>+</w:t>
      </w:r>
      <w:r>
        <w:rPr>
          <w:rFonts w:hint="eastAsia" w:ascii="宋体" w:hAnsi="宋体" w:eastAsia="宋体" w:cs="Times New Roman"/>
          <w:szCs w:val="21"/>
        </w:rPr>
        <w:t>泡沫、4×</w:t>
      </w:r>
      <w:r>
        <w:rPr>
          <w:rFonts w:ascii="宋体" w:hAnsi="宋体" w:eastAsia="宋体" w:cs="Times New Roman"/>
          <w:szCs w:val="21"/>
        </w:rPr>
        <w:t>5+</w:t>
      </w:r>
      <w:r>
        <w:rPr>
          <w:rFonts w:hint="eastAsia" w:ascii="宋体" w:hAnsi="宋体" w:eastAsia="宋体" w:cs="Times New Roman"/>
          <w:szCs w:val="21"/>
        </w:rPr>
        <w:t>泡沫及4×6等包装方式，能实现快速转换生产各品相功能，并且能满足纸箱带有手提的纸箱。具体包装格式看上方《工艺要求及包装规格》；</w:t>
      </w:r>
    </w:p>
    <w:p>
      <w:pPr>
        <w:widowControl/>
        <w:numPr>
          <w:ilvl w:val="0"/>
          <w:numId w:val="11"/>
        </w:numPr>
        <w:spacing w:line="360" w:lineRule="auto"/>
        <w:ind w:left="709"/>
        <w:jc w:val="left"/>
        <w:rPr>
          <w:rFonts w:hint="eastAsia" w:ascii="宋体" w:hAnsi="宋体" w:eastAsia="宋体" w:cs="Times New Roman"/>
          <w:szCs w:val="21"/>
        </w:rPr>
      </w:pPr>
      <w:r>
        <w:rPr>
          <w:rFonts w:ascii="宋体" w:hAnsi="宋体" w:eastAsia="宋体" w:cs="Times New Roman"/>
          <w:szCs w:val="21"/>
        </w:rPr>
        <w:t>产能：</w:t>
      </w:r>
      <w:r>
        <w:rPr>
          <w:rFonts w:hint="eastAsia" w:ascii="宋体" w:hAnsi="宋体" w:eastAsia="宋体" w:cs="Times New Roman"/>
          <w:szCs w:val="21"/>
        </w:rPr>
        <w:t>纸箱包装机的实际速度≥</w:t>
      </w:r>
      <w:r>
        <w:rPr>
          <w:rFonts w:hint="eastAsia" w:ascii="宋体" w:hAnsi="宋体" w:eastAsia="宋体" w:cs="Times New Roman"/>
          <w:szCs w:val="21"/>
          <w:lang w:val="en-GB"/>
        </w:rPr>
        <w:t>3</w:t>
      </w:r>
      <w:r>
        <w:rPr>
          <w:rFonts w:ascii="宋体" w:hAnsi="宋体" w:eastAsia="宋体" w:cs="Times New Roman"/>
          <w:szCs w:val="21"/>
          <w:lang w:val="en-GB"/>
        </w:rPr>
        <w:t>0</w:t>
      </w:r>
      <w:r>
        <w:rPr>
          <w:rFonts w:hint="eastAsia" w:ascii="宋体" w:hAnsi="宋体" w:eastAsia="宋体" w:cs="Times New Roman"/>
          <w:szCs w:val="21"/>
          <w:lang w:val="en-GB"/>
        </w:rPr>
        <w:t>箱</w:t>
      </w:r>
      <w:r>
        <w:rPr>
          <w:rFonts w:hint="eastAsia" w:ascii="宋体" w:hAnsi="宋体" w:eastAsia="宋体" w:cs="Times New Roman"/>
          <w:szCs w:val="21"/>
        </w:rPr>
        <w:t>/分钟；</w:t>
      </w:r>
    </w:p>
    <w:p>
      <w:pPr>
        <w:widowControl/>
        <w:numPr>
          <w:ilvl w:val="0"/>
          <w:numId w:val="11"/>
        </w:numPr>
        <w:spacing w:line="360" w:lineRule="auto"/>
        <w:ind w:left="709"/>
        <w:jc w:val="left"/>
        <w:rPr>
          <w:rFonts w:hint="eastAsia" w:ascii="宋体" w:hAnsi="宋体" w:eastAsia="宋体" w:cs="Times New Roman"/>
          <w:szCs w:val="21"/>
        </w:rPr>
      </w:pPr>
      <w:r>
        <w:rPr>
          <w:rFonts w:hint="eastAsia" w:ascii="宋体" w:hAnsi="宋体" w:eastAsia="宋体" w:cs="Times New Roman"/>
          <w:szCs w:val="21"/>
        </w:rPr>
        <w:t>产品不合格率在千分之三以下；</w:t>
      </w:r>
    </w:p>
    <w:p>
      <w:pPr>
        <w:widowControl/>
        <w:numPr>
          <w:ilvl w:val="0"/>
          <w:numId w:val="11"/>
        </w:numPr>
        <w:spacing w:line="360" w:lineRule="auto"/>
        <w:ind w:left="709"/>
        <w:jc w:val="left"/>
        <w:rPr>
          <w:rFonts w:hint="eastAsia" w:ascii="宋体" w:hAnsi="宋体" w:eastAsia="宋体" w:cs="Times New Roman"/>
          <w:szCs w:val="21"/>
        </w:rPr>
      </w:pPr>
      <w:r>
        <w:rPr>
          <w:rFonts w:hint="eastAsia" w:ascii="宋体" w:hAnsi="宋体" w:eastAsia="宋体" w:cs="Times New Roman"/>
          <w:szCs w:val="21"/>
        </w:rPr>
        <w:t>出纸皮的停机故障率在千分之三以下（如纸皮出二张或缺失等属于出纸皮故障）；</w:t>
      </w:r>
    </w:p>
    <w:p>
      <w:pPr>
        <w:widowControl/>
        <w:numPr>
          <w:ilvl w:val="0"/>
          <w:numId w:val="11"/>
        </w:numPr>
        <w:spacing w:line="360" w:lineRule="auto"/>
        <w:ind w:left="709"/>
        <w:jc w:val="left"/>
        <w:rPr>
          <w:rFonts w:hint="eastAsia" w:ascii="宋体" w:hAnsi="宋体" w:eastAsia="宋体" w:cs="Times New Roman"/>
          <w:szCs w:val="21"/>
        </w:rPr>
      </w:pPr>
      <w:r>
        <w:rPr>
          <w:rFonts w:hint="eastAsia" w:ascii="宋体" w:hAnsi="宋体" w:eastAsia="宋体" w:cs="Times New Roman"/>
          <w:szCs w:val="21"/>
        </w:rPr>
        <w:t>纸箱损耗</w:t>
      </w:r>
      <w:r>
        <w:rPr>
          <w:rFonts w:ascii="宋体" w:hAnsi="宋体" w:eastAsia="宋体" w:cs="Times New Roman"/>
          <w:szCs w:val="21"/>
        </w:rPr>
        <w:t>3‰</w:t>
      </w:r>
      <w:r>
        <w:rPr>
          <w:rFonts w:hint="eastAsia" w:ascii="宋体" w:hAnsi="宋体" w:eastAsia="宋体" w:cs="Times New Roman"/>
          <w:szCs w:val="21"/>
        </w:rPr>
        <w:t>以下；</w:t>
      </w:r>
    </w:p>
    <w:p>
      <w:pPr>
        <w:widowControl/>
        <w:numPr>
          <w:ilvl w:val="0"/>
          <w:numId w:val="6"/>
        </w:numPr>
        <w:spacing w:line="360" w:lineRule="auto"/>
        <w:jc w:val="left"/>
        <w:rPr>
          <w:rFonts w:hint="eastAsia" w:ascii="宋体" w:hAnsi="宋体" w:eastAsia="宋体" w:cs="Times New Roman"/>
          <w:b/>
          <w:kern w:val="0"/>
          <w:szCs w:val="21"/>
        </w:rPr>
      </w:pPr>
      <w:r>
        <w:rPr>
          <w:rFonts w:hint="eastAsia" w:ascii="宋体" w:hAnsi="宋体" w:eastAsia="宋体" w:cs="Times New Roman"/>
          <w:b/>
          <w:kern w:val="0"/>
          <w:szCs w:val="21"/>
        </w:rPr>
        <w:t>纸箱包装机配置要求</w:t>
      </w:r>
    </w:p>
    <w:p>
      <w:pPr>
        <w:numPr>
          <w:ilvl w:val="0"/>
          <w:numId w:val="12"/>
        </w:numPr>
        <w:spacing w:line="360" w:lineRule="auto"/>
        <w:rPr>
          <w:rFonts w:hint="eastAsia" w:ascii="宋体" w:hAnsi="宋体" w:eastAsia="宋体" w:cs="Times New Roman"/>
          <w:b/>
          <w:kern w:val="0"/>
          <w:szCs w:val="21"/>
        </w:rPr>
      </w:pPr>
      <w:r>
        <w:rPr>
          <w:rFonts w:hint="eastAsia" w:ascii="宋体" w:hAnsi="宋体" w:eastAsia="宋体" w:cs="Times New Roman"/>
          <w:b/>
          <w:kern w:val="0"/>
          <w:szCs w:val="21"/>
        </w:rPr>
        <w:t>纸箱包装机控制要求</w:t>
      </w:r>
    </w:p>
    <w:p>
      <w:pPr>
        <w:widowControl/>
        <w:numPr>
          <w:ilvl w:val="0"/>
          <w:numId w:val="13"/>
        </w:numPr>
        <w:spacing w:line="360" w:lineRule="auto"/>
        <w:ind w:left="992"/>
        <w:jc w:val="left"/>
        <w:rPr>
          <w:rFonts w:hint="eastAsia" w:ascii="宋体" w:hAnsi="宋体" w:eastAsia="宋体" w:cs="Times New Roman"/>
          <w:szCs w:val="21"/>
        </w:rPr>
      </w:pPr>
      <w:r>
        <w:rPr>
          <w:rFonts w:hint="eastAsia" w:ascii="宋体" w:hAnsi="宋体" w:eastAsia="宋体" w:cs="Times New Roman"/>
          <w:szCs w:val="21"/>
        </w:rPr>
        <w:t>控制软件应是所选</w:t>
      </w:r>
      <w:r>
        <w:rPr>
          <w:rFonts w:ascii="宋体" w:hAnsi="宋体" w:eastAsia="宋体" w:cs="Times New Roman"/>
          <w:szCs w:val="21"/>
        </w:rPr>
        <w:t>PLC品牌控制机的最新版本。</w:t>
      </w:r>
    </w:p>
    <w:p>
      <w:pPr>
        <w:widowControl/>
        <w:numPr>
          <w:ilvl w:val="0"/>
          <w:numId w:val="13"/>
        </w:numPr>
        <w:spacing w:line="360" w:lineRule="auto"/>
        <w:ind w:left="992"/>
        <w:jc w:val="left"/>
        <w:rPr>
          <w:rFonts w:hint="eastAsia" w:ascii="宋体" w:hAnsi="宋体" w:eastAsia="宋体" w:cs="Times New Roman"/>
          <w:szCs w:val="21"/>
        </w:rPr>
      </w:pPr>
      <w:r>
        <w:rPr>
          <w:rFonts w:hint="eastAsia" w:ascii="宋体" w:hAnsi="宋体" w:eastAsia="宋体" w:cs="Times New Roman"/>
          <w:szCs w:val="21"/>
        </w:rPr>
        <w:t>设备有关联性时，除硬件线路有连锁控制外，还应在程序设计时设计连锁控制。</w:t>
      </w:r>
    </w:p>
    <w:p>
      <w:pPr>
        <w:widowControl/>
        <w:numPr>
          <w:ilvl w:val="0"/>
          <w:numId w:val="13"/>
        </w:numPr>
        <w:spacing w:line="360" w:lineRule="auto"/>
        <w:ind w:left="992"/>
        <w:jc w:val="left"/>
        <w:rPr>
          <w:rFonts w:hint="eastAsia" w:ascii="宋体" w:hAnsi="宋体" w:eastAsia="宋体" w:cs="Times New Roman"/>
          <w:szCs w:val="21"/>
        </w:rPr>
      </w:pPr>
      <w:r>
        <w:rPr>
          <w:rFonts w:hint="eastAsia" w:ascii="宋体" w:hAnsi="宋体" w:eastAsia="宋体" w:cs="Times New Roman"/>
          <w:szCs w:val="21"/>
        </w:rPr>
        <w:t>对于程序设计时，还应设计相应的安全保护功能。</w:t>
      </w:r>
    </w:p>
    <w:p>
      <w:pPr>
        <w:widowControl/>
        <w:numPr>
          <w:ilvl w:val="0"/>
          <w:numId w:val="13"/>
        </w:numPr>
        <w:spacing w:line="360" w:lineRule="auto"/>
        <w:ind w:left="992"/>
        <w:jc w:val="left"/>
        <w:rPr>
          <w:rFonts w:hint="eastAsia" w:ascii="宋体" w:hAnsi="宋体" w:eastAsia="宋体" w:cs="Times New Roman"/>
          <w:szCs w:val="21"/>
        </w:rPr>
      </w:pPr>
      <w:r>
        <w:rPr>
          <w:rFonts w:ascii="宋体" w:hAnsi="宋体" w:eastAsia="宋体" w:cs="Times New Roman"/>
          <w:szCs w:val="21"/>
        </w:rPr>
        <w:t>主</w:t>
      </w:r>
      <w:r>
        <w:rPr>
          <w:rFonts w:hint="eastAsia" w:ascii="宋体" w:hAnsi="宋体" w:eastAsia="宋体" w:cs="Times New Roman"/>
          <w:szCs w:val="21"/>
        </w:rPr>
        <w:t>组态画面中有手/自动运行功能、状态监视功能、故障指示及报警功能。</w:t>
      </w:r>
    </w:p>
    <w:p>
      <w:pPr>
        <w:widowControl/>
        <w:numPr>
          <w:ilvl w:val="0"/>
          <w:numId w:val="13"/>
        </w:numPr>
        <w:spacing w:line="360" w:lineRule="auto"/>
        <w:ind w:left="992"/>
        <w:jc w:val="left"/>
        <w:rPr>
          <w:rFonts w:hint="eastAsia" w:ascii="宋体" w:hAnsi="宋体" w:eastAsia="宋体" w:cs="Times New Roman"/>
          <w:szCs w:val="21"/>
        </w:rPr>
      </w:pPr>
      <w:r>
        <w:rPr>
          <w:rFonts w:hint="eastAsia" w:ascii="宋体" w:hAnsi="宋体" w:eastAsia="宋体" w:cs="Times New Roman"/>
          <w:szCs w:val="21"/>
        </w:rPr>
        <w:t>包装机前后两侧必须设置有急停开关，满足安全操作。</w:t>
      </w:r>
    </w:p>
    <w:p>
      <w:pPr>
        <w:widowControl/>
        <w:numPr>
          <w:ilvl w:val="0"/>
          <w:numId w:val="13"/>
        </w:numPr>
        <w:spacing w:line="360" w:lineRule="auto"/>
        <w:ind w:left="992"/>
        <w:jc w:val="left"/>
        <w:rPr>
          <w:rFonts w:hint="eastAsia" w:ascii="宋体" w:hAnsi="宋体" w:eastAsia="宋体" w:cs="Times New Roman"/>
          <w:szCs w:val="21"/>
        </w:rPr>
      </w:pPr>
      <w:r>
        <w:rPr>
          <w:rFonts w:hint="eastAsia" w:ascii="宋体" w:hAnsi="宋体" w:eastAsia="宋体" w:cs="Times New Roman"/>
          <w:szCs w:val="21"/>
        </w:rPr>
        <w:t>包装机最少提供两段进罐输送链变频控制和一段出箱控制。</w:t>
      </w:r>
    </w:p>
    <w:p>
      <w:pPr>
        <w:widowControl/>
        <w:numPr>
          <w:ilvl w:val="0"/>
          <w:numId w:val="13"/>
        </w:numPr>
        <w:spacing w:line="360" w:lineRule="auto"/>
        <w:ind w:left="992"/>
        <w:jc w:val="left"/>
        <w:rPr>
          <w:rFonts w:hint="eastAsia" w:ascii="宋体" w:hAnsi="宋体" w:eastAsia="宋体" w:cs="Times New Roman"/>
          <w:szCs w:val="21"/>
        </w:rPr>
      </w:pPr>
      <w:r>
        <w:rPr>
          <w:rFonts w:hint="eastAsia" w:ascii="宋体" w:hAnsi="宋体" w:eastAsia="宋体" w:cs="Times New Roman"/>
          <w:szCs w:val="21"/>
        </w:rPr>
        <w:t>分包机构必须设有全部罐到位检测；</w:t>
      </w:r>
    </w:p>
    <w:p>
      <w:pPr>
        <w:widowControl/>
        <w:numPr>
          <w:ilvl w:val="0"/>
          <w:numId w:val="13"/>
        </w:numPr>
        <w:spacing w:line="360" w:lineRule="auto"/>
        <w:ind w:left="992"/>
        <w:jc w:val="left"/>
        <w:rPr>
          <w:rFonts w:hint="eastAsia" w:ascii="宋体" w:hAnsi="宋体" w:eastAsia="宋体" w:cs="Times New Roman"/>
          <w:szCs w:val="21"/>
        </w:rPr>
      </w:pPr>
      <w:r>
        <w:rPr>
          <w:rFonts w:hint="eastAsia" w:ascii="宋体" w:hAnsi="宋体" w:eastAsia="宋体" w:cs="Times New Roman"/>
          <w:szCs w:val="21"/>
        </w:rPr>
        <w:t>进罐链段最少设置两个缺罐或倒罐检测装置；</w:t>
      </w:r>
    </w:p>
    <w:p>
      <w:pPr>
        <w:widowControl/>
        <w:numPr>
          <w:ilvl w:val="0"/>
          <w:numId w:val="13"/>
        </w:numPr>
        <w:spacing w:line="360" w:lineRule="auto"/>
        <w:ind w:left="992"/>
        <w:jc w:val="left"/>
        <w:rPr>
          <w:rFonts w:hint="eastAsia" w:ascii="宋体" w:hAnsi="宋体" w:eastAsia="宋体" w:cs="Times New Roman"/>
          <w:szCs w:val="21"/>
        </w:rPr>
      </w:pPr>
      <w:r>
        <w:rPr>
          <w:rFonts w:hint="eastAsia" w:ascii="宋体" w:hAnsi="宋体" w:eastAsia="宋体" w:cs="Times New Roman"/>
          <w:szCs w:val="21"/>
        </w:rPr>
        <w:t>出箱输送中带有堵箱检测，当堵箱检测触发后包装机自动停止分包，并把已分包的包装完成排出到包装机外，当堵箱检测到不堵箱后，包装机自动恢复包装。</w:t>
      </w:r>
    </w:p>
    <w:p>
      <w:pPr>
        <w:numPr>
          <w:ilvl w:val="0"/>
          <w:numId w:val="12"/>
        </w:numPr>
        <w:spacing w:line="360" w:lineRule="auto"/>
        <w:rPr>
          <w:rFonts w:hint="eastAsia" w:ascii="宋体" w:hAnsi="宋体" w:eastAsia="宋体" w:cs="Times New Roman"/>
          <w:b/>
          <w:kern w:val="0"/>
          <w:szCs w:val="21"/>
        </w:rPr>
      </w:pPr>
      <w:r>
        <w:rPr>
          <w:rFonts w:hint="eastAsia" w:ascii="宋体" w:hAnsi="宋体" w:eastAsia="宋体" w:cs="Times New Roman"/>
          <w:b/>
          <w:kern w:val="0"/>
          <w:szCs w:val="21"/>
        </w:rPr>
        <w:t>纸箱包机其他要求</w:t>
      </w:r>
    </w:p>
    <w:p>
      <w:pPr>
        <w:widowControl/>
        <w:numPr>
          <w:ilvl w:val="0"/>
          <w:numId w:val="14"/>
        </w:numPr>
        <w:spacing w:line="360" w:lineRule="auto"/>
        <w:ind w:left="1162"/>
        <w:jc w:val="left"/>
        <w:rPr>
          <w:rFonts w:hint="eastAsia" w:ascii="宋体" w:hAnsi="宋体" w:eastAsia="宋体" w:cs="Times New Roman"/>
          <w:szCs w:val="21"/>
        </w:rPr>
      </w:pPr>
      <w:r>
        <w:rPr>
          <w:rFonts w:hint="eastAsia" w:ascii="宋体" w:hAnsi="宋体" w:eastAsia="宋体" w:cs="Times New Roman"/>
          <w:szCs w:val="21"/>
        </w:rPr>
        <w:t>输送带和设备所有外露轴头均须含有防护罩，旋转链条或其他旋转装置均需含有防护装置(防护罩、光电开关等)；防护门应具备安全停机保护装置。</w:t>
      </w:r>
    </w:p>
    <w:p>
      <w:pPr>
        <w:widowControl/>
        <w:numPr>
          <w:ilvl w:val="0"/>
          <w:numId w:val="14"/>
        </w:numPr>
        <w:spacing w:line="360" w:lineRule="auto"/>
        <w:ind w:left="1162"/>
        <w:jc w:val="left"/>
        <w:rPr>
          <w:rFonts w:hint="eastAsia" w:ascii="宋体" w:hAnsi="宋体" w:eastAsia="宋体" w:cs="Times New Roman"/>
          <w:szCs w:val="21"/>
        </w:rPr>
      </w:pPr>
      <w:r>
        <w:rPr>
          <w:rFonts w:hint="eastAsia" w:ascii="宋体" w:hAnsi="宋体" w:eastAsia="宋体" w:cs="Times New Roman"/>
          <w:szCs w:val="21"/>
        </w:rPr>
        <w:t>负责和生产线其它相关设备的联机配合。</w:t>
      </w:r>
    </w:p>
    <w:p>
      <w:pPr>
        <w:widowControl/>
        <w:numPr>
          <w:ilvl w:val="0"/>
          <w:numId w:val="6"/>
        </w:numPr>
        <w:spacing w:line="360" w:lineRule="auto"/>
        <w:jc w:val="left"/>
        <w:rPr>
          <w:rFonts w:hint="eastAsia" w:ascii="宋体" w:hAnsi="宋体" w:eastAsia="宋体" w:cs="Times New Roman"/>
          <w:b/>
          <w:kern w:val="0"/>
          <w:szCs w:val="21"/>
        </w:rPr>
      </w:pPr>
      <w:r>
        <w:rPr>
          <w:rFonts w:hint="eastAsia" w:ascii="宋体" w:hAnsi="宋体" w:eastAsia="宋体" w:cs="Times New Roman"/>
          <w:b/>
          <w:kern w:val="0"/>
          <w:szCs w:val="21"/>
        </w:rPr>
        <w:t>称重检测机</w:t>
      </w:r>
    </w:p>
    <w:p>
      <w:pPr>
        <w:numPr>
          <w:ilvl w:val="0"/>
          <w:numId w:val="15"/>
        </w:numPr>
        <w:spacing w:line="360" w:lineRule="auto"/>
        <w:ind w:left="708"/>
        <w:rPr>
          <w:rFonts w:hint="eastAsia" w:ascii="宋体" w:hAnsi="宋体" w:eastAsia="宋体" w:cs="Times New Roman"/>
          <w:b/>
          <w:kern w:val="0"/>
          <w:szCs w:val="21"/>
        </w:rPr>
      </w:pPr>
      <w:r>
        <w:rPr>
          <w:rFonts w:hint="eastAsia" w:ascii="宋体" w:hAnsi="宋体" w:eastAsia="宋体" w:cs="Times New Roman"/>
          <w:b/>
          <w:kern w:val="0"/>
          <w:szCs w:val="21"/>
        </w:rPr>
        <w:t>称重检测机技术参数</w:t>
      </w:r>
    </w:p>
    <w:p>
      <w:pPr>
        <w:widowControl/>
        <w:numPr>
          <w:ilvl w:val="0"/>
          <w:numId w:val="16"/>
        </w:numPr>
        <w:spacing w:line="360" w:lineRule="auto"/>
        <w:ind w:left="822"/>
        <w:jc w:val="left"/>
        <w:rPr>
          <w:rFonts w:hint="eastAsia" w:ascii="宋体" w:hAnsi="宋体" w:eastAsia="宋体" w:cs="Times New Roman"/>
          <w:szCs w:val="21"/>
        </w:rPr>
      </w:pPr>
      <w:r>
        <w:rPr>
          <w:rFonts w:ascii="宋体" w:hAnsi="宋体" w:eastAsia="宋体" w:cs="Times New Roman"/>
          <w:szCs w:val="21"/>
        </w:rPr>
        <w:t>产能：</w:t>
      </w:r>
      <w:r>
        <w:rPr>
          <w:rFonts w:hint="eastAsia" w:ascii="宋体" w:hAnsi="宋体" w:eastAsia="宋体" w:cs="Times New Roman"/>
          <w:szCs w:val="21"/>
        </w:rPr>
        <w:t>称重检测机实际速度≥35</w:t>
      </w:r>
      <w:r>
        <w:rPr>
          <w:rFonts w:hint="eastAsia" w:ascii="宋体" w:hAnsi="宋体" w:eastAsia="宋体" w:cs="Times New Roman"/>
          <w:szCs w:val="21"/>
          <w:lang w:val="en-GB"/>
        </w:rPr>
        <w:t>箱</w:t>
      </w:r>
      <w:r>
        <w:rPr>
          <w:rFonts w:hint="eastAsia" w:ascii="宋体" w:hAnsi="宋体" w:eastAsia="宋体" w:cs="Times New Roman"/>
          <w:szCs w:val="21"/>
        </w:rPr>
        <w:t>/分钟，每台包装机配一台称重检测机；</w:t>
      </w:r>
    </w:p>
    <w:p>
      <w:pPr>
        <w:widowControl/>
        <w:numPr>
          <w:ilvl w:val="0"/>
          <w:numId w:val="16"/>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在超出控制标准范围的情况下保证能够100%把产品剔除出来，且不损坏箱内的产品；</w:t>
      </w:r>
    </w:p>
    <w:p>
      <w:pPr>
        <w:widowControl/>
        <w:numPr>
          <w:ilvl w:val="0"/>
          <w:numId w:val="16"/>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检测精度：标准缺陷样箱能被准确击出，使用重量打检机时，标准缺陷样箱的重量为：整箱重量（10箱或以上平均毛重）-单罐产品（含包装）重量×（0.4～0.6），检测率≥99%，误剔率</w:t>
      </w:r>
      <w:r>
        <w:rPr>
          <w:rFonts w:ascii="宋体" w:hAnsi="宋体" w:eastAsia="宋体" w:cs="Times New Roman"/>
          <w:szCs w:val="21"/>
        </w:rPr>
        <w:t>≤ 0</w:t>
      </w:r>
      <w:r>
        <w:rPr>
          <w:rFonts w:hint="eastAsia" w:ascii="宋体" w:hAnsi="宋体" w:eastAsia="宋体" w:cs="Times New Roman"/>
          <w:szCs w:val="21"/>
        </w:rPr>
        <w:t>.</w:t>
      </w:r>
      <w:r>
        <w:rPr>
          <w:rFonts w:ascii="宋体" w:hAnsi="宋体" w:eastAsia="宋体" w:cs="Times New Roman"/>
          <w:szCs w:val="21"/>
        </w:rPr>
        <w:t>0</w:t>
      </w:r>
      <w:r>
        <w:rPr>
          <w:rFonts w:hint="eastAsia" w:ascii="宋体" w:hAnsi="宋体" w:eastAsia="宋体" w:cs="Times New Roman"/>
          <w:szCs w:val="21"/>
        </w:rPr>
        <w:t>5</w:t>
      </w:r>
      <w:r>
        <w:rPr>
          <w:rFonts w:ascii="宋体" w:hAnsi="宋体" w:eastAsia="宋体" w:cs="Times New Roman"/>
          <w:szCs w:val="21"/>
        </w:rPr>
        <w:t xml:space="preserve"> %</w:t>
      </w:r>
      <w:r>
        <w:rPr>
          <w:rFonts w:hint="eastAsia" w:ascii="宋体" w:hAnsi="宋体" w:eastAsia="宋体" w:cs="Times New Roman"/>
          <w:szCs w:val="21"/>
        </w:rPr>
        <w:t>；</w:t>
      </w:r>
    </w:p>
    <w:p>
      <w:pPr>
        <w:numPr>
          <w:ilvl w:val="0"/>
          <w:numId w:val="15"/>
        </w:numPr>
        <w:spacing w:line="360" w:lineRule="auto"/>
        <w:ind w:left="708"/>
        <w:rPr>
          <w:rFonts w:hint="eastAsia" w:ascii="宋体" w:hAnsi="宋体" w:eastAsia="宋体" w:cs="Times New Roman"/>
          <w:b/>
          <w:kern w:val="0"/>
          <w:szCs w:val="21"/>
        </w:rPr>
      </w:pPr>
      <w:r>
        <w:rPr>
          <w:rFonts w:hint="eastAsia" w:ascii="宋体" w:hAnsi="宋体" w:eastAsia="宋体" w:cs="Times New Roman"/>
          <w:b/>
          <w:kern w:val="0"/>
          <w:szCs w:val="21"/>
        </w:rPr>
        <w:t>称重检测机配置要求</w:t>
      </w:r>
    </w:p>
    <w:p>
      <w:pPr>
        <w:widowControl/>
        <w:numPr>
          <w:ilvl w:val="0"/>
          <w:numId w:val="17"/>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采用国内一线品牌；</w:t>
      </w:r>
    </w:p>
    <w:p>
      <w:pPr>
        <w:widowControl/>
        <w:numPr>
          <w:ilvl w:val="0"/>
          <w:numId w:val="17"/>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主要设备包括称重皮带输送机、光电开关、输送机架、电控箱及内部控制系统；</w:t>
      </w:r>
    </w:p>
    <w:p>
      <w:pPr>
        <w:pStyle w:val="13"/>
        <w:numPr>
          <w:ilvl w:val="0"/>
          <w:numId w:val="17"/>
        </w:numPr>
        <w:ind w:left="822" w:firstLineChars="0"/>
        <w:rPr>
          <w:rFonts w:hint="eastAsia" w:ascii="宋体" w:hAnsi="宋体" w:eastAsia="宋体" w:cs="Times New Roman"/>
          <w:szCs w:val="21"/>
        </w:rPr>
      </w:pPr>
      <w:r>
        <w:rPr>
          <w:rFonts w:hint="eastAsia" w:ascii="宋体" w:hAnsi="宋体" w:eastAsia="宋体" w:cs="Times New Roman"/>
          <w:szCs w:val="21"/>
        </w:rPr>
        <w:t>传感器使用梅特勒-托利多、德国HBM、</w:t>
      </w:r>
      <w:r>
        <w:rPr>
          <w:rFonts w:ascii="宋体" w:hAnsi="宋体" w:eastAsia="宋体" w:cs="Times New Roman"/>
          <w:szCs w:val="21"/>
        </w:rPr>
        <w:t>GE</w:t>
      </w:r>
      <w:r>
        <w:rPr>
          <w:rFonts w:hint="eastAsia" w:ascii="宋体" w:hAnsi="宋体" w:eastAsia="宋体" w:cs="Times New Roman"/>
          <w:szCs w:val="21"/>
        </w:rPr>
        <w:t>通用电气或同等及以上品牌；</w:t>
      </w:r>
    </w:p>
    <w:p>
      <w:pPr>
        <w:widowControl/>
        <w:numPr>
          <w:ilvl w:val="0"/>
          <w:numId w:val="17"/>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控制柜采用304不锈钢材质，厚度符合国家相关规范和要求，配有散热排风扇；</w:t>
      </w:r>
    </w:p>
    <w:p>
      <w:pPr>
        <w:widowControl/>
        <w:numPr>
          <w:ilvl w:val="0"/>
          <w:numId w:val="17"/>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注明相关零部件的品牌或材质；</w:t>
      </w:r>
    </w:p>
    <w:p>
      <w:pPr>
        <w:widowControl/>
        <w:numPr>
          <w:ilvl w:val="0"/>
          <w:numId w:val="17"/>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投标时需要注明触摸屏的规格尺寸、品牌等；</w:t>
      </w:r>
    </w:p>
    <w:p>
      <w:pPr>
        <w:widowControl/>
        <w:numPr>
          <w:ilvl w:val="0"/>
          <w:numId w:val="17"/>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配置故障停机声光报警功能；</w:t>
      </w:r>
    </w:p>
    <w:p>
      <w:pPr>
        <w:widowControl/>
        <w:numPr>
          <w:ilvl w:val="0"/>
          <w:numId w:val="17"/>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称重机配置剔除装置。</w:t>
      </w:r>
    </w:p>
    <w:p>
      <w:pPr>
        <w:widowControl/>
        <w:numPr>
          <w:ilvl w:val="0"/>
          <w:numId w:val="6"/>
        </w:numPr>
        <w:spacing w:line="360" w:lineRule="auto"/>
        <w:jc w:val="left"/>
        <w:rPr>
          <w:rFonts w:hint="eastAsia" w:ascii="宋体" w:hAnsi="宋体" w:eastAsia="宋体" w:cs="Times New Roman"/>
          <w:b/>
          <w:kern w:val="0"/>
          <w:szCs w:val="21"/>
        </w:rPr>
      </w:pPr>
      <w:r>
        <w:rPr>
          <w:rFonts w:hint="eastAsia" w:ascii="宋体" w:hAnsi="宋体" w:eastAsia="宋体" w:cs="Times New Roman"/>
          <w:b/>
          <w:kern w:val="0"/>
          <w:szCs w:val="21"/>
        </w:rPr>
        <w:t>箱体C</w:t>
      </w:r>
      <w:r>
        <w:rPr>
          <w:rFonts w:ascii="宋体" w:hAnsi="宋体" w:eastAsia="宋体" w:cs="Times New Roman"/>
          <w:b/>
          <w:kern w:val="0"/>
          <w:szCs w:val="21"/>
        </w:rPr>
        <w:t>O2</w:t>
      </w:r>
      <w:r>
        <w:rPr>
          <w:rFonts w:hint="eastAsia" w:ascii="宋体" w:hAnsi="宋体" w:eastAsia="宋体" w:cs="Times New Roman"/>
          <w:b/>
          <w:kern w:val="0"/>
          <w:szCs w:val="21"/>
        </w:rPr>
        <w:t>激光打码机</w:t>
      </w:r>
    </w:p>
    <w:p>
      <w:pPr>
        <w:numPr>
          <w:ilvl w:val="0"/>
          <w:numId w:val="18"/>
        </w:numPr>
        <w:spacing w:line="360" w:lineRule="auto"/>
        <w:ind w:left="708"/>
        <w:rPr>
          <w:rFonts w:hint="eastAsia" w:ascii="宋体" w:hAnsi="宋体" w:eastAsia="宋体" w:cs="Times New Roman"/>
          <w:b/>
          <w:kern w:val="0"/>
          <w:szCs w:val="21"/>
        </w:rPr>
      </w:pPr>
      <w:r>
        <w:rPr>
          <w:rFonts w:hint="eastAsia" w:ascii="宋体" w:hAnsi="宋体" w:eastAsia="宋体" w:cs="Times New Roman"/>
          <w:b/>
          <w:kern w:val="0"/>
          <w:szCs w:val="21"/>
        </w:rPr>
        <w:t>箱体C</w:t>
      </w:r>
      <w:r>
        <w:rPr>
          <w:rFonts w:ascii="宋体" w:hAnsi="宋体" w:eastAsia="宋体" w:cs="Times New Roman"/>
          <w:b/>
          <w:kern w:val="0"/>
          <w:szCs w:val="21"/>
        </w:rPr>
        <w:t>O</w:t>
      </w:r>
      <w:r>
        <w:rPr>
          <w:rFonts w:ascii="宋体" w:hAnsi="宋体" w:eastAsia="宋体" w:cs="Times New Roman"/>
          <w:b/>
          <w:kern w:val="0"/>
          <w:szCs w:val="21"/>
          <w:vertAlign w:val="subscript"/>
        </w:rPr>
        <w:t>2</w:t>
      </w:r>
      <w:r>
        <w:rPr>
          <w:rFonts w:hint="eastAsia" w:ascii="宋体" w:hAnsi="宋体" w:eastAsia="宋体" w:cs="Times New Roman"/>
          <w:b/>
          <w:kern w:val="0"/>
          <w:szCs w:val="21"/>
        </w:rPr>
        <w:t>激光打码机技术参数</w:t>
      </w:r>
    </w:p>
    <w:p>
      <w:pPr>
        <w:widowControl/>
        <w:numPr>
          <w:ilvl w:val="0"/>
          <w:numId w:val="19"/>
        </w:numPr>
        <w:spacing w:line="360" w:lineRule="auto"/>
        <w:ind w:left="822"/>
        <w:jc w:val="left"/>
        <w:rPr>
          <w:rFonts w:hint="eastAsia" w:ascii="宋体" w:hAnsi="宋体" w:eastAsia="宋体" w:cs="Times New Roman"/>
          <w:szCs w:val="21"/>
        </w:rPr>
      </w:pPr>
      <w:r>
        <w:rPr>
          <w:rFonts w:ascii="宋体" w:hAnsi="宋体" w:eastAsia="宋体" w:cs="Times New Roman"/>
          <w:szCs w:val="21"/>
        </w:rPr>
        <w:t>采用</w:t>
      </w:r>
      <w:r>
        <w:rPr>
          <w:rFonts w:hint="eastAsia" w:ascii="宋体" w:hAnsi="宋体" w:eastAsia="宋体" w:cs="Times New Roman"/>
          <w:b/>
          <w:kern w:val="0"/>
          <w:szCs w:val="21"/>
        </w:rPr>
        <w:t>C</w:t>
      </w:r>
      <w:r>
        <w:rPr>
          <w:rFonts w:ascii="宋体" w:hAnsi="宋体" w:eastAsia="宋体" w:cs="Times New Roman"/>
          <w:b/>
          <w:kern w:val="0"/>
          <w:szCs w:val="21"/>
        </w:rPr>
        <w:t>O</w:t>
      </w:r>
      <w:r>
        <w:rPr>
          <w:rFonts w:ascii="宋体" w:hAnsi="宋体" w:eastAsia="宋体" w:cs="Times New Roman"/>
          <w:b/>
          <w:kern w:val="0"/>
          <w:szCs w:val="21"/>
          <w:vertAlign w:val="subscript"/>
        </w:rPr>
        <w:t>2</w:t>
      </w:r>
      <w:r>
        <w:rPr>
          <w:rFonts w:ascii="宋体" w:hAnsi="宋体" w:eastAsia="宋体" w:cs="Times New Roman"/>
          <w:szCs w:val="21"/>
        </w:rPr>
        <w:t>激光打码设备</w:t>
      </w:r>
      <w:r>
        <w:rPr>
          <w:rFonts w:hint="eastAsia" w:ascii="宋体" w:hAnsi="宋体" w:eastAsia="宋体" w:cs="Times New Roman"/>
          <w:szCs w:val="21"/>
        </w:rPr>
        <w:t>；</w:t>
      </w:r>
    </w:p>
    <w:p>
      <w:pPr>
        <w:widowControl/>
        <w:numPr>
          <w:ilvl w:val="0"/>
          <w:numId w:val="19"/>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数量</w:t>
      </w:r>
      <w:r>
        <w:rPr>
          <w:rFonts w:ascii="宋体" w:hAnsi="宋体" w:eastAsia="宋体" w:cs="Times New Roman"/>
          <w:szCs w:val="21"/>
        </w:rPr>
        <w:t>2</w:t>
      </w:r>
      <w:r>
        <w:rPr>
          <w:rFonts w:hint="eastAsia" w:ascii="宋体" w:hAnsi="宋体" w:eastAsia="宋体" w:cs="Times New Roman"/>
          <w:szCs w:val="21"/>
        </w:rPr>
        <w:t>台；</w:t>
      </w:r>
    </w:p>
    <w:p>
      <w:pPr>
        <w:widowControl/>
        <w:numPr>
          <w:ilvl w:val="0"/>
          <w:numId w:val="19"/>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满足实际</w:t>
      </w:r>
      <w:r>
        <w:rPr>
          <w:rFonts w:hint="eastAsia" w:ascii="宋体" w:hAnsi="宋体" w:eastAsia="宋体" w:cs="Times New Roman"/>
          <w:b/>
          <w:bCs/>
          <w:szCs w:val="21"/>
        </w:rPr>
        <w:t>生产</w:t>
      </w:r>
      <w:r>
        <w:rPr>
          <w:rFonts w:hint="eastAsia" w:ascii="宋体" w:hAnsi="宋体" w:eastAsia="宋体" w:cs="Times New Roman"/>
          <w:szCs w:val="21"/>
        </w:rPr>
        <w:t>速度，大于35箱/分钟以上；</w:t>
      </w:r>
    </w:p>
    <w:p>
      <w:pPr>
        <w:widowControl/>
        <w:numPr>
          <w:ilvl w:val="0"/>
          <w:numId w:val="19"/>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喷码清晰可见，无变形、无歪斜；</w:t>
      </w:r>
    </w:p>
    <w:p>
      <w:pPr>
        <w:widowControl/>
        <w:numPr>
          <w:ilvl w:val="0"/>
          <w:numId w:val="19"/>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24罐装或类似尺寸装产品：整体字符的长×高为（10.5±1.5）cm×（0.8±0.2）cm；</w:t>
      </w:r>
    </w:p>
    <w:p>
      <w:pPr>
        <w:widowControl/>
        <w:numPr>
          <w:ilvl w:val="0"/>
          <w:numId w:val="19"/>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12罐装或类似尺寸装产品：整体字符的长×高为（10.5±1.5）cm×（0.8±0.2）cm；</w:t>
      </w:r>
    </w:p>
    <w:p>
      <w:pPr>
        <w:widowControl/>
        <w:numPr>
          <w:ilvl w:val="0"/>
          <w:numId w:val="19"/>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单个字符高度不得低于0.5cm。</w:t>
      </w:r>
    </w:p>
    <w:p>
      <w:pPr>
        <w:numPr>
          <w:ilvl w:val="0"/>
          <w:numId w:val="18"/>
        </w:numPr>
        <w:spacing w:line="360" w:lineRule="auto"/>
        <w:ind w:left="708"/>
        <w:rPr>
          <w:rFonts w:hint="eastAsia" w:ascii="宋体" w:hAnsi="宋体" w:eastAsia="宋体" w:cs="Times New Roman"/>
          <w:b/>
          <w:kern w:val="0"/>
          <w:szCs w:val="21"/>
        </w:rPr>
      </w:pPr>
      <w:r>
        <w:rPr>
          <w:rFonts w:hint="eastAsia" w:ascii="宋体" w:hAnsi="宋体" w:eastAsia="宋体" w:cs="Times New Roman"/>
          <w:b/>
          <w:kern w:val="0"/>
          <w:szCs w:val="21"/>
        </w:rPr>
        <w:t>C</w:t>
      </w:r>
      <w:r>
        <w:rPr>
          <w:rFonts w:ascii="宋体" w:hAnsi="宋体" w:eastAsia="宋体" w:cs="Times New Roman"/>
          <w:b/>
          <w:kern w:val="0"/>
          <w:szCs w:val="21"/>
        </w:rPr>
        <w:t>O2</w:t>
      </w:r>
      <w:r>
        <w:rPr>
          <w:rFonts w:hint="eastAsia" w:ascii="宋体" w:hAnsi="宋体" w:eastAsia="宋体" w:cs="Times New Roman"/>
          <w:b/>
          <w:kern w:val="0"/>
          <w:szCs w:val="21"/>
        </w:rPr>
        <w:t>激光打码机配置要求</w:t>
      </w:r>
    </w:p>
    <w:p>
      <w:pPr>
        <w:widowControl/>
        <w:numPr>
          <w:ilvl w:val="0"/>
          <w:numId w:val="20"/>
        </w:numPr>
        <w:spacing w:line="360" w:lineRule="auto"/>
        <w:ind w:left="822"/>
        <w:jc w:val="left"/>
        <w:rPr>
          <w:rFonts w:hint="eastAsia" w:ascii="宋体" w:hAnsi="宋体" w:eastAsia="宋体" w:cs="Times New Roman"/>
          <w:szCs w:val="21"/>
        </w:rPr>
      </w:pPr>
      <w:r>
        <w:rPr>
          <w:rFonts w:hint="eastAsia" w:ascii="宋体" w:hAnsi="宋体" w:eastAsia="宋体" w:cs="Times New Roman"/>
          <w:b/>
          <w:kern w:val="0"/>
          <w:szCs w:val="21"/>
        </w:rPr>
        <w:t>C</w:t>
      </w:r>
      <w:r>
        <w:rPr>
          <w:rFonts w:ascii="宋体" w:hAnsi="宋体" w:eastAsia="宋体" w:cs="Times New Roman"/>
          <w:b/>
          <w:kern w:val="0"/>
          <w:szCs w:val="21"/>
        </w:rPr>
        <w:t>O</w:t>
      </w:r>
      <w:r>
        <w:rPr>
          <w:rFonts w:ascii="宋体" w:hAnsi="宋体" w:eastAsia="宋体" w:cs="Times New Roman"/>
          <w:b/>
          <w:kern w:val="0"/>
          <w:szCs w:val="21"/>
          <w:vertAlign w:val="subscript"/>
        </w:rPr>
        <w:t>2</w:t>
      </w:r>
      <w:r>
        <w:rPr>
          <w:rFonts w:hint="eastAsia" w:ascii="宋体" w:hAnsi="宋体" w:eastAsia="宋体" w:cs="Times New Roman"/>
          <w:szCs w:val="21"/>
        </w:rPr>
        <w:t>激光打码机：采用大族、广州翔声、华工或同等及以上品牌，（原S1线、S2线激光打码机品牌型号为大族HANS36K-T）。</w:t>
      </w:r>
    </w:p>
    <w:p>
      <w:pPr>
        <w:widowControl/>
        <w:numPr>
          <w:ilvl w:val="0"/>
          <w:numId w:val="20"/>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b/>
          <w:kern w:val="0"/>
          <w:szCs w:val="21"/>
        </w:rPr>
        <w:t>C</w:t>
      </w:r>
      <w:r>
        <w:rPr>
          <w:rFonts w:ascii="宋体" w:hAnsi="宋体" w:eastAsia="宋体" w:cs="Times New Roman"/>
          <w:b/>
          <w:kern w:val="0"/>
          <w:szCs w:val="21"/>
        </w:rPr>
        <w:t>O</w:t>
      </w:r>
      <w:r>
        <w:rPr>
          <w:rFonts w:ascii="宋体" w:hAnsi="宋体" w:eastAsia="宋体" w:cs="Times New Roman"/>
          <w:b/>
          <w:kern w:val="0"/>
          <w:szCs w:val="21"/>
          <w:vertAlign w:val="subscript"/>
        </w:rPr>
        <w:t>2</w:t>
      </w:r>
      <w:r>
        <w:rPr>
          <w:rFonts w:hint="eastAsia" w:ascii="宋体" w:hAnsi="宋体" w:eastAsia="宋体" w:cs="Times New Roman"/>
          <w:szCs w:val="21"/>
        </w:rPr>
        <w:t>激光打码后产生的烟尘要配置有净化烟尘装置（带初效过滤棉及高效过滤棉，且易于更换）；</w:t>
      </w:r>
    </w:p>
    <w:p>
      <w:pPr>
        <w:widowControl/>
        <w:numPr>
          <w:ilvl w:val="0"/>
          <w:numId w:val="20"/>
        </w:numPr>
        <w:spacing w:line="360" w:lineRule="auto"/>
        <w:ind w:left="822"/>
        <w:jc w:val="left"/>
        <w:rPr>
          <w:rFonts w:hint="eastAsia" w:ascii="宋体" w:hAnsi="宋体" w:eastAsia="宋体" w:cs="Times New Roman"/>
          <w:szCs w:val="21"/>
        </w:rPr>
      </w:pPr>
      <w:r>
        <w:rPr>
          <w:rFonts w:hint="eastAsia" w:ascii="宋体" w:hAnsi="宋体" w:eastAsia="宋体" w:cs="Times New Roman"/>
          <w:b/>
          <w:kern w:val="0"/>
          <w:szCs w:val="21"/>
        </w:rPr>
        <w:t>C</w:t>
      </w:r>
      <w:r>
        <w:rPr>
          <w:rFonts w:ascii="宋体" w:hAnsi="宋体" w:eastAsia="宋体" w:cs="Times New Roman"/>
          <w:b/>
          <w:kern w:val="0"/>
          <w:szCs w:val="21"/>
        </w:rPr>
        <w:t>O</w:t>
      </w:r>
      <w:r>
        <w:rPr>
          <w:rFonts w:ascii="宋体" w:hAnsi="宋体" w:eastAsia="宋体" w:cs="Times New Roman"/>
          <w:b/>
          <w:kern w:val="0"/>
          <w:szCs w:val="21"/>
          <w:vertAlign w:val="subscript"/>
        </w:rPr>
        <w:t>2</w:t>
      </w:r>
      <w:r>
        <w:rPr>
          <w:rFonts w:hint="eastAsia" w:ascii="宋体" w:hAnsi="宋体" w:eastAsia="宋体" w:cs="Times New Roman"/>
          <w:szCs w:val="21"/>
        </w:rPr>
        <w:t>激光打码机能适应覆膜纸箱和非覆膜纸箱；</w:t>
      </w:r>
    </w:p>
    <w:p>
      <w:pPr>
        <w:widowControl/>
        <w:numPr>
          <w:ilvl w:val="0"/>
          <w:numId w:val="20"/>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非便携式；</w:t>
      </w:r>
    </w:p>
    <w:p>
      <w:pPr>
        <w:widowControl/>
        <w:numPr>
          <w:ilvl w:val="0"/>
          <w:numId w:val="20"/>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激光发生器采用全进口美国</w:t>
      </w:r>
      <w:r>
        <w:rPr>
          <w:rFonts w:ascii="宋体" w:hAnsi="宋体" w:eastAsia="宋体" w:cs="Times New Roman"/>
          <w:szCs w:val="21"/>
        </w:rPr>
        <w:t>SYNRAD(激光器品牌)、美国相干</w:t>
      </w:r>
      <w:r>
        <w:rPr>
          <w:rFonts w:hint="eastAsia" w:ascii="宋体" w:hAnsi="宋体" w:eastAsia="宋体" w:cs="Times New Roman"/>
          <w:szCs w:val="21"/>
        </w:rPr>
        <w:t>、</w:t>
      </w:r>
      <w:r>
        <w:rPr>
          <w:rFonts w:ascii="宋体" w:hAnsi="宋体" w:eastAsia="宋体" w:cs="Times New Roman"/>
          <w:szCs w:val="21"/>
        </w:rPr>
        <w:t>德国IPG</w:t>
      </w:r>
      <w:r>
        <w:rPr>
          <w:rFonts w:hint="eastAsia" w:ascii="宋体" w:hAnsi="宋体" w:eastAsia="宋体" w:cs="Times New Roman"/>
          <w:szCs w:val="21"/>
        </w:rPr>
        <w:t>或同等及以上品牌，激光器平均无故障运行达到25000小时以上，激光波长10.2um以上，标刻速度≥10000mm/s ；</w:t>
      </w:r>
    </w:p>
    <w:p>
      <w:pPr>
        <w:widowControl/>
        <w:numPr>
          <w:ilvl w:val="0"/>
          <w:numId w:val="20"/>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连续输出功率≥30W，满足生产需求；</w:t>
      </w:r>
    </w:p>
    <w:p>
      <w:pPr>
        <w:widowControl/>
        <w:numPr>
          <w:ilvl w:val="0"/>
          <w:numId w:val="20"/>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扫描振镜10mm，具有IP65防护级别，具有自动清洁功能，可阻断外部灰尘污染，可选择90°和180°安装方式；</w:t>
      </w:r>
    </w:p>
    <w:p>
      <w:pPr>
        <w:widowControl/>
        <w:numPr>
          <w:ilvl w:val="0"/>
          <w:numId w:val="20"/>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字体支持中英文，数字，简/繁体中文等标准字库，文件格式</w:t>
      </w:r>
      <w:r>
        <w:rPr>
          <w:rFonts w:ascii="宋体" w:hAnsi="宋体" w:eastAsia="宋体" w:cs="Times New Roman"/>
          <w:szCs w:val="21"/>
        </w:rPr>
        <w:t>BMP/DXF/HPGL/JPEG/PLT</w:t>
      </w:r>
      <w:r>
        <w:rPr>
          <w:rFonts w:hint="eastAsia" w:ascii="宋体" w:hAnsi="宋体" w:eastAsia="宋体" w:cs="Times New Roman"/>
          <w:szCs w:val="21"/>
        </w:rPr>
        <w:t>；</w:t>
      </w:r>
    </w:p>
    <w:p>
      <w:pPr>
        <w:widowControl/>
        <w:numPr>
          <w:ilvl w:val="0"/>
          <w:numId w:val="20"/>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激光机需要有声光报警器装置，镜头具有自动清洁装置，可阻断外部灰尘污染；</w:t>
      </w:r>
    </w:p>
    <w:p>
      <w:pPr>
        <w:widowControl/>
        <w:numPr>
          <w:ilvl w:val="0"/>
          <w:numId w:val="20"/>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设备具有对接PLC的完整控制功能，具有以太网组网功能，可通过网络对设备进行组网和控制，并可提供相应的中央集控软件；</w:t>
      </w:r>
    </w:p>
    <w:p>
      <w:pPr>
        <w:widowControl/>
        <w:numPr>
          <w:ilvl w:val="0"/>
          <w:numId w:val="20"/>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机架采用304不锈钢材质，厚度符合国家相关规范和要求；</w:t>
      </w:r>
    </w:p>
    <w:p>
      <w:pPr>
        <w:widowControl/>
        <w:numPr>
          <w:ilvl w:val="0"/>
          <w:numId w:val="20"/>
        </w:numPr>
        <w:spacing w:line="360" w:lineRule="auto"/>
        <w:ind w:left="822"/>
        <w:jc w:val="left"/>
        <w:rPr>
          <w:rFonts w:hint="eastAsia" w:ascii="宋体" w:hAnsi="宋体" w:eastAsia="宋体" w:cs="Times New Roman"/>
          <w:szCs w:val="21"/>
        </w:rPr>
      </w:pPr>
      <w:r>
        <w:rPr>
          <w:rFonts w:hint="eastAsia" w:ascii="宋体" w:hAnsi="宋体" w:eastAsia="宋体" w:cs="Times New Roman"/>
          <w:szCs w:val="21"/>
        </w:rPr>
        <w:t>投标时需要注明触摸屏的规格尺寸、品牌等；</w:t>
      </w:r>
    </w:p>
    <w:p>
      <w:pPr>
        <w:widowControl/>
        <w:numPr>
          <w:ilvl w:val="0"/>
          <w:numId w:val="6"/>
        </w:numPr>
        <w:spacing w:line="360" w:lineRule="auto"/>
        <w:jc w:val="left"/>
        <w:rPr>
          <w:rFonts w:hint="eastAsia" w:ascii="宋体" w:hAnsi="宋体" w:eastAsia="宋体" w:cs="Times New Roman"/>
          <w:b/>
          <w:kern w:val="0"/>
          <w:szCs w:val="21"/>
        </w:rPr>
      </w:pPr>
      <w:r>
        <w:rPr>
          <w:rFonts w:hint="eastAsia" w:ascii="宋体" w:hAnsi="宋体" w:eastAsia="宋体" w:cs="Times New Roman"/>
          <w:b/>
          <w:kern w:val="0"/>
          <w:szCs w:val="21"/>
        </w:rPr>
        <w:t>侧式封箱机</w:t>
      </w:r>
    </w:p>
    <w:p>
      <w:pPr>
        <w:numPr>
          <w:ilvl w:val="0"/>
          <w:numId w:val="21"/>
        </w:numPr>
        <w:spacing w:line="360" w:lineRule="auto"/>
        <w:rPr>
          <w:rFonts w:hint="eastAsia" w:ascii="宋体" w:hAnsi="宋体" w:eastAsia="宋体" w:cs="Times New Roman"/>
          <w:bCs/>
          <w:kern w:val="0"/>
          <w:szCs w:val="21"/>
        </w:rPr>
      </w:pPr>
      <w:r>
        <w:rPr>
          <w:rFonts w:hint="eastAsia" w:ascii="宋体" w:hAnsi="宋体" w:eastAsia="宋体" w:cs="Times New Roman"/>
          <w:bCs/>
          <w:kern w:val="0"/>
          <w:szCs w:val="21"/>
        </w:rPr>
        <w:t>侧式封箱机技术参数要求</w:t>
      </w:r>
    </w:p>
    <w:p>
      <w:pPr>
        <w:widowControl/>
        <w:numPr>
          <w:ilvl w:val="0"/>
          <w:numId w:val="22"/>
        </w:numPr>
        <w:spacing w:line="360" w:lineRule="auto"/>
        <w:ind w:left="765"/>
        <w:jc w:val="left"/>
        <w:rPr>
          <w:rFonts w:hint="eastAsia" w:ascii="宋体" w:hAnsi="宋体" w:eastAsia="宋体" w:cs="Times New Roman"/>
          <w:szCs w:val="21"/>
        </w:rPr>
      </w:pPr>
      <w:r>
        <w:rPr>
          <w:rFonts w:hint="eastAsia" w:ascii="宋体" w:hAnsi="宋体" w:eastAsia="宋体" w:cs="Times New Roman"/>
          <w:szCs w:val="21"/>
        </w:rPr>
        <w:t>满足3</w:t>
      </w:r>
      <w:r>
        <w:rPr>
          <w:rFonts w:ascii="宋体" w:hAnsi="宋体" w:eastAsia="宋体" w:cs="Times New Roman"/>
          <w:szCs w:val="21"/>
        </w:rPr>
        <w:t>1</w:t>
      </w:r>
      <w:r>
        <w:rPr>
          <w:rFonts w:hint="eastAsia" w:ascii="宋体" w:hAnsi="宋体" w:eastAsia="宋体" w:cs="Times New Roman"/>
          <w:szCs w:val="21"/>
        </w:rPr>
        <w:t>0ml普通易拉罐和</w:t>
      </w:r>
      <w:r>
        <w:rPr>
          <w:rFonts w:ascii="宋体" w:hAnsi="宋体" w:eastAsia="宋体" w:cs="Times New Roman"/>
          <w:szCs w:val="21"/>
        </w:rPr>
        <w:t>31</w:t>
      </w:r>
      <w:r>
        <w:rPr>
          <w:rFonts w:hint="eastAsia" w:ascii="宋体" w:hAnsi="宋体" w:eastAsia="宋体" w:cs="Times New Roman"/>
          <w:szCs w:val="21"/>
        </w:rPr>
        <w:t>0ml纤体罐（匹配包装机包装规格）；</w:t>
      </w:r>
    </w:p>
    <w:p>
      <w:pPr>
        <w:widowControl/>
        <w:numPr>
          <w:ilvl w:val="0"/>
          <w:numId w:val="22"/>
        </w:numPr>
        <w:spacing w:line="360" w:lineRule="auto"/>
        <w:ind w:left="765"/>
        <w:jc w:val="left"/>
        <w:rPr>
          <w:rFonts w:hint="eastAsia" w:ascii="宋体" w:hAnsi="宋体" w:eastAsia="宋体" w:cs="Times New Roman"/>
          <w:szCs w:val="21"/>
        </w:rPr>
      </w:pPr>
      <w:r>
        <w:rPr>
          <w:rFonts w:hint="eastAsia" w:ascii="宋体" w:hAnsi="宋体" w:eastAsia="宋体" w:cs="Times New Roman"/>
          <w:szCs w:val="21"/>
        </w:rPr>
        <w:t>数量：2台</w:t>
      </w:r>
    </w:p>
    <w:p>
      <w:pPr>
        <w:widowControl/>
        <w:numPr>
          <w:ilvl w:val="0"/>
          <w:numId w:val="22"/>
        </w:numPr>
        <w:spacing w:line="360" w:lineRule="auto"/>
        <w:ind w:left="765"/>
        <w:jc w:val="left"/>
        <w:rPr>
          <w:rFonts w:hint="eastAsia" w:ascii="宋体" w:hAnsi="宋体" w:eastAsia="宋体" w:cs="Times New Roman"/>
          <w:szCs w:val="21"/>
        </w:rPr>
      </w:pPr>
      <w:r>
        <w:rPr>
          <w:rFonts w:hint="eastAsia" w:ascii="宋体" w:hAnsi="宋体" w:eastAsia="宋体" w:cs="Times New Roman"/>
          <w:szCs w:val="21"/>
        </w:rPr>
        <w:t>封箱速度：≥35箱/分钟；</w:t>
      </w:r>
    </w:p>
    <w:p>
      <w:pPr>
        <w:widowControl/>
        <w:numPr>
          <w:ilvl w:val="0"/>
          <w:numId w:val="22"/>
        </w:numPr>
        <w:spacing w:line="360" w:lineRule="auto"/>
        <w:ind w:left="765"/>
        <w:jc w:val="left"/>
        <w:rPr>
          <w:rFonts w:hint="eastAsia" w:ascii="宋体" w:hAnsi="宋体" w:eastAsia="宋体" w:cs="Times New Roman"/>
          <w:szCs w:val="21"/>
        </w:rPr>
      </w:pPr>
      <w:r>
        <w:rPr>
          <w:rFonts w:hint="eastAsia" w:ascii="宋体" w:hAnsi="宋体" w:eastAsia="宋体" w:cs="Times New Roman"/>
          <w:szCs w:val="21"/>
        </w:rPr>
        <w:t>胶带内孔可安装直径65—80mm可根据实际胶带尺寸调整；</w:t>
      </w:r>
    </w:p>
    <w:p>
      <w:pPr>
        <w:widowControl/>
        <w:numPr>
          <w:ilvl w:val="0"/>
          <w:numId w:val="22"/>
        </w:numPr>
        <w:spacing w:line="360" w:lineRule="auto"/>
        <w:ind w:left="765"/>
        <w:jc w:val="left"/>
        <w:rPr>
          <w:rFonts w:hint="eastAsia" w:ascii="宋体" w:hAnsi="宋体" w:eastAsia="宋体" w:cs="Times New Roman"/>
          <w:szCs w:val="21"/>
        </w:rPr>
      </w:pPr>
      <w:r>
        <w:rPr>
          <w:rFonts w:hint="eastAsia" w:ascii="宋体" w:hAnsi="宋体" w:eastAsia="宋体" w:cs="Times New Roman"/>
          <w:szCs w:val="21"/>
        </w:rPr>
        <w:t>胶带盘可使用直径250—300mm可根据实际胶带尺寸调整；</w:t>
      </w:r>
    </w:p>
    <w:p>
      <w:pPr>
        <w:widowControl/>
        <w:numPr>
          <w:ilvl w:val="0"/>
          <w:numId w:val="22"/>
        </w:numPr>
        <w:spacing w:line="360" w:lineRule="auto"/>
        <w:ind w:left="765"/>
        <w:jc w:val="left"/>
        <w:rPr>
          <w:rFonts w:hint="eastAsia" w:ascii="宋体" w:hAnsi="宋体" w:eastAsia="宋体" w:cs="Times New Roman"/>
          <w:szCs w:val="21"/>
        </w:rPr>
      </w:pPr>
      <w:r>
        <w:rPr>
          <w:rFonts w:hint="eastAsia" w:ascii="宋体" w:hAnsi="宋体" w:eastAsia="宋体" w:cs="Times New Roman"/>
          <w:szCs w:val="21"/>
        </w:rPr>
        <w:t>胶带粘合紧密、平整、无明显皱褶、无缺失；</w:t>
      </w:r>
    </w:p>
    <w:p>
      <w:pPr>
        <w:widowControl/>
        <w:numPr>
          <w:ilvl w:val="0"/>
          <w:numId w:val="22"/>
        </w:numPr>
        <w:spacing w:line="360" w:lineRule="auto"/>
        <w:ind w:left="765"/>
        <w:jc w:val="left"/>
        <w:rPr>
          <w:rFonts w:hint="eastAsia" w:ascii="宋体" w:hAnsi="宋体" w:eastAsia="宋体" w:cs="Times New Roman"/>
          <w:szCs w:val="21"/>
        </w:rPr>
      </w:pPr>
      <w:r>
        <w:rPr>
          <w:rFonts w:hint="eastAsia" w:ascii="宋体" w:hAnsi="宋体" w:eastAsia="宋体" w:cs="Times New Roman"/>
          <w:szCs w:val="21"/>
        </w:rPr>
        <w:t>封箱胶带：BOPP胶带；</w:t>
      </w:r>
    </w:p>
    <w:p>
      <w:pPr>
        <w:widowControl/>
        <w:numPr>
          <w:ilvl w:val="0"/>
          <w:numId w:val="22"/>
        </w:numPr>
        <w:spacing w:line="360" w:lineRule="auto"/>
        <w:ind w:left="765"/>
        <w:jc w:val="left"/>
        <w:rPr>
          <w:rFonts w:hint="eastAsia" w:ascii="宋体" w:hAnsi="宋体" w:eastAsia="宋体" w:cs="Times New Roman"/>
          <w:szCs w:val="21"/>
        </w:rPr>
      </w:pPr>
      <w:r>
        <w:rPr>
          <w:rFonts w:hint="eastAsia" w:ascii="宋体" w:hAnsi="宋体" w:eastAsia="宋体" w:cs="Times New Roman"/>
          <w:szCs w:val="21"/>
        </w:rPr>
        <w:t>胶带宽度60-</w:t>
      </w:r>
      <w:r>
        <w:rPr>
          <w:rFonts w:ascii="宋体" w:hAnsi="宋体" w:eastAsia="宋体" w:cs="Times New Roman"/>
          <w:szCs w:val="21"/>
        </w:rPr>
        <w:t>80</w:t>
      </w:r>
      <w:r>
        <w:rPr>
          <w:rFonts w:hint="eastAsia" w:ascii="宋体" w:hAnsi="宋体" w:eastAsia="宋体" w:cs="Times New Roman"/>
          <w:szCs w:val="21"/>
        </w:rPr>
        <w:t xml:space="preserve">mm，可根据实际胶带尺寸调整； </w:t>
      </w:r>
    </w:p>
    <w:p>
      <w:pPr>
        <w:widowControl/>
        <w:numPr>
          <w:ilvl w:val="0"/>
          <w:numId w:val="22"/>
        </w:numPr>
        <w:spacing w:line="360" w:lineRule="auto"/>
        <w:ind w:left="765"/>
        <w:jc w:val="left"/>
        <w:rPr>
          <w:rFonts w:hint="eastAsia" w:ascii="宋体" w:hAnsi="宋体" w:eastAsia="宋体" w:cs="Times New Roman"/>
          <w:szCs w:val="21"/>
        </w:rPr>
      </w:pPr>
      <w:r>
        <w:rPr>
          <w:rFonts w:hint="eastAsia" w:ascii="宋体" w:hAnsi="宋体" w:eastAsia="宋体" w:cs="Times New Roman"/>
          <w:szCs w:val="21"/>
        </w:rPr>
        <w:t>自动适时输送、侧面封口，上、下传动，更换大小箱人工定位调整；</w:t>
      </w:r>
    </w:p>
    <w:p>
      <w:pPr>
        <w:widowControl/>
        <w:numPr>
          <w:ilvl w:val="0"/>
          <w:numId w:val="22"/>
        </w:numPr>
        <w:spacing w:line="360" w:lineRule="auto"/>
        <w:ind w:left="765"/>
        <w:jc w:val="left"/>
        <w:rPr>
          <w:rFonts w:hint="eastAsia" w:ascii="宋体" w:hAnsi="宋体" w:eastAsia="宋体" w:cs="Times New Roman"/>
          <w:szCs w:val="21"/>
        </w:rPr>
      </w:pPr>
      <w:r>
        <w:rPr>
          <w:rFonts w:hint="eastAsia" w:ascii="宋体" w:hAnsi="宋体" w:eastAsia="宋体" w:cs="Times New Roman"/>
          <w:szCs w:val="21"/>
        </w:rPr>
        <w:t>胶带粘贴在摇盖接缝中部，上下偏移不超过10</w:t>
      </w:r>
      <w:r>
        <w:rPr>
          <w:rFonts w:ascii="宋体" w:hAnsi="宋体" w:eastAsia="宋体" w:cs="Times New Roman"/>
          <w:szCs w:val="21"/>
        </w:rPr>
        <w:t>m</w:t>
      </w:r>
      <w:r>
        <w:rPr>
          <w:rFonts w:hint="eastAsia" w:ascii="宋体" w:hAnsi="宋体" w:eastAsia="宋体" w:cs="Times New Roman"/>
          <w:szCs w:val="21"/>
        </w:rPr>
        <w:t>m，粘贴在上下两摇盖的宽度不少于15</w:t>
      </w:r>
      <w:r>
        <w:rPr>
          <w:rFonts w:ascii="宋体" w:hAnsi="宋体" w:eastAsia="宋体" w:cs="Times New Roman"/>
          <w:szCs w:val="21"/>
        </w:rPr>
        <w:t>m</w:t>
      </w:r>
      <w:r>
        <w:rPr>
          <w:rFonts w:hint="eastAsia" w:ascii="宋体" w:hAnsi="宋体" w:eastAsia="宋体" w:cs="Times New Roman"/>
          <w:szCs w:val="21"/>
        </w:rPr>
        <w:t>m，胶带粘贴的边沿长度3</w:t>
      </w:r>
      <w:r>
        <w:rPr>
          <w:rFonts w:ascii="宋体" w:hAnsi="宋体" w:eastAsia="宋体" w:cs="Times New Roman"/>
          <w:szCs w:val="21"/>
        </w:rPr>
        <w:t>0</w:t>
      </w:r>
      <w:r>
        <w:rPr>
          <w:rFonts w:hint="eastAsia" w:ascii="宋体" w:hAnsi="宋体" w:eastAsia="宋体" w:cs="Times New Roman"/>
          <w:szCs w:val="21"/>
        </w:rPr>
        <w:t>-5</w:t>
      </w:r>
      <w:r>
        <w:rPr>
          <w:rFonts w:ascii="宋体" w:hAnsi="宋体" w:eastAsia="宋体" w:cs="Times New Roman"/>
          <w:szCs w:val="21"/>
        </w:rPr>
        <w:t>0m</w:t>
      </w:r>
      <w:r>
        <w:rPr>
          <w:rFonts w:hint="eastAsia" w:ascii="宋体" w:hAnsi="宋体" w:eastAsia="宋体" w:cs="Times New Roman"/>
          <w:szCs w:val="21"/>
        </w:rPr>
        <w:t>m为宜；</w:t>
      </w:r>
    </w:p>
    <w:p>
      <w:pPr>
        <w:widowControl/>
        <w:numPr>
          <w:ilvl w:val="0"/>
          <w:numId w:val="22"/>
        </w:numPr>
        <w:spacing w:line="360" w:lineRule="auto"/>
        <w:ind w:left="765"/>
        <w:jc w:val="left"/>
        <w:rPr>
          <w:rFonts w:hint="eastAsia" w:ascii="宋体" w:hAnsi="宋体" w:eastAsia="宋体" w:cs="Times New Roman"/>
          <w:szCs w:val="21"/>
        </w:rPr>
      </w:pPr>
      <w:r>
        <w:rPr>
          <w:rFonts w:hint="eastAsia" w:ascii="宋体" w:hAnsi="宋体" w:eastAsia="宋体" w:cs="Times New Roman"/>
          <w:szCs w:val="21"/>
        </w:rPr>
        <w:t>具备少胶带报警和断胶带等停机功能；</w:t>
      </w:r>
    </w:p>
    <w:p>
      <w:pPr>
        <w:widowControl/>
        <w:numPr>
          <w:ilvl w:val="0"/>
          <w:numId w:val="22"/>
        </w:numPr>
        <w:spacing w:line="360" w:lineRule="auto"/>
        <w:ind w:left="765"/>
        <w:jc w:val="left"/>
        <w:rPr>
          <w:rFonts w:hint="eastAsia" w:ascii="宋体" w:hAnsi="宋体" w:eastAsia="宋体" w:cs="Times New Roman"/>
          <w:szCs w:val="21"/>
        </w:rPr>
      </w:pPr>
      <w:r>
        <w:rPr>
          <w:rFonts w:hint="eastAsia" w:ascii="宋体" w:hAnsi="宋体" w:eastAsia="宋体" w:cs="Times New Roman"/>
          <w:szCs w:val="21"/>
        </w:rPr>
        <w:t>配置故障停机声光报警；</w:t>
      </w:r>
    </w:p>
    <w:p>
      <w:pPr>
        <w:pStyle w:val="13"/>
        <w:numPr>
          <w:ilvl w:val="0"/>
          <w:numId w:val="22"/>
        </w:numPr>
        <w:ind w:left="765" w:firstLineChars="0"/>
        <w:rPr>
          <w:rFonts w:hint="eastAsia" w:ascii="宋体" w:hAnsi="宋体" w:eastAsia="宋体" w:cs="Times New Roman"/>
          <w:szCs w:val="21"/>
        </w:rPr>
      </w:pPr>
      <w:r>
        <w:rPr>
          <w:rFonts w:hint="eastAsia" w:ascii="宋体" w:hAnsi="宋体" w:eastAsia="宋体" w:cs="Times New Roman"/>
          <w:szCs w:val="21"/>
        </w:rPr>
        <w:t>采用国内一线品牌；</w:t>
      </w:r>
    </w:p>
    <w:p>
      <w:pPr>
        <w:widowControl/>
        <w:numPr>
          <w:ilvl w:val="0"/>
          <w:numId w:val="6"/>
        </w:numPr>
        <w:spacing w:line="360" w:lineRule="auto"/>
        <w:jc w:val="left"/>
        <w:rPr>
          <w:rFonts w:hint="eastAsia" w:ascii="宋体" w:hAnsi="宋体" w:eastAsia="宋体" w:cs="Times New Roman"/>
          <w:b/>
          <w:kern w:val="0"/>
          <w:szCs w:val="21"/>
        </w:rPr>
      </w:pPr>
      <w:r>
        <w:rPr>
          <w:rFonts w:hint="eastAsia" w:ascii="宋体" w:hAnsi="宋体" w:eastAsia="宋体" w:cs="Times New Roman"/>
          <w:b/>
          <w:kern w:val="0"/>
          <w:szCs w:val="21"/>
        </w:rPr>
        <w:t>后段包装输送带</w:t>
      </w:r>
    </w:p>
    <w:p>
      <w:pPr>
        <w:spacing w:line="360" w:lineRule="auto"/>
        <w:ind w:left="210"/>
        <w:rPr>
          <w:rFonts w:hint="eastAsia" w:ascii="宋体" w:hAnsi="宋体" w:eastAsia="宋体" w:cs="Times New Roman"/>
          <w:b/>
          <w:kern w:val="0"/>
          <w:szCs w:val="21"/>
        </w:rPr>
      </w:pPr>
      <w:r>
        <w:rPr>
          <w:rFonts w:hint="eastAsia" w:ascii="宋体" w:hAnsi="宋体" w:eastAsia="宋体" w:cs="Times New Roman"/>
          <w:b/>
          <w:kern w:val="0"/>
          <w:szCs w:val="21"/>
        </w:rPr>
        <w:t xml:space="preserve">输送带配置要求 </w:t>
      </w:r>
    </w:p>
    <w:p>
      <w:pPr>
        <w:numPr>
          <w:ilvl w:val="0"/>
          <w:numId w:val="23"/>
        </w:numPr>
        <w:spacing w:line="360" w:lineRule="auto"/>
        <w:ind w:left="765"/>
        <w:rPr>
          <w:rFonts w:hint="eastAsia" w:ascii="宋体" w:hAnsi="宋体" w:eastAsia="宋体" w:cs="Times New Roman"/>
          <w:b/>
          <w:szCs w:val="21"/>
        </w:rPr>
      </w:pPr>
      <w:r>
        <w:rPr>
          <w:rFonts w:hint="eastAsia" w:ascii="宋体" w:hAnsi="宋体" w:eastAsia="宋体" w:cs="Times New Roman"/>
          <w:b/>
          <w:szCs w:val="21"/>
        </w:rPr>
        <w:t>硬件配置</w:t>
      </w:r>
    </w:p>
    <w:p>
      <w:pPr>
        <w:widowControl/>
        <w:numPr>
          <w:ilvl w:val="0"/>
          <w:numId w:val="24"/>
        </w:numPr>
        <w:spacing w:line="360" w:lineRule="auto"/>
        <w:ind w:left="1049"/>
        <w:jc w:val="left"/>
        <w:rPr>
          <w:rFonts w:hint="eastAsia" w:ascii="宋体" w:hAnsi="宋体" w:eastAsia="宋体" w:cs="Times New Roman"/>
          <w:szCs w:val="21"/>
        </w:rPr>
      </w:pPr>
      <w:r>
        <w:rPr>
          <w:rFonts w:hint="eastAsia" w:ascii="宋体" w:hAnsi="宋体" w:eastAsia="宋体" w:cs="Times New Roman"/>
          <w:szCs w:val="21"/>
        </w:rPr>
        <w:t>实罐输送带侧板支架采用304不锈钢，厚2.0mm（满足国标），可调节支腿；包装机前输送带含接水盘和排水管道及配套辅件等，接水盘水就近排放至水沟或地漏，包装机后段不需要接水盘，输送带及链轮采用雷吉那、永利、黄山恒久或同等及以上品牌；</w:t>
      </w:r>
      <w:r>
        <w:rPr>
          <w:rFonts w:ascii="宋体" w:hAnsi="宋体" w:eastAsia="宋体" w:cs="Times New Roman"/>
          <w:szCs w:val="21"/>
        </w:rPr>
        <w:t xml:space="preserve"> </w:t>
      </w:r>
    </w:p>
    <w:p>
      <w:pPr>
        <w:pStyle w:val="13"/>
        <w:numPr>
          <w:ilvl w:val="0"/>
          <w:numId w:val="24"/>
        </w:numPr>
        <w:spacing w:line="360" w:lineRule="auto"/>
        <w:ind w:left="1049" w:firstLineChars="0"/>
        <w:rPr>
          <w:rFonts w:hint="eastAsia" w:ascii="宋体" w:hAnsi="宋体" w:eastAsia="宋体" w:cs="Times New Roman"/>
          <w:szCs w:val="21"/>
        </w:rPr>
      </w:pPr>
      <w:r>
        <w:rPr>
          <w:rFonts w:hint="eastAsia" w:ascii="宋体" w:hAnsi="宋体" w:eastAsia="宋体" w:cs="Times New Roman"/>
          <w:szCs w:val="21"/>
        </w:rPr>
        <w:t>★提供输送带结构示意图，并标注支架和侧板参数及规格；</w:t>
      </w:r>
    </w:p>
    <w:p>
      <w:pPr>
        <w:pStyle w:val="13"/>
        <w:numPr>
          <w:ilvl w:val="0"/>
          <w:numId w:val="24"/>
        </w:numPr>
        <w:spacing w:line="360" w:lineRule="auto"/>
        <w:ind w:left="1049" w:firstLineChars="0"/>
        <w:rPr>
          <w:rFonts w:hint="eastAsia" w:ascii="宋体" w:hAnsi="宋体" w:eastAsia="宋体" w:cs="Times New Roman"/>
          <w:szCs w:val="21"/>
        </w:rPr>
      </w:pPr>
      <w:r>
        <w:rPr>
          <w:rFonts w:hint="eastAsia" w:ascii="宋体" w:hAnsi="宋体"/>
          <w:szCs w:val="21"/>
        </w:rPr>
        <w:t>★</w:t>
      </w:r>
      <w:r>
        <w:rPr>
          <w:rFonts w:hint="eastAsia" w:ascii="宋体" w:hAnsi="宋体" w:eastAsia="宋体" w:cs="Times New Roman"/>
          <w:szCs w:val="21"/>
        </w:rPr>
        <w:t>包装机后段输送方向：箱体长边朝前；</w:t>
      </w:r>
    </w:p>
    <w:p>
      <w:pPr>
        <w:widowControl/>
        <w:numPr>
          <w:ilvl w:val="0"/>
          <w:numId w:val="24"/>
        </w:numPr>
        <w:spacing w:line="360" w:lineRule="auto"/>
        <w:ind w:left="1049"/>
        <w:jc w:val="left"/>
        <w:rPr>
          <w:rFonts w:hint="eastAsia" w:ascii="宋体" w:hAnsi="宋体" w:eastAsia="宋体" w:cs="Times New Roman"/>
          <w:szCs w:val="21"/>
        </w:rPr>
      </w:pPr>
      <w:r>
        <w:rPr>
          <w:rFonts w:ascii="宋体" w:hAnsi="宋体" w:eastAsia="宋体" w:cs="Times New Roman"/>
          <w:szCs w:val="21"/>
        </w:rPr>
        <w:t>后</w:t>
      </w:r>
      <w:r>
        <w:rPr>
          <w:rFonts w:hint="eastAsia" w:ascii="宋体" w:hAnsi="宋体" w:eastAsia="宋体" w:cs="Times New Roman"/>
          <w:szCs w:val="21"/>
        </w:rPr>
        <w:t>段</w:t>
      </w:r>
      <w:r>
        <w:rPr>
          <w:rFonts w:ascii="宋体" w:hAnsi="宋体" w:eastAsia="宋体" w:cs="Times New Roman"/>
          <w:szCs w:val="21"/>
        </w:rPr>
        <w:t>成品输送采用</w:t>
      </w:r>
      <w:r>
        <w:rPr>
          <w:rFonts w:hint="eastAsia" w:ascii="宋体" w:hAnsi="宋体" w:eastAsia="宋体" w:cs="Times New Roman"/>
          <w:szCs w:val="21"/>
        </w:rPr>
        <w:t>滚筒输送，滚筒直径50mm，滚筒中心距76mm，选用不锈钢3</w:t>
      </w:r>
      <w:r>
        <w:rPr>
          <w:rFonts w:ascii="宋体" w:hAnsi="宋体" w:eastAsia="宋体" w:cs="Times New Roman"/>
          <w:szCs w:val="21"/>
        </w:rPr>
        <w:t>04</w:t>
      </w:r>
      <w:r>
        <w:rPr>
          <w:rFonts w:hint="eastAsia" w:ascii="宋体" w:hAnsi="宋体" w:eastAsia="宋体" w:cs="Times New Roman"/>
          <w:szCs w:val="21"/>
        </w:rPr>
        <w:t>材质，厚2.0mm（满足国标），转弯滚筒选用锥形滚筒。</w:t>
      </w:r>
    </w:p>
    <w:p>
      <w:pPr>
        <w:widowControl/>
        <w:numPr>
          <w:ilvl w:val="0"/>
          <w:numId w:val="24"/>
        </w:numPr>
        <w:spacing w:line="360" w:lineRule="auto"/>
        <w:ind w:left="1049"/>
        <w:jc w:val="left"/>
        <w:rPr>
          <w:rFonts w:hint="eastAsia" w:ascii="宋体" w:hAnsi="宋体" w:eastAsia="宋体" w:cs="Times New Roman"/>
          <w:szCs w:val="21"/>
        </w:rPr>
      </w:pPr>
      <w:r>
        <w:rPr>
          <w:rFonts w:hint="eastAsia" w:ascii="宋体" w:hAnsi="宋体" w:eastAsia="宋体" w:cs="Times New Roman"/>
          <w:szCs w:val="21"/>
        </w:rPr>
        <w:t>滚筒传动链条做好防护同时考虑传动链条检修时方便拆卸更换。</w:t>
      </w:r>
    </w:p>
    <w:p>
      <w:pPr>
        <w:widowControl/>
        <w:numPr>
          <w:ilvl w:val="0"/>
          <w:numId w:val="24"/>
        </w:numPr>
        <w:spacing w:line="360" w:lineRule="auto"/>
        <w:ind w:left="1049"/>
        <w:jc w:val="left"/>
        <w:rPr>
          <w:rFonts w:hint="eastAsia" w:ascii="宋体" w:hAnsi="宋体" w:eastAsia="宋体" w:cs="Times New Roman"/>
          <w:szCs w:val="21"/>
        </w:rPr>
      </w:pPr>
      <w:r>
        <w:rPr>
          <w:rFonts w:hint="eastAsia" w:ascii="宋体" w:hAnsi="宋体" w:eastAsia="宋体" w:cs="Times New Roman"/>
          <w:szCs w:val="21"/>
        </w:rPr>
        <w:t>护栏外套超高分子塑料+铝合金骨架；实罐输送带护栏选用双层铝轨</w:t>
      </w:r>
      <w:r>
        <w:rPr>
          <w:rFonts w:ascii="宋体" w:hAnsi="宋体" w:eastAsia="宋体" w:cs="Times New Roman"/>
          <w:szCs w:val="21"/>
        </w:rPr>
        <w:t>D</w:t>
      </w:r>
      <w:r>
        <w:rPr>
          <w:rFonts w:hint="eastAsia" w:ascii="宋体" w:hAnsi="宋体" w:eastAsia="宋体" w:cs="Times New Roman"/>
          <w:szCs w:val="21"/>
        </w:rPr>
        <w:t>型护栏，整箱成品输送带护栏选用铝轨平型护栏，护栏最少留有1</w:t>
      </w:r>
      <w:r>
        <w:rPr>
          <w:rFonts w:ascii="宋体" w:hAnsi="宋体" w:eastAsia="宋体" w:cs="Times New Roman"/>
          <w:szCs w:val="21"/>
        </w:rPr>
        <w:t>00mm的可调节余量。</w:t>
      </w:r>
    </w:p>
    <w:p>
      <w:pPr>
        <w:widowControl/>
        <w:numPr>
          <w:ilvl w:val="0"/>
          <w:numId w:val="24"/>
        </w:numPr>
        <w:spacing w:line="360" w:lineRule="auto"/>
        <w:ind w:left="1049"/>
        <w:jc w:val="left"/>
        <w:rPr>
          <w:rFonts w:hint="eastAsia" w:ascii="宋体" w:hAnsi="宋体" w:eastAsia="宋体" w:cs="Times New Roman"/>
          <w:szCs w:val="21"/>
        </w:rPr>
      </w:pPr>
      <w:r>
        <w:rPr>
          <w:rFonts w:ascii="宋体" w:hAnsi="宋体" w:eastAsia="宋体" w:cs="Times New Roman"/>
          <w:szCs w:val="21"/>
        </w:rPr>
        <w:t>每段输送长度</w:t>
      </w:r>
      <w:r>
        <w:rPr>
          <w:rFonts w:hint="eastAsia" w:ascii="宋体" w:hAnsi="宋体" w:eastAsia="宋体" w:cs="Times New Roman"/>
          <w:szCs w:val="21"/>
        </w:rPr>
        <w:t>＜</w:t>
      </w:r>
      <w:r>
        <w:rPr>
          <w:rFonts w:ascii="宋体" w:hAnsi="宋体" w:eastAsia="宋体" w:cs="Times New Roman"/>
          <w:szCs w:val="21"/>
        </w:rPr>
        <w:t>6米</w:t>
      </w:r>
      <w:r>
        <w:rPr>
          <w:rFonts w:hint="eastAsia" w:ascii="宋体" w:hAnsi="宋体" w:eastAsia="宋体" w:cs="Times New Roman"/>
          <w:szCs w:val="21"/>
        </w:rPr>
        <w:t>；</w:t>
      </w:r>
    </w:p>
    <w:p>
      <w:pPr>
        <w:widowControl/>
        <w:numPr>
          <w:ilvl w:val="0"/>
          <w:numId w:val="24"/>
        </w:numPr>
        <w:spacing w:line="360" w:lineRule="auto"/>
        <w:ind w:left="1049"/>
        <w:jc w:val="left"/>
        <w:rPr>
          <w:rFonts w:hint="eastAsia" w:ascii="宋体" w:hAnsi="宋体" w:eastAsia="宋体" w:cs="Times New Roman"/>
          <w:szCs w:val="21"/>
        </w:rPr>
      </w:pPr>
      <w:r>
        <w:rPr>
          <w:rFonts w:hint="eastAsia" w:ascii="宋体" w:hAnsi="宋体" w:eastAsia="宋体" w:cs="Times New Roman"/>
          <w:szCs w:val="21"/>
        </w:rPr>
        <w:t>输送带轴承座带有防尘罩并配置有加油嘴；</w:t>
      </w:r>
    </w:p>
    <w:p>
      <w:pPr>
        <w:widowControl/>
        <w:numPr>
          <w:ilvl w:val="0"/>
          <w:numId w:val="24"/>
        </w:numPr>
        <w:spacing w:line="360" w:lineRule="auto"/>
        <w:ind w:left="1049"/>
        <w:jc w:val="left"/>
        <w:rPr>
          <w:rFonts w:hint="eastAsia" w:ascii="宋体" w:hAnsi="宋体" w:eastAsia="宋体" w:cs="Times New Roman"/>
          <w:szCs w:val="21"/>
        </w:rPr>
      </w:pPr>
      <w:r>
        <w:rPr>
          <w:rFonts w:hint="eastAsia" w:ascii="宋体" w:hAnsi="宋体" w:eastAsia="宋体" w:cs="Times New Roman"/>
          <w:szCs w:val="21"/>
        </w:rPr>
        <w:t>需要传输的速度需求：成品（标箱）输送速度</w:t>
      </w:r>
      <w:r>
        <w:rPr>
          <w:rFonts w:ascii="Arial" w:hAnsi="Arial" w:eastAsia="宋体" w:cs="Arial"/>
          <w:szCs w:val="21"/>
        </w:rPr>
        <w:t>≥</w:t>
      </w:r>
      <w:r>
        <w:rPr>
          <w:rFonts w:ascii="宋体" w:hAnsi="宋体" w:eastAsia="宋体" w:cs="Times New Roman"/>
          <w:szCs w:val="21"/>
        </w:rPr>
        <w:t>45</w:t>
      </w:r>
      <w:r>
        <w:rPr>
          <w:rFonts w:hint="eastAsia" w:ascii="宋体" w:hAnsi="宋体" w:eastAsia="宋体" w:cs="Times New Roman"/>
          <w:szCs w:val="21"/>
        </w:rPr>
        <w:t>箱/分钟，输送带速度10～</w:t>
      </w:r>
      <w:r>
        <w:rPr>
          <w:rFonts w:ascii="宋体" w:hAnsi="宋体" w:eastAsia="宋体" w:cs="Times New Roman"/>
          <w:szCs w:val="21"/>
        </w:rPr>
        <w:t>45</w:t>
      </w:r>
      <w:r>
        <w:rPr>
          <w:rFonts w:hint="eastAsia" w:ascii="宋体" w:hAnsi="宋体" w:eastAsia="宋体" w:cs="Times New Roman"/>
          <w:szCs w:val="21"/>
        </w:rPr>
        <w:t>米/分钟或以上，可变频调节，设备噪声符合国家相关要求。</w:t>
      </w:r>
    </w:p>
    <w:p>
      <w:pPr>
        <w:widowControl/>
        <w:numPr>
          <w:ilvl w:val="0"/>
          <w:numId w:val="24"/>
        </w:numPr>
        <w:spacing w:line="360" w:lineRule="auto"/>
        <w:ind w:left="1049"/>
        <w:jc w:val="left"/>
        <w:rPr>
          <w:rFonts w:hint="eastAsia" w:ascii="宋体" w:hAnsi="宋体" w:eastAsia="宋体" w:cs="Times New Roman"/>
          <w:szCs w:val="21"/>
        </w:rPr>
      </w:pPr>
      <w:r>
        <w:rPr>
          <w:rFonts w:hint="eastAsia" w:ascii="宋体" w:hAnsi="宋体" w:eastAsia="宋体" w:cs="Times New Roman"/>
          <w:szCs w:val="21"/>
        </w:rPr>
        <w:t>所有的电缆桥架、穿线管为304不锈钢制品，厚度符合国家规范和要求；</w:t>
      </w:r>
    </w:p>
    <w:p>
      <w:pPr>
        <w:widowControl/>
        <w:numPr>
          <w:ilvl w:val="0"/>
          <w:numId w:val="24"/>
        </w:numPr>
        <w:spacing w:line="360" w:lineRule="auto"/>
        <w:ind w:left="1049"/>
        <w:jc w:val="left"/>
        <w:rPr>
          <w:rFonts w:hint="eastAsia" w:ascii="宋体" w:hAnsi="宋体" w:eastAsia="宋体" w:cs="Times New Roman"/>
          <w:szCs w:val="21"/>
        </w:rPr>
      </w:pPr>
      <w:r>
        <w:rPr>
          <w:rFonts w:hint="eastAsia" w:ascii="宋体" w:hAnsi="宋体" w:eastAsia="宋体" w:cs="Times New Roman"/>
          <w:szCs w:val="21"/>
        </w:rPr>
        <w:t>采用无压输送，产品在生产线上无挤伤和磨擦，并符合招标方过程控制标准，实罐各段输送带要有满罐检测开关功能，成品输送各段要有堵塞满箱检测功能。</w:t>
      </w:r>
    </w:p>
    <w:p>
      <w:pPr>
        <w:widowControl/>
        <w:numPr>
          <w:ilvl w:val="0"/>
          <w:numId w:val="24"/>
        </w:numPr>
        <w:spacing w:line="360" w:lineRule="auto"/>
        <w:ind w:left="1049"/>
        <w:jc w:val="left"/>
        <w:rPr>
          <w:rFonts w:hint="eastAsia" w:ascii="宋体" w:hAnsi="宋体" w:eastAsia="宋体" w:cs="Times New Roman"/>
          <w:szCs w:val="21"/>
        </w:rPr>
      </w:pPr>
      <w:r>
        <w:rPr>
          <w:rFonts w:hint="eastAsia" w:ascii="宋体" w:hAnsi="宋体" w:eastAsia="宋体" w:cs="Times New Roman"/>
          <w:szCs w:val="21"/>
        </w:rPr>
        <w:t>包装机前后输送带须留有足够的缓冲时间，满足生产线需求；</w:t>
      </w:r>
    </w:p>
    <w:p>
      <w:pPr>
        <w:widowControl/>
        <w:numPr>
          <w:ilvl w:val="0"/>
          <w:numId w:val="24"/>
        </w:numPr>
        <w:spacing w:line="360" w:lineRule="auto"/>
        <w:ind w:left="1049"/>
        <w:jc w:val="left"/>
        <w:rPr>
          <w:rFonts w:hint="eastAsia" w:ascii="宋体" w:hAnsi="宋体" w:eastAsia="宋体" w:cs="Times New Roman"/>
          <w:szCs w:val="21"/>
        </w:rPr>
      </w:pPr>
      <w:r>
        <w:rPr>
          <w:rFonts w:hint="eastAsia" w:ascii="宋体" w:hAnsi="宋体" w:eastAsia="宋体" w:cs="Times New Roman"/>
          <w:szCs w:val="21"/>
        </w:rPr>
        <w:t>输送带和设备所有外露轴头均须含有防护罩，旋转链条或其他旋转装置均需含有防护装置(防护罩、光电开关等)。</w:t>
      </w:r>
    </w:p>
    <w:p>
      <w:pPr>
        <w:numPr>
          <w:ilvl w:val="0"/>
          <w:numId w:val="23"/>
        </w:numPr>
        <w:spacing w:line="360" w:lineRule="auto"/>
        <w:ind w:left="652"/>
        <w:rPr>
          <w:rFonts w:hint="eastAsia" w:ascii="宋体" w:hAnsi="宋体" w:eastAsia="宋体" w:cs="Times New Roman"/>
          <w:b/>
          <w:kern w:val="0"/>
          <w:szCs w:val="21"/>
        </w:rPr>
      </w:pPr>
      <w:r>
        <w:rPr>
          <w:rFonts w:hint="eastAsia" w:ascii="宋体" w:hAnsi="宋体" w:eastAsia="宋体" w:cs="Times New Roman"/>
          <w:b/>
          <w:kern w:val="0"/>
          <w:szCs w:val="21"/>
        </w:rPr>
        <w:t>输送带控制要求</w:t>
      </w:r>
    </w:p>
    <w:p>
      <w:pPr>
        <w:widowControl/>
        <w:numPr>
          <w:ilvl w:val="0"/>
          <w:numId w:val="25"/>
        </w:numPr>
        <w:spacing w:line="360" w:lineRule="auto"/>
        <w:ind w:left="630" w:leftChars="300"/>
        <w:jc w:val="left"/>
        <w:rPr>
          <w:rFonts w:hint="eastAsia" w:ascii="宋体" w:hAnsi="宋体" w:eastAsia="宋体" w:cs="Times New Roman"/>
          <w:szCs w:val="21"/>
        </w:rPr>
      </w:pPr>
      <w:r>
        <w:rPr>
          <w:rFonts w:ascii="宋体" w:hAnsi="宋体" w:eastAsia="宋体" w:cs="Times New Roman"/>
          <w:szCs w:val="21"/>
        </w:rPr>
        <w:t>与上下游设备的信号交换原则上是谁需要谁</w:t>
      </w:r>
      <w:r>
        <w:rPr>
          <w:rFonts w:hint="eastAsia" w:ascii="宋体" w:hAnsi="宋体" w:eastAsia="宋体" w:cs="Times New Roman"/>
          <w:szCs w:val="21"/>
        </w:rPr>
        <w:t>负责信号线、线槽、线管、桥架和支架等货物和</w:t>
      </w:r>
      <w:r>
        <w:rPr>
          <w:rFonts w:ascii="宋体" w:hAnsi="宋体" w:eastAsia="宋体" w:cs="Times New Roman"/>
          <w:szCs w:val="21"/>
        </w:rPr>
        <w:t>安装，上下游公司负责提供信号接口</w:t>
      </w:r>
      <w:r>
        <w:rPr>
          <w:rFonts w:hint="eastAsia" w:ascii="宋体" w:hAnsi="宋体" w:eastAsia="宋体" w:cs="Times New Roman"/>
          <w:szCs w:val="21"/>
        </w:rPr>
        <w:t>，并配合安装和调试；</w:t>
      </w:r>
    </w:p>
    <w:p>
      <w:pPr>
        <w:widowControl/>
        <w:numPr>
          <w:ilvl w:val="0"/>
          <w:numId w:val="25"/>
        </w:numPr>
        <w:spacing w:line="360" w:lineRule="auto"/>
        <w:ind w:left="630" w:leftChars="300"/>
        <w:jc w:val="left"/>
        <w:rPr>
          <w:rFonts w:hint="eastAsia" w:ascii="宋体" w:hAnsi="宋体" w:eastAsia="宋体" w:cs="Times New Roman"/>
          <w:szCs w:val="21"/>
        </w:rPr>
      </w:pPr>
      <w:r>
        <w:rPr>
          <w:rFonts w:hint="eastAsia" w:ascii="宋体" w:hAnsi="宋体" w:eastAsia="宋体" w:cs="Times New Roman"/>
          <w:szCs w:val="21"/>
        </w:rPr>
        <w:t>每个电机处配置隔离开关，带防水开关盒IP55，配一定数量的急停开关，满足安全操作；</w:t>
      </w:r>
    </w:p>
    <w:p>
      <w:pPr>
        <w:widowControl/>
        <w:numPr>
          <w:ilvl w:val="0"/>
          <w:numId w:val="25"/>
        </w:numPr>
        <w:spacing w:line="360" w:lineRule="auto"/>
        <w:ind w:left="630" w:leftChars="300"/>
        <w:jc w:val="left"/>
        <w:rPr>
          <w:rFonts w:hint="eastAsia" w:ascii="宋体" w:hAnsi="宋体" w:eastAsia="宋体" w:cs="Times New Roman"/>
          <w:szCs w:val="21"/>
        </w:rPr>
      </w:pPr>
      <w:r>
        <w:rPr>
          <w:rFonts w:hint="eastAsia" w:ascii="宋体" w:hAnsi="宋体" w:eastAsia="宋体" w:cs="Times New Roman"/>
          <w:szCs w:val="21"/>
        </w:rPr>
        <w:t>负责和生产线其它相关设备的联机配合；</w:t>
      </w:r>
    </w:p>
    <w:p>
      <w:pPr>
        <w:widowControl/>
        <w:numPr>
          <w:ilvl w:val="0"/>
          <w:numId w:val="25"/>
        </w:numPr>
        <w:spacing w:line="360" w:lineRule="auto"/>
        <w:ind w:left="630" w:leftChars="300"/>
        <w:jc w:val="left"/>
        <w:rPr>
          <w:rFonts w:hint="eastAsia" w:ascii="宋体" w:hAnsi="宋体" w:eastAsia="宋体" w:cs="Times New Roman"/>
          <w:szCs w:val="21"/>
        </w:rPr>
      </w:pPr>
      <w:r>
        <w:rPr>
          <w:rFonts w:hint="eastAsia" w:ascii="宋体" w:hAnsi="宋体" w:eastAsia="宋体" w:cs="Times New Roman"/>
          <w:szCs w:val="21"/>
        </w:rPr>
        <w:t>模块化设计具有使产品多样化、简单化，零件互换性强，安装维修方便；</w:t>
      </w:r>
    </w:p>
    <w:p>
      <w:pPr>
        <w:numPr>
          <w:ilvl w:val="0"/>
          <w:numId w:val="23"/>
        </w:numPr>
        <w:spacing w:line="360" w:lineRule="auto"/>
        <w:ind w:left="652"/>
        <w:rPr>
          <w:rFonts w:hint="eastAsia" w:ascii="宋体" w:hAnsi="宋体" w:eastAsia="宋体" w:cs="Times New Roman"/>
          <w:szCs w:val="21"/>
        </w:rPr>
      </w:pPr>
      <w:r>
        <w:rPr>
          <w:rFonts w:hint="eastAsia" w:ascii="宋体" w:hAnsi="宋体" w:eastAsia="宋体" w:cs="Times New Roman"/>
          <w:b/>
          <w:kern w:val="0"/>
          <w:szCs w:val="21"/>
        </w:rPr>
        <w:t>输送带整体要求</w:t>
      </w:r>
      <w:r>
        <w:rPr>
          <w:rFonts w:hint="eastAsia" w:ascii="宋体" w:hAnsi="宋体" w:eastAsia="宋体" w:cs="Times New Roman"/>
          <w:szCs w:val="21"/>
        </w:rPr>
        <w:t>：包装机到码垛机、包装机前输送段需要有足够缓冲，满足720罐/分钟的生产能力。</w:t>
      </w:r>
    </w:p>
    <w:p>
      <w:pPr>
        <w:widowControl/>
        <w:numPr>
          <w:ilvl w:val="0"/>
          <w:numId w:val="6"/>
        </w:numPr>
        <w:spacing w:line="360" w:lineRule="auto"/>
        <w:jc w:val="left"/>
        <w:rPr>
          <w:rFonts w:hint="eastAsia" w:ascii="宋体" w:hAnsi="宋体" w:eastAsia="宋体" w:cs="Times New Roman"/>
          <w:b/>
          <w:bCs/>
          <w:szCs w:val="21"/>
        </w:rPr>
      </w:pPr>
      <w:r>
        <w:rPr>
          <w:rFonts w:hint="eastAsia" w:ascii="宋体" w:hAnsi="宋体" w:eastAsia="宋体" w:cs="Times New Roman"/>
          <w:b/>
          <w:kern w:val="0"/>
          <w:szCs w:val="21"/>
        </w:rPr>
        <w:t>防窜货系统</w:t>
      </w:r>
    </w:p>
    <w:p>
      <w:pPr>
        <w:widowControl/>
        <w:spacing w:line="360" w:lineRule="auto"/>
        <w:ind w:firstLine="422" w:firstLineChars="200"/>
        <w:jc w:val="left"/>
        <w:rPr>
          <w:rFonts w:hint="eastAsia" w:ascii="宋体" w:hAnsi="宋体" w:eastAsia="宋体" w:cs="Times New Roman"/>
          <w:b/>
          <w:bCs/>
          <w:szCs w:val="21"/>
        </w:rPr>
      </w:pPr>
      <w:r>
        <w:rPr>
          <w:rFonts w:hint="eastAsia" w:ascii="宋体" w:hAnsi="宋体" w:eastAsia="宋体" w:cs="宋体"/>
          <w:b/>
          <w:bCs/>
          <w:szCs w:val="21"/>
        </w:rPr>
        <w:t>1、生产线在采集系统配置要求：</w:t>
      </w:r>
    </w:p>
    <w:p>
      <w:pPr>
        <w:widowControl/>
        <w:spacing w:line="360" w:lineRule="auto"/>
        <w:ind w:left="525" w:leftChars="250"/>
        <w:jc w:val="left"/>
        <w:rPr>
          <w:rFonts w:hint="eastAsia" w:ascii="宋体" w:hAnsi="宋体" w:eastAsia="宋体" w:cs="宋体"/>
          <w:szCs w:val="21"/>
        </w:rPr>
      </w:pPr>
      <w:r>
        <w:rPr>
          <w:rFonts w:hint="eastAsia" w:ascii="宋体" w:hAnsi="宋体" w:eastAsia="宋体" w:cs="宋体"/>
          <w:szCs w:val="21"/>
        </w:rPr>
        <w:t>　　数量：2套</w:t>
      </w:r>
    </w:p>
    <w:p>
      <w:pPr>
        <w:pStyle w:val="13"/>
        <w:widowControl/>
        <w:numPr>
          <w:ilvl w:val="0"/>
          <w:numId w:val="26"/>
        </w:numPr>
        <w:spacing w:line="360" w:lineRule="auto"/>
        <w:ind w:firstLineChars="0"/>
        <w:jc w:val="left"/>
        <w:rPr>
          <w:rFonts w:hint="eastAsia" w:ascii="宋体" w:hAnsi="宋体" w:eastAsia="宋体" w:cs="宋体"/>
          <w:szCs w:val="21"/>
        </w:rPr>
      </w:pPr>
      <w:r>
        <w:rPr>
          <w:rFonts w:hint="eastAsia" w:ascii="宋体" w:hAnsi="宋体" w:eastAsia="宋体" w:cs="宋体"/>
          <w:szCs w:val="21"/>
        </w:rPr>
        <w:t>工控机使用现行主流配置，工控机配置不低于AmBox-7770,i7-7700CPU/16G内存/500G固态硬盘/6个串口/2个千兆网口/USB口/含电源适配器、正版Windows7 64位操作系统， 配置17寸触摸屏显示器，配套北京爱创生产线赋码系统V5.0生产软件。</w:t>
      </w:r>
    </w:p>
    <w:p>
      <w:pPr>
        <w:pStyle w:val="13"/>
        <w:widowControl/>
        <w:numPr>
          <w:ilvl w:val="0"/>
          <w:numId w:val="26"/>
        </w:numPr>
        <w:spacing w:line="360" w:lineRule="auto"/>
        <w:ind w:firstLineChars="0"/>
        <w:jc w:val="left"/>
        <w:rPr>
          <w:rFonts w:hint="eastAsia" w:ascii="宋体" w:hAnsi="宋体" w:eastAsia="宋体" w:cs="宋体"/>
          <w:szCs w:val="21"/>
        </w:rPr>
      </w:pPr>
      <w:r>
        <w:rPr>
          <w:rFonts w:hint="eastAsia" w:ascii="宋体" w:hAnsi="宋体" w:eastAsia="宋体" w:cs="宋体"/>
          <w:szCs w:val="21"/>
        </w:rPr>
        <w:t>配备UPS电源，满足停电供电脑和交换机使用，山特K500品牌。</w:t>
      </w:r>
    </w:p>
    <w:p>
      <w:pPr>
        <w:pStyle w:val="13"/>
        <w:widowControl/>
        <w:numPr>
          <w:ilvl w:val="0"/>
          <w:numId w:val="26"/>
        </w:numPr>
        <w:spacing w:line="360" w:lineRule="auto"/>
        <w:ind w:firstLineChars="0"/>
        <w:jc w:val="left"/>
        <w:rPr>
          <w:rFonts w:hint="eastAsia" w:ascii="宋体" w:hAnsi="宋体" w:eastAsia="宋体" w:cs="宋体"/>
          <w:szCs w:val="21"/>
        </w:rPr>
      </w:pPr>
      <w:r>
        <w:rPr>
          <w:rFonts w:hint="eastAsia" w:ascii="宋体" w:hAnsi="宋体" w:eastAsia="宋体" w:cs="宋体"/>
          <w:szCs w:val="21"/>
        </w:rPr>
        <w:t>每套使用一个二维码固定式读码器，使用基恩士SR-1000W含相机支架，要求满足生产速度需求，采集率不低于99%。</w:t>
      </w:r>
    </w:p>
    <w:p>
      <w:pPr>
        <w:pStyle w:val="13"/>
        <w:widowControl/>
        <w:numPr>
          <w:ilvl w:val="0"/>
          <w:numId w:val="26"/>
        </w:numPr>
        <w:spacing w:line="360" w:lineRule="auto"/>
        <w:ind w:firstLineChars="0"/>
        <w:jc w:val="left"/>
        <w:rPr>
          <w:rFonts w:hint="eastAsia" w:ascii="宋体" w:hAnsi="宋体" w:eastAsia="宋体" w:cs="宋体"/>
          <w:szCs w:val="21"/>
        </w:rPr>
      </w:pPr>
      <w:r>
        <w:rPr>
          <w:rFonts w:hint="eastAsia" w:ascii="宋体" w:hAnsi="宋体" w:eastAsia="宋体" w:cs="宋体"/>
          <w:szCs w:val="21"/>
        </w:rPr>
        <w:t>采集的关联关系文件，满足招标方现有防窜货平台的数据格式要求。</w:t>
      </w:r>
    </w:p>
    <w:p>
      <w:pPr>
        <w:widowControl/>
        <w:spacing w:line="360" w:lineRule="auto"/>
        <w:ind w:firstLine="632" w:firstLineChars="300"/>
        <w:jc w:val="left"/>
        <w:rPr>
          <w:rFonts w:hint="eastAsia" w:ascii="宋体" w:hAnsi="宋体" w:eastAsia="宋体" w:cs="宋体"/>
          <w:b/>
          <w:bCs/>
          <w:szCs w:val="21"/>
        </w:rPr>
      </w:pPr>
      <w:r>
        <w:rPr>
          <w:rFonts w:hint="eastAsia" w:ascii="宋体" w:hAnsi="宋体" w:eastAsia="宋体" w:cs="宋体"/>
          <w:b/>
          <w:bCs/>
          <w:szCs w:val="21"/>
        </w:rPr>
        <w:t>2、仓库成品出库数据采集系统要求：</w:t>
      </w:r>
    </w:p>
    <w:p>
      <w:pPr>
        <w:widowControl/>
        <w:spacing w:line="360" w:lineRule="auto"/>
        <w:ind w:left="525" w:leftChars="250"/>
        <w:jc w:val="left"/>
        <w:rPr>
          <w:rFonts w:hint="eastAsia" w:ascii="宋体" w:hAnsi="宋体" w:eastAsia="宋体" w:cs="宋体"/>
          <w:b/>
          <w:bCs/>
          <w:szCs w:val="21"/>
        </w:rPr>
      </w:pPr>
      <w:r>
        <w:rPr>
          <w:rFonts w:hint="eastAsia" w:ascii="宋体" w:hAnsi="宋体" w:eastAsia="宋体" w:cs="宋体"/>
          <w:szCs w:val="21"/>
        </w:rPr>
        <w:t>　　数量：2套</w:t>
      </w:r>
    </w:p>
    <w:p>
      <w:pPr>
        <w:pStyle w:val="13"/>
        <w:widowControl/>
        <w:numPr>
          <w:ilvl w:val="1"/>
          <w:numId w:val="27"/>
        </w:numPr>
        <w:spacing w:line="360" w:lineRule="auto"/>
        <w:ind w:firstLineChars="0"/>
        <w:jc w:val="left"/>
        <w:rPr>
          <w:rFonts w:hint="eastAsia" w:ascii="宋体" w:hAnsi="宋体" w:eastAsia="宋体" w:cs="宋体"/>
          <w:szCs w:val="21"/>
        </w:rPr>
      </w:pPr>
      <w:r>
        <w:rPr>
          <w:rFonts w:hint="eastAsia" w:ascii="宋体" w:hAnsi="宋体" w:eastAsia="宋体" w:cs="宋体"/>
          <w:szCs w:val="21"/>
        </w:rPr>
        <w:t>电脑配置不低于：I5处理器，1T固态硬盘，内存16G，配置17寸以上显示器，配套北京爱创仓库数据接收处理系统（DBM）。</w:t>
      </w:r>
    </w:p>
    <w:p>
      <w:pPr>
        <w:pStyle w:val="13"/>
        <w:widowControl/>
        <w:numPr>
          <w:ilvl w:val="1"/>
          <w:numId w:val="27"/>
        </w:numPr>
        <w:spacing w:line="360" w:lineRule="auto"/>
        <w:ind w:firstLineChars="0"/>
        <w:jc w:val="left"/>
        <w:rPr>
          <w:rFonts w:hint="eastAsia" w:ascii="宋体" w:hAnsi="宋体" w:eastAsia="宋体" w:cs="宋体"/>
          <w:szCs w:val="21"/>
        </w:rPr>
      </w:pPr>
      <w:r>
        <w:rPr>
          <w:rFonts w:hint="eastAsia" w:ascii="宋体" w:hAnsi="宋体" w:eastAsia="宋体" w:cs="宋体"/>
          <w:szCs w:val="21"/>
        </w:rPr>
        <w:t>仓库扫码出库PDA手持（含手持出入库软件）：配扫码枪8支，型号：HoneyWell EDA 52,配套北京爱创手持安卓出入库APP，并支持招标方现有防窜货平台及仓库数据接收处理系统数据对接；</w:t>
      </w:r>
    </w:p>
    <w:p>
      <w:pPr>
        <w:pStyle w:val="13"/>
        <w:widowControl/>
        <w:numPr>
          <w:ilvl w:val="1"/>
          <w:numId w:val="27"/>
        </w:numPr>
        <w:spacing w:line="360" w:lineRule="auto"/>
        <w:ind w:firstLineChars="0"/>
        <w:jc w:val="left"/>
        <w:rPr>
          <w:rFonts w:hint="eastAsia" w:ascii="宋体" w:hAnsi="宋体" w:eastAsia="宋体" w:cs="宋体"/>
          <w:szCs w:val="21"/>
        </w:rPr>
      </w:pPr>
      <w:r>
        <w:rPr>
          <w:rFonts w:hint="eastAsia" w:ascii="宋体" w:hAnsi="宋体" w:eastAsia="宋体" w:cs="宋体"/>
          <w:szCs w:val="21"/>
        </w:rPr>
        <w:t>无线AP采用国内一线品牌，数量3套（生产车间1套，仓库2套）。</w:t>
      </w:r>
    </w:p>
    <w:p>
      <w:pPr>
        <w:widowControl/>
        <w:numPr>
          <w:ilvl w:val="0"/>
          <w:numId w:val="6"/>
        </w:numPr>
        <w:spacing w:line="360" w:lineRule="auto"/>
        <w:jc w:val="left"/>
        <w:rPr>
          <w:rFonts w:hint="eastAsia" w:ascii="宋体" w:hAnsi="宋体" w:eastAsia="宋体" w:cs="宋体"/>
          <w:b/>
          <w:bCs/>
          <w:szCs w:val="21"/>
        </w:rPr>
      </w:pPr>
      <w:r>
        <w:rPr>
          <w:rFonts w:hint="eastAsia" w:ascii="宋体" w:hAnsi="宋体" w:eastAsia="宋体" w:cs="Times New Roman"/>
          <w:b/>
          <w:kern w:val="0"/>
          <w:szCs w:val="21"/>
        </w:rPr>
        <w:t>自动机器人码垛机设备配置要求</w:t>
      </w:r>
    </w:p>
    <w:p>
      <w:pPr>
        <w:widowControl/>
        <w:spacing w:line="360" w:lineRule="auto"/>
        <w:ind w:firstLine="211" w:firstLineChars="100"/>
        <w:jc w:val="left"/>
        <w:rPr>
          <w:rFonts w:hint="eastAsia" w:ascii="宋体" w:hAnsi="宋体"/>
          <w:b/>
          <w:kern w:val="0"/>
          <w:szCs w:val="21"/>
        </w:rPr>
      </w:pPr>
      <w:r>
        <w:rPr>
          <w:rFonts w:hint="eastAsia" w:ascii="宋体" w:hAnsi="宋体"/>
          <w:b/>
          <w:kern w:val="0"/>
          <w:szCs w:val="21"/>
        </w:rPr>
        <w:t>1．自动机器人码垛机设备配置要求：</w:t>
      </w:r>
    </w:p>
    <w:p>
      <w:pPr>
        <w:widowControl/>
        <w:spacing w:line="360" w:lineRule="auto"/>
        <w:ind w:firstLine="211" w:firstLineChars="100"/>
        <w:jc w:val="left"/>
        <w:rPr>
          <w:rFonts w:hint="eastAsia" w:ascii="宋体" w:hAnsi="宋体"/>
          <w:b/>
          <w:kern w:val="0"/>
          <w:szCs w:val="21"/>
        </w:rPr>
      </w:pPr>
      <w:r>
        <w:rPr>
          <w:rFonts w:hint="eastAsia" w:ascii="宋体" w:hAnsi="宋体"/>
          <w:b/>
          <w:kern w:val="0"/>
          <w:szCs w:val="21"/>
        </w:rPr>
        <w:t>（1）</w:t>
      </w:r>
      <w:r>
        <w:rPr>
          <w:rFonts w:ascii="宋体" w:hAnsi="宋体"/>
          <w:b/>
          <w:kern w:val="0"/>
          <w:szCs w:val="21"/>
        </w:rPr>
        <w:t>技术参数要求：</w:t>
      </w:r>
    </w:p>
    <w:p>
      <w:pPr>
        <w:widowControl/>
        <w:numPr>
          <w:ilvl w:val="0"/>
          <w:numId w:val="28"/>
        </w:numPr>
        <w:spacing w:line="360" w:lineRule="auto"/>
        <w:ind w:left="525" w:leftChars="250"/>
        <w:jc w:val="left"/>
        <w:rPr>
          <w:rFonts w:hint="eastAsia" w:ascii="宋体" w:hAnsi="宋体"/>
          <w:szCs w:val="21"/>
        </w:rPr>
      </w:pPr>
      <w:r>
        <w:rPr>
          <w:rFonts w:hint="eastAsia" w:ascii="宋体" w:hAnsi="宋体"/>
          <w:szCs w:val="21"/>
        </w:rPr>
        <w:t>产品质量：符合国家相关标准及招标人标准要求；</w:t>
      </w:r>
    </w:p>
    <w:p>
      <w:pPr>
        <w:widowControl/>
        <w:numPr>
          <w:ilvl w:val="0"/>
          <w:numId w:val="28"/>
        </w:numPr>
        <w:spacing w:line="360" w:lineRule="auto"/>
        <w:ind w:left="525" w:leftChars="250"/>
        <w:jc w:val="left"/>
        <w:rPr>
          <w:rFonts w:hint="eastAsia" w:ascii="宋体" w:hAnsi="宋体"/>
          <w:szCs w:val="21"/>
        </w:rPr>
      </w:pPr>
      <w:r>
        <w:rPr>
          <w:rFonts w:hint="eastAsia" w:ascii="宋体" w:hAnsi="宋体"/>
          <w:szCs w:val="21"/>
        </w:rPr>
        <w:t>数量：1台</w:t>
      </w:r>
    </w:p>
    <w:p>
      <w:pPr>
        <w:widowControl/>
        <w:numPr>
          <w:ilvl w:val="0"/>
          <w:numId w:val="28"/>
        </w:numPr>
        <w:spacing w:line="360" w:lineRule="auto"/>
        <w:ind w:left="525" w:leftChars="250"/>
        <w:jc w:val="left"/>
        <w:rPr>
          <w:rFonts w:hint="eastAsia" w:ascii="宋体" w:hAnsi="宋体"/>
          <w:szCs w:val="21"/>
        </w:rPr>
      </w:pPr>
      <w:r>
        <w:rPr>
          <w:rFonts w:hint="eastAsia" w:ascii="宋体" w:hAnsi="宋体" w:cs="宋体"/>
          <w:szCs w:val="21"/>
        </w:rPr>
        <w:t>码垛方式：整层码垛（24入10-12箱/层，12入17-19箱/层），码垛速度要求完成一层码垛时间需控制在20秒内，且具备自动清仓功能。</w:t>
      </w:r>
    </w:p>
    <w:p>
      <w:pPr>
        <w:widowControl/>
        <w:numPr>
          <w:ilvl w:val="0"/>
          <w:numId w:val="28"/>
        </w:numPr>
        <w:spacing w:line="360" w:lineRule="auto"/>
        <w:ind w:left="525" w:leftChars="250"/>
        <w:jc w:val="left"/>
        <w:rPr>
          <w:rFonts w:hint="eastAsia" w:ascii="宋体" w:hAnsi="宋体"/>
          <w:szCs w:val="21"/>
        </w:rPr>
      </w:pPr>
      <w:r>
        <w:rPr>
          <w:rFonts w:hint="eastAsia" w:ascii="宋体" w:hAnsi="宋体"/>
          <w:szCs w:val="21"/>
        </w:rPr>
        <w:t>码垛工作时不能掉箱；</w:t>
      </w:r>
    </w:p>
    <w:p>
      <w:pPr>
        <w:widowControl/>
        <w:numPr>
          <w:ilvl w:val="0"/>
          <w:numId w:val="28"/>
        </w:numPr>
        <w:spacing w:line="360" w:lineRule="auto"/>
        <w:ind w:left="525" w:leftChars="250"/>
        <w:jc w:val="left"/>
        <w:rPr>
          <w:rFonts w:hint="eastAsia" w:ascii="宋体" w:hAnsi="宋体"/>
          <w:szCs w:val="21"/>
        </w:rPr>
      </w:pPr>
      <w:r>
        <w:rPr>
          <w:rFonts w:hint="eastAsia" w:ascii="宋体" w:hAnsi="宋体"/>
          <w:szCs w:val="21"/>
        </w:rPr>
        <w:t>码好的纸箱要求相互之间紧靠，纸箱之间的间隙不大于</w:t>
      </w:r>
      <w:r>
        <w:rPr>
          <w:rFonts w:ascii="宋体" w:hAnsi="宋体"/>
          <w:szCs w:val="21"/>
        </w:rPr>
        <w:t>5</w:t>
      </w:r>
      <w:r>
        <w:rPr>
          <w:rFonts w:hint="eastAsia" w:ascii="宋体" w:hAnsi="宋体"/>
          <w:szCs w:val="21"/>
        </w:rPr>
        <w:t>mm，上下层纸箱的外沿错位不大于</w:t>
      </w:r>
      <w:r>
        <w:rPr>
          <w:rFonts w:ascii="宋体" w:hAnsi="宋体"/>
          <w:szCs w:val="21"/>
        </w:rPr>
        <w:t>10</w:t>
      </w:r>
      <w:r>
        <w:rPr>
          <w:rFonts w:hint="eastAsia" w:ascii="宋体" w:hAnsi="宋体"/>
          <w:szCs w:val="21"/>
        </w:rPr>
        <w:t>mm；</w:t>
      </w:r>
    </w:p>
    <w:p>
      <w:pPr>
        <w:widowControl/>
        <w:numPr>
          <w:ilvl w:val="0"/>
          <w:numId w:val="28"/>
        </w:numPr>
        <w:spacing w:line="360" w:lineRule="auto"/>
        <w:ind w:left="525" w:leftChars="250"/>
        <w:jc w:val="left"/>
        <w:rPr>
          <w:rFonts w:hint="eastAsia" w:ascii="宋体" w:hAnsi="宋体"/>
          <w:szCs w:val="21"/>
        </w:rPr>
      </w:pPr>
      <w:r>
        <w:rPr>
          <w:rFonts w:hint="eastAsia" w:ascii="宋体" w:hAnsi="宋体"/>
          <w:szCs w:val="21"/>
        </w:rPr>
        <w:t>码好的纸箱要求处于托盘中间部位，垛箱中心与托盘中心误差不大于</w:t>
      </w:r>
      <w:r>
        <w:rPr>
          <w:rFonts w:ascii="宋体" w:hAnsi="宋体"/>
          <w:szCs w:val="21"/>
        </w:rPr>
        <w:t>1</w:t>
      </w:r>
      <w:r>
        <w:rPr>
          <w:rFonts w:hint="eastAsia" w:ascii="宋体" w:hAnsi="宋体"/>
          <w:szCs w:val="21"/>
        </w:rPr>
        <w:t>0mm，同时垛箱外形不超出托盘边缘</w:t>
      </w:r>
      <w:r>
        <w:rPr>
          <w:rFonts w:ascii="宋体" w:hAnsi="宋体"/>
          <w:szCs w:val="21"/>
        </w:rPr>
        <w:t>25mm</w:t>
      </w:r>
      <w:r>
        <w:rPr>
          <w:rFonts w:hint="eastAsia" w:ascii="宋体" w:hAnsi="宋体"/>
          <w:szCs w:val="21"/>
        </w:rPr>
        <w:t>。</w:t>
      </w:r>
    </w:p>
    <w:p>
      <w:pPr>
        <w:widowControl/>
        <w:numPr>
          <w:ilvl w:val="0"/>
          <w:numId w:val="28"/>
        </w:numPr>
        <w:spacing w:line="360" w:lineRule="auto"/>
        <w:ind w:left="525" w:leftChars="250"/>
        <w:jc w:val="left"/>
        <w:rPr>
          <w:rFonts w:hint="eastAsia" w:ascii="宋体" w:hAnsi="宋体"/>
          <w:szCs w:val="21"/>
        </w:rPr>
      </w:pPr>
      <w:r>
        <w:rPr>
          <w:rFonts w:hint="eastAsia" w:ascii="宋体" w:hAnsi="宋体"/>
          <w:szCs w:val="21"/>
        </w:rPr>
        <w:t>机械机构简单可靠；</w:t>
      </w:r>
    </w:p>
    <w:p>
      <w:pPr>
        <w:widowControl/>
        <w:numPr>
          <w:ilvl w:val="0"/>
          <w:numId w:val="28"/>
        </w:numPr>
        <w:spacing w:line="360" w:lineRule="auto"/>
        <w:ind w:left="525" w:leftChars="250"/>
        <w:jc w:val="left"/>
        <w:rPr>
          <w:rFonts w:hint="eastAsia" w:ascii="宋体" w:hAnsi="宋体"/>
          <w:szCs w:val="21"/>
        </w:rPr>
      </w:pPr>
      <w:r>
        <w:rPr>
          <w:rFonts w:hint="eastAsia" w:ascii="宋体" w:hAnsi="宋体"/>
          <w:szCs w:val="21"/>
        </w:rPr>
        <w:t>奇数层与偶数层相互交错叠垛；卡板尺寸：</w:t>
      </w:r>
      <w:r>
        <w:rPr>
          <w:rFonts w:hint="eastAsia" w:ascii="宋体" w:hAnsi="宋体" w:eastAsia="宋体" w:cs="宋体"/>
          <w:szCs w:val="21"/>
        </w:rPr>
        <w:t>1100mm*1230mm*150mm或1000mm*1200mm*150mm</w:t>
      </w:r>
      <w:r>
        <w:rPr>
          <w:rFonts w:hint="eastAsia" w:ascii="宋体" w:hAnsi="宋体"/>
          <w:szCs w:val="21"/>
        </w:rPr>
        <w:t>。</w:t>
      </w:r>
    </w:p>
    <w:p>
      <w:pPr>
        <w:widowControl/>
        <w:numPr>
          <w:ilvl w:val="0"/>
          <w:numId w:val="28"/>
        </w:numPr>
        <w:spacing w:line="360" w:lineRule="auto"/>
        <w:ind w:left="525" w:leftChars="250"/>
        <w:jc w:val="left"/>
        <w:rPr>
          <w:rFonts w:hint="eastAsia" w:ascii="宋体" w:hAnsi="宋体"/>
          <w:szCs w:val="21"/>
        </w:rPr>
      </w:pPr>
      <w:r>
        <w:rPr>
          <w:rFonts w:hint="eastAsia" w:ascii="宋体" w:hAnsi="宋体"/>
          <w:kern w:val="0"/>
          <w:szCs w:val="21"/>
        </w:rPr>
        <w:t>设备的安全防护符合国家相关标准及招标人标准要求</w:t>
      </w:r>
      <w:r>
        <w:rPr>
          <w:rFonts w:hint="eastAsia" w:ascii="宋体" w:hAnsi="宋体"/>
          <w:szCs w:val="21"/>
        </w:rPr>
        <w:t>；</w:t>
      </w:r>
    </w:p>
    <w:p>
      <w:pPr>
        <w:widowControl/>
        <w:numPr>
          <w:ilvl w:val="0"/>
          <w:numId w:val="28"/>
        </w:numPr>
        <w:spacing w:line="360" w:lineRule="auto"/>
        <w:ind w:left="525" w:leftChars="250"/>
        <w:jc w:val="left"/>
        <w:rPr>
          <w:rFonts w:hint="eastAsia" w:ascii="宋体" w:hAnsi="宋体"/>
          <w:szCs w:val="21"/>
        </w:rPr>
      </w:pPr>
      <w:r>
        <w:rPr>
          <w:rFonts w:hint="eastAsia" w:ascii="宋体" w:hAnsi="宋体"/>
          <w:szCs w:val="21"/>
        </w:rPr>
        <w:t>需要预留安装基础，投标方须</w:t>
      </w:r>
      <w:r>
        <w:rPr>
          <w:rFonts w:hint="eastAsia" w:ascii="宋体" w:hAnsi="宋体" w:eastAsia="宋体" w:cs="Times New Roman"/>
          <w:szCs w:val="21"/>
        </w:rPr>
        <w:t>中标后7天内提供</w:t>
      </w:r>
      <w:r>
        <w:rPr>
          <w:rFonts w:hint="eastAsia" w:ascii="宋体" w:hAnsi="宋体"/>
          <w:szCs w:val="21"/>
        </w:rPr>
        <w:t>码垛机安装基础参数</w:t>
      </w:r>
      <w:r>
        <w:rPr>
          <w:rFonts w:hint="eastAsia" w:ascii="宋体" w:hAnsi="宋体" w:eastAsia="宋体" w:cs="Times New Roman"/>
          <w:szCs w:val="21"/>
        </w:rPr>
        <w:t>，</w:t>
      </w:r>
      <w:r>
        <w:rPr>
          <w:rFonts w:hint="eastAsia" w:ascii="宋体" w:hAnsi="宋体"/>
          <w:szCs w:val="21"/>
        </w:rPr>
        <w:t>方便招标方进行基础预埋工作</w:t>
      </w:r>
      <w:r>
        <w:rPr>
          <w:rFonts w:hint="eastAsia" w:ascii="宋体" w:hAnsi="宋体"/>
          <w:kern w:val="0"/>
          <w:szCs w:val="21"/>
        </w:rPr>
        <w:t>。</w:t>
      </w:r>
    </w:p>
    <w:p>
      <w:pPr>
        <w:spacing w:line="360" w:lineRule="auto"/>
        <w:rPr>
          <w:rFonts w:hint="eastAsia" w:ascii="宋体" w:hAnsi="宋体"/>
          <w:b/>
          <w:szCs w:val="21"/>
        </w:rPr>
      </w:pPr>
      <w:r>
        <w:rPr>
          <w:rFonts w:hint="eastAsia" w:ascii="宋体" w:hAnsi="宋体"/>
          <w:b/>
          <w:szCs w:val="21"/>
        </w:rPr>
        <w:t>（2）硬件配置</w:t>
      </w:r>
    </w:p>
    <w:p>
      <w:pPr>
        <w:widowControl/>
        <w:numPr>
          <w:ilvl w:val="0"/>
          <w:numId w:val="29"/>
        </w:numPr>
        <w:spacing w:line="360" w:lineRule="auto"/>
        <w:ind w:left="525" w:leftChars="250"/>
        <w:jc w:val="left"/>
        <w:rPr>
          <w:rFonts w:hint="eastAsia" w:ascii="宋体" w:hAnsi="宋体"/>
          <w:szCs w:val="21"/>
        </w:rPr>
      </w:pPr>
      <w:r>
        <w:rPr>
          <w:rFonts w:hint="eastAsia" w:ascii="宋体" w:hAnsi="宋体"/>
          <w:szCs w:val="21"/>
        </w:rPr>
        <w:t>自动机器人：采用</w:t>
      </w:r>
      <w:r>
        <w:rPr>
          <w:rFonts w:ascii="宋体" w:hAnsi="宋体"/>
          <w:szCs w:val="21"/>
        </w:rPr>
        <w:t>KUKA库卡</w:t>
      </w:r>
      <w:r>
        <w:rPr>
          <w:rFonts w:hint="eastAsia" w:ascii="宋体" w:hAnsi="宋体"/>
          <w:szCs w:val="21"/>
        </w:rPr>
        <w:t>、ABB、</w:t>
      </w:r>
      <w:r>
        <w:rPr>
          <w:rFonts w:ascii="宋体" w:hAnsi="宋体"/>
          <w:szCs w:val="21"/>
        </w:rPr>
        <w:t>FANUC</w:t>
      </w:r>
      <w:r>
        <w:rPr>
          <w:rFonts w:hint="eastAsia" w:ascii="宋体" w:hAnsi="宋体"/>
          <w:szCs w:val="21"/>
        </w:rPr>
        <w:t>发那科</w:t>
      </w:r>
      <w:r>
        <w:rPr>
          <w:rFonts w:hint="eastAsia" w:ascii="宋体" w:hAnsi="宋体"/>
          <w:sz w:val="20"/>
          <w:szCs w:val="20"/>
        </w:rPr>
        <w:t>或同等及以上品牌</w:t>
      </w:r>
      <w:r>
        <w:rPr>
          <w:rFonts w:hint="eastAsia" w:ascii="宋体" w:hAnsi="宋体"/>
          <w:szCs w:val="21"/>
        </w:rPr>
        <w:t>,自动机器人码垛机</w:t>
      </w:r>
      <w:r>
        <w:rPr>
          <w:rFonts w:ascii="宋体" w:hAnsi="宋体"/>
          <w:szCs w:val="21"/>
        </w:rPr>
        <w:t>,</w:t>
      </w:r>
      <w:r>
        <w:rPr>
          <w:rFonts w:hint="eastAsia" w:ascii="宋体" w:hAnsi="宋体"/>
        </w:rPr>
        <w:t xml:space="preserve"> </w:t>
      </w:r>
      <w:r>
        <w:rPr>
          <w:rFonts w:hint="eastAsia" w:ascii="宋体" w:hAnsi="宋体"/>
          <w:szCs w:val="21"/>
        </w:rPr>
        <w:t>有效载荷满足除去夹具等附属设备外的箱包重量，（箱包重量24入108Kg/层，12入90Kg/层）。</w:t>
      </w:r>
    </w:p>
    <w:p>
      <w:pPr>
        <w:widowControl/>
        <w:numPr>
          <w:ilvl w:val="0"/>
          <w:numId w:val="29"/>
        </w:numPr>
        <w:spacing w:line="360" w:lineRule="auto"/>
        <w:ind w:left="525" w:leftChars="250"/>
        <w:jc w:val="left"/>
        <w:rPr>
          <w:rFonts w:hint="eastAsia" w:ascii="宋体" w:hAnsi="宋体"/>
          <w:szCs w:val="21"/>
        </w:rPr>
      </w:pPr>
      <w:r>
        <w:rPr>
          <w:rFonts w:hint="eastAsia" w:ascii="宋体" w:hAnsi="宋体"/>
          <w:szCs w:val="21"/>
        </w:rPr>
        <w:t>每台自动机器人码垛机能同时满足2种品项产品分别码垛，两台包装机后端有独立的编组平台。</w:t>
      </w:r>
    </w:p>
    <w:p>
      <w:pPr>
        <w:widowControl/>
        <w:numPr>
          <w:ilvl w:val="0"/>
          <w:numId w:val="29"/>
        </w:numPr>
        <w:spacing w:line="360" w:lineRule="auto"/>
        <w:ind w:left="525" w:leftChars="250"/>
        <w:jc w:val="left"/>
        <w:rPr>
          <w:rFonts w:hint="eastAsia" w:ascii="宋体" w:hAnsi="宋体"/>
          <w:szCs w:val="21"/>
        </w:rPr>
      </w:pPr>
      <w:r>
        <w:rPr>
          <w:rFonts w:hint="eastAsia" w:ascii="宋体" w:hAnsi="宋体"/>
          <w:szCs w:val="21"/>
        </w:rPr>
        <w:t>自动机器人码垛机前端输送带具有自动理箱功能，满足整层码垛要求，采用对夹式2片卷帘，夹具方便美观。</w:t>
      </w:r>
    </w:p>
    <w:p>
      <w:pPr>
        <w:widowControl/>
        <w:numPr>
          <w:ilvl w:val="0"/>
          <w:numId w:val="29"/>
        </w:numPr>
        <w:spacing w:line="360" w:lineRule="auto"/>
        <w:ind w:left="525" w:leftChars="250"/>
        <w:jc w:val="left"/>
        <w:rPr>
          <w:rFonts w:hint="eastAsia" w:ascii="宋体" w:hAnsi="宋体"/>
          <w:szCs w:val="21"/>
        </w:rPr>
      </w:pPr>
      <w:r>
        <w:rPr>
          <w:rFonts w:hint="eastAsia" w:ascii="宋体" w:hAnsi="宋体"/>
          <w:szCs w:val="21"/>
        </w:rPr>
        <w:t>码垛机为外转箱，即是转箱机构远离编组台，转箱机构设在安全护栏外，转箱机构与编组台之间至少可以缓冲一层箱。</w:t>
      </w:r>
    </w:p>
    <w:p>
      <w:pPr>
        <w:widowControl/>
        <w:numPr>
          <w:ilvl w:val="0"/>
          <w:numId w:val="29"/>
        </w:numPr>
        <w:spacing w:line="360" w:lineRule="auto"/>
        <w:ind w:left="525" w:leftChars="250"/>
        <w:jc w:val="left"/>
        <w:rPr>
          <w:rFonts w:hint="eastAsia" w:ascii="宋体" w:hAnsi="宋体"/>
          <w:szCs w:val="21"/>
        </w:rPr>
      </w:pPr>
      <w:r>
        <w:rPr>
          <w:rFonts w:hint="eastAsia" w:ascii="宋体" w:hAnsi="宋体"/>
          <w:szCs w:val="21"/>
        </w:rPr>
        <w:t>本标段范围内的设备动力及控制用线槽桥架或配线管由设备供应商负责及安装，电缆及控制用元器件由投标方自己供给。</w:t>
      </w:r>
    </w:p>
    <w:p>
      <w:pPr>
        <w:widowControl/>
        <w:numPr>
          <w:ilvl w:val="0"/>
          <w:numId w:val="29"/>
        </w:numPr>
        <w:spacing w:line="360" w:lineRule="auto"/>
        <w:ind w:left="525" w:leftChars="250"/>
        <w:jc w:val="left"/>
        <w:rPr>
          <w:rFonts w:hint="eastAsia" w:ascii="宋体" w:hAnsi="宋体"/>
          <w:szCs w:val="21"/>
        </w:rPr>
      </w:pPr>
      <w:r>
        <w:rPr>
          <w:rFonts w:hint="eastAsia" w:ascii="宋体" w:hAnsi="宋体"/>
          <w:szCs w:val="21"/>
        </w:rPr>
        <w:t>自动机器人码垛机主电柜由供应商负责，电柜需要进行烤漆或喷塑，安装有工业空调和声光报警器。</w:t>
      </w:r>
    </w:p>
    <w:p>
      <w:pPr>
        <w:widowControl/>
        <w:numPr>
          <w:ilvl w:val="0"/>
          <w:numId w:val="29"/>
        </w:numPr>
        <w:spacing w:line="360" w:lineRule="auto"/>
        <w:ind w:left="525" w:leftChars="250"/>
        <w:jc w:val="left"/>
        <w:rPr>
          <w:rFonts w:hint="eastAsia" w:ascii="宋体" w:hAnsi="宋体"/>
          <w:szCs w:val="21"/>
        </w:rPr>
      </w:pPr>
      <w:r>
        <w:rPr>
          <w:rFonts w:hint="eastAsia" w:ascii="宋体" w:hAnsi="宋体"/>
          <w:szCs w:val="21"/>
        </w:rPr>
        <w:t>自动机器人码垛机控制电缆、设备的驱动电缆等由投标方负责。</w:t>
      </w:r>
    </w:p>
    <w:p>
      <w:pPr>
        <w:widowControl/>
        <w:numPr>
          <w:ilvl w:val="0"/>
          <w:numId w:val="29"/>
        </w:numPr>
        <w:spacing w:line="360" w:lineRule="auto"/>
        <w:ind w:left="525" w:leftChars="250"/>
        <w:jc w:val="left"/>
        <w:rPr>
          <w:rFonts w:hint="eastAsia" w:ascii="宋体" w:hAnsi="宋体"/>
          <w:szCs w:val="21"/>
        </w:rPr>
      </w:pPr>
      <w:r>
        <w:rPr>
          <w:rFonts w:hint="eastAsia" w:ascii="宋体" w:hAnsi="宋体"/>
          <w:szCs w:val="21"/>
        </w:rPr>
        <w:t>所有的电缆线槽、线管、桥架、支架、穿线管材料为304不锈钢，厚度满足国家或行业标准。</w:t>
      </w:r>
    </w:p>
    <w:p>
      <w:pPr>
        <w:widowControl/>
        <w:numPr>
          <w:ilvl w:val="0"/>
          <w:numId w:val="29"/>
        </w:numPr>
        <w:spacing w:line="360" w:lineRule="auto"/>
        <w:ind w:left="525" w:leftChars="250"/>
        <w:jc w:val="left"/>
        <w:rPr>
          <w:rFonts w:hint="eastAsia" w:ascii="宋体" w:hAnsi="宋体"/>
          <w:szCs w:val="21"/>
        </w:rPr>
      </w:pPr>
      <w:r>
        <w:rPr>
          <w:rFonts w:hint="eastAsia" w:ascii="宋体" w:hAnsi="宋体"/>
          <w:szCs w:val="21"/>
        </w:rPr>
        <w:t>夹具机械部件采用304不锈钢制成。</w:t>
      </w:r>
    </w:p>
    <w:p>
      <w:pPr>
        <w:widowControl/>
        <w:numPr>
          <w:ilvl w:val="0"/>
          <w:numId w:val="29"/>
        </w:numPr>
        <w:spacing w:line="360" w:lineRule="auto"/>
        <w:ind w:left="525" w:leftChars="250"/>
        <w:jc w:val="left"/>
        <w:rPr>
          <w:rFonts w:hint="eastAsia" w:ascii="宋体" w:hAnsi="宋体"/>
          <w:szCs w:val="21"/>
        </w:rPr>
      </w:pPr>
      <w:r>
        <w:rPr>
          <w:rFonts w:ascii="宋体" w:hAnsi="宋体"/>
          <w:szCs w:val="21"/>
        </w:rPr>
        <w:t>设备码垛</w:t>
      </w:r>
      <w:r>
        <w:rPr>
          <w:rFonts w:hint="eastAsia" w:ascii="宋体" w:hAnsi="宋体"/>
          <w:szCs w:val="21"/>
        </w:rPr>
        <w:t>工作</w:t>
      </w:r>
      <w:r>
        <w:rPr>
          <w:rFonts w:ascii="宋体" w:hAnsi="宋体"/>
          <w:szCs w:val="21"/>
        </w:rPr>
        <w:t>位置重复精度</w:t>
      </w:r>
      <w:r>
        <w:rPr>
          <w:rFonts w:hint="eastAsia" w:ascii="宋体" w:hAnsi="宋体"/>
          <w:szCs w:val="21"/>
        </w:rPr>
        <w:t>±0</w:t>
      </w:r>
      <w:r>
        <w:rPr>
          <w:rFonts w:ascii="宋体" w:hAnsi="宋体"/>
          <w:szCs w:val="21"/>
        </w:rPr>
        <w:t>.2mm</w:t>
      </w:r>
      <w:r>
        <w:rPr>
          <w:rFonts w:hint="eastAsia" w:ascii="宋体" w:hAnsi="宋体"/>
          <w:szCs w:val="21"/>
        </w:rPr>
        <w:t>。</w:t>
      </w:r>
    </w:p>
    <w:p>
      <w:pPr>
        <w:widowControl/>
        <w:numPr>
          <w:ilvl w:val="0"/>
          <w:numId w:val="29"/>
        </w:numPr>
        <w:spacing w:line="360" w:lineRule="auto"/>
        <w:ind w:left="525" w:leftChars="250"/>
        <w:jc w:val="left"/>
        <w:rPr>
          <w:rFonts w:hint="eastAsia" w:ascii="宋体" w:hAnsi="宋体"/>
          <w:szCs w:val="21"/>
        </w:rPr>
      </w:pPr>
      <w:r>
        <w:rPr>
          <w:rFonts w:hint="eastAsia" w:ascii="宋体" w:hAnsi="宋体"/>
          <w:szCs w:val="21"/>
        </w:rPr>
        <w:t>自动放置空托盘自动供给(电机控制)，在空托盘处有手动、半自动和全自动操作功能。</w:t>
      </w:r>
    </w:p>
    <w:p>
      <w:pPr>
        <w:widowControl/>
        <w:numPr>
          <w:ilvl w:val="0"/>
          <w:numId w:val="29"/>
        </w:numPr>
        <w:spacing w:line="360" w:lineRule="auto"/>
        <w:ind w:left="525" w:leftChars="250"/>
        <w:jc w:val="left"/>
        <w:rPr>
          <w:rFonts w:hint="eastAsia" w:ascii="宋体" w:hAnsi="宋体"/>
          <w:b/>
          <w:kern w:val="0"/>
          <w:szCs w:val="21"/>
        </w:rPr>
      </w:pPr>
      <w:r>
        <w:rPr>
          <w:rFonts w:hint="eastAsia" w:ascii="宋体" w:hAnsi="宋体"/>
          <w:szCs w:val="21"/>
        </w:rPr>
        <w:t>设备气源配气液三联体，气源球阀开关、调压阀、压力检测开关等。</w:t>
      </w:r>
    </w:p>
    <w:p>
      <w:pPr>
        <w:widowControl/>
        <w:numPr>
          <w:ilvl w:val="0"/>
          <w:numId w:val="29"/>
        </w:numPr>
        <w:spacing w:line="360" w:lineRule="auto"/>
        <w:ind w:left="525" w:leftChars="250"/>
        <w:jc w:val="left"/>
        <w:rPr>
          <w:rFonts w:hint="eastAsia" w:ascii="宋体" w:hAnsi="宋体"/>
          <w:bCs/>
          <w:kern w:val="0"/>
          <w:szCs w:val="21"/>
        </w:rPr>
      </w:pPr>
      <w:r>
        <w:rPr>
          <w:rFonts w:hint="eastAsia" w:ascii="宋体" w:hAnsi="宋体"/>
          <w:bCs/>
          <w:kern w:val="0"/>
          <w:szCs w:val="21"/>
        </w:rPr>
        <w:t>设立一套自动空托盘集中供给系统，托盘仓至少存放10个以上托盘。</w:t>
      </w:r>
    </w:p>
    <w:p>
      <w:pPr>
        <w:widowControl/>
        <w:numPr>
          <w:ilvl w:val="0"/>
          <w:numId w:val="29"/>
        </w:numPr>
        <w:spacing w:line="360" w:lineRule="auto"/>
        <w:ind w:left="525" w:leftChars="250"/>
        <w:jc w:val="left"/>
        <w:rPr>
          <w:rFonts w:hint="eastAsia" w:ascii="宋体" w:hAnsi="宋体"/>
          <w:b/>
          <w:kern w:val="0"/>
          <w:szCs w:val="21"/>
        </w:rPr>
      </w:pPr>
      <w:r>
        <w:rPr>
          <w:rFonts w:hint="eastAsia" w:ascii="宋体" w:hAnsi="宋体"/>
          <w:szCs w:val="21"/>
        </w:rPr>
        <w:t>每个出垛产品缓冲不少于</w:t>
      </w:r>
      <w:r>
        <w:rPr>
          <w:rFonts w:ascii="宋体" w:hAnsi="宋体"/>
          <w:szCs w:val="21"/>
        </w:rPr>
        <w:t>3</w:t>
      </w:r>
      <w:r>
        <w:rPr>
          <w:rFonts w:hint="eastAsia" w:ascii="宋体" w:hAnsi="宋体"/>
          <w:szCs w:val="21"/>
        </w:rPr>
        <w:t>垛（含码垛区）。</w:t>
      </w:r>
    </w:p>
    <w:p>
      <w:pPr>
        <w:widowControl/>
        <w:spacing w:line="360" w:lineRule="auto"/>
        <w:jc w:val="left"/>
        <w:rPr>
          <w:rFonts w:hint="eastAsia" w:ascii="宋体" w:hAnsi="宋体"/>
          <w:b/>
          <w:kern w:val="0"/>
          <w:szCs w:val="21"/>
        </w:rPr>
      </w:pPr>
      <w:r>
        <w:rPr>
          <w:rFonts w:hint="eastAsia" w:ascii="宋体" w:hAnsi="宋体"/>
          <w:b/>
          <w:kern w:val="0"/>
          <w:szCs w:val="21"/>
        </w:rPr>
        <w:t>（3）电气硬件</w:t>
      </w:r>
      <w:r>
        <w:rPr>
          <w:rFonts w:ascii="宋体" w:hAnsi="宋体"/>
          <w:b/>
          <w:kern w:val="0"/>
          <w:szCs w:val="21"/>
        </w:rPr>
        <w:t>要求</w:t>
      </w:r>
    </w:p>
    <w:p>
      <w:pPr>
        <w:widowControl/>
        <w:numPr>
          <w:ilvl w:val="2"/>
          <w:numId w:val="30"/>
        </w:numPr>
        <w:spacing w:line="360" w:lineRule="auto"/>
        <w:ind w:left="987"/>
        <w:jc w:val="left"/>
        <w:rPr>
          <w:rFonts w:hint="eastAsia" w:ascii="宋体" w:hAnsi="宋体"/>
          <w:szCs w:val="21"/>
        </w:rPr>
      </w:pPr>
      <w:r>
        <w:rPr>
          <w:rFonts w:ascii="宋体" w:hAnsi="宋体"/>
          <w:szCs w:val="21"/>
        </w:rPr>
        <w:t>控制柜的进、出线都需做好标记，表明线路的具体走向；所有动力线及控制线中间不准有接头</w:t>
      </w:r>
      <w:r>
        <w:rPr>
          <w:rFonts w:hint="eastAsia" w:ascii="宋体" w:hAnsi="宋体"/>
          <w:szCs w:val="21"/>
        </w:rPr>
        <w:t>；</w:t>
      </w:r>
      <w:r>
        <w:rPr>
          <w:rFonts w:ascii="宋体" w:hAnsi="宋体"/>
          <w:szCs w:val="21"/>
        </w:rPr>
        <w:t>所有电气元件末端需要进行标识</w:t>
      </w:r>
      <w:r>
        <w:rPr>
          <w:rFonts w:hint="eastAsia" w:ascii="宋体" w:hAnsi="宋体"/>
          <w:szCs w:val="21"/>
        </w:rPr>
        <w:t>。</w:t>
      </w:r>
    </w:p>
    <w:p>
      <w:pPr>
        <w:numPr>
          <w:ilvl w:val="2"/>
          <w:numId w:val="30"/>
        </w:numPr>
        <w:spacing w:line="360" w:lineRule="auto"/>
        <w:ind w:left="987"/>
        <w:rPr>
          <w:rFonts w:hint="eastAsia" w:ascii="宋体" w:hAnsi="宋体"/>
          <w:szCs w:val="21"/>
        </w:rPr>
      </w:pPr>
      <w:r>
        <w:rPr>
          <w:rFonts w:hint="eastAsia" w:ascii="宋体" w:hAnsi="宋体"/>
          <w:szCs w:val="21"/>
        </w:rPr>
        <w:t>机上布线应内置不得外露，与电气设备或器件的连接要有合适的接头过渡。机上敷设的桥架、线管和接头要标准美观，不得影响设备的整体视觉效果。</w:t>
      </w:r>
    </w:p>
    <w:p>
      <w:pPr>
        <w:widowControl/>
        <w:numPr>
          <w:ilvl w:val="2"/>
          <w:numId w:val="30"/>
        </w:numPr>
        <w:spacing w:line="360" w:lineRule="auto"/>
        <w:ind w:left="987"/>
        <w:jc w:val="left"/>
        <w:rPr>
          <w:rFonts w:hint="eastAsia" w:ascii="宋体" w:hAnsi="宋体"/>
          <w:szCs w:val="21"/>
        </w:rPr>
      </w:pPr>
      <w:r>
        <w:rPr>
          <w:rFonts w:hint="eastAsia" w:ascii="宋体" w:hAnsi="宋体"/>
          <w:szCs w:val="21"/>
        </w:rPr>
        <w:t>输送带的所有外露轴头、链条传动部位等均须含有SUS304不锈钢防护罩，输送线上的检测传感器须含有防护装置。</w:t>
      </w:r>
    </w:p>
    <w:p>
      <w:pPr>
        <w:widowControl/>
        <w:numPr>
          <w:ilvl w:val="2"/>
          <w:numId w:val="30"/>
        </w:numPr>
        <w:spacing w:line="360" w:lineRule="auto"/>
        <w:ind w:left="987"/>
        <w:jc w:val="left"/>
        <w:rPr>
          <w:rFonts w:hint="eastAsia" w:ascii="宋体" w:hAnsi="宋体"/>
          <w:szCs w:val="21"/>
        </w:rPr>
      </w:pPr>
      <w:r>
        <w:rPr>
          <w:rFonts w:hint="eastAsia" w:ascii="宋体" w:hAnsi="宋体"/>
          <w:szCs w:val="21"/>
        </w:rPr>
        <w:t>自动机器人码垛机四周配有安全防护光栅及护栏，且具备安全停机保护装置。</w:t>
      </w:r>
    </w:p>
    <w:p>
      <w:pPr>
        <w:widowControl/>
        <w:numPr>
          <w:ilvl w:val="2"/>
          <w:numId w:val="30"/>
        </w:numPr>
        <w:spacing w:line="360" w:lineRule="auto"/>
        <w:ind w:left="987"/>
        <w:jc w:val="left"/>
        <w:rPr>
          <w:rFonts w:hint="eastAsia" w:ascii="宋体" w:hAnsi="宋体"/>
          <w:szCs w:val="21"/>
        </w:rPr>
      </w:pPr>
      <w:r>
        <w:rPr>
          <w:rFonts w:ascii="宋体" w:hAnsi="宋体"/>
          <w:szCs w:val="21"/>
        </w:rPr>
        <w:t>机器人及手腕防护等级</w:t>
      </w:r>
      <w:r>
        <w:rPr>
          <w:rFonts w:hint="eastAsia" w:ascii="宋体" w:hAnsi="宋体"/>
          <w:szCs w:val="21"/>
        </w:rPr>
        <w:t>I</w:t>
      </w:r>
      <w:r>
        <w:rPr>
          <w:rFonts w:ascii="宋体" w:hAnsi="宋体"/>
          <w:szCs w:val="21"/>
        </w:rPr>
        <w:t>P65</w:t>
      </w:r>
      <w:r>
        <w:rPr>
          <w:rFonts w:hint="eastAsia" w:ascii="宋体" w:hAnsi="宋体"/>
          <w:szCs w:val="21"/>
        </w:rPr>
        <w:t>。</w:t>
      </w:r>
    </w:p>
    <w:p>
      <w:pPr>
        <w:widowControl/>
        <w:spacing w:line="360" w:lineRule="auto"/>
        <w:jc w:val="left"/>
        <w:rPr>
          <w:rFonts w:hint="eastAsia" w:ascii="宋体" w:hAnsi="宋体"/>
          <w:b/>
          <w:kern w:val="0"/>
          <w:szCs w:val="21"/>
        </w:rPr>
      </w:pPr>
      <w:r>
        <w:rPr>
          <w:rFonts w:hint="eastAsia" w:ascii="宋体" w:hAnsi="宋体"/>
          <w:b/>
          <w:kern w:val="0"/>
          <w:szCs w:val="21"/>
        </w:rPr>
        <w:t>（4）电气软件要求</w:t>
      </w:r>
    </w:p>
    <w:p>
      <w:pPr>
        <w:numPr>
          <w:ilvl w:val="0"/>
          <w:numId w:val="31"/>
        </w:numPr>
        <w:spacing w:line="360" w:lineRule="auto"/>
        <w:ind w:left="992"/>
        <w:rPr>
          <w:rFonts w:hint="eastAsia" w:ascii="宋体" w:hAnsi="宋体"/>
          <w:szCs w:val="21"/>
        </w:rPr>
      </w:pPr>
      <w:r>
        <w:rPr>
          <w:rFonts w:hint="eastAsia" w:ascii="宋体" w:hAnsi="宋体"/>
          <w:szCs w:val="21"/>
        </w:rPr>
        <w:t>控制软件应是所选</w:t>
      </w:r>
      <w:r>
        <w:rPr>
          <w:rFonts w:ascii="宋体" w:hAnsi="宋体"/>
          <w:szCs w:val="21"/>
        </w:rPr>
        <w:t>PLC品牌的最新版本</w:t>
      </w:r>
      <w:r>
        <w:rPr>
          <w:rFonts w:hint="eastAsia" w:ascii="宋体" w:hAnsi="宋体"/>
          <w:szCs w:val="21"/>
        </w:rPr>
        <w:t>，PLC硬件和触摸屏均采用同一品牌。</w:t>
      </w:r>
    </w:p>
    <w:p>
      <w:pPr>
        <w:numPr>
          <w:ilvl w:val="0"/>
          <w:numId w:val="31"/>
        </w:numPr>
        <w:spacing w:line="360" w:lineRule="auto"/>
        <w:ind w:left="992"/>
        <w:rPr>
          <w:rFonts w:hint="eastAsia" w:ascii="宋体" w:hAnsi="宋体"/>
          <w:szCs w:val="21"/>
        </w:rPr>
      </w:pPr>
      <w:r>
        <w:rPr>
          <w:rFonts w:hint="eastAsia" w:ascii="宋体" w:hAnsi="宋体"/>
          <w:szCs w:val="21"/>
        </w:rPr>
        <w:t>PLC自带以太网通讯接口，能接受上位机监控，并开放通讯权限。</w:t>
      </w:r>
    </w:p>
    <w:p>
      <w:pPr>
        <w:numPr>
          <w:ilvl w:val="0"/>
          <w:numId w:val="31"/>
        </w:numPr>
        <w:spacing w:line="360" w:lineRule="auto"/>
        <w:ind w:left="992"/>
        <w:rPr>
          <w:rFonts w:hint="eastAsia" w:ascii="宋体" w:hAnsi="宋体"/>
          <w:szCs w:val="21"/>
        </w:rPr>
      </w:pPr>
      <w:r>
        <w:rPr>
          <w:rFonts w:hint="eastAsia" w:ascii="宋体" w:hAnsi="宋体"/>
          <w:szCs w:val="21"/>
        </w:rPr>
        <w:t>投标方需要承诺：PLC程序和触摸屏画面组态提供调试完成最终版程序，PLC、触膜屏、程序均不加密。</w:t>
      </w:r>
    </w:p>
    <w:p>
      <w:pPr>
        <w:numPr>
          <w:ilvl w:val="0"/>
          <w:numId w:val="31"/>
        </w:numPr>
        <w:spacing w:line="360" w:lineRule="auto"/>
        <w:ind w:left="992"/>
        <w:rPr>
          <w:rFonts w:hint="eastAsia" w:ascii="宋体" w:hAnsi="宋体"/>
          <w:szCs w:val="21"/>
        </w:rPr>
      </w:pPr>
      <w:r>
        <w:rPr>
          <w:rFonts w:hint="eastAsia" w:ascii="宋体" w:hAnsi="宋体"/>
          <w:szCs w:val="21"/>
        </w:rPr>
        <w:t>★机器人与PLC通过</w:t>
      </w:r>
      <w:bookmarkStart w:id="17" w:name="_Hlk128579617"/>
      <w:r>
        <w:rPr>
          <w:rFonts w:hint="eastAsia" w:ascii="宋体" w:hAnsi="宋体"/>
          <w:szCs w:val="21"/>
        </w:rPr>
        <w:t>EtherCAT、Profinet、Ethernet/IP三种总线之一</w:t>
      </w:r>
      <w:bookmarkEnd w:id="17"/>
      <w:r>
        <w:rPr>
          <w:rFonts w:hint="eastAsia" w:ascii="宋体" w:hAnsi="宋体"/>
          <w:szCs w:val="21"/>
        </w:rPr>
        <w:t>方式通信传递数据，机器运行参数在触摸屏配方参数范围内可修改，包含参数有：码垛坐标、机器人速度、机器人加速度、机器人与PLC之间互锁、机器人报警信息等。</w:t>
      </w:r>
    </w:p>
    <w:p>
      <w:pPr>
        <w:numPr>
          <w:ilvl w:val="0"/>
          <w:numId w:val="31"/>
        </w:numPr>
        <w:spacing w:line="360" w:lineRule="auto"/>
        <w:ind w:left="992"/>
        <w:rPr>
          <w:rFonts w:hint="eastAsia" w:ascii="宋体" w:hAnsi="宋体"/>
          <w:szCs w:val="21"/>
        </w:rPr>
      </w:pPr>
      <w:r>
        <w:rPr>
          <w:rFonts w:hint="eastAsia" w:ascii="宋体" w:hAnsi="宋体"/>
          <w:szCs w:val="21"/>
        </w:rPr>
        <w:t>码垛机运行参数采用在触摸屏设置配方的方式，一种码垛格式对应一组配方参数，可设置配方组数不少10组，配方名称可自由修改，配方参数含：各电机运行频率及启动停止延时、气缸的动作时间、PLC与机器人之间运行参数等。</w:t>
      </w:r>
    </w:p>
    <w:p>
      <w:pPr>
        <w:widowControl/>
        <w:numPr>
          <w:ilvl w:val="0"/>
          <w:numId w:val="31"/>
        </w:numPr>
        <w:spacing w:line="360" w:lineRule="auto"/>
        <w:ind w:left="992"/>
        <w:jc w:val="left"/>
        <w:rPr>
          <w:rFonts w:hint="eastAsia" w:ascii="宋体" w:hAnsi="宋体"/>
          <w:szCs w:val="21"/>
        </w:rPr>
      </w:pPr>
      <w:r>
        <w:rPr>
          <w:rFonts w:hint="eastAsia" w:ascii="宋体" w:hAnsi="宋体"/>
          <w:szCs w:val="21"/>
        </w:rPr>
        <w:t>触摸屏画面提供PLC的所有I/O信号状态监控。</w:t>
      </w:r>
    </w:p>
    <w:p>
      <w:pPr>
        <w:widowControl/>
        <w:numPr>
          <w:ilvl w:val="0"/>
          <w:numId w:val="31"/>
        </w:numPr>
        <w:spacing w:line="360" w:lineRule="auto"/>
        <w:ind w:left="992"/>
        <w:jc w:val="left"/>
        <w:rPr>
          <w:rFonts w:hint="eastAsia" w:ascii="宋体" w:hAnsi="宋体"/>
          <w:szCs w:val="21"/>
        </w:rPr>
      </w:pPr>
      <w:r>
        <w:rPr>
          <w:rFonts w:hint="eastAsia" w:ascii="宋体" w:hAnsi="宋体"/>
          <w:szCs w:val="21"/>
        </w:rPr>
        <w:t>设备有关联性时，除硬件线路互锁控制外，还应在程序设计中设计互锁控制。</w:t>
      </w:r>
    </w:p>
    <w:p>
      <w:pPr>
        <w:widowControl/>
        <w:numPr>
          <w:ilvl w:val="0"/>
          <w:numId w:val="31"/>
        </w:numPr>
        <w:spacing w:line="360" w:lineRule="auto"/>
        <w:ind w:left="992"/>
        <w:jc w:val="left"/>
        <w:rPr>
          <w:rFonts w:hint="eastAsia" w:ascii="宋体" w:hAnsi="宋体"/>
          <w:szCs w:val="21"/>
        </w:rPr>
      </w:pPr>
      <w:r>
        <w:rPr>
          <w:rFonts w:hint="eastAsia" w:ascii="宋体" w:hAnsi="宋体"/>
          <w:szCs w:val="21"/>
        </w:rPr>
        <w:t>程序设计需要有安全保护功能。</w:t>
      </w:r>
    </w:p>
    <w:p>
      <w:pPr>
        <w:numPr>
          <w:ilvl w:val="0"/>
          <w:numId w:val="31"/>
        </w:numPr>
        <w:spacing w:line="360" w:lineRule="auto"/>
        <w:ind w:left="992"/>
        <w:rPr>
          <w:rFonts w:hint="eastAsia" w:ascii="宋体" w:hAnsi="宋体"/>
          <w:szCs w:val="21"/>
        </w:rPr>
      </w:pPr>
      <w:r>
        <w:rPr>
          <w:rFonts w:hint="eastAsia" w:ascii="宋体" w:hAnsi="宋体"/>
          <w:szCs w:val="21"/>
        </w:rPr>
        <w:t>变频器/伺服驱动器采用EtherCAT、Profinet、Ethernet/IP三种总线之一控制，变频器/伺服驱动器主要参数可通过触摸屏修改设定，变频器/伺服驱动器报警异常信号需反馈到PLC和触摸屏实时显示出来。</w:t>
      </w:r>
    </w:p>
    <w:p>
      <w:pPr>
        <w:widowControl/>
        <w:numPr>
          <w:ilvl w:val="0"/>
          <w:numId w:val="31"/>
        </w:numPr>
        <w:spacing w:line="360" w:lineRule="auto"/>
        <w:ind w:left="992"/>
        <w:jc w:val="left"/>
        <w:rPr>
          <w:rFonts w:hint="eastAsia" w:ascii="宋体" w:hAnsi="宋体"/>
          <w:szCs w:val="21"/>
        </w:rPr>
      </w:pPr>
      <w:r>
        <w:rPr>
          <w:rFonts w:ascii="宋体" w:hAnsi="宋体"/>
          <w:szCs w:val="21"/>
        </w:rPr>
        <w:t>主画面为整个系统</w:t>
      </w:r>
      <w:r>
        <w:rPr>
          <w:rFonts w:hint="eastAsia" w:ascii="宋体" w:hAnsi="宋体"/>
          <w:szCs w:val="21"/>
        </w:rPr>
        <w:t>工艺</w:t>
      </w:r>
      <w:r>
        <w:rPr>
          <w:rFonts w:ascii="宋体" w:hAnsi="宋体"/>
          <w:szCs w:val="21"/>
        </w:rPr>
        <w:t>流程图画面，具备实时对各控制对象进行远程监控及手动/自动操作功能，可实时采集更新各关键仪表数据，可对生产参数进行智能报表分析、存档、调档、查询等功能</w:t>
      </w:r>
      <w:r>
        <w:rPr>
          <w:rFonts w:hint="eastAsia" w:ascii="宋体" w:hAnsi="宋体"/>
          <w:szCs w:val="21"/>
        </w:rPr>
        <w:t>。</w:t>
      </w:r>
    </w:p>
    <w:p>
      <w:pPr>
        <w:numPr>
          <w:ilvl w:val="0"/>
          <w:numId w:val="31"/>
        </w:numPr>
        <w:spacing w:line="360" w:lineRule="auto"/>
        <w:ind w:left="992"/>
        <w:rPr>
          <w:rFonts w:hint="eastAsia" w:ascii="宋体" w:hAnsi="宋体"/>
          <w:szCs w:val="21"/>
        </w:rPr>
      </w:pPr>
      <w:r>
        <w:rPr>
          <w:rFonts w:hint="eastAsia" w:ascii="宋体" w:hAnsi="宋体"/>
          <w:szCs w:val="21"/>
        </w:rPr>
        <w:t>需要采集及监控码垛当运行的所有参数和信号状态的主要数据有：抓箱夹紧到位信号、运行时间、电机频率、当前运行的工位等运行指标等。</w:t>
      </w:r>
    </w:p>
    <w:p>
      <w:pPr>
        <w:numPr>
          <w:ilvl w:val="0"/>
          <w:numId w:val="31"/>
        </w:numPr>
        <w:spacing w:line="360" w:lineRule="auto"/>
        <w:ind w:left="992"/>
        <w:rPr>
          <w:rFonts w:hint="eastAsia" w:ascii="宋体" w:hAnsi="宋体"/>
          <w:szCs w:val="21"/>
        </w:rPr>
      </w:pPr>
      <w:r>
        <w:rPr>
          <w:rFonts w:hint="eastAsia" w:ascii="宋体" w:hAnsi="宋体"/>
          <w:szCs w:val="21"/>
        </w:rPr>
        <w:t>码垛夹具底部设有防撞检测装置。</w:t>
      </w:r>
    </w:p>
    <w:p>
      <w:pPr>
        <w:widowControl/>
        <w:numPr>
          <w:ilvl w:val="0"/>
          <w:numId w:val="31"/>
        </w:numPr>
        <w:spacing w:line="360" w:lineRule="auto"/>
        <w:ind w:left="992"/>
        <w:jc w:val="left"/>
        <w:rPr>
          <w:rFonts w:hint="eastAsia" w:ascii="宋体" w:hAnsi="宋体"/>
          <w:szCs w:val="21"/>
        </w:rPr>
      </w:pPr>
      <w:r>
        <w:rPr>
          <w:rFonts w:hint="eastAsia" w:ascii="宋体" w:hAnsi="宋体"/>
          <w:szCs w:val="21"/>
        </w:rPr>
        <w:t>电缆、电线：采用国内一线品牌。</w:t>
      </w:r>
    </w:p>
    <w:p>
      <w:pPr>
        <w:pStyle w:val="15"/>
        <w:numPr>
          <w:ilvl w:val="0"/>
          <w:numId w:val="31"/>
        </w:numPr>
        <w:tabs>
          <w:tab w:val="left" w:pos="360"/>
          <w:tab w:val="left" w:pos="540"/>
        </w:tabs>
        <w:spacing w:line="360" w:lineRule="auto"/>
        <w:ind w:left="992" w:firstLineChars="0"/>
        <w:jc w:val="left"/>
        <w:rPr>
          <w:rFonts w:hint="eastAsia" w:ascii="宋体" w:hAnsi="宋体"/>
          <w:szCs w:val="21"/>
        </w:rPr>
      </w:pPr>
      <w:r>
        <w:rPr>
          <w:rFonts w:hint="eastAsia" w:ascii="宋体" w:hAnsi="宋体"/>
          <w:szCs w:val="21"/>
        </w:rPr>
        <w:t>抗干扰</w:t>
      </w:r>
      <w:r>
        <w:rPr>
          <w:rFonts w:ascii="宋体" w:hAnsi="宋体"/>
          <w:szCs w:val="21"/>
        </w:rPr>
        <w:t>能力：</w:t>
      </w:r>
      <w:r>
        <w:rPr>
          <w:rFonts w:hint="eastAsia" w:ascii="宋体" w:hAnsi="宋体"/>
          <w:szCs w:val="21"/>
        </w:rPr>
        <w:t>信号传送导线应采用屏蔽线，WIFI</w:t>
      </w:r>
      <w:r>
        <w:rPr>
          <w:rFonts w:ascii="宋体" w:hAnsi="宋体"/>
          <w:szCs w:val="21"/>
        </w:rPr>
        <w:t>无线信号传输</w:t>
      </w:r>
      <w:r>
        <w:rPr>
          <w:rFonts w:hint="eastAsia" w:ascii="宋体" w:hAnsi="宋体"/>
          <w:szCs w:val="21"/>
        </w:rPr>
        <w:t>、</w:t>
      </w:r>
      <w:r>
        <w:rPr>
          <w:rFonts w:ascii="宋体" w:hAnsi="宋体"/>
          <w:szCs w:val="21"/>
        </w:rPr>
        <w:t>接受设备应具备</w:t>
      </w:r>
      <w:r>
        <w:rPr>
          <w:rFonts w:hint="eastAsia" w:ascii="宋体" w:hAnsi="宋体"/>
          <w:szCs w:val="21"/>
        </w:rPr>
        <w:t>有效</w:t>
      </w:r>
      <w:r>
        <w:rPr>
          <w:rFonts w:ascii="宋体" w:hAnsi="宋体"/>
          <w:szCs w:val="21"/>
        </w:rPr>
        <w:t>的抗干扰能力</w:t>
      </w:r>
      <w:r>
        <w:rPr>
          <w:rFonts w:hint="eastAsia" w:ascii="宋体" w:hAnsi="宋体"/>
          <w:szCs w:val="21"/>
        </w:rPr>
        <w:t>。</w:t>
      </w:r>
    </w:p>
    <w:p>
      <w:pPr>
        <w:pStyle w:val="15"/>
        <w:numPr>
          <w:ilvl w:val="0"/>
          <w:numId w:val="31"/>
        </w:numPr>
        <w:tabs>
          <w:tab w:val="left" w:pos="360"/>
          <w:tab w:val="left" w:pos="540"/>
        </w:tabs>
        <w:spacing w:line="360" w:lineRule="auto"/>
        <w:ind w:left="992" w:firstLineChars="0"/>
        <w:jc w:val="left"/>
        <w:rPr>
          <w:rFonts w:hint="eastAsia" w:ascii="宋体" w:hAnsi="宋体"/>
          <w:szCs w:val="21"/>
        </w:rPr>
      </w:pPr>
      <w:r>
        <w:rPr>
          <w:rFonts w:hint="eastAsia" w:ascii="宋体" w:hAnsi="宋体"/>
          <w:szCs w:val="21"/>
        </w:rPr>
        <w:t>线槽</w:t>
      </w:r>
      <w:r>
        <w:rPr>
          <w:rFonts w:ascii="宋体" w:hAnsi="宋体"/>
          <w:szCs w:val="21"/>
        </w:rPr>
        <w:t>采用</w:t>
      </w:r>
      <w:r>
        <w:rPr>
          <w:rFonts w:hint="eastAsia" w:ascii="宋体" w:hAnsi="宋体"/>
          <w:szCs w:val="21"/>
        </w:rPr>
        <w:t>3</w:t>
      </w:r>
      <w:r>
        <w:rPr>
          <w:rFonts w:ascii="宋体" w:hAnsi="宋体"/>
          <w:szCs w:val="21"/>
        </w:rPr>
        <w:t>04不锈钢材质，</w:t>
      </w:r>
      <w:r>
        <w:rPr>
          <w:rFonts w:hint="eastAsia" w:ascii="宋体" w:hAnsi="宋体"/>
          <w:szCs w:val="21"/>
        </w:rPr>
        <w:t>厚度</w:t>
      </w:r>
      <w:r>
        <w:rPr>
          <w:rFonts w:ascii="宋体" w:hAnsi="宋体"/>
          <w:szCs w:val="21"/>
        </w:rPr>
        <w:t>符合</w:t>
      </w:r>
      <w:r>
        <w:rPr>
          <w:rFonts w:hint="eastAsia" w:ascii="宋体" w:hAnsi="宋体"/>
          <w:szCs w:val="21"/>
        </w:rPr>
        <w:t>相关规范标准要求</w:t>
      </w:r>
      <w:r>
        <w:rPr>
          <w:rFonts w:ascii="宋体" w:hAnsi="宋体"/>
          <w:szCs w:val="21"/>
        </w:rPr>
        <w:t>，</w:t>
      </w:r>
      <w:r>
        <w:rPr>
          <w:rFonts w:hint="eastAsia" w:ascii="宋体" w:hAnsi="宋体"/>
          <w:szCs w:val="21"/>
        </w:rPr>
        <w:t>安装辅料均采用国标优质产品</w:t>
      </w:r>
      <w:r>
        <w:rPr>
          <w:rFonts w:ascii="宋体" w:hAnsi="宋体"/>
          <w:szCs w:val="21"/>
        </w:rPr>
        <w:t>。</w:t>
      </w:r>
    </w:p>
    <w:p>
      <w:pPr>
        <w:numPr>
          <w:ilvl w:val="0"/>
          <w:numId w:val="31"/>
        </w:numPr>
        <w:spacing w:line="360" w:lineRule="auto"/>
        <w:ind w:left="992"/>
        <w:rPr>
          <w:rFonts w:hint="eastAsia" w:ascii="宋体" w:hAnsi="宋体"/>
          <w:szCs w:val="21"/>
        </w:rPr>
      </w:pPr>
      <w:r>
        <w:rPr>
          <w:rFonts w:hint="eastAsia" w:ascii="宋体" w:hAnsi="宋体"/>
          <w:szCs w:val="21"/>
        </w:rPr>
        <w:t>整个控制系统需要设有系统诊断功能，触摸屏上有系统诊断的信息窗口，方便查找组态、通信、模拟量输入输出及断路等系统故障具体原因和位置。</w:t>
      </w:r>
    </w:p>
    <w:p>
      <w:pPr>
        <w:widowControl/>
        <w:spacing w:line="360" w:lineRule="auto"/>
        <w:jc w:val="left"/>
        <w:rPr>
          <w:rFonts w:hint="eastAsia" w:ascii="宋体" w:hAnsi="宋体" w:eastAsia="宋体" w:cs="Times New Roman"/>
          <w:b/>
          <w:kern w:val="0"/>
          <w:szCs w:val="21"/>
        </w:rPr>
      </w:pPr>
      <w:r>
        <w:rPr>
          <w:rFonts w:hint="eastAsia" w:ascii="宋体" w:hAnsi="宋体" w:eastAsia="宋体" w:cs="Times New Roman"/>
          <w:b/>
          <w:kern w:val="0"/>
          <w:szCs w:val="21"/>
        </w:rPr>
        <w:t>（十三）、技术服务条件</w:t>
      </w:r>
    </w:p>
    <w:p>
      <w:pPr>
        <w:widowControl/>
        <w:numPr>
          <w:ilvl w:val="0"/>
          <w:numId w:val="32"/>
        </w:numPr>
        <w:spacing w:line="360" w:lineRule="auto"/>
        <w:ind w:left="315" w:leftChars="150"/>
        <w:jc w:val="left"/>
        <w:rPr>
          <w:rFonts w:hint="eastAsia" w:ascii="宋体" w:hAnsi="宋体" w:eastAsia="宋体" w:cs="Times New Roman"/>
          <w:szCs w:val="21"/>
        </w:rPr>
      </w:pPr>
      <w:r>
        <w:rPr>
          <w:rFonts w:hint="eastAsia" w:ascii="宋体" w:hAnsi="宋体" w:eastAsia="宋体" w:cs="Times New Roman"/>
          <w:szCs w:val="21"/>
        </w:rPr>
        <w:t>投标资料含设备安装调试方案、安全管理方案及项目实施进度计划；</w:t>
      </w:r>
    </w:p>
    <w:p>
      <w:pPr>
        <w:widowControl/>
        <w:numPr>
          <w:ilvl w:val="0"/>
          <w:numId w:val="32"/>
        </w:numPr>
        <w:spacing w:line="360" w:lineRule="auto"/>
        <w:ind w:left="315" w:leftChars="150"/>
        <w:jc w:val="left"/>
        <w:rPr>
          <w:rFonts w:hint="eastAsia" w:ascii="宋体" w:hAnsi="宋体" w:eastAsia="宋体" w:cs="Times New Roman"/>
          <w:szCs w:val="21"/>
        </w:rPr>
      </w:pPr>
      <w:r>
        <w:rPr>
          <w:rFonts w:hint="eastAsia" w:ascii="宋体" w:hAnsi="宋体" w:eastAsia="宋体" w:cs="Times New Roman"/>
          <w:szCs w:val="21"/>
        </w:rPr>
        <w:t>提供设备操作说明书、维护保养手册及设备验证等资料。这些资料应包括：技术说明、调试方法、调试技术要求、故障排除方法、润滑原理图及润滑点一览图（并在设备上贴牌标示）。所有资料均应采用一式二份，及电子版资料一套；</w:t>
      </w:r>
    </w:p>
    <w:p>
      <w:pPr>
        <w:widowControl/>
        <w:numPr>
          <w:ilvl w:val="0"/>
          <w:numId w:val="32"/>
        </w:numPr>
        <w:spacing w:line="360" w:lineRule="auto"/>
        <w:ind w:left="315" w:leftChars="150"/>
        <w:jc w:val="left"/>
        <w:rPr>
          <w:rFonts w:hint="eastAsia" w:ascii="宋体" w:hAnsi="宋体" w:eastAsia="宋体" w:cs="Times New Roman"/>
          <w:szCs w:val="21"/>
        </w:rPr>
      </w:pPr>
      <w:r>
        <w:rPr>
          <w:rFonts w:hint="eastAsia" w:ascii="宋体" w:hAnsi="宋体" w:eastAsia="宋体" w:cs="Times New Roman"/>
          <w:szCs w:val="21"/>
        </w:rPr>
        <w:t>投标方需要承诺：项目完工移交后，所有设备的PLC、触摸屏程序一起移交给招标方，PLC和触摸屏程序均不可加密。PLC程序和触摸屏画面组态，提供调试完成最终版源程序。</w:t>
      </w:r>
    </w:p>
    <w:p>
      <w:pPr>
        <w:widowControl/>
        <w:numPr>
          <w:ilvl w:val="0"/>
          <w:numId w:val="32"/>
        </w:numPr>
        <w:spacing w:line="360" w:lineRule="auto"/>
        <w:ind w:left="315" w:leftChars="150"/>
        <w:jc w:val="left"/>
        <w:rPr>
          <w:rFonts w:hint="eastAsia" w:ascii="宋体" w:hAnsi="宋体" w:eastAsia="宋体" w:cs="Times New Roman"/>
          <w:szCs w:val="21"/>
        </w:rPr>
      </w:pPr>
      <w:r>
        <w:rPr>
          <w:rFonts w:hint="eastAsia" w:ascii="宋体" w:hAnsi="宋体" w:eastAsia="宋体" w:cs="Times New Roman"/>
          <w:szCs w:val="21"/>
        </w:rPr>
        <w:t>投标方需提供设备电气控制原理图（如用PLC控制需提供PLC梯形图），编程设备（含编程器、软件及编程电缆）。设备机械传动原理图、设备各部件装配图、设备外形图及基础布置图。所有资料均采用一式四份，及电子版资料一套。</w:t>
      </w:r>
    </w:p>
    <w:p>
      <w:pPr>
        <w:widowControl/>
        <w:numPr>
          <w:ilvl w:val="0"/>
          <w:numId w:val="32"/>
        </w:numPr>
        <w:spacing w:line="360" w:lineRule="auto"/>
        <w:ind w:left="315" w:leftChars="150"/>
        <w:jc w:val="left"/>
        <w:rPr>
          <w:rFonts w:hint="eastAsia" w:ascii="宋体" w:hAnsi="宋体" w:eastAsia="宋体" w:cs="Times New Roman"/>
          <w:szCs w:val="21"/>
        </w:rPr>
      </w:pPr>
      <w:r>
        <w:rPr>
          <w:rFonts w:ascii="宋体" w:hAnsi="宋体" w:eastAsia="宋体" w:cs="Times New Roman"/>
          <w:szCs w:val="21"/>
        </w:rPr>
        <w:t>项目投标应对本项目设备各易损件列出具体清单，并配置有相应的易损备件</w:t>
      </w:r>
      <w:r>
        <w:rPr>
          <w:rFonts w:hint="eastAsia" w:ascii="宋体" w:hAnsi="宋体" w:eastAsia="宋体" w:cs="Times New Roman"/>
          <w:szCs w:val="21"/>
        </w:rPr>
        <w:t>；</w:t>
      </w:r>
    </w:p>
    <w:p>
      <w:pPr>
        <w:widowControl/>
        <w:numPr>
          <w:ilvl w:val="0"/>
          <w:numId w:val="32"/>
        </w:numPr>
        <w:spacing w:line="360" w:lineRule="auto"/>
        <w:ind w:left="315" w:leftChars="150"/>
        <w:jc w:val="left"/>
        <w:rPr>
          <w:rFonts w:hint="eastAsia" w:ascii="宋体" w:hAnsi="宋体" w:eastAsia="宋体" w:cs="Times New Roman"/>
          <w:szCs w:val="21"/>
        </w:rPr>
      </w:pPr>
      <w:r>
        <w:rPr>
          <w:rFonts w:hint="eastAsia" w:ascii="宋体" w:hAnsi="宋体" w:eastAsia="宋体" w:cs="Times New Roman"/>
          <w:szCs w:val="21"/>
        </w:rPr>
        <w:t>培训：</w:t>
      </w:r>
      <w:r>
        <w:rPr>
          <w:rFonts w:hint="eastAsia" w:ascii="宋体" w:hAnsi="宋体" w:eastAsia="宋体" w:cs="Times New Roman"/>
          <w:bCs/>
          <w:szCs w:val="21"/>
        </w:rPr>
        <w:t>对现场操作及维修人员提供不小于8*</w:t>
      </w:r>
      <w:r>
        <w:rPr>
          <w:rFonts w:ascii="宋体" w:hAnsi="宋体" w:eastAsia="宋体" w:cs="Times New Roman"/>
          <w:bCs/>
          <w:szCs w:val="21"/>
        </w:rPr>
        <w:t>3</w:t>
      </w:r>
      <w:r>
        <w:rPr>
          <w:rFonts w:hint="eastAsia" w:ascii="宋体" w:hAnsi="宋体" w:eastAsia="宋体" w:cs="Times New Roman"/>
          <w:bCs/>
          <w:szCs w:val="21"/>
        </w:rPr>
        <w:t>=</w:t>
      </w:r>
      <w:r>
        <w:rPr>
          <w:rFonts w:ascii="宋体" w:hAnsi="宋体" w:eastAsia="宋体" w:cs="Times New Roman"/>
          <w:bCs/>
          <w:szCs w:val="21"/>
        </w:rPr>
        <w:t>24小时的培训</w:t>
      </w:r>
      <w:r>
        <w:rPr>
          <w:rFonts w:hint="eastAsia" w:ascii="宋体" w:hAnsi="宋体" w:eastAsia="宋体" w:cs="Times New Roman"/>
          <w:bCs/>
          <w:szCs w:val="21"/>
        </w:rPr>
        <w:t>，</w:t>
      </w:r>
      <w:r>
        <w:rPr>
          <w:rFonts w:ascii="宋体" w:hAnsi="宋体" w:eastAsia="宋体" w:cs="Times New Roman"/>
          <w:bCs/>
          <w:szCs w:val="21"/>
        </w:rPr>
        <w:t>并有培训记录；现场培训要保证操作人员能独立上岗操作</w:t>
      </w:r>
      <w:r>
        <w:rPr>
          <w:rFonts w:hint="eastAsia" w:ascii="宋体" w:hAnsi="宋体" w:eastAsia="宋体" w:cs="Times New Roman"/>
          <w:bCs/>
          <w:szCs w:val="21"/>
        </w:rPr>
        <w:t>；</w:t>
      </w:r>
    </w:p>
    <w:p>
      <w:pPr>
        <w:pStyle w:val="13"/>
        <w:numPr>
          <w:ilvl w:val="0"/>
          <w:numId w:val="32"/>
        </w:numPr>
        <w:spacing w:line="360" w:lineRule="auto"/>
        <w:ind w:left="315" w:leftChars="150" w:firstLineChars="0"/>
        <w:rPr>
          <w:rFonts w:hint="eastAsia" w:ascii="宋体" w:hAnsi="宋体" w:eastAsia="宋体" w:cs="Times New Roman"/>
          <w:bCs/>
          <w:szCs w:val="21"/>
        </w:rPr>
      </w:pPr>
      <w:r>
        <w:rPr>
          <w:rFonts w:hint="eastAsia" w:ascii="宋体" w:hAnsi="宋体" w:eastAsia="宋体" w:cs="Times New Roman"/>
          <w:bCs/>
          <w:szCs w:val="21"/>
        </w:rPr>
        <w:t>提供一套随机工具含工具箱，满足日常维护的需要，工具品牌世达或史丹利，最少包含有两用开口扳手（5.5-32）各一把 、 内六角扳手（公制英制各一套）、活动扳手（6寸8寸12寸15寸）各一把、一字镙丝刀（大小均需要）、十字镙丝刀（大小均需要）、剥线钳一把、万用表一个（国内一线品牌）、验电笔一支；</w:t>
      </w:r>
    </w:p>
    <w:p>
      <w:pPr>
        <w:widowControl/>
        <w:spacing w:line="360" w:lineRule="auto"/>
        <w:jc w:val="left"/>
        <w:rPr>
          <w:rFonts w:hint="eastAsia" w:ascii="宋体" w:hAnsi="宋体" w:eastAsia="宋体" w:cs="Times New Roman"/>
          <w:b/>
          <w:kern w:val="0"/>
          <w:szCs w:val="21"/>
        </w:rPr>
      </w:pPr>
      <w:r>
        <w:rPr>
          <w:rFonts w:hint="eastAsia" w:ascii="宋体" w:hAnsi="宋体" w:eastAsia="宋体" w:cs="Times New Roman"/>
          <w:b/>
          <w:kern w:val="0"/>
          <w:szCs w:val="21"/>
        </w:rPr>
        <w:t>（十四）、验收标准：</w:t>
      </w:r>
    </w:p>
    <w:p>
      <w:pPr>
        <w:widowControl/>
        <w:numPr>
          <w:ilvl w:val="0"/>
          <w:numId w:val="33"/>
        </w:numPr>
        <w:spacing w:line="360" w:lineRule="auto"/>
        <w:ind w:left="315" w:leftChars="150"/>
        <w:jc w:val="left"/>
        <w:rPr>
          <w:rFonts w:hint="eastAsia" w:ascii="宋体" w:hAnsi="宋体" w:eastAsia="宋体" w:cs="Times New Roman"/>
          <w:b/>
          <w:kern w:val="0"/>
          <w:szCs w:val="21"/>
        </w:rPr>
      </w:pPr>
      <w:r>
        <w:rPr>
          <w:rFonts w:hint="eastAsia" w:ascii="宋体" w:hAnsi="宋体" w:eastAsia="宋体" w:cs="Times New Roman"/>
          <w:b/>
          <w:kern w:val="0"/>
          <w:szCs w:val="21"/>
        </w:rPr>
        <w:t>验收方式</w:t>
      </w:r>
    </w:p>
    <w:p>
      <w:pPr>
        <w:numPr>
          <w:ilvl w:val="0"/>
          <w:numId w:val="34"/>
        </w:numPr>
        <w:spacing w:line="360" w:lineRule="auto"/>
        <w:ind w:left="420" w:leftChars="200"/>
        <w:rPr>
          <w:rFonts w:hint="eastAsia" w:ascii="宋体" w:hAnsi="宋体" w:eastAsia="宋体" w:cs="Times New Roman"/>
          <w:szCs w:val="21"/>
        </w:rPr>
      </w:pPr>
      <w:r>
        <w:rPr>
          <w:rFonts w:hint="eastAsia" w:ascii="宋体" w:hAnsi="宋体" w:eastAsia="宋体" w:cs="Times New Roman"/>
          <w:szCs w:val="21"/>
        </w:rPr>
        <w:t>设备验收前提供相关文件（如竣工资料，合同等）。</w:t>
      </w:r>
    </w:p>
    <w:p>
      <w:pPr>
        <w:numPr>
          <w:ilvl w:val="0"/>
          <w:numId w:val="34"/>
        </w:numPr>
        <w:spacing w:line="360" w:lineRule="auto"/>
        <w:ind w:left="420" w:leftChars="200"/>
        <w:rPr>
          <w:rFonts w:hint="eastAsia" w:ascii="宋体" w:hAnsi="宋体" w:eastAsia="宋体" w:cs="Times New Roman"/>
          <w:szCs w:val="21"/>
        </w:rPr>
      </w:pPr>
      <w:r>
        <w:rPr>
          <w:rFonts w:hint="eastAsia" w:ascii="宋体" w:hAnsi="宋体" w:eastAsia="宋体" w:cs="Times New Roman"/>
          <w:szCs w:val="21"/>
        </w:rPr>
        <w:t>设备的验收分为三步</w:t>
      </w:r>
    </w:p>
    <w:p>
      <w:pPr>
        <w:spacing w:line="360" w:lineRule="auto"/>
        <w:ind w:left="1470" w:leftChars="400" w:hanging="630" w:hangingChars="300"/>
        <w:rPr>
          <w:rFonts w:hint="eastAsia" w:ascii="宋体" w:hAnsi="宋体" w:eastAsia="宋体" w:cs="Times New Roman"/>
          <w:szCs w:val="21"/>
        </w:rPr>
      </w:pPr>
      <w:r>
        <w:rPr>
          <w:rFonts w:hint="eastAsia" w:ascii="宋体" w:hAnsi="宋体" w:eastAsia="宋体" w:cs="Times New Roman"/>
          <w:szCs w:val="21"/>
        </w:rPr>
        <w:t>第一、投标方在设备入厂时提供设备明细清单，招标方组织人员进行清点、核对，并填写验收记录签字和确认。</w:t>
      </w:r>
    </w:p>
    <w:p>
      <w:pPr>
        <w:spacing w:line="360" w:lineRule="auto"/>
        <w:ind w:left="1470" w:leftChars="400" w:hanging="630" w:hangingChars="300"/>
        <w:rPr>
          <w:rFonts w:hint="eastAsia" w:ascii="宋体" w:hAnsi="宋体" w:eastAsia="宋体" w:cs="Times New Roman"/>
          <w:szCs w:val="21"/>
        </w:rPr>
      </w:pPr>
      <w:r>
        <w:rPr>
          <w:rFonts w:hint="eastAsia" w:ascii="宋体" w:hAnsi="宋体" w:eastAsia="宋体" w:cs="Times New Roman"/>
          <w:szCs w:val="21"/>
        </w:rPr>
        <w:t>第二、设备调试完成，设备稳定运行三个月并在移交相关全套竣工资料后，投标方可提前</w:t>
      </w:r>
      <w:r>
        <w:rPr>
          <w:rFonts w:ascii="宋体" w:hAnsi="宋体" w:eastAsia="宋体" w:cs="Times New Roman"/>
          <w:szCs w:val="21"/>
        </w:rPr>
        <w:t>3</w:t>
      </w:r>
      <w:r>
        <w:rPr>
          <w:rFonts w:hint="eastAsia" w:ascii="宋体" w:hAnsi="宋体" w:eastAsia="宋体" w:cs="Times New Roman"/>
          <w:szCs w:val="21"/>
        </w:rPr>
        <w:t>天提出书面申请，双方确认验收开始时间。招标方组织人员根据合同条款进行正式验收，对设备的硬件配置、功能的合理性是否符合要求进行检验。</w:t>
      </w:r>
    </w:p>
    <w:p>
      <w:pPr>
        <w:widowControl/>
        <w:spacing w:line="360" w:lineRule="auto"/>
        <w:ind w:left="1470" w:leftChars="400" w:hanging="630" w:hangingChars="300"/>
        <w:jc w:val="left"/>
        <w:rPr>
          <w:rFonts w:hint="eastAsia" w:ascii="宋体" w:hAnsi="宋体" w:eastAsia="宋体" w:cs="Times New Roman"/>
          <w:kern w:val="0"/>
          <w:szCs w:val="21"/>
        </w:rPr>
      </w:pPr>
      <w:r>
        <w:rPr>
          <w:rFonts w:hint="eastAsia" w:ascii="宋体" w:hAnsi="宋体" w:eastAsia="宋体" w:cs="Times New Roman"/>
          <w:kern w:val="0"/>
          <w:szCs w:val="21"/>
        </w:rPr>
        <w:t>第三、由验收合格之日起开始计算质保期（1</w:t>
      </w:r>
      <w:r>
        <w:rPr>
          <w:rFonts w:ascii="宋体" w:hAnsi="宋体" w:eastAsia="宋体" w:cs="Times New Roman"/>
          <w:kern w:val="0"/>
          <w:szCs w:val="21"/>
        </w:rPr>
        <w:t>2个月以上</w:t>
      </w:r>
      <w:r>
        <w:rPr>
          <w:rFonts w:hint="eastAsia" w:ascii="宋体" w:hAnsi="宋体" w:eastAsia="宋体" w:cs="Times New Roman"/>
          <w:kern w:val="0"/>
          <w:szCs w:val="21"/>
        </w:rPr>
        <w:t>），质保期满前1个月发起质保验收</w:t>
      </w:r>
      <w:r>
        <w:rPr>
          <w:rFonts w:ascii="宋体" w:hAnsi="宋体" w:eastAsia="宋体" w:cs="Times New Roman"/>
          <w:kern w:val="0"/>
          <w:szCs w:val="21"/>
        </w:rPr>
        <w:t>及</w:t>
      </w:r>
      <w:r>
        <w:rPr>
          <w:rFonts w:hint="eastAsia" w:ascii="宋体" w:hAnsi="宋体" w:eastAsia="宋体" w:cs="Times New Roman"/>
          <w:kern w:val="0"/>
          <w:szCs w:val="21"/>
        </w:rPr>
        <w:t>落实相关整改，并对验收合格进行签字确认。</w:t>
      </w:r>
    </w:p>
    <w:p>
      <w:pPr>
        <w:widowControl/>
        <w:numPr>
          <w:ilvl w:val="0"/>
          <w:numId w:val="33"/>
        </w:numPr>
        <w:spacing w:line="360" w:lineRule="auto"/>
        <w:jc w:val="left"/>
        <w:rPr>
          <w:rFonts w:hint="eastAsia" w:ascii="宋体" w:hAnsi="宋体" w:eastAsia="宋体" w:cs="Times New Roman"/>
          <w:b/>
          <w:kern w:val="0"/>
          <w:szCs w:val="21"/>
        </w:rPr>
      </w:pPr>
      <w:r>
        <w:rPr>
          <w:rFonts w:hint="eastAsia" w:ascii="宋体" w:hAnsi="宋体" w:eastAsia="宋体" w:cs="Times New Roman"/>
          <w:b/>
          <w:kern w:val="0"/>
          <w:szCs w:val="21"/>
        </w:rPr>
        <w:t>验收标准</w:t>
      </w:r>
    </w:p>
    <w:p>
      <w:pPr>
        <w:widowControl/>
        <w:numPr>
          <w:ilvl w:val="0"/>
          <w:numId w:val="35"/>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szCs w:val="21"/>
        </w:rPr>
        <w:t>产品质量符合国家相关标准及招标人标准要求；</w:t>
      </w:r>
    </w:p>
    <w:p>
      <w:pPr>
        <w:widowControl/>
        <w:numPr>
          <w:ilvl w:val="0"/>
          <w:numId w:val="35"/>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szCs w:val="21"/>
        </w:rPr>
        <w:t>符合技术要求中对设备基本要求的各项条款；</w:t>
      </w:r>
    </w:p>
    <w:p>
      <w:pPr>
        <w:widowControl/>
        <w:numPr>
          <w:ilvl w:val="0"/>
          <w:numId w:val="35"/>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szCs w:val="21"/>
        </w:rPr>
        <w:t>满足技术要求中对技术参数要求的各项条款；</w:t>
      </w:r>
    </w:p>
    <w:p>
      <w:pPr>
        <w:widowControl/>
        <w:numPr>
          <w:ilvl w:val="0"/>
          <w:numId w:val="35"/>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szCs w:val="21"/>
        </w:rPr>
        <w:t>产品自进入包装机至包装结束为验收起止时间；</w:t>
      </w:r>
    </w:p>
    <w:p>
      <w:pPr>
        <w:widowControl/>
        <w:numPr>
          <w:ilvl w:val="0"/>
          <w:numId w:val="35"/>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szCs w:val="21"/>
        </w:rPr>
        <w:t>验收时按双方讨论通过正常操作的人员进行验收；</w:t>
      </w:r>
    </w:p>
    <w:p>
      <w:pPr>
        <w:pStyle w:val="13"/>
        <w:numPr>
          <w:ilvl w:val="0"/>
          <w:numId w:val="35"/>
        </w:numPr>
        <w:spacing w:line="360" w:lineRule="auto"/>
        <w:ind w:left="420" w:leftChars="200" w:firstLineChars="0"/>
        <w:rPr>
          <w:rFonts w:hint="eastAsia" w:ascii="宋体" w:hAnsi="宋体" w:eastAsia="宋体" w:cs="Times New Roman"/>
          <w:szCs w:val="21"/>
        </w:rPr>
      </w:pPr>
      <w:r>
        <w:rPr>
          <w:rFonts w:hint="eastAsia" w:ascii="宋体" w:hAnsi="宋体" w:eastAsia="宋体" w:cs="Times New Roman"/>
          <w:szCs w:val="21"/>
        </w:rPr>
        <w:t>连续运行一个CIP生产周期（22小时*6天），包装标段24入单机效率≥95%；包装标段12入单机效率≥90%；按3</w:t>
      </w:r>
      <w:r>
        <w:rPr>
          <w:rFonts w:ascii="宋体" w:hAnsi="宋体" w:eastAsia="宋体" w:cs="Times New Roman"/>
          <w:szCs w:val="21"/>
        </w:rPr>
        <w:t>1</w:t>
      </w:r>
      <w:r>
        <w:rPr>
          <w:rFonts w:hint="eastAsia" w:ascii="宋体" w:hAnsi="宋体" w:eastAsia="宋体" w:cs="Times New Roman"/>
          <w:szCs w:val="21"/>
        </w:rPr>
        <w:t>0ml普通罐进行验收，灌装生产验收速度550罐/分钟或以上，本标段验收时因前后标段设备造成的停机时间除外；</w:t>
      </w:r>
    </w:p>
    <w:p>
      <w:pPr>
        <w:widowControl/>
        <w:numPr>
          <w:ilvl w:val="0"/>
          <w:numId w:val="35"/>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szCs w:val="21"/>
        </w:rPr>
        <w:t>包装设备单机</w:t>
      </w:r>
      <w:r>
        <w:rPr>
          <w:rFonts w:ascii="宋体" w:hAnsi="宋体" w:eastAsia="宋体" w:cs="Times New Roman"/>
          <w:szCs w:val="21"/>
          <w:lang w:val="en-GB"/>
        </w:rPr>
        <w:t>效率按如下公式计算：</w:t>
      </w:r>
    </w:p>
    <w:p>
      <w:pPr>
        <w:snapToGrid w:val="0"/>
        <w:spacing w:line="360" w:lineRule="auto"/>
        <w:ind w:left="630" w:leftChars="300" w:firstLine="420"/>
        <w:rPr>
          <w:rFonts w:hint="eastAsia" w:ascii="宋体" w:hAnsi="宋体" w:eastAsia="宋体" w:cs="Times New Roman"/>
          <w:szCs w:val="21"/>
          <w:lang w:val="en-GB"/>
        </w:rPr>
      </w:pPr>
      <w:r>
        <w:rPr>
          <w:rFonts w:hint="eastAsia" w:ascii="宋体" w:hAnsi="宋体" w:eastAsia="宋体" w:cs="Times New Roman"/>
          <w:szCs w:val="21"/>
          <w:lang w:val="en-GB"/>
        </w:rPr>
        <w:t>设备运行时间：产品自进入包装机至包装结束的起止时间减去设备润滑保养及无罐等待时间</w:t>
      </w:r>
    </w:p>
    <w:p>
      <w:pPr>
        <w:snapToGrid w:val="0"/>
        <w:spacing w:line="360" w:lineRule="auto"/>
        <w:ind w:left="630" w:leftChars="300" w:firstLine="420"/>
        <w:rPr>
          <w:rFonts w:hint="eastAsia" w:ascii="宋体" w:hAnsi="宋体" w:eastAsia="宋体" w:cs="Times New Roman"/>
          <w:szCs w:val="21"/>
          <w:lang w:val="en-GB"/>
        </w:rPr>
      </w:pPr>
      <w:r>
        <w:rPr>
          <w:rFonts w:hint="eastAsia" w:ascii="宋体" w:hAnsi="宋体" w:eastAsia="宋体" w:cs="Times New Roman"/>
          <w:szCs w:val="21"/>
          <w:lang w:val="en-GB"/>
        </w:rPr>
        <w:t>设备运行有效时间：设备运行时间 — （减去）设备原因造成的停机时间</w:t>
      </w:r>
    </w:p>
    <w:p>
      <w:pPr>
        <w:spacing w:line="400" w:lineRule="exact"/>
        <w:ind w:right="767" w:firstLine="1050" w:firstLineChars="500"/>
        <w:rPr>
          <w:rFonts w:hint="eastAsia" w:ascii="宋体" w:hAnsi="宋体" w:eastAsia="宋体" w:cs="Tahoma"/>
        </w:rPr>
      </w:pPr>
      <w:r>
        <w:rPr>
          <w:rFonts w:ascii="宋体" w:hAnsi="宋体" w:eastAsia="宋体" w:cs="Tahoma"/>
        </w:rPr>
        <w:t xml:space="preserve">　　 </w:t>
      </w:r>
      <w:r>
        <w:rPr>
          <w:rFonts w:hint="eastAsia" w:ascii="宋体" w:hAnsi="宋体" w:eastAsia="宋体" w:cs="Tahoma"/>
        </w:rPr>
        <w:t>　　　            设备运行有效时间</w:t>
      </w:r>
    </w:p>
    <w:p>
      <w:pPr>
        <w:spacing w:line="400" w:lineRule="exact"/>
        <w:ind w:right="767"/>
        <w:rPr>
          <w:rFonts w:hint="eastAsia" w:ascii="宋体" w:hAnsi="宋体" w:eastAsia="宋体" w:cs="Tahoma"/>
        </w:rPr>
      </w:pPr>
      <w:r>
        <w:rPr>
          <w:rFonts w:ascii="宋体" w:hAnsi="宋体" w:eastAsia="宋体" w:cs="Tahoma"/>
        </w:rPr>
        <w:t>　　</w:t>
      </w:r>
      <w:r>
        <w:rPr>
          <w:rFonts w:hint="eastAsia" w:ascii="宋体" w:hAnsi="宋体" w:eastAsia="宋体" w:cs="Tahoma"/>
        </w:rPr>
        <w:t xml:space="preserve">      设备单机</w:t>
      </w:r>
      <w:r>
        <w:rPr>
          <w:rFonts w:ascii="宋体" w:hAnsi="宋体" w:eastAsia="宋体" w:cs="Tahoma"/>
        </w:rPr>
        <w:t>效率</w:t>
      </w:r>
      <w:r>
        <w:rPr>
          <w:rFonts w:hint="eastAsia" w:ascii="宋体" w:hAnsi="宋体" w:eastAsia="宋体" w:cs="Tahoma"/>
        </w:rPr>
        <w:t xml:space="preserve">  </w:t>
      </w:r>
      <w:r>
        <w:rPr>
          <w:rFonts w:ascii="宋体" w:hAnsi="宋体" w:eastAsia="宋体" w:cs="Tahoma"/>
        </w:rPr>
        <w:t xml:space="preserve">= </w:t>
      </w:r>
      <w:r>
        <w:rPr>
          <w:rFonts w:hint="eastAsia" w:ascii="宋体" w:hAnsi="宋体" w:eastAsia="宋体" w:cs="Tahoma"/>
        </w:rPr>
        <w:t xml:space="preserve"> </w:t>
      </w:r>
      <w:r>
        <w:rPr>
          <w:rFonts w:ascii="宋体" w:hAnsi="宋体" w:eastAsia="宋体" w:cs="Tahoma"/>
        </w:rPr>
        <w:t xml:space="preserve">--------------------------X 100% </w:t>
      </w:r>
    </w:p>
    <w:p>
      <w:pPr>
        <w:snapToGrid w:val="0"/>
        <w:spacing w:line="360" w:lineRule="auto"/>
        <w:rPr>
          <w:rFonts w:hint="eastAsia" w:ascii="宋体" w:hAnsi="宋体" w:eastAsia="宋体" w:cs="Times New Roman"/>
          <w:szCs w:val="21"/>
          <w:lang w:val="en-GB"/>
        </w:rPr>
      </w:pPr>
      <w:r>
        <w:rPr>
          <w:rFonts w:hint="eastAsia" w:ascii="宋体" w:hAnsi="宋体" w:eastAsia="宋体" w:cs="Times New Roman"/>
          <w:szCs w:val="21"/>
          <w:lang w:val="en-GB"/>
        </w:rPr>
        <w:t>　　　　　　　　　　　</w:t>
      </w:r>
      <w:r>
        <w:rPr>
          <w:rFonts w:hint="eastAsia" w:ascii="宋体" w:hAnsi="宋体" w:eastAsia="宋体" w:cs="Times New Roman"/>
          <w:szCs w:val="21"/>
        </w:rPr>
        <w:t xml:space="preserve">             </w:t>
      </w:r>
      <w:r>
        <w:rPr>
          <w:rFonts w:hint="eastAsia" w:ascii="宋体" w:hAnsi="宋体" w:eastAsia="宋体" w:cs="Times New Roman"/>
          <w:szCs w:val="21"/>
          <w:lang w:val="en-GB"/>
        </w:rPr>
        <w:t>设备运行时间</w:t>
      </w:r>
    </w:p>
    <w:p>
      <w:pPr>
        <w:snapToGrid w:val="0"/>
        <w:spacing w:line="360" w:lineRule="auto"/>
        <w:rPr>
          <w:rFonts w:hint="eastAsia" w:ascii="宋体" w:hAnsi="宋体" w:eastAsia="宋体" w:cs="Times New Roman"/>
          <w:b/>
          <w:kern w:val="0"/>
          <w:szCs w:val="21"/>
        </w:rPr>
      </w:pPr>
      <w:r>
        <w:rPr>
          <w:rFonts w:hint="eastAsia" w:ascii="宋体" w:hAnsi="宋体" w:eastAsia="宋体" w:cs="Times New Roman"/>
          <w:b/>
          <w:kern w:val="0"/>
          <w:szCs w:val="21"/>
        </w:rPr>
        <w:t>（十五）</w:t>
      </w:r>
      <w:r>
        <w:rPr>
          <w:rFonts w:ascii="宋体" w:hAnsi="宋体" w:eastAsia="宋体" w:cs="Times New Roman"/>
          <w:b/>
          <w:kern w:val="0"/>
          <w:szCs w:val="21"/>
        </w:rPr>
        <w:t>、</w:t>
      </w:r>
      <w:r>
        <w:rPr>
          <w:rFonts w:hint="eastAsia" w:ascii="宋体" w:hAnsi="宋体" w:eastAsia="宋体" w:cs="Times New Roman"/>
          <w:b/>
          <w:kern w:val="0"/>
          <w:szCs w:val="21"/>
        </w:rPr>
        <w:t>设备供货及安装调试周期：</w:t>
      </w:r>
    </w:p>
    <w:p>
      <w:pPr>
        <w:pStyle w:val="13"/>
        <w:numPr>
          <w:ilvl w:val="0"/>
          <w:numId w:val="36"/>
        </w:numPr>
        <w:spacing w:line="360" w:lineRule="auto"/>
        <w:ind w:left="420" w:leftChars="200" w:firstLineChars="0"/>
        <w:rPr>
          <w:rFonts w:hint="eastAsia" w:ascii="宋体" w:hAnsi="宋体" w:eastAsia="宋体" w:cs="Tahoma"/>
        </w:rPr>
      </w:pPr>
      <w:r>
        <w:rPr>
          <w:rFonts w:hint="eastAsia" w:ascii="宋体" w:hAnsi="宋体" w:eastAsia="宋体" w:cs="Tahoma"/>
        </w:rPr>
        <w:t>设备供货期：</w:t>
      </w:r>
      <w:bookmarkStart w:id="18" w:name="_Hlk194939245"/>
      <w:r>
        <w:rPr>
          <w:rFonts w:hint="eastAsia" w:ascii="宋体" w:hAnsi="宋体" w:eastAsia="宋体" w:cs="Tahoma"/>
        </w:rPr>
        <w:t>从收到中标通知开始起计90个日历天，货运到招标方要求地点。具体供货时间双方根据项目进度确定，以招标方通知为准。另外期间的物价上涨、设备保管、设备配件的有效期等相关事项，</w:t>
      </w:r>
      <w:r>
        <w:rPr>
          <w:rFonts w:hint="eastAsia" w:ascii="宋体" w:hAnsi="宋体" w:eastAsia="宋体" w:cs="Tahoma"/>
          <w:strike/>
        </w:rPr>
        <w:t>要求见招标文件</w:t>
      </w:r>
      <w:r>
        <w:rPr>
          <w:rFonts w:hint="eastAsia" w:ascii="宋体" w:hAnsi="宋体" w:eastAsia="宋体" w:cs="Tahoma"/>
        </w:rPr>
        <w:t>由中标方负责。</w:t>
      </w:r>
      <w:bookmarkEnd w:id="18"/>
    </w:p>
    <w:p>
      <w:pPr>
        <w:widowControl/>
        <w:numPr>
          <w:ilvl w:val="0"/>
          <w:numId w:val="36"/>
        </w:numPr>
        <w:spacing w:line="360" w:lineRule="auto"/>
        <w:ind w:left="420" w:leftChars="200"/>
        <w:jc w:val="left"/>
        <w:rPr>
          <w:rFonts w:hint="eastAsia" w:ascii="宋体" w:hAnsi="宋体" w:eastAsia="宋体" w:cs="Tahoma"/>
        </w:rPr>
      </w:pPr>
      <w:r>
        <w:rPr>
          <w:rFonts w:hint="eastAsia" w:ascii="宋体" w:hAnsi="宋体" w:eastAsia="宋体" w:cs="Tahoma"/>
        </w:rPr>
        <w:t>设备安装期：</w:t>
      </w:r>
      <w:bookmarkStart w:id="19" w:name="_Hlk194939268"/>
      <w:r>
        <w:rPr>
          <w:rFonts w:hint="eastAsia" w:ascii="宋体" w:hAnsi="宋体" w:eastAsia="宋体" w:cs="Tahoma"/>
        </w:rPr>
        <w:t>设备到货起30个日历天；</w:t>
      </w:r>
      <w:bookmarkEnd w:id="19"/>
    </w:p>
    <w:p>
      <w:pPr>
        <w:widowControl/>
        <w:numPr>
          <w:ilvl w:val="0"/>
          <w:numId w:val="36"/>
        </w:numPr>
        <w:spacing w:line="360" w:lineRule="auto"/>
        <w:ind w:left="420" w:leftChars="200"/>
        <w:jc w:val="left"/>
        <w:rPr>
          <w:rFonts w:hint="eastAsia" w:ascii="宋体" w:hAnsi="宋体" w:eastAsia="宋体" w:cs="Tahoma"/>
        </w:rPr>
      </w:pPr>
      <w:r>
        <w:rPr>
          <w:rFonts w:hint="eastAsia" w:ascii="宋体" w:hAnsi="宋体" w:eastAsia="宋体" w:cs="Tahoma"/>
        </w:rPr>
        <w:t>设备调试期：</w:t>
      </w:r>
      <w:bookmarkStart w:id="20" w:name="_Hlk194939278"/>
      <w:r>
        <w:rPr>
          <w:rFonts w:hint="eastAsia" w:ascii="宋体" w:hAnsi="宋体" w:eastAsia="宋体" w:cs="Tahoma"/>
        </w:rPr>
        <w:t>从设备安装完成后起15个日历天，调试完成后进行初步试产；</w:t>
      </w:r>
      <w:bookmarkEnd w:id="20"/>
    </w:p>
    <w:p>
      <w:pPr>
        <w:widowControl/>
        <w:numPr>
          <w:ilvl w:val="0"/>
          <w:numId w:val="36"/>
        </w:numPr>
        <w:spacing w:line="360" w:lineRule="auto"/>
        <w:ind w:left="420" w:leftChars="200"/>
        <w:jc w:val="left"/>
        <w:rPr>
          <w:rFonts w:hint="eastAsia" w:ascii="宋体" w:hAnsi="宋体" w:eastAsia="宋体" w:cs="Tahoma"/>
        </w:rPr>
      </w:pPr>
      <w:r>
        <w:rPr>
          <w:rFonts w:hint="eastAsia" w:ascii="宋体" w:hAnsi="宋体" w:eastAsia="宋体" w:cs="Tahoma"/>
        </w:rPr>
        <w:t>设备验收期：</w:t>
      </w:r>
      <w:bookmarkStart w:id="21" w:name="_Hlk194939285"/>
      <w:r>
        <w:rPr>
          <w:rFonts w:hint="eastAsia" w:ascii="宋体" w:hAnsi="宋体" w:eastAsia="宋体" w:cs="Tahoma"/>
        </w:rPr>
        <w:t>设备稳定运行3个月后，由投标方书面申请开展验收，并填写验收记录签字和确认。</w:t>
      </w:r>
      <w:bookmarkEnd w:id="21"/>
    </w:p>
    <w:p>
      <w:pPr>
        <w:spacing w:line="360" w:lineRule="auto"/>
        <w:ind w:left="2108" w:hanging="2108" w:hangingChars="1000"/>
        <w:jc w:val="left"/>
        <w:rPr>
          <w:rFonts w:hint="eastAsia" w:ascii="宋体" w:hAnsi="宋体" w:eastAsia="宋体" w:cs="Times New Roman"/>
          <w:szCs w:val="21"/>
        </w:rPr>
      </w:pPr>
      <w:r>
        <w:rPr>
          <w:rFonts w:hint="eastAsia" w:ascii="宋体" w:hAnsi="宋体" w:eastAsia="宋体" w:cs="Times New Roman"/>
          <w:b/>
          <w:kern w:val="0"/>
          <w:szCs w:val="21"/>
        </w:rPr>
        <w:t>（十六）</w:t>
      </w:r>
      <w:r>
        <w:rPr>
          <w:rFonts w:ascii="宋体" w:hAnsi="宋体" w:eastAsia="宋体" w:cs="Times New Roman"/>
          <w:b/>
          <w:kern w:val="0"/>
          <w:szCs w:val="21"/>
        </w:rPr>
        <w:t>、</w:t>
      </w:r>
      <w:r>
        <w:rPr>
          <w:rFonts w:hint="eastAsia" w:ascii="宋体" w:hAnsi="宋体" w:eastAsia="宋体" w:cs="Times New Roman"/>
          <w:b/>
          <w:kern w:val="0"/>
          <w:szCs w:val="21"/>
        </w:rPr>
        <w:t>交货地点：</w:t>
      </w:r>
      <w:r>
        <w:rPr>
          <w:rFonts w:hint="eastAsia" w:ascii="宋体" w:hAnsi="宋体"/>
          <w:szCs w:val="21"/>
        </w:rPr>
        <w:t>四川省雅安市经济开发区德光路1号—王老吉大健康产业（雅安）有限公司内</w:t>
      </w:r>
      <w:r>
        <w:rPr>
          <w:rFonts w:hint="eastAsia" w:ascii="宋体" w:hAnsi="宋体" w:eastAsia="宋体" w:cs="Times New Roman"/>
          <w:szCs w:val="21"/>
        </w:rPr>
        <w:t>。</w:t>
      </w:r>
    </w:p>
    <w:p>
      <w:pPr>
        <w:widowControl/>
        <w:spacing w:line="360" w:lineRule="auto"/>
        <w:jc w:val="left"/>
        <w:rPr>
          <w:rFonts w:hint="eastAsia" w:ascii="宋体" w:hAnsi="宋体" w:eastAsia="宋体" w:cs="Times New Roman"/>
          <w:b/>
          <w:szCs w:val="21"/>
        </w:rPr>
      </w:pPr>
      <w:r>
        <w:rPr>
          <w:rFonts w:hint="eastAsia" w:ascii="宋体" w:hAnsi="宋体" w:eastAsia="宋体" w:cs="Times New Roman"/>
          <w:b/>
          <w:szCs w:val="21"/>
        </w:rPr>
        <w:t>（十七）</w:t>
      </w:r>
      <w:r>
        <w:rPr>
          <w:rFonts w:ascii="宋体" w:hAnsi="宋体" w:eastAsia="宋体" w:cs="Times New Roman"/>
          <w:b/>
          <w:szCs w:val="21"/>
        </w:rPr>
        <w:t>、</w:t>
      </w:r>
      <w:r>
        <w:rPr>
          <w:rFonts w:hint="eastAsia" w:ascii="宋体" w:hAnsi="宋体" w:eastAsia="宋体" w:cs="Times New Roman"/>
          <w:b/>
          <w:szCs w:val="21"/>
        </w:rPr>
        <w:t>质保期：质保期由验收合格之日起算。</w:t>
      </w:r>
    </w:p>
    <w:p>
      <w:pPr>
        <w:numPr>
          <w:ilvl w:val="0"/>
          <w:numId w:val="37"/>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szCs w:val="21"/>
        </w:rPr>
        <w:t>设备整机的质量保证期至少为1年（12个月），从设备验收双方签字后起算。在保修期内投标方提供的设备出现三次系统异常问题或以上的相同质量缺陷时，质保期从该缺陷被消除之时起算。</w:t>
      </w:r>
    </w:p>
    <w:p>
      <w:pPr>
        <w:numPr>
          <w:ilvl w:val="0"/>
          <w:numId w:val="37"/>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szCs w:val="21"/>
        </w:rPr>
        <w:t>如果设备于质保期内在正常运行条件下出现与合同技术规格书要求的技术条款质量不符的缺陷或故障，投标方负责免费更换、维修和重新调试。</w:t>
      </w:r>
    </w:p>
    <w:p>
      <w:pPr>
        <w:numPr>
          <w:ilvl w:val="0"/>
          <w:numId w:val="37"/>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szCs w:val="21"/>
        </w:rPr>
        <w:t>质量保证期内设备缺陷、故障的排除、修复等售后服务，投标方在接到招标方的通知后24小时内，将维修计划告知招标方，招标方有需要时在48小时内到达客户现场解决问题，如因有个别特殊备件无法及时到达现场，经招标方同意可延长维修时间。提供7*24小时的热线电话服务；8小时*5天的远程登录热线支持；投标方未按照要求及时且有效的响应招标方的质保需求，招标方有权每次扣除1%的质保金。如果投标方未能及时处理，招标方可自行维修处理，维修所用的费用从质保金扣除。</w:t>
      </w:r>
    </w:p>
    <w:p>
      <w:pPr>
        <w:numPr>
          <w:ilvl w:val="0"/>
          <w:numId w:val="37"/>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szCs w:val="21"/>
        </w:rPr>
        <w:t>投标方对设备缺陷、故障的排除、修复等售后服务，在接到招标方通知后</w:t>
      </w:r>
      <w:r>
        <w:rPr>
          <w:rFonts w:ascii="宋体" w:hAnsi="宋体" w:eastAsia="宋体" w:cs="Times New Roman"/>
          <w:szCs w:val="21"/>
        </w:rPr>
        <w:t>3</w:t>
      </w:r>
      <w:r>
        <w:rPr>
          <w:rFonts w:hint="eastAsia" w:ascii="宋体" w:hAnsi="宋体" w:eastAsia="宋体" w:cs="Times New Roman"/>
          <w:szCs w:val="21"/>
        </w:rPr>
        <w:t>个自然天内完成维修及调试工作，并使之达到合同文件的有关要求。</w:t>
      </w:r>
    </w:p>
    <w:p>
      <w:pPr>
        <w:numPr>
          <w:ilvl w:val="0"/>
          <w:numId w:val="37"/>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rPr>
        <w:t>在质保期内免费提供货物正常使用情况下发生故障的维修服务（包含损坏零配件更换、差旅费等）。</w:t>
      </w:r>
    </w:p>
    <w:p>
      <w:pPr>
        <w:numPr>
          <w:ilvl w:val="0"/>
          <w:numId w:val="37"/>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szCs w:val="21"/>
        </w:rPr>
        <w:t>系统保质期内运行期间，免费</w:t>
      </w:r>
      <w:r>
        <w:rPr>
          <w:rFonts w:ascii="宋体" w:hAnsi="宋体" w:eastAsia="宋体" w:cs="Times New Roman"/>
          <w:szCs w:val="21"/>
        </w:rPr>
        <w:t>派人到现成解决招标方无法处理的</w:t>
      </w:r>
      <w:r>
        <w:rPr>
          <w:rFonts w:hint="eastAsia" w:ascii="宋体" w:hAnsi="宋体" w:eastAsia="宋体" w:cs="Times New Roman"/>
          <w:szCs w:val="21"/>
        </w:rPr>
        <w:t>问题。</w:t>
      </w:r>
    </w:p>
    <w:p>
      <w:pPr>
        <w:numPr>
          <w:ilvl w:val="0"/>
          <w:numId w:val="37"/>
        </w:numPr>
        <w:spacing w:line="360" w:lineRule="auto"/>
        <w:ind w:left="420" w:leftChars="200"/>
        <w:rPr>
          <w:rFonts w:hint="eastAsia" w:ascii="宋体" w:hAnsi="宋体" w:eastAsia="宋体" w:cs="Times New Roman"/>
          <w:szCs w:val="21"/>
        </w:rPr>
      </w:pPr>
      <w:r>
        <w:rPr>
          <w:rFonts w:hint="eastAsia" w:ascii="宋体" w:hAnsi="宋体" w:eastAsia="宋体" w:cs="Times New Roman"/>
          <w:szCs w:val="21"/>
        </w:rPr>
        <w:t>明确硬件、软件的保修范围及保修年限，保修期限内发生故障后的响应时间承诺。</w:t>
      </w:r>
    </w:p>
    <w:p>
      <w:pPr>
        <w:numPr>
          <w:ilvl w:val="0"/>
          <w:numId w:val="37"/>
        </w:numPr>
        <w:spacing w:line="360" w:lineRule="auto"/>
        <w:ind w:left="420" w:leftChars="200"/>
        <w:rPr>
          <w:rFonts w:hint="eastAsia" w:ascii="宋体" w:hAnsi="宋体" w:eastAsia="宋体" w:cs="Times New Roman"/>
          <w:szCs w:val="21"/>
        </w:rPr>
      </w:pPr>
      <w:r>
        <w:rPr>
          <w:rFonts w:hint="eastAsia" w:ascii="宋体" w:hAnsi="宋体" w:eastAsia="宋体" w:cs="Times New Roman"/>
          <w:szCs w:val="21"/>
        </w:rPr>
        <w:t>在质保期内，投标方免费为用户提供新件，更换所有的故障部件。投标方为系统提供预防性的维护服务。</w:t>
      </w:r>
    </w:p>
    <w:p>
      <w:pPr>
        <w:numPr>
          <w:ilvl w:val="0"/>
          <w:numId w:val="37"/>
        </w:numPr>
        <w:spacing w:line="360" w:lineRule="auto"/>
        <w:ind w:left="420" w:leftChars="200"/>
        <w:rPr>
          <w:rFonts w:hint="eastAsia" w:ascii="宋体" w:hAnsi="宋体" w:eastAsia="宋体" w:cs="Times New Roman"/>
          <w:szCs w:val="21"/>
        </w:rPr>
      </w:pPr>
      <w:r>
        <w:rPr>
          <w:rFonts w:hint="eastAsia" w:ascii="宋体" w:hAnsi="宋体" w:eastAsia="宋体" w:cs="Times New Roman"/>
          <w:szCs w:val="21"/>
        </w:rPr>
        <w:t>投标方提供的管理监控软件2年或以上免费升级，并保证更新软件不存在硬件增加。</w:t>
      </w:r>
    </w:p>
    <w:p>
      <w:pPr>
        <w:pStyle w:val="13"/>
        <w:spacing w:line="360" w:lineRule="auto"/>
        <w:ind w:firstLine="0" w:firstLineChars="0"/>
        <w:rPr>
          <w:rFonts w:hint="eastAsia" w:ascii="宋体" w:hAnsi="宋体" w:eastAsia="宋体" w:cs="Times New Roman"/>
          <w:b/>
          <w:szCs w:val="21"/>
        </w:rPr>
      </w:pPr>
      <w:r>
        <w:rPr>
          <w:rFonts w:hint="eastAsia" w:ascii="宋体" w:hAnsi="宋体" w:eastAsia="宋体" w:cs="Times New Roman"/>
          <w:b/>
          <w:kern w:val="0"/>
          <w:szCs w:val="21"/>
        </w:rPr>
        <w:t>（十八）、</w:t>
      </w:r>
      <w:r>
        <w:rPr>
          <w:rFonts w:hint="eastAsia" w:ascii="宋体" w:hAnsi="宋体" w:eastAsia="宋体" w:cs="Times New Roman"/>
          <w:b/>
          <w:szCs w:val="21"/>
        </w:rPr>
        <w:t>技术培训</w:t>
      </w:r>
    </w:p>
    <w:p>
      <w:pPr>
        <w:numPr>
          <w:ilvl w:val="0"/>
          <w:numId w:val="38"/>
        </w:numPr>
        <w:spacing w:line="360" w:lineRule="auto"/>
        <w:ind w:left="315" w:leftChars="150"/>
        <w:rPr>
          <w:rFonts w:hint="eastAsia" w:ascii="宋体" w:hAnsi="宋体" w:eastAsia="宋体" w:cs="Times New Roman"/>
          <w:b/>
          <w:szCs w:val="21"/>
        </w:rPr>
      </w:pPr>
      <w:r>
        <w:rPr>
          <w:rFonts w:hint="eastAsia" w:ascii="宋体" w:hAnsi="宋体" w:eastAsia="宋体" w:cs="Times New Roman"/>
          <w:b/>
          <w:szCs w:val="21"/>
        </w:rPr>
        <w:t>培训要求</w:t>
      </w:r>
    </w:p>
    <w:p>
      <w:pPr>
        <w:pStyle w:val="13"/>
        <w:numPr>
          <w:ilvl w:val="0"/>
          <w:numId w:val="39"/>
        </w:numPr>
        <w:ind w:left="420" w:leftChars="200" w:firstLineChars="0"/>
        <w:rPr>
          <w:rFonts w:hint="eastAsia" w:ascii="宋体" w:hAnsi="宋体" w:eastAsia="宋体" w:cs="Times New Roman"/>
          <w:szCs w:val="21"/>
        </w:rPr>
      </w:pPr>
      <w:r>
        <w:rPr>
          <w:rFonts w:hint="eastAsia" w:ascii="宋体" w:hAnsi="宋体" w:eastAsia="宋体" w:cs="Times New Roman"/>
          <w:szCs w:val="21"/>
        </w:rPr>
        <w:t>投标方向招标方提供不低于8*3=24小时课时以上现场的培训，包括详细的培训计划表等；</w:t>
      </w:r>
    </w:p>
    <w:p>
      <w:pPr>
        <w:numPr>
          <w:ilvl w:val="0"/>
          <w:numId w:val="39"/>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szCs w:val="21"/>
        </w:rPr>
        <w:t>培训资料投标方应于培训开始前</w:t>
      </w:r>
      <w:r>
        <w:rPr>
          <w:rFonts w:ascii="宋体" w:hAnsi="宋体" w:eastAsia="宋体" w:cs="Times New Roman"/>
          <w:szCs w:val="21"/>
        </w:rPr>
        <w:t>3</w:t>
      </w:r>
      <w:r>
        <w:rPr>
          <w:rFonts w:hint="eastAsia" w:ascii="宋体" w:hAnsi="宋体" w:eastAsia="宋体" w:cs="Times New Roman"/>
          <w:szCs w:val="21"/>
        </w:rPr>
        <w:t>天提交招标方；</w:t>
      </w:r>
    </w:p>
    <w:p>
      <w:pPr>
        <w:numPr>
          <w:ilvl w:val="0"/>
          <w:numId w:val="38"/>
        </w:numPr>
        <w:spacing w:line="360" w:lineRule="auto"/>
        <w:ind w:left="315" w:leftChars="150"/>
        <w:rPr>
          <w:rFonts w:hint="eastAsia" w:ascii="宋体" w:hAnsi="宋体" w:eastAsia="宋体" w:cs="Times New Roman"/>
          <w:b/>
          <w:szCs w:val="21"/>
        </w:rPr>
      </w:pPr>
      <w:r>
        <w:rPr>
          <w:rFonts w:hint="eastAsia" w:ascii="宋体" w:hAnsi="宋体" w:eastAsia="宋体" w:cs="Times New Roman"/>
          <w:b/>
          <w:szCs w:val="21"/>
        </w:rPr>
        <w:t>培训对象和目标</w:t>
      </w:r>
    </w:p>
    <w:p>
      <w:pPr>
        <w:numPr>
          <w:ilvl w:val="0"/>
          <w:numId w:val="40"/>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szCs w:val="21"/>
        </w:rPr>
        <w:t>提供给招标方的培训课程包括设备操作细节和设备操作的内容，包括相关安全步骤等。</w:t>
      </w:r>
    </w:p>
    <w:p>
      <w:pPr>
        <w:numPr>
          <w:ilvl w:val="0"/>
          <w:numId w:val="40"/>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szCs w:val="21"/>
        </w:rPr>
        <w:t>培训课程包括设备操作、报警日志分析、故障排解和附件相关手册等。</w:t>
      </w:r>
    </w:p>
    <w:p>
      <w:pPr>
        <w:numPr>
          <w:ilvl w:val="0"/>
          <w:numId w:val="40"/>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szCs w:val="21"/>
        </w:rPr>
        <w:t>对于维护人员而言，培训课程指在实践中帮助技术人员获取应对紧急状况处理的经验，诊断并调整设备、排除故障、修理更换部件、管理备件、进行日常的维护。</w:t>
      </w:r>
    </w:p>
    <w:p>
      <w:pPr>
        <w:numPr>
          <w:ilvl w:val="0"/>
          <w:numId w:val="40"/>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szCs w:val="21"/>
        </w:rPr>
        <w:t>对于操作人员而言，培训课程指在实践中帮助操作员熟知设备及系统的使用，基本诊断和基本的调整操作。</w:t>
      </w:r>
    </w:p>
    <w:p>
      <w:pPr>
        <w:numPr>
          <w:ilvl w:val="0"/>
          <w:numId w:val="38"/>
        </w:numPr>
        <w:spacing w:line="360" w:lineRule="auto"/>
        <w:ind w:left="315" w:leftChars="150"/>
        <w:jc w:val="left"/>
        <w:rPr>
          <w:rFonts w:hint="eastAsia" w:ascii="宋体" w:hAnsi="宋体" w:eastAsia="宋体" w:cs="Times New Roman"/>
          <w:b/>
          <w:szCs w:val="21"/>
        </w:rPr>
      </w:pPr>
      <w:r>
        <w:rPr>
          <w:rFonts w:hint="eastAsia" w:ascii="宋体" w:hAnsi="宋体" w:eastAsia="宋体" w:cs="Times New Roman"/>
          <w:b/>
          <w:szCs w:val="21"/>
        </w:rPr>
        <w:t>培训结构</w:t>
      </w:r>
    </w:p>
    <w:p>
      <w:pPr>
        <w:numPr>
          <w:ilvl w:val="0"/>
          <w:numId w:val="41"/>
        </w:numPr>
        <w:spacing w:line="360" w:lineRule="auto"/>
        <w:ind w:left="420" w:leftChars="200"/>
        <w:jc w:val="left"/>
        <w:rPr>
          <w:rFonts w:hint="eastAsia" w:ascii="宋体" w:hAnsi="宋体" w:eastAsia="宋体" w:cs="Times New Roman"/>
          <w:szCs w:val="21"/>
        </w:rPr>
      </w:pPr>
      <w:r>
        <w:rPr>
          <w:rFonts w:hint="eastAsia" w:ascii="宋体" w:hAnsi="宋体" w:eastAsia="宋体" w:cs="Times New Roman"/>
          <w:szCs w:val="21"/>
        </w:rPr>
        <w:t>投标方提供的培训应包括对以下招标方人员的培训：</w:t>
      </w:r>
    </w:p>
    <w:p>
      <w:pPr>
        <w:pStyle w:val="13"/>
        <w:numPr>
          <w:ilvl w:val="0"/>
          <w:numId w:val="42"/>
        </w:numPr>
        <w:spacing w:line="360" w:lineRule="auto"/>
        <w:ind w:left="630" w:leftChars="300" w:firstLineChars="0"/>
        <w:jc w:val="left"/>
        <w:rPr>
          <w:rFonts w:hint="eastAsia" w:ascii="宋体" w:hAnsi="宋体" w:eastAsia="宋体" w:cs="Times New Roman"/>
          <w:szCs w:val="21"/>
        </w:rPr>
      </w:pPr>
      <w:r>
        <w:rPr>
          <w:rFonts w:hint="eastAsia" w:ascii="宋体" w:hAnsi="宋体" w:eastAsia="宋体" w:cs="Times New Roman"/>
          <w:szCs w:val="21"/>
        </w:rPr>
        <w:t>操作员的培训：目标使让操作人员熟知不同区域的应用。</w:t>
      </w:r>
    </w:p>
    <w:p>
      <w:pPr>
        <w:pStyle w:val="13"/>
        <w:numPr>
          <w:ilvl w:val="0"/>
          <w:numId w:val="42"/>
        </w:numPr>
        <w:spacing w:line="360" w:lineRule="auto"/>
        <w:ind w:left="630" w:leftChars="300" w:firstLineChars="0"/>
        <w:jc w:val="left"/>
        <w:rPr>
          <w:rFonts w:hint="eastAsia" w:ascii="宋体" w:hAnsi="宋体" w:eastAsia="宋体" w:cs="Times New Roman"/>
          <w:szCs w:val="21"/>
        </w:rPr>
      </w:pPr>
      <w:r>
        <w:rPr>
          <w:rFonts w:hint="eastAsia" w:ascii="宋体" w:hAnsi="宋体" w:eastAsia="宋体" w:cs="Times New Roman"/>
          <w:szCs w:val="21"/>
        </w:rPr>
        <w:t>管理人员的培训：目标使让管理人员对所供系统和生产有更深入的认识。</w:t>
      </w:r>
    </w:p>
    <w:p>
      <w:pPr>
        <w:pStyle w:val="13"/>
        <w:numPr>
          <w:ilvl w:val="0"/>
          <w:numId w:val="42"/>
        </w:numPr>
        <w:spacing w:line="360" w:lineRule="auto"/>
        <w:ind w:left="630" w:leftChars="300" w:firstLineChars="0"/>
        <w:jc w:val="left"/>
        <w:rPr>
          <w:rFonts w:hint="eastAsia" w:ascii="宋体" w:hAnsi="宋体" w:eastAsia="宋体" w:cs="Times New Roman"/>
          <w:szCs w:val="21"/>
        </w:rPr>
      </w:pPr>
      <w:r>
        <w:rPr>
          <w:rFonts w:hint="eastAsia" w:ascii="宋体" w:hAnsi="宋体" w:eastAsia="宋体" w:cs="Times New Roman"/>
          <w:szCs w:val="21"/>
        </w:rPr>
        <w:t>维护人员的培训：目标是使维护人员对所供系统设备有深入的了解并熟知日常和紧急维护处理步骤。</w:t>
      </w:r>
    </w:p>
    <w:p>
      <w:pPr>
        <w:pStyle w:val="13"/>
        <w:numPr>
          <w:ilvl w:val="0"/>
          <w:numId w:val="42"/>
        </w:numPr>
        <w:spacing w:line="360" w:lineRule="auto"/>
        <w:ind w:left="630" w:leftChars="300" w:firstLineChars="0"/>
        <w:jc w:val="left"/>
        <w:rPr>
          <w:rFonts w:hint="eastAsia" w:ascii="宋体" w:hAnsi="宋体" w:eastAsia="宋体" w:cs="Times New Roman"/>
          <w:szCs w:val="21"/>
        </w:rPr>
      </w:pPr>
      <w:r>
        <w:rPr>
          <w:rFonts w:hint="eastAsia" w:ascii="宋体" w:hAnsi="宋体" w:eastAsia="宋体" w:cs="Times New Roman"/>
          <w:szCs w:val="21"/>
        </w:rPr>
        <w:t>进阶培训：主要针对精选人员(如工程师、IT)，额外培训系统高层部分以便处理非常状况。</w:t>
      </w:r>
    </w:p>
    <w:p>
      <w:pPr>
        <w:pStyle w:val="13"/>
        <w:numPr>
          <w:ilvl w:val="0"/>
          <w:numId w:val="42"/>
        </w:numPr>
        <w:spacing w:line="360" w:lineRule="auto"/>
        <w:ind w:left="630" w:leftChars="300" w:firstLineChars="0"/>
        <w:jc w:val="left"/>
        <w:rPr>
          <w:rFonts w:hint="eastAsia" w:ascii="宋体" w:hAnsi="宋体" w:eastAsia="宋体" w:cs="Times New Roman"/>
          <w:szCs w:val="21"/>
        </w:rPr>
      </w:pPr>
      <w:r>
        <w:rPr>
          <w:rFonts w:hint="eastAsia" w:ascii="宋体" w:hAnsi="宋体" w:eastAsia="宋体" w:cs="Times New Roman"/>
          <w:szCs w:val="21"/>
        </w:rPr>
        <w:t>培训内容计划：投标方提供每个不同板块的受培训人员的培训步骤；每个部分包括培训时长，进行培训的地点和计划的安排。</w:t>
      </w:r>
    </w:p>
    <w:p>
      <w:pPr>
        <w:pStyle w:val="13"/>
        <w:numPr>
          <w:ilvl w:val="0"/>
          <w:numId w:val="42"/>
        </w:numPr>
        <w:spacing w:line="360" w:lineRule="auto"/>
        <w:ind w:left="630" w:leftChars="300" w:firstLineChars="0"/>
        <w:jc w:val="left"/>
        <w:rPr>
          <w:rFonts w:hint="eastAsia" w:ascii="宋体" w:hAnsi="宋体" w:eastAsia="宋体" w:cs="Times New Roman"/>
          <w:szCs w:val="21"/>
        </w:rPr>
      </w:pPr>
      <w:r>
        <w:rPr>
          <w:rFonts w:hint="eastAsia" w:ascii="宋体" w:hAnsi="宋体" w:eastAsia="宋体" w:cs="Times New Roman"/>
          <w:szCs w:val="21"/>
        </w:rPr>
        <w:t>培训工具和文件：培训前投标方应提供完整的培训工具与文件，提前3天通知招标方，并提交相关培训资料。</w:t>
      </w:r>
    </w:p>
    <w:p>
      <w:pPr>
        <w:numPr>
          <w:ilvl w:val="0"/>
          <w:numId w:val="43"/>
        </w:numPr>
        <w:spacing w:line="360" w:lineRule="auto"/>
        <w:rPr>
          <w:b/>
        </w:rPr>
      </w:pPr>
      <w:r>
        <w:rPr>
          <w:rFonts w:hint="eastAsia"/>
          <w:b/>
        </w:rPr>
        <w:t>、后附资料。</w:t>
      </w:r>
    </w:p>
    <w:p>
      <w:pPr>
        <w:pStyle w:val="13"/>
        <w:ind w:firstLine="20"/>
        <w:rPr>
          <w:rFonts w:ascii="Times New Roman" w:hAnsi="Times New Roman" w:eastAsia="Times New Roman" w:cs="Times New Roman"/>
          <w:snapToGrid w:val="0"/>
          <w:w w:val="0"/>
          <w:kern w:val="0"/>
          <w:sz w:val="0"/>
          <w:szCs w:val="0"/>
          <w:u w:color="000000"/>
          <w:shd w:val="clear" w:color="000000" w:fill="000000"/>
          <w:lang w:val="zh-CN" w:bidi="zh-CN"/>
        </w:rPr>
      </w:pPr>
    </w:p>
    <w:p>
      <w:pPr>
        <w:spacing w:line="360" w:lineRule="auto"/>
        <w:rPr>
          <w:rFonts w:hint="eastAsia" w:ascii="宋体" w:hAnsi="宋体" w:eastAsia="宋体" w:cs="Times New Roman"/>
          <w:b/>
          <w:bCs/>
          <w:szCs w:val="21"/>
        </w:rPr>
      </w:pPr>
      <w:r>
        <w:rPr>
          <w:rFonts w:hint="eastAsia" w:ascii="宋体" w:hAnsi="宋体" w:eastAsia="宋体" w:cs="Times New Roman"/>
          <w:b/>
          <w:bCs/>
          <w:szCs w:val="21"/>
        </w:rPr>
        <w:t>附件1：车间S3线包装平面布局图（仅供参考）</w:t>
      </w:r>
    </w:p>
    <w:p>
      <w:pPr>
        <w:spacing w:line="360" w:lineRule="auto"/>
        <w:rPr>
          <w:b/>
          <w:bCs/>
        </w:rPr>
      </w:pPr>
      <w:r>
        <w:drawing>
          <wp:inline distT="0" distB="0" distL="114300" distR="114300">
            <wp:extent cx="4324350" cy="2319655"/>
            <wp:effectExtent l="0" t="0" r="0"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4324350" cy="2319655"/>
                    </a:xfrm>
                    <a:prstGeom prst="rect">
                      <a:avLst/>
                    </a:prstGeom>
                    <a:noFill/>
                    <a:ln>
                      <a:noFill/>
                    </a:ln>
                  </pic:spPr>
                </pic:pic>
              </a:graphicData>
            </a:graphic>
          </wp:inline>
        </w:drawing>
      </w:r>
    </w:p>
    <w:p>
      <w:pPr>
        <w:spacing w:line="360" w:lineRule="auto"/>
        <w:rPr>
          <w:b/>
          <w:bCs/>
        </w:rPr>
      </w:pPr>
    </w:p>
    <w:p/>
    <w:p>
      <w:pPr>
        <w:rPr>
          <w:rFonts w:ascii="Times New Roman" w:hAnsi="Times New Roman" w:cs="Times New Roman"/>
          <w:szCs w:val="24"/>
        </w:rPr>
      </w:pPr>
      <w:r>
        <w:rPr>
          <w:rFonts w:hint="eastAsia" w:ascii="宋体" w:hAnsi="宋体" w:cs="Times New Roman"/>
          <w:bCs/>
          <w:spacing w:val="20"/>
          <w:szCs w:val="21"/>
        </w:rPr>
        <w:t>附件2：灌装车间设备布局及改造平面图</w:t>
      </w:r>
      <w:r>
        <w:rPr>
          <w:rFonts w:hint="eastAsia" w:ascii="Times New Roman" w:hAnsi="Times New Roman" w:cs="Times New Roman"/>
          <w:szCs w:val="24"/>
        </w:rPr>
        <w:t>（仅作参考）</w:t>
      </w:r>
    </w:p>
    <w:p>
      <w:r>
        <w:drawing>
          <wp:inline distT="0" distB="0" distL="114300" distR="114300">
            <wp:extent cx="4254500" cy="3378835"/>
            <wp:effectExtent l="0" t="0" r="1270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254500" cy="3378835"/>
                    </a:xfrm>
                    <a:prstGeom prst="rect">
                      <a:avLst/>
                    </a:prstGeom>
                    <a:noFill/>
                    <a:ln>
                      <a:noFill/>
                    </a:ln>
                  </pic:spPr>
                </pic:pic>
              </a:graphicData>
            </a:graphic>
          </wp:inline>
        </w:drawing>
      </w:r>
    </w:p>
    <w:p>
      <w:pPr>
        <w:adjustRightInd w:val="0"/>
        <w:snapToGrid w:val="0"/>
        <w:spacing w:line="360" w:lineRule="auto"/>
      </w:pPr>
      <w:r>
        <w:rPr>
          <w:rFonts w:hint="eastAsia" w:ascii="宋体" w:hAnsi="宋体" w:cs="Times New Roman"/>
          <w:bCs/>
          <w:spacing w:val="20"/>
          <w:szCs w:val="21"/>
        </w:rPr>
        <w:t>附件3：</w:t>
      </w:r>
      <w:r>
        <w:rPr>
          <w:rFonts w:hint="eastAsia" w:ascii="宋体" w:hAnsi="宋体" w:cs="Times New Roman"/>
          <w:szCs w:val="21"/>
        </w:rPr>
        <w:t>APb2动力配电箱系统图</w:t>
      </w:r>
      <w:r>
        <w:rPr>
          <w:rFonts w:hint="eastAsia" w:ascii="Times New Roman" w:hAnsi="Times New Roman" w:cs="Times New Roman"/>
          <w:szCs w:val="24"/>
        </w:rPr>
        <w:t>（仅作参考）</w:t>
      </w:r>
    </w:p>
    <w:p>
      <w:r>
        <w:drawing>
          <wp:inline distT="0" distB="0" distL="114300" distR="114300">
            <wp:extent cx="4364355" cy="2700020"/>
            <wp:effectExtent l="0" t="0" r="17145"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4364355" cy="2700020"/>
                    </a:xfrm>
                    <a:prstGeom prst="rect">
                      <a:avLst/>
                    </a:prstGeom>
                    <a:noFill/>
                    <a:ln>
                      <a:noFill/>
                    </a:ln>
                  </pic:spPr>
                </pic:pic>
              </a:graphicData>
            </a:graphic>
          </wp:inline>
        </w:drawing>
      </w:r>
    </w:p>
    <w:p>
      <w:pPr>
        <w:spacing w:line="360" w:lineRule="auto"/>
      </w:pPr>
      <w:r>
        <w:rPr>
          <w:rFonts w:hint="eastAsia" w:ascii="宋体" w:hAnsi="宋体" w:cs="Times New Roman"/>
          <w:szCs w:val="21"/>
        </w:rPr>
        <w:t>附件4：1#罐装车间管道布置图</w:t>
      </w:r>
    </w:p>
    <w:p>
      <w:r>
        <w:drawing>
          <wp:inline distT="0" distB="0" distL="114300" distR="114300">
            <wp:extent cx="4324350" cy="2557145"/>
            <wp:effectExtent l="0" t="0" r="0" b="146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4324350" cy="2557145"/>
                    </a:xfrm>
                    <a:prstGeom prst="rect">
                      <a:avLst/>
                    </a:prstGeom>
                    <a:noFill/>
                    <a:ln>
                      <a:noFill/>
                    </a:ln>
                  </pic:spPr>
                </pic:pic>
              </a:graphicData>
            </a:graphic>
          </wp:inline>
        </w:drawing>
      </w:r>
    </w:p>
    <w:p/>
    <w:p/>
    <w:p/>
    <w:p/>
    <w:p/>
    <w:p/>
    <w:bookmarkEnd w:id="22"/>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2852666"/>
    </w:sdtPr>
    <w:sdtContent>
      <w:sdt>
        <w:sdtPr>
          <w:id w:val="-1705238520"/>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C5227"/>
    <w:multiLevelType w:val="singleLevel"/>
    <w:tmpl w:val="870C5227"/>
    <w:lvl w:ilvl="0" w:tentative="0">
      <w:start w:val="1"/>
      <w:numFmt w:val="decimal"/>
      <w:lvlText w:val="%1."/>
      <w:lvlJc w:val="left"/>
      <w:pPr>
        <w:ind w:left="709" w:hanging="425"/>
      </w:pPr>
      <w:rPr>
        <w:rFonts w:hint="default"/>
      </w:rPr>
    </w:lvl>
  </w:abstractNum>
  <w:abstractNum w:abstractNumId="1">
    <w:nsid w:val="8A9961DC"/>
    <w:multiLevelType w:val="singleLevel"/>
    <w:tmpl w:val="8A9961DC"/>
    <w:lvl w:ilvl="0" w:tentative="0">
      <w:start w:val="1"/>
      <w:numFmt w:val="chineseCounting"/>
      <w:suff w:val="nothing"/>
      <w:lvlText w:val="（%1）"/>
      <w:lvlJc w:val="left"/>
      <w:pPr>
        <w:ind w:left="-420" w:firstLine="420"/>
      </w:pPr>
      <w:rPr>
        <w:rFonts w:hint="eastAsia"/>
      </w:rPr>
    </w:lvl>
  </w:abstractNum>
  <w:abstractNum w:abstractNumId="2">
    <w:nsid w:val="8B606699"/>
    <w:multiLevelType w:val="singleLevel"/>
    <w:tmpl w:val="8B606699"/>
    <w:lvl w:ilvl="0" w:tentative="0">
      <w:start w:val="1"/>
      <w:numFmt w:val="decimal"/>
      <w:lvlText w:val="(%1)"/>
      <w:lvlJc w:val="left"/>
      <w:pPr>
        <w:ind w:left="425" w:hanging="425"/>
      </w:pPr>
      <w:rPr>
        <w:rFonts w:hint="default"/>
      </w:rPr>
    </w:lvl>
  </w:abstractNum>
  <w:abstractNum w:abstractNumId="3">
    <w:nsid w:val="8BA762B5"/>
    <w:multiLevelType w:val="singleLevel"/>
    <w:tmpl w:val="8BA762B5"/>
    <w:lvl w:ilvl="0" w:tentative="0">
      <w:start w:val="1"/>
      <w:numFmt w:val="decimal"/>
      <w:lvlText w:val="(%1)"/>
      <w:lvlJc w:val="left"/>
      <w:pPr>
        <w:ind w:left="425" w:hanging="425"/>
      </w:pPr>
      <w:rPr>
        <w:rFonts w:hint="default"/>
        <w:b w:val="0"/>
        <w:bCs/>
        <w:strike w:val="0"/>
      </w:rPr>
    </w:lvl>
  </w:abstractNum>
  <w:abstractNum w:abstractNumId="4">
    <w:nsid w:val="8C5AF502"/>
    <w:multiLevelType w:val="singleLevel"/>
    <w:tmpl w:val="8C5AF502"/>
    <w:lvl w:ilvl="0" w:tentative="0">
      <w:start w:val="1"/>
      <w:numFmt w:val="decimal"/>
      <w:lvlText w:val="(%1)"/>
      <w:lvlJc w:val="left"/>
      <w:pPr>
        <w:ind w:left="6379" w:hanging="425"/>
      </w:pPr>
      <w:rPr>
        <w:rFonts w:hint="default"/>
      </w:rPr>
    </w:lvl>
  </w:abstractNum>
  <w:abstractNum w:abstractNumId="5">
    <w:nsid w:val="9F81DA50"/>
    <w:multiLevelType w:val="singleLevel"/>
    <w:tmpl w:val="9F81DA50"/>
    <w:lvl w:ilvl="0" w:tentative="0">
      <w:start w:val="1"/>
      <w:numFmt w:val="decimal"/>
      <w:lvlText w:val="(%1)"/>
      <w:lvlJc w:val="left"/>
      <w:pPr>
        <w:ind w:left="425" w:hanging="425"/>
      </w:pPr>
      <w:rPr>
        <w:rFonts w:hint="default"/>
      </w:rPr>
    </w:lvl>
  </w:abstractNum>
  <w:abstractNum w:abstractNumId="6">
    <w:nsid w:val="A87D7862"/>
    <w:multiLevelType w:val="singleLevel"/>
    <w:tmpl w:val="A87D7862"/>
    <w:lvl w:ilvl="0" w:tentative="0">
      <w:start w:val="1"/>
      <w:numFmt w:val="decimal"/>
      <w:lvlText w:val="(%1)"/>
      <w:lvlJc w:val="left"/>
      <w:pPr>
        <w:ind w:left="845" w:hanging="425"/>
      </w:pPr>
      <w:rPr>
        <w:rFonts w:hint="default"/>
      </w:rPr>
    </w:lvl>
  </w:abstractNum>
  <w:abstractNum w:abstractNumId="7">
    <w:nsid w:val="A8B57386"/>
    <w:multiLevelType w:val="singleLevel"/>
    <w:tmpl w:val="A8B57386"/>
    <w:lvl w:ilvl="0" w:tentative="0">
      <w:start w:val="1"/>
      <w:numFmt w:val="decimal"/>
      <w:lvlText w:val="(%1)"/>
      <w:lvlJc w:val="left"/>
      <w:pPr>
        <w:ind w:left="845" w:hanging="425"/>
      </w:pPr>
      <w:rPr>
        <w:rFonts w:hint="default"/>
      </w:rPr>
    </w:lvl>
  </w:abstractNum>
  <w:abstractNum w:abstractNumId="8">
    <w:nsid w:val="CE953153"/>
    <w:multiLevelType w:val="singleLevel"/>
    <w:tmpl w:val="CE953153"/>
    <w:lvl w:ilvl="0" w:tentative="0">
      <w:start w:val="1"/>
      <w:numFmt w:val="decimal"/>
      <w:lvlText w:val="%1."/>
      <w:lvlJc w:val="left"/>
      <w:pPr>
        <w:ind w:left="425" w:hanging="425"/>
      </w:pPr>
      <w:rPr>
        <w:rFonts w:hint="default"/>
      </w:rPr>
    </w:lvl>
  </w:abstractNum>
  <w:abstractNum w:abstractNumId="9">
    <w:nsid w:val="D99F210E"/>
    <w:multiLevelType w:val="singleLevel"/>
    <w:tmpl w:val="D99F210E"/>
    <w:lvl w:ilvl="0" w:tentative="0">
      <w:start w:val="1"/>
      <w:numFmt w:val="decimal"/>
      <w:lvlText w:val="%1."/>
      <w:lvlJc w:val="left"/>
      <w:pPr>
        <w:tabs>
          <w:tab w:val="left" w:pos="312"/>
        </w:tabs>
        <w:ind w:left="0" w:firstLine="0"/>
      </w:pPr>
    </w:lvl>
  </w:abstractNum>
  <w:abstractNum w:abstractNumId="10">
    <w:nsid w:val="DEDCD6AA"/>
    <w:multiLevelType w:val="singleLevel"/>
    <w:tmpl w:val="DEDCD6AA"/>
    <w:lvl w:ilvl="0" w:tentative="0">
      <w:start w:val="1"/>
      <w:numFmt w:val="decimal"/>
      <w:lvlText w:val="%1."/>
      <w:lvlJc w:val="left"/>
      <w:pPr>
        <w:ind w:left="425" w:hanging="425"/>
      </w:pPr>
      <w:rPr>
        <w:rFonts w:hint="default"/>
      </w:rPr>
    </w:lvl>
  </w:abstractNum>
  <w:abstractNum w:abstractNumId="11">
    <w:nsid w:val="E3716C88"/>
    <w:multiLevelType w:val="singleLevel"/>
    <w:tmpl w:val="E3716C88"/>
    <w:lvl w:ilvl="0" w:tentative="0">
      <w:start w:val="1"/>
      <w:numFmt w:val="decimal"/>
      <w:lvlText w:val="(%1)"/>
      <w:lvlJc w:val="left"/>
      <w:pPr>
        <w:ind w:left="845" w:hanging="425"/>
      </w:pPr>
      <w:rPr>
        <w:rFonts w:hint="default"/>
      </w:rPr>
    </w:lvl>
  </w:abstractNum>
  <w:abstractNum w:abstractNumId="12">
    <w:nsid w:val="E3B41401"/>
    <w:multiLevelType w:val="singleLevel"/>
    <w:tmpl w:val="E3B41401"/>
    <w:lvl w:ilvl="0" w:tentative="0">
      <w:start w:val="1"/>
      <w:numFmt w:val="decimal"/>
      <w:lvlText w:val="(%1)"/>
      <w:lvlJc w:val="left"/>
      <w:pPr>
        <w:ind w:left="845" w:hanging="425"/>
      </w:pPr>
      <w:rPr>
        <w:rFonts w:hint="default"/>
      </w:rPr>
    </w:lvl>
  </w:abstractNum>
  <w:abstractNum w:abstractNumId="13">
    <w:nsid w:val="EA178A53"/>
    <w:multiLevelType w:val="singleLevel"/>
    <w:tmpl w:val="EA178A53"/>
    <w:lvl w:ilvl="0" w:tentative="0">
      <w:start w:val="1"/>
      <w:numFmt w:val="decimal"/>
      <w:lvlText w:val="%1."/>
      <w:lvlJc w:val="left"/>
      <w:pPr>
        <w:ind w:left="635" w:hanging="425"/>
      </w:pPr>
      <w:rPr>
        <w:rFonts w:hint="default"/>
      </w:rPr>
    </w:lvl>
  </w:abstractNum>
  <w:abstractNum w:abstractNumId="14">
    <w:nsid w:val="F279C3C3"/>
    <w:multiLevelType w:val="singleLevel"/>
    <w:tmpl w:val="F279C3C3"/>
    <w:lvl w:ilvl="0" w:tentative="0">
      <w:start w:val="1"/>
      <w:numFmt w:val="decimal"/>
      <w:lvlText w:val="%1."/>
      <w:lvlJc w:val="left"/>
      <w:pPr>
        <w:ind w:left="635" w:hanging="425"/>
      </w:pPr>
      <w:rPr>
        <w:rFonts w:hint="default"/>
      </w:rPr>
    </w:lvl>
  </w:abstractNum>
  <w:abstractNum w:abstractNumId="15">
    <w:nsid w:val="F54CEF3E"/>
    <w:multiLevelType w:val="singleLevel"/>
    <w:tmpl w:val="F54CEF3E"/>
    <w:lvl w:ilvl="0" w:tentative="0">
      <w:start w:val="1"/>
      <w:numFmt w:val="decimal"/>
      <w:lvlText w:val="%1."/>
      <w:lvlJc w:val="left"/>
      <w:pPr>
        <w:ind w:left="425" w:hanging="425"/>
      </w:pPr>
      <w:rPr>
        <w:rFonts w:hint="default"/>
      </w:rPr>
    </w:lvl>
  </w:abstractNum>
  <w:abstractNum w:abstractNumId="16">
    <w:nsid w:val="0DE15C0A"/>
    <w:multiLevelType w:val="singleLevel"/>
    <w:tmpl w:val="0DE15C0A"/>
    <w:lvl w:ilvl="0" w:tentative="0">
      <w:start w:val="1"/>
      <w:numFmt w:val="decimal"/>
      <w:lvlText w:val="%1)"/>
      <w:lvlJc w:val="left"/>
      <w:pPr>
        <w:ind w:left="1055" w:hanging="425"/>
      </w:pPr>
      <w:rPr>
        <w:rFonts w:hint="default"/>
      </w:rPr>
    </w:lvl>
  </w:abstractNum>
  <w:abstractNum w:abstractNumId="17">
    <w:nsid w:val="1106A324"/>
    <w:multiLevelType w:val="singleLevel"/>
    <w:tmpl w:val="1106A324"/>
    <w:lvl w:ilvl="0" w:tentative="0">
      <w:start w:val="1"/>
      <w:numFmt w:val="decimal"/>
      <w:lvlText w:val="%1."/>
      <w:lvlJc w:val="left"/>
      <w:pPr>
        <w:ind w:left="635" w:hanging="425"/>
      </w:pPr>
      <w:rPr>
        <w:rFonts w:hint="default"/>
      </w:rPr>
    </w:lvl>
  </w:abstractNum>
  <w:abstractNum w:abstractNumId="18">
    <w:nsid w:val="15A921CC"/>
    <w:multiLevelType w:val="multilevel"/>
    <w:tmpl w:val="15A921CC"/>
    <w:lvl w:ilvl="0" w:tentative="0">
      <w:start w:val="1"/>
      <w:numFmt w:val="decimal"/>
      <w:lvlText w:val="%1)"/>
      <w:lvlJc w:val="left"/>
      <w:pPr>
        <w:ind w:left="420" w:hanging="420"/>
      </w:pPr>
    </w:lvl>
    <w:lvl w:ilvl="1" w:tentative="0">
      <w:start w:val="1"/>
      <w:numFmt w:val="decimal"/>
      <w:lvlText w:val="%2、"/>
      <w:lvlJc w:val="left"/>
      <w:pPr>
        <w:ind w:left="360" w:hanging="360"/>
      </w:pPr>
      <w:rPr>
        <w:rFonts w:hint="default"/>
      </w:rPr>
    </w:lvl>
    <w:lvl w:ilvl="2" w:tentative="0">
      <w:start w:val="1"/>
      <w:numFmt w:val="decimal"/>
      <w:lvlText w:val="%3）"/>
      <w:lvlJc w:val="left"/>
      <w:pPr>
        <w:ind w:left="840" w:hanging="4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7230957"/>
    <w:multiLevelType w:val="singleLevel"/>
    <w:tmpl w:val="17230957"/>
    <w:lvl w:ilvl="0" w:tentative="0">
      <w:start w:val="1"/>
      <w:numFmt w:val="decimal"/>
      <w:lvlText w:val="(%1)"/>
      <w:lvlJc w:val="left"/>
      <w:pPr>
        <w:ind w:left="425" w:hanging="425"/>
      </w:pPr>
      <w:rPr>
        <w:rFonts w:hint="default"/>
      </w:rPr>
    </w:lvl>
  </w:abstractNum>
  <w:abstractNum w:abstractNumId="20">
    <w:nsid w:val="1902F511"/>
    <w:multiLevelType w:val="singleLevel"/>
    <w:tmpl w:val="1902F511"/>
    <w:lvl w:ilvl="0" w:tentative="0">
      <w:start w:val="1"/>
      <w:numFmt w:val="decimal"/>
      <w:lvlText w:val="%1."/>
      <w:lvlJc w:val="left"/>
      <w:pPr>
        <w:ind w:left="425" w:hanging="425"/>
      </w:pPr>
      <w:rPr>
        <w:rFonts w:hint="default"/>
      </w:rPr>
    </w:lvl>
  </w:abstractNum>
  <w:abstractNum w:abstractNumId="21">
    <w:nsid w:val="21626B90"/>
    <w:multiLevelType w:val="multilevel"/>
    <w:tmpl w:val="21626B90"/>
    <w:lvl w:ilvl="0" w:tentative="0">
      <w:start w:val="1"/>
      <w:numFmt w:val="decimal"/>
      <w:lvlText w:val="%1."/>
      <w:lvlJc w:val="left"/>
      <w:pPr>
        <w:ind w:left="440" w:hanging="440"/>
      </w:pPr>
    </w:lvl>
    <w:lvl w:ilvl="1" w:tentative="0">
      <w:start w:val="1"/>
      <w:numFmt w:val="decimal"/>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21AA21C4"/>
    <w:multiLevelType w:val="multilevel"/>
    <w:tmpl w:val="21AA21C4"/>
    <w:lvl w:ilvl="0" w:tentative="0">
      <w:start w:val="1"/>
      <w:numFmt w:val="decimal"/>
      <w:lvlText w:val="%1）"/>
      <w:lvlJc w:val="left"/>
      <w:pPr>
        <w:ind w:left="850" w:hanging="425"/>
      </w:pPr>
      <w:rPr>
        <w:rFonts w:hint="default"/>
        <w:color w:val="auto"/>
      </w:rPr>
    </w:lvl>
    <w:lvl w:ilvl="1" w:tentative="0">
      <w:start w:val="1"/>
      <w:numFmt w:val="none"/>
      <w:lvlText w:val="3.7.1"/>
      <w:lvlJc w:val="left"/>
      <w:pPr>
        <w:ind w:left="1133" w:hanging="567"/>
      </w:pPr>
      <w:rPr>
        <w:rFonts w:hint="eastAsia"/>
      </w:rPr>
    </w:lvl>
    <w:lvl w:ilvl="2" w:tentative="0">
      <w:start w:val="1"/>
      <w:numFmt w:val="decimal"/>
      <w:lvlText w:val="%13.%3.1"/>
      <w:lvlJc w:val="left"/>
      <w:pPr>
        <w:ind w:left="1559" w:hanging="567"/>
      </w:pPr>
      <w:rPr>
        <w:rFonts w:hint="eastAsia"/>
      </w:rPr>
    </w:lvl>
    <w:lvl w:ilvl="3" w:tentative="0">
      <w:start w:val="1"/>
      <w:numFmt w:val="decimal"/>
      <w:lvlText w:val="%1.%2.%3.%4"/>
      <w:lvlJc w:val="left"/>
      <w:pPr>
        <w:ind w:left="2125" w:hanging="708"/>
      </w:pPr>
      <w:rPr>
        <w:rFonts w:hint="eastAsia"/>
      </w:rPr>
    </w:lvl>
    <w:lvl w:ilvl="4" w:tentative="0">
      <w:start w:val="1"/>
      <w:numFmt w:val="decimal"/>
      <w:lvlText w:val="%1.%2.%3.%4.%5"/>
      <w:lvlJc w:val="left"/>
      <w:pPr>
        <w:ind w:left="2692" w:hanging="850"/>
      </w:pPr>
      <w:rPr>
        <w:rFonts w:hint="eastAsia"/>
      </w:rPr>
    </w:lvl>
    <w:lvl w:ilvl="5" w:tentative="0">
      <w:start w:val="1"/>
      <w:numFmt w:val="decimal"/>
      <w:lvlText w:val="%1.%2.%3.%4.%5.%6"/>
      <w:lvlJc w:val="left"/>
      <w:pPr>
        <w:ind w:left="3401" w:hanging="1134"/>
      </w:pPr>
      <w:rPr>
        <w:rFonts w:hint="eastAsia"/>
      </w:rPr>
    </w:lvl>
    <w:lvl w:ilvl="6" w:tentative="0">
      <w:start w:val="1"/>
      <w:numFmt w:val="decimal"/>
      <w:lvlText w:val="%1.%2.%3.%4.%5.%6.%7"/>
      <w:lvlJc w:val="left"/>
      <w:pPr>
        <w:ind w:left="3968" w:hanging="1276"/>
      </w:pPr>
      <w:rPr>
        <w:rFonts w:hint="eastAsia"/>
      </w:rPr>
    </w:lvl>
    <w:lvl w:ilvl="7" w:tentative="0">
      <w:start w:val="1"/>
      <w:numFmt w:val="decimal"/>
      <w:lvlText w:val="%1.%2.%3.%4.%5.%6.%7.%8"/>
      <w:lvlJc w:val="left"/>
      <w:pPr>
        <w:ind w:left="4535" w:hanging="1418"/>
      </w:pPr>
      <w:rPr>
        <w:rFonts w:hint="eastAsia"/>
      </w:rPr>
    </w:lvl>
    <w:lvl w:ilvl="8" w:tentative="0">
      <w:start w:val="1"/>
      <w:numFmt w:val="decimal"/>
      <w:lvlText w:val="%1.%2.%3.%4.%5.%6.%7.%8.%9"/>
      <w:lvlJc w:val="left"/>
      <w:pPr>
        <w:ind w:left="5243" w:hanging="1700"/>
      </w:pPr>
      <w:rPr>
        <w:rFonts w:hint="eastAsia"/>
      </w:rPr>
    </w:lvl>
  </w:abstractNum>
  <w:abstractNum w:abstractNumId="23">
    <w:nsid w:val="23004329"/>
    <w:multiLevelType w:val="singleLevel"/>
    <w:tmpl w:val="23004329"/>
    <w:lvl w:ilvl="0" w:tentative="0">
      <w:start w:val="1"/>
      <w:numFmt w:val="decimal"/>
      <w:lvlText w:val="%1)"/>
      <w:lvlJc w:val="left"/>
      <w:pPr>
        <w:ind w:left="845" w:hanging="425"/>
      </w:pPr>
      <w:rPr>
        <w:rFonts w:hint="default"/>
      </w:rPr>
    </w:lvl>
  </w:abstractNum>
  <w:abstractNum w:abstractNumId="24">
    <w:nsid w:val="24437F32"/>
    <w:multiLevelType w:val="singleLevel"/>
    <w:tmpl w:val="24437F32"/>
    <w:lvl w:ilvl="0" w:tentative="0">
      <w:start w:val="1"/>
      <w:numFmt w:val="decimal"/>
      <w:lvlText w:val="(%1)"/>
      <w:lvlJc w:val="left"/>
      <w:pPr>
        <w:ind w:left="425" w:hanging="425"/>
      </w:pPr>
      <w:rPr>
        <w:rFonts w:hint="default"/>
      </w:rPr>
    </w:lvl>
  </w:abstractNum>
  <w:abstractNum w:abstractNumId="25">
    <w:nsid w:val="27A77852"/>
    <w:multiLevelType w:val="multilevel"/>
    <w:tmpl w:val="27A77852"/>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26">
    <w:nsid w:val="296A728F"/>
    <w:multiLevelType w:val="multilevel"/>
    <w:tmpl w:val="296A728F"/>
    <w:lvl w:ilvl="0" w:tentative="0">
      <w:start w:val="1"/>
      <w:numFmt w:val="decimal"/>
      <w:lvlText w:val="%1)"/>
      <w:lvlJc w:val="left"/>
      <w:pPr>
        <w:ind w:left="1070" w:hanging="440"/>
      </w:pPr>
    </w:lvl>
    <w:lvl w:ilvl="1" w:tentative="0">
      <w:start w:val="1"/>
      <w:numFmt w:val="decimal"/>
      <w:lvlText w:val="%2)"/>
      <w:lvlJc w:val="left"/>
      <w:pPr>
        <w:ind w:left="107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27">
    <w:nsid w:val="29E5158B"/>
    <w:multiLevelType w:val="singleLevel"/>
    <w:tmpl w:val="29E5158B"/>
    <w:lvl w:ilvl="0" w:tentative="0">
      <w:start w:val="1"/>
      <w:numFmt w:val="decimal"/>
      <w:lvlText w:val="%1."/>
      <w:lvlJc w:val="left"/>
      <w:pPr>
        <w:ind w:left="635" w:hanging="425"/>
      </w:pPr>
      <w:rPr>
        <w:rFonts w:hint="default"/>
      </w:rPr>
    </w:lvl>
  </w:abstractNum>
  <w:abstractNum w:abstractNumId="28">
    <w:nsid w:val="355670C8"/>
    <w:multiLevelType w:val="singleLevel"/>
    <w:tmpl w:val="355670C8"/>
    <w:lvl w:ilvl="0" w:tentative="0">
      <w:start w:val="1"/>
      <w:numFmt w:val="decimal"/>
      <w:lvlText w:val="%1."/>
      <w:lvlJc w:val="left"/>
      <w:pPr>
        <w:ind w:left="425" w:hanging="425"/>
      </w:pPr>
      <w:rPr>
        <w:rFonts w:hint="default"/>
      </w:rPr>
    </w:lvl>
  </w:abstractNum>
  <w:abstractNum w:abstractNumId="29">
    <w:nsid w:val="46D61FE7"/>
    <w:multiLevelType w:val="singleLevel"/>
    <w:tmpl w:val="46D61FE7"/>
    <w:lvl w:ilvl="0" w:tentative="0">
      <w:start w:val="1"/>
      <w:numFmt w:val="decimal"/>
      <w:lvlText w:val="(%1)"/>
      <w:lvlJc w:val="left"/>
      <w:pPr>
        <w:ind w:left="425" w:hanging="425"/>
      </w:pPr>
      <w:rPr>
        <w:rFonts w:hint="default"/>
      </w:rPr>
    </w:lvl>
  </w:abstractNum>
  <w:abstractNum w:abstractNumId="30">
    <w:nsid w:val="4742B167"/>
    <w:multiLevelType w:val="singleLevel"/>
    <w:tmpl w:val="4742B167"/>
    <w:lvl w:ilvl="0" w:tentative="0">
      <w:start w:val="1"/>
      <w:numFmt w:val="decimal"/>
      <w:lvlText w:val="%1."/>
      <w:lvlJc w:val="left"/>
      <w:pPr>
        <w:ind w:left="425" w:hanging="425"/>
      </w:pPr>
      <w:rPr>
        <w:rFonts w:hint="default"/>
      </w:rPr>
    </w:lvl>
  </w:abstractNum>
  <w:abstractNum w:abstractNumId="31">
    <w:nsid w:val="4DBEA9BA"/>
    <w:multiLevelType w:val="singleLevel"/>
    <w:tmpl w:val="4DBEA9BA"/>
    <w:lvl w:ilvl="0" w:tentative="0">
      <w:start w:val="1"/>
      <w:numFmt w:val="decimal"/>
      <w:lvlText w:val="%1."/>
      <w:lvlJc w:val="left"/>
      <w:pPr>
        <w:ind w:left="425" w:hanging="425"/>
      </w:pPr>
      <w:rPr>
        <w:rFonts w:hint="default"/>
      </w:rPr>
    </w:lvl>
  </w:abstractNum>
  <w:abstractNum w:abstractNumId="32">
    <w:nsid w:val="4EF6AAF6"/>
    <w:multiLevelType w:val="singleLevel"/>
    <w:tmpl w:val="4EF6AAF6"/>
    <w:lvl w:ilvl="0" w:tentative="0">
      <w:start w:val="1"/>
      <w:numFmt w:val="decimal"/>
      <w:lvlText w:val="(%1)"/>
      <w:lvlJc w:val="left"/>
      <w:pPr>
        <w:ind w:left="635" w:hanging="425"/>
      </w:pPr>
      <w:rPr>
        <w:rFonts w:hint="default"/>
      </w:rPr>
    </w:lvl>
  </w:abstractNum>
  <w:abstractNum w:abstractNumId="33">
    <w:nsid w:val="516754A3"/>
    <w:multiLevelType w:val="singleLevel"/>
    <w:tmpl w:val="516754A3"/>
    <w:lvl w:ilvl="0" w:tentative="0">
      <w:start w:val="19"/>
      <w:numFmt w:val="chineseCounting"/>
      <w:suff w:val="nothing"/>
      <w:lvlText w:val="（%1）"/>
      <w:lvlJc w:val="left"/>
      <w:rPr>
        <w:rFonts w:hint="eastAsia"/>
      </w:rPr>
    </w:lvl>
  </w:abstractNum>
  <w:abstractNum w:abstractNumId="34">
    <w:nsid w:val="51DDF614"/>
    <w:multiLevelType w:val="singleLevel"/>
    <w:tmpl w:val="51DDF614"/>
    <w:lvl w:ilvl="0" w:tentative="0">
      <w:start w:val="1"/>
      <w:numFmt w:val="decimal"/>
      <w:lvlText w:val="%1)"/>
      <w:lvlJc w:val="left"/>
      <w:pPr>
        <w:ind w:left="425" w:hanging="425"/>
      </w:pPr>
      <w:rPr>
        <w:rFonts w:hint="default"/>
      </w:rPr>
    </w:lvl>
  </w:abstractNum>
  <w:abstractNum w:abstractNumId="35">
    <w:nsid w:val="5D375B01"/>
    <w:multiLevelType w:val="singleLevel"/>
    <w:tmpl w:val="5D375B01"/>
    <w:lvl w:ilvl="0" w:tentative="0">
      <w:start w:val="1"/>
      <w:numFmt w:val="decimal"/>
      <w:lvlText w:val="%1)"/>
      <w:lvlJc w:val="left"/>
      <w:pPr>
        <w:ind w:left="566" w:hanging="425"/>
      </w:pPr>
      <w:rPr>
        <w:rFonts w:hint="default"/>
      </w:rPr>
    </w:lvl>
  </w:abstractNum>
  <w:abstractNum w:abstractNumId="36">
    <w:nsid w:val="5E8BA991"/>
    <w:multiLevelType w:val="singleLevel"/>
    <w:tmpl w:val="5E8BA991"/>
    <w:lvl w:ilvl="0" w:tentative="0">
      <w:start w:val="1"/>
      <w:numFmt w:val="decimal"/>
      <w:lvlText w:val="(%1)"/>
      <w:lvlJc w:val="left"/>
      <w:pPr>
        <w:ind w:left="845" w:hanging="425"/>
      </w:pPr>
      <w:rPr>
        <w:rFonts w:hint="default"/>
      </w:rPr>
    </w:lvl>
  </w:abstractNum>
  <w:abstractNum w:abstractNumId="37">
    <w:nsid w:val="6AC608CB"/>
    <w:multiLevelType w:val="multilevel"/>
    <w:tmpl w:val="6AC608CB"/>
    <w:lvl w:ilvl="0" w:tentative="0">
      <w:start w:val="1"/>
      <w:numFmt w:val="decimal"/>
      <w:lvlText w:val="%1)"/>
      <w:lvlJc w:val="left"/>
      <w:pPr>
        <w:ind w:left="1129" w:hanging="425"/>
      </w:pPr>
      <w:rPr>
        <w:rFonts w:hint="eastAsia"/>
        <w:b w:val="0"/>
        <w:bCs/>
      </w:rPr>
    </w:lvl>
    <w:lvl w:ilvl="1" w:tentative="0">
      <w:start w:val="1"/>
      <w:numFmt w:val="none"/>
      <w:lvlText w:val="3.7.1"/>
      <w:lvlJc w:val="left"/>
      <w:pPr>
        <w:ind w:left="1412" w:hanging="567"/>
      </w:pPr>
      <w:rPr>
        <w:rFonts w:hint="eastAsia"/>
      </w:rPr>
    </w:lvl>
    <w:lvl w:ilvl="2" w:tentative="0">
      <w:start w:val="1"/>
      <w:numFmt w:val="decimal"/>
      <w:lvlText w:val="%13.%3.1"/>
      <w:lvlJc w:val="left"/>
      <w:pPr>
        <w:ind w:left="1838" w:hanging="567"/>
      </w:pPr>
      <w:rPr>
        <w:rFonts w:hint="eastAsia"/>
      </w:rPr>
    </w:lvl>
    <w:lvl w:ilvl="3" w:tentative="0">
      <w:start w:val="1"/>
      <w:numFmt w:val="decimal"/>
      <w:lvlText w:val="%1.%2.%3.%4"/>
      <w:lvlJc w:val="left"/>
      <w:pPr>
        <w:ind w:left="2404" w:hanging="708"/>
      </w:pPr>
      <w:rPr>
        <w:rFonts w:hint="eastAsia"/>
      </w:rPr>
    </w:lvl>
    <w:lvl w:ilvl="4" w:tentative="0">
      <w:start w:val="1"/>
      <w:numFmt w:val="decimal"/>
      <w:lvlText w:val="%1.%2.%3.%4.%5"/>
      <w:lvlJc w:val="left"/>
      <w:pPr>
        <w:ind w:left="2971" w:hanging="850"/>
      </w:pPr>
      <w:rPr>
        <w:rFonts w:hint="eastAsia"/>
      </w:rPr>
    </w:lvl>
    <w:lvl w:ilvl="5" w:tentative="0">
      <w:start w:val="1"/>
      <w:numFmt w:val="decimal"/>
      <w:lvlText w:val="%1.%2.%3.%4.%5.%6"/>
      <w:lvlJc w:val="left"/>
      <w:pPr>
        <w:ind w:left="3680" w:hanging="1134"/>
      </w:pPr>
      <w:rPr>
        <w:rFonts w:hint="eastAsia"/>
      </w:rPr>
    </w:lvl>
    <w:lvl w:ilvl="6" w:tentative="0">
      <w:start w:val="1"/>
      <w:numFmt w:val="decimal"/>
      <w:lvlText w:val="%1.%2.%3.%4.%5.%6.%7"/>
      <w:lvlJc w:val="left"/>
      <w:pPr>
        <w:ind w:left="4247" w:hanging="1276"/>
      </w:pPr>
      <w:rPr>
        <w:rFonts w:hint="eastAsia"/>
      </w:rPr>
    </w:lvl>
    <w:lvl w:ilvl="7" w:tentative="0">
      <w:start w:val="1"/>
      <w:numFmt w:val="decimal"/>
      <w:lvlText w:val="%1.%2.%3.%4.%5.%6.%7.%8"/>
      <w:lvlJc w:val="left"/>
      <w:pPr>
        <w:ind w:left="4814" w:hanging="1418"/>
      </w:pPr>
      <w:rPr>
        <w:rFonts w:hint="eastAsia"/>
      </w:rPr>
    </w:lvl>
    <w:lvl w:ilvl="8" w:tentative="0">
      <w:start w:val="1"/>
      <w:numFmt w:val="decimal"/>
      <w:lvlText w:val="%1.%2.%3.%4.%5.%6.%7.%8.%9"/>
      <w:lvlJc w:val="left"/>
      <w:pPr>
        <w:ind w:left="5522" w:hanging="1700"/>
      </w:pPr>
      <w:rPr>
        <w:rFonts w:hint="eastAsia"/>
      </w:rPr>
    </w:lvl>
  </w:abstractNum>
  <w:abstractNum w:abstractNumId="38">
    <w:nsid w:val="6F4886C2"/>
    <w:multiLevelType w:val="singleLevel"/>
    <w:tmpl w:val="6F4886C2"/>
    <w:lvl w:ilvl="0" w:tentative="0">
      <w:start w:val="1"/>
      <w:numFmt w:val="decimal"/>
      <w:lvlText w:val="%1)"/>
      <w:lvlJc w:val="left"/>
      <w:pPr>
        <w:ind w:left="4394" w:hanging="425"/>
      </w:pPr>
      <w:rPr>
        <w:rFonts w:hint="default"/>
      </w:rPr>
    </w:lvl>
  </w:abstractNum>
  <w:abstractNum w:abstractNumId="39">
    <w:nsid w:val="7463D08D"/>
    <w:multiLevelType w:val="singleLevel"/>
    <w:tmpl w:val="7463D08D"/>
    <w:lvl w:ilvl="0" w:tentative="0">
      <w:start w:val="1"/>
      <w:numFmt w:val="decimal"/>
      <w:lvlText w:val="%1)"/>
      <w:lvlJc w:val="left"/>
      <w:pPr>
        <w:ind w:left="850" w:hanging="425"/>
      </w:pPr>
      <w:rPr>
        <w:rFonts w:hint="default"/>
      </w:rPr>
    </w:lvl>
  </w:abstractNum>
  <w:abstractNum w:abstractNumId="40">
    <w:nsid w:val="7623FF49"/>
    <w:multiLevelType w:val="singleLevel"/>
    <w:tmpl w:val="7623FF49"/>
    <w:lvl w:ilvl="0" w:tentative="0">
      <w:start w:val="1"/>
      <w:numFmt w:val="decimal"/>
      <w:lvlText w:val="%1."/>
      <w:lvlJc w:val="left"/>
      <w:pPr>
        <w:ind w:left="425" w:hanging="425"/>
      </w:pPr>
      <w:rPr>
        <w:rFonts w:hint="default"/>
      </w:rPr>
    </w:lvl>
  </w:abstractNum>
  <w:abstractNum w:abstractNumId="41">
    <w:nsid w:val="79CD8102"/>
    <w:multiLevelType w:val="singleLevel"/>
    <w:tmpl w:val="79CD8102"/>
    <w:lvl w:ilvl="0" w:tentative="0">
      <w:start w:val="1"/>
      <w:numFmt w:val="decimal"/>
      <w:lvlText w:val="%1."/>
      <w:lvlJc w:val="left"/>
      <w:pPr>
        <w:ind w:left="425" w:hanging="425"/>
      </w:pPr>
      <w:rPr>
        <w:rFonts w:hint="default"/>
      </w:rPr>
    </w:lvl>
  </w:abstractNum>
  <w:abstractNum w:abstractNumId="42">
    <w:nsid w:val="7A832828"/>
    <w:multiLevelType w:val="singleLevel"/>
    <w:tmpl w:val="7A832828"/>
    <w:lvl w:ilvl="0" w:tentative="0">
      <w:start w:val="1"/>
      <w:numFmt w:val="decimal"/>
      <w:lvlText w:val="(%1)"/>
      <w:lvlJc w:val="left"/>
      <w:pPr>
        <w:ind w:left="850" w:hanging="425"/>
      </w:pPr>
      <w:rPr>
        <w:rFonts w:hint="default"/>
      </w:rPr>
    </w:lvl>
  </w:abstractNum>
  <w:num w:numId="1">
    <w:abstractNumId w:val="15"/>
  </w:num>
  <w:num w:numId="2">
    <w:abstractNumId w:val="9"/>
    <w:lvlOverride w:ilvl="0">
      <w:startOverride w:val="1"/>
    </w:lvlOverride>
  </w:num>
  <w:num w:numId="3">
    <w:abstractNumId w:val="10"/>
  </w:num>
  <w:num w:numId="4">
    <w:abstractNumId w:val="30"/>
  </w:num>
  <w:num w:numId="5">
    <w:abstractNumId w:val="20"/>
  </w:num>
  <w:num w:numId="6">
    <w:abstractNumId w:val="1"/>
  </w:num>
  <w:num w:numId="7">
    <w:abstractNumId w:val="14"/>
  </w:num>
  <w:num w:numId="8">
    <w:abstractNumId w:val="3"/>
  </w:num>
  <w:num w:numId="9">
    <w:abstractNumId w:val="0"/>
  </w:num>
  <w:num w:numId="10">
    <w:abstractNumId w:val="21"/>
  </w:num>
  <w:num w:numId="11">
    <w:abstractNumId w:val="4"/>
  </w:num>
  <w:num w:numId="12">
    <w:abstractNumId w:val="42"/>
  </w:num>
  <w:num w:numId="13">
    <w:abstractNumId w:val="16"/>
  </w:num>
  <w:num w:numId="14">
    <w:abstractNumId w:val="23"/>
  </w:num>
  <w:num w:numId="15">
    <w:abstractNumId w:val="13"/>
  </w:num>
  <w:num w:numId="16">
    <w:abstractNumId w:val="7"/>
  </w:num>
  <w:num w:numId="17">
    <w:abstractNumId w:val="32"/>
  </w:num>
  <w:num w:numId="18">
    <w:abstractNumId w:val="17"/>
  </w:num>
  <w:num w:numId="19">
    <w:abstractNumId w:val="6"/>
  </w:num>
  <w:num w:numId="20">
    <w:abstractNumId w:val="11"/>
  </w:num>
  <w:num w:numId="21">
    <w:abstractNumId w:val="27"/>
  </w:num>
  <w:num w:numId="22">
    <w:abstractNumId w:val="36"/>
  </w:num>
  <w:num w:numId="23">
    <w:abstractNumId w:val="12"/>
  </w:num>
  <w:num w:numId="24">
    <w:abstractNumId w:val="38"/>
  </w:num>
  <w:num w:numId="25">
    <w:abstractNumId w:val="35"/>
  </w:num>
  <w:num w:numId="26">
    <w:abstractNumId w:val="25"/>
  </w:num>
  <w:num w:numId="27">
    <w:abstractNumId w:val="26"/>
  </w:num>
  <w:num w:numId="28">
    <w:abstractNumId w:val="39"/>
  </w:num>
  <w:num w:numId="29">
    <w:abstractNumId w:val="37"/>
  </w:num>
  <w:num w:numId="30">
    <w:abstractNumId w:val="18"/>
  </w:num>
  <w:num w:numId="31">
    <w:abstractNumId w:val="22"/>
  </w:num>
  <w:num w:numId="32">
    <w:abstractNumId w:val="8"/>
  </w:num>
  <w:num w:numId="33">
    <w:abstractNumId w:val="28"/>
  </w:num>
  <w:num w:numId="34">
    <w:abstractNumId w:val="2"/>
  </w:num>
  <w:num w:numId="35">
    <w:abstractNumId w:val="29"/>
  </w:num>
  <w:num w:numId="36">
    <w:abstractNumId w:val="40"/>
  </w:num>
  <w:num w:numId="37">
    <w:abstractNumId w:val="31"/>
  </w:num>
  <w:num w:numId="38">
    <w:abstractNumId w:val="41"/>
  </w:num>
  <w:num w:numId="39">
    <w:abstractNumId w:val="5"/>
  </w:num>
  <w:num w:numId="40">
    <w:abstractNumId w:val="19"/>
  </w:num>
  <w:num w:numId="41">
    <w:abstractNumId w:val="24"/>
  </w:num>
  <w:num w:numId="42">
    <w:abstractNumId w:val="3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D178D1"/>
    <w:rsid w:val="00001642"/>
    <w:rsid w:val="00001F2E"/>
    <w:rsid w:val="000037B0"/>
    <w:rsid w:val="00005E2D"/>
    <w:rsid w:val="00010674"/>
    <w:rsid w:val="0001290E"/>
    <w:rsid w:val="00022791"/>
    <w:rsid w:val="00025B05"/>
    <w:rsid w:val="00031285"/>
    <w:rsid w:val="00034288"/>
    <w:rsid w:val="00035179"/>
    <w:rsid w:val="00036B8A"/>
    <w:rsid w:val="0004123B"/>
    <w:rsid w:val="00042EB4"/>
    <w:rsid w:val="0004455E"/>
    <w:rsid w:val="00044D4C"/>
    <w:rsid w:val="000474AA"/>
    <w:rsid w:val="000513D7"/>
    <w:rsid w:val="000578B8"/>
    <w:rsid w:val="000619A8"/>
    <w:rsid w:val="0006268D"/>
    <w:rsid w:val="00066E05"/>
    <w:rsid w:val="00070C2E"/>
    <w:rsid w:val="0007363E"/>
    <w:rsid w:val="00074159"/>
    <w:rsid w:val="0007535B"/>
    <w:rsid w:val="0007607F"/>
    <w:rsid w:val="00077469"/>
    <w:rsid w:val="000972A2"/>
    <w:rsid w:val="00097435"/>
    <w:rsid w:val="000A0485"/>
    <w:rsid w:val="000A0E8C"/>
    <w:rsid w:val="000A12C5"/>
    <w:rsid w:val="000A7268"/>
    <w:rsid w:val="000B3914"/>
    <w:rsid w:val="000B4044"/>
    <w:rsid w:val="000C0189"/>
    <w:rsid w:val="000C0CBF"/>
    <w:rsid w:val="000C1BEB"/>
    <w:rsid w:val="000C567B"/>
    <w:rsid w:val="000C66BA"/>
    <w:rsid w:val="000D613A"/>
    <w:rsid w:val="000F1447"/>
    <w:rsid w:val="000F4210"/>
    <w:rsid w:val="000F557A"/>
    <w:rsid w:val="000F5FD0"/>
    <w:rsid w:val="001033CC"/>
    <w:rsid w:val="0010381C"/>
    <w:rsid w:val="0010626D"/>
    <w:rsid w:val="00114C4E"/>
    <w:rsid w:val="001153B3"/>
    <w:rsid w:val="00120F62"/>
    <w:rsid w:val="0012174A"/>
    <w:rsid w:val="0012427E"/>
    <w:rsid w:val="00125583"/>
    <w:rsid w:val="0013012C"/>
    <w:rsid w:val="001306A2"/>
    <w:rsid w:val="00131AF1"/>
    <w:rsid w:val="00133287"/>
    <w:rsid w:val="00133EFF"/>
    <w:rsid w:val="00134F2D"/>
    <w:rsid w:val="0013558C"/>
    <w:rsid w:val="00137FD7"/>
    <w:rsid w:val="001423DA"/>
    <w:rsid w:val="00146131"/>
    <w:rsid w:val="00146264"/>
    <w:rsid w:val="0014672C"/>
    <w:rsid w:val="001475D3"/>
    <w:rsid w:val="00150513"/>
    <w:rsid w:val="001572CA"/>
    <w:rsid w:val="00162576"/>
    <w:rsid w:val="00163F44"/>
    <w:rsid w:val="00166124"/>
    <w:rsid w:val="00166E4D"/>
    <w:rsid w:val="00167218"/>
    <w:rsid w:val="00170581"/>
    <w:rsid w:val="001723FF"/>
    <w:rsid w:val="00172DB2"/>
    <w:rsid w:val="00177E2E"/>
    <w:rsid w:val="00187CE6"/>
    <w:rsid w:val="00190DF7"/>
    <w:rsid w:val="001911C9"/>
    <w:rsid w:val="0019619D"/>
    <w:rsid w:val="00196EE9"/>
    <w:rsid w:val="001974E4"/>
    <w:rsid w:val="00197D6D"/>
    <w:rsid w:val="001A3F9B"/>
    <w:rsid w:val="001B7B10"/>
    <w:rsid w:val="001C0D56"/>
    <w:rsid w:val="001C4B21"/>
    <w:rsid w:val="001D128D"/>
    <w:rsid w:val="001D2AF0"/>
    <w:rsid w:val="001D7EF4"/>
    <w:rsid w:val="001E0A87"/>
    <w:rsid w:val="001E2DA1"/>
    <w:rsid w:val="001E3AA1"/>
    <w:rsid w:val="001E5892"/>
    <w:rsid w:val="001F2B03"/>
    <w:rsid w:val="001F392C"/>
    <w:rsid w:val="001F619A"/>
    <w:rsid w:val="001F6955"/>
    <w:rsid w:val="002001C5"/>
    <w:rsid w:val="00201D3D"/>
    <w:rsid w:val="00202F94"/>
    <w:rsid w:val="002044F8"/>
    <w:rsid w:val="00206CDB"/>
    <w:rsid w:val="00214ABC"/>
    <w:rsid w:val="00220449"/>
    <w:rsid w:val="00220647"/>
    <w:rsid w:val="00222FBF"/>
    <w:rsid w:val="0022511B"/>
    <w:rsid w:val="00226042"/>
    <w:rsid w:val="00226EEF"/>
    <w:rsid w:val="002315A3"/>
    <w:rsid w:val="00232BC3"/>
    <w:rsid w:val="0023495C"/>
    <w:rsid w:val="00235278"/>
    <w:rsid w:val="00240013"/>
    <w:rsid w:val="0024155F"/>
    <w:rsid w:val="0024170D"/>
    <w:rsid w:val="002419D7"/>
    <w:rsid w:val="0024298F"/>
    <w:rsid w:val="002466A9"/>
    <w:rsid w:val="00247A41"/>
    <w:rsid w:val="00262ACF"/>
    <w:rsid w:val="00263AF3"/>
    <w:rsid w:val="00264725"/>
    <w:rsid w:val="00265C5F"/>
    <w:rsid w:val="00266FC2"/>
    <w:rsid w:val="00271071"/>
    <w:rsid w:val="002714D5"/>
    <w:rsid w:val="00271EDF"/>
    <w:rsid w:val="00275480"/>
    <w:rsid w:val="00281946"/>
    <w:rsid w:val="002819F0"/>
    <w:rsid w:val="00282C6F"/>
    <w:rsid w:val="002831F6"/>
    <w:rsid w:val="00291037"/>
    <w:rsid w:val="00294ABE"/>
    <w:rsid w:val="002A47A5"/>
    <w:rsid w:val="002A738E"/>
    <w:rsid w:val="002B14D2"/>
    <w:rsid w:val="002B2B71"/>
    <w:rsid w:val="002B406E"/>
    <w:rsid w:val="002B62DB"/>
    <w:rsid w:val="002C0A38"/>
    <w:rsid w:val="002C0C61"/>
    <w:rsid w:val="002C1C93"/>
    <w:rsid w:val="002C3DDD"/>
    <w:rsid w:val="002C5620"/>
    <w:rsid w:val="002C6D8B"/>
    <w:rsid w:val="002D1B14"/>
    <w:rsid w:val="002D1C48"/>
    <w:rsid w:val="002D4188"/>
    <w:rsid w:val="002D584A"/>
    <w:rsid w:val="002D6432"/>
    <w:rsid w:val="002D6765"/>
    <w:rsid w:val="002E203E"/>
    <w:rsid w:val="002E260C"/>
    <w:rsid w:val="002E7A62"/>
    <w:rsid w:val="002E7F79"/>
    <w:rsid w:val="002F2745"/>
    <w:rsid w:val="002F3621"/>
    <w:rsid w:val="002F6299"/>
    <w:rsid w:val="002F72B4"/>
    <w:rsid w:val="003007B9"/>
    <w:rsid w:val="00301970"/>
    <w:rsid w:val="00304FBE"/>
    <w:rsid w:val="00306587"/>
    <w:rsid w:val="003065B0"/>
    <w:rsid w:val="0030681A"/>
    <w:rsid w:val="00307597"/>
    <w:rsid w:val="003118CF"/>
    <w:rsid w:val="00312125"/>
    <w:rsid w:val="003132D6"/>
    <w:rsid w:val="0031554D"/>
    <w:rsid w:val="00322FD7"/>
    <w:rsid w:val="0032520C"/>
    <w:rsid w:val="00325DCB"/>
    <w:rsid w:val="0034129B"/>
    <w:rsid w:val="00342F1F"/>
    <w:rsid w:val="003434AB"/>
    <w:rsid w:val="00343D13"/>
    <w:rsid w:val="003516F9"/>
    <w:rsid w:val="003548AE"/>
    <w:rsid w:val="00355534"/>
    <w:rsid w:val="00365D19"/>
    <w:rsid w:val="00372342"/>
    <w:rsid w:val="003806AE"/>
    <w:rsid w:val="00383D81"/>
    <w:rsid w:val="003872FC"/>
    <w:rsid w:val="00390C2A"/>
    <w:rsid w:val="00395319"/>
    <w:rsid w:val="00395E2E"/>
    <w:rsid w:val="003A0D1E"/>
    <w:rsid w:val="003A19C8"/>
    <w:rsid w:val="003A3616"/>
    <w:rsid w:val="003A372A"/>
    <w:rsid w:val="003A3A4C"/>
    <w:rsid w:val="003A47B0"/>
    <w:rsid w:val="003A6B46"/>
    <w:rsid w:val="003A6F9B"/>
    <w:rsid w:val="003B06DA"/>
    <w:rsid w:val="003B0B75"/>
    <w:rsid w:val="003B225F"/>
    <w:rsid w:val="003B3204"/>
    <w:rsid w:val="003B39C8"/>
    <w:rsid w:val="003B39FF"/>
    <w:rsid w:val="003B4E50"/>
    <w:rsid w:val="003B5514"/>
    <w:rsid w:val="003B74D2"/>
    <w:rsid w:val="003B7E63"/>
    <w:rsid w:val="003C3C89"/>
    <w:rsid w:val="003D3C60"/>
    <w:rsid w:val="003D5042"/>
    <w:rsid w:val="003E4580"/>
    <w:rsid w:val="003E517C"/>
    <w:rsid w:val="003E68D2"/>
    <w:rsid w:val="003E7B56"/>
    <w:rsid w:val="003F0386"/>
    <w:rsid w:val="003F252B"/>
    <w:rsid w:val="003F368B"/>
    <w:rsid w:val="003F5500"/>
    <w:rsid w:val="0040086C"/>
    <w:rsid w:val="00400F6B"/>
    <w:rsid w:val="0040315C"/>
    <w:rsid w:val="00405E42"/>
    <w:rsid w:val="00406382"/>
    <w:rsid w:val="004069CF"/>
    <w:rsid w:val="00407EBC"/>
    <w:rsid w:val="0041527E"/>
    <w:rsid w:val="00424007"/>
    <w:rsid w:val="00426937"/>
    <w:rsid w:val="00426A09"/>
    <w:rsid w:val="00431DA8"/>
    <w:rsid w:val="0043249E"/>
    <w:rsid w:val="00432F84"/>
    <w:rsid w:val="0043501D"/>
    <w:rsid w:val="004352E3"/>
    <w:rsid w:val="00436D29"/>
    <w:rsid w:val="00437389"/>
    <w:rsid w:val="004403B2"/>
    <w:rsid w:val="0044161C"/>
    <w:rsid w:val="00443A7F"/>
    <w:rsid w:val="00461404"/>
    <w:rsid w:val="00463296"/>
    <w:rsid w:val="00464640"/>
    <w:rsid w:val="004665FC"/>
    <w:rsid w:val="00467FF0"/>
    <w:rsid w:val="004712CE"/>
    <w:rsid w:val="004723B8"/>
    <w:rsid w:val="00473AAC"/>
    <w:rsid w:val="004751DC"/>
    <w:rsid w:val="00477548"/>
    <w:rsid w:val="0048092F"/>
    <w:rsid w:val="00482C6D"/>
    <w:rsid w:val="00483200"/>
    <w:rsid w:val="0048343A"/>
    <w:rsid w:val="0048699F"/>
    <w:rsid w:val="00486E81"/>
    <w:rsid w:val="0049031E"/>
    <w:rsid w:val="00491B16"/>
    <w:rsid w:val="00491F72"/>
    <w:rsid w:val="00492D82"/>
    <w:rsid w:val="00494877"/>
    <w:rsid w:val="004974E9"/>
    <w:rsid w:val="00497C93"/>
    <w:rsid w:val="004A68AE"/>
    <w:rsid w:val="004A7DC4"/>
    <w:rsid w:val="004B0B9A"/>
    <w:rsid w:val="004B10CA"/>
    <w:rsid w:val="004B7D54"/>
    <w:rsid w:val="004D05D3"/>
    <w:rsid w:val="004D1D3F"/>
    <w:rsid w:val="004D431F"/>
    <w:rsid w:val="004E0C61"/>
    <w:rsid w:val="004E5F0E"/>
    <w:rsid w:val="004F0CF2"/>
    <w:rsid w:val="004F3807"/>
    <w:rsid w:val="00507BB7"/>
    <w:rsid w:val="0051141E"/>
    <w:rsid w:val="0051196B"/>
    <w:rsid w:val="00514122"/>
    <w:rsid w:val="005148AE"/>
    <w:rsid w:val="00514E1F"/>
    <w:rsid w:val="00515D07"/>
    <w:rsid w:val="00516B74"/>
    <w:rsid w:val="0051700E"/>
    <w:rsid w:val="00517DFB"/>
    <w:rsid w:val="00520521"/>
    <w:rsid w:val="00520B23"/>
    <w:rsid w:val="00521BF7"/>
    <w:rsid w:val="00524931"/>
    <w:rsid w:val="00533688"/>
    <w:rsid w:val="00535159"/>
    <w:rsid w:val="00535197"/>
    <w:rsid w:val="005404EC"/>
    <w:rsid w:val="00540FA2"/>
    <w:rsid w:val="00542BAB"/>
    <w:rsid w:val="00545888"/>
    <w:rsid w:val="005458CE"/>
    <w:rsid w:val="005505D3"/>
    <w:rsid w:val="005524FE"/>
    <w:rsid w:val="005558B0"/>
    <w:rsid w:val="005561DF"/>
    <w:rsid w:val="005570C4"/>
    <w:rsid w:val="00557191"/>
    <w:rsid w:val="005573F0"/>
    <w:rsid w:val="00561210"/>
    <w:rsid w:val="00562771"/>
    <w:rsid w:val="0056732C"/>
    <w:rsid w:val="0057184F"/>
    <w:rsid w:val="00574AE8"/>
    <w:rsid w:val="0057570F"/>
    <w:rsid w:val="00582FEB"/>
    <w:rsid w:val="005831A3"/>
    <w:rsid w:val="0058338A"/>
    <w:rsid w:val="00584340"/>
    <w:rsid w:val="0059081C"/>
    <w:rsid w:val="00591682"/>
    <w:rsid w:val="005965D3"/>
    <w:rsid w:val="005A34A7"/>
    <w:rsid w:val="005A5559"/>
    <w:rsid w:val="005A59DF"/>
    <w:rsid w:val="005A7111"/>
    <w:rsid w:val="005A7ABE"/>
    <w:rsid w:val="005B2D03"/>
    <w:rsid w:val="005B5165"/>
    <w:rsid w:val="005B596F"/>
    <w:rsid w:val="005C07FB"/>
    <w:rsid w:val="005C4EB2"/>
    <w:rsid w:val="005C50C3"/>
    <w:rsid w:val="005C5751"/>
    <w:rsid w:val="005D311A"/>
    <w:rsid w:val="005D538E"/>
    <w:rsid w:val="005D7C84"/>
    <w:rsid w:val="005D7DD7"/>
    <w:rsid w:val="005E1429"/>
    <w:rsid w:val="005E17AE"/>
    <w:rsid w:val="005E3CEB"/>
    <w:rsid w:val="005E42F4"/>
    <w:rsid w:val="005E647B"/>
    <w:rsid w:val="005E721B"/>
    <w:rsid w:val="005F13F0"/>
    <w:rsid w:val="005F14D3"/>
    <w:rsid w:val="005F48D3"/>
    <w:rsid w:val="005F5540"/>
    <w:rsid w:val="005F5771"/>
    <w:rsid w:val="005F6382"/>
    <w:rsid w:val="005F6B6C"/>
    <w:rsid w:val="005F7D55"/>
    <w:rsid w:val="00600294"/>
    <w:rsid w:val="00600F5B"/>
    <w:rsid w:val="00611611"/>
    <w:rsid w:val="00612558"/>
    <w:rsid w:val="00620741"/>
    <w:rsid w:val="00621105"/>
    <w:rsid w:val="006227CF"/>
    <w:rsid w:val="00624FE9"/>
    <w:rsid w:val="006265C7"/>
    <w:rsid w:val="00626A12"/>
    <w:rsid w:val="00630B6F"/>
    <w:rsid w:val="00630CC9"/>
    <w:rsid w:val="0063164A"/>
    <w:rsid w:val="00632CF4"/>
    <w:rsid w:val="00637687"/>
    <w:rsid w:val="00637EA9"/>
    <w:rsid w:val="00640026"/>
    <w:rsid w:val="00647218"/>
    <w:rsid w:val="00650C9E"/>
    <w:rsid w:val="00652E65"/>
    <w:rsid w:val="00662EFE"/>
    <w:rsid w:val="00664027"/>
    <w:rsid w:val="00664D4D"/>
    <w:rsid w:val="00671095"/>
    <w:rsid w:val="006721B8"/>
    <w:rsid w:val="0067299C"/>
    <w:rsid w:val="00672D6A"/>
    <w:rsid w:val="00673174"/>
    <w:rsid w:val="00674710"/>
    <w:rsid w:val="00681758"/>
    <w:rsid w:val="00691826"/>
    <w:rsid w:val="0069301E"/>
    <w:rsid w:val="00694EAA"/>
    <w:rsid w:val="00697245"/>
    <w:rsid w:val="006A3184"/>
    <w:rsid w:val="006B2151"/>
    <w:rsid w:val="006B280A"/>
    <w:rsid w:val="006B2CB9"/>
    <w:rsid w:val="006B6037"/>
    <w:rsid w:val="006B621B"/>
    <w:rsid w:val="006C5BBC"/>
    <w:rsid w:val="006C6924"/>
    <w:rsid w:val="006C7FE3"/>
    <w:rsid w:val="006D03D8"/>
    <w:rsid w:val="006D2580"/>
    <w:rsid w:val="006D7439"/>
    <w:rsid w:val="006E23B6"/>
    <w:rsid w:val="006E349E"/>
    <w:rsid w:val="006E6823"/>
    <w:rsid w:val="006E7A2B"/>
    <w:rsid w:val="006F4D31"/>
    <w:rsid w:val="006F5421"/>
    <w:rsid w:val="006F5E7E"/>
    <w:rsid w:val="007018F8"/>
    <w:rsid w:val="0071254B"/>
    <w:rsid w:val="00714889"/>
    <w:rsid w:val="00724751"/>
    <w:rsid w:val="007258EE"/>
    <w:rsid w:val="00731FAA"/>
    <w:rsid w:val="00732CAF"/>
    <w:rsid w:val="007337CB"/>
    <w:rsid w:val="0073425D"/>
    <w:rsid w:val="00737C71"/>
    <w:rsid w:val="00737F2F"/>
    <w:rsid w:val="00746678"/>
    <w:rsid w:val="007532D5"/>
    <w:rsid w:val="0075655E"/>
    <w:rsid w:val="007573BA"/>
    <w:rsid w:val="007577BE"/>
    <w:rsid w:val="00761C0F"/>
    <w:rsid w:val="00763B77"/>
    <w:rsid w:val="007676C6"/>
    <w:rsid w:val="00771278"/>
    <w:rsid w:val="0077533A"/>
    <w:rsid w:val="007755DF"/>
    <w:rsid w:val="00776DB7"/>
    <w:rsid w:val="00777FFD"/>
    <w:rsid w:val="007806D2"/>
    <w:rsid w:val="00781ADE"/>
    <w:rsid w:val="0078222E"/>
    <w:rsid w:val="00783367"/>
    <w:rsid w:val="00791CB5"/>
    <w:rsid w:val="00795247"/>
    <w:rsid w:val="007A01B5"/>
    <w:rsid w:val="007A29B2"/>
    <w:rsid w:val="007A4431"/>
    <w:rsid w:val="007A4F33"/>
    <w:rsid w:val="007A5B82"/>
    <w:rsid w:val="007B0C4E"/>
    <w:rsid w:val="007C6553"/>
    <w:rsid w:val="007D2956"/>
    <w:rsid w:val="007D37F4"/>
    <w:rsid w:val="007D58E8"/>
    <w:rsid w:val="007E0A4B"/>
    <w:rsid w:val="007E1A60"/>
    <w:rsid w:val="007E1DF0"/>
    <w:rsid w:val="007E26D3"/>
    <w:rsid w:val="007E4248"/>
    <w:rsid w:val="007E56FA"/>
    <w:rsid w:val="007E7B4D"/>
    <w:rsid w:val="007F225E"/>
    <w:rsid w:val="007F2441"/>
    <w:rsid w:val="007F272E"/>
    <w:rsid w:val="007F548B"/>
    <w:rsid w:val="007F59FF"/>
    <w:rsid w:val="007F7933"/>
    <w:rsid w:val="007F7C8E"/>
    <w:rsid w:val="00802EB1"/>
    <w:rsid w:val="0081087D"/>
    <w:rsid w:val="008120C3"/>
    <w:rsid w:val="00812145"/>
    <w:rsid w:val="00813113"/>
    <w:rsid w:val="008133FD"/>
    <w:rsid w:val="00815C24"/>
    <w:rsid w:val="00822611"/>
    <w:rsid w:val="00824E08"/>
    <w:rsid w:val="00826454"/>
    <w:rsid w:val="00830126"/>
    <w:rsid w:val="00831C85"/>
    <w:rsid w:val="00833B52"/>
    <w:rsid w:val="0084006C"/>
    <w:rsid w:val="00844DBC"/>
    <w:rsid w:val="0084539C"/>
    <w:rsid w:val="00847875"/>
    <w:rsid w:val="00847E30"/>
    <w:rsid w:val="008507B9"/>
    <w:rsid w:val="0085697F"/>
    <w:rsid w:val="00863004"/>
    <w:rsid w:val="00863288"/>
    <w:rsid w:val="0086609D"/>
    <w:rsid w:val="00870347"/>
    <w:rsid w:val="00871F13"/>
    <w:rsid w:val="008728F9"/>
    <w:rsid w:val="00875153"/>
    <w:rsid w:val="008754E9"/>
    <w:rsid w:val="0087784F"/>
    <w:rsid w:val="00883680"/>
    <w:rsid w:val="00884833"/>
    <w:rsid w:val="00890B64"/>
    <w:rsid w:val="00892B07"/>
    <w:rsid w:val="00895B82"/>
    <w:rsid w:val="008A12CC"/>
    <w:rsid w:val="008A3871"/>
    <w:rsid w:val="008A39D7"/>
    <w:rsid w:val="008A78D2"/>
    <w:rsid w:val="008B157E"/>
    <w:rsid w:val="008B3A8B"/>
    <w:rsid w:val="008C01D0"/>
    <w:rsid w:val="008C1AD3"/>
    <w:rsid w:val="008C4866"/>
    <w:rsid w:val="008C54BB"/>
    <w:rsid w:val="008C7C0E"/>
    <w:rsid w:val="008D3759"/>
    <w:rsid w:val="008E14E0"/>
    <w:rsid w:val="008E174E"/>
    <w:rsid w:val="008E3FC7"/>
    <w:rsid w:val="008E4E7A"/>
    <w:rsid w:val="008E60F1"/>
    <w:rsid w:val="008E7062"/>
    <w:rsid w:val="008F138B"/>
    <w:rsid w:val="008F51DC"/>
    <w:rsid w:val="008F5636"/>
    <w:rsid w:val="008F7E88"/>
    <w:rsid w:val="0090035F"/>
    <w:rsid w:val="00900A1A"/>
    <w:rsid w:val="0090174A"/>
    <w:rsid w:val="00904228"/>
    <w:rsid w:val="00907B3E"/>
    <w:rsid w:val="00910089"/>
    <w:rsid w:val="00911D38"/>
    <w:rsid w:val="009133A0"/>
    <w:rsid w:val="00913CA7"/>
    <w:rsid w:val="00921F21"/>
    <w:rsid w:val="00923812"/>
    <w:rsid w:val="00925E71"/>
    <w:rsid w:val="009275C6"/>
    <w:rsid w:val="00930975"/>
    <w:rsid w:val="009335B0"/>
    <w:rsid w:val="00941D0F"/>
    <w:rsid w:val="00947118"/>
    <w:rsid w:val="00952ABF"/>
    <w:rsid w:val="00955089"/>
    <w:rsid w:val="0095538D"/>
    <w:rsid w:val="00960BAC"/>
    <w:rsid w:val="009638EC"/>
    <w:rsid w:val="00964133"/>
    <w:rsid w:val="009649E9"/>
    <w:rsid w:val="0096699A"/>
    <w:rsid w:val="00974BB4"/>
    <w:rsid w:val="00975010"/>
    <w:rsid w:val="00975B8C"/>
    <w:rsid w:val="0098448E"/>
    <w:rsid w:val="0099221B"/>
    <w:rsid w:val="009A36CC"/>
    <w:rsid w:val="009A4A64"/>
    <w:rsid w:val="009A798B"/>
    <w:rsid w:val="009B074D"/>
    <w:rsid w:val="009B110D"/>
    <w:rsid w:val="009B1F6F"/>
    <w:rsid w:val="009B2207"/>
    <w:rsid w:val="009B3675"/>
    <w:rsid w:val="009C0E2E"/>
    <w:rsid w:val="009C1C3B"/>
    <w:rsid w:val="009C1D6C"/>
    <w:rsid w:val="009C3872"/>
    <w:rsid w:val="009D11DF"/>
    <w:rsid w:val="009D2DD7"/>
    <w:rsid w:val="009D51EE"/>
    <w:rsid w:val="009D75E9"/>
    <w:rsid w:val="009E127E"/>
    <w:rsid w:val="009E1B29"/>
    <w:rsid w:val="009E1B8F"/>
    <w:rsid w:val="009E2D32"/>
    <w:rsid w:val="009E43B4"/>
    <w:rsid w:val="009E65DF"/>
    <w:rsid w:val="009F41C9"/>
    <w:rsid w:val="009F425E"/>
    <w:rsid w:val="009F5917"/>
    <w:rsid w:val="009F71BE"/>
    <w:rsid w:val="00A021DE"/>
    <w:rsid w:val="00A03D1A"/>
    <w:rsid w:val="00A042DF"/>
    <w:rsid w:val="00A07CD9"/>
    <w:rsid w:val="00A12D8B"/>
    <w:rsid w:val="00A146A0"/>
    <w:rsid w:val="00A164BE"/>
    <w:rsid w:val="00A16B41"/>
    <w:rsid w:val="00A16CEC"/>
    <w:rsid w:val="00A21624"/>
    <w:rsid w:val="00A21A88"/>
    <w:rsid w:val="00A22298"/>
    <w:rsid w:val="00A26FCA"/>
    <w:rsid w:val="00A272F9"/>
    <w:rsid w:val="00A27597"/>
    <w:rsid w:val="00A35909"/>
    <w:rsid w:val="00A36A9B"/>
    <w:rsid w:val="00A42C2D"/>
    <w:rsid w:val="00A43D1E"/>
    <w:rsid w:val="00A64596"/>
    <w:rsid w:val="00A70354"/>
    <w:rsid w:val="00A72E67"/>
    <w:rsid w:val="00A83B95"/>
    <w:rsid w:val="00A861A9"/>
    <w:rsid w:val="00A86D86"/>
    <w:rsid w:val="00A97408"/>
    <w:rsid w:val="00AA226B"/>
    <w:rsid w:val="00AA2A76"/>
    <w:rsid w:val="00AA3241"/>
    <w:rsid w:val="00AA3380"/>
    <w:rsid w:val="00AA4AF4"/>
    <w:rsid w:val="00AA5ECF"/>
    <w:rsid w:val="00AB37BA"/>
    <w:rsid w:val="00AB56A5"/>
    <w:rsid w:val="00AB77D9"/>
    <w:rsid w:val="00AC02EA"/>
    <w:rsid w:val="00AC3068"/>
    <w:rsid w:val="00AC668C"/>
    <w:rsid w:val="00AD3268"/>
    <w:rsid w:val="00AD341D"/>
    <w:rsid w:val="00AD4223"/>
    <w:rsid w:val="00AD50A5"/>
    <w:rsid w:val="00AE024D"/>
    <w:rsid w:val="00AE091E"/>
    <w:rsid w:val="00AF44D1"/>
    <w:rsid w:val="00AF4B00"/>
    <w:rsid w:val="00AF78C7"/>
    <w:rsid w:val="00B03A37"/>
    <w:rsid w:val="00B065D6"/>
    <w:rsid w:val="00B06F66"/>
    <w:rsid w:val="00B076A9"/>
    <w:rsid w:val="00B11374"/>
    <w:rsid w:val="00B12009"/>
    <w:rsid w:val="00B13C8D"/>
    <w:rsid w:val="00B16A1A"/>
    <w:rsid w:val="00B16AFA"/>
    <w:rsid w:val="00B233F6"/>
    <w:rsid w:val="00B32777"/>
    <w:rsid w:val="00B35F48"/>
    <w:rsid w:val="00B40DDA"/>
    <w:rsid w:val="00B41086"/>
    <w:rsid w:val="00B42909"/>
    <w:rsid w:val="00B42CB7"/>
    <w:rsid w:val="00B44D3E"/>
    <w:rsid w:val="00B45891"/>
    <w:rsid w:val="00B51F5F"/>
    <w:rsid w:val="00B52321"/>
    <w:rsid w:val="00B53BDE"/>
    <w:rsid w:val="00B53FD5"/>
    <w:rsid w:val="00B54F0B"/>
    <w:rsid w:val="00B56CE7"/>
    <w:rsid w:val="00B56D15"/>
    <w:rsid w:val="00B60934"/>
    <w:rsid w:val="00B63D9B"/>
    <w:rsid w:val="00B66A44"/>
    <w:rsid w:val="00B70A10"/>
    <w:rsid w:val="00B71438"/>
    <w:rsid w:val="00B7278A"/>
    <w:rsid w:val="00B72BF1"/>
    <w:rsid w:val="00B76DB1"/>
    <w:rsid w:val="00B83078"/>
    <w:rsid w:val="00B84BC6"/>
    <w:rsid w:val="00BA0699"/>
    <w:rsid w:val="00BA4D9E"/>
    <w:rsid w:val="00BA7044"/>
    <w:rsid w:val="00BA7C22"/>
    <w:rsid w:val="00BB5EFB"/>
    <w:rsid w:val="00BC3543"/>
    <w:rsid w:val="00BC41FF"/>
    <w:rsid w:val="00BD1A19"/>
    <w:rsid w:val="00BD30A4"/>
    <w:rsid w:val="00BD651F"/>
    <w:rsid w:val="00BD7369"/>
    <w:rsid w:val="00BE137B"/>
    <w:rsid w:val="00BE3FDE"/>
    <w:rsid w:val="00BE59E2"/>
    <w:rsid w:val="00BE6650"/>
    <w:rsid w:val="00BF46DC"/>
    <w:rsid w:val="00BF4BF7"/>
    <w:rsid w:val="00BF5BBF"/>
    <w:rsid w:val="00C006EA"/>
    <w:rsid w:val="00C02494"/>
    <w:rsid w:val="00C03FE8"/>
    <w:rsid w:val="00C05CB1"/>
    <w:rsid w:val="00C05DB3"/>
    <w:rsid w:val="00C07B08"/>
    <w:rsid w:val="00C10858"/>
    <w:rsid w:val="00C11D78"/>
    <w:rsid w:val="00C143BD"/>
    <w:rsid w:val="00C15D71"/>
    <w:rsid w:val="00C2125E"/>
    <w:rsid w:val="00C25218"/>
    <w:rsid w:val="00C25F8E"/>
    <w:rsid w:val="00C27545"/>
    <w:rsid w:val="00C32393"/>
    <w:rsid w:val="00C325B5"/>
    <w:rsid w:val="00C35D9D"/>
    <w:rsid w:val="00C4169E"/>
    <w:rsid w:val="00C434BF"/>
    <w:rsid w:val="00C439B2"/>
    <w:rsid w:val="00C4659A"/>
    <w:rsid w:val="00C53377"/>
    <w:rsid w:val="00C54997"/>
    <w:rsid w:val="00C57C65"/>
    <w:rsid w:val="00C63024"/>
    <w:rsid w:val="00C64F4E"/>
    <w:rsid w:val="00C71032"/>
    <w:rsid w:val="00C7136C"/>
    <w:rsid w:val="00C717C9"/>
    <w:rsid w:val="00C727C5"/>
    <w:rsid w:val="00C81887"/>
    <w:rsid w:val="00C83861"/>
    <w:rsid w:val="00C85978"/>
    <w:rsid w:val="00C86A61"/>
    <w:rsid w:val="00C87EA7"/>
    <w:rsid w:val="00C90F7C"/>
    <w:rsid w:val="00C93DFF"/>
    <w:rsid w:val="00C944CD"/>
    <w:rsid w:val="00C95893"/>
    <w:rsid w:val="00C95C27"/>
    <w:rsid w:val="00C975A2"/>
    <w:rsid w:val="00CA0283"/>
    <w:rsid w:val="00CA0530"/>
    <w:rsid w:val="00CB3D4F"/>
    <w:rsid w:val="00CB6B0E"/>
    <w:rsid w:val="00CB7DDF"/>
    <w:rsid w:val="00CC0498"/>
    <w:rsid w:val="00CC0B01"/>
    <w:rsid w:val="00CC0B49"/>
    <w:rsid w:val="00CD2995"/>
    <w:rsid w:val="00CE02CE"/>
    <w:rsid w:val="00CE2AE2"/>
    <w:rsid w:val="00CE3308"/>
    <w:rsid w:val="00CE3FCA"/>
    <w:rsid w:val="00CE626D"/>
    <w:rsid w:val="00CE72B5"/>
    <w:rsid w:val="00CF0823"/>
    <w:rsid w:val="00CF55DD"/>
    <w:rsid w:val="00D0602A"/>
    <w:rsid w:val="00D065A7"/>
    <w:rsid w:val="00D06A88"/>
    <w:rsid w:val="00D06FC6"/>
    <w:rsid w:val="00D10B36"/>
    <w:rsid w:val="00D10E9C"/>
    <w:rsid w:val="00D14C7A"/>
    <w:rsid w:val="00D178D1"/>
    <w:rsid w:val="00D20057"/>
    <w:rsid w:val="00D2204F"/>
    <w:rsid w:val="00D2346A"/>
    <w:rsid w:val="00D27029"/>
    <w:rsid w:val="00D274B5"/>
    <w:rsid w:val="00D32711"/>
    <w:rsid w:val="00D33092"/>
    <w:rsid w:val="00D34E3B"/>
    <w:rsid w:val="00D4003C"/>
    <w:rsid w:val="00D4103A"/>
    <w:rsid w:val="00D42D31"/>
    <w:rsid w:val="00D43701"/>
    <w:rsid w:val="00D45C49"/>
    <w:rsid w:val="00D50E92"/>
    <w:rsid w:val="00D568D5"/>
    <w:rsid w:val="00D6014E"/>
    <w:rsid w:val="00D61ADF"/>
    <w:rsid w:val="00D63947"/>
    <w:rsid w:val="00D73B1C"/>
    <w:rsid w:val="00D75066"/>
    <w:rsid w:val="00D77E62"/>
    <w:rsid w:val="00D8118A"/>
    <w:rsid w:val="00D85A4D"/>
    <w:rsid w:val="00D91FCA"/>
    <w:rsid w:val="00D932ED"/>
    <w:rsid w:val="00D94AA5"/>
    <w:rsid w:val="00D958AB"/>
    <w:rsid w:val="00DA0C97"/>
    <w:rsid w:val="00DA3E1D"/>
    <w:rsid w:val="00DA4CD2"/>
    <w:rsid w:val="00DA6512"/>
    <w:rsid w:val="00DA7DE9"/>
    <w:rsid w:val="00DB4F23"/>
    <w:rsid w:val="00DC2E65"/>
    <w:rsid w:val="00DC5BD4"/>
    <w:rsid w:val="00DC6974"/>
    <w:rsid w:val="00DC7E1B"/>
    <w:rsid w:val="00DC7FC0"/>
    <w:rsid w:val="00DD045B"/>
    <w:rsid w:val="00DD3746"/>
    <w:rsid w:val="00DD3E21"/>
    <w:rsid w:val="00DD4F2F"/>
    <w:rsid w:val="00DD518C"/>
    <w:rsid w:val="00DD6847"/>
    <w:rsid w:val="00DE2C80"/>
    <w:rsid w:val="00DE394D"/>
    <w:rsid w:val="00DE4A30"/>
    <w:rsid w:val="00DF13C7"/>
    <w:rsid w:val="00DF18F4"/>
    <w:rsid w:val="00DF2CA6"/>
    <w:rsid w:val="00DF4357"/>
    <w:rsid w:val="00DF5164"/>
    <w:rsid w:val="00DF7A9B"/>
    <w:rsid w:val="00E00628"/>
    <w:rsid w:val="00E0082C"/>
    <w:rsid w:val="00E00838"/>
    <w:rsid w:val="00E0117C"/>
    <w:rsid w:val="00E04994"/>
    <w:rsid w:val="00E05988"/>
    <w:rsid w:val="00E111D3"/>
    <w:rsid w:val="00E14C31"/>
    <w:rsid w:val="00E21447"/>
    <w:rsid w:val="00E2789F"/>
    <w:rsid w:val="00E27EC4"/>
    <w:rsid w:val="00E341D1"/>
    <w:rsid w:val="00E34C3F"/>
    <w:rsid w:val="00E36D54"/>
    <w:rsid w:val="00E37E0F"/>
    <w:rsid w:val="00E405FA"/>
    <w:rsid w:val="00E40EB7"/>
    <w:rsid w:val="00E453BE"/>
    <w:rsid w:val="00E45B33"/>
    <w:rsid w:val="00E52D99"/>
    <w:rsid w:val="00E52F7E"/>
    <w:rsid w:val="00E61D15"/>
    <w:rsid w:val="00E62FFB"/>
    <w:rsid w:val="00E64FD2"/>
    <w:rsid w:val="00E719B1"/>
    <w:rsid w:val="00E73923"/>
    <w:rsid w:val="00E80843"/>
    <w:rsid w:val="00E83BB0"/>
    <w:rsid w:val="00E8444A"/>
    <w:rsid w:val="00E858CE"/>
    <w:rsid w:val="00E928F0"/>
    <w:rsid w:val="00E92C5F"/>
    <w:rsid w:val="00E95513"/>
    <w:rsid w:val="00E95DA7"/>
    <w:rsid w:val="00E96986"/>
    <w:rsid w:val="00E972BB"/>
    <w:rsid w:val="00EA0C53"/>
    <w:rsid w:val="00EA2300"/>
    <w:rsid w:val="00EA4696"/>
    <w:rsid w:val="00EA4FD7"/>
    <w:rsid w:val="00EB19A7"/>
    <w:rsid w:val="00EB435A"/>
    <w:rsid w:val="00EB49F8"/>
    <w:rsid w:val="00EB5090"/>
    <w:rsid w:val="00EB7556"/>
    <w:rsid w:val="00EC0558"/>
    <w:rsid w:val="00EC07A0"/>
    <w:rsid w:val="00EC3552"/>
    <w:rsid w:val="00EC62CB"/>
    <w:rsid w:val="00ED38CD"/>
    <w:rsid w:val="00ED4641"/>
    <w:rsid w:val="00ED4891"/>
    <w:rsid w:val="00EE1302"/>
    <w:rsid w:val="00EE15E7"/>
    <w:rsid w:val="00EE3101"/>
    <w:rsid w:val="00EE490D"/>
    <w:rsid w:val="00EE6251"/>
    <w:rsid w:val="00EF164E"/>
    <w:rsid w:val="00EF2F10"/>
    <w:rsid w:val="00EF305D"/>
    <w:rsid w:val="00EF6773"/>
    <w:rsid w:val="00F07364"/>
    <w:rsid w:val="00F07ACF"/>
    <w:rsid w:val="00F07E68"/>
    <w:rsid w:val="00F15B55"/>
    <w:rsid w:val="00F21A58"/>
    <w:rsid w:val="00F265FE"/>
    <w:rsid w:val="00F33ABB"/>
    <w:rsid w:val="00F344B9"/>
    <w:rsid w:val="00F34917"/>
    <w:rsid w:val="00F36B0A"/>
    <w:rsid w:val="00F450D1"/>
    <w:rsid w:val="00F453D8"/>
    <w:rsid w:val="00F503D3"/>
    <w:rsid w:val="00F50EE8"/>
    <w:rsid w:val="00F51BA9"/>
    <w:rsid w:val="00F52B9D"/>
    <w:rsid w:val="00F54E3E"/>
    <w:rsid w:val="00F54EF0"/>
    <w:rsid w:val="00F5661E"/>
    <w:rsid w:val="00F607C9"/>
    <w:rsid w:val="00F61732"/>
    <w:rsid w:val="00F65061"/>
    <w:rsid w:val="00F67A55"/>
    <w:rsid w:val="00F67BAB"/>
    <w:rsid w:val="00F71E84"/>
    <w:rsid w:val="00F727CB"/>
    <w:rsid w:val="00F74DF9"/>
    <w:rsid w:val="00F7563C"/>
    <w:rsid w:val="00F805EA"/>
    <w:rsid w:val="00F8203F"/>
    <w:rsid w:val="00F83935"/>
    <w:rsid w:val="00F848C2"/>
    <w:rsid w:val="00F85B1E"/>
    <w:rsid w:val="00F8705B"/>
    <w:rsid w:val="00F8717D"/>
    <w:rsid w:val="00F92353"/>
    <w:rsid w:val="00F93D40"/>
    <w:rsid w:val="00F9652D"/>
    <w:rsid w:val="00FA08AA"/>
    <w:rsid w:val="00FA60B3"/>
    <w:rsid w:val="00FB0E36"/>
    <w:rsid w:val="00FB46D1"/>
    <w:rsid w:val="00FC0DAC"/>
    <w:rsid w:val="00FC100A"/>
    <w:rsid w:val="00FC3FEC"/>
    <w:rsid w:val="00FD7999"/>
    <w:rsid w:val="00FD7C5B"/>
    <w:rsid w:val="00FD7F20"/>
    <w:rsid w:val="00FE2879"/>
    <w:rsid w:val="00FE5C2E"/>
    <w:rsid w:val="00FE615D"/>
    <w:rsid w:val="00FF0534"/>
    <w:rsid w:val="00FF1EB1"/>
    <w:rsid w:val="00FF3955"/>
    <w:rsid w:val="01007C40"/>
    <w:rsid w:val="01022A99"/>
    <w:rsid w:val="01352319"/>
    <w:rsid w:val="016865D1"/>
    <w:rsid w:val="021A7825"/>
    <w:rsid w:val="029C1412"/>
    <w:rsid w:val="030F42DA"/>
    <w:rsid w:val="04462463"/>
    <w:rsid w:val="050509DF"/>
    <w:rsid w:val="059B0668"/>
    <w:rsid w:val="063711DC"/>
    <w:rsid w:val="07416A2C"/>
    <w:rsid w:val="078046A1"/>
    <w:rsid w:val="0781151E"/>
    <w:rsid w:val="07DA2515"/>
    <w:rsid w:val="07EE14E8"/>
    <w:rsid w:val="086C5D2B"/>
    <w:rsid w:val="089849FD"/>
    <w:rsid w:val="0A871569"/>
    <w:rsid w:val="0AE74FF3"/>
    <w:rsid w:val="0B014068"/>
    <w:rsid w:val="0C68491E"/>
    <w:rsid w:val="0CAA5D35"/>
    <w:rsid w:val="0D2E3A6E"/>
    <w:rsid w:val="0E9909F7"/>
    <w:rsid w:val="0F9B14FC"/>
    <w:rsid w:val="102940FC"/>
    <w:rsid w:val="107A593C"/>
    <w:rsid w:val="10D86C8A"/>
    <w:rsid w:val="122D5247"/>
    <w:rsid w:val="129A03A8"/>
    <w:rsid w:val="12BB67DC"/>
    <w:rsid w:val="131A7247"/>
    <w:rsid w:val="146C6273"/>
    <w:rsid w:val="148A4F5C"/>
    <w:rsid w:val="14C45667"/>
    <w:rsid w:val="15F82CB1"/>
    <w:rsid w:val="1619143B"/>
    <w:rsid w:val="171A6DA6"/>
    <w:rsid w:val="17387142"/>
    <w:rsid w:val="178B6F94"/>
    <w:rsid w:val="17FD592F"/>
    <w:rsid w:val="19D93082"/>
    <w:rsid w:val="1B811339"/>
    <w:rsid w:val="1BD9335F"/>
    <w:rsid w:val="1C000642"/>
    <w:rsid w:val="1C55298A"/>
    <w:rsid w:val="1C7579DE"/>
    <w:rsid w:val="1C877E57"/>
    <w:rsid w:val="1C950E4B"/>
    <w:rsid w:val="1E1251C0"/>
    <w:rsid w:val="1EEB2B12"/>
    <w:rsid w:val="1F0E3F4F"/>
    <w:rsid w:val="1F1E1421"/>
    <w:rsid w:val="1FEA00F7"/>
    <w:rsid w:val="20EE356F"/>
    <w:rsid w:val="21676C37"/>
    <w:rsid w:val="21C31E6F"/>
    <w:rsid w:val="223F28C1"/>
    <w:rsid w:val="22D82201"/>
    <w:rsid w:val="22E91FFA"/>
    <w:rsid w:val="232D142F"/>
    <w:rsid w:val="23871813"/>
    <w:rsid w:val="23951230"/>
    <w:rsid w:val="23E34E2B"/>
    <w:rsid w:val="24CC5042"/>
    <w:rsid w:val="2503311B"/>
    <w:rsid w:val="251575E4"/>
    <w:rsid w:val="2539275A"/>
    <w:rsid w:val="253A0094"/>
    <w:rsid w:val="258204E4"/>
    <w:rsid w:val="25B70206"/>
    <w:rsid w:val="26640E97"/>
    <w:rsid w:val="266B4E43"/>
    <w:rsid w:val="26B66025"/>
    <w:rsid w:val="26D60AE7"/>
    <w:rsid w:val="279B3ADF"/>
    <w:rsid w:val="27AB174E"/>
    <w:rsid w:val="27DF19ED"/>
    <w:rsid w:val="2819731A"/>
    <w:rsid w:val="28341C9D"/>
    <w:rsid w:val="28BF20C1"/>
    <w:rsid w:val="296660DF"/>
    <w:rsid w:val="29A7676B"/>
    <w:rsid w:val="29AE5532"/>
    <w:rsid w:val="29BA349F"/>
    <w:rsid w:val="29CC71C0"/>
    <w:rsid w:val="2A136BD8"/>
    <w:rsid w:val="2A434567"/>
    <w:rsid w:val="2A5B1286"/>
    <w:rsid w:val="2AA119FC"/>
    <w:rsid w:val="2AC670C5"/>
    <w:rsid w:val="2B034D53"/>
    <w:rsid w:val="2E1A27C5"/>
    <w:rsid w:val="2E2D7DF0"/>
    <w:rsid w:val="2E3B7C7A"/>
    <w:rsid w:val="2E5B3B20"/>
    <w:rsid w:val="2ED80FF0"/>
    <w:rsid w:val="300B6CDF"/>
    <w:rsid w:val="32C649D3"/>
    <w:rsid w:val="32E73B75"/>
    <w:rsid w:val="331F0BAF"/>
    <w:rsid w:val="33EC7B4D"/>
    <w:rsid w:val="349C59CF"/>
    <w:rsid w:val="34BA32E0"/>
    <w:rsid w:val="354C15D2"/>
    <w:rsid w:val="36234DF4"/>
    <w:rsid w:val="366C23BA"/>
    <w:rsid w:val="378161EE"/>
    <w:rsid w:val="38DB3A67"/>
    <w:rsid w:val="395F559D"/>
    <w:rsid w:val="39667E23"/>
    <w:rsid w:val="3A080B60"/>
    <w:rsid w:val="3B453184"/>
    <w:rsid w:val="3B7214E4"/>
    <w:rsid w:val="3C9110DC"/>
    <w:rsid w:val="3D4520CB"/>
    <w:rsid w:val="3DBD69BF"/>
    <w:rsid w:val="3E360B94"/>
    <w:rsid w:val="3E4962B9"/>
    <w:rsid w:val="3EB74F52"/>
    <w:rsid w:val="3EDA0E3F"/>
    <w:rsid w:val="3F5250F1"/>
    <w:rsid w:val="3F844BC1"/>
    <w:rsid w:val="40432BB8"/>
    <w:rsid w:val="40713895"/>
    <w:rsid w:val="407A1061"/>
    <w:rsid w:val="40825A92"/>
    <w:rsid w:val="40D54255"/>
    <w:rsid w:val="414A3E2F"/>
    <w:rsid w:val="41900A83"/>
    <w:rsid w:val="41B41272"/>
    <w:rsid w:val="427C4ACD"/>
    <w:rsid w:val="43A74163"/>
    <w:rsid w:val="43A7763B"/>
    <w:rsid w:val="442962A2"/>
    <w:rsid w:val="44861074"/>
    <w:rsid w:val="451D2064"/>
    <w:rsid w:val="469876EA"/>
    <w:rsid w:val="46EC1B18"/>
    <w:rsid w:val="47680E90"/>
    <w:rsid w:val="47E644AD"/>
    <w:rsid w:val="488175E0"/>
    <w:rsid w:val="491C3D92"/>
    <w:rsid w:val="4A6744FF"/>
    <w:rsid w:val="4A9E60C4"/>
    <w:rsid w:val="4B1E09FB"/>
    <w:rsid w:val="4C553E7E"/>
    <w:rsid w:val="4D697710"/>
    <w:rsid w:val="4DE22CBC"/>
    <w:rsid w:val="4E1F04B5"/>
    <w:rsid w:val="4E284A0C"/>
    <w:rsid w:val="4EBE1CDD"/>
    <w:rsid w:val="4F6F7E1B"/>
    <w:rsid w:val="4FC85477"/>
    <w:rsid w:val="4FFE6835"/>
    <w:rsid w:val="50570D2C"/>
    <w:rsid w:val="5073752C"/>
    <w:rsid w:val="519648AF"/>
    <w:rsid w:val="51B0420B"/>
    <w:rsid w:val="52A96AC5"/>
    <w:rsid w:val="534A2F01"/>
    <w:rsid w:val="53AA0A2F"/>
    <w:rsid w:val="53EC0B5E"/>
    <w:rsid w:val="54506994"/>
    <w:rsid w:val="554D1567"/>
    <w:rsid w:val="558F5D6C"/>
    <w:rsid w:val="564233C3"/>
    <w:rsid w:val="57052DFA"/>
    <w:rsid w:val="57A86062"/>
    <w:rsid w:val="57E36D0C"/>
    <w:rsid w:val="582D7DB8"/>
    <w:rsid w:val="584D0CA1"/>
    <w:rsid w:val="585A0885"/>
    <w:rsid w:val="58C3686E"/>
    <w:rsid w:val="591A2206"/>
    <w:rsid w:val="59610A84"/>
    <w:rsid w:val="5A3567D4"/>
    <w:rsid w:val="5A4204F2"/>
    <w:rsid w:val="5A4357A8"/>
    <w:rsid w:val="5A9207B3"/>
    <w:rsid w:val="5B2E097D"/>
    <w:rsid w:val="5B691E02"/>
    <w:rsid w:val="5BD80A09"/>
    <w:rsid w:val="5BD82630"/>
    <w:rsid w:val="5BFB3BC0"/>
    <w:rsid w:val="5D8A795A"/>
    <w:rsid w:val="5DA502CC"/>
    <w:rsid w:val="5E004A46"/>
    <w:rsid w:val="5E20320E"/>
    <w:rsid w:val="5E6059A4"/>
    <w:rsid w:val="5EA44A4C"/>
    <w:rsid w:val="5F544CE8"/>
    <w:rsid w:val="5F8A5334"/>
    <w:rsid w:val="5FB54A36"/>
    <w:rsid w:val="6042680F"/>
    <w:rsid w:val="604572A0"/>
    <w:rsid w:val="60977222"/>
    <w:rsid w:val="60FD6FB8"/>
    <w:rsid w:val="61330309"/>
    <w:rsid w:val="61C626AD"/>
    <w:rsid w:val="622A7576"/>
    <w:rsid w:val="629E79BD"/>
    <w:rsid w:val="62EE3939"/>
    <w:rsid w:val="631B68BE"/>
    <w:rsid w:val="637E74EF"/>
    <w:rsid w:val="64025BD5"/>
    <w:rsid w:val="64040146"/>
    <w:rsid w:val="653D05C3"/>
    <w:rsid w:val="65B73A56"/>
    <w:rsid w:val="65BD63F3"/>
    <w:rsid w:val="65D73611"/>
    <w:rsid w:val="66682803"/>
    <w:rsid w:val="66E042CD"/>
    <w:rsid w:val="66FA66E2"/>
    <w:rsid w:val="672735C1"/>
    <w:rsid w:val="672C3D95"/>
    <w:rsid w:val="6745736D"/>
    <w:rsid w:val="67BB6750"/>
    <w:rsid w:val="67F60BEB"/>
    <w:rsid w:val="68490412"/>
    <w:rsid w:val="6858777C"/>
    <w:rsid w:val="6A2B7497"/>
    <w:rsid w:val="6B157FBC"/>
    <w:rsid w:val="6CA36342"/>
    <w:rsid w:val="6CD67262"/>
    <w:rsid w:val="6F8E5394"/>
    <w:rsid w:val="70082235"/>
    <w:rsid w:val="705E08B2"/>
    <w:rsid w:val="727A11B8"/>
    <w:rsid w:val="727A3FCB"/>
    <w:rsid w:val="72BC6F26"/>
    <w:rsid w:val="72FB6D9B"/>
    <w:rsid w:val="734128DC"/>
    <w:rsid w:val="73616705"/>
    <w:rsid w:val="742524D3"/>
    <w:rsid w:val="7443040B"/>
    <w:rsid w:val="74C729A8"/>
    <w:rsid w:val="752C0E9F"/>
    <w:rsid w:val="752E78EC"/>
    <w:rsid w:val="754B1A72"/>
    <w:rsid w:val="755328D0"/>
    <w:rsid w:val="75704B58"/>
    <w:rsid w:val="774059AB"/>
    <w:rsid w:val="77580F2B"/>
    <w:rsid w:val="783E613F"/>
    <w:rsid w:val="784A1B24"/>
    <w:rsid w:val="79341949"/>
    <w:rsid w:val="7B091CEE"/>
    <w:rsid w:val="7BC007EC"/>
    <w:rsid w:val="7C1F1ED8"/>
    <w:rsid w:val="7C3B643A"/>
    <w:rsid w:val="7CC1455A"/>
    <w:rsid w:val="7CF5105A"/>
    <w:rsid w:val="7E482382"/>
    <w:rsid w:val="7F2A6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9"/>
    <w:semiHidden/>
    <w:unhideWhenUsed/>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annotation reference"/>
    <w:basedOn w:val="8"/>
    <w:qFormat/>
    <w:uiPriority w:val="0"/>
    <w:rPr>
      <w:sz w:val="21"/>
      <w:szCs w:val="21"/>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
    <w:name w:val="列出段落2"/>
    <w:basedOn w:val="1"/>
    <w:qFormat/>
    <w:uiPriority w:val="0"/>
    <w:pPr>
      <w:ind w:firstLine="420" w:firstLineChars="200"/>
    </w:pPr>
    <w:rPr>
      <w:rFonts w:ascii="Calibri" w:hAnsi="Calibri" w:eastAsia="宋体" w:cs="Times New Roman"/>
      <w:szCs w:val="24"/>
    </w:rPr>
  </w:style>
  <w:style w:type="paragraph" w:customStyle="1" w:styleId="16">
    <w:name w:val="列出段落1"/>
    <w:basedOn w:val="1"/>
    <w:qFormat/>
    <w:uiPriority w:val="99"/>
    <w:pPr>
      <w:ind w:firstLine="420" w:firstLineChars="200"/>
    </w:pPr>
    <w:rPr>
      <w:rFonts w:ascii="Calibri" w:hAnsi="Calibri" w:eastAsia="宋体" w:cs="Times New Roman"/>
      <w:szCs w:val="24"/>
    </w:rPr>
  </w:style>
  <w:style w:type="paragraph" w:customStyle="1" w:styleId="17">
    <w:name w:val="Table Text"/>
    <w:basedOn w:val="1"/>
    <w:semiHidden/>
    <w:qFormat/>
    <w:uiPriority w:val="0"/>
    <w:rPr>
      <w:rFonts w:ascii="宋体" w:hAnsi="宋体" w:eastAsia="宋体" w:cs="宋体"/>
      <w:sz w:val="24"/>
      <w:szCs w:val="24"/>
      <w:lang w:eastAsia="en-US"/>
    </w:rPr>
  </w:style>
  <w:style w:type="character" w:customStyle="1" w:styleId="18">
    <w:name w:val="批注文字 字符"/>
    <w:basedOn w:val="8"/>
    <w:link w:val="2"/>
    <w:qFormat/>
    <w:uiPriority w:val="99"/>
    <w:rPr>
      <w:rFonts w:asciiTheme="minorHAnsi" w:hAnsiTheme="minorHAnsi" w:eastAsiaTheme="minorEastAsia" w:cstheme="minorBidi"/>
      <w:kern w:val="2"/>
      <w:sz w:val="21"/>
      <w:szCs w:val="22"/>
    </w:rPr>
  </w:style>
  <w:style w:type="character" w:customStyle="1" w:styleId="19">
    <w:name w:val="批注主题 字符"/>
    <w:basedOn w:val="18"/>
    <w:link w:val="5"/>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64724-0135-4C94-BC36-7749B9092992}">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2074</Words>
  <Characters>11827</Characters>
  <Lines>98</Lines>
  <Paragraphs>27</Paragraphs>
  <TotalTime>564</TotalTime>
  <ScaleCrop>false</ScaleCrop>
  <LinksUpToDate>false</LinksUpToDate>
  <CharactersWithSpaces>13874</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2021-08-30T03:35:00Z</dcterms:created>
  <dc:creator>zzr02</dc:creator>
  <cp:lastModifiedBy>gmgitc</cp:lastModifiedBy>
  <cp:lastPrinted>2022-03-17T01:17:00Z</cp:lastPrinted>
  <dcterms:modified xsi:type="dcterms:W3CDTF">2025-04-23T09:47:25Z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675E8FDAEF8142DDAA96B3DC2C39A711</vt:lpwstr>
  </property>
  <property fmtid="{D5CDD505-2E9C-101B-9397-08002B2CF9AE}" pid="4" name="KSOTemplateDocerSaveRecord">
    <vt:lpwstr>eyJoZGlkIjoiZjA2YTI0NjU0YjdiNzY4NzM1ZTdiN2ZiNGExZjI0NzUifQ==</vt:lpwstr>
  </property>
</Properties>
</file>