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1AF67">
      <w:pPr>
        <w:rPr>
          <w:rFonts w:ascii="Dotum" w:eastAsia="Dotum"/>
          <w:b/>
          <w:vanish/>
          <w:color w:val="000000" w:themeColor="text1"/>
          <w:sz w:val="48"/>
          <w:szCs w:val="48"/>
          <w:highlight w:val="none"/>
          <w14:textFill>
            <w14:solidFill>
              <w14:schemeClr w14:val="tx1"/>
            </w14:solidFill>
          </w14:textFill>
        </w:rPr>
      </w:pPr>
      <w:r>
        <w:rPr>
          <w:rFonts w:ascii="宋体" w:hAnsi="宋体" w:cs="宋体"/>
          <w:b/>
          <w:vanish/>
          <w:color w:val="000000" w:themeColor="text1"/>
          <w:kern w:val="0"/>
          <w:sz w:val="36"/>
          <w:szCs w:val="36"/>
          <w:highlight w:val="none"/>
          <w14:textFill>
            <w14:solidFill>
              <w14:schemeClr w14:val="tx1"/>
            </w14:solidFill>
          </w14:textFill>
        </w:rPr>
        <w:t>GZZB</w:t>
      </w:r>
      <w:r>
        <w:rPr>
          <w:rFonts w:hint="eastAsia" w:ascii="宋体" w:hAnsi="宋体" w:cs="宋体"/>
          <w:b/>
          <w:vanish/>
          <w:color w:val="000000" w:themeColor="text1"/>
          <w:kern w:val="0"/>
          <w:sz w:val="36"/>
          <w:szCs w:val="36"/>
          <w:highlight w:val="none"/>
          <w14:textFill>
            <w14:solidFill>
              <w14:schemeClr w14:val="tx1"/>
            </w14:solidFill>
          </w14:textFill>
        </w:rPr>
        <w:t>2018-3</w:t>
      </w:r>
    </w:p>
    <w:p w14:paraId="5182BC7A">
      <w:pPr>
        <w:rPr>
          <w:rFonts w:ascii="Dotum" w:eastAsia="Dotum"/>
          <w:b/>
          <w:vanish/>
          <w:color w:val="000000" w:themeColor="text1"/>
          <w:sz w:val="48"/>
          <w:szCs w:val="48"/>
          <w:highlight w:val="none"/>
          <w14:textFill>
            <w14:solidFill>
              <w14:schemeClr w14:val="tx1"/>
            </w14:solidFill>
          </w14:textFill>
        </w:rPr>
      </w:pPr>
      <w:r>
        <w:rPr>
          <w:rFonts w:ascii="宋体" w:hAnsi="宋体" w:cs="宋体"/>
          <w:b/>
          <w:vanish/>
          <w:color w:val="000000" w:themeColor="text1"/>
          <w:kern w:val="0"/>
          <w:sz w:val="36"/>
          <w:szCs w:val="36"/>
          <w:highlight w:val="none"/>
          <w14:textFill>
            <w14:solidFill>
              <w14:schemeClr w14:val="tx1"/>
            </w14:solidFill>
          </w14:textFill>
        </w:rPr>
        <w:t>GZZB</w:t>
      </w:r>
      <w:r>
        <w:rPr>
          <w:rFonts w:hint="eastAsia" w:ascii="宋体" w:hAnsi="宋体" w:cs="宋体"/>
          <w:b/>
          <w:vanish/>
          <w:color w:val="000000" w:themeColor="text1"/>
          <w:kern w:val="0"/>
          <w:sz w:val="36"/>
          <w:szCs w:val="36"/>
          <w:highlight w:val="none"/>
          <w14:textFill>
            <w14:solidFill>
              <w14:schemeClr w14:val="tx1"/>
            </w14:solidFill>
          </w14:textFill>
        </w:rPr>
        <w:t>2018-3</w:t>
      </w:r>
    </w:p>
    <w:p w14:paraId="7E0620B9">
      <w:pPr>
        <w:spacing w:line="360" w:lineRule="auto"/>
        <w:jc w:val="center"/>
        <w:rPr>
          <w:rFonts w:hint="eastAsia" w:ascii="宋体" w:hAnsi="宋体" w:eastAsia="宋体" w:cs="宋体"/>
          <w:color w:val="000000" w:themeColor="text1"/>
          <w:sz w:val="44"/>
          <w:szCs w:val="32"/>
          <w:highlight w:val="none"/>
          <w:u w:val="single"/>
          <w:lang w:eastAsia="zh-CN"/>
          <w14:textFill>
            <w14:solidFill>
              <w14:schemeClr w14:val="tx1"/>
            </w14:solidFill>
          </w14:textFill>
        </w:rPr>
      </w:pPr>
      <w:r>
        <w:rPr>
          <w:rFonts w:hint="eastAsia" w:ascii="宋体" w:hAnsi="宋体" w:cs="宋体"/>
          <w:b/>
          <w:bCs/>
          <w:color w:val="000000" w:themeColor="text1"/>
          <w:spacing w:val="40"/>
          <w:sz w:val="52"/>
          <w:szCs w:val="56"/>
          <w:highlight w:val="none"/>
          <w:lang w:eastAsia="zh-CN"/>
          <w14:textFill>
            <w14:solidFill>
              <w14:schemeClr w14:val="tx1"/>
            </w14:solidFill>
          </w14:textFill>
        </w:rPr>
        <w:t>广州市越秀区北较场横路1号大院供电改造移交施工总承包工程</w:t>
      </w:r>
    </w:p>
    <w:p w14:paraId="5317892B">
      <w:pPr>
        <w:spacing w:line="360" w:lineRule="auto"/>
        <w:rPr>
          <w:rFonts w:ascii="宋体" w:hAnsi="宋体" w:cs="宋体"/>
          <w:b/>
          <w:bCs/>
          <w:color w:val="000000" w:themeColor="text1"/>
          <w:spacing w:val="26"/>
          <w:sz w:val="110"/>
          <w:szCs w:val="110"/>
          <w:highlight w:val="none"/>
          <w14:textFill>
            <w14:solidFill>
              <w14:schemeClr w14:val="tx1"/>
            </w14:solidFill>
          </w14:textFill>
        </w:rPr>
      </w:pPr>
    </w:p>
    <w:p w14:paraId="3853E0C2">
      <w:pPr>
        <w:spacing w:line="360" w:lineRule="auto"/>
        <w:jc w:val="center"/>
        <w:rPr>
          <w:rFonts w:ascii="宋体" w:hAnsi="宋体" w:cs="宋体"/>
          <w:b/>
          <w:bCs/>
          <w:color w:val="000000" w:themeColor="text1"/>
          <w:spacing w:val="26"/>
          <w:sz w:val="110"/>
          <w:szCs w:val="110"/>
          <w:highlight w:val="none"/>
          <w14:textFill>
            <w14:solidFill>
              <w14:schemeClr w14:val="tx1"/>
            </w14:solidFill>
          </w14:textFill>
        </w:rPr>
      </w:pPr>
      <w:r>
        <w:rPr>
          <w:rFonts w:hint="eastAsia" w:ascii="宋体" w:hAnsi="宋体" w:cs="宋体"/>
          <w:b/>
          <w:bCs/>
          <w:color w:val="000000" w:themeColor="text1"/>
          <w:spacing w:val="26"/>
          <w:sz w:val="110"/>
          <w:szCs w:val="110"/>
          <w:highlight w:val="none"/>
          <w14:textFill>
            <w14:solidFill>
              <w14:schemeClr w14:val="tx1"/>
            </w14:solidFill>
          </w14:textFill>
        </w:rPr>
        <w:t>招标文件</w:t>
      </w:r>
    </w:p>
    <w:p w14:paraId="00674A30">
      <w:pPr>
        <w:spacing w:line="360" w:lineRule="auto"/>
        <w:jc w:val="center"/>
        <w:rPr>
          <w:rFonts w:ascii="宋体" w:hAnsi="宋体" w:cs="宋体"/>
          <w:color w:val="000000" w:themeColor="text1"/>
          <w:sz w:val="32"/>
          <w:highlight w:val="none"/>
          <w14:textFill>
            <w14:solidFill>
              <w14:schemeClr w14:val="tx1"/>
            </w14:solidFill>
          </w14:textFill>
        </w:rPr>
      </w:pPr>
    </w:p>
    <w:p w14:paraId="137D419D">
      <w:pPr>
        <w:spacing w:line="360" w:lineRule="auto"/>
        <w:ind w:firstLine="2560" w:firstLineChars="800"/>
        <w:rPr>
          <w:rFonts w:ascii="宋体" w:hAnsi="宋体" w:cs="宋体"/>
          <w:color w:val="000000" w:themeColor="text1"/>
          <w:sz w:val="32"/>
          <w:highlight w:val="none"/>
          <w14:textFill>
            <w14:solidFill>
              <w14:schemeClr w14:val="tx1"/>
            </w14:solidFill>
          </w14:textFill>
        </w:rPr>
      </w:pPr>
    </w:p>
    <w:p w14:paraId="69CCF764">
      <w:pPr>
        <w:spacing w:line="360" w:lineRule="auto"/>
        <w:rPr>
          <w:rFonts w:ascii="宋体" w:hAnsi="宋体" w:cs="宋体"/>
          <w:color w:val="000000" w:themeColor="text1"/>
          <w:sz w:val="30"/>
          <w:szCs w:val="30"/>
          <w:highlight w:val="none"/>
          <w14:textFill>
            <w14:solidFill>
              <w14:schemeClr w14:val="tx1"/>
            </w14:solidFill>
          </w14:textFill>
        </w:rPr>
      </w:pPr>
    </w:p>
    <w:p w14:paraId="5BC32ABF">
      <w:pPr>
        <w:spacing w:line="360" w:lineRule="auto"/>
        <w:ind w:firstLine="900" w:firstLineChars="300"/>
        <w:rPr>
          <w:rFonts w:ascii="宋体" w:hAnsi="宋体" w:cs="宋体"/>
          <w:color w:val="000000" w:themeColor="text1"/>
          <w:sz w:val="30"/>
          <w:szCs w:val="30"/>
          <w:highlight w:val="none"/>
          <w14:textFill>
            <w14:solidFill>
              <w14:schemeClr w14:val="tx1"/>
            </w14:solidFill>
          </w14:textFill>
        </w:rPr>
      </w:pPr>
    </w:p>
    <w:p w14:paraId="0A4C3B81">
      <w:pPr>
        <w:pStyle w:val="9"/>
        <w:rPr>
          <w:rFonts w:ascii="宋体" w:hAnsi="宋体" w:cs="宋体"/>
          <w:color w:val="000000" w:themeColor="text1"/>
          <w:sz w:val="30"/>
          <w:szCs w:val="30"/>
          <w:highlight w:val="none"/>
          <w14:textFill>
            <w14:solidFill>
              <w14:schemeClr w14:val="tx1"/>
            </w14:solidFill>
          </w14:textFill>
        </w:rPr>
      </w:pPr>
    </w:p>
    <w:p w14:paraId="0DA76C12">
      <w:pPr>
        <w:rPr>
          <w:color w:val="000000" w:themeColor="text1"/>
          <w:highlight w:val="none"/>
          <w14:textFill>
            <w14:solidFill>
              <w14:schemeClr w14:val="tx1"/>
            </w14:solidFill>
          </w14:textFill>
        </w:rPr>
      </w:pPr>
    </w:p>
    <w:p w14:paraId="69AAA30E">
      <w:pPr>
        <w:pStyle w:val="18"/>
        <w:rPr>
          <w:color w:val="000000" w:themeColor="text1"/>
          <w:highlight w:val="none"/>
          <w14:textFill>
            <w14:solidFill>
              <w14:schemeClr w14:val="tx1"/>
            </w14:solidFill>
          </w14:textFill>
        </w:rPr>
      </w:pPr>
    </w:p>
    <w:p w14:paraId="64185924">
      <w:pPr>
        <w:rPr>
          <w:color w:val="000000" w:themeColor="text1"/>
          <w:highlight w:val="none"/>
          <w14:textFill>
            <w14:solidFill>
              <w14:schemeClr w14:val="tx1"/>
            </w14:solidFill>
          </w14:textFill>
        </w:rPr>
      </w:pPr>
    </w:p>
    <w:p w14:paraId="0C0C3065">
      <w:pPr>
        <w:pStyle w:val="9"/>
        <w:rPr>
          <w:color w:val="000000" w:themeColor="text1"/>
          <w:highlight w:val="none"/>
          <w14:textFill>
            <w14:solidFill>
              <w14:schemeClr w14:val="tx1"/>
            </w14:solidFill>
          </w14:textFill>
        </w:rPr>
      </w:pPr>
    </w:p>
    <w:p w14:paraId="242B0BAF">
      <w:pPr>
        <w:pStyle w:val="18"/>
        <w:rPr>
          <w:color w:val="000000" w:themeColor="text1"/>
          <w:highlight w:val="none"/>
          <w14:textFill>
            <w14:solidFill>
              <w14:schemeClr w14:val="tx1"/>
            </w14:solidFill>
          </w14:textFill>
        </w:rPr>
      </w:pPr>
    </w:p>
    <w:p w14:paraId="2A0F4D5D">
      <w:pPr>
        <w:pStyle w:val="18"/>
        <w:rPr>
          <w:color w:val="000000" w:themeColor="text1"/>
          <w:highlight w:val="none"/>
          <w14:textFill>
            <w14:solidFill>
              <w14:schemeClr w14:val="tx1"/>
            </w14:solidFill>
          </w14:textFill>
        </w:rPr>
      </w:pPr>
    </w:p>
    <w:p w14:paraId="1A21001E">
      <w:pPr>
        <w:spacing w:line="360" w:lineRule="auto"/>
        <w:jc w:val="center"/>
        <w:rPr>
          <w:rFonts w:hint="eastAsia" w:ascii="宋体" w:hAnsi="宋体" w:eastAsia="宋体" w:cs="宋体"/>
          <w:color w:val="000000" w:themeColor="text1"/>
          <w:sz w:val="30"/>
          <w:szCs w:val="30"/>
          <w:highlight w:val="none"/>
          <w:u w:val="singl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招  标 单 位：</w:t>
      </w:r>
      <w:r>
        <w:rPr>
          <w:rFonts w:hint="eastAsia" w:ascii="宋体" w:hAnsi="宋体" w:cs="宋体"/>
          <w:color w:val="000000" w:themeColor="text1"/>
          <w:sz w:val="30"/>
          <w:szCs w:val="30"/>
          <w:highlight w:val="none"/>
          <w:u w:val="single"/>
          <w:lang w:eastAsia="zh-CN"/>
          <w14:textFill>
            <w14:solidFill>
              <w14:schemeClr w14:val="tx1"/>
            </w14:solidFill>
          </w14:textFill>
        </w:rPr>
        <w:t>广东省广裕集团有限责任公司</w:t>
      </w:r>
    </w:p>
    <w:p w14:paraId="7898B6B8">
      <w:pPr>
        <w:spacing w:line="360" w:lineRule="auto"/>
        <w:jc w:val="center"/>
        <w:rPr>
          <w:rFonts w:ascii="宋体" w:hAnsi="宋体" w:cs="宋体"/>
          <w:color w:val="000000" w:themeColor="text1"/>
          <w:sz w:val="30"/>
          <w:szCs w:val="30"/>
          <w:highlight w:val="none"/>
          <w:u w:val="singl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招标代理单位：</w:t>
      </w:r>
      <w:r>
        <w:rPr>
          <w:rFonts w:hint="eastAsia" w:ascii="宋体" w:hAnsi="宋体" w:cs="宋体"/>
          <w:color w:val="000000" w:themeColor="text1"/>
          <w:sz w:val="30"/>
          <w:szCs w:val="30"/>
          <w:highlight w:val="none"/>
          <w:u w:val="single"/>
          <w14:textFill>
            <w14:solidFill>
              <w14:schemeClr w14:val="tx1"/>
            </w14:solidFill>
          </w14:textFill>
        </w:rPr>
        <w:t>中捷通信有限公司</w:t>
      </w:r>
    </w:p>
    <w:p w14:paraId="62743179">
      <w:pPr>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日         期： </w:t>
      </w:r>
      <w:r>
        <w:rPr>
          <w:rFonts w:hint="eastAsia" w:ascii="宋体" w:hAnsi="宋体" w:cs="宋体"/>
          <w:color w:val="000000" w:themeColor="text1"/>
          <w:sz w:val="30"/>
          <w:szCs w:val="30"/>
          <w:highlight w:val="none"/>
          <w:u w:val="single"/>
          <w14:textFill>
            <w14:solidFill>
              <w14:schemeClr w14:val="tx1"/>
            </w14:solidFill>
          </w14:textFill>
        </w:rPr>
        <w:t>202</w:t>
      </w:r>
      <w:r>
        <w:rPr>
          <w:rFonts w:hint="eastAsia" w:ascii="宋体" w:hAnsi="宋体" w:cs="宋体"/>
          <w:color w:val="000000" w:themeColor="text1"/>
          <w:sz w:val="30"/>
          <w:szCs w:val="30"/>
          <w:highlight w:val="none"/>
          <w:u w:val="single"/>
          <w:lang w:val="en-US" w:eastAsia="zh-CN"/>
          <w14:textFill>
            <w14:solidFill>
              <w14:schemeClr w14:val="tx1"/>
            </w14:solidFill>
          </w14:textFill>
        </w:rPr>
        <w:t>5</w:t>
      </w:r>
      <w:r>
        <w:rPr>
          <w:rFonts w:hint="eastAsia" w:ascii="宋体" w:hAnsi="宋体" w:cs="宋体"/>
          <w:color w:val="000000" w:themeColor="text1"/>
          <w:sz w:val="30"/>
          <w:szCs w:val="30"/>
          <w:highlight w:val="none"/>
          <w:u w:val="single"/>
          <w14:textFill>
            <w14:solidFill>
              <w14:schemeClr w14:val="tx1"/>
            </w14:solidFill>
          </w14:textFill>
        </w:rPr>
        <w:t>年</w:t>
      </w:r>
      <w:r>
        <w:rPr>
          <w:rFonts w:hint="eastAsia" w:ascii="宋体" w:hAnsi="宋体" w:cs="宋体"/>
          <w:color w:val="000000" w:themeColor="text1"/>
          <w:sz w:val="30"/>
          <w:szCs w:val="30"/>
          <w:highlight w:val="none"/>
          <w:u w:val="single"/>
          <w:lang w:val="en-US" w:eastAsia="zh-CN"/>
          <w14:textFill>
            <w14:solidFill>
              <w14:schemeClr w14:val="tx1"/>
            </w14:solidFill>
          </w14:textFill>
        </w:rPr>
        <w:t>4</w:t>
      </w:r>
      <w:r>
        <w:rPr>
          <w:rFonts w:hint="eastAsia" w:ascii="宋体" w:hAnsi="宋体" w:cs="宋体"/>
          <w:color w:val="000000" w:themeColor="text1"/>
          <w:sz w:val="30"/>
          <w:szCs w:val="30"/>
          <w:highlight w:val="none"/>
          <w:u w:val="single"/>
          <w14:textFill>
            <w14:solidFill>
              <w14:schemeClr w14:val="tx1"/>
            </w14:solidFill>
          </w14:textFill>
        </w:rPr>
        <w:t>月</w:t>
      </w:r>
    </w:p>
    <w:p w14:paraId="2B3A6DF5">
      <w:pPr>
        <w:spacing w:line="360" w:lineRule="auto"/>
        <w:ind w:firstLine="904" w:firstLineChars="300"/>
        <w:jc w:val="center"/>
        <w:rPr>
          <w:rStyle w:val="43"/>
          <w:rFonts w:hint="eastAsia" w:ascii="宋体" w:hAnsi="宋体" w:cs="宋体"/>
          <w:b/>
          <w:bCs/>
          <w:color w:val="000000" w:themeColor="text1"/>
          <w:sz w:val="30"/>
          <w:szCs w:val="30"/>
          <w:highlight w:val="none"/>
          <w:u w:val="none"/>
          <w14:textFill>
            <w14:solidFill>
              <w14:schemeClr w14:val="tx1"/>
            </w14:solidFill>
          </w14:textFill>
        </w:rPr>
        <w:sectPr>
          <w:headerReference r:id="rId3" w:type="default"/>
          <w:footerReference r:id="rId4" w:type="default"/>
          <w:endnotePr>
            <w:numFmt w:val="decimal"/>
          </w:endnotePr>
          <w:pgSz w:w="11906" w:h="16838"/>
          <w:pgMar w:top="1417" w:right="1417" w:bottom="1417" w:left="1417" w:header="851" w:footer="680" w:gutter="0"/>
          <w:pgNumType w:start="1"/>
          <w:cols w:space="720" w:num="1"/>
          <w:docGrid w:type="lines" w:linePitch="312" w:charSpace="0"/>
        </w:sectPr>
      </w:pPr>
    </w:p>
    <w:p w14:paraId="4DA1B2F8">
      <w:pPr>
        <w:spacing w:line="360" w:lineRule="auto"/>
        <w:ind w:firstLine="904" w:firstLineChars="300"/>
        <w:jc w:val="center"/>
        <w:rPr>
          <w:rFonts w:ascii="宋体" w:hAnsi="宋体" w:cs="宋体"/>
          <w:b/>
          <w:caps/>
          <w:color w:val="000000" w:themeColor="text1"/>
          <w:kern w:val="0"/>
          <w:highlight w:val="none"/>
          <w14:textFill>
            <w14:solidFill>
              <w14:schemeClr w14:val="tx1"/>
            </w14:solidFill>
          </w14:textFill>
        </w:rPr>
      </w:pPr>
      <w:r>
        <w:rPr>
          <w:rStyle w:val="43"/>
          <w:rFonts w:hint="eastAsia" w:ascii="宋体" w:hAnsi="宋体" w:cs="宋体"/>
          <w:b/>
          <w:bCs/>
          <w:color w:val="000000" w:themeColor="text1"/>
          <w:sz w:val="30"/>
          <w:szCs w:val="30"/>
          <w:highlight w:val="none"/>
          <w:u w:val="none"/>
          <w14:textFill>
            <w14:solidFill>
              <w14:schemeClr w14:val="tx1"/>
            </w14:solidFill>
          </w14:textFill>
        </w:rPr>
        <w:t>目录</w:t>
      </w:r>
    </w:p>
    <w:p w14:paraId="2A6665BA">
      <w:pPr>
        <w:pStyle w:val="28"/>
        <w:tabs>
          <w:tab w:val="right" w:leader="dot" w:pos="9072"/>
          <w:tab w:val="clear" w:pos="906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第一章  投标须知</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2</w:t>
      </w:r>
    </w:p>
    <w:p w14:paraId="5DBBF200">
      <w:pPr>
        <w:pStyle w:val="28"/>
        <w:tabs>
          <w:tab w:val="right" w:leader="dot" w:pos="9072"/>
          <w:tab w:val="clear" w:pos="906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一、投标须知前附表</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2</w:t>
      </w:r>
    </w:p>
    <w:p w14:paraId="6725B7FA">
      <w:pPr>
        <w:pStyle w:val="28"/>
        <w:tabs>
          <w:tab w:val="right" w:leader="dot" w:pos="9072"/>
          <w:tab w:val="clear" w:pos="9060"/>
        </w:tabs>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二、投标须知修改表</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p w14:paraId="02C86947">
      <w:pPr>
        <w:pStyle w:val="28"/>
        <w:tabs>
          <w:tab w:val="right" w:leader="dot" w:pos="9072"/>
          <w:tab w:val="clear" w:pos="9060"/>
        </w:tabs>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三、投标须知通用条款</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p>
    <w:p w14:paraId="50DC78F7">
      <w:pPr>
        <w:pStyle w:val="28"/>
        <w:tabs>
          <w:tab w:val="right" w:leader="dot" w:pos="9072"/>
          <w:tab w:val="clear" w:pos="9060"/>
        </w:tabs>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_Toc7719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第二章  开标、评标及定标办法</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p w14:paraId="6E7CA269">
      <w:pPr>
        <w:pStyle w:val="28"/>
        <w:tabs>
          <w:tab w:val="right" w:leader="dot" w:pos="9072"/>
          <w:tab w:val="clear" w:pos="9060"/>
        </w:tabs>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_Toc16452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一、开标、评标及定标办法修改表</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p w14:paraId="6D1BE6AD">
      <w:pPr>
        <w:pStyle w:val="28"/>
        <w:tabs>
          <w:tab w:val="right" w:leader="dot" w:pos="9072"/>
          <w:tab w:val="clear" w:pos="9060"/>
        </w:tabs>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_Toc29427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二、开标、评标及定标办法通用条款</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p w14:paraId="22269C2D">
      <w:pPr>
        <w:pStyle w:val="28"/>
        <w:tabs>
          <w:tab w:val="right" w:leader="dot" w:pos="9072"/>
          <w:tab w:val="clear" w:pos="9060"/>
        </w:tabs>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可选办法七（适合综合评分法四，技术标与经济标同时开启）</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47</w:t>
      </w:r>
    </w:p>
    <w:p w14:paraId="1C1A3AB8">
      <w:pPr>
        <w:pStyle w:val="28"/>
        <w:tabs>
          <w:tab w:val="right" w:leader="dot" w:pos="9072"/>
          <w:tab w:val="clear" w:pos="9060"/>
        </w:tabs>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第三章  合同条款</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66</w:t>
      </w:r>
    </w:p>
    <w:p w14:paraId="27F4E68F">
      <w:pPr>
        <w:pStyle w:val="28"/>
        <w:tabs>
          <w:tab w:val="right" w:leader="dot" w:pos="9072"/>
          <w:tab w:val="clear" w:pos="9060"/>
        </w:tabs>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第四章  投标文件格式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67</w:t>
      </w:r>
    </w:p>
    <w:p w14:paraId="70E7B557">
      <w:pPr>
        <w:pStyle w:val="28"/>
        <w:tabs>
          <w:tab w:val="right" w:leader="dot" w:pos="9072"/>
          <w:tab w:val="clear" w:pos="9060"/>
        </w:tabs>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第五章  技术条件（工程建设标准）</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82</w:t>
      </w:r>
    </w:p>
    <w:p w14:paraId="2D3DC56C">
      <w:pPr>
        <w:pStyle w:val="28"/>
        <w:tabs>
          <w:tab w:val="right" w:leader="dot" w:pos="9072"/>
          <w:tab w:val="clear" w:pos="9060"/>
        </w:tabs>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第六章  图纸及勘察资料</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101</w:t>
      </w:r>
    </w:p>
    <w:p w14:paraId="1BE825F0">
      <w:pPr>
        <w:pStyle w:val="28"/>
        <w:tabs>
          <w:tab w:val="right" w:leader="dot" w:pos="9072"/>
          <w:tab w:val="clear" w:pos="9060"/>
        </w:tabs>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第七章  工程量清单</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102</w:t>
      </w:r>
    </w:p>
    <w:p w14:paraId="752CA369">
      <w:pPr>
        <w:pStyle w:val="28"/>
        <w:tabs>
          <w:tab w:val="right" w:leader="dot" w:pos="9072"/>
          <w:tab w:val="clear" w:pos="9060"/>
        </w:tabs>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第八章  最高投标限价（另册）</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103</w:t>
      </w:r>
    </w:p>
    <w:p w14:paraId="624B71E4">
      <w:pPr>
        <w:rPr>
          <w:rFonts w:hint="eastAsia"/>
          <w:color w:val="000000" w:themeColor="text1"/>
          <w:highlight w:val="none"/>
          <w14:textFill>
            <w14:solidFill>
              <w14:schemeClr w14:val="tx1"/>
            </w14:solidFill>
          </w14:textFill>
        </w:rPr>
      </w:pPr>
    </w:p>
    <w:p w14:paraId="0DEAD51F">
      <w:pPr>
        <w:pStyle w:val="17"/>
        <w:tabs>
          <w:tab w:val="right" w:leader="dot" w:pos="9072"/>
        </w:tabs>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TOC \o "1-3" \h \z \u </w:instrText>
      </w:r>
      <w:r>
        <w:rPr>
          <w:rFonts w:hint="eastAsia" w:cs="宋体"/>
          <w:color w:val="000000" w:themeColor="text1"/>
          <w:highlight w:val="none"/>
          <w14:textFill>
            <w14:solidFill>
              <w14:schemeClr w14:val="tx1"/>
            </w14:solidFill>
          </w14:textFill>
        </w:rPr>
        <w:fldChar w:fldCharType="separate"/>
      </w:r>
    </w:p>
    <w:p w14:paraId="3AA6BA9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end"/>
      </w:r>
    </w:p>
    <w:p w14:paraId="23555BC8">
      <w:pPr>
        <w:rPr>
          <w:rFonts w:ascii="宋体" w:hAnsi="宋体" w:cs="宋体"/>
          <w:color w:val="000000" w:themeColor="text1"/>
          <w:highlight w:val="none"/>
          <w14:textFill>
            <w14:solidFill>
              <w14:schemeClr w14:val="tx1"/>
            </w14:solidFill>
          </w14:textFill>
        </w:rPr>
      </w:pPr>
    </w:p>
    <w:p w14:paraId="1C36AE69">
      <w:pPr>
        <w:rPr>
          <w:rFonts w:ascii="宋体" w:hAnsi="宋体" w:cs="宋体"/>
          <w:color w:val="000000" w:themeColor="text1"/>
          <w:highlight w:val="none"/>
          <w14:textFill>
            <w14:solidFill>
              <w14:schemeClr w14:val="tx1"/>
            </w14:solidFill>
          </w14:textFill>
        </w:rPr>
      </w:pPr>
    </w:p>
    <w:p w14:paraId="5AAC2526">
      <w:pPr>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0" w:name="_Toc5797"/>
    </w:p>
    <w:p w14:paraId="0ED38EF3">
      <w:pPr>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第一章  投标须知</w:t>
      </w:r>
      <w:bookmarkEnd w:id="0"/>
    </w:p>
    <w:p w14:paraId="1A77F083">
      <w:pPr>
        <w:pStyle w:val="2"/>
        <w:rPr>
          <w:rFonts w:ascii="宋体" w:hAnsi="宋体" w:cs="宋体"/>
          <w:color w:val="000000" w:themeColor="text1"/>
          <w:sz w:val="21"/>
          <w:szCs w:val="21"/>
          <w:highlight w:val="none"/>
          <w14:textFill>
            <w14:solidFill>
              <w14:schemeClr w14:val="tx1"/>
            </w14:solidFill>
          </w14:textFill>
        </w:rPr>
      </w:pPr>
      <w:bookmarkStart w:id="1" w:name="_Toc26586"/>
      <w:bookmarkStart w:id="2" w:name="_Toc20582"/>
      <w:r>
        <w:rPr>
          <w:rFonts w:hint="eastAsia" w:ascii="宋体" w:hAnsi="宋体" w:cs="宋体"/>
          <w:color w:val="000000" w:themeColor="text1"/>
          <w:sz w:val="21"/>
          <w:szCs w:val="21"/>
          <w:highlight w:val="none"/>
          <w14:textFill>
            <w14:solidFill>
              <w14:schemeClr w14:val="tx1"/>
            </w14:solidFill>
          </w14:textFill>
        </w:rPr>
        <w:t>一、投标须知前附表</w:t>
      </w:r>
      <w:bookmarkEnd w:id="1"/>
      <w:bookmarkEnd w:id="2"/>
    </w:p>
    <w:p w14:paraId="2607C0F7">
      <w:pPr>
        <w:pStyle w:val="9"/>
        <w:spacing w:line="360" w:lineRule="auto"/>
        <w:ind w:firstLine="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6"/>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13"/>
        <w:gridCol w:w="6048"/>
      </w:tblGrid>
      <w:tr w14:paraId="4947A4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1518775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w:t>
            </w:r>
          </w:p>
        </w:tc>
        <w:tc>
          <w:tcPr>
            <w:tcW w:w="887" w:type="dxa"/>
            <w:tcBorders>
              <w:top w:val="double" w:color="auto" w:sz="4" w:space="0"/>
              <w:left w:val="single" w:color="auto" w:sz="4" w:space="0"/>
              <w:bottom w:val="single" w:color="auto" w:sz="4" w:space="0"/>
              <w:right w:val="single" w:color="auto" w:sz="4" w:space="0"/>
            </w:tcBorders>
            <w:vAlign w:val="center"/>
          </w:tcPr>
          <w:p w14:paraId="6D1449F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条款号</w:t>
            </w:r>
          </w:p>
        </w:tc>
        <w:tc>
          <w:tcPr>
            <w:tcW w:w="1713" w:type="dxa"/>
            <w:tcBorders>
              <w:top w:val="double" w:color="auto" w:sz="4" w:space="0"/>
              <w:left w:val="single" w:color="auto" w:sz="4" w:space="0"/>
              <w:bottom w:val="single" w:color="auto" w:sz="4" w:space="0"/>
              <w:right w:val="single" w:color="auto" w:sz="4" w:space="0"/>
            </w:tcBorders>
            <w:vAlign w:val="center"/>
          </w:tcPr>
          <w:p w14:paraId="5A566694">
            <w:pPr>
              <w:keepNext w:val="0"/>
              <w:keepLines w:val="0"/>
              <w:pageBreakBefore w:val="0"/>
              <w:kinsoku/>
              <w:wordWrap/>
              <w:overflowPunct/>
              <w:topLinePunct w:val="0"/>
              <w:autoSpaceDE/>
              <w:autoSpaceDN/>
              <w:bidi w:val="0"/>
              <w:adjustRightInd/>
              <w:snapToGrid/>
              <w:spacing w:line="360" w:lineRule="auto"/>
              <w:ind w:firstLine="458"/>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内容</w:t>
            </w:r>
          </w:p>
        </w:tc>
        <w:tc>
          <w:tcPr>
            <w:tcW w:w="6048" w:type="dxa"/>
            <w:tcBorders>
              <w:top w:val="double" w:color="auto" w:sz="4" w:space="0"/>
              <w:left w:val="single" w:color="auto" w:sz="4" w:space="0"/>
              <w:bottom w:val="single" w:color="auto" w:sz="4" w:space="0"/>
              <w:right w:val="double" w:color="auto" w:sz="4" w:space="0"/>
            </w:tcBorders>
            <w:vAlign w:val="center"/>
          </w:tcPr>
          <w:p w14:paraId="7ECB6EE4">
            <w:pPr>
              <w:pStyle w:val="19"/>
              <w:keepNext w:val="0"/>
              <w:keepLines w:val="0"/>
              <w:pageBreakBefore w:val="0"/>
              <w:kinsoku/>
              <w:wordWrap/>
              <w:overflowPunct/>
              <w:topLinePunct w:val="0"/>
              <w:autoSpaceDE/>
              <w:autoSpaceDN/>
              <w:bidi w:val="0"/>
              <w:adjustRightInd/>
              <w:snapToGrid/>
              <w:spacing w:line="360" w:lineRule="auto"/>
              <w:ind w:firstLine="458"/>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说明与要求</w:t>
            </w:r>
          </w:p>
        </w:tc>
      </w:tr>
      <w:tr w14:paraId="6045C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7466656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887" w:type="dxa"/>
            <w:tcBorders>
              <w:top w:val="single" w:color="auto" w:sz="4" w:space="0"/>
              <w:left w:val="single" w:color="auto" w:sz="4" w:space="0"/>
              <w:bottom w:val="single" w:color="auto" w:sz="4" w:space="0"/>
              <w:right w:val="single" w:color="auto" w:sz="4" w:space="0"/>
            </w:tcBorders>
            <w:vAlign w:val="center"/>
          </w:tcPr>
          <w:p w14:paraId="0EBE788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713" w:type="dxa"/>
            <w:tcBorders>
              <w:top w:val="single" w:color="auto" w:sz="4" w:space="0"/>
              <w:left w:val="single" w:color="auto" w:sz="4" w:space="0"/>
              <w:bottom w:val="single" w:color="auto" w:sz="4" w:space="0"/>
              <w:right w:val="single" w:color="auto" w:sz="4" w:space="0"/>
            </w:tcBorders>
            <w:vAlign w:val="center"/>
          </w:tcPr>
          <w:p w14:paraId="6226615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定义</w:t>
            </w:r>
          </w:p>
        </w:tc>
        <w:tc>
          <w:tcPr>
            <w:tcW w:w="6048" w:type="dxa"/>
            <w:tcBorders>
              <w:top w:val="single" w:color="auto" w:sz="4" w:space="0"/>
              <w:left w:val="single" w:color="auto" w:sz="4" w:space="0"/>
              <w:bottom w:val="single" w:color="auto" w:sz="4" w:space="0"/>
              <w:right w:val="double" w:color="auto" w:sz="4" w:space="0"/>
            </w:tcBorders>
            <w:vAlign w:val="center"/>
          </w:tcPr>
          <w:p w14:paraId="41CD0F2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招标人（即发包人）：</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广东省广裕集团有限责任公司</w:t>
            </w:r>
          </w:p>
          <w:p w14:paraId="66D136A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w:t>
            </w:r>
            <w:r>
              <w:rPr>
                <w:rFonts w:hint="eastAsia" w:ascii="宋体" w:hAnsi="宋体" w:eastAsia="宋体" w:cs="宋体"/>
                <w:color w:val="000000" w:themeColor="text1"/>
                <w:sz w:val="21"/>
                <w:szCs w:val="21"/>
                <w:highlight w:val="none"/>
                <w:u w:val="single"/>
                <w14:textFill>
                  <w14:solidFill>
                    <w14:schemeClr w14:val="tx1"/>
                  </w14:solidFill>
                </w14:textFill>
              </w:rPr>
              <w:t>中捷通信有限公司</w:t>
            </w:r>
          </w:p>
          <w:p w14:paraId="461011A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设计单位：</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广州市电力工程设计院有限公司</w:t>
            </w:r>
          </w:p>
          <w:p w14:paraId="40DC4AD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监理单位：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p>
          <w:p w14:paraId="6DEEBF9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检测机构：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p>
        </w:tc>
      </w:tr>
      <w:tr w14:paraId="017D1C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236D416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887" w:type="dxa"/>
            <w:tcBorders>
              <w:top w:val="single" w:color="auto" w:sz="4" w:space="0"/>
              <w:left w:val="single" w:color="auto" w:sz="4" w:space="0"/>
              <w:bottom w:val="single" w:color="auto" w:sz="4" w:space="0"/>
              <w:right w:val="single" w:color="auto" w:sz="4" w:space="0"/>
            </w:tcBorders>
            <w:vAlign w:val="center"/>
          </w:tcPr>
          <w:p w14:paraId="2768EBD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713" w:type="dxa"/>
            <w:tcBorders>
              <w:top w:val="single" w:color="auto" w:sz="4" w:space="0"/>
              <w:left w:val="single" w:color="auto" w:sz="4" w:space="0"/>
              <w:bottom w:val="single" w:color="auto" w:sz="4" w:space="0"/>
              <w:right w:val="single" w:color="auto" w:sz="4" w:space="0"/>
            </w:tcBorders>
            <w:vAlign w:val="center"/>
          </w:tcPr>
          <w:p w14:paraId="233E88D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工程名称</w:t>
            </w:r>
          </w:p>
        </w:tc>
        <w:tc>
          <w:tcPr>
            <w:tcW w:w="6048" w:type="dxa"/>
            <w:tcBorders>
              <w:top w:val="single" w:color="auto" w:sz="4" w:space="0"/>
              <w:left w:val="single" w:color="auto" w:sz="4" w:space="0"/>
              <w:bottom w:val="single" w:color="auto" w:sz="4" w:space="0"/>
              <w:right w:val="double" w:color="auto" w:sz="4" w:space="0"/>
            </w:tcBorders>
            <w:vAlign w:val="center"/>
          </w:tcPr>
          <w:p w14:paraId="2E61A79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default" w:ascii="宋体" w:hAnsi="宋体" w:cs="宋体"/>
                <w:color w:val="000000" w:themeColor="text1"/>
                <w:sz w:val="21"/>
                <w:szCs w:val="21"/>
                <w:highlight w:val="none"/>
                <w:u w:val="single"/>
                <w:lang w:val="en" w:eastAsia="zh-CN"/>
                <w14:textFill>
                  <w14:solidFill>
                    <w14:schemeClr w14:val="tx1"/>
                  </w14:solidFill>
                </w14:textFill>
              </w:rPr>
              <w:t>广州市越秀区</w:t>
            </w:r>
            <w:r>
              <w:rPr>
                <w:rFonts w:hint="eastAsia" w:ascii="宋体" w:hAnsi="宋体" w:cs="宋体"/>
                <w:color w:val="000000" w:themeColor="text1"/>
                <w:sz w:val="21"/>
                <w:szCs w:val="21"/>
                <w:highlight w:val="none"/>
                <w:u w:val="single"/>
                <w:lang w:val="en" w:eastAsia="zh-CN"/>
                <w14:textFill>
                  <w14:solidFill>
                    <w14:schemeClr w14:val="tx1"/>
                  </w14:solidFill>
                </w14:textFill>
              </w:rPr>
              <w:t>北较场横</w:t>
            </w:r>
            <w:r>
              <w:rPr>
                <w:rFonts w:hint="default" w:ascii="宋体" w:hAnsi="宋体" w:cs="宋体"/>
                <w:color w:val="000000" w:themeColor="text1"/>
                <w:sz w:val="21"/>
                <w:szCs w:val="21"/>
                <w:highlight w:val="none"/>
                <w:u w:val="single"/>
                <w:lang w:val="en" w:eastAsia="zh-CN"/>
                <w14:textFill>
                  <w14:solidFill>
                    <w14:schemeClr w14:val="tx1"/>
                  </w14:solidFill>
                </w14:textFill>
              </w:rPr>
              <w:t>路1号</w:t>
            </w:r>
            <w:r>
              <w:rPr>
                <w:rFonts w:hint="eastAsia" w:ascii="宋体" w:hAnsi="宋体" w:cs="宋体"/>
                <w:color w:val="000000" w:themeColor="text1"/>
                <w:sz w:val="21"/>
                <w:szCs w:val="21"/>
                <w:highlight w:val="none"/>
                <w:u w:val="single"/>
                <w:lang w:val="en" w:eastAsia="zh-CN"/>
                <w14:textFill>
                  <w14:solidFill>
                    <w14:schemeClr w14:val="tx1"/>
                  </w14:solidFill>
                </w14:textFill>
              </w:rPr>
              <w:t>大院</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供电改造移交</w:t>
            </w:r>
            <w:r>
              <w:rPr>
                <w:rFonts w:hint="eastAsia" w:ascii="宋体" w:hAnsi="宋体" w:cs="宋体"/>
                <w:color w:val="000000" w:themeColor="text1"/>
                <w:sz w:val="21"/>
                <w:szCs w:val="21"/>
                <w:highlight w:val="none"/>
                <w:u w:val="single"/>
                <w:lang w:eastAsia="zh-CN"/>
                <w14:textFill>
                  <w14:solidFill>
                    <w14:schemeClr w14:val="tx1"/>
                  </w14:solidFill>
                </w14:textFill>
              </w:rPr>
              <w:t>施工总承包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工程</w:t>
            </w:r>
          </w:p>
        </w:tc>
      </w:tr>
      <w:tr w14:paraId="216FBB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42F9E42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887" w:type="dxa"/>
            <w:tcBorders>
              <w:top w:val="single" w:color="auto" w:sz="4" w:space="0"/>
              <w:left w:val="single" w:color="auto" w:sz="4" w:space="0"/>
              <w:bottom w:val="single" w:color="auto" w:sz="4" w:space="0"/>
              <w:right w:val="single" w:color="auto" w:sz="4" w:space="0"/>
            </w:tcBorders>
            <w:vAlign w:val="center"/>
          </w:tcPr>
          <w:p w14:paraId="70D5FCB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713" w:type="dxa"/>
            <w:tcBorders>
              <w:top w:val="single" w:color="auto" w:sz="4" w:space="0"/>
              <w:left w:val="single" w:color="auto" w:sz="4" w:space="0"/>
              <w:bottom w:val="single" w:color="auto" w:sz="4" w:space="0"/>
              <w:right w:val="single" w:color="auto" w:sz="4" w:space="0"/>
            </w:tcBorders>
            <w:vAlign w:val="center"/>
          </w:tcPr>
          <w:p w14:paraId="3D91769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建设地点</w:t>
            </w:r>
          </w:p>
        </w:tc>
        <w:tc>
          <w:tcPr>
            <w:tcW w:w="6048" w:type="dxa"/>
            <w:tcBorders>
              <w:top w:val="single" w:color="auto" w:sz="4" w:space="0"/>
              <w:left w:val="single" w:color="auto" w:sz="4" w:space="0"/>
              <w:bottom w:val="single" w:color="auto" w:sz="4" w:space="0"/>
              <w:right w:val="double" w:color="auto" w:sz="4" w:space="0"/>
            </w:tcBorders>
            <w:vAlign w:val="center"/>
          </w:tcPr>
          <w:p w14:paraId="6A1FAA6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广州市越秀区北较场横路1号</w:t>
            </w:r>
          </w:p>
        </w:tc>
      </w:tr>
      <w:tr w14:paraId="266D83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3D63AE5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887" w:type="dxa"/>
            <w:tcBorders>
              <w:top w:val="single" w:color="auto" w:sz="4" w:space="0"/>
              <w:left w:val="single" w:color="auto" w:sz="4" w:space="0"/>
              <w:bottom w:val="single" w:color="auto" w:sz="4" w:space="0"/>
              <w:right w:val="single" w:color="auto" w:sz="4" w:space="0"/>
            </w:tcBorders>
            <w:vAlign w:val="center"/>
          </w:tcPr>
          <w:p w14:paraId="53955D6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713" w:type="dxa"/>
            <w:tcBorders>
              <w:top w:val="single" w:color="auto" w:sz="4" w:space="0"/>
              <w:left w:val="single" w:color="auto" w:sz="4" w:space="0"/>
              <w:bottom w:val="single" w:color="auto" w:sz="4" w:space="0"/>
              <w:right w:val="single" w:color="auto" w:sz="4" w:space="0"/>
            </w:tcBorders>
            <w:vAlign w:val="center"/>
          </w:tcPr>
          <w:p w14:paraId="24F5AB6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建设规模</w:t>
            </w:r>
          </w:p>
        </w:tc>
        <w:tc>
          <w:tcPr>
            <w:tcW w:w="6048" w:type="dxa"/>
            <w:tcBorders>
              <w:top w:val="single" w:color="auto" w:sz="4" w:space="0"/>
              <w:left w:val="single" w:color="auto" w:sz="4" w:space="0"/>
              <w:bottom w:val="single" w:color="auto" w:sz="4" w:space="0"/>
              <w:right w:val="double" w:color="auto" w:sz="4" w:space="0"/>
            </w:tcBorders>
            <w:vAlign w:val="center"/>
          </w:tcPr>
          <w:p w14:paraId="2524BB6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详见本工程招标公告</w:t>
            </w:r>
          </w:p>
        </w:tc>
      </w:tr>
      <w:tr w14:paraId="2087A5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3CA8A83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887" w:type="dxa"/>
            <w:tcBorders>
              <w:top w:val="single" w:color="auto" w:sz="4" w:space="0"/>
              <w:left w:val="single" w:color="auto" w:sz="4" w:space="0"/>
              <w:bottom w:val="single" w:color="auto" w:sz="4" w:space="0"/>
              <w:right w:val="single" w:color="auto" w:sz="4" w:space="0"/>
            </w:tcBorders>
            <w:vAlign w:val="center"/>
          </w:tcPr>
          <w:p w14:paraId="43CBD3B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713" w:type="dxa"/>
            <w:tcBorders>
              <w:top w:val="single" w:color="auto" w:sz="4" w:space="0"/>
              <w:left w:val="single" w:color="auto" w:sz="4" w:space="0"/>
              <w:bottom w:val="single" w:color="auto" w:sz="4" w:space="0"/>
              <w:right w:val="single" w:color="auto" w:sz="4" w:space="0"/>
            </w:tcBorders>
            <w:vAlign w:val="center"/>
          </w:tcPr>
          <w:p w14:paraId="4C9540D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承包方式</w:t>
            </w:r>
          </w:p>
        </w:tc>
        <w:tc>
          <w:tcPr>
            <w:tcW w:w="6048" w:type="dxa"/>
            <w:tcBorders>
              <w:top w:val="single" w:color="auto" w:sz="4" w:space="0"/>
              <w:left w:val="single" w:color="auto" w:sz="4" w:space="0"/>
              <w:bottom w:val="single" w:color="auto" w:sz="4" w:space="0"/>
              <w:right w:val="double" w:color="auto" w:sz="4" w:space="0"/>
            </w:tcBorders>
            <w:vAlign w:val="center"/>
          </w:tcPr>
          <w:p w14:paraId="349D1C8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根据招标施工图纸、工程量清单和相关协商文件，结合工程现场实际情况、工程性质、工程特点等要求，并以现有的图纸进行综合单价包干形式，采取包报建、包税金、包工包料、包文明施工、包安全生产、包工程质量、包施工工期、包现场组织和现场协调、包材料和设备检验、试验、包质保期内工程质量保修、包竣工验收合格、包信息化项目的配合服务。</w:t>
            </w:r>
          </w:p>
        </w:tc>
      </w:tr>
      <w:tr w14:paraId="33A448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2" w:type="dxa"/>
            <w:tcBorders>
              <w:top w:val="single" w:color="auto" w:sz="4" w:space="0"/>
              <w:left w:val="double" w:color="auto" w:sz="4" w:space="0"/>
              <w:bottom w:val="single" w:color="auto" w:sz="4" w:space="0"/>
              <w:right w:val="single" w:color="auto" w:sz="4" w:space="0"/>
            </w:tcBorders>
            <w:vAlign w:val="center"/>
          </w:tcPr>
          <w:p w14:paraId="5F043D9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887" w:type="dxa"/>
            <w:tcBorders>
              <w:top w:val="single" w:color="auto" w:sz="4" w:space="0"/>
              <w:left w:val="single" w:color="auto" w:sz="4" w:space="0"/>
              <w:bottom w:val="single" w:color="auto" w:sz="4" w:space="0"/>
              <w:right w:val="single" w:color="auto" w:sz="4" w:space="0"/>
            </w:tcBorders>
            <w:vAlign w:val="center"/>
          </w:tcPr>
          <w:p w14:paraId="3A89FE5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713" w:type="dxa"/>
            <w:tcBorders>
              <w:top w:val="single" w:color="auto" w:sz="4" w:space="0"/>
              <w:left w:val="single" w:color="auto" w:sz="4" w:space="0"/>
              <w:bottom w:val="single" w:color="auto" w:sz="4" w:space="0"/>
              <w:right w:val="single" w:color="auto" w:sz="4" w:space="0"/>
            </w:tcBorders>
            <w:vAlign w:val="center"/>
          </w:tcPr>
          <w:p w14:paraId="23826A0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质量标准</w:t>
            </w:r>
          </w:p>
        </w:tc>
        <w:tc>
          <w:tcPr>
            <w:tcW w:w="6048" w:type="dxa"/>
            <w:tcBorders>
              <w:top w:val="single" w:color="auto" w:sz="4" w:space="0"/>
              <w:left w:val="single" w:color="auto" w:sz="4" w:space="0"/>
              <w:bottom w:val="single" w:color="auto" w:sz="4" w:space="0"/>
              <w:right w:val="double" w:color="auto" w:sz="4" w:space="0"/>
            </w:tcBorders>
            <w:vAlign w:val="center"/>
          </w:tcPr>
          <w:p w14:paraId="4AE36B8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1.达到国家或行业质量检验评定的合格标准且需满足广东电网有限责任公司的有关技术标准、规章制度，须满足供电局“一户一表”和接收要求。工程质量保修期为1年，以工程移交至属地供电部门之日起算，工程质量保修期内发生的工程质量问题均由</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负责修复，同一问题重复出现三次的，需更换出故障的设施设备。</w:t>
            </w:r>
          </w:p>
          <w:p w14:paraId="4EF3F12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2.双方对工程质量有争议，由双方同意的工程质量检测机构鉴定，所需费用及由此造成的损失，由责任方承担。双方均有责任，由双方根据其责任分别承担。</w:t>
            </w:r>
          </w:p>
          <w:p w14:paraId="3851E09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3.质量保证体系</w:t>
            </w:r>
          </w:p>
          <w:p w14:paraId="5409C01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应当完善质量管理制度，建立质量控制流程，建立并保持一个有效的工程质量管理体系。</w:t>
            </w:r>
          </w:p>
          <w:p w14:paraId="1B0330A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（1）建立完整的质量体系，委派专人负责工程质量管理，现场管理机构、工区（段）设有专职质检人员，班组设质检员，同时附有项目架构人员名单，各类人员必须持有上岗资格证。</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还应建立并完善各项目质量管理检查制度及企业质量管理文件等。同时，</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应积极配合工程质量第三方检测工作，并积极采用新材料、新工艺、新技术。</w:t>
            </w:r>
          </w:p>
          <w:p w14:paraId="7F6A84C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提交总监理工程师批准的施工组织设计或者施工方案必须附有完备的工程质量保</w:t>
            </w:r>
            <w:bookmarkStart w:id="93" w:name="_GoBack"/>
            <w:bookmarkEnd w:id="93"/>
            <w:r>
              <w:rPr>
                <w:rFonts w:hint="eastAsia" w:ascii="宋体" w:hAnsi="宋体" w:eastAsia="宋体" w:cs="宋体"/>
                <w:color w:val="000000" w:themeColor="text1"/>
                <w:sz w:val="21"/>
                <w:szCs w:val="21"/>
                <w:highlight w:val="none"/>
                <w:u w:val="single"/>
                <w14:textFill>
                  <w14:solidFill>
                    <w14:schemeClr w14:val="tx1"/>
                  </w14:solidFill>
                </w14:textFill>
              </w:rPr>
              <w:t xml:space="preserve">证措施。 </w:t>
            </w:r>
          </w:p>
          <w:p w14:paraId="64BCAAD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（3）单项工程开工前，</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必须按要求对职工分级进行技术交底，组织学习有关规程、标准、规范和工艺要求，在施工中必须按规程及工艺进行操作。</w:t>
            </w:r>
          </w:p>
          <w:p w14:paraId="693A228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（4）单项工程和重要部位必须遵循先试验后铺开施工的程序，开工前</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应熟悉施工图纸和图纸会审、设计变更内容，并完成施工组织设计和必要的施工准备，送总监理工程师审查批准后方可进行实验性施工，完工后由总监理工程师检验，符合要求后才能铺开施工或者批量生产。</w:t>
            </w:r>
          </w:p>
        </w:tc>
      </w:tr>
      <w:tr w14:paraId="2E127A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13C2A69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887" w:type="dxa"/>
            <w:tcBorders>
              <w:top w:val="single" w:color="auto" w:sz="4" w:space="0"/>
              <w:left w:val="single" w:color="auto" w:sz="4" w:space="0"/>
              <w:bottom w:val="single" w:color="auto" w:sz="4" w:space="0"/>
              <w:right w:val="single" w:color="auto" w:sz="4" w:space="0"/>
            </w:tcBorders>
            <w:vAlign w:val="center"/>
          </w:tcPr>
          <w:p w14:paraId="6B71208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713" w:type="dxa"/>
            <w:tcBorders>
              <w:top w:val="single" w:color="auto" w:sz="4" w:space="0"/>
              <w:left w:val="single" w:color="auto" w:sz="4" w:space="0"/>
              <w:bottom w:val="single" w:color="auto" w:sz="4" w:space="0"/>
              <w:right w:val="single" w:color="auto" w:sz="4" w:space="0"/>
            </w:tcBorders>
            <w:vAlign w:val="center"/>
          </w:tcPr>
          <w:p w14:paraId="5964A8D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招标范围</w:t>
            </w:r>
          </w:p>
        </w:tc>
        <w:tc>
          <w:tcPr>
            <w:tcW w:w="6048" w:type="dxa"/>
            <w:tcBorders>
              <w:top w:val="single" w:color="auto" w:sz="4" w:space="0"/>
              <w:left w:val="single" w:color="auto" w:sz="4" w:space="0"/>
              <w:bottom w:val="single" w:color="auto" w:sz="4" w:space="0"/>
              <w:right w:val="double" w:color="auto" w:sz="4" w:space="0"/>
            </w:tcBorders>
            <w:vAlign w:val="center"/>
          </w:tcPr>
          <w:p w14:paraId="022970E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详见本工程招标公告</w:t>
            </w:r>
          </w:p>
        </w:tc>
      </w:tr>
      <w:tr w14:paraId="22DAC7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2" w:type="dxa"/>
            <w:tcBorders>
              <w:top w:val="single" w:color="auto" w:sz="4" w:space="0"/>
              <w:left w:val="double" w:color="auto" w:sz="4" w:space="0"/>
              <w:bottom w:val="single" w:color="auto" w:sz="4" w:space="0"/>
              <w:right w:val="single" w:color="auto" w:sz="4" w:space="0"/>
            </w:tcBorders>
            <w:vAlign w:val="center"/>
          </w:tcPr>
          <w:p w14:paraId="3D27CAA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887" w:type="dxa"/>
            <w:tcBorders>
              <w:top w:val="single" w:color="auto" w:sz="4" w:space="0"/>
              <w:left w:val="single" w:color="auto" w:sz="4" w:space="0"/>
              <w:bottom w:val="single" w:color="auto" w:sz="4" w:space="0"/>
              <w:right w:val="single" w:color="auto" w:sz="4" w:space="0"/>
            </w:tcBorders>
            <w:vAlign w:val="center"/>
          </w:tcPr>
          <w:p w14:paraId="0673A28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713" w:type="dxa"/>
            <w:tcBorders>
              <w:top w:val="single" w:color="auto" w:sz="4" w:space="0"/>
              <w:left w:val="single" w:color="auto" w:sz="4" w:space="0"/>
              <w:bottom w:val="single" w:color="auto" w:sz="4" w:space="0"/>
              <w:right w:val="single" w:color="auto" w:sz="4" w:space="0"/>
            </w:tcBorders>
            <w:vAlign w:val="center"/>
          </w:tcPr>
          <w:p w14:paraId="3C72ACD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工期要求</w:t>
            </w:r>
          </w:p>
        </w:tc>
        <w:tc>
          <w:tcPr>
            <w:tcW w:w="6048" w:type="dxa"/>
            <w:tcBorders>
              <w:top w:val="single" w:color="auto" w:sz="4" w:space="0"/>
              <w:left w:val="single" w:color="auto" w:sz="4" w:space="0"/>
              <w:bottom w:val="single" w:color="auto" w:sz="4" w:space="0"/>
              <w:right w:val="double" w:color="auto" w:sz="4" w:space="0"/>
            </w:tcBorders>
            <w:vAlign w:val="center"/>
          </w:tcPr>
          <w:p w14:paraId="12D2AEF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完成招标范围内的工程内容要求不超过150日历天（不包含移交时间）。工期起计时间以开工报告签发之日起算。工期延误按合同16.2.2.4款执行。                                                               </w:t>
            </w:r>
          </w:p>
        </w:tc>
      </w:tr>
      <w:tr w14:paraId="3B372A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DCACD5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887" w:type="dxa"/>
            <w:tcBorders>
              <w:top w:val="single" w:color="auto" w:sz="4" w:space="0"/>
              <w:left w:val="single" w:color="auto" w:sz="4" w:space="0"/>
              <w:bottom w:val="single" w:color="auto" w:sz="4" w:space="0"/>
              <w:right w:val="single" w:color="auto" w:sz="4" w:space="0"/>
            </w:tcBorders>
            <w:vAlign w:val="center"/>
          </w:tcPr>
          <w:p w14:paraId="2C78608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w:t>
            </w:r>
          </w:p>
        </w:tc>
        <w:tc>
          <w:tcPr>
            <w:tcW w:w="1713" w:type="dxa"/>
            <w:tcBorders>
              <w:top w:val="single" w:color="auto" w:sz="4" w:space="0"/>
              <w:left w:val="single" w:color="auto" w:sz="4" w:space="0"/>
              <w:bottom w:val="single" w:color="auto" w:sz="4" w:space="0"/>
              <w:right w:val="single" w:color="auto" w:sz="4" w:space="0"/>
            </w:tcBorders>
            <w:vAlign w:val="center"/>
          </w:tcPr>
          <w:p w14:paraId="55F89AC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资金来源</w:t>
            </w:r>
          </w:p>
        </w:tc>
        <w:tc>
          <w:tcPr>
            <w:tcW w:w="6048" w:type="dxa"/>
            <w:tcBorders>
              <w:top w:val="single" w:color="auto" w:sz="4" w:space="0"/>
              <w:left w:val="single" w:color="auto" w:sz="4" w:space="0"/>
              <w:bottom w:val="single" w:color="auto" w:sz="4" w:space="0"/>
              <w:right w:val="double" w:color="auto" w:sz="4" w:space="0"/>
            </w:tcBorders>
            <w:vAlign w:val="center"/>
          </w:tcPr>
          <w:p w14:paraId="3681E3A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详见本工程招标公告。</w:t>
            </w:r>
          </w:p>
        </w:tc>
      </w:tr>
      <w:tr w14:paraId="4A7967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2F01F90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887" w:type="dxa"/>
            <w:tcBorders>
              <w:top w:val="single" w:color="auto" w:sz="4" w:space="0"/>
              <w:left w:val="single" w:color="auto" w:sz="4" w:space="0"/>
              <w:bottom w:val="single" w:color="auto" w:sz="4" w:space="0"/>
              <w:right w:val="single" w:color="auto" w:sz="4" w:space="0"/>
            </w:tcBorders>
            <w:vAlign w:val="center"/>
          </w:tcPr>
          <w:p w14:paraId="1079BC2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w:t>
            </w:r>
          </w:p>
        </w:tc>
        <w:tc>
          <w:tcPr>
            <w:tcW w:w="1713" w:type="dxa"/>
            <w:tcBorders>
              <w:top w:val="single" w:color="auto" w:sz="4" w:space="0"/>
              <w:left w:val="single" w:color="auto" w:sz="4" w:space="0"/>
              <w:bottom w:val="single" w:color="auto" w:sz="4" w:space="0"/>
              <w:right w:val="single" w:color="auto" w:sz="4" w:space="0"/>
            </w:tcBorders>
            <w:vAlign w:val="center"/>
          </w:tcPr>
          <w:p w14:paraId="141F13D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vAlign w:val="center"/>
          </w:tcPr>
          <w:p w14:paraId="53AACED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详见本工程招标公告。</w:t>
            </w:r>
          </w:p>
        </w:tc>
      </w:tr>
      <w:tr w14:paraId="5CFA1B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AB1030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887" w:type="dxa"/>
            <w:tcBorders>
              <w:top w:val="single" w:color="auto" w:sz="4" w:space="0"/>
              <w:left w:val="single" w:color="auto" w:sz="4" w:space="0"/>
              <w:bottom w:val="single" w:color="auto" w:sz="4" w:space="0"/>
              <w:right w:val="single" w:color="auto" w:sz="4" w:space="0"/>
            </w:tcBorders>
            <w:vAlign w:val="center"/>
          </w:tcPr>
          <w:p w14:paraId="734B2342">
            <w:pPr>
              <w:keepNext w:val="0"/>
              <w:keepLines w:val="0"/>
              <w:pageBreakBefore w:val="0"/>
              <w:kinsoku/>
              <w:wordWrap/>
              <w:overflowPunct/>
              <w:topLinePunct w:val="0"/>
              <w:autoSpaceDE/>
              <w:autoSpaceDN/>
              <w:bidi w:val="0"/>
              <w:adjustRightInd/>
              <w:snapToGrid/>
              <w:spacing w:line="360" w:lineRule="auto"/>
              <w:ind w:firstLine="458"/>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7CC77F2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资格审查方式</w:t>
            </w:r>
          </w:p>
        </w:tc>
        <w:tc>
          <w:tcPr>
            <w:tcW w:w="6048" w:type="dxa"/>
            <w:tcBorders>
              <w:top w:val="single" w:color="auto" w:sz="4" w:space="0"/>
              <w:left w:val="single" w:color="auto" w:sz="4" w:space="0"/>
              <w:bottom w:val="single" w:color="auto" w:sz="4" w:space="0"/>
              <w:right w:val="double" w:color="auto" w:sz="4" w:space="0"/>
            </w:tcBorders>
            <w:vAlign w:val="center"/>
          </w:tcPr>
          <w:p w14:paraId="2D7B438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详见本工程招标公告。</w:t>
            </w:r>
          </w:p>
        </w:tc>
      </w:tr>
      <w:tr w14:paraId="542BF7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365BCD6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887" w:type="dxa"/>
            <w:tcBorders>
              <w:top w:val="single" w:color="auto" w:sz="4" w:space="0"/>
              <w:left w:val="single" w:color="auto" w:sz="4" w:space="0"/>
              <w:bottom w:val="single" w:color="auto" w:sz="4" w:space="0"/>
              <w:right w:val="single" w:color="auto" w:sz="4" w:space="0"/>
            </w:tcBorders>
            <w:vAlign w:val="center"/>
          </w:tcPr>
          <w:p w14:paraId="694369F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w:t>
            </w:r>
          </w:p>
        </w:tc>
        <w:tc>
          <w:tcPr>
            <w:tcW w:w="1713" w:type="dxa"/>
            <w:tcBorders>
              <w:top w:val="single" w:color="auto" w:sz="4" w:space="0"/>
              <w:left w:val="single" w:color="auto" w:sz="4" w:space="0"/>
              <w:bottom w:val="single" w:color="auto" w:sz="4" w:space="0"/>
              <w:right w:val="single" w:color="auto" w:sz="4" w:space="0"/>
            </w:tcBorders>
            <w:vAlign w:val="center"/>
          </w:tcPr>
          <w:p w14:paraId="6D65C9E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vAlign w:val="center"/>
          </w:tcPr>
          <w:p w14:paraId="286884B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工程量清单计价。</w:t>
            </w:r>
            <w:r>
              <w:rPr>
                <w:rFonts w:hint="eastAsia" w:ascii="宋体" w:hAnsi="宋体" w:eastAsia="宋体" w:cs="宋体"/>
                <w:color w:val="000000" w:themeColor="text1"/>
                <w:sz w:val="21"/>
                <w:szCs w:val="21"/>
                <w:highlight w:val="none"/>
                <w:u w:val="single"/>
                <w14:textFill>
                  <w14:solidFill>
                    <w14:schemeClr w14:val="tx1"/>
                  </w14:solidFill>
                </w14:textFill>
              </w:rPr>
              <w:t>按国家、省、广州市有关计价规范执行，本项目按增值税计算税金，采用一般计税方法。</w:t>
            </w:r>
          </w:p>
        </w:tc>
      </w:tr>
      <w:tr w14:paraId="090AA8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EEB823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887" w:type="dxa"/>
            <w:tcBorders>
              <w:top w:val="single" w:color="auto" w:sz="4" w:space="0"/>
              <w:left w:val="single" w:color="auto" w:sz="4" w:space="0"/>
              <w:bottom w:val="single" w:color="auto" w:sz="4" w:space="0"/>
              <w:right w:val="single" w:color="auto" w:sz="4" w:space="0"/>
            </w:tcBorders>
            <w:vAlign w:val="center"/>
          </w:tcPr>
          <w:p w14:paraId="1915FC8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w:t>
            </w:r>
          </w:p>
        </w:tc>
        <w:tc>
          <w:tcPr>
            <w:tcW w:w="1713" w:type="dxa"/>
            <w:tcBorders>
              <w:top w:val="single" w:color="auto" w:sz="4" w:space="0"/>
              <w:left w:val="single" w:color="auto" w:sz="4" w:space="0"/>
              <w:bottom w:val="single" w:color="auto" w:sz="4" w:space="0"/>
              <w:right w:val="single" w:color="auto" w:sz="4" w:space="0"/>
            </w:tcBorders>
            <w:vAlign w:val="center"/>
          </w:tcPr>
          <w:p w14:paraId="782A837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6048" w:type="dxa"/>
            <w:tcBorders>
              <w:top w:val="single" w:color="auto" w:sz="4" w:space="0"/>
              <w:left w:val="single" w:color="auto" w:sz="4" w:space="0"/>
              <w:bottom w:val="single" w:color="auto" w:sz="4" w:space="0"/>
              <w:right w:val="double" w:color="auto" w:sz="4" w:space="0"/>
            </w:tcBorders>
            <w:vAlign w:val="center"/>
          </w:tcPr>
          <w:p w14:paraId="5854D25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90 </w:t>
            </w:r>
            <w:r>
              <w:rPr>
                <w:rFonts w:hint="eastAsia" w:ascii="宋体" w:hAnsi="宋体" w:eastAsia="宋体" w:cs="宋体"/>
                <w:color w:val="000000" w:themeColor="text1"/>
                <w:sz w:val="21"/>
                <w:szCs w:val="21"/>
                <w:highlight w:val="none"/>
                <w14:textFill>
                  <w14:solidFill>
                    <w14:schemeClr w14:val="tx1"/>
                  </w14:solidFill>
                </w14:textFill>
              </w:rPr>
              <w:t>日历天。（从投标截止之日计起）</w:t>
            </w:r>
            <w:r>
              <w:rPr>
                <w:rFonts w:hint="eastAsia" w:ascii="宋体" w:hAnsi="宋体" w:eastAsia="宋体" w:cs="宋体"/>
                <w:color w:val="000000" w:themeColor="text1"/>
                <w:sz w:val="21"/>
                <w:szCs w:val="21"/>
                <w:highlight w:val="none"/>
                <w:u w:val="single"/>
                <w14:textFill>
                  <w14:solidFill>
                    <w14:schemeClr w14:val="tx1"/>
                  </w14:solidFill>
                </w14:textFill>
              </w:rPr>
              <w:t>如出现异议或投诉超过90日历天的，则投标有效期自动延长至异议或投诉处理结束。</w:t>
            </w:r>
          </w:p>
        </w:tc>
      </w:tr>
      <w:tr w14:paraId="1AC229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trPr>
        <w:tc>
          <w:tcPr>
            <w:tcW w:w="702" w:type="dxa"/>
            <w:tcBorders>
              <w:top w:val="single" w:color="auto" w:sz="4" w:space="0"/>
              <w:left w:val="double" w:color="auto" w:sz="4" w:space="0"/>
              <w:bottom w:val="single" w:color="auto" w:sz="4" w:space="0"/>
              <w:right w:val="single" w:color="auto" w:sz="4" w:space="0"/>
            </w:tcBorders>
            <w:vAlign w:val="center"/>
          </w:tcPr>
          <w:p w14:paraId="59462B4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887" w:type="dxa"/>
            <w:tcBorders>
              <w:top w:val="single" w:color="auto" w:sz="4" w:space="0"/>
              <w:left w:val="single" w:color="auto" w:sz="4" w:space="0"/>
              <w:bottom w:val="single" w:color="auto" w:sz="4" w:space="0"/>
              <w:right w:val="single" w:color="auto" w:sz="4" w:space="0"/>
            </w:tcBorders>
            <w:vAlign w:val="center"/>
          </w:tcPr>
          <w:p w14:paraId="3924186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w:t>
            </w:r>
          </w:p>
        </w:tc>
        <w:tc>
          <w:tcPr>
            <w:tcW w:w="1713" w:type="dxa"/>
            <w:tcBorders>
              <w:top w:val="single" w:color="auto" w:sz="4" w:space="0"/>
              <w:left w:val="single" w:color="auto" w:sz="4" w:space="0"/>
              <w:bottom w:val="single" w:color="auto" w:sz="4" w:space="0"/>
              <w:right w:val="single" w:color="auto" w:sz="4" w:space="0"/>
            </w:tcBorders>
            <w:vAlign w:val="center"/>
          </w:tcPr>
          <w:p w14:paraId="3BFA88F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6048" w:type="dxa"/>
            <w:tcBorders>
              <w:top w:val="single" w:color="auto" w:sz="4" w:space="0"/>
              <w:left w:val="single" w:color="auto" w:sz="4" w:space="0"/>
              <w:bottom w:val="single" w:color="auto" w:sz="4" w:space="0"/>
              <w:right w:val="double" w:color="auto" w:sz="4" w:space="0"/>
            </w:tcBorders>
            <w:vAlign w:val="center"/>
          </w:tcPr>
          <w:p w14:paraId="6C1CC8C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万元人民币，缴纳时间在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投标截止时间 </w:t>
            </w:r>
            <w:r>
              <w:rPr>
                <w:rFonts w:hint="eastAsia" w:ascii="宋体" w:hAnsi="宋体" w:eastAsia="宋体" w:cs="宋体"/>
                <w:color w:val="000000" w:themeColor="text1"/>
                <w:sz w:val="21"/>
                <w:szCs w:val="21"/>
                <w:highlight w:val="none"/>
                <w14:textFill>
                  <w14:solidFill>
                    <w14:schemeClr w14:val="tx1"/>
                  </w14:solidFill>
                </w14:textFill>
              </w:rPr>
              <w:t>之前。</w:t>
            </w:r>
          </w:p>
          <w:p w14:paraId="43E9E38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投标保证金有效期：与投标有效期一致。</w:t>
            </w:r>
          </w:p>
          <w:p w14:paraId="7260759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一、投标保证金的形式：</w:t>
            </w:r>
            <w:r>
              <w:rPr>
                <w:rFonts w:hint="eastAsia" w:ascii="宋体" w:hAnsi="宋体" w:eastAsia="宋体" w:cs="宋体"/>
                <w:color w:val="000000" w:themeColor="text1"/>
                <w:sz w:val="21"/>
                <w:szCs w:val="21"/>
                <w:highlight w:val="none"/>
                <w:u w:val="single"/>
                <w14:textFill>
                  <w14:solidFill>
                    <w14:schemeClr w14:val="tx1"/>
                  </w14:solidFill>
                </w14:textFill>
              </w:rPr>
              <w:t>投标保证金可采用现金、支票、银行保函、保证保险、专业工程担保公司担保等合法形式，须在递交投标文件截止时间前完成缴纳。</w:t>
            </w:r>
          </w:p>
          <w:p w14:paraId="04BEBDC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二、投标保证金的提交方式：</w:t>
            </w:r>
          </w:p>
          <w:p w14:paraId="3886647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（1）如采用现金、支票形式提交的，投标保证金须从投标人基本账户递交</w:t>
            </w:r>
            <w:r>
              <w:rPr>
                <w:rFonts w:hint="eastAsia" w:ascii="宋体" w:hAnsi="宋体" w:eastAsia="宋体" w:cs="宋体"/>
                <w:color w:val="000000" w:themeColor="text1"/>
                <w:sz w:val="21"/>
                <w:szCs w:val="21"/>
                <w:highlight w:val="none"/>
                <w:u w:val="single"/>
                <w14:textFill>
                  <w14:solidFill>
                    <w14:schemeClr w14:val="tx1"/>
                  </w14:solidFill>
                </w14:textFill>
              </w:rPr>
              <w:t>，由</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代收。具体操作要求详见</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有关指引，递交事宜请自行咨询交易中心；请各投标人在投标文件递交截止时间前按上述金额递交至</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，到账情况以开标时</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数据库查询的信息为准。</w:t>
            </w:r>
          </w:p>
          <w:p w14:paraId="71A03112">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如采用银行保函、保证保险、专业工程担保公司担保形式提交投标保证金的，保函、担保或保证保险须开具给招标人（保险受益人须为招标人）。</w:t>
            </w:r>
          </w:p>
          <w:p w14:paraId="1D58F4B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如采用非电子形式的银行保函、专业工程担保公司担保或保证保险形式提交投标保证金的，开标前可不提交纸质原件，但投标人应在投标文件中提交保函、担保或投标保险的扫描件并加盖投标人电子印章，完成评标后，由中标候选人在中标候选人公示前向招标代理单位提交纸质原件并在网上公示。如投标人选择在开标前提交纸质原件的，可在投标截止时间前单独密封递交至开标室。</w:t>
            </w:r>
          </w:p>
          <w:p w14:paraId="7EDA88FB">
            <w:pPr>
              <w:pStyle w:val="1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如采用</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交易系统支持的电子形式的保函、担保或保证保险递交投标保证金的，到账情况以开标时</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数据库查询信息为准</w:t>
            </w:r>
            <w:r>
              <w:rPr>
                <w:rFonts w:hint="eastAsia" w:ascii="宋体" w:hAnsi="宋体" w:eastAsia="宋体" w:cs="宋体"/>
                <w:color w:val="000000" w:themeColor="text1"/>
                <w:sz w:val="21"/>
                <w:szCs w:val="21"/>
                <w:highlight w:val="none"/>
                <w14:textFill>
                  <w14:solidFill>
                    <w14:schemeClr w14:val="tx1"/>
                  </w14:solidFill>
                </w14:textFill>
              </w:rPr>
              <w:t>。</w:t>
            </w:r>
          </w:p>
        </w:tc>
      </w:tr>
      <w:tr w14:paraId="0C5FF3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02" w:type="dxa"/>
            <w:tcBorders>
              <w:top w:val="single" w:color="auto" w:sz="4" w:space="0"/>
              <w:left w:val="double" w:color="auto" w:sz="4" w:space="0"/>
              <w:bottom w:val="single" w:color="auto" w:sz="4" w:space="0"/>
              <w:right w:val="single" w:color="auto" w:sz="4" w:space="0"/>
            </w:tcBorders>
            <w:vAlign w:val="center"/>
          </w:tcPr>
          <w:p w14:paraId="72CC3BB0">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887" w:type="dxa"/>
            <w:tcBorders>
              <w:top w:val="single" w:color="auto" w:sz="4" w:space="0"/>
              <w:left w:val="single" w:color="auto" w:sz="4" w:space="0"/>
              <w:bottom w:val="single" w:color="auto" w:sz="4" w:space="0"/>
              <w:right w:val="single" w:color="auto" w:sz="4" w:space="0"/>
            </w:tcBorders>
            <w:vAlign w:val="center"/>
          </w:tcPr>
          <w:p w14:paraId="47F4E24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713" w:type="dxa"/>
            <w:tcBorders>
              <w:top w:val="single" w:color="auto" w:sz="4" w:space="0"/>
              <w:left w:val="single" w:color="auto" w:sz="4" w:space="0"/>
              <w:bottom w:val="single" w:color="auto" w:sz="4" w:space="0"/>
              <w:right w:val="single" w:color="auto" w:sz="4" w:space="0"/>
            </w:tcBorders>
            <w:vAlign w:val="center"/>
          </w:tcPr>
          <w:p w14:paraId="01611F3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踏勘现场</w:t>
            </w:r>
          </w:p>
        </w:tc>
        <w:tc>
          <w:tcPr>
            <w:tcW w:w="6048" w:type="dxa"/>
            <w:tcBorders>
              <w:top w:val="single" w:color="auto" w:sz="4" w:space="0"/>
              <w:left w:val="single" w:color="auto" w:sz="4" w:space="0"/>
              <w:bottom w:val="single" w:color="auto" w:sz="4" w:space="0"/>
              <w:right w:val="double" w:color="auto" w:sz="4" w:space="0"/>
            </w:tcBorders>
            <w:vAlign w:val="center"/>
          </w:tcPr>
          <w:p w14:paraId="7F2AB67E">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招标人统一组织踏勘。（潜在投标人自行考虑是否参与踏勘，如不参加，视为已熟知现场条件，自行承担相关风险）</w:t>
            </w:r>
          </w:p>
          <w:p w14:paraId="00517556">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踏勘联系人：李先生</w:t>
            </w:r>
          </w:p>
          <w:p w14:paraId="1DE1D4DC">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联系电话：020-83864268</w:t>
            </w:r>
          </w:p>
          <w:p w14:paraId="5A94D237">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踏勘地址：广州市越秀区北较场横路1号</w:t>
            </w:r>
          </w:p>
          <w:p w14:paraId="43E1C497">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踏勘时间：2025年5月6日09：30（潜在投标人须在09：30到达）</w:t>
            </w:r>
            <w:r>
              <w:rPr>
                <w:rFonts w:hint="eastAsia" w:ascii="宋体" w:hAnsi="宋体" w:eastAsia="宋体" w:cs="宋体"/>
                <w:color w:val="000000" w:themeColor="text1"/>
                <w:sz w:val="21"/>
                <w:szCs w:val="21"/>
                <w:highlight w:val="none"/>
                <w14:textFill>
                  <w14:solidFill>
                    <w14:schemeClr w14:val="tx1"/>
                  </w14:solidFill>
                </w14:textFill>
              </w:rPr>
              <w:t xml:space="preserve"> </w:t>
            </w:r>
          </w:p>
        </w:tc>
      </w:tr>
      <w:tr w14:paraId="5E8A50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2B35BC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887" w:type="dxa"/>
            <w:tcBorders>
              <w:top w:val="single" w:color="auto" w:sz="4" w:space="0"/>
              <w:left w:val="single" w:color="auto" w:sz="4" w:space="0"/>
              <w:bottom w:val="single" w:color="auto" w:sz="4" w:space="0"/>
              <w:right w:val="single" w:color="auto" w:sz="4" w:space="0"/>
            </w:tcBorders>
            <w:vAlign w:val="center"/>
          </w:tcPr>
          <w:p w14:paraId="23DF21C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713" w:type="dxa"/>
            <w:tcBorders>
              <w:top w:val="single" w:color="auto" w:sz="4" w:space="0"/>
              <w:left w:val="single" w:color="auto" w:sz="4" w:space="0"/>
              <w:bottom w:val="single" w:color="auto" w:sz="4" w:space="0"/>
              <w:right w:val="single" w:color="auto" w:sz="4" w:space="0"/>
            </w:tcBorders>
            <w:vAlign w:val="center"/>
          </w:tcPr>
          <w:p w14:paraId="189BB11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投标答疑</w:t>
            </w:r>
          </w:p>
        </w:tc>
        <w:tc>
          <w:tcPr>
            <w:tcW w:w="6048" w:type="dxa"/>
            <w:tcBorders>
              <w:top w:val="single" w:color="auto" w:sz="4" w:space="0"/>
              <w:left w:val="single" w:color="auto" w:sz="4" w:space="0"/>
              <w:bottom w:val="single" w:color="auto" w:sz="4" w:space="0"/>
              <w:right w:val="double" w:color="auto" w:sz="4" w:space="0"/>
            </w:tcBorders>
            <w:vAlign w:val="center"/>
          </w:tcPr>
          <w:p w14:paraId="1CECED7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疑问提交时间：</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投标人在递交投标文件截止时间18天前提出</w:t>
            </w:r>
            <w:r>
              <w:rPr>
                <w:rFonts w:hint="eastAsia" w:ascii="宋体" w:hAnsi="宋体" w:eastAsia="宋体" w:cs="宋体"/>
                <w:color w:val="000000" w:themeColor="text1"/>
                <w:sz w:val="21"/>
                <w:szCs w:val="21"/>
                <w:highlight w:val="none"/>
                <w14:textFill>
                  <w14:solidFill>
                    <w14:schemeClr w14:val="tx1"/>
                  </w14:solidFill>
                </w14:textFill>
              </w:rPr>
              <w:t>；</w:t>
            </w:r>
          </w:p>
          <w:p w14:paraId="0A0B9CA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形式：投标人的疑问通过</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14:textFill>
                  <w14:solidFill>
                    <w14:schemeClr w14:val="tx1"/>
                  </w14:solidFill>
                </w14:textFill>
              </w:rPr>
              <w:t>交易平台提交。</w:t>
            </w:r>
            <w:r>
              <w:rPr>
                <w:rFonts w:hint="eastAsia" w:ascii="宋体" w:hAnsi="宋体" w:eastAsia="宋体" w:cs="宋体"/>
                <w:color w:val="000000" w:themeColor="text1"/>
                <w:sz w:val="21"/>
                <w:szCs w:val="21"/>
                <w:highlight w:val="none"/>
                <w:u w:val="single"/>
                <w14:textFill>
                  <w14:solidFill>
                    <w14:schemeClr w14:val="tx1"/>
                  </w14:solidFill>
                </w14:textFill>
              </w:rPr>
              <w:t>招标答疑采用网上答疑方式进行。投标人若对招标文件（包括施工图纸、清单、招标控制价）有疑问的，可在规定的时间内通过</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交易平台</w:t>
            </w:r>
            <w:r>
              <w:rPr>
                <w:rFonts w:hint="eastAsia" w:ascii="宋体" w:hAnsi="宋体" w:eastAsia="宋体" w:cs="宋体"/>
                <w:color w:val="000000" w:themeColor="text1"/>
                <w:sz w:val="21"/>
                <w:szCs w:val="21"/>
                <w:highlight w:val="none"/>
                <w:u w:val="single"/>
                <w14:textFill>
                  <w14:solidFill>
                    <w14:schemeClr w14:val="tx1"/>
                  </w14:solidFill>
                </w14:textFill>
              </w:rPr>
              <w:t>网进入提问区域将问题提交给招标人或招标代理人，提交问题时一律不得署名。</w:t>
            </w:r>
          </w:p>
          <w:p w14:paraId="12F2D8D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网上答疑的操作指南为：登陆</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交易平台</w:t>
            </w:r>
            <w:r>
              <w:rPr>
                <w:rFonts w:hint="eastAsia" w:ascii="宋体" w:hAnsi="宋体" w:eastAsia="宋体" w:cs="宋体"/>
                <w:color w:val="000000" w:themeColor="text1"/>
                <w:sz w:val="21"/>
                <w:szCs w:val="21"/>
                <w:highlight w:val="none"/>
                <w:u w:val="single"/>
                <w14:textFill>
                  <w14:solidFill>
                    <w14:schemeClr w14:val="tx1"/>
                  </w14:solidFill>
                </w14:textFill>
              </w:rPr>
              <w:t>网站→登录“投标人系统”→招标答疑提问→通过项目编号或名称找到所需的项目→在上述的答疑时间内点击“答疑提问或回复情况”→提出问题以及查看所有的问题。</w:t>
            </w:r>
          </w:p>
          <w:p w14:paraId="2EA04FD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具体要求：按照交易平台关于全流程电子化项目的相关指南进行操作，详见：</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交易平台</w:t>
            </w:r>
            <w:r>
              <w:rPr>
                <w:rFonts w:hint="eastAsia" w:ascii="宋体" w:hAnsi="宋体" w:eastAsia="宋体" w:cs="宋体"/>
                <w:color w:val="000000" w:themeColor="text1"/>
                <w:sz w:val="21"/>
                <w:szCs w:val="21"/>
                <w:highlight w:val="none"/>
                <w:u w:val="single"/>
                <w14:textFill>
                  <w14:solidFill>
                    <w14:schemeClr w14:val="tx1"/>
                  </w14:solidFill>
                </w14:textFill>
              </w:rPr>
              <w:t>网站。</w:t>
            </w:r>
            <w:r>
              <w:rPr>
                <w:rFonts w:hint="eastAsia" w:ascii="宋体" w:hAnsi="宋体" w:eastAsia="宋体" w:cs="宋体"/>
                <w:color w:val="000000" w:themeColor="text1"/>
                <w:sz w:val="21"/>
                <w:szCs w:val="21"/>
                <w:highlight w:val="none"/>
                <w14:textFill>
                  <w14:solidFill>
                    <w14:schemeClr w14:val="tx1"/>
                  </w14:solidFill>
                </w14:textFill>
              </w:rPr>
              <w:t>提问一律不得署名。</w:t>
            </w:r>
          </w:p>
        </w:tc>
      </w:tr>
      <w:tr w14:paraId="0A4289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988484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887" w:type="dxa"/>
            <w:tcBorders>
              <w:top w:val="single" w:color="auto" w:sz="4" w:space="0"/>
              <w:left w:val="single" w:color="auto" w:sz="4" w:space="0"/>
              <w:bottom w:val="single" w:color="auto" w:sz="4" w:space="0"/>
              <w:right w:val="single" w:color="auto" w:sz="4" w:space="0"/>
            </w:tcBorders>
            <w:vAlign w:val="center"/>
          </w:tcPr>
          <w:p w14:paraId="32869D0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1285E0D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投标截止时间</w:t>
            </w:r>
          </w:p>
        </w:tc>
        <w:tc>
          <w:tcPr>
            <w:tcW w:w="6048" w:type="dxa"/>
            <w:tcBorders>
              <w:top w:val="single" w:color="auto" w:sz="4" w:space="0"/>
              <w:left w:val="single" w:color="auto" w:sz="4" w:space="0"/>
              <w:bottom w:val="single" w:color="auto" w:sz="4" w:space="0"/>
              <w:right w:val="double" w:color="auto" w:sz="4" w:space="0"/>
            </w:tcBorders>
            <w:vAlign w:val="center"/>
          </w:tcPr>
          <w:p w14:paraId="10B1C3C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trike/>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时间留意</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交易平台</w:t>
            </w:r>
            <w:r>
              <w:rPr>
                <w:rFonts w:hint="eastAsia" w:ascii="宋体" w:hAnsi="宋体" w:eastAsia="宋体" w:cs="宋体"/>
                <w:color w:val="000000" w:themeColor="text1"/>
                <w:sz w:val="21"/>
                <w:szCs w:val="21"/>
                <w:highlight w:val="none"/>
                <w:u w:val="single"/>
                <w14:textFill>
                  <w14:solidFill>
                    <w14:schemeClr w14:val="tx1"/>
                  </w14:solidFill>
                </w14:textFill>
              </w:rPr>
              <w:t>公布的日程安排，投标人可登录</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交易平台</w:t>
            </w:r>
            <w:r>
              <w:rPr>
                <w:rFonts w:hint="eastAsia" w:ascii="宋体" w:hAnsi="宋体" w:eastAsia="宋体" w:cs="宋体"/>
                <w:color w:val="000000" w:themeColor="text1"/>
                <w:sz w:val="21"/>
                <w:szCs w:val="21"/>
                <w:highlight w:val="none"/>
                <w:u w:val="single"/>
                <w14:textFill>
                  <w14:solidFill>
                    <w14:schemeClr w14:val="tx1"/>
                  </w14:solidFill>
                </w14:textFill>
              </w:rPr>
              <w:t>网站首页，点击“交易业务-建设工程”专栏中的“项目查询（日程安排、答疑纪要）”，输入项目编号或项目名称查询最新信息）</w:t>
            </w:r>
          </w:p>
        </w:tc>
      </w:tr>
      <w:tr w14:paraId="2EEDD2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70CB1F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887" w:type="dxa"/>
            <w:tcBorders>
              <w:top w:val="single" w:color="auto" w:sz="4" w:space="0"/>
              <w:left w:val="single" w:color="auto" w:sz="4" w:space="0"/>
              <w:bottom w:val="single" w:color="auto" w:sz="4" w:space="0"/>
              <w:right w:val="single" w:color="auto" w:sz="4" w:space="0"/>
            </w:tcBorders>
            <w:vAlign w:val="center"/>
          </w:tcPr>
          <w:p w14:paraId="5F2E04A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79EE076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开标开始时间和地点</w:t>
            </w:r>
          </w:p>
        </w:tc>
        <w:tc>
          <w:tcPr>
            <w:tcW w:w="6048" w:type="dxa"/>
            <w:tcBorders>
              <w:top w:val="single" w:color="auto" w:sz="4" w:space="0"/>
              <w:left w:val="single" w:color="auto" w:sz="4" w:space="0"/>
              <w:bottom w:val="single" w:color="auto" w:sz="4" w:space="0"/>
              <w:right w:val="double" w:color="auto" w:sz="4" w:space="0"/>
            </w:tcBorders>
            <w:vAlign w:val="center"/>
          </w:tcPr>
          <w:p w14:paraId="508C6DB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（技术标和经济标同时开标）</w:t>
            </w:r>
          </w:p>
          <w:p w14:paraId="10D84A7E">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1、开标开始时间： 年 月 日 时 分（与投标截止时间为同一时间），地点：</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详见招标公告 </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投标人也可选择参加在线开标，具体按照交易平台相关指南进行操作。详见：</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交易平台</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网站</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23F320A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时间留意</w:t>
            </w:r>
            <w:r>
              <w:rPr>
                <w:rFonts w:hint="eastAsia" w:ascii="宋体" w:hAnsi="宋体" w:eastAsia="宋体" w:cs="宋体"/>
                <w:b/>
                <w:bCs/>
                <w:color w:val="000000" w:themeColor="text1"/>
                <w:sz w:val="21"/>
                <w:szCs w:val="21"/>
                <w:highlight w:val="non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14:textFill>
                  <w14:solidFill>
                    <w14:schemeClr w14:val="tx1"/>
                  </w14:solidFill>
                </w14:textFill>
              </w:rPr>
              <w:t>交易平台公布的日程安排，投标人可登录</w:t>
            </w:r>
            <w:r>
              <w:rPr>
                <w:rFonts w:hint="eastAsia" w:ascii="宋体" w:hAnsi="宋体" w:eastAsia="宋体" w:cs="宋体"/>
                <w:b/>
                <w:bCs/>
                <w:color w:val="000000" w:themeColor="text1"/>
                <w:sz w:val="21"/>
                <w:szCs w:val="21"/>
                <w:highlight w:val="non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14:textFill>
                  <w14:solidFill>
                    <w14:schemeClr w14:val="tx1"/>
                  </w14:solidFill>
                </w14:textFill>
              </w:rPr>
              <w:t>交易平台网站首页，点击“交易业务-建设工程”专栏中的“项目查询（日程安排、答疑纪要）”，输入项目编号或项目名称查询最新信息）</w:t>
            </w:r>
          </w:p>
          <w:p w14:paraId="5D903D2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trike/>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kern w:val="0"/>
                <w:sz w:val="21"/>
                <w:szCs w:val="21"/>
                <w:highlight w:val="none"/>
                <w14:textFill>
                  <w14:solidFill>
                    <w14:schemeClr w14:val="tx1"/>
                  </w14:solidFill>
                </w14:textFill>
              </w:rPr>
              <w:t>递交投标文件备用</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U</w:t>
            </w:r>
            <w:r>
              <w:rPr>
                <w:rFonts w:hint="eastAsia" w:ascii="宋体" w:hAnsi="宋体" w:eastAsia="宋体" w:cs="宋体"/>
                <w:bCs/>
                <w:color w:val="000000" w:themeColor="text1"/>
                <w:kern w:val="0"/>
                <w:sz w:val="21"/>
                <w:szCs w:val="21"/>
                <w:highlight w:val="none"/>
                <w14:textFill>
                  <w14:solidFill>
                    <w14:schemeClr w14:val="tx1"/>
                  </w14:solidFill>
                </w14:textFill>
              </w:rPr>
              <w:t>盘时间：</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年</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月</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日</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时</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分至</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年</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月</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日   时</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分；递交地点：</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
                <w:bCs w:val="0"/>
                <w:color w:val="000000" w:themeColor="text1"/>
                <w:kern w:val="0"/>
                <w:sz w:val="21"/>
                <w:szCs w:val="21"/>
                <w:highlight w:val="none"/>
                <w:u w:val="single"/>
                <w14:textFill>
                  <w14:solidFill>
                    <w14:schemeClr w14:val="tx1"/>
                  </w14:solidFill>
                </w14:textFill>
              </w:rPr>
              <w:t>广州交易集团有限公司交易平台网站</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。(建议安排在投标文件截止时间前15分钟至投标文件截止时间）</w:t>
            </w:r>
          </w:p>
          <w:p w14:paraId="1A9C351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上述时间及地点是否有改变，请密切留意</w:t>
            </w:r>
            <w:r>
              <w:rPr>
                <w:rFonts w:hint="eastAsia" w:ascii="宋体" w:hAnsi="宋体" w:eastAsia="宋体" w:cs="宋体"/>
                <w:b/>
                <w:color w:val="000000" w:themeColor="text1"/>
                <w:kern w:val="0"/>
                <w:sz w:val="21"/>
                <w:szCs w:val="21"/>
                <w:highlight w:val="none"/>
                <w:u w:val="single"/>
                <w14:textFill>
                  <w14:solidFill>
                    <w14:schemeClr w14:val="tx1"/>
                  </w14:solidFill>
                </w14:textFill>
              </w:rPr>
              <w:t>补充公告和</w:t>
            </w:r>
            <w:r>
              <w:rPr>
                <w:rFonts w:hint="eastAsia" w:ascii="宋体" w:hAnsi="宋体" w:eastAsia="宋体" w:cs="宋体"/>
                <w:color w:val="000000" w:themeColor="text1"/>
                <w:sz w:val="21"/>
                <w:szCs w:val="21"/>
                <w:highlight w:val="none"/>
                <w14:textFill>
                  <w14:solidFill>
                    <w14:schemeClr w14:val="tx1"/>
                  </w14:solidFill>
                </w14:textFill>
              </w:rPr>
              <w:t>招标答疑纪要的相关信息。</w:t>
            </w:r>
          </w:p>
        </w:tc>
      </w:tr>
      <w:tr w14:paraId="7A1C2F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0B2907B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887" w:type="dxa"/>
            <w:tcBorders>
              <w:top w:val="single" w:color="auto" w:sz="4" w:space="0"/>
              <w:left w:val="single" w:color="auto" w:sz="4" w:space="0"/>
              <w:bottom w:val="single" w:color="auto" w:sz="4" w:space="0"/>
              <w:right w:val="single" w:color="auto" w:sz="4" w:space="0"/>
            </w:tcBorders>
            <w:vAlign w:val="center"/>
          </w:tcPr>
          <w:p w14:paraId="1A59148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w:t>
            </w:r>
          </w:p>
        </w:tc>
        <w:tc>
          <w:tcPr>
            <w:tcW w:w="1713" w:type="dxa"/>
            <w:tcBorders>
              <w:top w:val="single" w:color="auto" w:sz="4" w:space="0"/>
              <w:left w:val="single" w:color="auto" w:sz="4" w:space="0"/>
              <w:bottom w:val="single" w:color="auto" w:sz="4" w:space="0"/>
              <w:right w:val="single" w:color="auto" w:sz="4" w:space="0"/>
            </w:tcBorders>
            <w:vAlign w:val="center"/>
          </w:tcPr>
          <w:p w14:paraId="18BA22C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开标评标办法</w:t>
            </w:r>
          </w:p>
        </w:tc>
        <w:tc>
          <w:tcPr>
            <w:tcW w:w="6048" w:type="dxa"/>
            <w:tcBorders>
              <w:top w:val="single" w:color="auto" w:sz="4" w:space="0"/>
              <w:left w:val="single" w:color="auto" w:sz="4" w:space="0"/>
              <w:bottom w:val="single" w:color="auto" w:sz="4" w:space="0"/>
              <w:right w:val="double" w:color="auto" w:sz="4" w:space="0"/>
            </w:tcBorders>
            <w:vAlign w:val="center"/>
          </w:tcPr>
          <w:p w14:paraId="2462FA5C">
            <w:pPr>
              <w:pStyle w:val="34"/>
              <w:keepNext w:val="0"/>
              <w:keepLines w:val="0"/>
              <w:pageBreakBefore w:val="0"/>
              <w:kinsoku/>
              <w:wordWrap/>
              <w:overflowPunct/>
              <w:topLinePunct w:val="0"/>
              <w:autoSpaceDE/>
              <w:autoSpaceDN/>
              <w:bidi w:val="0"/>
              <w:adjustRightInd/>
              <w:snapToGrid/>
              <w:spacing w:after="0" w:line="360" w:lineRule="auto"/>
              <w:ind w:firstLine="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方式一：</w:t>
            </w:r>
            <w:r>
              <w:rPr>
                <w:rFonts w:hint="eastAsia" w:ascii="宋体" w:hAnsi="宋体" w:eastAsia="宋体" w:cs="宋体"/>
                <w:color w:val="000000" w:themeColor="text1"/>
                <w:sz w:val="21"/>
                <w:szCs w:val="21"/>
                <w:highlight w:val="none"/>
                <w:u w:val="single"/>
                <w14:textFill>
                  <w14:solidFill>
                    <w14:schemeClr w14:val="tx1"/>
                  </w14:solidFill>
                </w14:textFill>
              </w:rPr>
              <w:t xml:space="preserve">选取方法七（适合综合评分办法四，技术标与经济标同时开启）； </w:t>
            </w:r>
          </w:p>
          <w:p w14:paraId="166ACA30">
            <w:pPr>
              <w:pStyle w:val="34"/>
              <w:keepNext w:val="0"/>
              <w:keepLines w:val="0"/>
              <w:pageBreakBefore w:val="0"/>
              <w:kinsoku/>
              <w:wordWrap/>
              <w:overflowPunct/>
              <w:topLinePunct w:val="0"/>
              <w:autoSpaceDE/>
              <w:autoSpaceDN/>
              <w:bidi w:val="0"/>
              <w:adjustRightInd/>
              <w:snapToGrid/>
              <w:spacing w:after="0" w:line="36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投标人总得分=技术得分（满分100分）×技术得分权重(20%)＋经济得分（满分100分）×经济得分权重(80%)。总得分四舍五入保留两位小数。总得分相同的</w:t>
            </w:r>
            <w:r>
              <w:rPr>
                <w:rFonts w:hint="eastAsia" w:ascii="宋体" w:hAnsi="宋体" w:cs="宋体"/>
                <w:color w:val="000000" w:themeColor="text1"/>
                <w:sz w:val="21"/>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，以技术分较高的排前；技术分均相同的投标文件，以投标报价较低的排前；如仍存在相同情况，则对具有相同情况的投标人，由评标委员会采用以差额选举的记名投票方式决定先后顺序，确定投标人的排序。</w:t>
            </w:r>
          </w:p>
        </w:tc>
      </w:tr>
      <w:tr w14:paraId="46711B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2" w:type="dxa"/>
            <w:tcBorders>
              <w:top w:val="single" w:color="auto" w:sz="4" w:space="0"/>
              <w:left w:val="double" w:color="auto" w:sz="4" w:space="0"/>
              <w:bottom w:val="single" w:color="auto" w:sz="4" w:space="0"/>
              <w:right w:val="single" w:color="auto" w:sz="4" w:space="0"/>
            </w:tcBorders>
            <w:vAlign w:val="center"/>
          </w:tcPr>
          <w:p w14:paraId="609A594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887" w:type="dxa"/>
            <w:tcBorders>
              <w:top w:val="single" w:color="auto" w:sz="4" w:space="0"/>
              <w:left w:val="single" w:color="auto" w:sz="4" w:space="0"/>
              <w:bottom w:val="single" w:color="auto" w:sz="4" w:space="0"/>
              <w:right w:val="single" w:color="auto" w:sz="4" w:space="0"/>
            </w:tcBorders>
            <w:vAlign w:val="center"/>
          </w:tcPr>
          <w:p w14:paraId="6410427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29.1</w:t>
            </w:r>
          </w:p>
        </w:tc>
        <w:tc>
          <w:tcPr>
            <w:tcW w:w="1713" w:type="dxa"/>
            <w:tcBorders>
              <w:top w:val="single" w:color="auto" w:sz="4" w:space="0"/>
              <w:left w:val="single" w:color="auto" w:sz="4" w:space="0"/>
              <w:bottom w:val="single" w:color="auto" w:sz="4" w:space="0"/>
              <w:right w:val="single" w:color="auto" w:sz="4" w:space="0"/>
            </w:tcBorders>
            <w:vAlign w:val="center"/>
          </w:tcPr>
          <w:p w14:paraId="4555CDC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履约担保</w:t>
            </w:r>
          </w:p>
        </w:tc>
        <w:tc>
          <w:tcPr>
            <w:tcW w:w="6048" w:type="dxa"/>
            <w:tcBorders>
              <w:top w:val="single" w:color="auto" w:sz="4" w:space="0"/>
              <w:left w:val="single" w:color="auto" w:sz="4" w:space="0"/>
              <w:bottom w:val="single" w:color="auto" w:sz="4" w:space="0"/>
              <w:right w:val="double" w:color="auto" w:sz="4" w:space="0"/>
            </w:tcBorders>
            <w:vAlign w:val="center"/>
          </w:tcPr>
          <w:p w14:paraId="328A120A">
            <w:pPr>
              <w:pStyle w:val="34"/>
              <w:keepNext w:val="0"/>
              <w:keepLines w:val="0"/>
              <w:pageBreakBefore w:val="0"/>
              <w:kinsoku/>
              <w:wordWrap/>
              <w:overflowPunct/>
              <w:topLinePunct w:val="0"/>
              <w:autoSpaceDE/>
              <w:autoSpaceDN/>
              <w:bidi w:val="0"/>
              <w:adjustRightInd/>
              <w:snapToGrid/>
              <w:spacing w:after="0" w:line="360" w:lineRule="auto"/>
              <w:ind w:firstLine="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方式一：中标人提供的履约保证金金额为中标价款的10%。</w:t>
            </w:r>
          </w:p>
        </w:tc>
      </w:tr>
      <w:tr w14:paraId="41384B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44E2BD9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p>
        </w:tc>
        <w:tc>
          <w:tcPr>
            <w:tcW w:w="887" w:type="dxa"/>
            <w:tcBorders>
              <w:top w:val="single" w:color="auto" w:sz="4" w:space="0"/>
              <w:left w:val="single" w:color="auto" w:sz="4" w:space="0"/>
              <w:bottom w:val="single" w:color="auto" w:sz="4" w:space="0"/>
              <w:right w:val="single" w:color="auto" w:sz="4" w:space="0"/>
            </w:tcBorders>
            <w:vAlign w:val="center"/>
          </w:tcPr>
          <w:p w14:paraId="43B34B4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0F4C72D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最高投标限价</w:t>
            </w:r>
          </w:p>
        </w:tc>
        <w:tc>
          <w:tcPr>
            <w:tcW w:w="6048" w:type="dxa"/>
            <w:tcBorders>
              <w:top w:val="single" w:color="auto" w:sz="4" w:space="0"/>
              <w:left w:val="single" w:color="auto" w:sz="4" w:space="0"/>
              <w:bottom w:val="single" w:color="auto" w:sz="4" w:space="0"/>
              <w:right w:val="double" w:color="auto" w:sz="4" w:space="0"/>
            </w:tcBorders>
            <w:vAlign w:val="center"/>
          </w:tcPr>
          <w:p w14:paraId="4258D6B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本项目最高投标限价为人民币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7782073.62</w:t>
            </w:r>
            <w:r>
              <w:rPr>
                <w:rFonts w:hint="eastAsia" w:ascii="宋体" w:hAnsi="宋体" w:eastAsia="宋体" w:cs="宋体"/>
                <w:color w:val="000000" w:themeColor="text1"/>
                <w:sz w:val="21"/>
                <w:szCs w:val="21"/>
                <w:highlight w:val="none"/>
                <w14:textFill>
                  <w14:solidFill>
                    <w14:schemeClr w14:val="tx1"/>
                  </w14:solidFill>
                </w14:textFill>
              </w:rPr>
              <w:t>元，投标报价高于招标控制价的投标文件将不通过经济标有效性审查。</w:t>
            </w:r>
          </w:p>
        </w:tc>
      </w:tr>
      <w:tr w14:paraId="685C91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C73620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887" w:type="dxa"/>
            <w:tcBorders>
              <w:top w:val="single" w:color="auto" w:sz="4" w:space="0"/>
              <w:left w:val="single" w:color="auto" w:sz="4" w:space="0"/>
              <w:bottom w:val="single" w:color="auto" w:sz="4" w:space="0"/>
              <w:right w:val="single" w:color="auto" w:sz="4" w:space="0"/>
            </w:tcBorders>
            <w:vAlign w:val="center"/>
          </w:tcPr>
          <w:p w14:paraId="1D00567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675E55F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非竞争费用</w:t>
            </w:r>
          </w:p>
        </w:tc>
        <w:tc>
          <w:tcPr>
            <w:tcW w:w="6048" w:type="dxa"/>
            <w:tcBorders>
              <w:top w:val="single" w:color="auto" w:sz="4" w:space="0"/>
              <w:left w:val="single" w:color="auto" w:sz="4" w:space="0"/>
              <w:bottom w:val="single" w:color="auto" w:sz="4" w:space="0"/>
              <w:right w:val="double" w:color="auto" w:sz="4" w:space="0"/>
            </w:tcBorders>
            <w:vAlign w:val="center"/>
          </w:tcPr>
          <w:p w14:paraId="0E46F3E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本项目绿色施工安全防护措施费为355347.97元，暂列金639009.07元，暂估价为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元。绿色文明安全措施费、暂列金为不可竞争的固定报价，不参与招标竞争价。绿色文明安全措施费，暂列金应列入投标总价中，暂列金的使用由需根据</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招标人</w:t>
            </w:r>
            <w:r>
              <w:rPr>
                <w:rFonts w:hint="eastAsia" w:ascii="宋体" w:hAnsi="宋体" w:eastAsia="宋体" w:cs="宋体"/>
                <w:color w:val="000000" w:themeColor="text1"/>
                <w:sz w:val="21"/>
                <w:szCs w:val="21"/>
                <w:highlight w:val="none"/>
                <w:u w:val="single"/>
                <w14:textFill>
                  <w14:solidFill>
                    <w14:schemeClr w14:val="tx1"/>
                  </w14:solidFill>
                </w14:textFill>
              </w:rPr>
              <w:t>的内部管理要求进行</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（未按招标文件规定的金额填写的，由评标委员会按照招标文件规定的金额进行修正）</w:t>
            </w:r>
          </w:p>
        </w:tc>
      </w:tr>
      <w:tr w14:paraId="69A88B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2" w:type="dxa"/>
            <w:tcBorders>
              <w:top w:val="single" w:color="auto" w:sz="4" w:space="0"/>
              <w:left w:val="double" w:color="auto" w:sz="4" w:space="0"/>
              <w:bottom w:val="single" w:color="auto" w:sz="4" w:space="0"/>
              <w:right w:val="single" w:color="auto" w:sz="4" w:space="0"/>
            </w:tcBorders>
            <w:vAlign w:val="center"/>
          </w:tcPr>
          <w:p w14:paraId="5B201BD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w:t>
            </w:r>
          </w:p>
        </w:tc>
        <w:tc>
          <w:tcPr>
            <w:tcW w:w="887" w:type="dxa"/>
            <w:tcBorders>
              <w:top w:val="single" w:color="auto" w:sz="4" w:space="0"/>
              <w:left w:val="single" w:color="auto" w:sz="4" w:space="0"/>
              <w:bottom w:val="single" w:color="auto" w:sz="4" w:space="0"/>
              <w:right w:val="single" w:color="auto" w:sz="4" w:space="0"/>
            </w:tcBorders>
            <w:vAlign w:val="center"/>
          </w:tcPr>
          <w:p w14:paraId="6695F22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239906D1">
            <w:pPr>
              <w:pStyle w:val="34"/>
              <w:keepNext w:val="0"/>
              <w:keepLines w:val="0"/>
              <w:pageBreakBefore w:val="0"/>
              <w:kinsoku/>
              <w:wordWrap/>
              <w:overflowPunct/>
              <w:topLinePunct w:val="0"/>
              <w:autoSpaceDE/>
              <w:autoSpaceDN/>
              <w:bidi w:val="0"/>
              <w:adjustRightInd/>
              <w:snapToGrid/>
              <w:spacing w:after="0" w:line="36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保修期</w:t>
            </w:r>
          </w:p>
        </w:tc>
        <w:tc>
          <w:tcPr>
            <w:tcW w:w="6048" w:type="dxa"/>
            <w:tcBorders>
              <w:top w:val="single" w:color="auto" w:sz="4" w:space="0"/>
              <w:left w:val="single" w:color="auto" w:sz="4" w:space="0"/>
              <w:bottom w:val="single" w:color="auto" w:sz="4" w:space="0"/>
              <w:right w:val="double" w:color="auto" w:sz="4" w:space="0"/>
            </w:tcBorders>
            <w:vAlign w:val="center"/>
          </w:tcPr>
          <w:p w14:paraId="61835E49">
            <w:pPr>
              <w:pStyle w:val="9"/>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工程质量保修期为1年，以工程移交至属地供电部门之日起算，工程质量保修期内发生的工程质量问题均由</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负责修复，同一问题重复出现三次的，需更换出故障的设施设备。</w:t>
            </w:r>
          </w:p>
        </w:tc>
      </w:tr>
      <w:tr w14:paraId="0CDE4C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2" w:type="dxa"/>
            <w:tcBorders>
              <w:top w:val="single" w:color="auto" w:sz="4" w:space="0"/>
              <w:left w:val="double" w:color="auto" w:sz="4" w:space="0"/>
              <w:bottom w:val="single" w:color="auto" w:sz="4" w:space="0"/>
              <w:right w:val="single" w:color="auto" w:sz="4" w:space="0"/>
            </w:tcBorders>
            <w:vAlign w:val="center"/>
          </w:tcPr>
          <w:p w14:paraId="599DA47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p>
        </w:tc>
        <w:tc>
          <w:tcPr>
            <w:tcW w:w="887" w:type="dxa"/>
            <w:tcBorders>
              <w:top w:val="single" w:color="auto" w:sz="4" w:space="0"/>
              <w:left w:val="single" w:color="auto" w:sz="4" w:space="0"/>
              <w:bottom w:val="single" w:color="auto" w:sz="4" w:space="0"/>
              <w:right w:val="single" w:color="auto" w:sz="4" w:space="0"/>
            </w:tcBorders>
            <w:vAlign w:val="center"/>
          </w:tcPr>
          <w:p w14:paraId="1CCEE3E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127A01D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计算评标参考价的等分点值</w:t>
            </w:r>
          </w:p>
        </w:tc>
        <w:tc>
          <w:tcPr>
            <w:tcW w:w="6048" w:type="dxa"/>
            <w:tcBorders>
              <w:top w:val="single" w:color="auto" w:sz="4" w:space="0"/>
              <w:left w:val="single" w:color="auto" w:sz="4" w:space="0"/>
              <w:bottom w:val="single" w:color="auto" w:sz="4" w:space="0"/>
              <w:right w:val="double" w:color="auto" w:sz="4" w:space="0"/>
            </w:tcBorders>
            <w:vAlign w:val="center"/>
          </w:tcPr>
          <w:p w14:paraId="7B3AF18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计算评标参考价的等分点值X在开标前从[0,100]的整数中通过摇珠机随机抽取。</w:t>
            </w:r>
          </w:p>
        </w:tc>
      </w:tr>
      <w:tr w14:paraId="3EAFD3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EB5A40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w:t>
            </w:r>
          </w:p>
        </w:tc>
        <w:tc>
          <w:tcPr>
            <w:tcW w:w="887" w:type="dxa"/>
            <w:tcBorders>
              <w:top w:val="single" w:color="auto" w:sz="4" w:space="0"/>
              <w:left w:val="single" w:color="auto" w:sz="4" w:space="0"/>
              <w:bottom w:val="single" w:color="auto" w:sz="4" w:space="0"/>
              <w:right w:val="single" w:color="auto" w:sz="4" w:space="0"/>
            </w:tcBorders>
            <w:vAlign w:val="center"/>
          </w:tcPr>
          <w:p w14:paraId="2E022221">
            <w:pPr>
              <w:keepNext w:val="0"/>
              <w:keepLines w:val="0"/>
              <w:pageBreakBefore w:val="0"/>
              <w:kinsoku/>
              <w:wordWrap/>
              <w:overflowPunct/>
              <w:topLinePunct w:val="0"/>
              <w:autoSpaceDE/>
              <w:autoSpaceDN/>
              <w:bidi w:val="0"/>
              <w:adjustRightInd/>
              <w:snapToGrid/>
              <w:spacing w:line="360" w:lineRule="auto"/>
              <w:ind w:firstLine="458"/>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0D6CFF0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进入第二阶段评审的家数</w:t>
            </w:r>
          </w:p>
        </w:tc>
        <w:tc>
          <w:tcPr>
            <w:tcW w:w="6048" w:type="dxa"/>
            <w:tcBorders>
              <w:top w:val="single" w:color="auto" w:sz="4" w:space="0"/>
              <w:left w:val="single" w:color="auto" w:sz="4" w:space="0"/>
              <w:bottom w:val="single" w:color="auto" w:sz="4" w:space="0"/>
              <w:right w:val="double" w:color="auto" w:sz="4" w:space="0"/>
            </w:tcBorders>
            <w:vAlign w:val="center"/>
          </w:tcPr>
          <w:p w14:paraId="0DACA74C">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本项目不适用。</w:t>
            </w:r>
          </w:p>
        </w:tc>
      </w:tr>
      <w:tr w14:paraId="17967F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528751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w:t>
            </w:r>
          </w:p>
        </w:tc>
        <w:tc>
          <w:tcPr>
            <w:tcW w:w="887" w:type="dxa"/>
            <w:tcBorders>
              <w:top w:val="single" w:color="auto" w:sz="4" w:space="0"/>
              <w:left w:val="single" w:color="auto" w:sz="4" w:space="0"/>
              <w:bottom w:val="single" w:color="auto" w:sz="4" w:space="0"/>
              <w:right w:val="single" w:color="auto" w:sz="4" w:space="0"/>
            </w:tcBorders>
            <w:vAlign w:val="center"/>
          </w:tcPr>
          <w:p w14:paraId="03A08F2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720DDB2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工程成本警戒价</w:t>
            </w:r>
          </w:p>
        </w:tc>
        <w:tc>
          <w:tcPr>
            <w:tcW w:w="6048" w:type="dxa"/>
            <w:tcBorders>
              <w:top w:val="single" w:color="auto" w:sz="4" w:space="0"/>
              <w:left w:val="single" w:color="auto" w:sz="4" w:space="0"/>
              <w:bottom w:val="single" w:color="auto" w:sz="4" w:space="0"/>
              <w:right w:val="double" w:color="auto" w:sz="4" w:space="0"/>
            </w:tcBorders>
            <w:vAlign w:val="center"/>
          </w:tcPr>
          <w:p w14:paraId="1B4B80C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工程成本警戒价为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7003866.26</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元（按最高投标限价的</w:t>
            </w:r>
            <w:r>
              <w:rPr>
                <w:rFonts w:hint="eastAsia" w:ascii="宋体" w:hAnsi="宋体" w:cs="宋体"/>
                <w:color w:val="000000" w:themeColor="text1"/>
                <w:sz w:val="21"/>
                <w:szCs w:val="21"/>
                <w:highlight w:val="none"/>
                <w:u w:val="single"/>
                <w:lang w:val="en-US" w:eastAsia="zh-CN"/>
                <w14:textFill>
                  <w14:solidFill>
                    <w14:schemeClr w14:val="tx1"/>
                  </w14:solidFill>
                </w14:textFill>
              </w:rPr>
              <w:t>90</w:t>
            </w:r>
            <w:r>
              <w:rPr>
                <w:rFonts w:hint="eastAsia" w:ascii="宋体" w:hAnsi="宋体" w:eastAsia="宋体" w:cs="宋体"/>
                <w:color w:val="000000" w:themeColor="text1"/>
                <w:sz w:val="21"/>
                <w:szCs w:val="21"/>
                <w:highlight w:val="none"/>
                <w14:textFill>
                  <w14:solidFill>
                    <w14:schemeClr w14:val="tx1"/>
                  </w14:solidFill>
                </w14:textFill>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14B2A99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注：为充分体现招标人意愿及落实项目招标人负责制，警戒价由招标人决定。</w:t>
            </w:r>
          </w:p>
        </w:tc>
      </w:tr>
      <w:tr w14:paraId="0E2897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2E1D102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w:t>
            </w:r>
          </w:p>
        </w:tc>
        <w:tc>
          <w:tcPr>
            <w:tcW w:w="887" w:type="dxa"/>
            <w:tcBorders>
              <w:top w:val="single" w:color="auto" w:sz="4" w:space="0"/>
              <w:left w:val="single" w:color="auto" w:sz="4" w:space="0"/>
              <w:bottom w:val="single" w:color="auto" w:sz="4" w:space="0"/>
              <w:right w:val="single" w:color="auto" w:sz="4" w:space="0"/>
            </w:tcBorders>
            <w:vAlign w:val="center"/>
          </w:tcPr>
          <w:p w14:paraId="3E43B57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6F28E0F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第一阶段各分值的权重</w:t>
            </w:r>
          </w:p>
        </w:tc>
        <w:tc>
          <w:tcPr>
            <w:tcW w:w="6048" w:type="dxa"/>
            <w:tcBorders>
              <w:top w:val="single" w:color="auto" w:sz="4" w:space="0"/>
              <w:left w:val="single" w:color="auto" w:sz="4" w:space="0"/>
              <w:bottom w:val="single" w:color="auto" w:sz="4" w:space="0"/>
              <w:right w:val="double" w:color="auto" w:sz="4" w:space="0"/>
            </w:tcBorders>
            <w:vAlign w:val="center"/>
          </w:tcPr>
          <w:p w14:paraId="43F45D1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本项目不适用。</w:t>
            </w:r>
          </w:p>
        </w:tc>
      </w:tr>
      <w:tr w14:paraId="65249A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2" w:type="dxa"/>
            <w:tcBorders>
              <w:top w:val="single" w:color="auto" w:sz="4" w:space="0"/>
              <w:left w:val="double" w:color="auto" w:sz="4" w:space="0"/>
              <w:bottom w:val="single" w:color="auto" w:sz="4" w:space="0"/>
              <w:right w:val="single" w:color="auto" w:sz="4" w:space="0"/>
            </w:tcBorders>
            <w:vAlign w:val="center"/>
          </w:tcPr>
          <w:p w14:paraId="553C93E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w:t>
            </w:r>
          </w:p>
        </w:tc>
        <w:tc>
          <w:tcPr>
            <w:tcW w:w="887" w:type="dxa"/>
            <w:tcBorders>
              <w:top w:val="single" w:color="auto" w:sz="4" w:space="0"/>
              <w:left w:val="single" w:color="auto" w:sz="4" w:space="0"/>
              <w:bottom w:val="single" w:color="auto" w:sz="4" w:space="0"/>
              <w:right w:val="single" w:color="auto" w:sz="4" w:space="0"/>
            </w:tcBorders>
            <w:vAlign w:val="center"/>
          </w:tcPr>
          <w:p w14:paraId="2102858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73E10F7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评标委员会人数</w:t>
            </w:r>
          </w:p>
        </w:tc>
        <w:tc>
          <w:tcPr>
            <w:tcW w:w="6048" w:type="dxa"/>
            <w:tcBorders>
              <w:top w:val="single" w:color="auto" w:sz="4" w:space="0"/>
              <w:left w:val="single" w:color="auto" w:sz="4" w:space="0"/>
              <w:bottom w:val="single" w:color="auto" w:sz="4" w:space="0"/>
              <w:right w:val="double" w:color="auto" w:sz="4" w:space="0"/>
            </w:tcBorders>
            <w:vAlign w:val="center"/>
          </w:tcPr>
          <w:p w14:paraId="014B918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评标委员会由招标人依法组建。</w:t>
            </w:r>
          </w:p>
        </w:tc>
      </w:tr>
      <w:tr w14:paraId="0EBAF7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54F0FF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w:t>
            </w:r>
          </w:p>
        </w:tc>
        <w:tc>
          <w:tcPr>
            <w:tcW w:w="887" w:type="dxa"/>
            <w:tcBorders>
              <w:top w:val="single" w:color="auto" w:sz="4" w:space="0"/>
              <w:left w:val="single" w:color="auto" w:sz="4" w:space="0"/>
              <w:bottom w:val="single" w:color="auto" w:sz="4" w:space="0"/>
              <w:right w:val="single" w:color="auto" w:sz="4" w:space="0"/>
            </w:tcBorders>
            <w:vAlign w:val="center"/>
          </w:tcPr>
          <w:p w14:paraId="3B6AD91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224681D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企业综合诚信评价分数</w:t>
            </w:r>
          </w:p>
        </w:tc>
        <w:tc>
          <w:tcPr>
            <w:tcW w:w="6048" w:type="dxa"/>
            <w:tcBorders>
              <w:top w:val="single" w:color="auto" w:sz="4" w:space="0"/>
              <w:left w:val="single" w:color="auto" w:sz="4" w:space="0"/>
              <w:bottom w:val="single" w:color="auto" w:sz="4" w:space="0"/>
              <w:right w:val="double" w:color="auto" w:sz="4" w:space="0"/>
            </w:tcBorders>
            <w:vAlign w:val="center"/>
          </w:tcPr>
          <w:p w14:paraId="3367975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本项目不采用企业综合诚信分。</w:t>
            </w:r>
          </w:p>
        </w:tc>
      </w:tr>
      <w:tr w14:paraId="7BBB6F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B668C5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w:t>
            </w:r>
          </w:p>
        </w:tc>
        <w:tc>
          <w:tcPr>
            <w:tcW w:w="887" w:type="dxa"/>
            <w:tcBorders>
              <w:top w:val="single" w:color="auto" w:sz="4" w:space="0"/>
              <w:left w:val="single" w:color="auto" w:sz="4" w:space="0"/>
              <w:bottom w:val="single" w:color="auto" w:sz="4" w:space="0"/>
              <w:right w:val="single" w:color="auto" w:sz="4" w:space="0"/>
            </w:tcBorders>
            <w:vAlign w:val="center"/>
          </w:tcPr>
          <w:p w14:paraId="653F47BC">
            <w:pPr>
              <w:keepNext w:val="0"/>
              <w:keepLines w:val="0"/>
              <w:pageBreakBefore w:val="0"/>
              <w:kinsoku/>
              <w:wordWrap/>
              <w:overflowPunct/>
              <w:topLinePunct w:val="0"/>
              <w:autoSpaceDE/>
              <w:autoSpaceDN/>
              <w:bidi w:val="0"/>
              <w:adjustRightInd/>
              <w:snapToGrid/>
              <w:spacing w:line="360" w:lineRule="auto"/>
              <w:ind w:firstLine="458"/>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414A629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vAlign w:val="center"/>
          </w:tcPr>
          <w:p w14:paraId="1A5E07C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本项目不适用。</w:t>
            </w:r>
          </w:p>
        </w:tc>
      </w:tr>
      <w:tr w14:paraId="293CFC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0508F8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w:t>
            </w:r>
          </w:p>
        </w:tc>
        <w:tc>
          <w:tcPr>
            <w:tcW w:w="887" w:type="dxa"/>
            <w:tcBorders>
              <w:top w:val="single" w:color="auto" w:sz="4" w:space="0"/>
              <w:left w:val="single" w:color="auto" w:sz="4" w:space="0"/>
              <w:bottom w:val="single" w:color="auto" w:sz="4" w:space="0"/>
              <w:right w:val="single" w:color="auto" w:sz="4" w:space="0"/>
            </w:tcBorders>
            <w:vAlign w:val="center"/>
          </w:tcPr>
          <w:p w14:paraId="121C17FE">
            <w:pPr>
              <w:keepNext w:val="0"/>
              <w:keepLines w:val="0"/>
              <w:pageBreakBefore w:val="0"/>
              <w:kinsoku/>
              <w:wordWrap/>
              <w:overflowPunct/>
              <w:topLinePunct w:val="0"/>
              <w:autoSpaceDE/>
              <w:autoSpaceDN/>
              <w:bidi w:val="0"/>
              <w:adjustRightInd/>
              <w:snapToGrid/>
              <w:spacing w:line="360" w:lineRule="auto"/>
              <w:ind w:firstLine="458"/>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28A3BB3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vAlign w:val="center"/>
          </w:tcPr>
          <w:p w14:paraId="5C12AC7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本项目不适用。</w:t>
            </w:r>
          </w:p>
        </w:tc>
      </w:tr>
      <w:tr w14:paraId="60849C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02" w:type="dxa"/>
            <w:tcBorders>
              <w:top w:val="single" w:color="auto" w:sz="4" w:space="0"/>
              <w:left w:val="double" w:color="auto" w:sz="4" w:space="0"/>
              <w:bottom w:val="single" w:color="auto" w:sz="4" w:space="0"/>
              <w:right w:val="single" w:color="auto" w:sz="4" w:space="0"/>
            </w:tcBorders>
            <w:vAlign w:val="center"/>
          </w:tcPr>
          <w:p w14:paraId="62E8F9D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w:t>
            </w:r>
          </w:p>
        </w:tc>
        <w:tc>
          <w:tcPr>
            <w:tcW w:w="887" w:type="dxa"/>
            <w:tcBorders>
              <w:top w:val="single" w:color="auto" w:sz="4" w:space="0"/>
              <w:left w:val="single" w:color="auto" w:sz="4" w:space="0"/>
              <w:bottom w:val="single" w:color="auto" w:sz="4" w:space="0"/>
              <w:right w:val="single" w:color="auto" w:sz="4" w:space="0"/>
            </w:tcBorders>
            <w:vAlign w:val="center"/>
          </w:tcPr>
          <w:p w14:paraId="36C3CF8A">
            <w:pPr>
              <w:keepNext w:val="0"/>
              <w:keepLines w:val="0"/>
              <w:pageBreakBefore w:val="0"/>
              <w:kinsoku/>
              <w:wordWrap/>
              <w:overflowPunct/>
              <w:topLinePunct w:val="0"/>
              <w:autoSpaceDE/>
              <w:autoSpaceDN/>
              <w:bidi w:val="0"/>
              <w:adjustRightInd/>
              <w:snapToGrid/>
              <w:spacing w:line="360" w:lineRule="auto"/>
              <w:ind w:firstLine="458"/>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075A878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vAlign w:val="center"/>
          </w:tcPr>
          <w:p w14:paraId="53B784F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本项目不适用。</w:t>
            </w:r>
          </w:p>
        </w:tc>
      </w:tr>
      <w:tr w14:paraId="2AD79A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80F444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w:t>
            </w:r>
          </w:p>
        </w:tc>
        <w:tc>
          <w:tcPr>
            <w:tcW w:w="887" w:type="dxa"/>
            <w:tcBorders>
              <w:top w:val="single" w:color="auto" w:sz="4" w:space="0"/>
              <w:left w:val="single" w:color="auto" w:sz="4" w:space="0"/>
              <w:bottom w:val="single" w:color="auto" w:sz="4" w:space="0"/>
              <w:right w:val="single" w:color="auto" w:sz="4" w:space="0"/>
            </w:tcBorders>
            <w:vAlign w:val="center"/>
          </w:tcPr>
          <w:p w14:paraId="265239E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13.4、13.5.2</w:t>
            </w:r>
          </w:p>
        </w:tc>
        <w:tc>
          <w:tcPr>
            <w:tcW w:w="1713" w:type="dxa"/>
            <w:tcBorders>
              <w:top w:val="single" w:color="auto" w:sz="4" w:space="0"/>
              <w:left w:val="single" w:color="auto" w:sz="4" w:space="0"/>
              <w:bottom w:val="single" w:color="auto" w:sz="4" w:space="0"/>
              <w:right w:val="single" w:color="auto" w:sz="4" w:space="0"/>
            </w:tcBorders>
            <w:vAlign w:val="center"/>
          </w:tcPr>
          <w:p w14:paraId="574FF07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合同价款的调整办法</w:t>
            </w:r>
          </w:p>
        </w:tc>
        <w:tc>
          <w:tcPr>
            <w:tcW w:w="6048" w:type="dxa"/>
            <w:tcBorders>
              <w:top w:val="single" w:color="auto" w:sz="4" w:space="0"/>
              <w:left w:val="single" w:color="auto" w:sz="4" w:space="0"/>
              <w:bottom w:val="single" w:color="auto" w:sz="4" w:space="0"/>
              <w:right w:val="double" w:color="auto" w:sz="4" w:space="0"/>
            </w:tcBorders>
            <w:vAlign w:val="center"/>
          </w:tcPr>
          <w:p w14:paraId="74CEC1D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按合同条款相关约定调整。</w:t>
            </w:r>
          </w:p>
        </w:tc>
      </w:tr>
      <w:tr w14:paraId="74DD1C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17752E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w:t>
            </w:r>
          </w:p>
        </w:tc>
        <w:tc>
          <w:tcPr>
            <w:tcW w:w="887" w:type="dxa"/>
            <w:tcBorders>
              <w:top w:val="single" w:color="auto" w:sz="4" w:space="0"/>
              <w:left w:val="single" w:color="auto" w:sz="4" w:space="0"/>
              <w:bottom w:val="single" w:color="auto" w:sz="4" w:space="0"/>
              <w:right w:val="single" w:color="auto" w:sz="4" w:space="0"/>
            </w:tcBorders>
            <w:vAlign w:val="center"/>
          </w:tcPr>
          <w:p w14:paraId="6C0041E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2FF6AC5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建设工程质量检测单位</w:t>
            </w:r>
          </w:p>
        </w:tc>
        <w:tc>
          <w:tcPr>
            <w:tcW w:w="6048" w:type="dxa"/>
            <w:tcBorders>
              <w:top w:val="single" w:color="auto" w:sz="4" w:space="0"/>
              <w:left w:val="single" w:color="auto" w:sz="4" w:space="0"/>
              <w:bottom w:val="single" w:color="auto" w:sz="4" w:space="0"/>
              <w:right w:val="double" w:color="auto" w:sz="4" w:space="0"/>
            </w:tcBorders>
            <w:vAlign w:val="center"/>
          </w:tcPr>
          <w:p w14:paraId="17288B8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5EA23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79EB70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w:t>
            </w:r>
          </w:p>
        </w:tc>
        <w:tc>
          <w:tcPr>
            <w:tcW w:w="887" w:type="dxa"/>
            <w:tcBorders>
              <w:top w:val="single" w:color="auto" w:sz="4" w:space="0"/>
              <w:left w:val="single" w:color="auto" w:sz="4" w:space="0"/>
              <w:bottom w:val="single" w:color="auto" w:sz="4" w:space="0"/>
              <w:right w:val="single" w:color="auto" w:sz="4" w:space="0"/>
            </w:tcBorders>
            <w:vAlign w:val="center"/>
          </w:tcPr>
          <w:p w14:paraId="1C57D07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4453F90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分包</w:t>
            </w:r>
          </w:p>
        </w:tc>
        <w:tc>
          <w:tcPr>
            <w:tcW w:w="6048" w:type="dxa"/>
            <w:tcBorders>
              <w:top w:val="single" w:color="auto" w:sz="4" w:space="0"/>
              <w:left w:val="single" w:color="auto" w:sz="4" w:space="0"/>
              <w:bottom w:val="single" w:color="auto" w:sz="4" w:space="0"/>
              <w:right w:val="double" w:color="auto" w:sz="4" w:space="0"/>
            </w:tcBorders>
            <w:vAlign w:val="center"/>
          </w:tcPr>
          <w:p w14:paraId="7EDD7A3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■不允许；</w:t>
            </w:r>
          </w:p>
          <w:p w14:paraId="69633B1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□允许：分包内容要求：</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28559B3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        分包金额要求：</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38BB882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        对分包人的资质要求：</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      </w:t>
            </w:r>
          </w:p>
        </w:tc>
      </w:tr>
      <w:tr w14:paraId="285D78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02" w:type="dxa"/>
            <w:tcBorders>
              <w:top w:val="single" w:color="auto" w:sz="4" w:space="0"/>
              <w:left w:val="double" w:color="auto" w:sz="4" w:space="0"/>
              <w:bottom w:val="single" w:color="auto" w:sz="4" w:space="0"/>
              <w:right w:val="single" w:color="auto" w:sz="4" w:space="0"/>
            </w:tcBorders>
            <w:vAlign w:val="center"/>
          </w:tcPr>
          <w:p w14:paraId="568DE3C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w:t>
            </w:r>
          </w:p>
        </w:tc>
        <w:tc>
          <w:tcPr>
            <w:tcW w:w="887" w:type="dxa"/>
            <w:tcBorders>
              <w:top w:val="single" w:color="auto" w:sz="4" w:space="0"/>
              <w:left w:val="single" w:color="auto" w:sz="4" w:space="0"/>
              <w:bottom w:val="single" w:color="auto" w:sz="4" w:space="0"/>
              <w:right w:val="single" w:color="auto" w:sz="4" w:space="0"/>
            </w:tcBorders>
            <w:vAlign w:val="center"/>
          </w:tcPr>
          <w:p w14:paraId="30E9806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6EEECDC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vAlign w:val="center"/>
          </w:tcPr>
          <w:p w14:paraId="704804C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1、按照交易平台关于全流程电子化项目的相关指南进行操作。详见：</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交易平台网站</w:t>
            </w:r>
            <w:r>
              <w:rPr>
                <w:rFonts w:hint="eastAsia" w:ascii="宋体" w:hAnsi="宋体" w:eastAsia="宋体" w:cs="宋体"/>
                <w:color w:val="000000" w:themeColor="text1"/>
                <w:sz w:val="21"/>
                <w:szCs w:val="21"/>
                <w:highlight w:val="none"/>
                <w14:textFill>
                  <w14:solidFill>
                    <w14:schemeClr w14:val="tx1"/>
                  </w14:solidFill>
                </w14:textFill>
              </w:rPr>
              <w:t>。</w:t>
            </w:r>
          </w:p>
          <w:p w14:paraId="4E020D6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2、提交投标文件</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备用</w:t>
            </w:r>
          </w:p>
          <w:p w14:paraId="5AD9C1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投标人可制作非加密的电子投标文件（PDF格式）刻入</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（1份），在投标须知前附表第18项规定的时间、地点提交备用。刻录好的投标文件</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密封在密封袋中，并在封口处加盖投标人单位公章。密封袋上应写明项目名称和招标人名称。递交的</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不得加密。</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无法读取或导入的，则视为未提交备用投标文件</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。如果投标人没有按规定通过交易平台网上递交电子投标文件的，不再读取提交的</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。投标人也可不提交备用</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w:t>
            </w:r>
          </w:p>
          <w:p w14:paraId="50B4BF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3、补救方案</w:t>
            </w:r>
          </w:p>
          <w:p w14:paraId="72963E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（1）投标文件解密失败的补救方案：</w:t>
            </w:r>
          </w:p>
          <w:p w14:paraId="494EC0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在规定时间内，因投标人之外原因(指网络瘫痪、服务器损坏、交易系统故障短期无法恢复)导致的电子投标文件解密失败，在开标现场读取</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内容，继续开标程序。评标委员会对其投标文件的评审以</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内容为准。因投标人之外原因解密失败且未递交电子</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的，视为撤回投标文件。</w:t>
            </w:r>
          </w:p>
          <w:p w14:paraId="19B613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（2）评标时突发情况的补救方案</w:t>
            </w:r>
          </w:p>
          <w:p w14:paraId="513184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若遇不可抗力发生（指网络瘫痪、服务器损坏、交易系统故障短期无法恢复等因素），由评标委员会开启投标人递交的全部投标文件</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，并按</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内容进行评审。</w:t>
            </w:r>
          </w:p>
          <w:p w14:paraId="1F42E5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（3）除发生上述情况外，开标评标均以投标人通过交易平台网上递交的电子投标文件为准。</w:t>
            </w:r>
          </w:p>
        </w:tc>
      </w:tr>
      <w:tr w14:paraId="27749B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110F7D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w:t>
            </w:r>
          </w:p>
        </w:tc>
        <w:tc>
          <w:tcPr>
            <w:tcW w:w="887" w:type="dxa"/>
            <w:tcBorders>
              <w:top w:val="single" w:color="auto" w:sz="4" w:space="0"/>
              <w:left w:val="single" w:color="auto" w:sz="4" w:space="0"/>
              <w:bottom w:val="single" w:color="auto" w:sz="4" w:space="0"/>
              <w:right w:val="single" w:color="auto" w:sz="4" w:space="0"/>
            </w:tcBorders>
            <w:vAlign w:val="center"/>
          </w:tcPr>
          <w:p w14:paraId="4A8F0AF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64BE14E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w:t>
            </w:r>
          </w:p>
        </w:tc>
        <w:tc>
          <w:tcPr>
            <w:tcW w:w="6048" w:type="dxa"/>
            <w:tcBorders>
              <w:top w:val="single" w:color="auto" w:sz="4" w:space="0"/>
              <w:left w:val="single" w:color="auto" w:sz="4" w:space="0"/>
              <w:bottom w:val="single" w:color="auto" w:sz="4" w:space="0"/>
              <w:right w:val="double" w:color="auto" w:sz="4" w:space="0"/>
            </w:tcBorders>
            <w:vAlign w:val="center"/>
          </w:tcPr>
          <w:p w14:paraId="4A4B1A0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中标单位须于收到本项目中标通知书一周内，向招标人提供与电子投标文件完全一致的纸质投标文件一正二副，电子</w:t>
            </w:r>
            <w:r>
              <w:rPr>
                <w:rFonts w:hint="eastAsia" w:ascii="宋体" w:hAnsi="宋体" w:eastAsia="宋体" w:cs="宋体"/>
                <w:color w:val="000000" w:themeColor="text1"/>
                <w:sz w:val="21"/>
                <w:szCs w:val="21"/>
                <w:highlight w:val="none"/>
                <w:lang w:val="en-US" w:eastAsia="zh-CN"/>
                <w14:textFill>
                  <w14:solidFill>
                    <w14:schemeClr w14:val="tx1"/>
                  </w14:solidFill>
                </w14:textFill>
              </w:rPr>
              <w:t>U盘/</w:t>
            </w:r>
            <w:r>
              <w:rPr>
                <w:rFonts w:hint="eastAsia" w:ascii="宋体" w:hAnsi="宋体" w:eastAsia="宋体" w:cs="宋体"/>
                <w:color w:val="000000" w:themeColor="text1"/>
                <w:sz w:val="21"/>
                <w:szCs w:val="21"/>
                <w:highlight w:val="none"/>
                <w14:textFill>
                  <w14:solidFill>
                    <w14:schemeClr w14:val="tx1"/>
                  </w14:solidFill>
                </w14:textFill>
              </w:rPr>
              <w:t>光盘一个。</w:t>
            </w:r>
          </w:p>
        </w:tc>
      </w:tr>
      <w:tr w14:paraId="682DB8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E526BF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887" w:type="dxa"/>
            <w:tcBorders>
              <w:top w:val="single" w:color="auto" w:sz="4" w:space="0"/>
              <w:left w:val="single" w:color="auto" w:sz="4" w:space="0"/>
              <w:bottom w:val="single" w:color="auto" w:sz="4" w:space="0"/>
              <w:right w:val="single" w:color="auto" w:sz="4" w:space="0"/>
            </w:tcBorders>
            <w:vAlign w:val="center"/>
          </w:tcPr>
          <w:p w14:paraId="7481D6F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4CAA56B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w:t>
            </w:r>
          </w:p>
        </w:tc>
        <w:tc>
          <w:tcPr>
            <w:tcW w:w="6048" w:type="dxa"/>
            <w:tcBorders>
              <w:top w:val="single" w:color="auto" w:sz="4" w:space="0"/>
              <w:left w:val="single" w:color="auto" w:sz="4" w:space="0"/>
              <w:bottom w:val="single" w:color="auto" w:sz="4" w:space="0"/>
              <w:right w:val="double" w:color="auto" w:sz="4" w:space="0"/>
            </w:tcBorders>
            <w:vAlign w:val="center"/>
          </w:tcPr>
          <w:p w14:paraId="2C45E04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lang w:bidi="ar"/>
                <w14:textFill>
                  <w14:solidFill>
                    <w14:schemeClr w14:val="tx1"/>
                  </w14:solidFill>
                </w14:textFill>
              </w:rPr>
              <w:t>交易服务费：中标人在《中标通知书》出具阶段应在广州公共资源交易中心交易系统缴纳交易场地服务费（具体金额以广州公共资源交易中心交易系统为准），按实际发生金额计取。</w:t>
            </w:r>
          </w:p>
        </w:tc>
      </w:tr>
    </w:tbl>
    <w:p w14:paraId="4A2E8BF6">
      <w:pPr>
        <w:pStyle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3" w:name="_Toc25207"/>
      <w:bookmarkStart w:id="4" w:name="_Toc22670"/>
      <w:r>
        <w:rPr>
          <w:rFonts w:hint="eastAsia" w:ascii="宋体" w:hAnsi="宋体" w:cs="宋体"/>
          <w:color w:val="000000" w:themeColor="text1"/>
          <w:highlight w:val="none"/>
          <w14:textFill>
            <w14:solidFill>
              <w14:schemeClr w14:val="tx1"/>
            </w14:solidFill>
          </w14:textFill>
        </w:rPr>
        <w:t>二、投标须知修改表</w:t>
      </w:r>
      <w:bookmarkEnd w:id="3"/>
      <w:bookmarkEnd w:id="4"/>
    </w:p>
    <w:p w14:paraId="66EF4B07">
      <w:pPr>
        <w:pStyle w:val="34"/>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"http://www.gzcc.gov.cn/）下载查阅"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highlight w:val="none"/>
          <w14:textFill>
            <w14:solidFill>
              <w14:schemeClr w14:val="tx1"/>
            </w14:solidFill>
          </w14:textFill>
        </w:rPr>
        <w:t>http://zfcj.gz.gov.cn/）下载查阅</w:t>
      </w:r>
      <w:r>
        <w:rPr>
          <w:rFonts w:hint="eastAsia" w:ascii="宋体" w:hAnsi="宋体" w:cs="宋体"/>
          <w:b/>
          <w:color w:val="000000" w:themeColor="text1"/>
          <w:highlight w:val="none"/>
          <w14:textFill>
            <w14:solidFill>
              <w14:schemeClr w14:val="tx1"/>
            </w14:solidFill>
          </w14:textFill>
        </w:rPr>
        <w:fldChar w:fldCharType="end"/>
      </w:r>
      <w:r>
        <w:rPr>
          <w:rFonts w:hint="eastAsia" w:ascii="宋体" w:hAnsi="宋体" w:cs="宋体"/>
          <w:b/>
          <w:color w:val="000000" w:themeColor="text1"/>
          <w:szCs w:val="21"/>
          <w:highlight w:val="none"/>
          <w14:textFill>
            <w14:solidFill>
              <w14:schemeClr w14:val="tx1"/>
            </w14:solidFill>
          </w14:textFill>
        </w:rPr>
        <w:t>。</w:t>
      </w:r>
    </w:p>
    <w:p w14:paraId="7BABC60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条款号：5.1           修改类型：修改</w:t>
      </w:r>
    </w:p>
    <w:p w14:paraId="5F064E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投标人应按本投标须知前附表第15项所述时间和要求对工程现场及周围环境进行踏勘，</w:t>
      </w:r>
      <w:r>
        <w:rPr>
          <w:rFonts w:hint="eastAsia" w:ascii="宋体" w:hAnsi="宋体" w:cs="宋体"/>
          <w:color w:val="000000" w:themeColor="text1"/>
          <w:szCs w:val="21"/>
          <w:highlight w:val="none"/>
          <w14:textFill>
            <w14:solidFill>
              <w14:schemeClr w14:val="tx1"/>
            </w14:solidFill>
          </w14:textFill>
        </w:rPr>
        <w:t>投标人应充分重视和仔细地进行这种考察，</w:t>
      </w:r>
      <w:r>
        <w:rPr>
          <w:rFonts w:hint="eastAsia" w:ascii="宋体" w:hAnsi="宋体" w:cs="宋体"/>
          <w:bCs/>
          <w:color w:val="000000" w:themeColor="text1"/>
          <w:szCs w:val="21"/>
          <w:highlight w:val="none"/>
          <w14:textFill>
            <w14:solidFill>
              <w14:schemeClr w14:val="tx1"/>
            </w14:solidFill>
          </w14:textFill>
        </w:rPr>
        <w:t>以便投标人获取</w:t>
      </w:r>
      <w:r>
        <w:rPr>
          <w:rFonts w:hint="eastAsia" w:ascii="宋体" w:hAnsi="宋体" w:cs="宋体"/>
          <w:color w:val="000000" w:themeColor="text1"/>
          <w:szCs w:val="21"/>
          <w:highlight w:val="none"/>
          <w14:textFill>
            <w14:solidFill>
              <w14:schemeClr w14:val="tx1"/>
            </w14:solidFill>
          </w14:textFill>
        </w:rPr>
        <w:t>那些须投标人自己负责的</w:t>
      </w:r>
      <w:r>
        <w:rPr>
          <w:rFonts w:hint="eastAsia" w:ascii="宋体" w:hAnsi="宋体" w:cs="宋体"/>
          <w:bCs/>
          <w:color w:val="000000" w:themeColor="text1"/>
          <w:szCs w:val="21"/>
          <w:highlight w:val="none"/>
          <w14:textFill>
            <w14:solidFill>
              <w14:schemeClr w14:val="tx1"/>
            </w14:solidFill>
          </w14:textFill>
        </w:rPr>
        <w:t>有关编制投标文件和签署合同所涉及现场所有的资料。</w:t>
      </w:r>
      <w:r>
        <w:rPr>
          <w:rFonts w:hint="eastAsia" w:ascii="宋体" w:hAnsi="宋体" w:cs="宋体"/>
          <w:color w:val="000000" w:themeColor="text1"/>
          <w:szCs w:val="21"/>
          <w:highlight w:val="none"/>
          <w14:textFill>
            <w14:solidFill>
              <w14:schemeClr w14:val="tx1"/>
            </w14:solidFill>
          </w14:textFill>
        </w:rPr>
        <w:t>一旦中标，这种考察即被认为其结果已在中标文件中得到充分反映。考察现场的费用由投标人自己承担。</w:t>
      </w:r>
    </w:p>
    <w:p w14:paraId="7942CBA6">
      <w:pPr>
        <w:pStyle w:val="19"/>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000000" w:themeColor="text1"/>
          <w:szCs w:val="21"/>
          <w:highlight w:val="none"/>
          <w:u w:val="single"/>
          <w14:textFill>
            <w14:solidFill>
              <w14:schemeClr w14:val="tx1"/>
            </w14:solidFill>
          </w14:textFill>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color w:val="000000" w:themeColor="text1"/>
          <w:szCs w:val="21"/>
          <w:highlight w:val="none"/>
          <w14:textFill>
            <w14:solidFill>
              <w14:schemeClr w14:val="tx1"/>
            </w14:solidFill>
          </w14:textFill>
        </w:rPr>
        <w:t>一旦中标，这种考察即被认为其结果已在中标文件中得到充分反映。</w:t>
      </w:r>
      <w:r>
        <w:rPr>
          <w:rFonts w:hint="eastAsia" w:ascii="宋体" w:hAnsi="宋体" w:cs="宋体"/>
          <w:color w:val="000000" w:themeColor="text1"/>
          <w:szCs w:val="21"/>
          <w:highlight w:val="none"/>
          <w:u w:val="single"/>
          <w14:textFill>
            <w14:solidFill>
              <w14:schemeClr w14:val="tx1"/>
            </w14:solidFill>
          </w14:textFill>
        </w:rPr>
        <w:t>招标人不受理因投标人缺乏对现场条件的了解或掌握而提出的任何索赔。</w:t>
      </w:r>
      <w:r>
        <w:rPr>
          <w:rFonts w:hint="eastAsia" w:ascii="宋体" w:hAnsi="宋体" w:cs="宋体"/>
          <w:color w:val="000000" w:themeColor="text1"/>
          <w:szCs w:val="21"/>
          <w:highlight w:val="none"/>
          <w14:textFill>
            <w14:solidFill>
              <w14:schemeClr w14:val="tx1"/>
            </w14:solidFill>
          </w14:textFill>
        </w:rPr>
        <w:t>考察现场的费用由投标人自己承担。</w:t>
      </w:r>
    </w:p>
    <w:p w14:paraId="6BDAE896">
      <w:pPr>
        <w:pBdr>
          <w:bottom w:val="single" w:color="auto" w:sz="6" w:space="1"/>
        </w:pBdr>
        <w:spacing w:line="360" w:lineRule="auto"/>
        <w:rPr>
          <w:rFonts w:hint="eastAsia" w:ascii="宋体" w:hAnsi="宋体" w:cs="宋体"/>
          <w:color w:val="000000" w:themeColor="text1"/>
          <w:szCs w:val="21"/>
          <w:highlight w:val="none"/>
          <w14:textFill>
            <w14:solidFill>
              <w14:schemeClr w14:val="tx1"/>
            </w14:solidFill>
          </w14:textFill>
        </w:rPr>
      </w:pPr>
    </w:p>
    <w:p w14:paraId="58DFF32B">
      <w:pPr>
        <w:keepNext w:val="0"/>
        <w:keepLines w:val="0"/>
        <w:pageBreakBefore w:val="0"/>
        <w:widowControl w:val="0"/>
        <w:tabs>
          <w:tab w:val="left" w:pos="5620"/>
        </w:tabs>
        <w:kinsoku/>
        <w:wordWrap/>
        <w:overflowPunct/>
        <w:topLinePunct w:val="0"/>
        <w:autoSpaceDE/>
        <w:autoSpaceDN/>
        <w:bidi w:val="0"/>
        <w:adjustRightInd/>
        <w:snapToGrid/>
        <w:spacing w:line="360" w:lineRule="auto"/>
        <w:ind w:left="0" w:firstLine="422" w:firstLineChars="200"/>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条款号： </w:t>
      </w:r>
      <w:r>
        <w:rPr>
          <w:rFonts w:hint="eastAsia" w:ascii="宋体" w:hAnsi="宋体" w:cs="宋体"/>
          <w:color w:val="000000" w:themeColor="text1"/>
          <w:szCs w:val="21"/>
          <w:highlight w:val="none"/>
          <w14:textFill>
            <w14:solidFill>
              <w14:schemeClr w14:val="tx1"/>
            </w14:solidFill>
          </w14:textFill>
        </w:rPr>
        <w:t>7.1</w:t>
      </w:r>
      <w:r>
        <w:rPr>
          <w:rFonts w:hint="eastAsia" w:ascii="宋体" w:hAnsi="宋体" w:cs="宋体"/>
          <w:b/>
          <w:color w:val="000000" w:themeColor="text1"/>
          <w:szCs w:val="21"/>
          <w:highlight w:val="none"/>
          <w14:textFill>
            <w14:solidFill>
              <w14:schemeClr w14:val="tx1"/>
            </w14:solidFill>
          </w14:textFill>
        </w:rPr>
        <w:t xml:space="preserve">            修改类型：修改</w:t>
      </w:r>
      <w:r>
        <w:rPr>
          <w:rFonts w:hint="eastAsia" w:ascii="宋体" w:hAnsi="宋体" w:cs="宋体"/>
          <w:b/>
          <w:color w:val="000000" w:themeColor="text1"/>
          <w:szCs w:val="21"/>
          <w:highlight w:val="none"/>
          <w14:textFill>
            <w14:solidFill>
              <w14:schemeClr w14:val="tx1"/>
            </w14:solidFill>
          </w14:textFill>
        </w:rPr>
        <w:tab/>
      </w:r>
    </w:p>
    <w:p w14:paraId="10BBCB64">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本招标文件包括下列文件，以及所有按本须知第8条发出的招标答疑会会议纪要和按本须知第9条发出的澄清或修改：</w:t>
      </w:r>
    </w:p>
    <w:p w14:paraId="3E93E62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第一章  投标须知</w:t>
      </w:r>
    </w:p>
    <w:p w14:paraId="4272F21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第二章  开标、评标及定标办法</w:t>
      </w:r>
    </w:p>
    <w:p w14:paraId="074519B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第三章  合同条款</w:t>
      </w:r>
    </w:p>
    <w:p w14:paraId="69EACED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第四章  投标文件格式</w:t>
      </w:r>
    </w:p>
    <w:p w14:paraId="2D4D0E7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第五章  技术条件（工程建设标准）（另册）</w:t>
      </w:r>
    </w:p>
    <w:p w14:paraId="43A2C36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第六章  图纸及勘察资料（另册）</w:t>
      </w:r>
    </w:p>
    <w:p w14:paraId="456ADB7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第七章  招标工程量清单（另册）</w:t>
      </w:r>
    </w:p>
    <w:p w14:paraId="494923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第八章  最高投标限价</w:t>
      </w:r>
    </w:p>
    <w:p w14:paraId="14B494B3">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t>本招标文件包括下列文件，以及所有按本须知第8条发出的招标答疑会会议纪要和按本须知第9条发出的澄清或修改：</w:t>
      </w:r>
    </w:p>
    <w:p w14:paraId="425DBEC3">
      <w:pPr>
        <w:pStyle w:val="34"/>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第一章  </w:t>
      </w:r>
      <w:r>
        <w:rPr>
          <w:rFonts w:hint="eastAsia" w:ascii="宋体" w:hAnsi="宋体" w:cs="宋体"/>
          <w:color w:val="000000" w:themeColor="text1"/>
          <w:szCs w:val="21"/>
          <w:highlight w:val="none"/>
          <w14:textFill>
            <w14:solidFill>
              <w14:schemeClr w14:val="tx1"/>
            </w14:solidFill>
          </w14:textFill>
        </w:rPr>
        <w:t>投标须知</w:t>
      </w:r>
    </w:p>
    <w:p w14:paraId="3EB8FB65">
      <w:pPr>
        <w:pStyle w:val="34"/>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第二章  </w:t>
      </w:r>
      <w:r>
        <w:rPr>
          <w:rFonts w:hint="eastAsia" w:ascii="宋体" w:hAnsi="宋体" w:cs="宋体"/>
          <w:color w:val="000000" w:themeColor="text1"/>
          <w:szCs w:val="21"/>
          <w:highlight w:val="none"/>
          <w14:textFill>
            <w14:solidFill>
              <w14:schemeClr w14:val="tx1"/>
            </w14:solidFill>
          </w14:textFill>
        </w:rPr>
        <w:t>开标、评标及定标办法</w:t>
      </w:r>
    </w:p>
    <w:p w14:paraId="0417F607">
      <w:pPr>
        <w:pStyle w:val="34"/>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第三章  合同条款（另册）</w:t>
      </w:r>
    </w:p>
    <w:p w14:paraId="4710FE1C">
      <w:pPr>
        <w:pStyle w:val="34"/>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第四章  </w:t>
      </w:r>
      <w:r>
        <w:rPr>
          <w:rFonts w:hint="eastAsia" w:ascii="宋体" w:hAnsi="宋体" w:cs="宋体"/>
          <w:color w:val="000000" w:themeColor="text1"/>
          <w:szCs w:val="21"/>
          <w:highlight w:val="none"/>
          <w14:textFill>
            <w14:solidFill>
              <w14:schemeClr w14:val="tx1"/>
            </w14:solidFill>
          </w14:textFill>
        </w:rPr>
        <w:t>投标文件格式</w:t>
      </w:r>
    </w:p>
    <w:p w14:paraId="629AAA13">
      <w:pPr>
        <w:pStyle w:val="34"/>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第五章  </w:t>
      </w:r>
      <w:r>
        <w:rPr>
          <w:rFonts w:hint="eastAsia" w:ascii="宋体" w:hAnsi="宋体" w:cs="宋体"/>
          <w:color w:val="000000" w:themeColor="text1"/>
          <w:szCs w:val="21"/>
          <w:highlight w:val="none"/>
          <w14:textFill>
            <w14:solidFill>
              <w14:schemeClr w14:val="tx1"/>
            </w14:solidFill>
          </w14:textFill>
        </w:rPr>
        <w:t>技术条件（工程建设标准）</w:t>
      </w:r>
    </w:p>
    <w:p w14:paraId="7AC04DA5">
      <w:pPr>
        <w:pStyle w:val="34"/>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第六章  </w:t>
      </w:r>
      <w:r>
        <w:rPr>
          <w:rFonts w:hint="eastAsia" w:ascii="宋体" w:hAnsi="宋体" w:cs="宋体"/>
          <w:color w:val="000000" w:themeColor="text1"/>
          <w:szCs w:val="21"/>
          <w:highlight w:val="none"/>
          <w14:textFill>
            <w14:solidFill>
              <w14:schemeClr w14:val="tx1"/>
            </w14:solidFill>
          </w14:textFill>
        </w:rPr>
        <w:t>图纸及勘察资料（另册）</w:t>
      </w:r>
    </w:p>
    <w:p w14:paraId="4EBC0070">
      <w:pPr>
        <w:pStyle w:val="34"/>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第七章  招标</w:t>
      </w:r>
      <w:r>
        <w:rPr>
          <w:rFonts w:hint="eastAsia" w:ascii="宋体" w:hAnsi="宋体" w:cs="宋体"/>
          <w:color w:val="000000" w:themeColor="text1"/>
          <w:szCs w:val="21"/>
          <w:highlight w:val="none"/>
          <w14:textFill>
            <w14:solidFill>
              <w14:schemeClr w14:val="tx1"/>
            </w14:solidFill>
          </w14:textFill>
        </w:rPr>
        <w:t xml:space="preserve">工程量清单（另册） </w:t>
      </w:r>
    </w:p>
    <w:p w14:paraId="34729B46">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第八章  最高投标限价</w:t>
      </w:r>
    </w:p>
    <w:p w14:paraId="64D02342">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w:t>
      </w:r>
      <w:r>
        <w:rPr>
          <w:rFonts w:hint="eastAsia" w:ascii="宋体" w:hAnsi="宋体" w:eastAsia="宋体" w:cs="宋体"/>
          <w:color w:val="000000" w:themeColor="text1"/>
          <w:kern w:val="0"/>
          <w:sz w:val="21"/>
          <w:szCs w:val="21"/>
          <w:highlight w:val="none"/>
          <w14:textFill>
            <w14:solidFill>
              <w14:schemeClr w14:val="tx1"/>
            </w14:solidFill>
          </w14:textFill>
        </w:rPr>
        <w:fldChar w:fldCharType="begin"/>
      </w:r>
      <w:r>
        <w:rPr>
          <w:rFonts w:hint="eastAsia" w:ascii="宋体" w:hAnsi="宋体" w:eastAsia="宋体" w:cs="宋体"/>
          <w:color w:val="000000" w:themeColor="text1"/>
          <w:kern w:val="0"/>
          <w:sz w:val="21"/>
          <w:szCs w:val="21"/>
          <w:highlight w:val="none"/>
          <w14:textFill>
            <w14:solidFill>
              <w14:schemeClr w14:val="tx1"/>
            </w14:solidFill>
          </w14:textFill>
        </w:rPr>
        <w:instrText xml:space="preserve"> = 1 \* GB3 </w:instrText>
      </w:r>
      <w:r>
        <w:rPr>
          <w:rFonts w:hint="eastAsia" w:ascii="宋体" w:hAnsi="宋体" w:eastAsia="宋体" w:cs="宋体"/>
          <w:color w:val="000000" w:themeColor="text1"/>
          <w:kern w:val="0"/>
          <w:sz w:val="21"/>
          <w:szCs w:val="21"/>
          <w:highlight w:val="none"/>
          <w14:textFill>
            <w14:solidFill>
              <w14:schemeClr w14:val="tx1"/>
            </w14:solidFill>
          </w14:textFill>
        </w:rPr>
        <w:fldChar w:fldCharType="separate"/>
      </w:r>
      <w:r>
        <w:rPr>
          <w:rFonts w:hint="eastAsia" w:ascii="宋体" w:hAnsi="宋体" w:eastAsia="宋体" w:cs="宋体"/>
          <w:color w:val="000000" w:themeColor="text1"/>
          <w:kern w:val="0"/>
          <w:sz w:val="21"/>
          <w:szCs w:val="21"/>
          <w:highlight w:val="none"/>
          <w14:textFill>
            <w14:solidFill>
              <w14:schemeClr w14:val="tx1"/>
            </w14:solidFill>
          </w14:textFill>
        </w:rPr>
        <w:t>①</w:t>
      </w:r>
      <w:r>
        <w:rPr>
          <w:rFonts w:hint="eastAsia" w:ascii="宋体" w:hAnsi="宋体" w:eastAsia="宋体" w:cs="宋体"/>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
          <w:color w:val="000000" w:themeColor="text1"/>
          <w:kern w:val="0"/>
          <w:sz w:val="21"/>
          <w:szCs w:val="21"/>
          <w:highlight w:val="none"/>
          <w14:textFill>
            <w14:solidFill>
              <w14:schemeClr w14:val="tx1"/>
            </w14:solidFill>
          </w14:textFill>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Pr>
          <w:rFonts w:hint="eastAsia" w:ascii="宋体" w:hAnsi="宋体" w:eastAsia="宋体" w:cs="宋体"/>
          <w:color w:val="000000" w:themeColor="text1"/>
          <w:kern w:val="0"/>
          <w:sz w:val="21"/>
          <w:szCs w:val="21"/>
          <w:highlight w:val="none"/>
          <w14:textFill>
            <w14:solidFill>
              <w14:schemeClr w14:val="tx1"/>
            </w14:solidFill>
          </w14:textFill>
        </w:rPr>
        <w:t>明确施工现场建筑垃圾源头减量的具体要求以及建筑垃圾综合利用产品的使用要求。</w:t>
      </w:r>
      <w:r>
        <w:rPr>
          <w:rFonts w:hint="eastAsia" w:ascii="宋体" w:hAnsi="宋体" w:eastAsia="宋体" w:cs="宋体"/>
          <w:b/>
          <w:color w:val="000000" w:themeColor="text1"/>
          <w:kern w:val="0"/>
          <w:sz w:val="21"/>
          <w:szCs w:val="21"/>
          <w:highlight w:val="none"/>
          <w14:textFill>
            <w14:solidFill>
              <w14:schemeClr w14:val="tx1"/>
            </w14:solidFill>
          </w14:textFill>
        </w:rPr>
        <w:fldChar w:fldCharType="begin"/>
      </w:r>
      <w:r>
        <w:rPr>
          <w:rFonts w:hint="eastAsia" w:ascii="宋体" w:hAnsi="宋体" w:eastAsia="宋体" w:cs="宋体"/>
          <w:b/>
          <w:color w:val="000000" w:themeColor="text1"/>
          <w:kern w:val="0"/>
          <w:sz w:val="21"/>
          <w:szCs w:val="21"/>
          <w:highlight w:val="none"/>
          <w14:textFill>
            <w14:solidFill>
              <w14:schemeClr w14:val="tx1"/>
            </w14:solidFill>
          </w14:textFill>
        </w:rPr>
        <w:instrText xml:space="preserve"> = 2 \* GB3 </w:instrText>
      </w:r>
      <w:r>
        <w:rPr>
          <w:rFonts w:hint="eastAsia" w:ascii="宋体" w:hAnsi="宋体" w:eastAsia="宋体" w:cs="宋体"/>
          <w:b/>
          <w:color w:val="000000" w:themeColor="text1"/>
          <w:kern w:val="0"/>
          <w:sz w:val="21"/>
          <w:szCs w:val="21"/>
          <w:highlight w:val="none"/>
          <w14:textFill>
            <w14:solidFill>
              <w14:schemeClr w14:val="tx1"/>
            </w14:solidFill>
          </w14:textFill>
        </w:rPr>
        <w:fldChar w:fldCharType="separate"/>
      </w:r>
      <w:r>
        <w:rPr>
          <w:rFonts w:hint="eastAsia" w:ascii="宋体" w:hAnsi="宋体" w:eastAsia="宋体" w:cs="宋体"/>
          <w:b/>
          <w:color w:val="000000" w:themeColor="text1"/>
          <w:kern w:val="0"/>
          <w:sz w:val="21"/>
          <w:szCs w:val="21"/>
          <w:highlight w:val="none"/>
          <w14:textFill>
            <w14:solidFill>
              <w14:schemeClr w14:val="tx1"/>
            </w14:solidFill>
          </w14:textFill>
        </w:rPr>
        <w:t>②</w:t>
      </w:r>
      <w:r>
        <w:rPr>
          <w:rFonts w:hint="eastAsia" w:ascii="宋体" w:hAnsi="宋体" w:eastAsia="宋体" w:cs="宋体"/>
          <w:b/>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
          <w:color w:val="000000" w:themeColor="text1"/>
          <w:kern w:val="0"/>
          <w:sz w:val="21"/>
          <w:szCs w:val="21"/>
          <w:highlight w:val="none"/>
          <w14:textFill>
            <w14:solidFill>
              <w14:schemeClr w14:val="tx1"/>
            </w14:solidFill>
          </w14:textFill>
        </w:rPr>
        <w:t>鼓励招标人对施工组织设计或施工方案实行隐藏投标人信息的暗标评审</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w:t>
      </w:r>
    </w:p>
    <w:p w14:paraId="715147F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color w:val="000000" w:themeColor="text1"/>
          <w:szCs w:val="21"/>
          <w:highlight w:val="none"/>
          <w14:textFill>
            <w14:solidFill>
              <w14:schemeClr w14:val="tx1"/>
            </w14:solidFill>
          </w14:textFill>
        </w:rPr>
        <w:t xml:space="preserve">8.1         </w:t>
      </w:r>
      <w:r>
        <w:rPr>
          <w:rFonts w:hint="eastAsia" w:ascii="宋体" w:hAnsi="宋体" w:cs="宋体"/>
          <w:b/>
          <w:color w:val="000000" w:themeColor="text1"/>
          <w:szCs w:val="21"/>
          <w:highlight w:val="none"/>
          <w14:textFill>
            <w14:solidFill>
              <w14:schemeClr w14:val="tx1"/>
            </w14:solidFill>
          </w14:textFill>
        </w:rPr>
        <w:t>修改类型：修改</w:t>
      </w:r>
    </w:p>
    <w:p w14:paraId="42B75DAD">
      <w:pPr>
        <w:pStyle w:val="34"/>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 xml:space="preserve">8.1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投标人若对招标文件（包括招标图纸）中有疑问，可以书面形式通过交易平台提交给招标人或招标代理人，提交形式见本须知前附表第16项。</w:t>
      </w:r>
    </w:p>
    <w:p w14:paraId="681827FC">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 xml:space="preserve">8.1 </w:t>
      </w:r>
      <w:r>
        <w:rPr>
          <w:rFonts w:hint="eastAsia" w:ascii="宋体" w:hAnsi="宋体" w:eastAsia="宋体" w:cs="宋体"/>
          <w:color w:val="000000" w:themeColor="text1"/>
          <w:szCs w:val="21"/>
          <w:highlight w:val="none"/>
          <w:u w:val="single"/>
          <w14:textFill>
            <w14:solidFill>
              <w14:schemeClr w14:val="tx1"/>
            </w14:solidFill>
          </w14:textFill>
        </w:rPr>
        <w:t>招标答疑采用网上答疑方式进行</w:t>
      </w:r>
      <w:r>
        <w:rPr>
          <w:rFonts w:hint="eastAsia" w:ascii="宋体" w:hAnsi="宋体" w:eastAsia="宋体" w:cs="宋体"/>
          <w:color w:val="000000" w:themeColor="text1"/>
          <w:szCs w:val="21"/>
          <w:highlight w:val="none"/>
          <w14:textFill>
            <w14:solidFill>
              <w14:schemeClr w14:val="tx1"/>
            </w14:solidFill>
          </w14:textFill>
        </w:rPr>
        <w:t>。投标人若对招标文件（包括</w:t>
      </w:r>
      <w:r>
        <w:rPr>
          <w:rFonts w:hint="eastAsia" w:ascii="宋体" w:hAnsi="宋体" w:eastAsia="宋体" w:cs="宋体"/>
          <w:color w:val="000000" w:themeColor="text1"/>
          <w:szCs w:val="21"/>
          <w:highlight w:val="none"/>
          <w:u w:val="single"/>
          <w14:textFill>
            <w14:solidFill>
              <w14:schemeClr w14:val="tx1"/>
            </w14:solidFill>
          </w14:textFill>
        </w:rPr>
        <w:t>施工图纸、清单、招标控制价）</w:t>
      </w:r>
      <w:r>
        <w:rPr>
          <w:rFonts w:hint="eastAsia" w:ascii="宋体" w:hAnsi="宋体" w:eastAsia="宋体" w:cs="宋体"/>
          <w:color w:val="000000" w:themeColor="text1"/>
          <w:szCs w:val="21"/>
          <w:highlight w:val="none"/>
          <w14:textFill>
            <w14:solidFill>
              <w14:schemeClr w14:val="tx1"/>
            </w14:solidFill>
          </w14:textFill>
        </w:rPr>
        <w:t>中有疑问，</w:t>
      </w:r>
      <w:r>
        <w:rPr>
          <w:rFonts w:hint="eastAsia" w:ascii="宋体" w:hAnsi="宋体" w:eastAsia="宋体" w:cs="宋体"/>
          <w:color w:val="000000" w:themeColor="text1"/>
          <w:szCs w:val="21"/>
          <w:highlight w:val="none"/>
          <w:u w:val="single"/>
          <w14:textFill>
            <w14:solidFill>
              <w14:schemeClr w14:val="tx1"/>
            </w14:solidFill>
          </w14:textFill>
        </w:rPr>
        <w:t>可在规定的时间内通过</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u w:val="single"/>
          <w14:textFill>
            <w14:solidFill>
              <w14:schemeClr w14:val="tx1"/>
            </w14:solidFill>
          </w14:textFill>
        </w:rPr>
        <w:t xml:space="preserve">交易平台进入提问区域将问题提交给招标人或招标代理人，提交问题时一律不得署名。 </w:t>
      </w:r>
    </w:p>
    <w:p w14:paraId="28CF0AE9">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网上答疑的操作指南为：登陆</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u w:val="single"/>
          <w:lang w:eastAsia="zh-CN"/>
          <w14:textFill>
            <w14:solidFill>
              <w14:schemeClr w14:val="tx1"/>
            </w14:solidFill>
          </w14:textFill>
        </w:rPr>
        <w:t>交易平台</w:t>
      </w:r>
      <w:r>
        <w:rPr>
          <w:rFonts w:hint="eastAsia" w:ascii="宋体" w:hAnsi="宋体" w:eastAsia="宋体" w:cs="宋体"/>
          <w:color w:val="000000" w:themeColor="text1"/>
          <w:szCs w:val="21"/>
          <w:highlight w:val="none"/>
          <w:u w:val="single"/>
          <w14:textFill>
            <w14:solidFill>
              <w14:schemeClr w14:val="tx1"/>
            </w14:solidFill>
          </w14:textFill>
        </w:rPr>
        <w:t>网站→登录“投标人系统”→招标答疑提问→通过项目编号或名称找到所需的项目→在上述的答疑时间内点击“答疑提问或回复情况”→提出问题以及查看所有的问题</w:t>
      </w:r>
      <w:r>
        <w:rPr>
          <w:rFonts w:hint="eastAsia" w:ascii="宋体" w:hAnsi="宋体" w:cs="宋体"/>
          <w:color w:val="000000" w:themeColor="text1"/>
          <w:szCs w:val="21"/>
          <w:highlight w:val="none"/>
          <w14:textFill>
            <w14:solidFill>
              <w14:schemeClr w14:val="tx1"/>
            </w14:solidFill>
          </w14:textFill>
        </w:rPr>
        <w:t>。</w:t>
      </w:r>
    </w:p>
    <w:p w14:paraId="6B889D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color w:val="000000" w:themeColor="text1"/>
          <w:szCs w:val="21"/>
          <w:highlight w:val="none"/>
          <w14:textFill>
            <w14:solidFill>
              <w14:schemeClr w14:val="tx1"/>
            </w14:solidFill>
          </w14:textFill>
        </w:rPr>
        <w:t>8.2</w:t>
      </w:r>
      <w:r>
        <w:rPr>
          <w:rFonts w:hint="eastAsia" w:ascii="宋体" w:hAnsi="宋体" w:cs="宋体"/>
          <w:b/>
          <w:color w:val="000000" w:themeColor="text1"/>
          <w:szCs w:val="21"/>
          <w:highlight w:val="none"/>
          <w14:textFill>
            <w14:solidFill>
              <w14:schemeClr w14:val="tx1"/>
            </w14:solidFill>
          </w14:textFill>
        </w:rPr>
        <w:t xml:space="preserve">             修改类型：修改</w:t>
      </w:r>
    </w:p>
    <w:p w14:paraId="765F821F">
      <w:pPr>
        <w:pStyle w:val="34"/>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8.2招标答疑会会议纪要将在提交投标文件截止时间15日前在交易平台“项目答疑纪要”专区公开发布。答疑纪要一经在交易平台发布，视作已发放给所有投标人。</w:t>
      </w:r>
    </w:p>
    <w:p w14:paraId="3553FED7">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8.2</w:t>
      </w:r>
      <w:r>
        <w:rPr>
          <w:rFonts w:hint="eastAsia" w:ascii="宋体" w:hAnsi="宋体" w:eastAsia="宋体" w:cs="宋体"/>
          <w:color w:val="000000" w:themeColor="text1"/>
          <w:szCs w:val="21"/>
          <w:highlight w:val="none"/>
          <w:u w:val="single"/>
          <w14:textFill>
            <w14:solidFill>
              <w14:schemeClr w14:val="tx1"/>
            </w14:solidFill>
          </w14:textFill>
        </w:rPr>
        <w:t>招标答疑纪要</w:t>
      </w:r>
      <w:r>
        <w:rPr>
          <w:rFonts w:hint="eastAsia" w:ascii="宋体" w:hAnsi="宋体" w:eastAsia="宋体" w:cs="宋体"/>
          <w:color w:val="000000" w:themeColor="text1"/>
          <w:szCs w:val="21"/>
          <w:highlight w:val="none"/>
          <w14:textFill>
            <w14:solidFill>
              <w14:schemeClr w14:val="tx1"/>
            </w14:solidFill>
          </w14:textFill>
        </w:rPr>
        <w:t>将在提交投标文件截止时间15日前在</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交易平台“项目答疑纪要”专区公开发布。答疑纪要一经在</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交易平台发布，视作已发放给所有投标人。</w:t>
      </w:r>
    </w:p>
    <w:p w14:paraId="09B84A9F">
      <w:pPr>
        <w:pStyle w:val="9"/>
        <w:rPr>
          <w:color w:val="000000" w:themeColor="text1"/>
          <w:szCs w:val="21"/>
          <w:highlight w:val="none"/>
          <w14:textFill>
            <w14:solidFill>
              <w14:schemeClr w14:val="tx1"/>
            </w14:solidFill>
          </w14:textFill>
        </w:rPr>
      </w:pPr>
    </w:p>
    <w:p w14:paraId="0D0D865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条款号：8.3            修改类型：修改</w:t>
      </w:r>
    </w:p>
    <w:p w14:paraId="548BE1E2">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8.3答疑会会议纪要为招标文件的一部分。</w:t>
      </w:r>
    </w:p>
    <w:p w14:paraId="05B741B6">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8.3</w:t>
      </w:r>
      <w:r>
        <w:rPr>
          <w:rFonts w:hint="eastAsia" w:ascii="宋体" w:hAnsi="宋体" w:eastAsia="宋体" w:cs="宋体"/>
          <w:color w:val="000000" w:themeColor="text1"/>
          <w:szCs w:val="21"/>
          <w:highlight w:val="none"/>
          <w:u w:val="single"/>
          <w14:textFill>
            <w14:solidFill>
              <w14:schemeClr w14:val="tx1"/>
            </w14:solidFill>
          </w14:textFill>
        </w:rPr>
        <w:t>答疑纪要为招标文件的一部分</w:t>
      </w:r>
      <w:r>
        <w:rPr>
          <w:rFonts w:hint="eastAsia" w:ascii="宋体" w:hAnsi="宋体" w:eastAsia="宋体" w:cs="宋体"/>
          <w:color w:val="000000" w:themeColor="text1"/>
          <w:szCs w:val="21"/>
          <w:highlight w:val="none"/>
          <w14:textFill>
            <w14:solidFill>
              <w14:schemeClr w14:val="tx1"/>
            </w14:solidFill>
          </w14:textFill>
        </w:rPr>
        <w:t>。</w:t>
      </w:r>
    </w:p>
    <w:p w14:paraId="01FAEB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条款号：8.4             修改类型：修改</w:t>
      </w:r>
    </w:p>
    <w:p w14:paraId="6A39C56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8.4若招标答疑会会议纪要与招标文件有矛盾，以答疑会议纪要最后发出的书面形式的文件为准。</w:t>
      </w:r>
    </w:p>
    <w:p w14:paraId="400D35DF">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8.4若招标</w:t>
      </w:r>
      <w:r>
        <w:rPr>
          <w:rFonts w:hint="eastAsia" w:ascii="宋体" w:hAnsi="宋体" w:eastAsia="宋体" w:cs="宋体"/>
          <w:color w:val="000000" w:themeColor="text1"/>
          <w:szCs w:val="21"/>
          <w:highlight w:val="none"/>
          <w:u w:val="single"/>
          <w14:textFill>
            <w14:solidFill>
              <w14:schemeClr w14:val="tx1"/>
            </w14:solidFill>
          </w14:textFill>
        </w:rPr>
        <w:t>答疑纪要</w:t>
      </w:r>
      <w:r>
        <w:rPr>
          <w:rFonts w:hint="eastAsia" w:ascii="宋体" w:hAnsi="宋体" w:eastAsia="宋体" w:cs="宋体"/>
          <w:color w:val="000000" w:themeColor="text1"/>
          <w:szCs w:val="21"/>
          <w:highlight w:val="none"/>
          <w14:textFill>
            <w14:solidFill>
              <w14:schemeClr w14:val="tx1"/>
            </w14:solidFill>
          </w14:textFill>
        </w:rPr>
        <w:t>与招标文件有矛盾时，以</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u w:val="single"/>
          <w:lang w:eastAsia="zh-CN"/>
          <w14:textFill>
            <w14:solidFill>
              <w14:schemeClr w14:val="tx1"/>
            </w14:solidFill>
          </w14:textFill>
        </w:rPr>
        <w:t>交易平台</w:t>
      </w:r>
      <w:r>
        <w:rPr>
          <w:rFonts w:hint="eastAsia" w:ascii="宋体" w:hAnsi="宋体" w:eastAsia="宋体" w:cs="宋体"/>
          <w:color w:val="000000" w:themeColor="text1"/>
          <w:szCs w:val="21"/>
          <w:highlight w:val="none"/>
          <w:u w:val="single"/>
          <w14:textFill>
            <w14:solidFill>
              <w14:schemeClr w14:val="tx1"/>
            </w14:solidFill>
          </w14:textFill>
        </w:rPr>
        <w:t>网站最后发布的答疑纪要为准</w:t>
      </w:r>
      <w:r>
        <w:rPr>
          <w:rFonts w:hint="eastAsia" w:ascii="宋体" w:hAnsi="宋体" w:eastAsia="宋体" w:cs="宋体"/>
          <w:color w:val="000000" w:themeColor="text1"/>
          <w:szCs w:val="21"/>
          <w:highlight w:val="none"/>
          <w14:textFill>
            <w14:solidFill>
              <w14:schemeClr w14:val="tx1"/>
            </w14:solidFill>
          </w14:textFill>
        </w:rPr>
        <w:t>。</w:t>
      </w:r>
    </w:p>
    <w:p w14:paraId="2E2788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9.2</w:t>
      </w:r>
      <w:r>
        <w:rPr>
          <w:rFonts w:hint="eastAsia" w:ascii="宋体" w:hAnsi="宋体" w:eastAsia="宋体" w:cs="宋体"/>
          <w:b/>
          <w:color w:val="000000" w:themeColor="text1"/>
          <w:szCs w:val="21"/>
          <w:highlight w:val="none"/>
          <w14:textFill>
            <w14:solidFill>
              <w14:schemeClr w14:val="tx1"/>
            </w14:solidFill>
          </w14:textFill>
        </w:rPr>
        <w:t xml:space="preserve">             修改类型：修改</w:t>
      </w:r>
    </w:p>
    <w:p w14:paraId="7398FCCD">
      <w:pPr>
        <w:pStyle w:val="34"/>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9.2招标文件的澄清或修改将在交易平台“项目答疑纪要”专区公开发布。答疑纪要一经在交易平台发布，视作已发放给所有投标人，以交易平台上网发布时间作为送达时间。</w:t>
      </w:r>
    </w:p>
    <w:p w14:paraId="2B519559">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9.2招标文件的澄清或修改将在</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交易平台“项目答疑纪要”专区公开发布。答疑纪要一经在</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交易平台发布，视作已发放给所有投标人，以</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交易平台上网发布时间作为送达时间。</w:t>
      </w:r>
    </w:p>
    <w:p w14:paraId="68F0071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 xml:space="preserve">9.4             </w:t>
      </w:r>
      <w:r>
        <w:rPr>
          <w:rFonts w:hint="eastAsia" w:ascii="宋体" w:hAnsi="宋体" w:eastAsia="宋体" w:cs="宋体"/>
          <w:b/>
          <w:color w:val="000000" w:themeColor="text1"/>
          <w:szCs w:val="21"/>
          <w:highlight w:val="none"/>
          <w14:textFill>
            <w14:solidFill>
              <w14:schemeClr w14:val="tx1"/>
            </w14:solidFill>
          </w14:textFill>
        </w:rPr>
        <w:t>修改类型：修改</w:t>
      </w:r>
    </w:p>
    <w:p w14:paraId="0886053D">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9.4招标文件的澄清或修改均以书面形式明确的内容为准。当招标文件的澄清、修改、补充等在同一内容的表述不一致时，以最后发出的书面形式的文件为准。</w:t>
      </w:r>
    </w:p>
    <w:p w14:paraId="55FA075C">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9.4招标文件的澄清或修改均以</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u w:val="single"/>
          <w14:textFill>
            <w14:solidFill>
              <w14:schemeClr w14:val="tx1"/>
            </w14:solidFill>
          </w14:textFill>
        </w:rPr>
        <w:t>交易平台上答疑公布</w:t>
      </w:r>
      <w:r>
        <w:rPr>
          <w:rFonts w:hint="eastAsia" w:ascii="宋体" w:hAnsi="宋体" w:eastAsia="宋体" w:cs="宋体"/>
          <w:color w:val="000000" w:themeColor="text1"/>
          <w:szCs w:val="21"/>
          <w:highlight w:val="none"/>
          <w14:textFill>
            <w14:solidFill>
              <w14:schemeClr w14:val="tx1"/>
            </w14:solidFill>
          </w14:textFill>
        </w:rPr>
        <w:t>形式明确的内容为准。当招标文件的澄清、修改、补充等在同一内容的表述不一致时，</w:t>
      </w:r>
      <w:r>
        <w:rPr>
          <w:rFonts w:hint="eastAsia" w:ascii="宋体" w:hAnsi="宋体" w:eastAsia="宋体" w:cs="宋体"/>
          <w:color w:val="000000" w:themeColor="text1"/>
          <w:szCs w:val="21"/>
          <w:highlight w:val="none"/>
          <w:u w:val="single"/>
          <w14:textFill>
            <w14:solidFill>
              <w14:schemeClr w14:val="tx1"/>
            </w14:solidFill>
          </w14:textFill>
        </w:rPr>
        <w:t>以</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u w:val="single"/>
          <w:lang w:eastAsia="zh-CN"/>
          <w14:textFill>
            <w14:solidFill>
              <w14:schemeClr w14:val="tx1"/>
            </w14:solidFill>
          </w14:textFill>
        </w:rPr>
        <w:t>交易平台</w:t>
      </w:r>
      <w:r>
        <w:rPr>
          <w:rFonts w:hint="eastAsia" w:ascii="宋体" w:hAnsi="宋体" w:eastAsia="宋体" w:cs="宋体"/>
          <w:color w:val="000000" w:themeColor="text1"/>
          <w:szCs w:val="21"/>
          <w:highlight w:val="none"/>
          <w:u w:val="single"/>
          <w14:textFill>
            <w14:solidFill>
              <w14:schemeClr w14:val="tx1"/>
            </w14:solidFill>
          </w14:textFill>
        </w:rPr>
        <w:t>网站最后发布的内容为准</w:t>
      </w:r>
      <w:r>
        <w:rPr>
          <w:rFonts w:hint="eastAsia" w:ascii="宋体" w:hAnsi="宋体" w:eastAsia="宋体" w:cs="宋体"/>
          <w:color w:val="000000" w:themeColor="text1"/>
          <w:szCs w:val="21"/>
          <w:highlight w:val="none"/>
          <w14:textFill>
            <w14:solidFill>
              <w14:schemeClr w14:val="tx1"/>
            </w14:solidFill>
          </w14:textFill>
        </w:rPr>
        <w:t>。</w:t>
      </w:r>
    </w:p>
    <w:p w14:paraId="30A48E8D">
      <w:pPr>
        <w:spacing w:line="48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条款号： </w:t>
      </w:r>
      <w:r>
        <w:rPr>
          <w:rFonts w:hint="eastAsia" w:ascii="宋体" w:hAnsi="宋体" w:cs="宋体"/>
          <w:bCs/>
          <w:color w:val="000000" w:themeColor="text1"/>
          <w:szCs w:val="21"/>
          <w:highlight w:val="none"/>
          <w14:textFill>
            <w14:solidFill>
              <w14:schemeClr w14:val="tx1"/>
            </w14:solidFill>
          </w14:textFill>
        </w:rPr>
        <w:t>11.2</w:t>
      </w:r>
      <w:r>
        <w:rPr>
          <w:rFonts w:hint="eastAsia" w:ascii="宋体" w:hAnsi="宋体" w:cs="宋体"/>
          <w:b/>
          <w:color w:val="000000" w:themeColor="text1"/>
          <w:szCs w:val="21"/>
          <w:highlight w:val="none"/>
          <w14:textFill>
            <w14:solidFill>
              <w14:schemeClr w14:val="tx1"/>
            </w14:solidFill>
          </w14:textFill>
        </w:rPr>
        <w:t xml:space="preserve">            修改类型：修改</w:t>
      </w:r>
    </w:p>
    <w:p w14:paraId="2652BD6D">
      <w:pPr>
        <w:pStyle w:val="34"/>
        <w:rPr>
          <w:rFonts w:ascii="宋体" w:hAnsi="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ascii="宋体" w:hAnsi="宋体"/>
          <w:bCs/>
          <w:color w:val="000000" w:themeColor="text1"/>
          <w:szCs w:val="21"/>
          <w:highlight w:val="none"/>
          <w14:textFill>
            <w14:solidFill>
              <w14:schemeClr w14:val="tx1"/>
            </w14:solidFill>
          </w14:textFill>
        </w:rPr>
        <w:t>11.2</w:t>
      </w:r>
      <w:r>
        <w:rPr>
          <w:rFonts w:hint="eastAsia" w:ascii="宋体" w:hAnsi="宋体"/>
          <w:bCs/>
          <w:color w:val="000000" w:themeColor="text1"/>
          <w:szCs w:val="21"/>
          <w:highlight w:val="none"/>
          <w14:textFill>
            <w14:solidFill>
              <w14:schemeClr w14:val="tx1"/>
            </w14:solidFill>
          </w14:textFill>
        </w:rPr>
        <w:t>投标文件技术标部分主要包括下列内容</w:t>
      </w:r>
      <w:r>
        <w:rPr>
          <w:rFonts w:ascii="宋体" w:hAnsi="宋体"/>
          <w:bCs/>
          <w:color w:val="000000" w:themeColor="text1"/>
          <w:szCs w:val="21"/>
          <w:highlight w:val="none"/>
          <w14:textFill>
            <w14:solidFill>
              <w14:schemeClr w14:val="tx1"/>
            </w14:solidFill>
          </w14:textFill>
        </w:rPr>
        <w:t>:</w:t>
      </w:r>
    </w:p>
    <w:p w14:paraId="4FDD5CD4">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11.2.1 技术投标文件</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按招标文件的要求填写</w:t>
      </w:r>
      <w:r>
        <w:rPr>
          <w:rFonts w:ascii="宋体" w:hAnsi="宋体"/>
          <w:color w:val="000000" w:themeColor="text1"/>
          <w:szCs w:val="21"/>
          <w:highlight w:val="none"/>
          <w14:textFill>
            <w14:solidFill>
              <w14:schemeClr w14:val="tx1"/>
            </w14:solidFill>
          </w14:textFill>
        </w:rPr>
        <w:t>)</w:t>
      </w:r>
      <w:r>
        <w:rPr>
          <w:rFonts w:hint="eastAsia" w:ascii="宋体"/>
          <w:bCs/>
          <w:color w:val="000000" w:themeColor="text1"/>
          <w:szCs w:val="21"/>
          <w:highlight w:val="none"/>
          <w14:textFill>
            <w14:solidFill>
              <w14:schemeClr w14:val="tx1"/>
            </w14:solidFill>
          </w14:textFill>
        </w:rPr>
        <w:t>；</w:t>
      </w:r>
    </w:p>
    <w:p w14:paraId="67532498">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11.2.2 资格审查文件：</w:t>
      </w:r>
    </w:p>
    <w:p w14:paraId="5E03172D">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 xml:space="preserve">（1）投标人声明； </w:t>
      </w:r>
    </w:p>
    <w:p w14:paraId="7AC45497">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（2）法定代表人证明书、法定代表人签字或盖章的本投标文件授权委托证明书；</w:t>
      </w:r>
    </w:p>
    <w:p w14:paraId="0227CD31">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（3）企业营业执照（取自平台内上传件）；</w:t>
      </w:r>
    </w:p>
    <w:p w14:paraId="5A93B09B">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（4）企业资质证书（取自平台内上传件）；</w:t>
      </w:r>
    </w:p>
    <w:p w14:paraId="5276B281">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（5）建筑施工企业安全生产许可证（取自平台内上传件）；</w:t>
      </w:r>
    </w:p>
    <w:p w14:paraId="07CD82AC">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项目负责人（按网上投标登记时选择拟投标的项目负责人）</w:t>
      </w:r>
    </w:p>
    <w:p w14:paraId="74304A0E">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（7）专职安全员（按网上投标登记时选择拟投标的专职安全员）</w:t>
      </w:r>
    </w:p>
    <w:p w14:paraId="3DB50EC9">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（8）拟委托技术负责人的相关证书、资料（具体要求由招标人明确）</w:t>
      </w:r>
    </w:p>
    <w:p w14:paraId="7A78E463">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 xml:space="preserve">（9）拟委派项目负责人的建造师注册证书（取自平台内上传件）； </w:t>
      </w:r>
    </w:p>
    <w:p w14:paraId="17E0151A">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（10）项目负责人安全生产考核合格证明或在有效期内的安全考核合格证书（B类）或建筑施工企业项目负责人安全生产考核合格证书（取自平台内上传件）；</w:t>
      </w:r>
    </w:p>
    <w:p w14:paraId="247B8A87">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（11）专职安全员须具有在有效期内的安全考核合格证书（C类）或建筑施工企业专职安全生产管理人员安全生产考核合格证书（取自平台内上传件）；</w:t>
      </w:r>
    </w:p>
    <w:p w14:paraId="3972AFA5">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（12）</w:t>
      </w:r>
      <w:r>
        <w:rPr>
          <w:rFonts w:hint="eastAsia" w:ascii="宋体" w:hAnsi="宋体"/>
          <w:bCs/>
          <w:color w:val="000000" w:themeColor="text1"/>
          <w:szCs w:val="21"/>
          <w:highlight w:val="none"/>
          <w14:textFill>
            <w14:solidFill>
              <w14:schemeClr w14:val="tx1"/>
            </w14:solidFill>
          </w14:textFill>
        </w:rPr>
        <w:t>用于资格审查的业绩（设置业绩要求时选择此项，投标人</w:t>
      </w:r>
      <w:r>
        <w:rPr>
          <w:rFonts w:hint="eastAsia" w:ascii="宋体" w:hAnsi="宋体"/>
          <w:color w:val="000000" w:themeColor="text1"/>
          <w:szCs w:val="21"/>
          <w:highlight w:val="none"/>
          <w14:textFill>
            <w14:solidFill>
              <w14:schemeClr w14:val="tx1"/>
            </w14:solidFill>
          </w14:textFill>
        </w:rPr>
        <w:t>须提供类似工程业绩的项目名称及项目编号，具体格式由招标人自定</w:t>
      </w:r>
      <w:r>
        <w:rPr>
          <w:rFonts w:hint="eastAsia" w:ascii="宋体" w:hAnsi="宋体"/>
          <w:bCs/>
          <w:color w:val="000000" w:themeColor="text1"/>
          <w:szCs w:val="21"/>
          <w:highlight w:val="none"/>
          <w14:textFill>
            <w14:solidFill>
              <w14:schemeClr w14:val="tx1"/>
            </w14:solidFill>
          </w14:textFill>
        </w:rPr>
        <w:t>）；</w:t>
      </w:r>
    </w:p>
    <w:p w14:paraId="3E54EEAD">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（13）资格审查前，投标人须在广州市住房和城乡建设局建立企业诚信档案，拟担任本工程项目负责人须是本企业诚信档案中的在册人员。</w:t>
      </w:r>
    </w:p>
    <w:p w14:paraId="3031CCDD">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14）列明主办单位的联合体工作协议（采用联合体投标时需递交，投标人拟任本工程项目负责人应为联合体主办方诚信档案中的在册人员，联合体工作协议应明确约定各方拟承担的工作和责任）； </w:t>
      </w:r>
    </w:p>
    <w:p w14:paraId="16EA1A9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需提供该项内容的证明文件）。</w:t>
      </w:r>
    </w:p>
    <w:p w14:paraId="5CE47583">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11.2.3项目管理机构配备。</w:t>
      </w:r>
    </w:p>
    <w:p w14:paraId="54A3DC43">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（1）投标人应列出该项目工程的施工组织机构构成和画出机构框架图及其负责人；</w:t>
      </w:r>
    </w:p>
    <w:p w14:paraId="4217A0F0">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（2）投标人应详细列出该施工组织机构中主要成员的名单、简历资料、职务职称和在本项目中拟担任的职务等资料，并附上有关证明材料扫描件；</w:t>
      </w:r>
    </w:p>
    <w:p w14:paraId="643DCA1E">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（3）其他辅助说明资料。</w:t>
      </w:r>
    </w:p>
    <w:p w14:paraId="0D0F0BB0">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11.2.4投标人在广州市可使用适合本工程的机械设备（附：机械设备为自有或租赁的说明；及承诺机械设备如属于租赁的，其租赁是不属于重复租赁）。</w:t>
      </w:r>
    </w:p>
    <w:p w14:paraId="459344E8">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11.2.5施工组织设计或施工方案。</w:t>
      </w:r>
    </w:p>
    <w:p w14:paraId="316C8552">
      <w:pPr>
        <w:spacing w:line="360" w:lineRule="auto"/>
        <w:ind w:firstLine="42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11.2.6按照招标文件要求填写的《参与编制技术标投标文件人员名单》。</w:t>
      </w:r>
    </w:p>
    <w:p w14:paraId="72C23ABE">
      <w:pPr>
        <w:pStyle w:val="18"/>
        <w:rPr>
          <w:color w:val="000000" w:themeColor="text1"/>
          <w:highlight w:val="none"/>
          <w14:textFill>
            <w14:solidFill>
              <w14:schemeClr w14:val="tx1"/>
            </w14:solidFill>
          </w14:textFill>
        </w:rPr>
      </w:pPr>
    </w:p>
    <w:p w14:paraId="37F258E8">
      <w:pPr>
        <w:tabs>
          <w:tab w:val="left" w:pos="1125"/>
        </w:tabs>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11.2投标文件技术标部分主要包括下列内容:</w:t>
      </w:r>
    </w:p>
    <w:p w14:paraId="26F5D8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11.2.1</w:t>
      </w:r>
      <w:r>
        <w:rPr>
          <w:rFonts w:hint="eastAsia" w:ascii="宋体" w:hAnsi="宋体" w:eastAsia="宋体" w:cs="宋体"/>
          <w:bCs/>
          <w:color w:val="000000" w:themeColor="text1"/>
          <w:sz w:val="21"/>
          <w:szCs w:val="21"/>
          <w:highlight w:val="none"/>
          <w14:textFill>
            <w14:solidFill>
              <w14:schemeClr w14:val="tx1"/>
            </w14:solidFill>
          </w14:textFill>
        </w:rPr>
        <w:t>技术投标文件(按招标文件的要求填写)；</w:t>
      </w:r>
    </w:p>
    <w:p w14:paraId="240D1D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11.2.2 资格审查文件：</w:t>
      </w:r>
    </w:p>
    <w:p w14:paraId="30D8FF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（1）投标人声明； </w:t>
      </w:r>
    </w:p>
    <w:p w14:paraId="19E2C4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（2）法定代表人证明书、法定代表人签字或盖章的本投标文件授权委托证明书；</w:t>
      </w:r>
    </w:p>
    <w:p w14:paraId="575C9F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u w:val="single"/>
          <w14:textFill>
            <w14:solidFill>
              <w14:schemeClr w14:val="tx1"/>
            </w14:solidFill>
          </w14:textFill>
        </w:rPr>
        <w:t>（3）</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企业营业执照扫描件或电子证照；</w:t>
      </w:r>
    </w:p>
    <w:p w14:paraId="77E87C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u w:val="single"/>
          <w14:textFill>
            <w14:solidFill>
              <w14:schemeClr w14:val="tx1"/>
            </w14:solidFill>
          </w14:textFill>
        </w:rPr>
        <w:t>（4）</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企业资质证书扫描件或电子证照；</w:t>
      </w:r>
    </w:p>
    <w:p w14:paraId="468C47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u w:val="single"/>
          <w14:textFill>
            <w14:solidFill>
              <w14:schemeClr w14:val="tx1"/>
            </w14:solidFill>
          </w14:textFill>
        </w:rPr>
        <w:t>（5）</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建筑施工企业安全生产许可证扫描件或电子证照</w:t>
      </w:r>
      <w:r>
        <w:rPr>
          <w:rFonts w:hint="eastAsia" w:ascii="宋体" w:hAnsi="宋体" w:eastAsia="宋体" w:cs="宋体"/>
          <w:bCs/>
          <w:color w:val="000000" w:themeColor="text1"/>
          <w:sz w:val="21"/>
          <w:szCs w:val="21"/>
          <w:highlight w:val="none"/>
          <w:u w:val="single"/>
          <w14:textFill>
            <w14:solidFill>
              <w14:schemeClr w14:val="tx1"/>
            </w14:solidFill>
          </w14:textFill>
        </w:rPr>
        <w:t>；</w:t>
      </w:r>
    </w:p>
    <w:p w14:paraId="4E81C6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（6）项目负责人（按网上投标登记时选择拟投标的项目负责人）</w:t>
      </w:r>
    </w:p>
    <w:p w14:paraId="1F812C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（7）专职安全员（按网上投标登记时选择拟投标的专职安全员）</w:t>
      </w:r>
    </w:p>
    <w:p w14:paraId="68D29E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（8）拟委托技术负责人</w:t>
      </w:r>
      <w:r>
        <w:rPr>
          <w:rFonts w:hint="eastAsia" w:ascii="宋体" w:hAnsi="宋体" w:cs="宋体"/>
          <w:color w:val="000000" w:themeColor="text1"/>
          <w:sz w:val="21"/>
          <w:szCs w:val="21"/>
          <w:highlight w:val="none"/>
          <w:u w:val="single"/>
          <w:lang w:val="en-US" w:eastAsia="zh-CN"/>
          <w14:textFill>
            <w14:solidFill>
              <w14:schemeClr w14:val="tx1"/>
            </w14:solidFill>
          </w14:textFill>
        </w:rPr>
        <w:t>须具有机电类或电气类或电力类</w:t>
      </w:r>
      <w:r>
        <w:rPr>
          <w:rFonts w:hint="eastAsia" w:ascii="宋体" w:hAnsi="宋体" w:eastAsia="宋体" w:cs="宋体"/>
          <w:color w:val="000000" w:themeColor="text1"/>
          <w:sz w:val="21"/>
          <w:szCs w:val="21"/>
          <w:highlight w:val="none"/>
          <w:u w:val="single"/>
          <w14:textFill>
            <w14:solidFill>
              <w14:schemeClr w14:val="tx1"/>
            </w14:solidFill>
          </w14:textFill>
        </w:rPr>
        <w:t>相关专业中级或以上职称</w:t>
      </w:r>
      <w:r>
        <w:rPr>
          <w:rFonts w:hint="eastAsia" w:ascii="宋体" w:hAnsi="宋体" w:eastAsia="宋体" w:cs="宋体"/>
          <w:bCs/>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技术负责人和项目负责人不为同一人；</w:t>
      </w:r>
    </w:p>
    <w:p w14:paraId="35CC93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拟委派项目负责人的有效期内的建造师注册证书</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扫描件或电子证书</w:t>
      </w:r>
      <w:r>
        <w:rPr>
          <w:rFonts w:hint="eastAsia" w:ascii="宋体" w:hAnsi="宋体" w:eastAsia="宋体" w:cs="宋体"/>
          <w:color w:val="000000" w:themeColor="text1"/>
          <w:kern w:val="0"/>
          <w:sz w:val="21"/>
          <w:szCs w:val="21"/>
          <w:highlight w:val="none"/>
          <w:u w:val="singl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 xml:space="preserve"> </w:t>
      </w:r>
    </w:p>
    <w:p w14:paraId="4D364E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项目负责人在有效期内的安全生产考核合格证书（B类）或建筑施工企业项目负责人安全生产考核合格证书</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扫描件或电子证书；</w:t>
      </w:r>
    </w:p>
    <w:p w14:paraId="0F64E8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kern w:val="0"/>
          <w:sz w:val="21"/>
          <w:szCs w:val="21"/>
          <w:highlight w:val="none"/>
          <w14:textFill>
            <w14:solidFill>
              <w14:schemeClr w14:val="tx1"/>
            </w14:solidFill>
          </w14:textFill>
        </w:rPr>
        <w:t>专职安全员须具有在有效期内的安全生产考核合格证书（C类）或建筑施工企业专职安全生产管理人员安全生产考核合格证书（C3类）</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扫描件或电子证书；</w:t>
      </w:r>
    </w:p>
    <w:p w14:paraId="051D88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u w:val="single"/>
          <w14:textFill>
            <w14:solidFill>
              <w14:schemeClr w14:val="tx1"/>
            </w14:solidFill>
          </w14:textFill>
        </w:rPr>
        <w:t>（12）</w:t>
      </w:r>
      <w:r>
        <w:rPr>
          <w:rFonts w:hint="eastAsia" w:ascii="宋体" w:hAnsi="宋体" w:eastAsia="宋体" w:cs="宋体"/>
          <w:bCs/>
          <w:color w:val="000000" w:themeColor="text1"/>
          <w:sz w:val="21"/>
          <w:szCs w:val="21"/>
          <w:highlight w:val="none"/>
          <w14:textFill>
            <w14:solidFill>
              <w14:schemeClr w14:val="tx1"/>
            </w14:solidFill>
          </w14:textFill>
        </w:rPr>
        <w:t>资格审查前，投标人须在广州市住房和城乡建设局建立企业信用档案，拟担任本工程项目负责人、专职安全员须是本企业信用档案中的在册人员。</w:t>
      </w:r>
    </w:p>
    <w:p w14:paraId="2C97D9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11.2.3项目管理机构配备。</w:t>
      </w:r>
      <w:r>
        <w:rPr>
          <w:rFonts w:hint="eastAsia" w:ascii="宋体" w:hAnsi="宋体" w:eastAsia="宋体" w:cs="宋体"/>
          <w:bCs/>
          <w:color w:val="000000" w:themeColor="text1"/>
          <w:sz w:val="21"/>
          <w:szCs w:val="21"/>
          <w:highlight w:val="none"/>
          <w:u w:val="single"/>
          <w14:textFill>
            <w14:solidFill>
              <w14:schemeClr w14:val="tx1"/>
            </w14:solidFill>
          </w14:textFill>
        </w:rPr>
        <w:t>（按《技术标详细审查评分表》要求的内容提供）；</w:t>
      </w:r>
    </w:p>
    <w:p w14:paraId="346D6E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11.2.4企业资信证明材料。</w:t>
      </w:r>
      <w:r>
        <w:rPr>
          <w:rFonts w:hint="eastAsia" w:ascii="宋体" w:hAnsi="宋体" w:eastAsia="宋体" w:cs="宋体"/>
          <w:bCs/>
          <w:color w:val="000000" w:themeColor="text1"/>
          <w:sz w:val="21"/>
          <w:szCs w:val="21"/>
          <w:highlight w:val="none"/>
          <w:u w:val="single"/>
          <w14:textFill>
            <w14:solidFill>
              <w14:schemeClr w14:val="tx1"/>
            </w14:solidFill>
          </w14:textFill>
        </w:rPr>
        <w:t>（按《技术标详细审查评分表》要求的内容提供）；</w:t>
      </w:r>
    </w:p>
    <w:p w14:paraId="796E4A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11.2.5按照招标文件要求填写的《参与编制技术标投标文件人员名单》。</w:t>
      </w:r>
    </w:p>
    <w:p w14:paraId="7AB945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u w:val="single"/>
          <w14:textFill>
            <w14:solidFill>
              <w14:schemeClr w14:val="tx1"/>
            </w14:solidFill>
          </w14:textFill>
        </w:rPr>
        <w:t>11.2.6其他投标人认为应该提供的资料。</w:t>
      </w:r>
    </w:p>
    <w:p w14:paraId="2F13E6C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kern w:val="0"/>
          <w:sz w:val="21"/>
          <w:szCs w:val="21"/>
          <w:highlight w:val="none"/>
          <w:u w:val="single"/>
          <w14:textFill>
            <w14:solidFill>
              <w14:schemeClr w14:val="tx1"/>
            </w14:solidFill>
          </w14:textFill>
        </w:rPr>
      </w:pPr>
      <w:r>
        <w:rPr>
          <w:rFonts w:hint="eastAsia" w:ascii="宋体" w:hAnsi="宋体" w:eastAsia="宋体" w:cs="宋体"/>
          <w:b/>
          <w:bCs/>
          <w:color w:val="000000" w:themeColor="text1"/>
          <w:kern w:val="0"/>
          <w:sz w:val="21"/>
          <w:szCs w:val="21"/>
          <w:highlight w:val="none"/>
          <w:u w:val="single"/>
          <w14:textFill>
            <w14:solidFill>
              <w14:schemeClr w14:val="tx1"/>
            </w14:solidFill>
          </w14:textFill>
        </w:rPr>
        <w:t>注：1.相关电子证书按规定需打印后手写本人签名的，应按照规定手写本人签名后再扫描提交。</w:t>
      </w:r>
    </w:p>
    <w:p w14:paraId="371C0373">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u w:val="single"/>
          <w14:textFill>
            <w14:solidFill>
              <w14:schemeClr w14:val="tx1"/>
            </w14:solidFill>
          </w14:textFill>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r>
        <w:rPr>
          <w:rFonts w:hint="eastAsia" w:ascii="宋体" w:hAnsi="宋体" w:eastAsia="宋体" w:cs="宋体"/>
          <w:color w:val="000000" w:themeColor="text1"/>
          <w:sz w:val="21"/>
          <w:szCs w:val="21"/>
          <w:highlight w:val="none"/>
          <w14:textFill>
            <w14:solidFill>
              <w14:schemeClr w14:val="tx1"/>
            </w14:solidFill>
          </w14:textFill>
        </w:rPr>
        <w:t>。</w:t>
      </w:r>
    </w:p>
    <w:p w14:paraId="44392E34">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条款号：11.3            修改类型：</w:t>
      </w:r>
      <w:r>
        <w:rPr>
          <w:rFonts w:hint="eastAsia" w:ascii="宋体" w:hAnsi="宋体" w:eastAsia="宋体" w:cs="宋体"/>
          <w:b/>
          <w:color w:val="000000" w:themeColor="text1"/>
          <w:szCs w:val="21"/>
          <w:highlight w:val="none"/>
          <w:lang w:val="en-US" w:eastAsia="zh-CN"/>
          <w14:textFill>
            <w14:solidFill>
              <w14:schemeClr w14:val="tx1"/>
            </w14:solidFill>
          </w14:textFill>
        </w:rPr>
        <w:t>修改</w:t>
      </w:r>
    </w:p>
    <w:p w14:paraId="3441915C">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14:textFill>
            <w14:solidFill>
              <w14:schemeClr w14:val="tx1"/>
            </w14:solidFill>
          </w14:textFill>
        </w:rPr>
        <w:t>原文：</w:t>
      </w:r>
      <w:r>
        <w:rPr>
          <w:rFonts w:hint="eastAsia" w:ascii="宋体" w:hAnsi="宋体" w:eastAsia="宋体" w:cs="宋体"/>
          <w:b w:val="0"/>
          <w:bCs/>
          <w:color w:val="000000" w:themeColor="text1"/>
          <w:szCs w:val="21"/>
          <w:highlight w:val="none"/>
          <w14:textFill>
            <w14:solidFill>
              <w14:schemeClr w14:val="tx1"/>
            </w14:solidFill>
          </w14:textFill>
        </w:rPr>
        <w:t>11.3 经济部分投标文件主要包括下列内容：</w:t>
      </w:r>
    </w:p>
    <w:p w14:paraId="7F723B8A">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11.3.1 经济投标文件(按招标文件的要求填写)。</w:t>
      </w:r>
    </w:p>
    <w:p w14:paraId="2E7BB039">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2A1963C9">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（1）投标总价封面、扉页；</w:t>
      </w:r>
    </w:p>
    <w:p w14:paraId="18F0B4F7">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（2）总说明</w:t>
      </w:r>
    </w:p>
    <w:p w14:paraId="3E9311D9">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（3）工程项目投标报价汇总表；</w:t>
      </w:r>
    </w:p>
    <w:p w14:paraId="6553155E">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（4）单项工程投标报价汇总表；</w:t>
      </w:r>
    </w:p>
    <w:p w14:paraId="4B211342">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（5）单位工程投标报价汇总表；</w:t>
      </w:r>
    </w:p>
    <w:p w14:paraId="2FBB9CE1">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（6）分部分项工程清单与计价表；</w:t>
      </w:r>
    </w:p>
    <w:p w14:paraId="07E01B2E">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（7）单价措施项目清单与计价表；</w:t>
      </w:r>
    </w:p>
    <w:p w14:paraId="37C4452F">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（8）总价措施项目清单与计价表；</w:t>
      </w:r>
    </w:p>
    <w:p w14:paraId="685F5E00">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（9）综合单价分析表；</w:t>
      </w:r>
    </w:p>
    <w:p w14:paraId="0ACAEC91">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（10）其他项目清单与计价汇总表；</w:t>
      </w:r>
    </w:p>
    <w:p w14:paraId="27AED819">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（11）暂列金额明细表；</w:t>
      </w:r>
    </w:p>
    <w:p w14:paraId="38D1FE3C">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（12）材料（工程设备）暂估价明细表；</w:t>
      </w:r>
    </w:p>
    <w:p w14:paraId="5A8C5A26">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（13）专业工程暂估价明细表；</w:t>
      </w:r>
    </w:p>
    <w:p w14:paraId="2A92FFB8">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（14）计日工表；</w:t>
      </w:r>
    </w:p>
    <w:p w14:paraId="5326886F">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（15）总承包服务计价表；</w:t>
      </w:r>
    </w:p>
    <w:p w14:paraId="3B79CE0C">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（16）规费和税金项目计价表；</w:t>
      </w:r>
    </w:p>
    <w:p w14:paraId="10ED1B5C">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（17）人工、主要材料和设备一览表</w:t>
      </w:r>
    </w:p>
    <w:p w14:paraId="73916EB6">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11.3.3按照招标文件要求填写的《参与编制经济标投标文件人员名单》。</w:t>
      </w:r>
    </w:p>
    <w:p w14:paraId="5F36652D">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11.3.4若投标人的投标报价低于工程成本警戒价的，投标人还须提供详细的施工组织设计、单价、措施性费用、单价分析表、主要材料价格表、投标人成本分析供评标委员会评审。</w:t>
      </w:r>
    </w:p>
    <w:p w14:paraId="7B9AAAD8">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b w:val="0"/>
          <w:bCs/>
          <w:color w:val="000000" w:themeColor="text1"/>
          <w:szCs w:val="21"/>
          <w:highlight w:val="none"/>
          <w:u w:val="single"/>
          <w14:textFill>
            <w14:solidFill>
              <w14:schemeClr w14:val="tx1"/>
            </w14:solidFill>
          </w14:textFill>
        </w:rPr>
        <w:t>11.3 经济标投标文件主要包括下列内容：</w:t>
      </w:r>
    </w:p>
    <w:p w14:paraId="5FB892CA">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u w:val="single"/>
          <w14:textFill>
            <w14:solidFill>
              <w14:schemeClr w14:val="tx1"/>
            </w14:solidFill>
          </w14:textFill>
        </w:rPr>
      </w:pPr>
      <w:r>
        <w:rPr>
          <w:rFonts w:hint="eastAsia" w:ascii="宋体" w:hAnsi="宋体" w:eastAsia="宋体" w:cs="宋体"/>
          <w:b w:val="0"/>
          <w:bCs/>
          <w:color w:val="000000" w:themeColor="text1"/>
          <w:szCs w:val="21"/>
          <w:highlight w:val="none"/>
          <w:u w:val="single"/>
          <w14:textFill>
            <w14:solidFill>
              <w14:schemeClr w14:val="tx1"/>
            </w14:solidFill>
          </w14:textFill>
        </w:rPr>
        <w:t>11.3.1经济标投标文件封面。</w:t>
      </w:r>
    </w:p>
    <w:p w14:paraId="50A8FE3F">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具体内容详见第七章工程量清单）</w:t>
      </w:r>
    </w:p>
    <w:p w14:paraId="1D6A4829">
      <w:pPr>
        <w:pStyle w:val="2"/>
        <w:keepNext/>
        <w:keepLines/>
        <w:pageBreakBefore w:val="0"/>
        <w:widowControl w:val="0"/>
        <w:kinsoku/>
        <w:wordWrap/>
        <w:overflowPunct/>
        <w:topLinePunct w:val="0"/>
        <w:autoSpaceDE/>
        <w:autoSpaceDN/>
        <w:bidi w:val="0"/>
        <w:adjustRightInd/>
        <w:snapToGrid/>
        <w:spacing w:before="0" w:after="0"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11.3.3按照招标文件要求填写的《参与编制经济标投标文件人员名单》。</w:t>
      </w:r>
    </w:p>
    <w:p w14:paraId="05C48484">
      <w:pPr>
        <w:pStyle w:val="2"/>
        <w:keepNext/>
        <w:keepLines/>
        <w:pageBreakBefore w:val="0"/>
        <w:widowControl w:val="0"/>
        <w:kinsoku/>
        <w:wordWrap/>
        <w:overflowPunct/>
        <w:topLinePunct w:val="0"/>
        <w:autoSpaceDE/>
        <w:autoSpaceDN/>
        <w:bidi w:val="0"/>
        <w:adjustRightInd/>
        <w:snapToGrid/>
        <w:spacing w:before="0" w:after="0" w:line="360" w:lineRule="auto"/>
        <w:ind w:left="0" w:firstLine="420" w:firstLineChars="200"/>
        <w:jc w:val="left"/>
        <w:textAlignment w:val="auto"/>
        <w:rPr>
          <w:rFonts w:hint="eastAsia" w:ascii="宋体" w:hAnsi="宋体" w:eastAsia="宋体" w:cs="宋体"/>
          <w:b w:val="0"/>
          <w:bCs/>
          <w:color w:val="000000" w:themeColor="text1"/>
          <w:sz w:val="21"/>
          <w:szCs w:val="21"/>
          <w:highlight w:val="none"/>
          <w:u w:val="single"/>
          <w14:textFill>
            <w14:solidFill>
              <w14:schemeClr w14:val="tx1"/>
            </w14:solidFill>
          </w14:textFill>
        </w:rPr>
      </w:pPr>
      <w:r>
        <w:rPr>
          <w:rFonts w:hint="eastAsia" w:ascii="宋体" w:hAnsi="宋体" w:eastAsia="宋体" w:cs="宋体"/>
          <w:b w:val="0"/>
          <w:bCs/>
          <w:color w:val="000000" w:themeColor="text1"/>
          <w:sz w:val="21"/>
          <w:szCs w:val="21"/>
          <w:highlight w:val="none"/>
          <w:u w:val="single"/>
          <w14:textFill>
            <w14:solidFill>
              <w14:schemeClr w14:val="tx1"/>
            </w14:solidFill>
          </w14:textFill>
        </w:rPr>
        <w:t>11.3.4 对投标文件编制的承诺(格式按招标文件要求)。</w:t>
      </w:r>
    </w:p>
    <w:p w14:paraId="152B8C24">
      <w:pPr>
        <w:pStyle w:val="2"/>
        <w:keepNext/>
        <w:keepLines/>
        <w:pageBreakBefore w:val="0"/>
        <w:widowControl w:val="0"/>
        <w:kinsoku/>
        <w:wordWrap/>
        <w:overflowPunct/>
        <w:topLinePunct w:val="0"/>
        <w:autoSpaceDE/>
        <w:autoSpaceDN/>
        <w:bidi w:val="0"/>
        <w:adjustRightInd/>
        <w:snapToGrid/>
        <w:spacing w:before="0" w:after="0" w:line="360" w:lineRule="auto"/>
        <w:ind w:left="0" w:firstLine="420" w:firstLineChars="200"/>
        <w:jc w:val="left"/>
        <w:textAlignment w:val="auto"/>
        <w:rPr>
          <w:rFonts w:hint="eastAsia" w:ascii="宋体" w:hAnsi="宋体" w:eastAsia="宋体" w:cs="宋体"/>
          <w:b w:val="0"/>
          <w:bCs/>
          <w:color w:val="000000" w:themeColor="text1"/>
          <w:sz w:val="21"/>
          <w:szCs w:val="21"/>
          <w:highlight w:val="none"/>
          <w:u w:val="single"/>
          <w14:textFill>
            <w14:solidFill>
              <w14:schemeClr w14:val="tx1"/>
            </w14:solidFill>
          </w14:textFill>
        </w:rPr>
      </w:pPr>
      <w:r>
        <w:rPr>
          <w:rFonts w:hint="eastAsia" w:ascii="宋体" w:hAnsi="宋体" w:eastAsia="宋体" w:cs="宋体"/>
          <w:b w:val="0"/>
          <w:bCs/>
          <w:color w:val="000000" w:themeColor="text1"/>
          <w:sz w:val="21"/>
          <w:szCs w:val="21"/>
          <w:highlight w:val="none"/>
          <w:u w:val="single"/>
          <w14:textFill>
            <w14:solidFill>
              <w14:schemeClr w14:val="tx1"/>
            </w14:solidFill>
          </w14:textFill>
        </w:rPr>
        <w:t>11.3.5若投标人的投标报价低于工程成本警戒价的，投标人还须提供详细的施工组织设计、单价、措施性费用、单价分析表、主要材料价格表、投标人成本分析供评标委员会评审。</w:t>
      </w:r>
    </w:p>
    <w:p w14:paraId="1E686EFB">
      <w:pPr>
        <w:keepNext w:val="0"/>
        <w:keepLines w:val="0"/>
        <w:pageBreakBefore w:val="0"/>
        <w:widowControl w:val="0"/>
        <w:pBdr>
          <w:top w:val="single" w:color="auto" w:sz="4" w:space="1"/>
          <w:left w:val="none" w:color="auto" w:sz="0" w:space="4"/>
          <w:bottom w:val="none" w:color="auto" w:sz="0" w:space="1"/>
          <w:right w:val="none" w:color="auto" w:sz="0" w:space="4"/>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条款号：12.2             修改类型：修改</w:t>
      </w:r>
    </w:p>
    <w:p w14:paraId="795407EF">
      <w:pPr>
        <w:pStyle w:val="34"/>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 。</w:t>
      </w:r>
    </w:p>
    <w:p w14:paraId="3387CF45">
      <w:pPr>
        <w:pStyle w:val="34"/>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u w:val="single"/>
          <w:lang w:eastAsia="zh-CN"/>
          <w14:textFill>
            <w14:solidFill>
              <w14:schemeClr w14:val="tx1"/>
            </w14:solidFill>
          </w14:textFill>
        </w:rPr>
        <w:t>交易平台</w:t>
      </w:r>
      <w:r>
        <w:rPr>
          <w:rFonts w:hint="eastAsia" w:ascii="宋体" w:hAnsi="宋体" w:eastAsia="宋体" w:cs="宋体"/>
          <w:color w:val="000000" w:themeColor="text1"/>
          <w:szCs w:val="21"/>
          <w:highlight w:val="none"/>
          <w:u w:val="single"/>
          <w14:textFill>
            <w14:solidFill>
              <w14:schemeClr w14:val="tx1"/>
            </w14:solidFill>
          </w14:textFill>
        </w:rPr>
        <w:t>网站。</w:t>
      </w:r>
    </w:p>
    <w:p w14:paraId="2D939ED5">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注释：投标文件电子文档需要投标人单位盖章的材料，投标人加盖电子印章即可，不得将投标人未对电子文档加盖实物印章作为否决投标的情形</w:t>
      </w:r>
      <w:r>
        <w:rPr>
          <w:rFonts w:hint="eastAsia" w:ascii="宋体" w:hAnsi="宋体" w:eastAsia="宋体" w:cs="宋体"/>
          <w:color w:val="000000" w:themeColor="text1"/>
          <w:szCs w:val="21"/>
          <w:highlight w:val="none"/>
          <w14:textFill>
            <w14:solidFill>
              <w14:schemeClr w14:val="tx1"/>
            </w14:solidFill>
          </w14:textFill>
        </w:rPr>
        <w:t>。</w:t>
      </w:r>
    </w:p>
    <w:p w14:paraId="4A90D12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条款号：12.3             修改类型：修改</w:t>
      </w:r>
    </w:p>
    <w:p w14:paraId="718A56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12.3 投标文件应按照交易平台关于全流程电子化项目的相关指南进行编制，详见：。如不按上述要求编制引起系统无法检索、读取相关信息的，其后果由投标人承担。</w:t>
      </w:r>
    </w:p>
    <w:p w14:paraId="38F3C71D">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 xml:space="preserve">12.3 </w:t>
      </w:r>
      <w:r>
        <w:rPr>
          <w:rFonts w:hint="eastAsia" w:ascii="宋体" w:hAnsi="宋体" w:eastAsia="宋体" w:cs="宋体"/>
          <w:bCs/>
          <w:color w:val="000000" w:themeColor="text1"/>
          <w:szCs w:val="21"/>
          <w:highlight w:val="none"/>
          <w14:textFill>
            <w14:solidFill>
              <w14:schemeClr w14:val="tx1"/>
            </w14:solidFill>
          </w14:textFill>
        </w:rPr>
        <w:t>投标文件应按</w:t>
      </w:r>
      <w:r>
        <w:rPr>
          <w:rFonts w:hint="eastAsia" w:ascii="宋体" w:hAnsi="宋体" w:eastAsia="宋体" w:cs="宋体"/>
          <w:color w:val="000000" w:themeColor="text1"/>
          <w:szCs w:val="21"/>
          <w:highlight w:val="none"/>
          <w14:textFill>
            <w14:solidFill>
              <w14:schemeClr w14:val="tx1"/>
            </w14:solidFill>
          </w14:textFill>
        </w:rPr>
        <w:t>照交易平台关于全流程电子化项目的相关指南进行编制，详见：</w:t>
      </w:r>
      <w:r>
        <w:rPr>
          <w:rFonts w:hint="eastAsia" w:ascii="宋体" w:hAnsi="宋体" w:eastAsia="宋体" w:cs="宋体"/>
          <w:b/>
          <w:bCs/>
          <w:color w:val="000000" w:themeColor="text1"/>
          <w:kern w:val="2"/>
          <w:sz w:val="2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kern w:val="2"/>
          <w:sz w:val="21"/>
          <w:szCs w:val="21"/>
          <w:highlight w:val="none"/>
          <w:u w:val="single"/>
          <w:lang w:eastAsia="zh-CN"/>
          <w14:textFill>
            <w14:solidFill>
              <w14:schemeClr w14:val="tx1"/>
            </w14:solidFill>
          </w14:textFill>
        </w:rPr>
        <w:t>交易平台</w:t>
      </w:r>
      <w:r>
        <w:rPr>
          <w:rFonts w:hint="eastAsia" w:ascii="宋体" w:hAnsi="宋体" w:eastAsia="宋体" w:cs="宋体"/>
          <w:color w:val="000000" w:themeColor="text1"/>
          <w:kern w:val="2"/>
          <w:sz w:val="21"/>
          <w:szCs w:val="21"/>
          <w:highlight w:val="none"/>
          <w:u w:val="single"/>
          <w14:textFill>
            <w14:solidFill>
              <w14:schemeClr w14:val="tx1"/>
            </w14:solidFill>
          </w14:textFill>
        </w:rPr>
        <w:t>网站</w:t>
      </w:r>
      <w:r>
        <w:rPr>
          <w:rFonts w:hint="eastAsia" w:ascii="宋体" w:hAnsi="宋体" w:eastAsia="宋体" w:cs="宋体"/>
          <w:color w:val="000000" w:themeColor="text1"/>
          <w:szCs w:val="21"/>
          <w:highlight w:val="none"/>
          <w14:textFill>
            <w14:solidFill>
              <w14:schemeClr w14:val="tx1"/>
            </w14:solidFill>
          </w14:textFill>
        </w:rPr>
        <w:t>。</w:t>
      </w:r>
    </w:p>
    <w:p w14:paraId="15432761">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如不按上述要求编制引起系统无法检索、读取相关信息的，其后果由投标人承担</w:t>
      </w:r>
      <w:r>
        <w:rPr>
          <w:rFonts w:hint="eastAsia" w:ascii="宋体" w:hAnsi="宋体" w:eastAsia="宋体" w:cs="宋体"/>
          <w:color w:val="000000" w:themeColor="text1"/>
          <w:szCs w:val="21"/>
          <w:highlight w:val="none"/>
          <w:lang w:eastAsia="zh-CN"/>
          <w14:textFill>
            <w14:solidFill>
              <w14:schemeClr w14:val="tx1"/>
            </w14:solidFill>
          </w14:textFill>
        </w:rPr>
        <w:t>。</w:t>
      </w:r>
    </w:p>
    <w:p w14:paraId="678D5619">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条款号：13.1          修改类型：修改</w:t>
      </w:r>
    </w:p>
    <w:p w14:paraId="3148FDF3">
      <w:pPr>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13.1 本工程的投标报价采用投标须知前附表第12项所规定的方式。投标报价（含单价及总价）精确到“分”。</w:t>
      </w:r>
    </w:p>
    <w:p w14:paraId="295254E7">
      <w:pPr>
        <w:pBdr>
          <w:bottom w:val="single" w:color="auto" w:sz="4" w:space="1"/>
        </w:pBdr>
        <w:spacing w:line="360" w:lineRule="auto"/>
        <w:ind w:firstLine="422"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13.1 本工程的投标报价采用投标须知前附表第12项所规定的方式。投标报价（含单价及总价）精确到“分”。</w:t>
      </w:r>
      <w:r>
        <w:rPr>
          <w:rFonts w:hint="eastAsia" w:ascii="宋体" w:hAnsi="宋体" w:eastAsia="宋体" w:cs="宋体"/>
          <w:color w:val="000000" w:themeColor="text1"/>
          <w:szCs w:val="21"/>
          <w:highlight w:val="none"/>
          <w:u w:val="single"/>
          <w14:textFill>
            <w14:solidFill>
              <w14:schemeClr w14:val="tx1"/>
            </w14:solidFill>
          </w14:textFill>
        </w:rPr>
        <w:t>投标文件中的大写金额和小写金额不一致的，以大写金额为准</w:t>
      </w:r>
      <w:r>
        <w:rPr>
          <w:rFonts w:hint="eastAsia" w:ascii="宋体" w:hAnsi="宋体" w:eastAsia="宋体" w:cs="宋体"/>
          <w:color w:val="000000" w:themeColor="text1"/>
          <w:szCs w:val="21"/>
          <w:highlight w:val="none"/>
          <w14:textFill>
            <w14:solidFill>
              <w14:schemeClr w14:val="tx1"/>
            </w14:solidFill>
          </w14:textFill>
        </w:rPr>
        <w:t>。</w:t>
      </w:r>
    </w:p>
    <w:p w14:paraId="5D3DC339">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cs="宋体"/>
          <w:b/>
          <w:color w:val="000000" w:themeColor="text1"/>
          <w:szCs w:val="21"/>
          <w:highlight w:val="none"/>
          <w14:textFill>
            <w14:solidFill>
              <w14:schemeClr w14:val="tx1"/>
            </w14:solidFill>
          </w14:textFill>
        </w:rPr>
        <w:t>13.4          修改类型：修改</w:t>
      </w:r>
    </w:p>
    <w:p w14:paraId="54F68142">
      <w:pPr>
        <w:pStyle w:val="34"/>
        <w:keepNext w:val="0"/>
        <w:keepLines w:val="0"/>
        <w:pageBreakBefore w:val="0"/>
        <w:pBdr>
          <w:bottom w:val="single" w:color="auto" w:sz="6" w:space="0"/>
        </w:pBdr>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cs="宋体"/>
          <w:b/>
          <w:color w:val="000000" w:themeColor="text1"/>
          <w:szCs w:val="21"/>
          <w:highlight w:val="none"/>
          <w14:textFill>
            <w14:solidFill>
              <w14:schemeClr w14:val="tx1"/>
            </w14:solidFill>
          </w14:textFill>
        </w:rPr>
        <w:t>13.4</w:t>
      </w:r>
      <w:r>
        <w:rPr>
          <w:rFonts w:hint="eastAsia" w:ascii="宋体" w:hAnsi="宋体" w:cs="宋体"/>
          <w:color w:val="000000" w:themeColor="text1"/>
          <w:szCs w:val="21"/>
          <w:highlight w:val="none"/>
          <w14:textFill>
            <w14:solidFill>
              <w14:schemeClr w14:val="tx1"/>
            </w14:solidFill>
          </w14:textFill>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r>
        <w:rPr>
          <w:rFonts w:hint="eastAsia" w:ascii="宋体" w:hAnsi="宋体" w:eastAsia="宋体" w:cs="宋体"/>
          <w:bCs/>
          <w:color w:val="000000" w:themeColor="text1"/>
          <w:sz w:val="21"/>
          <w:szCs w:val="21"/>
          <w:highlight w:val="none"/>
          <w14:textFill>
            <w14:solidFill>
              <w14:schemeClr w14:val="tx1"/>
            </w14:solidFill>
          </w14:textFill>
        </w:rPr>
        <w:t>。</w:t>
      </w:r>
    </w:p>
    <w:p w14:paraId="3B7B83EE">
      <w:pPr>
        <w:pStyle w:val="34"/>
        <w:keepNext w:val="0"/>
        <w:keepLines w:val="0"/>
        <w:pageBreakBefore w:val="0"/>
        <w:pBdr>
          <w:bottom w:val="single" w:color="auto" w:sz="6" w:space="0"/>
        </w:pBdr>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cs="宋体"/>
          <w:color w:val="000000" w:themeColor="text1"/>
          <w:szCs w:val="21"/>
          <w:highlight w:val="none"/>
          <w:u w:val="none"/>
          <w14:textFill>
            <w14:solidFill>
              <w14:schemeClr w14:val="tx1"/>
            </w14:solidFill>
          </w14:textFill>
        </w:rPr>
        <w:t>13.4投标人一旦中标，投标人对招标人提供的招标工程量清单中列出的工程项目所报出的综合单价，在工程结算时将不得变更，</w:t>
      </w:r>
      <w:r>
        <w:rPr>
          <w:rFonts w:hint="eastAsia" w:ascii="宋体" w:hAnsi="宋体" w:cs="宋体"/>
          <w:color w:val="000000" w:themeColor="text1"/>
          <w:szCs w:val="21"/>
          <w:highlight w:val="none"/>
          <w:u w:val="none"/>
          <w:lang w:val="en-US" w:eastAsia="zh-CN"/>
          <w14:textFill>
            <w14:solidFill>
              <w14:schemeClr w14:val="tx1"/>
            </w14:solidFill>
          </w14:textFill>
        </w:rPr>
        <w:t>具体详见施工合同</w:t>
      </w:r>
      <w:r>
        <w:rPr>
          <w:rFonts w:hint="eastAsia" w:ascii="宋体" w:hAnsi="宋体" w:eastAsia="宋体" w:cs="宋体"/>
          <w:bCs/>
          <w:color w:val="000000" w:themeColor="text1"/>
          <w:sz w:val="21"/>
          <w:szCs w:val="21"/>
          <w:highlight w:val="none"/>
          <w14:textFill>
            <w14:solidFill>
              <w14:schemeClr w14:val="tx1"/>
            </w14:solidFill>
          </w14:textFill>
        </w:rPr>
        <w:t>。</w:t>
      </w:r>
    </w:p>
    <w:p w14:paraId="0D68BB2E">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条款号：13.5  13.5.1  13.5.2  13.5.3  13.5.4          修改类型：修改</w:t>
      </w:r>
    </w:p>
    <w:p w14:paraId="0C8F84DE">
      <w:pPr>
        <w:pStyle w:val="34"/>
        <w:pBdr>
          <w:bottom w:val="single" w:color="auto" w:sz="6" w:space="1"/>
        </w:pBdr>
        <w:spacing w:after="0"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13.5工程项目实施期间……，中标后双方协商约定。</w:t>
      </w:r>
    </w:p>
    <w:p w14:paraId="6C09E1A5">
      <w:pPr>
        <w:pStyle w:val="34"/>
        <w:pBdr>
          <w:bottom w:val="single" w:color="auto" w:sz="6" w:space="1"/>
        </w:pBdr>
        <w:spacing w:after="0" w:line="360" w:lineRule="auto"/>
        <w:ind w:firstLine="422"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13.5</w:t>
      </w:r>
      <w:r>
        <w:rPr>
          <w:rFonts w:hint="eastAsia" w:ascii="宋体" w:hAnsi="宋体" w:cs="宋体"/>
          <w:color w:val="000000" w:themeColor="text1"/>
          <w:szCs w:val="21"/>
          <w:highlight w:val="none"/>
          <w:u w:val="single"/>
          <w14:textFill>
            <w14:solidFill>
              <w14:schemeClr w14:val="tx1"/>
            </w14:solidFill>
          </w14:textFill>
        </w:rPr>
        <w:t>变更结算方式按施工合同相关规定执行。</w:t>
      </w:r>
    </w:p>
    <w:p w14:paraId="1B380799">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条款号：16.4             修改类型：修改</w:t>
      </w:r>
    </w:p>
    <w:p w14:paraId="117869C3">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bCs/>
          <w:color w:val="000000" w:themeColor="text1"/>
          <w:szCs w:val="21"/>
          <w:highlight w:val="none"/>
          <w14:textFill>
            <w14:solidFill>
              <w14:schemeClr w14:val="tx1"/>
            </w14:solidFill>
          </w14:textFill>
        </w:rPr>
        <w:t>16.4如有下列情况之一的，招标人可以不予退还投标保证金</w:t>
      </w:r>
      <w:r>
        <w:rPr>
          <w:rFonts w:hint="eastAsia" w:ascii="宋体" w:hAnsi="宋体" w:eastAsia="宋体" w:cs="宋体"/>
          <w:bCs/>
          <w:color w:val="000000" w:themeColor="text1"/>
          <w:szCs w:val="21"/>
          <w:highlight w:val="none"/>
          <w:u w:val="single"/>
          <w14:textFill>
            <w14:solidFill>
              <w14:schemeClr w14:val="tx1"/>
            </w14:solidFill>
          </w14:textFill>
        </w:rPr>
        <w:t>（是否退还投标保证金由招标人在招标文件中规定）</w:t>
      </w:r>
      <w:r>
        <w:rPr>
          <w:rFonts w:hint="eastAsia" w:ascii="宋体" w:hAnsi="宋体" w:eastAsia="宋体" w:cs="宋体"/>
          <w:bCs/>
          <w:color w:val="000000" w:themeColor="text1"/>
          <w:szCs w:val="21"/>
          <w:highlight w:val="none"/>
          <w14:textFill>
            <w14:solidFill>
              <w14:schemeClr w14:val="tx1"/>
            </w14:solidFill>
          </w14:textFill>
        </w:rPr>
        <w:t>：</w:t>
      </w:r>
    </w:p>
    <w:p w14:paraId="7C2E53F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16.4.1因投标人原因造成投标文件未解密的；</w:t>
      </w:r>
    </w:p>
    <w:p w14:paraId="7DB89B4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16.4.2投标人在投标有效期内撤销投标文件；</w:t>
      </w:r>
    </w:p>
    <w:p w14:paraId="6C5E384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16.4.3中标人未能在规定期限内按要求提交履约担保；</w:t>
      </w:r>
    </w:p>
    <w:p w14:paraId="28463490">
      <w:pPr>
        <w:pStyle w:val="34"/>
        <w:keepNext w:val="0"/>
        <w:keepLines w:val="0"/>
        <w:pageBreakBefore w:val="0"/>
        <w:pBdr>
          <w:bottom w:val="single" w:color="auto" w:sz="6" w:space="0"/>
        </w:pBd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16.4.4中标人未能在规定期限内签署合同协议。</w:t>
      </w:r>
    </w:p>
    <w:p w14:paraId="0F8E0D0C">
      <w:pPr>
        <w:pStyle w:val="34"/>
        <w:keepNext w:val="0"/>
        <w:keepLines w:val="0"/>
        <w:pageBreakBefore w:val="0"/>
        <w:pBdr>
          <w:bottom w:val="single" w:color="auto" w:sz="6" w:space="0"/>
        </w:pBdr>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bCs/>
          <w:color w:val="000000" w:themeColor="text1"/>
          <w:sz w:val="21"/>
          <w:szCs w:val="21"/>
          <w:highlight w:val="none"/>
          <w14:textFill>
            <w14:solidFill>
              <w14:schemeClr w14:val="tx1"/>
            </w14:solidFill>
          </w14:textFill>
        </w:rPr>
        <w:t>16.4如有下列情况之一的，招标人可以不予退还投标保证金：</w:t>
      </w:r>
    </w:p>
    <w:p w14:paraId="1A9D53A3">
      <w:pPr>
        <w:pStyle w:val="34"/>
        <w:keepNext w:val="0"/>
        <w:keepLines w:val="0"/>
        <w:pageBreakBefore w:val="0"/>
        <w:pBdr>
          <w:bottom w:val="single" w:color="auto" w:sz="6" w:space="0"/>
        </w:pBd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16.4.1因投标人原因造成投标文件未解密的；</w:t>
      </w:r>
    </w:p>
    <w:p w14:paraId="7ED1BD65">
      <w:pPr>
        <w:pStyle w:val="34"/>
        <w:keepNext w:val="0"/>
        <w:keepLines w:val="0"/>
        <w:pageBreakBefore w:val="0"/>
        <w:pBdr>
          <w:bottom w:val="single" w:color="auto" w:sz="6" w:space="0"/>
        </w:pBd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16.4.2投标人在投标有效期内撤销投标文件；</w:t>
      </w:r>
    </w:p>
    <w:p w14:paraId="691BD350">
      <w:pPr>
        <w:pStyle w:val="34"/>
        <w:keepNext w:val="0"/>
        <w:keepLines w:val="0"/>
        <w:pageBreakBefore w:val="0"/>
        <w:pBdr>
          <w:bottom w:val="single" w:color="auto" w:sz="6" w:space="0"/>
        </w:pBd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16.4.3中标人未能在规定期限内按要求提交履约担保；</w:t>
      </w:r>
    </w:p>
    <w:p w14:paraId="43B6C602">
      <w:pPr>
        <w:pStyle w:val="34"/>
        <w:keepNext w:val="0"/>
        <w:keepLines w:val="0"/>
        <w:pageBreakBefore w:val="0"/>
        <w:pBdr>
          <w:bottom w:val="single" w:color="auto" w:sz="6" w:space="0"/>
        </w:pBd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16.4.4中标人未能在规定期限内签署合同协议。</w:t>
      </w:r>
    </w:p>
    <w:p w14:paraId="194CD4E2">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条款号：16.5               修改类型：修改</w:t>
      </w:r>
    </w:p>
    <w:p w14:paraId="617A13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16.5投标人如存在下列情况之一的，将被拒绝在一定时期内参与招标人后续工程投标（拒绝时限需在招标文件中明确）；</w:t>
      </w:r>
    </w:p>
    <w:p w14:paraId="61CA33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16.5.1投标人存在16.4条款所列情形且投标人提交的保函、担保或保证保险无法兑付的；</w:t>
      </w:r>
    </w:p>
    <w:p w14:paraId="42522C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16.5.2采用非电子形式提交投标保证金的投标人存在16.4条款所列情形，且未按招标人要求补交银行保函、专业工程担保公司担保或保证保险原件的；</w:t>
      </w:r>
    </w:p>
    <w:p w14:paraId="7D1E4E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16.5.3按招标文件要求免于提供投标保证金的投标人存在16.4条款所列情形，且未按招标人要求补交投标保证金的；</w:t>
      </w:r>
    </w:p>
    <w:p w14:paraId="498466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16.5.3按招标文件要求免于提供投标保证金的投标人存在16.4条款所列情形的。</w:t>
      </w:r>
    </w:p>
    <w:p w14:paraId="392DE8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注：16.5.3款由招标人二选一，需在招标文件中明确。</w:t>
      </w:r>
    </w:p>
    <w:p w14:paraId="2FCF9C1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b w:val="0"/>
          <w:bCs/>
          <w:color w:val="000000" w:themeColor="text1"/>
          <w:szCs w:val="21"/>
          <w:highlight w:val="none"/>
          <w:u w:val="single"/>
          <w14:textFill>
            <w14:solidFill>
              <w14:schemeClr w14:val="tx1"/>
            </w14:solidFill>
          </w14:textFill>
        </w:rPr>
        <w:t>16.5投标人如存在下列情况之一的，将被拒绝在一年内参与招标人后续工程投标：</w:t>
      </w:r>
    </w:p>
    <w:p w14:paraId="1EFB2D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u w:val="single"/>
          <w14:textFill>
            <w14:solidFill>
              <w14:schemeClr w14:val="tx1"/>
            </w14:solidFill>
          </w14:textFill>
        </w:rPr>
      </w:pPr>
      <w:r>
        <w:rPr>
          <w:rFonts w:hint="eastAsia" w:ascii="宋体" w:hAnsi="宋体" w:eastAsia="宋体" w:cs="宋体"/>
          <w:b w:val="0"/>
          <w:bCs/>
          <w:color w:val="000000" w:themeColor="text1"/>
          <w:szCs w:val="21"/>
          <w:highlight w:val="none"/>
          <w:u w:val="single"/>
          <w14:textFill>
            <w14:solidFill>
              <w14:schemeClr w14:val="tx1"/>
            </w14:solidFill>
          </w14:textFill>
        </w:rPr>
        <w:t>16.5.1投标人存在16.4条款所列情形且投标人提交的保函、担保或保证保险无法兑付的；</w:t>
      </w:r>
    </w:p>
    <w:p w14:paraId="0B9A46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highlight w:val="none"/>
          <w:u w:val="single"/>
          <w14:textFill>
            <w14:solidFill>
              <w14:schemeClr w14:val="tx1"/>
            </w14:solidFill>
          </w14:textFill>
        </w:rPr>
      </w:pPr>
      <w:r>
        <w:rPr>
          <w:rFonts w:hint="eastAsia" w:ascii="宋体" w:hAnsi="宋体" w:eastAsia="宋体" w:cs="宋体"/>
          <w:b w:val="0"/>
          <w:bCs/>
          <w:color w:val="000000" w:themeColor="text1"/>
          <w:szCs w:val="21"/>
          <w:highlight w:val="none"/>
          <w:u w:val="single"/>
          <w14:textFill>
            <w14:solidFill>
              <w14:schemeClr w14:val="tx1"/>
            </w14:solidFill>
          </w14:textFill>
        </w:rPr>
        <w:t>16.5.2采用非电子形式提交投标保证金的投标人存在16.4条款所列情形，且未按招标人要求补交银行保函、专业工程担保公司担保或保证保险原件的。</w:t>
      </w:r>
    </w:p>
    <w:p w14:paraId="5605DC82">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条款号：17.1             修改类型：修改</w:t>
      </w:r>
    </w:p>
    <w:p w14:paraId="74BDB99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sz w:val="21"/>
          <w:szCs w:val="21"/>
          <w:highlight w:val="none"/>
          <w14:textFill>
            <w14:solidFill>
              <w14:schemeClr w14:val="tx1"/>
            </w14:solidFill>
          </w14:textFill>
        </w:rPr>
        <w:t>17.1</w:t>
      </w:r>
      <w:r>
        <w:rPr>
          <w:rFonts w:hint="eastAsia" w:ascii="宋体" w:hAnsi="宋体" w:eastAsia="宋体" w:cs="宋体"/>
          <w:bCs/>
          <w:color w:val="000000" w:themeColor="text1"/>
          <w:sz w:val="21"/>
          <w:szCs w:val="21"/>
          <w:highlight w:val="none"/>
          <w14:textFill>
            <w14:solidFill>
              <w14:schemeClr w14:val="tx1"/>
            </w14:solidFill>
          </w14:textFill>
        </w:rPr>
        <w:t>投标人应采用单位数字证书，按招标文件要求在相应位置加盖电子印章。投标文件中需个人签字或盖章的，</w:t>
      </w:r>
      <w:r>
        <w:rPr>
          <w:rFonts w:hint="eastAsia" w:ascii="宋体" w:hAnsi="宋体" w:eastAsia="宋体" w:cs="宋体"/>
          <w:b/>
          <w:color w:val="000000" w:themeColor="text1"/>
          <w:sz w:val="21"/>
          <w:szCs w:val="21"/>
          <w:highlight w:val="none"/>
          <w14:textFill>
            <w14:solidFill>
              <w14:schemeClr w14:val="tx1"/>
            </w14:solidFill>
          </w14:textFill>
        </w:rPr>
        <w:t>应加盖个人电子印章或在线下完成后扫描上传。</w:t>
      </w:r>
      <w:r>
        <w:rPr>
          <w:rFonts w:hint="eastAsia" w:ascii="宋体" w:hAnsi="宋体" w:eastAsia="宋体" w:cs="宋体"/>
          <w:bCs/>
          <w:color w:val="000000" w:themeColor="text1"/>
          <w:sz w:val="21"/>
          <w:szCs w:val="21"/>
          <w:highlight w:val="none"/>
          <w14:textFill>
            <w14:solidFill>
              <w14:schemeClr w14:val="tx1"/>
            </w14:solidFill>
          </w14:textFill>
        </w:rPr>
        <w:t>按照交易平台关于全流程电子化项目的相关指南进行操作。详见：。</w:t>
      </w:r>
    </w:p>
    <w:p w14:paraId="7109D297">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sz w:val="21"/>
          <w:szCs w:val="21"/>
          <w:highlight w:val="none"/>
          <w14:textFill>
            <w14:solidFill>
              <w14:schemeClr w14:val="tx1"/>
            </w14:solidFill>
          </w14:textFill>
        </w:rPr>
        <w:t>17.1</w:t>
      </w:r>
      <w:r>
        <w:rPr>
          <w:rFonts w:hint="eastAsia" w:ascii="宋体" w:hAnsi="宋体" w:eastAsia="宋体" w:cs="宋体"/>
          <w:bCs/>
          <w:color w:val="000000" w:themeColor="text1"/>
          <w:sz w:val="21"/>
          <w:szCs w:val="21"/>
          <w:highlight w:val="none"/>
          <w14:textFill>
            <w14:solidFill>
              <w14:schemeClr w14:val="tx1"/>
            </w14:solidFill>
          </w14:textFill>
        </w:rPr>
        <w:t>投标人应采用单位数字证书，按招标文件要求在相应位置加盖电子印章。投标文件中需个人签字或盖章的，</w:t>
      </w:r>
      <w:r>
        <w:rPr>
          <w:rFonts w:hint="eastAsia" w:ascii="宋体" w:hAnsi="宋体" w:eastAsia="宋体" w:cs="宋体"/>
          <w:b/>
          <w:color w:val="000000" w:themeColor="text1"/>
          <w:sz w:val="21"/>
          <w:szCs w:val="21"/>
          <w:highlight w:val="none"/>
          <w14:textFill>
            <w14:solidFill>
              <w14:schemeClr w14:val="tx1"/>
            </w14:solidFill>
          </w14:textFill>
        </w:rPr>
        <w:t>应加盖个人电子印章或在线下完成后扫描上传。</w:t>
      </w:r>
      <w:r>
        <w:rPr>
          <w:rFonts w:hint="eastAsia" w:ascii="宋体" w:hAnsi="宋体" w:eastAsia="宋体" w:cs="宋体"/>
          <w:bCs/>
          <w:color w:val="000000" w:themeColor="text1"/>
          <w:sz w:val="21"/>
          <w:szCs w:val="21"/>
          <w:highlight w:val="none"/>
          <w14:textFill>
            <w14:solidFill>
              <w14:schemeClr w14:val="tx1"/>
            </w14:solidFill>
          </w14:textFill>
        </w:rPr>
        <w:t>按照交易平台关于全流程电子化项目的相关指南进行操作。详见：</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交易平台网站</w:t>
      </w:r>
      <w:r>
        <w:rPr>
          <w:rFonts w:hint="eastAsia" w:ascii="宋体" w:hAnsi="宋体" w:eastAsia="宋体" w:cs="宋体"/>
          <w:color w:val="000000" w:themeColor="text1"/>
          <w:sz w:val="21"/>
          <w:szCs w:val="21"/>
          <w:highlight w:val="none"/>
          <w14:textFill>
            <w14:solidFill>
              <w14:schemeClr w14:val="tx1"/>
            </w14:solidFill>
          </w14:textFill>
        </w:rPr>
        <w:t>。</w:t>
      </w:r>
    </w:p>
    <w:p w14:paraId="53834D55">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注释：投标文件电子文档需要投标人单位盖章的材料，投标人加盖电子印章即可，不得将投标人未对电子文档加盖实物印章作为否决投标的情形。</w:t>
      </w:r>
    </w:p>
    <w:p w14:paraId="568736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条款号：18.1、18.2             修改类型：修改</w:t>
      </w:r>
    </w:p>
    <w:p w14:paraId="42B43347">
      <w:pPr>
        <w:pStyle w:val="34"/>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bCs/>
          <w:color w:val="000000" w:themeColor="text1"/>
          <w:szCs w:val="21"/>
          <w:highlight w:val="none"/>
          <w14:textFill>
            <w14:solidFill>
              <w14:schemeClr w14:val="tx1"/>
            </w14:solidFill>
          </w14:textFill>
        </w:rPr>
        <w:t>18.1递交的电子投标文件（不含备用光盘）必须进行加密。按照交易平台关于</w:t>
      </w:r>
      <w:r>
        <w:rPr>
          <w:rFonts w:hint="eastAsia" w:ascii="宋体" w:hAnsi="宋体" w:eastAsia="宋体" w:cs="宋体"/>
          <w:color w:val="000000" w:themeColor="text1"/>
          <w:szCs w:val="21"/>
          <w:highlight w:val="none"/>
          <w14:textFill>
            <w14:solidFill>
              <w14:schemeClr w14:val="tx1"/>
            </w14:solidFill>
          </w14:textFill>
        </w:rPr>
        <w:t>全流程电子化项目的相关指南进行操作。详见： 。</w:t>
      </w:r>
    </w:p>
    <w:p w14:paraId="1A7FD7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18.2未按要求加密的投标文件，</w:t>
      </w:r>
      <w:r>
        <w:rPr>
          <w:rFonts w:hint="eastAsia" w:ascii="宋体" w:hAnsi="宋体" w:eastAsia="宋体" w:cs="宋体"/>
          <w:color w:val="000000" w:themeColor="text1"/>
          <w:szCs w:val="21"/>
          <w:highlight w:val="none"/>
          <w14:textFill>
            <w14:solidFill>
              <w14:schemeClr w14:val="tx1"/>
            </w14:solidFill>
          </w14:textFill>
        </w:rPr>
        <w:t>交易平台</w:t>
      </w:r>
      <w:r>
        <w:rPr>
          <w:rFonts w:hint="eastAsia" w:ascii="宋体" w:hAnsi="宋体" w:eastAsia="宋体" w:cs="宋体"/>
          <w:bCs/>
          <w:color w:val="000000" w:themeColor="text1"/>
          <w:szCs w:val="21"/>
          <w:highlight w:val="none"/>
          <w14:textFill>
            <w14:solidFill>
              <w14:schemeClr w14:val="tx1"/>
            </w14:solidFill>
          </w14:textFill>
        </w:rPr>
        <w:t>将予以拒收。</w:t>
      </w:r>
    </w:p>
    <w:p w14:paraId="599462F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bCs/>
          <w:color w:val="000000" w:themeColor="text1"/>
          <w:sz w:val="21"/>
          <w:szCs w:val="21"/>
          <w:highlight w:val="none"/>
          <w14:textFill>
            <w14:solidFill>
              <w14:schemeClr w14:val="tx1"/>
            </w14:solidFill>
          </w14:textFill>
        </w:rPr>
        <w:t>18.1</w:t>
      </w:r>
      <w:r>
        <w:rPr>
          <w:rFonts w:hint="eastAsia" w:ascii="宋体" w:hAnsi="宋体" w:eastAsia="宋体" w:cs="宋体"/>
          <w:color w:val="000000" w:themeColor="text1"/>
          <w:sz w:val="21"/>
          <w:szCs w:val="21"/>
          <w:highlight w:val="none"/>
          <w14:textFill>
            <w14:solidFill>
              <w14:schemeClr w14:val="tx1"/>
            </w14:solidFill>
          </w14:textFill>
        </w:rPr>
        <w:t>递交的电子投标文件（不含备用</w:t>
      </w:r>
      <w:r>
        <w:rPr>
          <w:rFonts w:hint="eastAsia" w:ascii="宋体" w:hAnsi="宋体" w:eastAsia="宋体" w:cs="宋体"/>
          <w:color w:val="000000" w:themeColor="text1"/>
          <w:sz w:val="21"/>
          <w:szCs w:val="21"/>
          <w:highlight w:val="none"/>
          <w:u w:val="single"/>
          <w14:textFill>
            <w14:solidFill>
              <w14:schemeClr w14:val="tx1"/>
            </w14:solidFill>
          </w14:textFill>
        </w:rPr>
        <w:t>U盘</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光盘</w:t>
      </w:r>
      <w:r>
        <w:rPr>
          <w:rFonts w:hint="eastAsia" w:ascii="宋体" w:hAnsi="宋体" w:eastAsia="宋体" w:cs="宋体"/>
          <w:color w:val="000000" w:themeColor="text1"/>
          <w:sz w:val="21"/>
          <w:szCs w:val="21"/>
          <w:highlight w:val="none"/>
          <w14:textFill>
            <w14:solidFill>
              <w14:schemeClr w14:val="tx1"/>
            </w14:solidFill>
          </w14:textFill>
        </w:rPr>
        <w:t>）必须进行加密。按照交易平台关于全流程电子化项目的相关指南进行操作。详见：</w:t>
      </w:r>
      <w: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交易平台</w:t>
      </w:r>
      <w:r>
        <w:rPr>
          <w:rFonts w:hint="eastAsia" w:ascii="宋体" w:hAnsi="宋体" w:eastAsia="宋体" w:cs="宋体"/>
          <w:color w:val="000000" w:themeColor="text1"/>
          <w:sz w:val="21"/>
          <w:szCs w:val="21"/>
          <w:highlight w:val="none"/>
          <w:u w:val="single"/>
          <w14:textFill>
            <w14:solidFill>
              <w14:schemeClr w14:val="tx1"/>
            </w14:solidFill>
          </w14:textFill>
        </w:rPr>
        <w:t>网站</w:t>
      </w:r>
      <w:r>
        <w:rPr>
          <w:rFonts w:hint="eastAsia" w:ascii="宋体" w:hAnsi="宋体" w:eastAsia="宋体" w:cs="宋体"/>
          <w:color w:val="000000" w:themeColor="text1"/>
          <w:sz w:val="21"/>
          <w:szCs w:val="21"/>
          <w:highlight w:val="none"/>
          <w14:textFill>
            <w14:solidFill>
              <w14:schemeClr w14:val="tx1"/>
            </w14:solidFill>
          </w14:textFill>
        </w:rPr>
        <w:t>。</w:t>
      </w:r>
    </w:p>
    <w:p w14:paraId="2DD06A81">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18.2 未按要求加密的投标文件，</w:t>
      </w:r>
      <w: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 w:val="21"/>
          <w:szCs w:val="21"/>
          <w:highlight w:val="none"/>
          <w14:textFill>
            <w14:solidFill>
              <w14:schemeClr w14:val="tx1"/>
            </w14:solidFill>
          </w14:textFill>
        </w:rPr>
        <w:t>交易平台将予以拒收</w:t>
      </w:r>
      <w:r>
        <w:rPr>
          <w:rFonts w:hint="eastAsia" w:ascii="宋体" w:hAnsi="宋体" w:eastAsia="宋体" w:cs="宋体"/>
          <w:bCs/>
          <w:color w:val="000000" w:themeColor="text1"/>
          <w:sz w:val="21"/>
          <w:szCs w:val="21"/>
          <w:highlight w:val="none"/>
          <w14:textFill>
            <w14:solidFill>
              <w14:schemeClr w14:val="tx1"/>
            </w14:solidFill>
          </w14:textFill>
        </w:rPr>
        <w:t>。</w:t>
      </w:r>
    </w:p>
    <w:p w14:paraId="1ED5469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条款号：19.1、19.2、19.3             修改类型：修改</w:t>
      </w:r>
    </w:p>
    <w:p w14:paraId="0EA392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bCs/>
          <w:color w:val="000000" w:themeColor="text1"/>
          <w:szCs w:val="21"/>
          <w:highlight w:val="none"/>
          <w14:textFill>
            <w14:solidFill>
              <w14:schemeClr w14:val="tx1"/>
            </w14:solidFill>
          </w14:textFill>
        </w:rPr>
        <w:t>19.1投标人通过</w:t>
      </w:r>
      <w:r>
        <w:rPr>
          <w:rFonts w:hint="eastAsia" w:ascii="宋体" w:hAnsi="宋体" w:eastAsia="宋体" w:cs="宋体"/>
          <w:color w:val="000000" w:themeColor="text1"/>
          <w:szCs w:val="21"/>
          <w:highlight w:val="none"/>
          <w14:textFill>
            <w14:solidFill>
              <w14:schemeClr w14:val="tx1"/>
            </w14:solidFill>
          </w14:textFill>
        </w:rPr>
        <w:t>交易平台递交电子投标文件。</w:t>
      </w:r>
    </w:p>
    <w:p w14:paraId="7F6FD6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19.2投标人完成电子</w:t>
      </w:r>
      <w:r>
        <w:rPr>
          <w:rFonts w:hint="eastAsia" w:ascii="宋体" w:hAnsi="宋体" w:eastAsia="宋体" w:cs="宋体"/>
          <w:color w:val="000000" w:themeColor="text1"/>
          <w:szCs w:val="21"/>
          <w:highlight w:val="none"/>
          <w14:textFill>
            <w14:solidFill>
              <w14:schemeClr w14:val="tx1"/>
            </w14:solidFill>
          </w14:textFill>
        </w:rPr>
        <w:t>投标文件</w:t>
      </w:r>
      <w:r>
        <w:rPr>
          <w:rFonts w:hint="eastAsia" w:ascii="宋体" w:hAnsi="宋体" w:eastAsia="宋体" w:cs="宋体"/>
          <w:bCs/>
          <w:color w:val="000000" w:themeColor="text1"/>
          <w:szCs w:val="21"/>
          <w:highlight w:val="none"/>
          <w14:textFill>
            <w14:solidFill>
              <w14:schemeClr w14:val="tx1"/>
            </w14:solidFill>
          </w14:textFill>
        </w:rPr>
        <w:t>上传后，</w:t>
      </w:r>
      <w:r>
        <w:rPr>
          <w:rFonts w:hint="eastAsia" w:ascii="宋体" w:hAnsi="宋体" w:eastAsia="宋体" w:cs="宋体"/>
          <w:color w:val="000000" w:themeColor="text1"/>
          <w:szCs w:val="21"/>
          <w:highlight w:val="none"/>
          <w14:textFill>
            <w14:solidFill>
              <w14:schemeClr w14:val="tx1"/>
            </w14:solidFill>
          </w14:textFill>
        </w:rPr>
        <w:t>交易平台即时向投标人发出递交回执通知。递交时间以递交回执通知载明的传输完成时间为准。</w:t>
      </w:r>
    </w:p>
    <w:p w14:paraId="1CBB1E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19.3逾期送达的电子投标文件，</w:t>
      </w:r>
      <w:r>
        <w:rPr>
          <w:rFonts w:hint="eastAsia" w:ascii="宋体" w:hAnsi="宋体" w:eastAsia="宋体" w:cs="宋体"/>
          <w:color w:val="000000" w:themeColor="text1"/>
          <w:szCs w:val="21"/>
          <w:highlight w:val="none"/>
          <w14:textFill>
            <w14:solidFill>
              <w14:schemeClr w14:val="tx1"/>
            </w14:solidFill>
          </w14:textFill>
        </w:rPr>
        <w:t>交易平台将予以拒收。</w:t>
      </w:r>
    </w:p>
    <w:p w14:paraId="3D012C8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bCs/>
          <w:color w:val="000000" w:themeColor="text1"/>
          <w:szCs w:val="21"/>
          <w:highlight w:val="none"/>
          <w14:textFill>
            <w14:solidFill>
              <w14:schemeClr w14:val="tx1"/>
            </w14:solidFill>
          </w14:textFill>
        </w:rPr>
        <w:t>19.1投标人通过</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交易平台递交电子投标文件。</w:t>
      </w:r>
    </w:p>
    <w:p w14:paraId="68BC91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19.2投标人完成电子</w:t>
      </w:r>
      <w:r>
        <w:rPr>
          <w:rFonts w:hint="eastAsia" w:ascii="宋体" w:hAnsi="宋体" w:eastAsia="宋体" w:cs="宋体"/>
          <w:color w:val="000000" w:themeColor="text1"/>
          <w:szCs w:val="21"/>
          <w:highlight w:val="none"/>
          <w14:textFill>
            <w14:solidFill>
              <w14:schemeClr w14:val="tx1"/>
            </w14:solidFill>
          </w14:textFill>
        </w:rPr>
        <w:t>投标文件</w:t>
      </w:r>
      <w:r>
        <w:rPr>
          <w:rFonts w:hint="eastAsia" w:ascii="宋体" w:hAnsi="宋体" w:eastAsia="宋体" w:cs="宋体"/>
          <w:bCs/>
          <w:color w:val="000000" w:themeColor="text1"/>
          <w:szCs w:val="21"/>
          <w:highlight w:val="none"/>
          <w14:textFill>
            <w14:solidFill>
              <w14:schemeClr w14:val="tx1"/>
            </w14:solidFill>
          </w14:textFill>
        </w:rPr>
        <w:t>上传后，</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交易平台即时向投标人发出递交回执通知。递交时间以递交回执通知载明的传输完成时间为准。</w:t>
      </w:r>
    </w:p>
    <w:p w14:paraId="6CAE62AC">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19.3逾期送达的电子投标文件，</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交易平台将予以拒收。</w:t>
      </w:r>
    </w:p>
    <w:p w14:paraId="52DD5D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仿宋" w:hAnsi="仿宋" w:eastAsia="仿宋" w:cs="仿宋"/>
          <w:b/>
          <w:color w:val="000000" w:themeColor="text1"/>
          <w:szCs w:val="21"/>
          <w:highlight w:val="none"/>
          <w14:textFill>
            <w14:solidFill>
              <w14:schemeClr w14:val="tx1"/>
            </w14:solidFill>
          </w14:textFill>
        </w:rPr>
        <w:t>19.5</w:t>
      </w:r>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19.6             修改类型：删除</w:t>
      </w:r>
    </w:p>
    <w:p w14:paraId="41DDAD6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b w:val="0"/>
          <w:bCs/>
          <w:color w:val="000000" w:themeColor="text1"/>
          <w:szCs w:val="21"/>
          <w:highlight w:val="none"/>
          <w14:textFill>
            <w14:solidFill>
              <w14:schemeClr w14:val="tx1"/>
            </w14:solidFill>
          </w14:textFill>
        </w:rPr>
        <w:t>19.5如技术标和经济标先后分别开启，交易平台将按招标文件规定的时间分别开启技术标和经济标</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3B3AD8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19.6在规定的时间内，项目负责人须到自助签到。按照交易平台有关项目负责人自助签到流程进行操作。项目负责人凡未凭身份证按时到达指定地点签到的，该投标文件将不能参与资格审查和评标（选择性条款）</w:t>
      </w:r>
      <w:r>
        <w:rPr>
          <w:rFonts w:hint="eastAsia" w:ascii="宋体" w:hAnsi="宋体" w:eastAsia="宋体" w:cs="宋体"/>
          <w:color w:val="000000" w:themeColor="text1"/>
          <w:szCs w:val="21"/>
          <w:highlight w:val="none"/>
          <w14:textFill>
            <w14:solidFill>
              <w14:schemeClr w14:val="tx1"/>
            </w14:solidFill>
          </w14:textFill>
        </w:rPr>
        <w:t>。</w:t>
      </w:r>
    </w:p>
    <w:p w14:paraId="245B1F5A">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条款号：21.1             修改类型：修改</w:t>
      </w:r>
    </w:p>
    <w:p w14:paraId="7DBD57E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21.1 本须知前附表第17项规定的投标截止时间</w:t>
      </w:r>
      <w:r>
        <w:rPr>
          <w:rFonts w:hint="eastAsia" w:ascii="宋体" w:hAnsi="宋体" w:eastAsia="宋体" w:cs="宋体"/>
          <w:bCs/>
          <w:color w:val="000000" w:themeColor="text1"/>
          <w:szCs w:val="21"/>
          <w:highlight w:val="none"/>
          <w14:textFill>
            <w14:solidFill>
              <w14:schemeClr w14:val="tx1"/>
            </w14:solidFill>
          </w14:textFill>
        </w:rPr>
        <w:t>后送达的电子投标文件，</w:t>
      </w:r>
      <w:r>
        <w:rPr>
          <w:rFonts w:hint="eastAsia" w:ascii="宋体" w:hAnsi="宋体" w:eastAsia="宋体" w:cs="宋体"/>
          <w:color w:val="000000" w:themeColor="text1"/>
          <w:szCs w:val="21"/>
          <w:highlight w:val="none"/>
          <w14:textFill>
            <w14:solidFill>
              <w14:schemeClr w14:val="tx1"/>
            </w14:solidFill>
          </w14:textFill>
        </w:rPr>
        <w:t>交易平台将予以拒收。</w:t>
      </w:r>
    </w:p>
    <w:p w14:paraId="3E560D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21.1 本须知前附表第17项规定的投标截止时间</w:t>
      </w:r>
      <w:r>
        <w:rPr>
          <w:rFonts w:hint="eastAsia" w:ascii="宋体" w:hAnsi="宋体" w:eastAsia="宋体" w:cs="宋体"/>
          <w:bCs/>
          <w:color w:val="000000" w:themeColor="text1"/>
          <w:szCs w:val="21"/>
          <w:highlight w:val="none"/>
          <w14:textFill>
            <w14:solidFill>
              <w14:schemeClr w14:val="tx1"/>
            </w14:solidFill>
          </w14:textFill>
        </w:rPr>
        <w:t>后送达的电子投标文件，</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交易平台将予以拒收。</w:t>
      </w:r>
    </w:p>
    <w:p w14:paraId="14A45695">
      <w:pPr>
        <w:pBdr>
          <w:top w:val="single" w:color="auto" w:sz="4" w:space="0"/>
        </w:pBd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条款号：27.1             修改类型：修改</w:t>
      </w:r>
    </w:p>
    <w:p w14:paraId="30D03B45">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27.1招标人将在交易平台、广东省招标投标监管网和中国招标投标公共服务平台公示中标候选人，公示期为三天。</w:t>
      </w:r>
    </w:p>
    <w:p w14:paraId="1A8C87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27.1</w:t>
      </w:r>
      <w:r>
        <w:rPr>
          <w:rFonts w:hint="eastAsia" w:ascii="宋体" w:hAnsi="宋体" w:eastAsia="宋体" w:cs="宋体"/>
          <w:bCs/>
          <w:color w:val="000000" w:themeColor="text1"/>
          <w:kern w:val="0"/>
          <w:szCs w:val="21"/>
          <w:highlight w:val="none"/>
          <w:u w:val="single"/>
          <w14:textFill>
            <w14:solidFill>
              <w14:schemeClr w14:val="tx1"/>
            </w14:solidFill>
          </w14:textFill>
        </w:rPr>
        <w:t>招标人将在</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bCs/>
          <w:color w:val="000000" w:themeColor="text1"/>
          <w:kern w:val="0"/>
          <w:szCs w:val="21"/>
          <w:highlight w:val="none"/>
          <w:u w:val="single"/>
          <w14:textFill>
            <w14:solidFill>
              <w14:schemeClr w14:val="tx1"/>
            </w14:solidFill>
          </w14:textFill>
        </w:rPr>
        <w:t>交易平台、广东省招标投标监管网和中国招标投标公共服务平台公示中标候选人，公示期为三天。</w:t>
      </w:r>
      <w:r>
        <w:rPr>
          <w:rFonts w:hint="eastAsia" w:ascii="宋体" w:hAnsi="宋体" w:eastAsia="宋体" w:cs="宋体"/>
          <w:color w:val="000000" w:themeColor="text1"/>
          <w:szCs w:val="21"/>
          <w:highlight w:val="none"/>
          <w:u w:val="single"/>
          <w14:textFill>
            <w14:solidFill>
              <w14:schemeClr w14:val="tx1"/>
            </w14:solidFill>
          </w14:textFill>
        </w:rPr>
        <w:t>最后一日为工作日。</w:t>
      </w:r>
      <w:r>
        <w:rPr>
          <w:rFonts w:hint="eastAsia" w:ascii="宋体" w:hAnsi="宋体" w:eastAsia="宋体" w:cs="宋体"/>
          <w:b/>
          <w:bCs/>
          <w:color w:val="000000" w:themeColor="text1"/>
          <w:kern w:val="0"/>
          <w:szCs w:val="21"/>
          <w:highlight w:val="none"/>
          <w:u w:val="single"/>
          <w14:textFill>
            <w14:solidFill>
              <w14:schemeClr w14:val="tx1"/>
            </w14:solidFill>
          </w14:textFill>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eastAsia="宋体" w:cs="宋体"/>
          <w:bCs/>
          <w:color w:val="000000" w:themeColor="text1"/>
          <w:szCs w:val="21"/>
          <w:highlight w:val="none"/>
          <w:u w:val="single"/>
          <w14:textFill>
            <w14:solidFill>
              <w14:schemeClr w14:val="tx1"/>
            </w14:solidFill>
          </w14:textFill>
        </w:rPr>
        <w:t>。</w:t>
      </w:r>
    </w:p>
    <w:p w14:paraId="1B78DDE8">
      <w:pPr>
        <w:pBdr>
          <w:top w:val="single" w:color="auto" w:sz="4" w:space="0"/>
        </w:pBd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条款号：27.4             修改类型：修改</w:t>
      </w:r>
    </w:p>
    <w:p w14:paraId="5F65C97E">
      <w:pPr>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27.4在产生中标候选人后，招标人将中标候选人的投标文件商务部分文件的所有内容（包括报价清单、人员、业绩、奖项等资料）在交易平台和广东省招标投标监管网公开。</w:t>
      </w:r>
    </w:p>
    <w:p w14:paraId="1EF190F9">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27.4在产生中标候选人后，招标人将中标候选人的投标文件商务部分文件的所有内容（包括人员、业绩、奖项等资料）在</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交易平台和广东省招标投标监管网公开。</w:t>
      </w:r>
      <w:r>
        <w:rPr>
          <w:rFonts w:hint="eastAsia" w:ascii="宋体" w:hAnsi="宋体" w:eastAsia="宋体" w:cs="宋体"/>
          <w:color w:val="000000" w:themeColor="text1"/>
          <w:szCs w:val="21"/>
          <w:highlight w:val="none"/>
          <w:u w:val="single"/>
          <w14:textFill>
            <w14:solidFill>
              <w14:schemeClr w14:val="tx1"/>
            </w14:solidFill>
          </w14:textFill>
        </w:rPr>
        <w:t>中标候选人在收到招标代理通知后需提供一份PDF格式电子文档给招标人用于中标候选人公示，PDF格式电子文档需为已覆盖个人隐私的投标文件商务部分文件（包括人员、业绩、奖项等资料），所提供的投标文件商务部分文件内容需与投标时所有内容一致，报价清单、施工方案等涉及商业秘密的内容不需要提供</w:t>
      </w:r>
      <w:r>
        <w:rPr>
          <w:rFonts w:hint="eastAsia" w:ascii="宋体" w:hAnsi="宋体" w:eastAsia="宋体" w:cs="宋体"/>
          <w:color w:val="000000" w:themeColor="text1"/>
          <w:szCs w:val="21"/>
          <w:highlight w:val="none"/>
          <w14:textFill>
            <w14:solidFill>
              <w14:schemeClr w14:val="tx1"/>
            </w14:solidFill>
          </w14:textFill>
        </w:rPr>
        <w:t>。</w:t>
      </w:r>
    </w:p>
    <w:p w14:paraId="59A57323">
      <w:pPr>
        <w:pBdr>
          <w:top w:val="single" w:color="auto" w:sz="4" w:space="0"/>
        </w:pBd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条款号：29.2              修改类型：修改</w:t>
      </w:r>
    </w:p>
    <w:p w14:paraId="4A279BC9">
      <w:pP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原文：29.2</w:t>
      </w:r>
      <w:r>
        <w:rPr>
          <w:rFonts w:hint="eastAsia" w:ascii="宋体" w:hAnsi="宋体" w:cs="宋体"/>
          <w:color w:val="000000" w:themeColor="text1"/>
          <w:szCs w:val="21"/>
          <w:highlight w:val="none"/>
          <w14:textFill>
            <w14:solidFill>
              <w14:schemeClr w14:val="tx1"/>
            </w14:solidFill>
          </w14:textFill>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9775A17">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现文：29.2</w:t>
      </w:r>
      <w:r>
        <w:rPr>
          <w:rFonts w:hint="eastAsia" w:ascii="宋体" w:hAnsi="宋体" w:cs="宋体"/>
          <w:color w:val="000000" w:themeColor="text1"/>
          <w:szCs w:val="21"/>
          <w:highlight w:val="none"/>
          <w14:textFill>
            <w14:solidFill>
              <w14:schemeClr w14:val="tx1"/>
            </w14:solidFill>
          </w14:textFill>
        </w:rPr>
        <w:t>中标通知书发出之日起</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b/>
          <w:bCs/>
          <w:color w:val="000000" w:themeColor="text1"/>
          <w:szCs w:val="21"/>
          <w:highlight w:val="none"/>
          <w:u w:val="single"/>
          <w14:textFill>
            <w14:solidFill>
              <w14:schemeClr w14:val="tx1"/>
            </w14:solidFill>
          </w14:textFill>
        </w:rPr>
        <w:t>内</w:t>
      </w:r>
      <w:r>
        <w:rPr>
          <w:rFonts w:hint="eastAsia" w:ascii="宋体" w:hAnsi="宋体" w:cs="宋体"/>
          <w:color w:val="000000" w:themeColor="text1"/>
          <w:szCs w:val="21"/>
          <w:highlight w:val="none"/>
          <w14:textFill>
            <w14:solidFill>
              <w14:schemeClr w14:val="tx1"/>
            </w14:solidFill>
          </w14:textFill>
        </w:rPr>
        <w:t>，中标人未按上款的规定提交履约担保，招标人</w:t>
      </w:r>
      <w:r>
        <w:rPr>
          <w:rFonts w:hint="eastAsia" w:ascii="宋体" w:hAnsi="宋体" w:cs="宋体"/>
          <w:color w:val="000000" w:themeColor="text1"/>
          <w:szCs w:val="21"/>
          <w:highlight w:val="none"/>
          <w:u w:val="single"/>
          <w14:textFill>
            <w14:solidFill>
              <w14:schemeClr w14:val="tx1"/>
            </w14:solidFill>
          </w14:textFill>
        </w:rPr>
        <w:t>有权</w:t>
      </w:r>
      <w:r>
        <w:rPr>
          <w:rFonts w:hint="eastAsia" w:ascii="宋体" w:hAnsi="宋体" w:cs="宋体"/>
          <w:color w:val="000000" w:themeColor="text1"/>
          <w:szCs w:val="21"/>
          <w:highlight w:val="none"/>
          <w14:textFill>
            <w14:solidFill>
              <w14:schemeClr w14:val="tx1"/>
            </w14:solidFill>
          </w14:textFill>
        </w:rPr>
        <w:t>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eastAsia="宋体" w:cs="宋体"/>
          <w:color w:val="000000" w:themeColor="text1"/>
          <w:sz w:val="21"/>
          <w:szCs w:val="21"/>
          <w:highlight w:val="none"/>
          <w14:textFill>
            <w14:solidFill>
              <w14:schemeClr w14:val="tx1"/>
            </w14:solidFill>
          </w14:textFill>
        </w:rPr>
        <w:t>。</w:t>
      </w:r>
    </w:p>
    <w:p w14:paraId="53D507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条款号：32.3            修改类型：修改</w:t>
      </w:r>
    </w:p>
    <w:p w14:paraId="49B87848">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sz w:val="21"/>
          <w:szCs w:val="21"/>
          <w:highlight w:val="none"/>
          <w14:textFill>
            <w14:solidFill>
              <w14:schemeClr w14:val="tx1"/>
            </w14:solidFill>
          </w14:textFill>
        </w:rPr>
        <w:t>32.3、投标人如在本项目中存在串通投标、弄虚作假、行贿情形的，中标无效，行政监督部门将对其违法行为进行</w:t>
      </w:r>
      <w:r>
        <w:rPr>
          <w:rFonts w:hint="eastAsia" w:ascii="宋体" w:hAnsi="宋体" w:eastAsia="宋体" w:cs="宋体"/>
          <w:color w:val="000000" w:themeColor="text1"/>
          <w:sz w:val="21"/>
          <w:szCs w:val="21"/>
          <w:highlight w:val="none"/>
          <w:lang w:eastAsia="zh-CN"/>
          <w14:textFill>
            <w14:solidFill>
              <w14:schemeClr w14:val="tx1"/>
            </w14:solidFill>
          </w14:textFill>
        </w:rPr>
        <w:t>行</w:t>
      </w:r>
      <w:r>
        <w:rPr>
          <w:rFonts w:hint="eastAsia" w:ascii="宋体" w:hAnsi="宋体" w:eastAsia="宋体" w:cs="宋体"/>
          <w:color w:val="000000" w:themeColor="text1"/>
          <w:sz w:val="21"/>
          <w:szCs w:val="21"/>
          <w:highlight w:val="none"/>
          <w14:textFill>
            <w14:solidFill>
              <w14:schemeClr w14:val="tx1"/>
            </w14:solidFill>
          </w14:textFill>
        </w:rPr>
        <w:t>政处罚并通报。该投标人将被招标人列入黑名单并限制其参与招标人后续项目的投标。</w:t>
      </w:r>
    </w:p>
    <w:p w14:paraId="218BBF98">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现文：</w:t>
      </w:r>
      <w:r>
        <w:rPr>
          <w:rFonts w:hint="eastAsia" w:ascii="宋体" w:hAnsi="宋体" w:eastAsia="宋体" w:cs="宋体"/>
          <w:bCs/>
          <w:color w:val="000000" w:themeColor="text1"/>
          <w:kern w:val="0"/>
          <w:sz w:val="21"/>
          <w:szCs w:val="21"/>
          <w:highlight w:val="none"/>
          <w14:textFill>
            <w14:solidFill>
              <w14:schemeClr w14:val="tx1"/>
            </w14:solidFill>
          </w14:textFill>
        </w:rPr>
        <w:t>32.3投标人如在本项目中存在串通投标、弄虚作假</w:t>
      </w:r>
      <w:r>
        <w:rPr>
          <w:rFonts w:hint="eastAsia" w:ascii="宋体" w:hAnsi="宋体" w:eastAsia="宋体" w:cs="宋体"/>
          <w:b/>
          <w:color w:val="000000" w:themeColor="text1"/>
          <w:kern w:val="0"/>
          <w:sz w:val="21"/>
          <w:szCs w:val="21"/>
          <w:highlight w:val="none"/>
          <w:u w:val="single"/>
          <w14:textFill>
            <w14:solidFill>
              <w14:schemeClr w14:val="tx1"/>
            </w14:solidFill>
          </w14:textFill>
        </w:rPr>
        <w:t>骗取中标</w:t>
      </w:r>
      <w:r>
        <w:rPr>
          <w:rFonts w:hint="eastAsia" w:ascii="宋体" w:hAnsi="宋体" w:eastAsia="宋体" w:cs="宋体"/>
          <w:bCs/>
          <w:color w:val="000000" w:themeColor="text1"/>
          <w:kern w:val="0"/>
          <w:sz w:val="21"/>
          <w:szCs w:val="21"/>
          <w:highlight w:val="none"/>
          <w14:textFill>
            <w14:solidFill>
              <w14:schemeClr w14:val="tx1"/>
            </w14:solidFill>
          </w14:textFill>
        </w:rPr>
        <w:t>、行贿情形的，中标无效，行政监督部门将对其违法行为进行政处罚。</w:t>
      </w:r>
      <w:r>
        <w:rPr>
          <w:rFonts w:hint="eastAsia" w:ascii="宋体" w:hAnsi="宋体" w:eastAsia="宋体" w:cs="宋体"/>
          <w:b/>
          <w:color w:val="000000" w:themeColor="text1"/>
          <w:kern w:val="0"/>
          <w:sz w:val="21"/>
          <w:szCs w:val="21"/>
          <w:highlight w:val="none"/>
          <w:u w:val="single"/>
          <w14:textFill>
            <w14:solidFill>
              <w14:schemeClr w14:val="tx1"/>
            </w14:solidFill>
          </w14:textFill>
        </w:rPr>
        <w:t>该投标人将被招标人列入黑名单并限制其参与招标人后续项目的投标。</w:t>
      </w:r>
    </w:p>
    <w:p w14:paraId="55B42A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条款号：33.             修改类型：删除</w:t>
      </w:r>
    </w:p>
    <w:p w14:paraId="60E3A267">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sz w:val="21"/>
          <w:szCs w:val="21"/>
          <w:highlight w:val="none"/>
          <w14:textFill>
            <w14:solidFill>
              <w14:schemeClr w14:val="tx1"/>
            </w14:solidFill>
          </w14:textFill>
        </w:rPr>
        <w:t>33、投标人信誉的要求</w:t>
      </w:r>
    </w:p>
    <w:p w14:paraId="20E5CEE9">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存在下列情形之一的，招标人可以限制其投标（需在招标文件中明确评定方法）</w:t>
      </w:r>
    </w:p>
    <w:p w14:paraId="475E61F1">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（1）被住房城乡建设行政主管部门在全国建筑市场监管一体化工作平台列入建筑市场主体“黑名单”；</w:t>
      </w:r>
    </w:p>
    <w:p w14:paraId="2C35E32B">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（2）被发改委、人力资源社会保障、质检总局等有关部门、单位在“信用中国”网站中列入联合惩戒失信黑名单。</w:t>
      </w:r>
    </w:p>
    <w:p w14:paraId="315DB47D">
      <w:pPr>
        <w:pBdr>
          <w:top w:val="single" w:color="auto" w:sz="4" w:space="0"/>
        </w:pBdr>
        <w:spacing w:line="360" w:lineRule="auto"/>
        <w:ind w:firstLine="211" w:firstLineChars="100"/>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注：以上修改，仅限于本范本中有可供选择条款的情形。</w:t>
      </w:r>
    </w:p>
    <w:p w14:paraId="34EA2866">
      <w:pPr>
        <w:spacing w:line="360" w:lineRule="auto"/>
        <w:rPr>
          <w:color w:val="000000" w:themeColor="text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（以下无正文）</w:t>
      </w:r>
    </w:p>
    <w:p w14:paraId="0422F3BC">
      <w:pPr>
        <w:pStyle w:val="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5" w:name="_Toc16035"/>
      <w:bookmarkStart w:id="6" w:name="_Toc2272548"/>
      <w:bookmarkStart w:id="7" w:name="_Toc29033"/>
      <w:r>
        <w:rPr>
          <w:rFonts w:hint="eastAsia"/>
          <w:color w:val="000000" w:themeColor="text1"/>
          <w:highlight w:val="none"/>
          <w14:textFill>
            <w14:solidFill>
              <w14:schemeClr w14:val="tx1"/>
            </w14:solidFill>
          </w14:textFill>
        </w:rPr>
        <w:t>三、投标须知通用条款</w:t>
      </w:r>
      <w:bookmarkEnd w:id="5"/>
      <w:bookmarkEnd w:id="6"/>
      <w:bookmarkEnd w:id="7"/>
    </w:p>
    <w:p w14:paraId="7C1F0C2D">
      <w:pPr>
        <w:pStyle w:val="4"/>
        <w:spacing w:before="156" w:after="156"/>
        <w:rPr>
          <w:color w:val="000000" w:themeColor="text1"/>
          <w:highlight w:val="none"/>
          <w14:textFill>
            <w14:solidFill>
              <w14:schemeClr w14:val="tx1"/>
            </w14:solidFill>
          </w14:textFill>
        </w:rPr>
      </w:pPr>
      <w:bookmarkStart w:id="8" w:name="_Toc2272549"/>
      <w:bookmarkStart w:id="9" w:name="_Toc32267"/>
      <w:bookmarkStart w:id="10" w:name="_Toc7843"/>
      <w:r>
        <w:rPr>
          <w:rFonts w:hint="eastAsia"/>
          <w:color w:val="000000" w:themeColor="text1"/>
          <w:highlight w:val="none"/>
          <w14:textFill>
            <w14:solidFill>
              <w14:schemeClr w14:val="tx1"/>
            </w14:solidFill>
          </w14:textFill>
        </w:rPr>
        <w:t>（一）总则</w:t>
      </w:r>
      <w:bookmarkEnd w:id="8"/>
      <w:bookmarkEnd w:id="9"/>
      <w:bookmarkEnd w:id="10"/>
    </w:p>
    <w:p w14:paraId="2C075C3C">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、定义</w:t>
      </w:r>
    </w:p>
    <w:p w14:paraId="549221EB">
      <w:pPr>
        <w:pStyle w:val="34"/>
        <w:spacing w:after="0" w:line="360" w:lineRule="auto"/>
        <w:ind w:firstLine="480" w:firstLineChars="200"/>
        <w:rPr>
          <w:rFonts w:asci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本招标文件使用的下列词语具有如下规定的意义：</w:t>
      </w:r>
    </w:p>
    <w:p w14:paraId="4189AEE6">
      <w:pPr>
        <w:pStyle w:val="34"/>
        <w:spacing w:after="0" w:line="360" w:lineRule="auto"/>
        <w:ind w:firstLine="480" w:firstLineChars="200"/>
        <w:rPr>
          <w:rFonts w:ascii="宋体"/>
          <w:b/>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）“招标人”（即发包人）、“项目建设管理单位</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（或称“项目代建单位”）、“招标代理”、“设计单位”、“监理单位”均已在投标须知前附表中列明。</w:t>
      </w:r>
    </w:p>
    <w:p w14:paraId="6FF81E66">
      <w:pPr>
        <w:pStyle w:val="34"/>
        <w:spacing w:after="0"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）“投标人”指向招标人提交投标文件的当事人。</w:t>
      </w:r>
    </w:p>
    <w:p w14:paraId="653A77A8">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）“承包人”指其投标被招标人接受并与其签订承包合同的当事人。</w:t>
      </w:r>
    </w:p>
    <w:p w14:paraId="099417E0">
      <w:pPr>
        <w:pStyle w:val="34"/>
        <w:spacing w:after="0"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）“招标文件”指由招标代理发出的本文件（包括全部章节、附件）及招标答疑会会议纪要和</w:t>
      </w:r>
      <w:r>
        <w:rPr>
          <w:rFonts w:hint="eastAsia" w:ascii="宋体" w:hAnsi="宋体"/>
          <w:bCs/>
          <w:color w:val="000000" w:themeColor="text1"/>
          <w:sz w:val="24"/>
          <w:highlight w:val="none"/>
          <w14:textFill>
            <w14:solidFill>
              <w14:schemeClr w14:val="tx1"/>
            </w14:solidFill>
          </w14:textFill>
        </w:rPr>
        <w:t>招标文件的澄清与修改</w:t>
      </w:r>
      <w:r>
        <w:rPr>
          <w:rFonts w:hint="eastAsia" w:ascii="宋体" w:hAnsi="宋体"/>
          <w:color w:val="000000" w:themeColor="text1"/>
          <w:sz w:val="24"/>
          <w:highlight w:val="none"/>
          <w14:textFill>
            <w14:solidFill>
              <w14:schemeClr w14:val="tx1"/>
            </w14:solidFill>
          </w14:textFill>
        </w:rPr>
        <w:t>文件。</w:t>
      </w:r>
    </w:p>
    <w:p w14:paraId="16F8585C">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）“投标文件”指投标人根据本项目招标文件向招标人提交的全部文件。</w:t>
      </w:r>
    </w:p>
    <w:p w14:paraId="1EC84F1A">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）“书面形式”指打字或印刷的文件和数据电文（包括电报、电传、传真、电子数据交换和电子邮件）。</w:t>
      </w:r>
    </w:p>
    <w:p w14:paraId="55864DE3">
      <w:pPr>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、招标说明</w:t>
      </w:r>
    </w:p>
    <w:p w14:paraId="74E1FCBE">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2.1</w:t>
      </w:r>
      <w:r>
        <w:rPr>
          <w:rFonts w:hint="eastAsia" w:ascii="宋体" w:hAnsi="宋体"/>
          <w:bCs/>
          <w:color w:val="000000" w:themeColor="text1"/>
          <w:sz w:val="24"/>
          <w:highlight w:val="none"/>
          <w14:textFill>
            <w14:solidFill>
              <w14:schemeClr w14:val="tx1"/>
            </w14:solidFill>
          </w14:textFill>
        </w:rPr>
        <w:t>本招标工程项目按照《中华人民共和国招标投标法》等有关法律、行政法规、规章和规范性文件，通过招标方式选定承包人。</w:t>
      </w:r>
    </w:p>
    <w:p w14:paraId="0CD34D42">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2.2</w:t>
      </w:r>
      <w:r>
        <w:rPr>
          <w:rFonts w:hint="eastAsia" w:ascii="宋体" w:hAnsi="宋体"/>
          <w:bCs/>
          <w:color w:val="000000" w:themeColor="text1"/>
          <w:sz w:val="24"/>
          <w:highlight w:val="none"/>
          <w14:textFill>
            <w14:solidFill>
              <w14:schemeClr w14:val="tx1"/>
            </w14:solidFill>
          </w14:textFill>
        </w:rPr>
        <w:t>工程名称、建设地点、建设规模、承包方式、质量标准、招标范围、工期要求等均在投标须知前附表中列明。</w:t>
      </w:r>
    </w:p>
    <w:p w14:paraId="3220840C">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2.3</w:t>
      </w:r>
      <w:r>
        <w:rPr>
          <w:rFonts w:hint="eastAsia" w:ascii="宋体" w:hAnsi="宋体"/>
          <w:bCs/>
          <w:color w:val="000000" w:themeColor="text1"/>
          <w:sz w:val="24"/>
          <w:highlight w:val="none"/>
          <w14:textFill>
            <w14:solidFill>
              <w14:schemeClr w14:val="tx1"/>
            </w14:solidFill>
          </w14:textFill>
        </w:rPr>
        <w:t>设计说明：详见招标图纸。</w:t>
      </w:r>
    </w:p>
    <w:p w14:paraId="482EC92C">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2.4</w:t>
      </w:r>
      <w:r>
        <w:rPr>
          <w:rFonts w:hint="eastAsia" w:ascii="宋体" w:hAnsi="宋体"/>
          <w:bCs/>
          <w:color w:val="000000" w:themeColor="text1"/>
          <w:sz w:val="24"/>
          <w:highlight w:val="none"/>
          <w14:textFill>
            <w14:solidFill>
              <w14:schemeClr w14:val="tx1"/>
            </w14:solidFill>
          </w14:textFill>
        </w:rPr>
        <w:t>工程施工特点：详见招标图纸。</w:t>
      </w:r>
    </w:p>
    <w:p w14:paraId="67666285">
      <w:pPr>
        <w:tabs>
          <w:tab w:val="left" w:pos="105"/>
        </w:tabs>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．资金来源</w:t>
      </w:r>
    </w:p>
    <w:p w14:paraId="1D34E697">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3.1</w:t>
      </w:r>
      <w:r>
        <w:rPr>
          <w:rFonts w:hint="eastAsia" w:ascii="宋体" w:hAnsi="宋体"/>
          <w:bCs/>
          <w:color w:val="000000" w:themeColor="text1"/>
          <w:sz w:val="24"/>
          <w:highlight w:val="none"/>
          <w14:textFill>
            <w14:solidFill>
              <w14:schemeClr w14:val="tx1"/>
            </w14:solidFill>
          </w14:textFill>
        </w:rPr>
        <w:t>本招标工程项目资金来源见投标须知前附表第</w:t>
      </w:r>
      <w:r>
        <w:rPr>
          <w:rFonts w:ascii="宋体" w:hAnsi="宋体"/>
          <w:bCs/>
          <w:color w:val="000000" w:themeColor="text1"/>
          <w:sz w:val="24"/>
          <w:highlight w:val="none"/>
          <w14:textFill>
            <w14:solidFill>
              <w14:schemeClr w14:val="tx1"/>
            </w14:solidFill>
          </w14:textFill>
        </w:rPr>
        <w:t>9</w:t>
      </w:r>
      <w:r>
        <w:rPr>
          <w:rFonts w:hint="eastAsia" w:ascii="宋体" w:hAnsi="宋体"/>
          <w:bCs/>
          <w:color w:val="000000" w:themeColor="text1"/>
          <w:sz w:val="24"/>
          <w:highlight w:val="none"/>
          <w14:textFill>
            <w14:solidFill>
              <w14:schemeClr w14:val="tx1"/>
            </w14:solidFill>
          </w14:textFill>
        </w:rPr>
        <w:t>项</w:t>
      </w:r>
    </w:p>
    <w:p w14:paraId="30A1B23C">
      <w:pPr>
        <w:tabs>
          <w:tab w:val="left" w:pos="105"/>
        </w:tabs>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4</w:t>
      </w:r>
      <w:r>
        <w:rPr>
          <w:rFonts w:hint="eastAsia" w:ascii="宋体" w:hAnsi="宋体"/>
          <w:b/>
          <w:color w:val="000000" w:themeColor="text1"/>
          <w:sz w:val="24"/>
          <w:highlight w:val="none"/>
          <w14:textFill>
            <w14:solidFill>
              <w14:schemeClr w14:val="tx1"/>
            </w14:solidFill>
          </w14:textFill>
        </w:rPr>
        <w:t>．合格投标人的条件</w:t>
      </w:r>
    </w:p>
    <w:p w14:paraId="65582EB2">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4.1</w:t>
      </w:r>
      <w:r>
        <w:rPr>
          <w:rFonts w:hint="eastAsia" w:ascii="宋体" w:hAnsi="宋体"/>
          <w:bCs/>
          <w:color w:val="000000" w:themeColor="text1"/>
          <w:sz w:val="24"/>
          <w:highlight w:val="none"/>
          <w14:textFill>
            <w14:solidFill>
              <w14:schemeClr w14:val="tx1"/>
            </w14:solidFill>
          </w14:textFill>
        </w:rPr>
        <w:t>详见本项目招标公告</w:t>
      </w:r>
    </w:p>
    <w:p w14:paraId="686E4B38">
      <w:pPr>
        <w:tabs>
          <w:tab w:val="left" w:pos="105"/>
        </w:tabs>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5</w:t>
      </w:r>
      <w:r>
        <w:rPr>
          <w:rFonts w:hint="eastAsia" w:ascii="宋体" w:hAnsi="宋体"/>
          <w:b/>
          <w:color w:val="000000" w:themeColor="text1"/>
          <w:sz w:val="24"/>
          <w:highlight w:val="none"/>
          <w14:textFill>
            <w14:solidFill>
              <w14:schemeClr w14:val="tx1"/>
            </w14:solidFill>
          </w14:textFill>
        </w:rPr>
        <w:t>．踏勘现场</w:t>
      </w:r>
    </w:p>
    <w:p w14:paraId="79B517CF">
      <w:pPr>
        <w:spacing w:line="360" w:lineRule="auto"/>
        <w:ind w:firstLine="480" w:firstLineChars="200"/>
        <w:rPr>
          <w:rFonts w:ascii="宋体"/>
          <w:bCs/>
          <w:color w:val="000000" w:themeColor="text1"/>
          <w:sz w:val="24"/>
          <w:highlight w:val="none"/>
          <w:u w:val="singl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5.1 </w:t>
      </w:r>
      <w:r>
        <w:rPr>
          <w:rFonts w:hint="eastAsia" w:ascii="宋体" w:hAnsi="宋体"/>
          <w:bCs/>
          <w:color w:val="000000" w:themeColor="text1"/>
          <w:sz w:val="24"/>
          <w:highlight w:val="none"/>
          <w14:textFill>
            <w14:solidFill>
              <w14:schemeClr w14:val="tx1"/>
            </w14:solidFill>
          </w14:textFill>
        </w:rPr>
        <w:t>投标人应按本投标须知前附表第</w:t>
      </w:r>
      <w:r>
        <w:rPr>
          <w:rFonts w:ascii="宋体" w:hAnsi="宋体"/>
          <w:bCs/>
          <w:color w:val="000000" w:themeColor="text1"/>
          <w:sz w:val="24"/>
          <w:highlight w:val="none"/>
          <w14:textFill>
            <w14:solidFill>
              <w14:schemeClr w14:val="tx1"/>
            </w14:solidFill>
          </w14:textFill>
        </w:rPr>
        <w:t>15</w:t>
      </w:r>
      <w:r>
        <w:rPr>
          <w:rFonts w:hint="eastAsia" w:ascii="宋体" w:hAnsi="宋体"/>
          <w:bCs/>
          <w:color w:val="000000" w:themeColor="text1"/>
          <w:sz w:val="24"/>
          <w:highlight w:val="none"/>
          <w14:textFill>
            <w14:solidFill>
              <w14:schemeClr w14:val="tx1"/>
            </w14:solidFill>
          </w14:textFill>
        </w:rPr>
        <w:t>项所述时间和要求对工程现场及周围环境进行踏勘，</w:t>
      </w:r>
      <w:r>
        <w:rPr>
          <w:rFonts w:hint="eastAsia" w:ascii="宋体" w:hAnsi="宋体"/>
          <w:color w:val="000000" w:themeColor="text1"/>
          <w:sz w:val="24"/>
          <w:highlight w:val="none"/>
          <w14:textFill>
            <w14:solidFill>
              <w14:schemeClr w14:val="tx1"/>
            </w14:solidFill>
          </w14:textFill>
        </w:rPr>
        <w:t>投标人应充分重视和仔细地进行这种考察，</w:t>
      </w:r>
      <w:r>
        <w:rPr>
          <w:rFonts w:hint="eastAsia" w:ascii="宋体" w:hAnsi="宋体"/>
          <w:bCs/>
          <w:color w:val="000000" w:themeColor="text1"/>
          <w:sz w:val="24"/>
          <w:highlight w:val="none"/>
          <w14:textFill>
            <w14:solidFill>
              <w14:schemeClr w14:val="tx1"/>
            </w14:solidFill>
          </w14:textFill>
        </w:rPr>
        <w:t>以便投标人获取</w:t>
      </w:r>
      <w:r>
        <w:rPr>
          <w:rFonts w:hint="eastAsia" w:ascii="宋体" w:hAnsi="宋体"/>
          <w:color w:val="000000" w:themeColor="text1"/>
          <w:sz w:val="24"/>
          <w:highlight w:val="none"/>
          <w14:textFill>
            <w14:solidFill>
              <w14:schemeClr w14:val="tx1"/>
            </w14:solidFill>
          </w14:textFill>
        </w:rPr>
        <w:t>那些须投标人自己负责的</w:t>
      </w:r>
      <w:r>
        <w:rPr>
          <w:rFonts w:hint="eastAsia" w:ascii="宋体" w:hAnsi="宋体"/>
          <w:bCs/>
          <w:color w:val="000000" w:themeColor="text1"/>
          <w:sz w:val="24"/>
          <w:highlight w:val="none"/>
          <w14:textFill>
            <w14:solidFill>
              <w14:schemeClr w14:val="tx1"/>
            </w14:solidFill>
          </w14:textFill>
        </w:rPr>
        <w:t>有关编制投标文件和签署合同所涉及现场所有的资料。</w:t>
      </w:r>
      <w:r>
        <w:rPr>
          <w:rFonts w:hint="eastAsia" w:ascii="宋体" w:hAnsi="宋体"/>
          <w:color w:val="000000" w:themeColor="text1"/>
          <w:sz w:val="24"/>
          <w:highlight w:val="none"/>
          <w14:textFill>
            <w14:solidFill>
              <w14:schemeClr w14:val="tx1"/>
            </w14:solidFill>
          </w14:textFill>
        </w:rPr>
        <w:t>一旦中标，这种考察即被认为其结果已在中标文件中得到充分反映。考察现场的费用由投标人自己承担。</w:t>
      </w:r>
    </w:p>
    <w:p w14:paraId="7FACAC07">
      <w:pPr>
        <w:tabs>
          <w:tab w:val="left" w:pos="105"/>
        </w:tabs>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5.2 </w:t>
      </w:r>
      <w:r>
        <w:rPr>
          <w:rFonts w:hint="eastAsia" w:ascii="宋体" w:hAnsi="宋体"/>
          <w:bCs/>
          <w:color w:val="000000" w:themeColor="text1"/>
          <w:sz w:val="24"/>
          <w:highlight w:val="none"/>
          <w14:textFill>
            <w14:solidFill>
              <w14:schemeClr w14:val="tx1"/>
            </w14:solidFill>
          </w14:textFill>
        </w:rPr>
        <w:t>招标人向投标人提供的有关现场的数据和资料，是招标人现有的能被投标人利用的资料，招标人对投标人做出的任何推论、理解和结论均不负责任。</w:t>
      </w:r>
    </w:p>
    <w:p w14:paraId="793415B7">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5.3 </w:t>
      </w:r>
      <w:r>
        <w:rPr>
          <w:rFonts w:hint="eastAsia" w:ascii="宋体" w:hAnsi="宋体"/>
          <w:bCs/>
          <w:color w:val="000000" w:themeColor="text1"/>
          <w:sz w:val="24"/>
          <w:highlight w:val="none"/>
          <w14:textFill>
            <w14:solidFill>
              <w14:schemeClr w14:val="tx1"/>
            </w14:solidFill>
          </w14:textFill>
        </w:rPr>
        <w:t>经招标人允许，投标人可为踏勘目的进入招标人的项目现场。</w:t>
      </w:r>
      <w:r>
        <w:rPr>
          <w:rFonts w:hint="eastAsia" w:ascii="宋体" w:hAnsi="宋体"/>
          <w:color w:val="000000" w:themeColor="text1"/>
          <w:sz w:val="24"/>
          <w:highlight w:val="none"/>
          <w14:textFill>
            <w14:solidFill>
              <w14:schemeClr w14:val="tx1"/>
            </w14:solidFill>
          </w14:textFill>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000000" w:themeColor="text1"/>
          <w:sz w:val="24"/>
          <w:highlight w:val="none"/>
          <w14:textFill>
            <w14:solidFill>
              <w14:schemeClr w14:val="tx1"/>
            </w14:solidFill>
          </w14:textFill>
        </w:rPr>
        <w:t>投标人不得因此使招标人承担有关的责任和蒙受损失。</w:t>
      </w:r>
    </w:p>
    <w:p w14:paraId="5D127419">
      <w:pPr>
        <w:tabs>
          <w:tab w:val="left" w:pos="105"/>
        </w:tabs>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6</w:t>
      </w:r>
      <w:r>
        <w:rPr>
          <w:rFonts w:hint="eastAsia" w:ascii="宋体" w:hAnsi="宋体"/>
          <w:b/>
          <w:color w:val="000000" w:themeColor="text1"/>
          <w:sz w:val="24"/>
          <w:highlight w:val="none"/>
          <w14:textFill>
            <w14:solidFill>
              <w14:schemeClr w14:val="tx1"/>
            </w14:solidFill>
          </w14:textFill>
        </w:rPr>
        <w:t>．投标费用</w:t>
      </w:r>
    </w:p>
    <w:p w14:paraId="47DBC7D2">
      <w:pPr>
        <w:tabs>
          <w:tab w:val="left" w:pos="105"/>
        </w:tabs>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6.1</w:t>
      </w:r>
      <w:r>
        <w:rPr>
          <w:rFonts w:hint="eastAsia" w:ascii="宋体" w:hAnsi="宋体"/>
          <w:color w:val="000000" w:themeColor="text1"/>
          <w:sz w:val="24"/>
          <w:highlight w:val="none"/>
          <w14:textFill>
            <w14:solidFill>
              <w14:schemeClr w14:val="tx1"/>
            </w14:solidFill>
          </w14:textFill>
        </w:rPr>
        <w:t>不论投标结果如何，投标人应承担</w:t>
      </w:r>
      <w:r>
        <w:rPr>
          <w:rFonts w:hint="eastAsia" w:ascii="宋体" w:hAnsi="宋体"/>
          <w:bCs/>
          <w:color w:val="000000" w:themeColor="text1"/>
          <w:sz w:val="24"/>
          <w:highlight w:val="none"/>
          <w14:textFill>
            <w14:solidFill>
              <w14:schemeClr w14:val="tx1"/>
            </w14:solidFill>
          </w14:textFill>
        </w:rPr>
        <w:t>自身</w:t>
      </w:r>
      <w:r>
        <w:rPr>
          <w:rFonts w:hint="eastAsia" w:ascii="宋体" w:hAnsi="宋体"/>
          <w:color w:val="000000" w:themeColor="text1"/>
          <w:sz w:val="24"/>
          <w:highlight w:val="none"/>
          <w14:textFill>
            <w14:solidFill>
              <w14:schemeClr w14:val="tx1"/>
            </w14:solidFill>
          </w14:textFill>
        </w:rPr>
        <w:t>因投标文件编制、递交及其他</w:t>
      </w:r>
      <w:r>
        <w:rPr>
          <w:rFonts w:hint="eastAsia" w:ascii="宋体" w:hAnsi="宋体"/>
          <w:bCs/>
          <w:color w:val="000000" w:themeColor="text1"/>
          <w:sz w:val="24"/>
          <w:highlight w:val="none"/>
          <w14:textFill>
            <w14:solidFill>
              <w14:schemeClr w14:val="tx1"/>
            </w14:solidFill>
          </w14:textFill>
        </w:rPr>
        <w:t>参加本招标活动</w:t>
      </w:r>
      <w:r>
        <w:rPr>
          <w:rFonts w:hint="eastAsia" w:ascii="宋体" w:hAnsi="宋体"/>
          <w:color w:val="000000" w:themeColor="text1"/>
          <w:sz w:val="24"/>
          <w:highlight w:val="none"/>
          <w14:textFill>
            <w14:solidFill>
              <w14:schemeClr w14:val="tx1"/>
            </w14:solidFill>
          </w14:textFill>
        </w:rPr>
        <w:t>所涉及的一切费用，招标人对上述费用不负任何责任。</w:t>
      </w:r>
    </w:p>
    <w:p w14:paraId="72022386">
      <w:pPr>
        <w:pStyle w:val="4"/>
        <w:spacing w:before="156" w:after="156"/>
        <w:rPr>
          <w:color w:val="000000" w:themeColor="text1"/>
          <w:highlight w:val="none"/>
          <w14:textFill>
            <w14:solidFill>
              <w14:schemeClr w14:val="tx1"/>
            </w14:solidFill>
          </w14:textFill>
        </w:rPr>
      </w:pPr>
      <w:bookmarkStart w:id="11" w:name="_Toc17792"/>
      <w:bookmarkStart w:id="12" w:name="_Toc28794"/>
      <w:bookmarkStart w:id="13" w:name="_Toc2272550"/>
      <w:r>
        <w:rPr>
          <w:rFonts w:hint="eastAsia"/>
          <w:color w:val="000000" w:themeColor="text1"/>
          <w:highlight w:val="none"/>
          <w14:textFill>
            <w14:solidFill>
              <w14:schemeClr w14:val="tx1"/>
            </w14:solidFill>
          </w14:textFill>
        </w:rPr>
        <w:t>（二）招标文件</w:t>
      </w:r>
      <w:bookmarkEnd w:id="11"/>
      <w:bookmarkEnd w:id="12"/>
      <w:bookmarkEnd w:id="13"/>
    </w:p>
    <w:p w14:paraId="36CEA9D2">
      <w:pPr>
        <w:tabs>
          <w:tab w:val="left" w:pos="105"/>
        </w:tabs>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招标文件的组成</w:t>
      </w:r>
    </w:p>
    <w:p w14:paraId="66F3C344">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7.1本招标文件包括下列文件，以及所有按本须知第8条发出的招标答疑会会议纪要和按本须知第9条发出的澄清或修改：</w:t>
      </w:r>
    </w:p>
    <w:p w14:paraId="55E41945">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第一章  投标须知</w:t>
      </w:r>
    </w:p>
    <w:p w14:paraId="787CD2D3">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第二章  开标、评标及定标办法</w:t>
      </w:r>
    </w:p>
    <w:p w14:paraId="5F3DF7D9">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第三章  合同条款</w:t>
      </w:r>
    </w:p>
    <w:p w14:paraId="586F9DA8">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第四章  投标文件格式</w:t>
      </w:r>
    </w:p>
    <w:p w14:paraId="748B28AD">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第五章  技术条件（工程建设标准）（另册）</w:t>
      </w:r>
    </w:p>
    <w:p w14:paraId="18705593">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第六章  图纸及勘察资料（另册）</w:t>
      </w:r>
    </w:p>
    <w:p w14:paraId="781783A3">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第七章  招标工程量清单（另册）</w:t>
      </w:r>
    </w:p>
    <w:p w14:paraId="2205FB82">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第八章  最高投标限价</w:t>
      </w:r>
    </w:p>
    <w:p w14:paraId="66CAF598">
      <w:pPr>
        <w:pStyle w:val="34"/>
        <w:spacing w:after="0" w:line="360" w:lineRule="auto"/>
        <w:ind w:left="-2" w:firstLine="480" w:firstLineChars="200"/>
        <w:rPr>
          <w:rFonts w:asci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注：招标人应在技术条件（工程建设标准）中明确施工现场建筑垃圾源头减量的具体要求和建筑垃圾综合利用产品的使用要求。</w:t>
      </w:r>
    </w:p>
    <w:p w14:paraId="5D2337CF">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7.2 </w:t>
      </w:r>
      <w:r>
        <w:rPr>
          <w:rFonts w:hint="eastAsia" w:ascii="宋体" w:hAnsi="宋体"/>
          <w:color w:val="000000" w:themeColor="text1"/>
          <w:sz w:val="24"/>
          <w:highlight w:val="none"/>
          <w14:textFill>
            <w14:solidFill>
              <w14:schemeClr w14:val="tx1"/>
            </w14:solidFill>
          </w14:textFill>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2E9526A5">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7.3 </w:t>
      </w:r>
      <w:r>
        <w:rPr>
          <w:rFonts w:hint="eastAsia" w:ascii="宋体" w:hAnsi="宋体"/>
          <w:color w:val="000000" w:themeColor="text1"/>
          <w:sz w:val="24"/>
          <w:highlight w:val="none"/>
          <w14:textFill>
            <w14:solidFill>
              <w14:schemeClr w14:val="tx1"/>
            </w14:solidFill>
          </w14:textFill>
        </w:rPr>
        <w:t>投标人一旦中标，招标文件的内容对招标人和中标人双方均有约束力。</w:t>
      </w:r>
    </w:p>
    <w:p w14:paraId="41027E68">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8</w:t>
      </w:r>
      <w:r>
        <w:rPr>
          <w:rFonts w:hint="eastAsia" w:ascii="宋体" w:hAnsi="宋体"/>
          <w:b/>
          <w:bCs/>
          <w:color w:val="000000" w:themeColor="text1"/>
          <w:sz w:val="24"/>
          <w:highlight w:val="none"/>
          <w14:textFill>
            <w14:solidFill>
              <w14:schemeClr w14:val="tx1"/>
            </w14:solidFill>
          </w14:textFill>
        </w:rPr>
        <w:t>．招标答疑</w:t>
      </w:r>
    </w:p>
    <w:p w14:paraId="5A1DA5DE">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8.1 </w:t>
      </w:r>
      <w:r>
        <w:rPr>
          <w:rFonts w:hint="eastAsia" w:ascii="宋体" w:hAnsi="宋体"/>
          <w:color w:val="000000" w:themeColor="text1"/>
          <w:sz w:val="24"/>
          <w:highlight w:val="none"/>
          <w14:textFill>
            <w14:solidFill>
              <w14:schemeClr w14:val="tx1"/>
            </w14:solidFill>
          </w14:textFill>
        </w:rPr>
        <w:t>投标人若对招标文件（包括招标图纸）中有疑问，可以书面形式</w:t>
      </w:r>
      <w:r>
        <w:rPr>
          <w:rFonts w:hint="eastAsia"/>
          <w:color w:val="000000" w:themeColor="text1"/>
          <w:sz w:val="24"/>
          <w:szCs w:val="24"/>
          <w:highlight w:val="none"/>
          <w14:textFill>
            <w14:solidFill>
              <w14:schemeClr w14:val="tx1"/>
            </w14:solidFill>
          </w14:textFill>
        </w:rPr>
        <w:t>通过</w:t>
      </w:r>
      <w:r>
        <w:rPr>
          <w:rFonts w:hint="eastAsia" w:ascii="宋体" w:hAnsi="宋体"/>
          <w:color w:val="000000" w:themeColor="text1"/>
          <w:sz w:val="24"/>
          <w:szCs w:val="24"/>
          <w:highlight w:val="none"/>
          <w14:textFill>
            <w14:solidFill>
              <w14:schemeClr w14:val="tx1"/>
            </w14:solidFill>
          </w14:textFill>
        </w:rPr>
        <w:t>交易平台</w:t>
      </w:r>
      <w:r>
        <w:rPr>
          <w:rFonts w:hint="eastAsia"/>
          <w:color w:val="000000" w:themeColor="text1"/>
          <w:sz w:val="24"/>
          <w:szCs w:val="24"/>
          <w:highlight w:val="none"/>
          <w14:textFill>
            <w14:solidFill>
              <w14:schemeClr w14:val="tx1"/>
            </w14:solidFill>
          </w14:textFill>
        </w:rPr>
        <w:t>提交</w:t>
      </w:r>
      <w:r>
        <w:rPr>
          <w:rFonts w:hint="eastAsia" w:ascii="宋体" w:hAnsi="宋体"/>
          <w:color w:val="000000" w:themeColor="text1"/>
          <w:sz w:val="24"/>
          <w:highlight w:val="none"/>
          <w14:textFill>
            <w14:solidFill>
              <w14:schemeClr w14:val="tx1"/>
            </w14:solidFill>
          </w14:textFill>
        </w:rPr>
        <w:t>给招标人或招标代理人，提交形式见本须知前附表第</w:t>
      </w:r>
      <w:r>
        <w:rPr>
          <w:rFonts w:ascii="宋体" w:hAnsi="宋体"/>
          <w:color w:val="000000" w:themeColor="text1"/>
          <w:sz w:val="24"/>
          <w:highlight w:val="none"/>
          <w14:textFill>
            <w14:solidFill>
              <w14:schemeClr w14:val="tx1"/>
            </w14:solidFill>
          </w14:textFill>
        </w:rPr>
        <w:t>16</w:t>
      </w:r>
      <w:r>
        <w:rPr>
          <w:rFonts w:hint="eastAsia" w:ascii="宋体" w:hAnsi="宋体"/>
          <w:color w:val="000000" w:themeColor="text1"/>
          <w:sz w:val="24"/>
          <w:highlight w:val="none"/>
          <w14:textFill>
            <w14:solidFill>
              <w14:schemeClr w14:val="tx1"/>
            </w14:solidFill>
          </w14:textFill>
        </w:rPr>
        <w:t>项。</w:t>
      </w:r>
    </w:p>
    <w:p w14:paraId="19B41FDE">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8.2</w:t>
      </w:r>
      <w:r>
        <w:rPr>
          <w:rFonts w:hint="eastAsia" w:ascii="宋体"/>
          <w:color w:val="000000" w:themeColor="text1"/>
          <w:sz w:val="24"/>
          <w:highlight w:val="none"/>
          <w14:textFill>
            <w14:solidFill>
              <w14:schemeClr w14:val="tx1"/>
            </w14:solidFill>
          </w14:textFill>
        </w:rPr>
        <w:t>招标答疑会会议纪要将在提交投标文件截止时间15日前在</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color w:val="000000" w:themeColor="text1"/>
          <w:sz w:val="24"/>
          <w:highlight w:val="none"/>
          <w14:textFill>
            <w14:solidFill>
              <w14:schemeClr w14:val="tx1"/>
            </w14:solidFill>
          </w14:textFill>
        </w:rPr>
        <w:t>“项目答疑纪要”专区公开发布。答疑纪要一经在</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color w:val="000000" w:themeColor="text1"/>
          <w:sz w:val="24"/>
          <w:highlight w:val="none"/>
          <w14:textFill>
            <w14:solidFill>
              <w14:schemeClr w14:val="tx1"/>
            </w14:solidFill>
          </w14:textFill>
        </w:rPr>
        <w:t>发布，视作已发放给所有投标人。</w:t>
      </w:r>
    </w:p>
    <w:p w14:paraId="33B82608">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8.3</w:t>
      </w:r>
      <w:r>
        <w:rPr>
          <w:rFonts w:hint="eastAsia" w:ascii="宋体" w:hAnsi="宋体"/>
          <w:color w:val="000000" w:themeColor="text1"/>
          <w:sz w:val="24"/>
          <w:highlight w:val="none"/>
          <w14:textFill>
            <w14:solidFill>
              <w14:schemeClr w14:val="tx1"/>
            </w14:solidFill>
          </w14:textFill>
        </w:rPr>
        <w:t>答疑会会议纪要为招标文件的一部分。</w:t>
      </w:r>
    </w:p>
    <w:p w14:paraId="646B6E1E">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8.4</w:t>
      </w:r>
      <w:r>
        <w:rPr>
          <w:rFonts w:hint="eastAsia" w:ascii="宋体" w:hAnsi="宋体"/>
          <w:color w:val="000000" w:themeColor="text1"/>
          <w:sz w:val="24"/>
          <w:highlight w:val="none"/>
          <w14:textFill>
            <w14:solidFill>
              <w14:schemeClr w14:val="tx1"/>
            </w14:solidFill>
          </w14:textFill>
        </w:rPr>
        <w:t>若招标答疑会会议纪要与招标文件有矛盾，以答疑会议纪要最后发出的书面形式的文件为准。</w:t>
      </w:r>
    </w:p>
    <w:p w14:paraId="468522C5">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9.</w:t>
      </w:r>
      <w:r>
        <w:rPr>
          <w:rFonts w:hint="eastAsia" w:ascii="宋体" w:hAnsi="宋体"/>
          <w:b/>
          <w:bCs/>
          <w:color w:val="000000" w:themeColor="text1"/>
          <w:sz w:val="24"/>
          <w:highlight w:val="none"/>
          <w14:textFill>
            <w14:solidFill>
              <w14:schemeClr w14:val="tx1"/>
            </w14:solidFill>
          </w14:textFill>
        </w:rPr>
        <w:t>招标文件的澄清与修改</w:t>
      </w:r>
    </w:p>
    <w:p w14:paraId="655A2604">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9.1</w:t>
      </w:r>
      <w:r>
        <w:rPr>
          <w:rFonts w:hint="eastAsia" w:ascii="宋体" w:hAnsi="宋体"/>
          <w:color w:val="000000" w:themeColor="text1"/>
          <w:sz w:val="24"/>
          <w:highlight w:val="none"/>
          <w14:textFill>
            <w14:solidFill>
              <w14:schemeClr w14:val="tx1"/>
            </w14:solidFill>
          </w14:textFill>
        </w:rPr>
        <w:t>招标文件发出后</w:t>
      </w:r>
      <w:r>
        <w:rPr>
          <w:rFonts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在提交投标文件截止时间15日前，招标人可对招标文件进行必要的澄清或修改。</w:t>
      </w:r>
    </w:p>
    <w:p w14:paraId="680935BE">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9.2</w:t>
      </w:r>
      <w:r>
        <w:rPr>
          <w:rFonts w:hint="eastAsia" w:ascii="宋体"/>
          <w:color w:val="000000" w:themeColor="text1"/>
          <w:sz w:val="24"/>
          <w:highlight w:val="none"/>
          <w14:textFill>
            <w14:solidFill>
              <w14:schemeClr w14:val="tx1"/>
            </w14:solidFill>
          </w14:textFill>
        </w:rPr>
        <w:t>招标文件的澄清或修改将在</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color w:val="000000" w:themeColor="text1"/>
          <w:sz w:val="24"/>
          <w:highlight w:val="none"/>
          <w14:textFill>
            <w14:solidFill>
              <w14:schemeClr w14:val="tx1"/>
            </w14:solidFill>
          </w14:textFill>
        </w:rPr>
        <w:t>“项目答疑纪要”专区公开发布。答疑纪要一经在</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color w:val="000000" w:themeColor="text1"/>
          <w:sz w:val="24"/>
          <w:highlight w:val="none"/>
          <w14:textFill>
            <w14:solidFill>
              <w14:schemeClr w14:val="tx1"/>
            </w14:solidFill>
          </w14:textFill>
        </w:rPr>
        <w:t>发布，视作已发放给所有投标人，以</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color w:val="000000" w:themeColor="text1"/>
          <w:sz w:val="24"/>
          <w:highlight w:val="none"/>
          <w14:textFill>
            <w14:solidFill>
              <w14:schemeClr w14:val="tx1"/>
            </w14:solidFill>
          </w14:textFill>
        </w:rPr>
        <w:t>上网发布时间作为送达时间。</w:t>
      </w:r>
    </w:p>
    <w:p w14:paraId="7972B454">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9.3</w:t>
      </w:r>
      <w:r>
        <w:rPr>
          <w:rFonts w:hint="eastAsia" w:ascii="宋体" w:hAnsi="宋体"/>
          <w:color w:val="000000" w:themeColor="text1"/>
          <w:sz w:val="24"/>
          <w:highlight w:val="none"/>
          <w14:textFill>
            <w14:solidFill>
              <w14:schemeClr w14:val="tx1"/>
            </w14:solidFill>
          </w14:textFill>
        </w:rPr>
        <w:t>招标文件的修改内容为招标文件的组成部分。</w:t>
      </w:r>
    </w:p>
    <w:p w14:paraId="475DF7B3">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9.4</w:t>
      </w:r>
      <w:r>
        <w:rPr>
          <w:rFonts w:hint="eastAsia" w:ascii="宋体" w:hAnsi="宋体"/>
          <w:color w:val="000000" w:themeColor="text1"/>
          <w:sz w:val="24"/>
          <w:highlight w:val="none"/>
          <w14:textFill>
            <w14:solidFill>
              <w14:schemeClr w14:val="tx1"/>
            </w14:solidFill>
          </w14:textFill>
        </w:rPr>
        <w:t>招标文件的澄清或修改均以书面形式明确的内容为准。当招标文件的澄清、修改、补充等在同一内容的表述不一致时，以最后发出的书面形式的文件为准。</w:t>
      </w:r>
    </w:p>
    <w:p w14:paraId="12AC1FFA">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9.5</w:t>
      </w:r>
      <w:r>
        <w:rPr>
          <w:rFonts w:hint="eastAsia" w:ascii="宋体" w:hAnsi="宋体"/>
          <w:color w:val="000000" w:themeColor="text1"/>
          <w:sz w:val="24"/>
          <w:highlight w:val="none"/>
          <w14:textFill>
            <w14:solidFill>
              <w14:schemeClr w14:val="tx1"/>
            </w14:solidFill>
          </w14:textFill>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311BA4DB">
      <w:pPr>
        <w:pStyle w:val="4"/>
        <w:spacing w:before="156" w:after="156"/>
        <w:rPr>
          <w:color w:val="000000" w:themeColor="text1"/>
          <w:highlight w:val="none"/>
          <w14:textFill>
            <w14:solidFill>
              <w14:schemeClr w14:val="tx1"/>
            </w14:solidFill>
          </w14:textFill>
        </w:rPr>
      </w:pPr>
      <w:bookmarkStart w:id="14" w:name="_Toc17276"/>
      <w:bookmarkStart w:id="15" w:name="_Toc19370"/>
      <w:bookmarkStart w:id="16" w:name="_Toc2272551"/>
      <w:r>
        <w:rPr>
          <w:rFonts w:hint="eastAsia"/>
          <w:color w:val="000000" w:themeColor="text1"/>
          <w:highlight w:val="none"/>
          <w14:textFill>
            <w14:solidFill>
              <w14:schemeClr w14:val="tx1"/>
            </w14:solidFill>
          </w14:textFill>
        </w:rPr>
        <w:t>（三）投标文件的编制</w:t>
      </w:r>
      <w:bookmarkEnd w:id="14"/>
      <w:bookmarkEnd w:id="15"/>
      <w:bookmarkEnd w:id="16"/>
    </w:p>
    <w:p w14:paraId="01B94BB5">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10</w:t>
      </w:r>
      <w:r>
        <w:rPr>
          <w:rFonts w:hint="eastAsia" w:ascii="宋体" w:hAnsi="宋体"/>
          <w:b/>
          <w:bCs/>
          <w:color w:val="000000" w:themeColor="text1"/>
          <w:sz w:val="24"/>
          <w:highlight w:val="none"/>
          <w14:textFill>
            <w14:solidFill>
              <w14:schemeClr w14:val="tx1"/>
            </w14:solidFill>
          </w14:textFill>
        </w:rPr>
        <w:t>．投标文件的语言及度量衡单位</w:t>
      </w:r>
    </w:p>
    <w:p w14:paraId="64B04F1D">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10.1 </w:t>
      </w:r>
      <w:r>
        <w:rPr>
          <w:rFonts w:hint="eastAsia" w:ascii="宋体" w:hAnsi="宋体"/>
          <w:color w:val="000000" w:themeColor="text1"/>
          <w:sz w:val="24"/>
          <w:highlight w:val="none"/>
          <w14:textFill>
            <w14:solidFill>
              <w14:schemeClr w14:val="tx1"/>
            </w14:solidFill>
          </w14:textFill>
        </w:rPr>
        <w:t>投标文件和与投标有关的所有文件均应使用中文。</w:t>
      </w:r>
    </w:p>
    <w:p w14:paraId="07788CD1">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10.2 </w:t>
      </w:r>
      <w:r>
        <w:rPr>
          <w:rFonts w:hint="eastAsia" w:ascii="宋体" w:hAnsi="宋体"/>
          <w:color w:val="000000" w:themeColor="text1"/>
          <w:sz w:val="24"/>
          <w:highlight w:val="none"/>
          <w14:textFill>
            <w14:solidFill>
              <w14:schemeClr w14:val="tx1"/>
            </w14:solidFill>
          </w14:textFill>
        </w:rPr>
        <w:t>除工程规范另有规定外，投标文件使用的度量衡单位，均采用中华人民共和国法定计量单位。</w:t>
      </w:r>
    </w:p>
    <w:p w14:paraId="3A174C46">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11</w:t>
      </w:r>
      <w:r>
        <w:rPr>
          <w:rFonts w:hint="eastAsia" w:ascii="宋体" w:hAnsi="宋体"/>
          <w:b/>
          <w:bCs/>
          <w:color w:val="000000" w:themeColor="text1"/>
          <w:sz w:val="24"/>
          <w:highlight w:val="none"/>
          <w14:textFill>
            <w14:solidFill>
              <w14:schemeClr w14:val="tx1"/>
            </w14:solidFill>
          </w14:textFill>
        </w:rPr>
        <w:t>．投标文件的组成</w:t>
      </w:r>
    </w:p>
    <w:p w14:paraId="32ED7D6E">
      <w:pPr>
        <w:pStyle w:val="34"/>
        <w:spacing w:after="0" w:line="360" w:lineRule="auto"/>
        <w:ind w:firstLine="480" w:firstLineChars="200"/>
        <w:rPr>
          <w:rFonts w:ascii="宋体"/>
          <w:b/>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11.1 </w:t>
      </w:r>
      <w:r>
        <w:rPr>
          <w:rFonts w:hint="eastAsia" w:ascii="宋体" w:hAnsi="宋体"/>
          <w:color w:val="000000" w:themeColor="text1"/>
          <w:sz w:val="24"/>
          <w:szCs w:val="24"/>
          <w:highlight w:val="none"/>
          <w14:textFill>
            <w14:solidFill>
              <w14:schemeClr w14:val="tx1"/>
            </w14:solidFill>
          </w14:textFill>
        </w:rPr>
        <w:t>投标文件由技术部分（含资格审查文件）和经济部分二部分投标文件组成</w:t>
      </w:r>
      <w:r>
        <w:rPr>
          <w:rFonts w:hint="eastAsia" w:ascii="宋体" w:hAnsi="宋体"/>
          <w:b/>
          <w:color w:val="000000" w:themeColor="text1"/>
          <w:sz w:val="24"/>
          <w:szCs w:val="24"/>
          <w:highlight w:val="none"/>
          <w14:textFill>
            <w14:solidFill>
              <w14:schemeClr w14:val="tx1"/>
            </w14:solidFill>
          </w14:textFill>
        </w:rPr>
        <w:t>。</w:t>
      </w:r>
    </w:p>
    <w:p w14:paraId="1721DF7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11.2</w:t>
      </w:r>
      <w:r>
        <w:rPr>
          <w:rFonts w:hint="eastAsia" w:ascii="宋体" w:hAnsi="宋体" w:cs="宋体"/>
          <w:color w:val="000000" w:themeColor="text1"/>
          <w:sz w:val="24"/>
          <w:szCs w:val="24"/>
          <w:highlight w:val="none"/>
          <w14:textFill>
            <w14:solidFill>
              <w14:schemeClr w14:val="tx1"/>
            </w14:solidFill>
          </w14:textFill>
        </w:rPr>
        <w:t>11.2投标文件技术标部分主要包括下列内容:</w:t>
      </w:r>
    </w:p>
    <w:p w14:paraId="10B13CE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11.2.1 技术投标文件(按招标文件的要求填写)；</w:t>
      </w:r>
    </w:p>
    <w:p w14:paraId="49A8563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11.2.2 资格审查文件：</w:t>
      </w:r>
    </w:p>
    <w:p w14:paraId="593EDA2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（1）投标人声明； </w:t>
      </w:r>
    </w:p>
    <w:p w14:paraId="4A43648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（2）法定代表人证明书、法定代表人签字或盖章的本投标文件授权委托证明书；</w:t>
      </w:r>
    </w:p>
    <w:p w14:paraId="6FB5625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（3）企业营业执照（取自库内上传件）；</w:t>
      </w:r>
    </w:p>
    <w:p w14:paraId="6D08A87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（4）企业资质证书（取自库内上传件）；</w:t>
      </w:r>
    </w:p>
    <w:p w14:paraId="550FD0F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（5）建筑施工企业安全生产许可证（取自库内上传件）；</w:t>
      </w:r>
    </w:p>
    <w:p w14:paraId="38DE541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（6）项目负责人（按网上投标登记时选择拟投标的项目负责人）</w:t>
      </w:r>
    </w:p>
    <w:p w14:paraId="659C45C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（7）专职安全员（按网上投标登记时选择拟投标的专职安全员）</w:t>
      </w:r>
    </w:p>
    <w:p w14:paraId="3532D3A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（8）拟委托技术负责人的相关证书、资料（具体要求由招标人明确）</w:t>
      </w:r>
    </w:p>
    <w:p w14:paraId="1EE394D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（9）拟委派项目负责人的建造师或临时建造师证书或二级注册建造师电子注册证书或小型项目负责人相关证明（取自库内上传件）； </w:t>
      </w:r>
    </w:p>
    <w:p w14:paraId="0AA7B09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（10）项目负责人安全培训考核合格证明或在有效期内的安全考核合格证书（B类）（取自库内上传件），或提供广东省建筑施工企业管理人员安全生产考核信息系统安全生产管理人员证书信息的网页截图；</w:t>
      </w:r>
    </w:p>
    <w:p w14:paraId="12AF166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（11）专职安全员须具有在有效期内的安全考核合格证书（C类）（取自库内上传件），或提供广东省建筑施工企业管理人员安全生产考核信息系统安全生产管理人员证书信息的网页截图；</w:t>
      </w:r>
    </w:p>
    <w:p w14:paraId="6C0DD0B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（12）用于资格审查的业绩（设置业绩要求时选择此项，投标人须提供类似工程业绩的项目名称及项目编号，具体格式由招标人自定）；</w:t>
      </w:r>
    </w:p>
    <w:p w14:paraId="456429A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（13）资格审查前，投标人须在广州市住房和城乡建设局建立企业诚信档案，拟担任本工程项目负责人须是本企业诚信档案中的在册人员。</w:t>
      </w:r>
    </w:p>
    <w:p w14:paraId="6065AE4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（14）列明主办单位的联合体工作协议（采用联合体投标时需递交，投标人拟任本工程项目负责人应为联合体主办方诚信档案中的在册人员，联合体工作协议应明确约定各方拟承担的工作和责任）； </w:t>
      </w:r>
    </w:p>
    <w:p w14:paraId="13875A5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需提供该项内容的证明文件）。</w:t>
      </w:r>
    </w:p>
    <w:p w14:paraId="21425EA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11.2.3项目管理机构配备。</w:t>
      </w:r>
    </w:p>
    <w:p w14:paraId="2174779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（1）投标人应列出该项目工程的施工组织机构构成和画出机构框架图及其负责人；</w:t>
      </w:r>
    </w:p>
    <w:p w14:paraId="4C49072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（2）投标人应详细列出该施工组织机构中主要成员的名单、简历资料、职务职称和在本项目中拟担任的职务等资料，并附上有关证明材料扫描件；</w:t>
      </w:r>
    </w:p>
    <w:p w14:paraId="2B5D392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（3）其他辅助说明资料。</w:t>
      </w:r>
    </w:p>
    <w:p w14:paraId="28624FE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11.2.4投标人在广州市可使用适合本工程的机械设备（附：机械设备为自有或租赁的说明；及承诺机械设备如属于租赁的，其租赁是不属于重复租赁）。</w:t>
      </w:r>
    </w:p>
    <w:p w14:paraId="3C05D37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11.2.5施工组织设计或施工方案。</w:t>
      </w:r>
    </w:p>
    <w:p w14:paraId="67967E49">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11.2.6按照招标文件要求填写的《参与编制技术标投标文件人员名单》。</w:t>
      </w:r>
    </w:p>
    <w:p w14:paraId="0E30F466">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11.3 </w:t>
      </w:r>
      <w:r>
        <w:rPr>
          <w:rFonts w:hint="eastAsia" w:ascii="宋体" w:hAnsi="宋体"/>
          <w:bCs/>
          <w:color w:val="000000" w:themeColor="text1"/>
          <w:sz w:val="24"/>
          <w:highlight w:val="none"/>
          <w14:textFill>
            <w14:solidFill>
              <w14:schemeClr w14:val="tx1"/>
            </w14:solidFill>
          </w14:textFill>
        </w:rPr>
        <w:t>经济部分投标文件主要包括下列内容：</w:t>
      </w:r>
    </w:p>
    <w:p w14:paraId="26DE9967">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11.3.1 </w:t>
      </w:r>
      <w:r>
        <w:rPr>
          <w:rFonts w:hint="eastAsia" w:ascii="宋体" w:hAnsi="宋体"/>
          <w:color w:val="000000" w:themeColor="text1"/>
          <w:sz w:val="24"/>
          <w:highlight w:val="none"/>
          <w14:textFill>
            <w14:solidFill>
              <w14:schemeClr w14:val="tx1"/>
            </w14:solidFill>
          </w14:textFill>
        </w:rPr>
        <w:t>经济投标文件</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按招标文件的要求填写</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14:paraId="5C06F645">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11.3.2</w:t>
      </w:r>
      <w:r>
        <w:rPr>
          <w:rFonts w:hint="eastAsia" w:ascii="宋体" w:hAnsi="宋体"/>
          <w:color w:val="000000" w:themeColor="text1"/>
          <w:sz w:val="24"/>
          <w:highlight w:val="none"/>
          <w14:textFill>
            <w14:solidFill>
              <w14:schemeClr w14:val="tx1"/>
            </w14:solidFill>
          </w14:textFill>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000000" w:themeColor="text1"/>
          <w:sz w:val="24"/>
          <w:szCs w:val="24"/>
          <w:highlight w:val="none"/>
          <w14:textFill>
            <w14:solidFill>
              <w14:schemeClr w14:val="tx1"/>
            </w14:solidFill>
          </w14:textFill>
        </w:rPr>
        <w:t>其中包括如下：</w:t>
      </w:r>
    </w:p>
    <w:p w14:paraId="5BA2FC6A">
      <w:pPr>
        <w:spacing w:line="360" w:lineRule="auto"/>
        <w:ind w:firstLine="566" w:firstLineChars="236"/>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）投标总价封面、扉页；</w:t>
      </w:r>
    </w:p>
    <w:p w14:paraId="1FE66372">
      <w:pPr>
        <w:spacing w:line="360" w:lineRule="auto"/>
        <w:ind w:firstLine="566" w:firstLineChars="23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）总说明</w:t>
      </w:r>
    </w:p>
    <w:p w14:paraId="4357BD28">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（3）工程项目投标报价汇总表；</w:t>
      </w:r>
    </w:p>
    <w:p w14:paraId="6F119649">
      <w:pPr>
        <w:spacing w:line="360" w:lineRule="auto"/>
        <w:ind w:firstLine="566" w:firstLineChars="23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（4）单项工程投标报价汇总表；</w:t>
      </w:r>
    </w:p>
    <w:p w14:paraId="0901AA26">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（5）单位工程投标报价汇总表；</w:t>
      </w:r>
    </w:p>
    <w:p w14:paraId="5A35CCD4">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（6）分部分项工程清单与计价表；</w:t>
      </w:r>
    </w:p>
    <w:p w14:paraId="1FCB93E1">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（7）单价措施项目清单与计价表；</w:t>
      </w:r>
    </w:p>
    <w:p w14:paraId="41B09595">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（8）总价措施项目清单与计价表；</w:t>
      </w:r>
    </w:p>
    <w:p w14:paraId="0E90DCE2">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（9）综合单价分析表；</w:t>
      </w:r>
    </w:p>
    <w:p w14:paraId="5F3E7EB0">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（10）其他项目清单与计价汇总表；</w:t>
      </w:r>
    </w:p>
    <w:p w14:paraId="639E8303">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（11）暂列金额明细表；</w:t>
      </w:r>
    </w:p>
    <w:p w14:paraId="67B38C1D">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（12）材料（工程设备）暂估价明细表；</w:t>
      </w:r>
    </w:p>
    <w:p w14:paraId="144ED33A">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（13）专业工程暂估价明细表；</w:t>
      </w:r>
    </w:p>
    <w:p w14:paraId="49E23E47">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（14）计日工表；</w:t>
      </w:r>
    </w:p>
    <w:p w14:paraId="29467295">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（15）总承包服务计价表；</w:t>
      </w:r>
    </w:p>
    <w:p w14:paraId="13DAAA2E">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（16）规费和税金项目计价表；</w:t>
      </w:r>
    </w:p>
    <w:p w14:paraId="17B81372">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（17）人工、主要材料和设备一览表</w:t>
      </w:r>
    </w:p>
    <w:p w14:paraId="5DF16A20">
      <w:pPr>
        <w:tabs>
          <w:tab w:val="left" w:pos="1125"/>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11.3.</w:t>
      </w:r>
      <w:r>
        <w:rPr>
          <w:rFonts w:hint="eastAsia" w:ascii="宋体" w:hAnsi="宋体"/>
          <w:color w:val="000000" w:themeColor="text1"/>
          <w:sz w:val="24"/>
          <w:highlight w:val="none"/>
          <w14:textFill>
            <w14:solidFill>
              <w14:schemeClr w14:val="tx1"/>
            </w14:solidFill>
          </w14:textFill>
        </w:rPr>
        <w:t>3按照</w:t>
      </w:r>
      <w:r>
        <w:rPr>
          <w:rFonts w:hint="eastAsia" w:ascii="宋体" w:hAnsi="宋体"/>
          <w:bCs/>
          <w:color w:val="000000" w:themeColor="text1"/>
          <w:sz w:val="24"/>
          <w:highlight w:val="none"/>
          <w14:textFill>
            <w14:solidFill>
              <w14:schemeClr w14:val="tx1"/>
            </w14:solidFill>
          </w14:textFill>
        </w:rPr>
        <w:t>招标文件要求</w:t>
      </w:r>
      <w:r>
        <w:rPr>
          <w:rFonts w:hint="eastAsia" w:ascii="宋体" w:hAnsi="宋体"/>
          <w:color w:val="000000" w:themeColor="text1"/>
          <w:sz w:val="24"/>
          <w:highlight w:val="none"/>
          <w14:textFill>
            <w14:solidFill>
              <w14:schemeClr w14:val="tx1"/>
            </w14:solidFill>
          </w14:textFill>
        </w:rPr>
        <w:t>填写的《参与编制经济标投标文件人员名单》。</w:t>
      </w:r>
    </w:p>
    <w:p w14:paraId="0D91AF5E">
      <w:pPr>
        <w:tabs>
          <w:tab w:val="left" w:pos="1125"/>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11.3.4若投标人的投标报价低于工程成本警戒价的，投标人还须提供详细的施工组织设计、单价、措施性费用、单价分析表、主要材料价格表、投标人成本分析供评标委员会评审。</w:t>
      </w:r>
    </w:p>
    <w:p w14:paraId="025B8E19">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12</w:t>
      </w:r>
      <w:r>
        <w:rPr>
          <w:rFonts w:hint="eastAsia" w:ascii="宋体" w:hAnsi="宋体"/>
          <w:b/>
          <w:bCs/>
          <w:color w:val="000000" w:themeColor="text1"/>
          <w:sz w:val="24"/>
          <w:highlight w:val="none"/>
          <w14:textFill>
            <w14:solidFill>
              <w14:schemeClr w14:val="tx1"/>
            </w14:solidFill>
          </w14:textFill>
        </w:rPr>
        <w:t>．投标文件格式</w:t>
      </w:r>
    </w:p>
    <w:p w14:paraId="53C41CAA">
      <w:pPr>
        <w:pStyle w:val="34"/>
        <w:spacing w:after="0"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投标文件包括本须知第</w:t>
      </w:r>
      <w:r>
        <w:rPr>
          <w:rFonts w:ascii="宋体" w:hAnsi="宋体"/>
          <w:color w:val="000000" w:themeColor="text1"/>
          <w:sz w:val="24"/>
          <w:highlight w:val="none"/>
          <w14:textFill>
            <w14:solidFill>
              <w14:schemeClr w14:val="tx1"/>
            </w14:solidFill>
          </w14:textFill>
        </w:rPr>
        <w:t>11</w:t>
      </w:r>
      <w:r>
        <w:rPr>
          <w:rFonts w:hint="eastAsia" w:ascii="宋体" w:hAnsi="宋体"/>
          <w:color w:val="000000" w:themeColor="text1"/>
          <w:sz w:val="24"/>
          <w:highlight w:val="none"/>
          <w14:textFill>
            <w14:solidFill>
              <w14:schemeClr w14:val="tx1"/>
            </w14:solidFill>
          </w14:textFill>
        </w:rPr>
        <w:t>条中规定的内容，投标人提交的投标文件应当使用招标文件所提供的投标文件全部格式（表格可以按同样格式扩展）。</w:t>
      </w:r>
    </w:p>
    <w:p w14:paraId="5C931EA8">
      <w:pPr>
        <w:pStyle w:val="34"/>
        <w:spacing w:after="0"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12.2 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             。</w:t>
      </w:r>
    </w:p>
    <w:p w14:paraId="183D7370">
      <w:pPr>
        <w:pStyle w:val="34"/>
        <w:spacing w:after="0"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12.3 </w:t>
      </w:r>
      <w:r>
        <w:rPr>
          <w:rFonts w:hint="eastAsia" w:ascii="宋体" w:hAnsi="宋体"/>
          <w:bCs/>
          <w:color w:val="000000" w:themeColor="text1"/>
          <w:sz w:val="24"/>
          <w:szCs w:val="24"/>
          <w:highlight w:val="none"/>
          <w14:textFill>
            <w14:solidFill>
              <w14:schemeClr w14:val="tx1"/>
            </w14:solidFill>
          </w14:textFill>
        </w:rPr>
        <w:t>投标文件应按</w:t>
      </w:r>
      <w:r>
        <w:rPr>
          <w:rFonts w:hint="eastAsia" w:ascii="宋体" w:hAnsi="宋体"/>
          <w:color w:val="000000" w:themeColor="text1"/>
          <w:sz w:val="24"/>
          <w:highlight w:val="none"/>
          <w14:textFill>
            <w14:solidFill>
              <w14:schemeClr w14:val="tx1"/>
            </w14:solidFill>
          </w14:textFill>
        </w:rPr>
        <w:t>照交易平台关于全流程电子化项目的相关指南进行编制，详见：。</w:t>
      </w:r>
    </w:p>
    <w:p w14:paraId="2B24A74B">
      <w:pPr>
        <w:pStyle w:val="34"/>
        <w:spacing w:after="0" w:line="360" w:lineRule="auto"/>
        <w:ind w:firstLine="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如不按上述要求编制引起系统无法检索、读取相关信息的，其后果由投标人承担。</w:t>
      </w:r>
    </w:p>
    <w:p w14:paraId="115B5673">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13</w:t>
      </w:r>
      <w:r>
        <w:rPr>
          <w:rFonts w:hint="eastAsia" w:ascii="宋体" w:hAnsi="宋体"/>
          <w:b/>
          <w:bCs/>
          <w:color w:val="000000" w:themeColor="text1"/>
          <w:sz w:val="24"/>
          <w:highlight w:val="none"/>
          <w14:textFill>
            <w14:solidFill>
              <w14:schemeClr w14:val="tx1"/>
            </w14:solidFill>
          </w14:textFill>
        </w:rPr>
        <w:t>．投标报价及造价承包和变更结算方式</w:t>
      </w:r>
    </w:p>
    <w:p w14:paraId="201C01DC">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13.1 </w:t>
      </w:r>
      <w:r>
        <w:rPr>
          <w:rFonts w:hint="eastAsia" w:ascii="宋体" w:hAnsi="宋体"/>
          <w:color w:val="000000" w:themeColor="text1"/>
          <w:sz w:val="24"/>
          <w:highlight w:val="none"/>
          <w14:textFill>
            <w14:solidFill>
              <w14:schemeClr w14:val="tx1"/>
            </w14:solidFill>
          </w14:textFill>
        </w:rPr>
        <w:t>本工程的投标报价采用投标须知前附表第</w:t>
      </w:r>
      <w:r>
        <w:rPr>
          <w:rFonts w:ascii="宋体" w:hAnsi="宋体"/>
          <w:color w:val="000000" w:themeColor="text1"/>
          <w:sz w:val="24"/>
          <w:highlight w:val="none"/>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项所规定的方式。投标报价（含单价及总价）精确到“分”。</w:t>
      </w:r>
    </w:p>
    <w:p w14:paraId="21D7897E">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13.2</w:t>
      </w:r>
      <w:r>
        <w:rPr>
          <w:rFonts w:hint="eastAsia" w:ascii="宋体" w:hAnsi="宋体"/>
          <w:color w:val="000000" w:themeColor="text1"/>
          <w:sz w:val="24"/>
          <w:highlight w:val="none"/>
          <w14:textFill>
            <w14:solidFill>
              <w14:schemeClr w14:val="tx1"/>
            </w14:solidFill>
          </w14:textFill>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577D2CA1">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13.3</w:t>
      </w:r>
      <w:r>
        <w:rPr>
          <w:rFonts w:hint="eastAsia" w:ascii="宋体" w:hAnsi="宋体"/>
          <w:color w:val="000000" w:themeColor="text1"/>
          <w:sz w:val="24"/>
          <w:highlight w:val="none"/>
          <w14:textFill>
            <w14:solidFill>
              <w14:schemeClr w14:val="tx1"/>
            </w14:solidFill>
          </w14:textFill>
        </w:rPr>
        <w:t>投标人的投标报价，应是按照投标须知前附表第</w:t>
      </w: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项的工期要求，在投标须知前附表第</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项的建设地点，完成投标须知前附表第</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000000" w:themeColor="text1"/>
          <w:sz w:val="24"/>
          <w:szCs w:val="24"/>
          <w:highlight w:val="none"/>
          <w14:textFill>
            <w14:solidFill>
              <w14:schemeClr w14:val="tx1"/>
            </w14:solidFill>
          </w14:textFill>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7F431CDE">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13.4</w:t>
      </w:r>
      <w:r>
        <w:rPr>
          <w:rFonts w:hint="eastAsia" w:ascii="宋体" w:hAnsi="宋体"/>
          <w:color w:val="000000" w:themeColor="text1"/>
          <w:sz w:val="24"/>
          <w:highlight w:val="none"/>
          <w14:textFill>
            <w14:solidFill>
              <w14:schemeClr w14:val="tx1"/>
            </w14:solidFill>
          </w14:textFill>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68B585AD">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13.5</w:t>
      </w:r>
      <w:r>
        <w:rPr>
          <w:rFonts w:hint="eastAsia" w:ascii="宋体" w:hAnsi="宋体"/>
          <w:color w:val="000000" w:themeColor="text1"/>
          <w:sz w:val="24"/>
          <w:highlight w:val="none"/>
          <w14:textFill>
            <w14:solidFill>
              <w14:schemeClr w14:val="tx1"/>
            </w14:solidFill>
          </w14:textFill>
        </w:rPr>
        <w:t>工程项目实施期间和结算时，招标文件工程量清单中漏列而由监理单位和招标人现场签证确认的工程项目、原设计没有而由招标人批准设计变更产生的工程项目，视为新增项目，按以下顺序确定价格：</w:t>
      </w:r>
    </w:p>
    <w:p w14:paraId="068B0240">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13.5.1</w:t>
      </w:r>
      <w:r>
        <w:rPr>
          <w:rFonts w:hint="eastAsia" w:ascii="宋体" w:hAnsi="宋体"/>
          <w:color w:val="000000" w:themeColor="text1"/>
          <w:sz w:val="24"/>
          <w:highlight w:val="none"/>
          <w14:textFill>
            <w14:solidFill>
              <w14:schemeClr w14:val="tx1"/>
            </w14:solidFill>
          </w14:textFill>
        </w:rPr>
        <w:t>中标的投标文件工程量清单中已有相同项目的适用综合单价，则沿用；</w:t>
      </w:r>
    </w:p>
    <w:p w14:paraId="60BA7AE3">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13.5.2</w:t>
      </w:r>
      <w:r>
        <w:rPr>
          <w:rFonts w:hint="eastAsia" w:ascii="宋体" w:hAnsi="宋体"/>
          <w:color w:val="000000" w:themeColor="text1"/>
          <w:sz w:val="24"/>
          <w:highlight w:val="none"/>
          <w14:textFill>
            <w14:solidFill>
              <w14:schemeClr w14:val="tx1"/>
            </w14:solidFill>
          </w14:textFill>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0B7E2CBF">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13.5.3 </w:t>
      </w:r>
      <w:r>
        <w:rPr>
          <w:rFonts w:hint="eastAsia" w:ascii="宋体" w:hAnsi="宋体"/>
          <w:color w:val="000000" w:themeColor="text1"/>
          <w:sz w:val="24"/>
          <w:highlight w:val="none"/>
          <w14:textFill>
            <w14:solidFill>
              <w14:schemeClr w14:val="tx1"/>
            </w14:solidFill>
          </w14:textFill>
        </w:rPr>
        <w:t>中标的投标文件工程量清单中没有相同项目或类似项目的，如可套取相关定额，则以相关定额为基数下浮计算单价</w:t>
      </w:r>
      <w:r>
        <w:rPr>
          <w:rFonts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下浮率为中标价</w:t>
      </w:r>
      <w:r>
        <w:rPr>
          <w:rFonts w:hint="eastAsia" w:ascii="宋体" w:hAnsi="宋体"/>
          <w:color w:val="000000" w:themeColor="text1"/>
          <w:sz w:val="24"/>
          <w:szCs w:val="24"/>
          <w:highlight w:val="none"/>
          <w14:textFill>
            <w14:solidFill>
              <w14:schemeClr w14:val="tx1"/>
            </w14:solidFill>
          </w14:textFill>
        </w:rPr>
        <w:t>相对于最高投标限价的下</w:t>
      </w:r>
      <w:r>
        <w:rPr>
          <w:rFonts w:hint="eastAsia" w:ascii="宋体" w:hAnsi="宋体"/>
          <w:color w:val="000000" w:themeColor="text1"/>
          <w:sz w:val="24"/>
          <w:highlight w:val="none"/>
          <w14:textFill>
            <w14:solidFill>
              <w14:schemeClr w14:val="tx1"/>
            </w14:solidFill>
          </w14:textFill>
        </w:rPr>
        <w:t>浮率（下浮率</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最高投标限价</w:t>
      </w:r>
      <w:r>
        <w:rPr>
          <w:rFonts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中标价</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最高投标限价</w:t>
      </w:r>
      <w:r>
        <w:rPr>
          <w:rFonts w:hint="eastAsia" w:ascii="宋体" w:hAnsi="宋体"/>
          <w:color w:val="000000" w:themeColor="text1"/>
          <w:sz w:val="24"/>
          <w:highlight w:val="none"/>
          <w14:textFill>
            <w14:solidFill>
              <w14:schemeClr w14:val="tx1"/>
            </w14:solidFill>
          </w14:textFill>
        </w:rPr>
        <w:t>）。</w:t>
      </w:r>
    </w:p>
    <w:p w14:paraId="0094696B">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13.5.4 </w:t>
      </w:r>
      <w:r>
        <w:rPr>
          <w:rFonts w:hint="eastAsia" w:ascii="宋体" w:hAnsi="宋体"/>
          <w:color w:val="000000" w:themeColor="text1"/>
          <w:sz w:val="24"/>
          <w:highlight w:val="none"/>
          <w14:textFill>
            <w14:solidFill>
              <w14:schemeClr w14:val="tx1"/>
            </w14:solidFill>
          </w14:textFill>
        </w:rPr>
        <w:t>如相关定额没有相应子目的，其计价方式由招标人在本招标文件第三章中另行规定。未规定的，中标后双方协商约定。</w:t>
      </w:r>
    </w:p>
    <w:p w14:paraId="0C3794BB">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w:t>
      </w:r>
      <w:r>
        <w:rPr>
          <w:rFonts w:hint="eastAsia" w:ascii="宋体" w:hAnsi="宋体"/>
          <w:color w:val="000000" w:themeColor="text1"/>
          <w:sz w:val="24"/>
          <w:highlight w:val="none"/>
          <w14:textFill>
            <w14:solidFill>
              <w14:schemeClr w14:val="tx1"/>
            </w14:solidFill>
          </w14:textFill>
        </w:rPr>
        <w:t>暂列金额、暂估价</w:t>
      </w:r>
    </w:p>
    <w:p w14:paraId="2D791379">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13.6.1</w:t>
      </w:r>
      <w:r>
        <w:rPr>
          <w:rFonts w:hint="eastAsia" w:ascii="宋体" w:hAnsi="宋体"/>
          <w:color w:val="000000" w:themeColor="text1"/>
          <w:sz w:val="24"/>
          <w:highlight w:val="none"/>
          <w14:textFill>
            <w14:solidFill>
              <w14:schemeClr w14:val="tx1"/>
            </w14:solidFill>
          </w14:textFill>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98D7F29">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暂估价是指招标人在工程量清单中提供的用于支付必然发生但暂时不能确定价格的材料的单价以及专业工程的金额。</w:t>
      </w:r>
    </w:p>
    <w:p w14:paraId="6CCD4EA2">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13.6.2</w:t>
      </w:r>
      <w:r>
        <w:rPr>
          <w:rFonts w:hint="eastAsia" w:ascii="宋体" w:hAnsi="宋体"/>
          <w:color w:val="000000" w:themeColor="text1"/>
          <w:sz w:val="24"/>
          <w:highlight w:val="none"/>
          <w14:textFill>
            <w14:solidFill>
              <w14:schemeClr w14:val="tx1"/>
            </w14:solidFill>
          </w14:textFill>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1967872C">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13.6.3</w:t>
      </w:r>
      <w:r>
        <w:rPr>
          <w:rFonts w:hint="eastAsia" w:ascii="宋体" w:hAnsi="宋体"/>
          <w:color w:val="000000" w:themeColor="text1"/>
          <w:sz w:val="24"/>
          <w:highlight w:val="none"/>
          <w14:textFill>
            <w14:solidFill>
              <w14:schemeClr w14:val="tx1"/>
            </w14:solidFill>
          </w14:textFill>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7D788AEE">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13.6.4</w:t>
      </w:r>
      <w:r>
        <w:rPr>
          <w:rFonts w:hint="eastAsia" w:ascii="宋体" w:hAnsi="宋体"/>
          <w:color w:val="000000" w:themeColor="text1"/>
          <w:sz w:val="24"/>
          <w:highlight w:val="none"/>
          <w14:textFill>
            <w14:solidFill>
              <w14:schemeClr w14:val="tx1"/>
            </w14:solidFill>
          </w14:textFill>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000000" w:themeColor="text1"/>
          <w:sz w:val="24"/>
          <w:highlight w:val="none"/>
          <w14:textFill>
            <w14:solidFill>
              <w14:schemeClr w14:val="tx1"/>
            </w14:solidFill>
          </w14:textFill>
        </w:rPr>
        <w:t>13.5</w:t>
      </w:r>
      <w:r>
        <w:rPr>
          <w:rFonts w:hint="eastAsia" w:ascii="宋体" w:hAnsi="宋体"/>
          <w:color w:val="000000" w:themeColor="text1"/>
          <w:sz w:val="24"/>
          <w:highlight w:val="none"/>
          <w14:textFill>
            <w14:solidFill>
              <w14:schemeClr w14:val="tx1"/>
            </w14:solidFill>
          </w14:textFill>
        </w:rPr>
        <w:t>款规定确定。</w:t>
      </w:r>
    </w:p>
    <w:p w14:paraId="139BBB12">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13.6.5</w:t>
      </w:r>
      <w:r>
        <w:rPr>
          <w:rFonts w:hint="eastAsia" w:ascii="宋体" w:hAnsi="宋体"/>
          <w:color w:val="000000" w:themeColor="text1"/>
          <w:sz w:val="24"/>
          <w:highlight w:val="none"/>
          <w14:textFill>
            <w14:solidFill>
              <w14:schemeClr w14:val="tx1"/>
            </w14:solidFill>
          </w14:textFill>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54549DCD">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13.6.6 </w:t>
      </w:r>
      <w:r>
        <w:rPr>
          <w:rFonts w:hint="eastAsia" w:ascii="宋体" w:hAnsi="宋体"/>
          <w:color w:val="000000" w:themeColor="text1"/>
          <w:sz w:val="24"/>
          <w:highlight w:val="none"/>
          <w14:textFill>
            <w14:solidFill>
              <w14:schemeClr w14:val="tx1"/>
            </w14:solidFill>
          </w14:textFill>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3D58B357">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13.7</w:t>
      </w:r>
      <w:r>
        <w:rPr>
          <w:rFonts w:hint="eastAsia" w:ascii="宋体" w:hAnsi="宋体"/>
          <w:color w:val="000000" w:themeColor="text1"/>
          <w:sz w:val="24"/>
          <w:highlight w:val="none"/>
          <w14:textFill>
            <w14:solidFill>
              <w14:schemeClr w14:val="tx1"/>
            </w14:solidFill>
          </w14:textFill>
        </w:rPr>
        <w:t>投标人可先到工地踏勘以充分了解工地位置、情况、道路、储存空间、装卸限制及任何其他足以影响承包价的情况，任何因忽视或误解工地情况而导致的索赔或工期延长申请将不被批准。</w:t>
      </w:r>
    </w:p>
    <w:p w14:paraId="1AD16027">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13.8</w:t>
      </w:r>
      <w:r>
        <w:rPr>
          <w:rFonts w:hint="eastAsia" w:ascii="宋体" w:hAnsi="宋体"/>
          <w:color w:val="000000" w:themeColor="text1"/>
          <w:sz w:val="24"/>
          <w:highlight w:val="none"/>
          <w14:textFill>
            <w14:solidFill>
              <w14:schemeClr w14:val="tx1"/>
            </w14:solidFill>
          </w14:textFill>
        </w:rPr>
        <w:t>属于承包人自行采购的主要材料、设备，招标人应当在招标文件中提出材料、设备的技术标准或者质量要求，或者提出不少于</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个同等档次品牌或分包商供投标人报价时选择</w:t>
      </w:r>
      <w:r>
        <w:rPr>
          <w:rFonts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凡招标人在招标文件中提出参考品牌的，必须在参考品牌后面加上“或相当于”字样。投标人在投标文件中应明确所选用主要材料、设备的品牌、厂家以及质量等级，并且应当符合招标文件的要求。</w:t>
      </w:r>
    </w:p>
    <w:p w14:paraId="32A688A6">
      <w:pPr>
        <w:pStyle w:val="34"/>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13.9</w:t>
      </w:r>
      <w:r>
        <w:rPr>
          <w:rFonts w:hint="eastAsia" w:ascii="宋体"/>
          <w:color w:val="000000" w:themeColor="text1"/>
          <w:sz w:val="24"/>
          <w:szCs w:val="24"/>
          <w:highlight w:val="none"/>
          <w14:textFill>
            <w14:solidFill>
              <w14:schemeClr w14:val="tx1"/>
            </w14:solidFill>
          </w14:textFill>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6DCB4C17">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14</w:t>
      </w:r>
      <w:r>
        <w:rPr>
          <w:rFonts w:hint="eastAsia" w:ascii="宋体" w:hAnsi="宋体"/>
          <w:b/>
          <w:bCs/>
          <w:color w:val="000000" w:themeColor="text1"/>
          <w:sz w:val="24"/>
          <w:highlight w:val="none"/>
          <w14:textFill>
            <w14:solidFill>
              <w14:schemeClr w14:val="tx1"/>
            </w14:solidFill>
          </w14:textFill>
        </w:rPr>
        <w:t>．投标货币</w:t>
      </w:r>
    </w:p>
    <w:p w14:paraId="01F20C22">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14.1 </w:t>
      </w:r>
      <w:r>
        <w:rPr>
          <w:rFonts w:hint="eastAsia" w:ascii="宋体" w:hAnsi="宋体"/>
          <w:color w:val="000000" w:themeColor="text1"/>
          <w:sz w:val="24"/>
          <w:highlight w:val="none"/>
          <w14:textFill>
            <w14:solidFill>
              <w14:schemeClr w14:val="tx1"/>
            </w14:solidFill>
          </w14:textFill>
        </w:rPr>
        <w:t>本工程投标报价采用的币种为人民币。</w:t>
      </w:r>
    </w:p>
    <w:p w14:paraId="37269467">
      <w:pPr>
        <w:pStyle w:val="34"/>
        <w:spacing w:after="0" w:line="360" w:lineRule="auto"/>
        <w:ind w:firstLine="482" w:firstLineChars="200"/>
        <w:rPr>
          <w:rFonts w:ascii="宋体"/>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15</w:t>
      </w:r>
      <w:r>
        <w:rPr>
          <w:rFonts w:hint="eastAsia" w:ascii="宋体" w:hAnsi="宋体"/>
          <w:b/>
          <w:bCs/>
          <w:color w:val="000000" w:themeColor="text1"/>
          <w:sz w:val="24"/>
          <w:highlight w:val="none"/>
          <w14:textFill>
            <w14:solidFill>
              <w14:schemeClr w14:val="tx1"/>
            </w14:solidFill>
          </w14:textFill>
        </w:rPr>
        <w:t>．投标有效期</w:t>
      </w:r>
    </w:p>
    <w:p w14:paraId="492A3F0A">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15.1 </w:t>
      </w:r>
      <w:r>
        <w:rPr>
          <w:rFonts w:hint="eastAsia" w:ascii="宋体" w:hAnsi="宋体"/>
          <w:color w:val="000000" w:themeColor="text1"/>
          <w:sz w:val="24"/>
          <w:highlight w:val="none"/>
          <w14:textFill>
            <w14:solidFill>
              <w14:schemeClr w14:val="tx1"/>
            </w14:solidFill>
          </w14:textFill>
        </w:rPr>
        <w:t>投标有效期见投标须知前附表第</w:t>
      </w:r>
      <w:r>
        <w:rPr>
          <w:rFonts w:ascii="宋体" w:hAnsi="宋体"/>
          <w:color w:val="000000" w:themeColor="text1"/>
          <w:sz w:val="24"/>
          <w:highlight w:val="none"/>
          <w14:textFill>
            <w14:solidFill>
              <w14:schemeClr w14:val="tx1"/>
            </w14:solidFill>
          </w14:textFill>
        </w:rPr>
        <w:t>13</w:t>
      </w:r>
      <w:r>
        <w:rPr>
          <w:rFonts w:hint="eastAsia" w:ascii="宋体" w:hAnsi="宋体"/>
          <w:color w:val="000000" w:themeColor="text1"/>
          <w:sz w:val="24"/>
          <w:highlight w:val="none"/>
          <w14:textFill>
            <w14:solidFill>
              <w14:schemeClr w14:val="tx1"/>
            </w14:solidFill>
          </w14:textFill>
        </w:rPr>
        <w:t>项所规定的期限，在此期限内，凡符合本招标文件要求的投标文件均保持有效。</w:t>
      </w:r>
    </w:p>
    <w:p w14:paraId="1AD91DDB">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15.2 </w:t>
      </w:r>
      <w:r>
        <w:rPr>
          <w:rFonts w:hint="eastAsia" w:ascii="宋体" w:hAnsi="宋体"/>
          <w:color w:val="000000" w:themeColor="text1"/>
          <w:sz w:val="24"/>
          <w:highlight w:val="none"/>
          <w14:textFill>
            <w14:solidFill>
              <w14:schemeClr w14:val="tx1"/>
            </w14:solidFill>
          </w14:textFill>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000000" w:themeColor="text1"/>
          <w:sz w:val="24"/>
          <w:highlight w:val="none"/>
          <w14:textFill>
            <w14:solidFill>
              <w14:schemeClr w14:val="tx1"/>
            </w14:solidFill>
          </w14:textFill>
        </w:rPr>
        <w:t>16</w:t>
      </w:r>
      <w:r>
        <w:rPr>
          <w:rFonts w:hint="eastAsia" w:ascii="宋体" w:hAnsi="宋体"/>
          <w:color w:val="000000" w:themeColor="text1"/>
          <w:sz w:val="24"/>
          <w:highlight w:val="none"/>
          <w14:textFill>
            <w14:solidFill>
              <w14:schemeClr w14:val="tx1"/>
            </w14:solidFill>
          </w14:textFill>
        </w:rPr>
        <w:t>条关于投标保证金的退还与不予退还的规定仍然适用。</w:t>
      </w:r>
    </w:p>
    <w:p w14:paraId="5A614FA8">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16</w:t>
      </w:r>
      <w:r>
        <w:rPr>
          <w:rFonts w:hint="eastAsia" w:ascii="宋体" w:hAnsi="宋体"/>
          <w:b/>
          <w:bCs/>
          <w:color w:val="000000" w:themeColor="text1"/>
          <w:sz w:val="24"/>
          <w:highlight w:val="none"/>
          <w14:textFill>
            <w14:solidFill>
              <w14:schemeClr w14:val="tx1"/>
            </w14:solidFill>
          </w14:textFill>
        </w:rPr>
        <w:t>．投标保证金</w:t>
      </w:r>
    </w:p>
    <w:p w14:paraId="561D0F9C">
      <w:pPr>
        <w:widowControl/>
        <w:spacing w:line="360" w:lineRule="auto"/>
        <w:ind w:firstLine="480" w:firstLineChars="200"/>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16.1投标人应按投标须知前附表第14项所述金额和时间递交投标保证金。</w:t>
      </w:r>
      <w:r>
        <w:rPr>
          <w:rFonts w:hint="eastAsia" w:ascii="宋体" w:hAnsi="宋体" w:cs="宋体"/>
          <w:b/>
          <w:bCs/>
          <w:color w:val="000000" w:themeColor="text1"/>
          <w:kern w:val="0"/>
          <w:sz w:val="24"/>
          <w:szCs w:val="24"/>
          <w:highlight w:val="none"/>
          <w14:textFill>
            <w14:solidFill>
              <w14:schemeClr w14:val="tx1"/>
            </w14:solidFill>
          </w14:textFill>
        </w:rPr>
        <w:t>招标人应当允许投标人自主选择现金、银行保函、保证保险、专业工程担保公司担保等方式缴纳投标保证金。</w:t>
      </w:r>
    </w:p>
    <w:p w14:paraId="355AFDA3">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16.1.1 采用现金或者支票形式提交的，投标保证金须从投标人的银行基本账户转出。</w:t>
      </w:r>
    </w:p>
    <w:p w14:paraId="62E3F395">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4772DFF">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16.1.3 采用电子形式的保函、担保或保证保险提交投标保证金的，应在招标文件中明确电子递交途径。</w:t>
      </w:r>
    </w:p>
    <w:p w14:paraId="3B4B9957">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16.2开标时投标人没有按要求提供投标保证金的，其投标文件将被否决；未按招标文件要求提交符合免予提供投标保证金相关证明材料，且未提交投标保证金的投标人，视为未按要求提供投标保证金。</w:t>
      </w:r>
    </w:p>
    <w:p w14:paraId="3C0936E9">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16.3投标保证金应依据法律法规的相关规定退还。</w:t>
      </w:r>
    </w:p>
    <w:p w14:paraId="69B46FD8">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w:t>
      </w:r>
      <w:r>
        <w:rPr>
          <w:rFonts w:ascii="宋体" w:hAnsi="宋体" w:cs="宋体"/>
          <w:b/>
          <w:color w:val="000000" w:themeColor="text1"/>
          <w:kern w:val="0"/>
          <w:sz w:val="24"/>
          <w:szCs w:val="24"/>
          <w:highlight w:val="none"/>
          <w14:textFill>
            <w14:solidFill>
              <w14:schemeClr w14:val="tx1"/>
            </w14:solidFill>
          </w14:textFill>
        </w:rPr>
        <w:t>4</w:t>
      </w:r>
      <w:r>
        <w:rPr>
          <w:rFonts w:hint="eastAsia" w:ascii="宋体" w:hAnsi="宋体" w:cs="宋体"/>
          <w:b/>
          <w:color w:val="000000" w:themeColor="text1"/>
          <w:kern w:val="0"/>
          <w:sz w:val="24"/>
          <w:szCs w:val="24"/>
          <w:highlight w:val="none"/>
          <w14:textFill>
            <w14:solidFill>
              <w14:schemeClr w14:val="tx1"/>
            </w14:solidFill>
          </w14:textFill>
        </w:rPr>
        <w:t>如有下列情况之一的，招标人</w:t>
      </w:r>
      <w:r>
        <w:rPr>
          <w:rFonts w:hint="eastAsia" w:ascii="宋体" w:hAnsi="宋体" w:cs="宋体"/>
          <w:b/>
          <w:bCs/>
          <w:color w:val="000000" w:themeColor="text1"/>
          <w:kern w:val="0"/>
          <w:sz w:val="24"/>
          <w:szCs w:val="24"/>
          <w:highlight w:val="none"/>
          <w14:textFill>
            <w14:solidFill>
              <w14:schemeClr w14:val="tx1"/>
            </w14:solidFill>
          </w14:textFill>
        </w:rPr>
        <w:t>可以</w:t>
      </w:r>
      <w:r>
        <w:rPr>
          <w:rFonts w:hint="eastAsia" w:ascii="宋体" w:hAnsi="宋体" w:cs="宋体"/>
          <w:b/>
          <w:color w:val="000000" w:themeColor="text1"/>
          <w:kern w:val="0"/>
          <w:sz w:val="24"/>
          <w:szCs w:val="24"/>
          <w:highlight w:val="none"/>
          <w14:textFill>
            <w14:solidFill>
              <w14:schemeClr w14:val="tx1"/>
            </w14:solidFill>
          </w14:textFill>
        </w:rPr>
        <w:t>不予退还投标保证金</w:t>
      </w:r>
      <w:r>
        <w:rPr>
          <w:rFonts w:hint="eastAsia" w:ascii="宋体" w:hAnsi="宋体" w:cs="宋体"/>
          <w:b/>
          <w:bCs/>
          <w:color w:val="000000" w:themeColor="text1"/>
          <w:kern w:val="0"/>
          <w:sz w:val="24"/>
          <w:szCs w:val="24"/>
          <w:highlight w:val="none"/>
          <w14:textFill>
            <w14:solidFill>
              <w14:schemeClr w14:val="tx1"/>
            </w14:solidFill>
          </w14:textFill>
        </w:rPr>
        <w:t>（是否退还投标保证金由招标人在招标文件中规定）</w:t>
      </w:r>
      <w:r>
        <w:rPr>
          <w:rFonts w:hint="eastAsia" w:ascii="宋体" w:hAnsi="宋体" w:cs="宋体"/>
          <w:b/>
          <w:color w:val="000000" w:themeColor="text1"/>
          <w:kern w:val="0"/>
          <w:sz w:val="24"/>
          <w:szCs w:val="24"/>
          <w:highlight w:val="none"/>
          <w14:textFill>
            <w14:solidFill>
              <w14:schemeClr w14:val="tx1"/>
            </w14:solidFill>
          </w14:textFill>
        </w:rPr>
        <w:t>：</w:t>
      </w:r>
    </w:p>
    <w:p w14:paraId="112CEF72">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w:t>
      </w:r>
      <w:r>
        <w:rPr>
          <w:rFonts w:ascii="宋体" w:hAnsi="宋体" w:cs="宋体"/>
          <w:b/>
          <w:color w:val="000000" w:themeColor="text1"/>
          <w:kern w:val="0"/>
          <w:sz w:val="24"/>
          <w:szCs w:val="24"/>
          <w:highlight w:val="none"/>
          <w14:textFill>
            <w14:solidFill>
              <w14:schemeClr w14:val="tx1"/>
            </w14:solidFill>
          </w14:textFill>
        </w:rPr>
        <w:t>4</w:t>
      </w:r>
      <w:r>
        <w:rPr>
          <w:rFonts w:hint="eastAsia" w:ascii="宋体" w:hAnsi="宋体" w:cs="宋体"/>
          <w:b/>
          <w:color w:val="000000" w:themeColor="text1"/>
          <w:kern w:val="0"/>
          <w:sz w:val="24"/>
          <w:szCs w:val="24"/>
          <w:highlight w:val="none"/>
          <w14:textFill>
            <w14:solidFill>
              <w14:schemeClr w14:val="tx1"/>
            </w14:solidFill>
          </w14:textFill>
        </w:rPr>
        <w:t>.1因投标人原因造成投标文件未解密的；</w:t>
      </w:r>
    </w:p>
    <w:p w14:paraId="233FC2F1">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w:t>
      </w:r>
      <w:r>
        <w:rPr>
          <w:rFonts w:ascii="宋体" w:hAnsi="宋体" w:cs="宋体"/>
          <w:b/>
          <w:color w:val="000000" w:themeColor="text1"/>
          <w:kern w:val="0"/>
          <w:sz w:val="24"/>
          <w:szCs w:val="24"/>
          <w:highlight w:val="none"/>
          <w14:textFill>
            <w14:solidFill>
              <w14:schemeClr w14:val="tx1"/>
            </w14:solidFill>
          </w14:textFill>
        </w:rPr>
        <w:t>4</w:t>
      </w:r>
      <w:r>
        <w:rPr>
          <w:rFonts w:hint="eastAsia" w:ascii="宋体" w:hAnsi="宋体" w:cs="宋体"/>
          <w:b/>
          <w:color w:val="000000" w:themeColor="text1"/>
          <w:kern w:val="0"/>
          <w:sz w:val="24"/>
          <w:szCs w:val="24"/>
          <w:highlight w:val="none"/>
          <w14:textFill>
            <w14:solidFill>
              <w14:schemeClr w14:val="tx1"/>
            </w14:solidFill>
          </w14:textFill>
        </w:rPr>
        <w:t>.2投标人在投标有效期内撤销投标文件；</w:t>
      </w:r>
    </w:p>
    <w:p w14:paraId="6D21E597">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w:t>
      </w:r>
      <w:r>
        <w:rPr>
          <w:rFonts w:ascii="宋体" w:hAnsi="宋体" w:cs="宋体"/>
          <w:b/>
          <w:color w:val="000000" w:themeColor="text1"/>
          <w:kern w:val="0"/>
          <w:sz w:val="24"/>
          <w:szCs w:val="24"/>
          <w:highlight w:val="none"/>
          <w14:textFill>
            <w14:solidFill>
              <w14:schemeClr w14:val="tx1"/>
            </w14:solidFill>
          </w14:textFill>
        </w:rPr>
        <w:t>4</w:t>
      </w:r>
      <w:r>
        <w:rPr>
          <w:rFonts w:hint="eastAsia" w:ascii="宋体" w:hAnsi="宋体" w:cs="宋体"/>
          <w:b/>
          <w:color w:val="000000" w:themeColor="text1"/>
          <w:kern w:val="0"/>
          <w:sz w:val="24"/>
          <w:szCs w:val="24"/>
          <w:highlight w:val="none"/>
          <w14:textFill>
            <w14:solidFill>
              <w14:schemeClr w14:val="tx1"/>
            </w14:solidFill>
          </w14:textFill>
        </w:rPr>
        <w:t>.3中标人未能在规定期限内按要求提交履约担保；</w:t>
      </w:r>
    </w:p>
    <w:p w14:paraId="7B3A60C8">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w:t>
      </w:r>
      <w:r>
        <w:rPr>
          <w:rFonts w:ascii="宋体" w:hAnsi="宋体" w:cs="宋体"/>
          <w:b/>
          <w:color w:val="000000" w:themeColor="text1"/>
          <w:kern w:val="0"/>
          <w:sz w:val="24"/>
          <w:szCs w:val="24"/>
          <w:highlight w:val="none"/>
          <w14:textFill>
            <w14:solidFill>
              <w14:schemeClr w14:val="tx1"/>
            </w14:solidFill>
          </w14:textFill>
        </w:rPr>
        <w:t>4</w:t>
      </w:r>
      <w:r>
        <w:rPr>
          <w:rFonts w:hint="eastAsia" w:ascii="宋体" w:hAnsi="宋体" w:cs="宋体"/>
          <w:b/>
          <w:color w:val="000000" w:themeColor="text1"/>
          <w:kern w:val="0"/>
          <w:sz w:val="24"/>
          <w:szCs w:val="24"/>
          <w:highlight w:val="none"/>
          <w14:textFill>
            <w14:solidFill>
              <w14:schemeClr w14:val="tx1"/>
            </w14:solidFill>
          </w14:textFill>
        </w:rPr>
        <w:t>.4中标人未能在规定期限内签署合同协议。</w:t>
      </w:r>
    </w:p>
    <w:p w14:paraId="51082187">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16.5投标人如存在下列情况之一的，将被拒绝在一定时期内参与招标人后续工程投标（拒绝时限需在招标文件中明确）：</w:t>
      </w:r>
    </w:p>
    <w:p w14:paraId="584157C2">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16.5.1</w:t>
      </w:r>
      <w:r>
        <w:rPr>
          <w:rFonts w:hint="eastAsia" w:ascii="宋体" w:hAnsi="宋体" w:cs="宋体"/>
          <w:b/>
          <w:bCs/>
          <w:color w:val="000000" w:themeColor="text1"/>
          <w:kern w:val="0"/>
          <w:sz w:val="24"/>
          <w:szCs w:val="24"/>
          <w:highlight w:val="none"/>
          <w14:textFill>
            <w14:solidFill>
              <w14:schemeClr w14:val="tx1"/>
            </w14:solidFill>
          </w14:textFill>
        </w:rPr>
        <w:t>投标人</w:t>
      </w:r>
      <w:r>
        <w:rPr>
          <w:rFonts w:hint="eastAsia" w:ascii="宋体" w:hAnsi="宋体" w:cs="宋体"/>
          <w:b/>
          <w:color w:val="000000" w:themeColor="text1"/>
          <w:kern w:val="0"/>
          <w:sz w:val="24"/>
          <w:szCs w:val="24"/>
          <w:highlight w:val="none"/>
          <w14:textFill>
            <w14:solidFill>
              <w14:schemeClr w14:val="tx1"/>
            </w14:solidFill>
          </w14:textFill>
        </w:rPr>
        <w:t>存在16.4条款所列情形且投标人提交的保函、担保或保证保险无法兑付的；</w:t>
      </w:r>
    </w:p>
    <w:p w14:paraId="1F801AD2">
      <w:pPr>
        <w:widowControl/>
        <w:spacing w:line="360" w:lineRule="auto"/>
        <w:ind w:firstLine="482" w:firstLineChars="200"/>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16.5.2采用非电子形式提交投标保证金的</w:t>
      </w:r>
      <w:r>
        <w:rPr>
          <w:rFonts w:hint="eastAsia" w:ascii="宋体" w:hAnsi="宋体" w:cs="宋体"/>
          <w:b/>
          <w:bCs/>
          <w:color w:val="000000" w:themeColor="text1"/>
          <w:kern w:val="0"/>
          <w:sz w:val="24"/>
          <w:szCs w:val="24"/>
          <w:highlight w:val="none"/>
          <w14:textFill>
            <w14:solidFill>
              <w14:schemeClr w14:val="tx1"/>
            </w14:solidFill>
          </w14:textFill>
        </w:rPr>
        <w:t>投标人</w:t>
      </w:r>
      <w:r>
        <w:rPr>
          <w:rFonts w:hint="eastAsia" w:ascii="宋体" w:hAnsi="宋体" w:cs="宋体"/>
          <w:b/>
          <w:color w:val="000000" w:themeColor="text1"/>
          <w:kern w:val="0"/>
          <w:sz w:val="24"/>
          <w:szCs w:val="24"/>
          <w:highlight w:val="none"/>
          <w14:textFill>
            <w14:solidFill>
              <w14:schemeClr w14:val="tx1"/>
            </w14:solidFill>
          </w14:textFill>
        </w:rPr>
        <w:t>存在16.4条款所列情形，且未按招标人要求补交</w:t>
      </w:r>
      <w:r>
        <w:rPr>
          <w:rFonts w:hint="eastAsia" w:ascii="宋体" w:hAnsi="宋体" w:cs="宋体"/>
          <w:b/>
          <w:bCs/>
          <w:color w:val="000000" w:themeColor="text1"/>
          <w:kern w:val="0"/>
          <w:sz w:val="24"/>
          <w:szCs w:val="24"/>
          <w:highlight w:val="none"/>
          <w14:textFill>
            <w14:solidFill>
              <w14:schemeClr w14:val="tx1"/>
            </w14:solidFill>
          </w14:textFill>
        </w:rPr>
        <w:t>银行保函、专业工程担保公司担保或保证保险原件的；</w:t>
      </w:r>
    </w:p>
    <w:p w14:paraId="08F3AA55">
      <w:pPr>
        <w:spacing w:line="360" w:lineRule="auto"/>
        <w:ind w:firstLine="482" w:firstLineChars="200"/>
        <w:rPr>
          <w:rFonts w:ascii="宋体" w:hAnsi="Courier New"/>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16.5.3按招标文件要求免于提供投标保证金</w:t>
      </w:r>
      <w:r>
        <w:rPr>
          <w:rFonts w:hint="eastAsia" w:ascii="宋体" w:hAnsi="宋体" w:cs="宋体"/>
          <w:b/>
          <w:color w:val="000000" w:themeColor="text1"/>
          <w:kern w:val="0"/>
          <w:sz w:val="24"/>
          <w:szCs w:val="24"/>
          <w:highlight w:val="none"/>
          <w14:textFill>
            <w14:solidFill>
              <w14:schemeClr w14:val="tx1"/>
            </w14:solidFill>
          </w14:textFill>
        </w:rPr>
        <w:t>的</w:t>
      </w:r>
      <w:r>
        <w:rPr>
          <w:rFonts w:hint="eastAsia" w:ascii="宋体" w:hAnsi="宋体" w:cs="宋体"/>
          <w:b/>
          <w:bCs/>
          <w:color w:val="000000" w:themeColor="text1"/>
          <w:kern w:val="0"/>
          <w:sz w:val="24"/>
          <w:szCs w:val="24"/>
          <w:highlight w:val="none"/>
          <w14:textFill>
            <w14:solidFill>
              <w14:schemeClr w14:val="tx1"/>
            </w14:solidFill>
          </w14:textFill>
        </w:rPr>
        <w:t>投标人</w:t>
      </w:r>
      <w:r>
        <w:rPr>
          <w:rFonts w:hint="eastAsia" w:ascii="宋体" w:hAnsi="宋体" w:cs="宋体"/>
          <w:b/>
          <w:color w:val="000000" w:themeColor="text1"/>
          <w:kern w:val="0"/>
          <w:sz w:val="24"/>
          <w:szCs w:val="24"/>
          <w:highlight w:val="none"/>
          <w14:textFill>
            <w14:solidFill>
              <w14:schemeClr w14:val="tx1"/>
            </w14:solidFill>
          </w14:textFill>
        </w:rPr>
        <w:t>存在16.4条款所列情形，且未按招标人要求补交投标保证金的；</w:t>
      </w:r>
    </w:p>
    <w:p w14:paraId="4BB85217">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16.5.3按招标文件要求免于提供投标保证金</w:t>
      </w:r>
      <w:r>
        <w:rPr>
          <w:rFonts w:hint="eastAsia" w:ascii="宋体" w:hAnsi="宋体" w:cs="宋体"/>
          <w:b/>
          <w:color w:val="000000" w:themeColor="text1"/>
          <w:kern w:val="0"/>
          <w:sz w:val="24"/>
          <w:szCs w:val="24"/>
          <w:highlight w:val="none"/>
          <w14:textFill>
            <w14:solidFill>
              <w14:schemeClr w14:val="tx1"/>
            </w14:solidFill>
          </w14:textFill>
        </w:rPr>
        <w:t>的</w:t>
      </w:r>
      <w:r>
        <w:rPr>
          <w:rFonts w:hint="eastAsia" w:ascii="宋体" w:hAnsi="宋体" w:cs="宋体"/>
          <w:b/>
          <w:bCs/>
          <w:color w:val="000000" w:themeColor="text1"/>
          <w:kern w:val="0"/>
          <w:sz w:val="24"/>
          <w:szCs w:val="24"/>
          <w:highlight w:val="none"/>
          <w14:textFill>
            <w14:solidFill>
              <w14:schemeClr w14:val="tx1"/>
            </w14:solidFill>
          </w14:textFill>
        </w:rPr>
        <w:t>投标人</w:t>
      </w:r>
      <w:r>
        <w:rPr>
          <w:rFonts w:hint="eastAsia" w:ascii="宋体" w:hAnsi="宋体" w:cs="宋体"/>
          <w:b/>
          <w:color w:val="000000" w:themeColor="text1"/>
          <w:kern w:val="0"/>
          <w:sz w:val="24"/>
          <w:szCs w:val="24"/>
          <w:highlight w:val="none"/>
          <w14:textFill>
            <w14:solidFill>
              <w14:schemeClr w14:val="tx1"/>
            </w14:solidFill>
          </w14:textFill>
        </w:rPr>
        <w:t>存在16.4条款所列情形的。</w:t>
      </w:r>
    </w:p>
    <w:p w14:paraId="5ED69B82">
      <w:pPr>
        <w:spacing w:line="360" w:lineRule="auto"/>
        <w:ind w:firstLine="482" w:firstLineChars="200"/>
        <w:rPr>
          <w:rFonts w:ascii="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注：16.5.3款由招标人二选一，需在招标文件中明确。</w:t>
      </w:r>
    </w:p>
    <w:p w14:paraId="1C9EB6AA">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17</w:t>
      </w:r>
      <w:r>
        <w:rPr>
          <w:rFonts w:hint="eastAsia" w:ascii="宋体" w:hAnsi="宋体"/>
          <w:b/>
          <w:bCs/>
          <w:color w:val="000000" w:themeColor="text1"/>
          <w:sz w:val="24"/>
          <w:highlight w:val="none"/>
          <w14:textFill>
            <w14:solidFill>
              <w14:schemeClr w14:val="tx1"/>
            </w14:solidFill>
          </w14:textFill>
        </w:rPr>
        <w:t>．投标文件的签署</w:t>
      </w:r>
    </w:p>
    <w:p w14:paraId="1E19E55E">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17.1</w:t>
      </w:r>
      <w:r>
        <w:rPr>
          <w:rFonts w:ascii="宋体" w:hAnsi="宋体"/>
          <w:bCs/>
          <w:color w:val="000000" w:themeColor="text1"/>
          <w:sz w:val="24"/>
          <w:highlight w:val="none"/>
          <w14:textFill>
            <w14:solidFill>
              <w14:schemeClr w14:val="tx1"/>
            </w14:solidFill>
          </w14:textFill>
        </w:rPr>
        <w:t>投标人应采用单位数字证书，按招标文件要求在相应位置加盖电子印章。投标文件中需个人签字或盖章的，</w:t>
      </w:r>
      <w:r>
        <w:rPr>
          <w:rFonts w:hint="eastAsia" w:ascii="宋体" w:hAnsi="宋体"/>
          <w:b/>
          <w:color w:val="000000" w:themeColor="text1"/>
          <w:sz w:val="24"/>
          <w:highlight w:val="none"/>
          <w14:textFill>
            <w14:solidFill>
              <w14:schemeClr w14:val="tx1"/>
            </w14:solidFill>
          </w14:textFill>
        </w:rPr>
        <w:t>应加盖个人电子印章或在线下完成后扫描上传。</w:t>
      </w:r>
      <w:r>
        <w:rPr>
          <w:rFonts w:hint="eastAsia" w:ascii="宋体" w:hAnsi="宋体"/>
          <w:bCs/>
          <w:color w:val="000000" w:themeColor="text1"/>
          <w:sz w:val="24"/>
          <w:highlight w:val="none"/>
          <w14:textFill>
            <w14:solidFill>
              <w14:schemeClr w14:val="tx1"/>
            </w14:solidFill>
          </w14:textFill>
        </w:rPr>
        <w:t>按照交易平台关于全流程电子化项目的相关指南进行操作。详见：</w:t>
      </w:r>
      <w:r>
        <w:rPr>
          <w:rFonts w:hint="eastAsia" w:ascii="宋体" w:hAnsi="宋体"/>
          <w:color w:val="000000" w:themeColor="text1"/>
          <w:sz w:val="24"/>
          <w:highlight w:val="none"/>
          <w14:textFill>
            <w14:solidFill>
              <w14:schemeClr w14:val="tx1"/>
            </w14:solidFill>
          </w14:textFill>
        </w:rPr>
        <w:t>。</w:t>
      </w:r>
    </w:p>
    <w:p w14:paraId="2A597E0F">
      <w:pPr>
        <w:pStyle w:val="4"/>
        <w:spacing w:before="156" w:after="156"/>
        <w:rPr>
          <w:rFonts w:hint="eastAsia"/>
          <w:color w:val="000000" w:themeColor="text1"/>
          <w:highlight w:val="none"/>
          <w14:textFill>
            <w14:solidFill>
              <w14:schemeClr w14:val="tx1"/>
            </w14:solidFill>
          </w14:textFill>
        </w:rPr>
      </w:pPr>
      <w:bookmarkStart w:id="17" w:name="_Toc5458"/>
      <w:bookmarkStart w:id="18" w:name="_Toc2272552"/>
      <w:bookmarkStart w:id="19" w:name="_Toc14144"/>
      <w:r>
        <w:rPr>
          <w:rFonts w:hint="eastAsia"/>
          <w:color w:val="000000" w:themeColor="text1"/>
          <w:highlight w:val="none"/>
          <w14:textFill>
            <w14:solidFill>
              <w14:schemeClr w14:val="tx1"/>
            </w14:solidFill>
          </w14:textFill>
        </w:rPr>
        <w:t>（四）投标文件的提交</w:t>
      </w:r>
      <w:bookmarkEnd w:id="17"/>
      <w:bookmarkEnd w:id="18"/>
      <w:bookmarkEnd w:id="19"/>
    </w:p>
    <w:p w14:paraId="502F4F18">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18</w:t>
      </w:r>
      <w:r>
        <w:rPr>
          <w:rFonts w:hint="eastAsia" w:ascii="宋体" w:hAnsi="宋体"/>
          <w:b/>
          <w:bCs/>
          <w:color w:val="000000" w:themeColor="text1"/>
          <w:sz w:val="24"/>
          <w:highlight w:val="none"/>
          <w14:textFill>
            <w14:solidFill>
              <w14:schemeClr w14:val="tx1"/>
            </w14:solidFill>
          </w14:textFill>
        </w:rPr>
        <w:t>．</w:t>
      </w:r>
      <w:r>
        <w:rPr>
          <w:rFonts w:hint="eastAsia"/>
          <w:b/>
          <w:color w:val="000000" w:themeColor="text1"/>
          <w:sz w:val="24"/>
          <w:szCs w:val="24"/>
          <w:highlight w:val="none"/>
          <w14:textFill>
            <w14:solidFill>
              <w14:schemeClr w14:val="tx1"/>
            </w14:solidFill>
          </w14:textFill>
        </w:rPr>
        <w:t>投标文件的密封和标记</w:t>
      </w:r>
    </w:p>
    <w:p w14:paraId="4C9BAFE3">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8</w:t>
      </w: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递交的电子投标文件（不含备用光盘）必须进行加密。按照交易平台关于</w:t>
      </w:r>
      <w:r>
        <w:rPr>
          <w:rFonts w:hint="eastAsia"/>
          <w:color w:val="000000" w:themeColor="text1"/>
          <w:sz w:val="24"/>
          <w:szCs w:val="24"/>
          <w:highlight w:val="none"/>
          <w14:textFill>
            <w14:solidFill>
              <w14:schemeClr w14:val="tx1"/>
            </w14:solidFill>
          </w14:textFill>
        </w:rPr>
        <w:t>全流程电子化项目的相关指南进行操作。详见：。</w:t>
      </w:r>
    </w:p>
    <w:p w14:paraId="12F4B043">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8</w:t>
      </w:r>
      <w:r>
        <w:rPr>
          <w:rFonts w:ascii="宋体" w:hAnsi="宋体"/>
          <w:bCs/>
          <w:color w:val="000000" w:themeColor="text1"/>
          <w:sz w:val="24"/>
          <w:highlight w:val="none"/>
          <w14:textFill>
            <w14:solidFill>
              <w14:schemeClr w14:val="tx1"/>
            </w14:solidFill>
          </w14:textFill>
        </w:rPr>
        <w:t>.2</w:t>
      </w:r>
      <w:r>
        <w:rPr>
          <w:rFonts w:hint="eastAsia" w:ascii="宋体"/>
          <w:bCs/>
          <w:color w:val="000000" w:themeColor="text1"/>
          <w:sz w:val="24"/>
          <w:highlight w:val="none"/>
          <w14:textFill>
            <w14:solidFill>
              <w14:schemeClr w14:val="tx1"/>
            </w14:solidFill>
          </w14:textFill>
        </w:rPr>
        <w:t>未按要求加密的投标文件，</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bCs/>
          <w:color w:val="000000" w:themeColor="text1"/>
          <w:sz w:val="24"/>
          <w:highlight w:val="none"/>
          <w14:textFill>
            <w14:solidFill>
              <w14:schemeClr w14:val="tx1"/>
            </w14:solidFill>
          </w14:textFill>
        </w:rPr>
        <w:t>将予以拒收。</w:t>
      </w:r>
    </w:p>
    <w:p w14:paraId="6F92BD4D">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19</w:t>
      </w:r>
      <w:r>
        <w:rPr>
          <w:rFonts w:hint="eastAsia" w:ascii="宋体" w:hAnsi="宋体"/>
          <w:b/>
          <w:bCs/>
          <w:color w:val="000000" w:themeColor="text1"/>
          <w:sz w:val="24"/>
          <w:highlight w:val="none"/>
          <w14:textFill>
            <w14:solidFill>
              <w14:schemeClr w14:val="tx1"/>
            </w14:solidFill>
          </w14:textFill>
        </w:rPr>
        <w:t>．投标文件的递交和接收</w:t>
      </w:r>
    </w:p>
    <w:p w14:paraId="19ABC550">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9</w:t>
      </w:r>
      <w:r>
        <w:rPr>
          <w:rFonts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1投标人通过</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递交电子投标文件。</w:t>
      </w:r>
    </w:p>
    <w:p w14:paraId="01478E41">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9</w:t>
      </w:r>
      <w:r>
        <w:rPr>
          <w:rFonts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2投标人完成电子</w:t>
      </w:r>
      <w:r>
        <w:rPr>
          <w:rFonts w:hint="eastAsia" w:ascii="宋体" w:hAnsi="宋体"/>
          <w:color w:val="000000" w:themeColor="text1"/>
          <w:sz w:val="24"/>
          <w:highlight w:val="none"/>
          <w14:textFill>
            <w14:solidFill>
              <w14:schemeClr w14:val="tx1"/>
            </w14:solidFill>
          </w14:textFill>
        </w:rPr>
        <w:t>投标文件</w:t>
      </w:r>
      <w:r>
        <w:rPr>
          <w:rFonts w:hint="eastAsia" w:ascii="宋体" w:hAnsi="宋体"/>
          <w:bCs/>
          <w:color w:val="000000" w:themeColor="text1"/>
          <w:sz w:val="24"/>
          <w:highlight w:val="none"/>
          <w14:textFill>
            <w14:solidFill>
              <w14:schemeClr w14:val="tx1"/>
            </w14:solidFill>
          </w14:textFill>
        </w:rPr>
        <w:t>上传后，</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即时向投标人发出递交回执通知。递交时间以递交回执通知载明的传输完成时间为准。</w:t>
      </w:r>
    </w:p>
    <w:p w14:paraId="2B4C962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9</w:t>
      </w:r>
      <w:r>
        <w:rPr>
          <w:rFonts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3</w:t>
      </w:r>
      <w:r>
        <w:rPr>
          <w:rFonts w:hint="eastAsia"/>
          <w:bCs/>
          <w:color w:val="000000" w:themeColor="text1"/>
          <w:sz w:val="24"/>
          <w:szCs w:val="24"/>
          <w:highlight w:val="none"/>
          <w14:textFill>
            <w14:solidFill>
              <w14:schemeClr w14:val="tx1"/>
            </w14:solidFill>
          </w14:textFill>
        </w:rPr>
        <w:t>逾期送达的</w:t>
      </w:r>
      <w:r>
        <w:rPr>
          <w:rFonts w:hint="eastAsia" w:ascii="宋体" w:hAnsi="宋体"/>
          <w:bCs/>
          <w:color w:val="000000" w:themeColor="text1"/>
          <w:sz w:val="24"/>
          <w:highlight w:val="none"/>
          <w14:textFill>
            <w14:solidFill>
              <w14:schemeClr w14:val="tx1"/>
            </w14:solidFill>
          </w14:textFill>
        </w:rPr>
        <w:t>电子投标文件，</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将予以拒收。</w:t>
      </w:r>
    </w:p>
    <w:p w14:paraId="3EA649D2">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19.</w:t>
      </w: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投标截止前，</w:t>
      </w:r>
      <w:r>
        <w:rPr>
          <w:rFonts w:hint="eastAsia"/>
          <w:color w:val="000000" w:themeColor="text1"/>
          <w:sz w:val="24"/>
          <w:szCs w:val="24"/>
          <w:highlight w:val="none"/>
          <w14:textFill>
            <w14:solidFill>
              <w14:schemeClr w14:val="tx1"/>
            </w14:solidFill>
          </w14:textFill>
        </w:rPr>
        <w:t>招标人拒绝接收符合条件的投标文件，投标人可向招标投标监督机构投诉。</w:t>
      </w:r>
    </w:p>
    <w:p w14:paraId="4B3BF53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19.</w:t>
      </w:r>
      <w:r>
        <w:rPr>
          <w:rFonts w:hint="eastAsia" w:ascii="宋体" w:hAnsi="宋体"/>
          <w:color w:val="000000" w:themeColor="text1"/>
          <w:sz w:val="24"/>
          <w:highlight w:val="none"/>
          <w14:textFill>
            <w14:solidFill>
              <w14:schemeClr w14:val="tx1"/>
            </w14:solidFill>
          </w14:textFill>
        </w:rPr>
        <w:t>5如技术标和经济标先后分别开启，</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将按招标文件规定的时间分别开启技术标和经济标。</w:t>
      </w:r>
    </w:p>
    <w:p w14:paraId="67357E9C">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19.6</w:t>
      </w:r>
      <w:r>
        <w:rPr>
          <w:rFonts w:hint="eastAsia" w:ascii="宋体" w:hAnsi="宋体"/>
          <w:color w:val="000000" w:themeColor="text1"/>
          <w:sz w:val="24"/>
          <w:szCs w:val="24"/>
          <w:highlight w:val="none"/>
          <w14:textFill>
            <w14:solidFill>
              <w14:schemeClr w14:val="tx1"/>
            </w14:solidFill>
          </w14:textFill>
        </w:rPr>
        <w:t>在规定的时间内，项目负责人须到自助签到。按照交易平台有关项目负责人自助签到流程进行操作。项目负责人凡未凭身份证按时到达指定地点签到的，</w:t>
      </w:r>
      <w:r>
        <w:rPr>
          <w:rFonts w:hint="eastAsia" w:ascii="宋体" w:hAnsi="宋体"/>
          <w:color w:val="000000" w:themeColor="text1"/>
          <w:sz w:val="24"/>
          <w:highlight w:val="none"/>
          <w14:textFill>
            <w14:solidFill>
              <w14:schemeClr w14:val="tx1"/>
            </w14:solidFill>
          </w14:textFill>
        </w:rPr>
        <w:t>该投标文件将不能参与资格审查和评标</w:t>
      </w:r>
      <w:r>
        <w:rPr>
          <w:rFonts w:hint="eastAsia" w:ascii="宋体" w:hAnsi="宋体"/>
          <w:color w:val="000000" w:themeColor="text1"/>
          <w:sz w:val="24"/>
          <w:szCs w:val="24"/>
          <w:highlight w:val="none"/>
          <w14:textFill>
            <w14:solidFill>
              <w14:schemeClr w14:val="tx1"/>
            </w14:solidFill>
          </w14:textFill>
        </w:rPr>
        <w:t>（选择性条款）。</w:t>
      </w:r>
    </w:p>
    <w:p w14:paraId="1B9D318B">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20</w:t>
      </w:r>
      <w:r>
        <w:rPr>
          <w:rFonts w:hint="eastAsia" w:ascii="宋体" w:hAnsi="宋体"/>
          <w:b/>
          <w:bCs/>
          <w:color w:val="000000" w:themeColor="text1"/>
          <w:sz w:val="24"/>
          <w:highlight w:val="none"/>
          <w14:textFill>
            <w14:solidFill>
              <w14:schemeClr w14:val="tx1"/>
            </w14:solidFill>
          </w14:textFill>
        </w:rPr>
        <w:t>．投标文件提交的截止时间</w:t>
      </w:r>
    </w:p>
    <w:p w14:paraId="39DB6D3E">
      <w:pPr>
        <w:spacing w:line="360" w:lineRule="auto"/>
        <w:ind w:firstLine="480" w:firstLineChars="200"/>
        <w:rPr>
          <w:rFonts w:asci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20.1</w:t>
      </w:r>
      <w:r>
        <w:rPr>
          <w:rFonts w:hint="eastAsia" w:ascii="宋体" w:hAnsi="宋体"/>
          <w:color w:val="000000" w:themeColor="text1"/>
          <w:sz w:val="24"/>
          <w:highlight w:val="none"/>
          <w14:textFill>
            <w14:solidFill>
              <w14:schemeClr w14:val="tx1"/>
            </w14:solidFill>
          </w14:textFill>
        </w:rPr>
        <w:t>投标人应在投标须知前附表第17项所述的时间前提交投标文件。</w:t>
      </w:r>
    </w:p>
    <w:p w14:paraId="6EE78169">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14:textFill>
            <w14:solidFill>
              <w14:schemeClr w14:val="tx1"/>
            </w14:solidFill>
          </w14:textFill>
        </w:rPr>
        <w:t>招标人可按本须知第</w:t>
      </w: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条规定以招标文件修改的方式，酌情延长提交投标文件的截止时间。在此情况下，投标人的所有权利和义务以及投标人受制约的截止时间，均以延长后新的投标截止时间为准。</w:t>
      </w:r>
    </w:p>
    <w:p w14:paraId="0D6093AA">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20.3 </w:t>
      </w:r>
      <w:r>
        <w:rPr>
          <w:rFonts w:hint="eastAsia" w:ascii="宋体" w:hAnsi="宋体"/>
          <w:color w:val="000000" w:themeColor="text1"/>
          <w:sz w:val="24"/>
          <w:highlight w:val="none"/>
          <w14:textFill>
            <w14:solidFill>
              <w14:schemeClr w14:val="tx1"/>
            </w14:solidFill>
          </w14:textFill>
        </w:rPr>
        <w:t>到投标截止时间止，招标人收到的投标文件少于3家的，招标人将重新组织招标</w:t>
      </w:r>
      <w:r>
        <w:rPr>
          <w:rFonts w:hint="eastAsia" w:ascii="宋体" w:hAnsi="宋体"/>
          <w:color w:val="000000" w:themeColor="text1"/>
          <w:sz w:val="24"/>
          <w:szCs w:val="24"/>
          <w:highlight w:val="none"/>
          <w14:textFill>
            <w14:solidFill>
              <w14:schemeClr w14:val="tx1"/>
            </w14:solidFill>
          </w14:textFill>
        </w:rPr>
        <w:t>（当</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个标段同时招标且不允许兼中时，若有效投标人不足</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2家，则重新组织招标）</w:t>
      </w:r>
      <w:r>
        <w:rPr>
          <w:rFonts w:hint="eastAsia" w:ascii="宋体" w:hAnsi="宋体"/>
          <w:color w:val="000000" w:themeColor="text1"/>
          <w:sz w:val="24"/>
          <w:highlight w:val="none"/>
          <w14:textFill>
            <w14:solidFill>
              <w14:schemeClr w14:val="tx1"/>
            </w14:solidFill>
          </w14:textFill>
        </w:rPr>
        <w:t>。</w:t>
      </w:r>
    </w:p>
    <w:p w14:paraId="2E627202">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21</w:t>
      </w:r>
      <w:r>
        <w:rPr>
          <w:rFonts w:hint="eastAsia" w:ascii="宋体" w:hAnsi="宋体"/>
          <w:b/>
          <w:bCs/>
          <w:color w:val="000000" w:themeColor="text1"/>
          <w:sz w:val="24"/>
          <w:highlight w:val="none"/>
          <w14:textFill>
            <w14:solidFill>
              <w14:schemeClr w14:val="tx1"/>
            </w14:solidFill>
          </w14:textFill>
        </w:rPr>
        <w:t>．迟交的投标文件</w:t>
      </w:r>
    </w:p>
    <w:p w14:paraId="6BE93AD4">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 </w:t>
      </w:r>
      <w:r>
        <w:rPr>
          <w:rFonts w:hint="eastAsia" w:ascii="宋体" w:hAnsi="宋体"/>
          <w:color w:val="000000" w:themeColor="text1"/>
          <w:sz w:val="24"/>
          <w:highlight w:val="none"/>
          <w14:textFill>
            <w14:solidFill>
              <w14:schemeClr w14:val="tx1"/>
            </w14:solidFill>
          </w14:textFill>
        </w:rPr>
        <w:t>本须知前附表第</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7项规定的投标截止时间</w:t>
      </w:r>
      <w:r>
        <w:rPr>
          <w:rFonts w:hint="eastAsia"/>
          <w:bCs/>
          <w:color w:val="000000" w:themeColor="text1"/>
          <w:sz w:val="24"/>
          <w:szCs w:val="24"/>
          <w:highlight w:val="none"/>
          <w14:textFill>
            <w14:solidFill>
              <w14:schemeClr w14:val="tx1"/>
            </w14:solidFill>
          </w14:textFill>
        </w:rPr>
        <w:t>后送达的</w:t>
      </w:r>
      <w:r>
        <w:rPr>
          <w:rFonts w:hint="eastAsia" w:ascii="宋体" w:hAnsi="宋体"/>
          <w:bCs/>
          <w:color w:val="000000" w:themeColor="text1"/>
          <w:sz w:val="24"/>
          <w:highlight w:val="none"/>
          <w14:textFill>
            <w14:solidFill>
              <w14:schemeClr w14:val="tx1"/>
            </w14:solidFill>
          </w14:textFill>
        </w:rPr>
        <w:t>电子投标文件，</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将予以拒收。</w:t>
      </w:r>
    </w:p>
    <w:p w14:paraId="49EE9B3F">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22</w:t>
      </w:r>
      <w:r>
        <w:rPr>
          <w:rFonts w:hint="eastAsia" w:ascii="宋体" w:hAnsi="宋体"/>
          <w:b/>
          <w:bCs/>
          <w:color w:val="000000" w:themeColor="text1"/>
          <w:sz w:val="24"/>
          <w:highlight w:val="none"/>
          <w14:textFill>
            <w14:solidFill>
              <w14:schemeClr w14:val="tx1"/>
            </w14:solidFill>
          </w14:textFill>
        </w:rPr>
        <w:t>．投标文件的修改与撤回</w:t>
      </w:r>
    </w:p>
    <w:p w14:paraId="6B138C1D">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22.1</w:t>
      </w:r>
      <w:r>
        <w:rPr>
          <w:rFonts w:hint="eastAsia" w:ascii="宋体" w:hAnsi="宋体"/>
          <w:color w:val="000000" w:themeColor="text1"/>
          <w:sz w:val="24"/>
          <w:highlight w:val="none"/>
          <w14:textFill>
            <w14:solidFill>
              <w14:schemeClr w14:val="tx1"/>
            </w14:solidFill>
          </w14:textFill>
        </w:rPr>
        <w:t>在规定的投标截止时间前，投标人可以修改或撤回已递交的投标文件，但应以书面形式通知招标人。</w:t>
      </w:r>
    </w:p>
    <w:p w14:paraId="08584F23">
      <w:pPr>
        <w:spacing w:line="360" w:lineRule="auto"/>
        <w:ind w:firstLine="480" w:firstLineChars="200"/>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22.2</w:t>
      </w:r>
      <w:r>
        <w:rPr>
          <w:color w:val="000000" w:themeColor="text1"/>
          <w:sz w:val="24"/>
          <w:szCs w:val="24"/>
          <w:highlight w:val="none"/>
          <w14:textFill>
            <w14:solidFill>
              <w14:schemeClr w14:val="tx1"/>
            </w14:solidFill>
          </w14:textFill>
        </w:rPr>
        <w:t>投标人修改或撤回已递交</w:t>
      </w:r>
      <w:r>
        <w:rPr>
          <w:rFonts w:hint="eastAsia"/>
          <w:color w:val="000000" w:themeColor="text1"/>
          <w:sz w:val="24"/>
          <w:szCs w:val="24"/>
          <w:highlight w:val="none"/>
          <w14:textFill>
            <w14:solidFill>
              <w14:schemeClr w14:val="tx1"/>
            </w14:solidFill>
          </w14:textFill>
        </w:rPr>
        <w:t>的</w:t>
      </w:r>
      <w:r>
        <w:rPr>
          <w:color w:val="000000" w:themeColor="text1"/>
          <w:sz w:val="24"/>
          <w:szCs w:val="24"/>
          <w:highlight w:val="none"/>
          <w14:textFill>
            <w14:solidFill>
              <w14:schemeClr w14:val="tx1"/>
            </w14:solidFill>
          </w14:textFill>
        </w:rPr>
        <w:t>投标文件</w:t>
      </w:r>
      <w:r>
        <w:rPr>
          <w:rFonts w:hint="eastAsia"/>
          <w:color w:val="000000" w:themeColor="text1"/>
          <w:sz w:val="24"/>
          <w:szCs w:val="24"/>
          <w:highlight w:val="none"/>
          <w14:textFill>
            <w14:solidFill>
              <w14:schemeClr w14:val="tx1"/>
            </w14:solidFill>
          </w14:textFill>
        </w:rPr>
        <w:t>，需在</w:t>
      </w:r>
      <w:r>
        <w:rPr>
          <w:rFonts w:hint="eastAsia" w:ascii="宋体" w:hAnsi="宋体"/>
          <w:color w:val="000000" w:themeColor="text1"/>
          <w:sz w:val="24"/>
          <w:highlight w:val="none"/>
          <w14:textFill>
            <w14:solidFill>
              <w14:schemeClr w14:val="tx1"/>
            </w14:solidFill>
          </w14:textFill>
        </w:rPr>
        <w:t>交易平台发出修改或撤回</w:t>
      </w:r>
      <w:r>
        <w:rPr>
          <w:color w:val="000000" w:themeColor="text1"/>
          <w:sz w:val="24"/>
          <w:szCs w:val="24"/>
          <w:highlight w:val="none"/>
          <w14:textFill>
            <w14:solidFill>
              <w14:schemeClr w14:val="tx1"/>
            </w14:solidFill>
          </w14:textFill>
        </w:rPr>
        <w:t>通知，</w:t>
      </w:r>
      <w:r>
        <w:rPr>
          <w:rFonts w:hint="eastAsia"/>
          <w:color w:val="000000" w:themeColor="text1"/>
          <w:sz w:val="24"/>
          <w:szCs w:val="24"/>
          <w:highlight w:val="none"/>
          <w14:textFill>
            <w14:solidFill>
              <w14:schemeClr w14:val="tx1"/>
            </w14:solidFill>
          </w14:textFill>
        </w:rPr>
        <w:t>并按</w:t>
      </w:r>
      <w:r>
        <w:rPr>
          <w:color w:val="000000" w:themeColor="text1"/>
          <w:sz w:val="24"/>
          <w:szCs w:val="24"/>
          <w:highlight w:val="none"/>
          <w14:textFill>
            <w14:solidFill>
              <w14:schemeClr w14:val="tx1"/>
            </w14:solidFill>
          </w14:textFill>
        </w:rPr>
        <w:t>要求加盖电子印章。</w:t>
      </w:r>
      <w:r>
        <w:rPr>
          <w:bCs/>
          <w:iCs/>
          <w:color w:val="000000" w:themeColor="text1"/>
          <w:sz w:val="24"/>
          <w:szCs w:val="24"/>
          <w:highlight w:val="none"/>
          <w14:textFill>
            <w14:solidFill>
              <w14:schemeClr w14:val="tx1"/>
            </w14:solidFill>
          </w14:textFill>
        </w:rPr>
        <w:t>电子招标投标交易平台收到通知后，</w:t>
      </w:r>
      <w:r>
        <w:rPr>
          <w:color w:val="000000" w:themeColor="text1"/>
          <w:sz w:val="24"/>
          <w:szCs w:val="24"/>
          <w:highlight w:val="none"/>
          <w14:textFill>
            <w14:solidFill>
              <w14:schemeClr w14:val="tx1"/>
            </w14:solidFill>
          </w14:textFill>
        </w:rPr>
        <w:t>即时向投标人发出确认回执通知。</w:t>
      </w:r>
    </w:p>
    <w:p w14:paraId="53D92779">
      <w:pPr>
        <w:spacing w:line="360" w:lineRule="auto"/>
        <w:ind w:firstLine="480" w:firstLineChars="200"/>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22.3</w:t>
      </w:r>
      <w:r>
        <w:rPr>
          <w:rFonts w:hint="eastAsia"/>
          <w:color w:val="000000" w:themeColor="text1"/>
          <w:sz w:val="24"/>
          <w:szCs w:val="24"/>
          <w:highlight w:val="none"/>
          <w14:textFill>
            <w14:solidFill>
              <w14:schemeClr w14:val="tx1"/>
            </w14:solidFill>
          </w14:textFill>
        </w:rPr>
        <w:t>修改后再次递交的，按19点的规定执行。</w:t>
      </w:r>
    </w:p>
    <w:p w14:paraId="244B58E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w:t>
      </w:r>
      <w:r>
        <w:rPr>
          <w:rFonts w:hint="eastAsia" w:ascii="宋体" w:hAnsi="宋体"/>
          <w:color w:val="000000" w:themeColor="text1"/>
          <w:sz w:val="24"/>
          <w:highlight w:val="none"/>
          <w14:textFill>
            <w14:solidFill>
              <w14:schemeClr w14:val="tx1"/>
            </w14:solidFill>
          </w14:textFill>
        </w:rPr>
        <w:t>4在投标截止时间之后，投标人不得补充、修改和更换投标文件。</w:t>
      </w:r>
    </w:p>
    <w:p w14:paraId="24B99261">
      <w:pPr>
        <w:pStyle w:val="4"/>
        <w:spacing w:before="156" w:after="156"/>
        <w:rPr>
          <w:color w:val="000000" w:themeColor="text1"/>
          <w:highlight w:val="none"/>
          <w14:textFill>
            <w14:solidFill>
              <w14:schemeClr w14:val="tx1"/>
            </w14:solidFill>
          </w14:textFill>
        </w:rPr>
      </w:pPr>
      <w:bookmarkStart w:id="20" w:name="_Toc2272553"/>
      <w:bookmarkStart w:id="21" w:name="_Toc3744"/>
      <w:bookmarkStart w:id="22" w:name="_Toc634"/>
      <w:r>
        <w:rPr>
          <w:rFonts w:hint="eastAsia"/>
          <w:color w:val="000000" w:themeColor="text1"/>
          <w:highlight w:val="none"/>
          <w14:textFill>
            <w14:solidFill>
              <w14:schemeClr w14:val="tx1"/>
            </w14:solidFill>
          </w14:textFill>
        </w:rPr>
        <w:t>（五）开标、评标、定标及合同</w:t>
      </w:r>
      <w:bookmarkEnd w:id="20"/>
      <w:bookmarkEnd w:id="21"/>
      <w:r>
        <w:rPr>
          <w:rFonts w:hint="eastAsia"/>
          <w:color w:val="000000" w:themeColor="text1"/>
          <w:highlight w:val="none"/>
          <w14:textFill>
            <w14:solidFill>
              <w14:schemeClr w14:val="tx1"/>
            </w14:solidFill>
          </w14:textFill>
        </w:rPr>
        <w:t>签订</w:t>
      </w:r>
      <w:bookmarkEnd w:id="22"/>
    </w:p>
    <w:p w14:paraId="4BADBB42">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23</w:t>
      </w:r>
      <w:r>
        <w:rPr>
          <w:rFonts w:hint="eastAsia" w:ascii="宋体" w:hAnsi="宋体"/>
          <w:b/>
          <w:bCs/>
          <w:color w:val="000000" w:themeColor="text1"/>
          <w:sz w:val="24"/>
          <w:highlight w:val="none"/>
          <w14:textFill>
            <w14:solidFill>
              <w14:schemeClr w14:val="tx1"/>
            </w14:solidFill>
          </w14:textFill>
        </w:rPr>
        <w:t>、开标。</w:t>
      </w:r>
    </w:p>
    <w:p w14:paraId="0F4D269C">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详见第二章开标、评标及定标办法</w:t>
      </w:r>
    </w:p>
    <w:p w14:paraId="018B2D50">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24</w:t>
      </w:r>
      <w:r>
        <w:rPr>
          <w:rFonts w:hint="eastAsia" w:ascii="宋体" w:hAnsi="宋体"/>
          <w:b/>
          <w:bCs/>
          <w:color w:val="000000" w:themeColor="text1"/>
          <w:sz w:val="24"/>
          <w:highlight w:val="none"/>
          <w14:textFill>
            <w14:solidFill>
              <w14:schemeClr w14:val="tx1"/>
            </w14:solidFill>
          </w14:textFill>
        </w:rPr>
        <w:t>．评标过程的保密</w:t>
      </w:r>
    </w:p>
    <w:p w14:paraId="74AB77F6">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24.1 </w:t>
      </w:r>
      <w:r>
        <w:rPr>
          <w:rFonts w:hint="eastAsia" w:ascii="宋体" w:hAnsi="宋体"/>
          <w:color w:val="000000" w:themeColor="text1"/>
          <w:sz w:val="24"/>
          <w:highlight w:val="none"/>
          <w14:textFill>
            <w14:solidFill>
              <w14:schemeClr w14:val="tx1"/>
            </w14:solidFill>
          </w14:textFill>
        </w:rPr>
        <w:t>开标后，直至中标公示为止，凡属于对投标文件的审查、澄清、评价和比较有关的资料以及中标候选人的推荐情况，与评标有关的其他任何情况均严格保密。</w:t>
      </w:r>
    </w:p>
    <w:p w14:paraId="50B03377">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在投标文件的评审和比较、中标候选人推荐以及授予合同的过程中，投标人向招标人和评标委员会施加不公正影响的任何行为，都将会导致其投标被拒绝。</w:t>
      </w:r>
    </w:p>
    <w:p w14:paraId="72700F3A">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25</w:t>
      </w:r>
      <w:r>
        <w:rPr>
          <w:rFonts w:hint="eastAsia" w:ascii="宋体" w:hAnsi="宋体"/>
          <w:b/>
          <w:bCs/>
          <w:color w:val="000000" w:themeColor="text1"/>
          <w:sz w:val="24"/>
          <w:highlight w:val="none"/>
          <w14:textFill>
            <w14:solidFill>
              <w14:schemeClr w14:val="tx1"/>
            </w14:solidFill>
          </w14:textFill>
        </w:rPr>
        <w:t>．投标文件的澄清，计算错误的修正</w:t>
      </w:r>
    </w:p>
    <w:p w14:paraId="5F825B5D">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详见招标文件第二章开标、评标及定标办法</w:t>
      </w:r>
    </w:p>
    <w:p w14:paraId="1CF1BAAE">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26</w:t>
      </w:r>
      <w:r>
        <w:rPr>
          <w:rFonts w:hint="eastAsia" w:ascii="宋体" w:hAnsi="宋体"/>
          <w:b/>
          <w:bCs/>
          <w:color w:val="000000" w:themeColor="text1"/>
          <w:sz w:val="24"/>
          <w:highlight w:val="none"/>
          <w14:textFill>
            <w14:solidFill>
              <w14:schemeClr w14:val="tx1"/>
            </w14:solidFill>
          </w14:textFill>
        </w:rPr>
        <w:t>．投标文件的评审、比较和否决</w:t>
      </w:r>
    </w:p>
    <w:p w14:paraId="242D9F03">
      <w:pPr>
        <w:spacing w:line="360" w:lineRule="auto"/>
        <w:ind w:firstLine="480" w:firstLineChars="200"/>
        <w:rPr>
          <w:rFonts w:ascii="宋体"/>
          <w:bCs/>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详见招标文件第二章开标、评标及定标办法。</w:t>
      </w:r>
    </w:p>
    <w:p w14:paraId="046C4672">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27</w:t>
      </w:r>
      <w:r>
        <w:rPr>
          <w:rFonts w:hint="eastAsia" w:ascii="宋体" w:hAnsi="宋体"/>
          <w:b/>
          <w:bCs/>
          <w:color w:val="000000" w:themeColor="text1"/>
          <w:sz w:val="24"/>
          <w:highlight w:val="none"/>
          <w14:textFill>
            <w14:solidFill>
              <w14:schemeClr w14:val="tx1"/>
            </w14:solidFill>
          </w14:textFill>
        </w:rPr>
        <w:t>．中标通知书</w:t>
      </w:r>
    </w:p>
    <w:p w14:paraId="52C9B9FD">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27.1</w:t>
      </w:r>
      <w:r>
        <w:rPr>
          <w:rFonts w:hint="eastAsia" w:ascii="宋体" w:hAnsi="宋体"/>
          <w:color w:val="000000" w:themeColor="text1"/>
          <w:sz w:val="24"/>
          <w:highlight w:val="none"/>
          <w14:textFill>
            <w14:solidFill>
              <w14:schemeClr w14:val="tx1"/>
            </w14:solidFill>
          </w14:textFill>
        </w:rPr>
        <w:t>招标人将在</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、广东省招标投标监管网和中国招标投标公共服务平台公示中标候选人，公示期为三天。</w:t>
      </w:r>
    </w:p>
    <w:p w14:paraId="1C95C958">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27.2</w:t>
      </w:r>
      <w:r>
        <w:rPr>
          <w:rFonts w:hint="eastAsia" w:ascii="宋体" w:hAnsi="宋体"/>
          <w:color w:val="000000" w:themeColor="text1"/>
          <w:sz w:val="24"/>
          <w:highlight w:val="none"/>
          <w14:textFill>
            <w14:solidFill>
              <w14:schemeClr w14:val="tx1"/>
            </w14:solidFill>
          </w14:textFill>
        </w:rPr>
        <w:t>招标人应当自确定中标人后，向招标投标监管机构提交招标投标情况的书面报告；经招投标监管机构备案后，方可发出中标通知书。</w:t>
      </w:r>
    </w:p>
    <w:p w14:paraId="03B2FC8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27.3</w:t>
      </w:r>
      <w:r>
        <w:rPr>
          <w:rFonts w:hint="eastAsia" w:ascii="宋体" w:hAnsi="宋体"/>
          <w:color w:val="000000" w:themeColor="text1"/>
          <w:sz w:val="24"/>
          <w:highlight w:val="none"/>
          <w14:textFill>
            <w14:solidFill>
              <w14:schemeClr w14:val="tx1"/>
            </w14:solidFill>
          </w14:textFill>
        </w:rPr>
        <w:t>中标人必须在收到中标通知书后</w:t>
      </w:r>
      <w:r>
        <w:rPr>
          <w:rFonts w:ascii="宋体" w:hAnsi="宋体"/>
          <w:color w:val="000000" w:themeColor="text1"/>
          <w:sz w:val="24"/>
          <w:highlight w:val="none"/>
          <w14:textFill>
            <w14:solidFill>
              <w14:schemeClr w14:val="tx1"/>
            </w14:solidFill>
          </w14:textFill>
        </w:rPr>
        <w:t>24</w:t>
      </w:r>
      <w:r>
        <w:rPr>
          <w:rFonts w:hint="eastAsia" w:ascii="宋体" w:hAnsi="宋体"/>
          <w:color w:val="000000" w:themeColor="text1"/>
          <w:sz w:val="24"/>
          <w:highlight w:val="none"/>
          <w14:textFill>
            <w14:solidFill>
              <w14:schemeClr w14:val="tx1"/>
            </w14:solidFill>
          </w14:textFill>
        </w:rPr>
        <w:t>小时之内以书面形式回复招标人，确认收到。</w:t>
      </w:r>
    </w:p>
    <w:p w14:paraId="6A9829F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27.4在产生中标候选人后，招标人将中标候选人的投标文件商务部分文件的所有内容（包括报价清单、人员、业绩、奖项等资料）在</w:t>
      </w:r>
      <w:r>
        <w:rPr>
          <w:rFonts w:hint="eastAsia" w:ascii="宋体" w:hAnsi="宋体"/>
          <w:color w:val="000000" w:themeColor="text1"/>
          <w:sz w:val="24"/>
          <w:szCs w:val="24"/>
          <w:highlight w:val="none"/>
          <w14:textFill>
            <w14:solidFill>
              <w14:schemeClr w14:val="tx1"/>
            </w14:solidFill>
          </w14:textFill>
        </w:rPr>
        <w:t>交易平台和广东省招标投标监管网</w:t>
      </w:r>
      <w:r>
        <w:rPr>
          <w:rFonts w:hint="eastAsia" w:ascii="宋体" w:hAnsi="宋体"/>
          <w:color w:val="000000" w:themeColor="text1"/>
          <w:sz w:val="24"/>
          <w:highlight w:val="none"/>
          <w14:textFill>
            <w14:solidFill>
              <w14:schemeClr w14:val="tx1"/>
            </w14:solidFill>
          </w14:textFill>
        </w:rPr>
        <w:t>公开。</w:t>
      </w:r>
    </w:p>
    <w:p w14:paraId="1CEF311B">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28</w:t>
      </w:r>
      <w:r>
        <w:rPr>
          <w:rFonts w:hint="eastAsia" w:ascii="宋体" w:hAnsi="宋体"/>
          <w:b/>
          <w:bCs/>
          <w:color w:val="000000" w:themeColor="text1"/>
          <w:sz w:val="24"/>
          <w:highlight w:val="none"/>
          <w14:textFill>
            <w14:solidFill>
              <w14:schemeClr w14:val="tx1"/>
            </w14:solidFill>
          </w14:textFill>
        </w:rPr>
        <w:t>．合同协议书的签订</w:t>
      </w:r>
    </w:p>
    <w:p w14:paraId="3DF0ADDF">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28.1 </w:t>
      </w:r>
      <w:r>
        <w:rPr>
          <w:rFonts w:hint="eastAsia" w:ascii="宋体" w:hAnsi="宋体"/>
          <w:color w:val="000000" w:themeColor="text1"/>
          <w:sz w:val="24"/>
          <w:highlight w:val="none"/>
          <w14:textFill>
            <w14:solidFill>
              <w14:schemeClr w14:val="tx1"/>
            </w14:solidFill>
          </w14:textFill>
        </w:rPr>
        <w:t>招标人与中标人将于中标通知书发出之日起</w:t>
      </w:r>
      <w:r>
        <w:rPr>
          <w:rFonts w:ascii="宋体" w:hAnsi="宋体"/>
          <w:color w:val="000000" w:themeColor="text1"/>
          <w:sz w:val="24"/>
          <w:highlight w:val="none"/>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日内，按照招标文件和中标人的投标文件商定和签订合同，招标人和中标人不得再行订立背离合同实质性内容的其他协议。</w:t>
      </w:r>
    </w:p>
    <w:p w14:paraId="782271B1">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28.2</w:t>
      </w:r>
      <w:r>
        <w:rPr>
          <w:rFonts w:hint="eastAsia" w:ascii="宋体" w:hAnsi="宋体"/>
          <w:color w:val="000000" w:themeColor="text1"/>
          <w:sz w:val="24"/>
          <w:highlight w:val="none"/>
          <w14:textFill>
            <w14:solidFill>
              <w14:schemeClr w14:val="tx1"/>
            </w14:solidFill>
          </w14:textFill>
        </w:rPr>
        <w:t>中标通知书发出之日起</w:t>
      </w:r>
      <w:r>
        <w:rPr>
          <w:rFonts w:ascii="宋体" w:hAnsi="宋体"/>
          <w:color w:val="000000" w:themeColor="text1"/>
          <w:sz w:val="24"/>
          <w:highlight w:val="none"/>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B3B73AE">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28.3</w:t>
      </w:r>
      <w:r>
        <w:rPr>
          <w:rFonts w:hint="eastAsia" w:ascii="宋体" w:hAnsi="宋体"/>
          <w:color w:val="000000" w:themeColor="text1"/>
          <w:sz w:val="24"/>
          <w:highlight w:val="none"/>
          <w14:textFill>
            <w14:solidFill>
              <w14:schemeClr w14:val="tx1"/>
            </w14:solidFill>
          </w14:textFill>
        </w:rPr>
        <w:t>非经招标人同意，中标人在投标过程中使用的银行名称及账号至完成竣工结算不得变更，否则招标人有权停止工程款项的拨付及至解除合同，由此造成的一切责任由中标人承担。</w:t>
      </w:r>
    </w:p>
    <w:p w14:paraId="1F40C41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28.4</w:t>
      </w:r>
      <w:r>
        <w:rPr>
          <w:rFonts w:hint="eastAsia" w:ascii="宋体" w:hAnsi="宋体"/>
          <w:color w:val="000000" w:themeColor="text1"/>
          <w:sz w:val="24"/>
          <w:highlight w:val="none"/>
          <w14:textFill>
            <w14:solidFill>
              <w14:schemeClr w14:val="tx1"/>
            </w14:solidFill>
          </w14:textFill>
        </w:rPr>
        <w:t>招标人支付工程款时，中标人应</w:t>
      </w:r>
      <w:r>
        <w:rPr>
          <w:rFonts w:hint="eastAsia" w:ascii="宋体" w:hAnsi="宋体"/>
          <w:b/>
          <w:bCs/>
          <w:color w:val="000000" w:themeColor="text1"/>
          <w:sz w:val="24"/>
          <w:highlight w:val="none"/>
          <w14:textFill>
            <w14:solidFill>
              <w14:schemeClr w14:val="tx1"/>
            </w14:solidFill>
          </w14:textFill>
        </w:rPr>
        <w:t>按规定开具</w:t>
      </w:r>
      <w:r>
        <w:rPr>
          <w:rFonts w:hint="eastAsia" w:ascii="宋体" w:hAnsi="宋体"/>
          <w:color w:val="000000" w:themeColor="text1"/>
          <w:sz w:val="24"/>
          <w:highlight w:val="none"/>
          <w14:textFill>
            <w14:solidFill>
              <w14:schemeClr w14:val="tx1"/>
            </w14:solidFill>
          </w14:textFill>
        </w:rPr>
        <w:t>发票。</w:t>
      </w:r>
    </w:p>
    <w:p w14:paraId="79A83DAF">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29</w:t>
      </w:r>
      <w:r>
        <w:rPr>
          <w:rFonts w:hint="eastAsia" w:ascii="宋体" w:hAnsi="宋体"/>
          <w:b/>
          <w:bCs/>
          <w:color w:val="000000" w:themeColor="text1"/>
          <w:sz w:val="24"/>
          <w:highlight w:val="none"/>
          <w14:textFill>
            <w14:solidFill>
              <w14:schemeClr w14:val="tx1"/>
            </w14:solidFill>
          </w14:textFill>
        </w:rPr>
        <w:t>．履约担保</w:t>
      </w:r>
    </w:p>
    <w:p w14:paraId="758FE171">
      <w:pPr>
        <w:snapToGrid w:val="0"/>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 xml:space="preserve">29.1 </w:t>
      </w:r>
      <w:r>
        <w:rPr>
          <w:rFonts w:hint="eastAsia" w:ascii="宋体" w:hAnsi="宋体"/>
          <w:b/>
          <w:bCs/>
          <w:color w:val="000000" w:themeColor="text1"/>
          <w:sz w:val="24"/>
          <w:highlight w:val="none"/>
          <w14:textFill>
            <w14:solidFill>
              <w14:schemeClr w14:val="tx1"/>
            </w14:solidFill>
          </w14:textFill>
        </w:rPr>
        <w:t>在收到中标通知书后的</w:t>
      </w:r>
      <w:r>
        <w:rPr>
          <w:rFonts w:ascii="宋体" w:hAnsi="宋体"/>
          <w:b/>
          <w:bCs/>
          <w:color w:val="000000" w:themeColor="text1"/>
          <w:sz w:val="24"/>
          <w:highlight w:val="none"/>
          <w14:textFill>
            <w14:solidFill>
              <w14:schemeClr w14:val="tx1"/>
            </w14:solidFill>
          </w14:textFill>
        </w:rPr>
        <w:t>5</w:t>
      </w:r>
      <w:r>
        <w:rPr>
          <w:rFonts w:hint="eastAsia" w:ascii="宋体" w:hAnsi="宋体"/>
          <w:b/>
          <w:bCs/>
          <w:color w:val="000000" w:themeColor="text1"/>
          <w:sz w:val="24"/>
          <w:highlight w:val="none"/>
          <w14:textFill>
            <w14:solidFill>
              <w14:schemeClr w14:val="tx1"/>
            </w14:solidFill>
          </w14:textFill>
        </w:rPr>
        <w:t>日内，中标人应按本须知前附表第</w:t>
      </w:r>
      <w:r>
        <w:rPr>
          <w:rFonts w:ascii="宋体" w:hAnsi="宋体"/>
          <w:b/>
          <w:bCs/>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0项的规定向招标人提交履约担保。</w:t>
      </w:r>
    </w:p>
    <w:p w14:paraId="5A879548">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29.2</w:t>
      </w:r>
      <w:r>
        <w:rPr>
          <w:rFonts w:hint="eastAsia" w:ascii="宋体" w:hAnsi="宋体"/>
          <w:color w:val="000000" w:themeColor="text1"/>
          <w:sz w:val="24"/>
          <w:highlight w:val="none"/>
          <w14:textFill>
            <w14:solidFill>
              <w14:schemeClr w14:val="tx1"/>
            </w14:solidFill>
          </w14:textFill>
        </w:rPr>
        <w:t>中标通知书发出之日起</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1714374">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30</w:t>
      </w:r>
      <w:r>
        <w:rPr>
          <w:rFonts w:hint="eastAsia" w:ascii="宋体" w:hAnsi="宋体"/>
          <w:b/>
          <w:bCs/>
          <w:color w:val="000000" w:themeColor="text1"/>
          <w:sz w:val="24"/>
          <w:highlight w:val="none"/>
          <w14:textFill>
            <w14:solidFill>
              <w14:schemeClr w14:val="tx1"/>
            </w14:solidFill>
          </w14:textFill>
        </w:rPr>
        <w:t>．合同生效</w:t>
      </w:r>
    </w:p>
    <w:p w14:paraId="028E8A98">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30.1</w:t>
      </w:r>
      <w:r>
        <w:rPr>
          <w:rFonts w:hint="eastAsia" w:ascii="宋体" w:hAnsi="宋体"/>
          <w:color w:val="000000" w:themeColor="text1"/>
          <w:sz w:val="24"/>
          <w:highlight w:val="none"/>
          <w14:textFill>
            <w14:solidFill>
              <w14:schemeClr w14:val="tx1"/>
            </w14:solidFill>
          </w14:textFill>
        </w:rPr>
        <w:t>在合同双方全权代表在合同协议书上签字，并分别加盖双方单位的公章后，合同正式生效。</w:t>
      </w:r>
    </w:p>
    <w:p w14:paraId="280D5CC7">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31</w:t>
      </w:r>
      <w:r>
        <w:rPr>
          <w:rFonts w:hint="eastAsia" w:ascii="宋体" w:hAnsi="宋体"/>
          <w:b/>
          <w:bCs/>
          <w:color w:val="000000" w:themeColor="text1"/>
          <w:sz w:val="24"/>
          <w:highlight w:val="none"/>
          <w14:textFill>
            <w14:solidFill>
              <w14:schemeClr w14:val="tx1"/>
            </w14:solidFill>
          </w14:textFill>
        </w:rPr>
        <w:t>．其它费用</w:t>
      </w:r>
    </w:p>
    <w:p w14:paraId="38E7BDCB">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32</w:t>
      </w:r>
      <w:r>
        <w:rPr>
          <w:rFonts w:hint="eastAsia" w:ascii="宋体" w:hAnsi="宋体"/>
          <w:b/>
          <w:bCs/>
          <w:color w:val="000000" w:themeColor="text1"/>
          <w:sz w:val="24"/>
          <w:highlight w:val="none"/>
          <w14:textFill>
            <w14:solidFill>
              <w14:schemeClr w14:val="tx1"/>
            </w14:solidFill>
          </w14:textFill>
        </w:rPr>
        <w:t>．腐败与欺诈行为</w:t>
      </w:r>
    </w:p>
    <w:p w14:paraId="30CA1744">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在招标和合同实施期间，招标人要求投标人和承包人遵守最高的道德标准。</w:t>
      </w:r>
    </w:p>
    <w:p w14:paraId="6E80FFD7">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对本条款的规定，特定义如下词汇：</w:t>
      </w:r>
    </w:p>
    <w:p w14:paraId="549FA47C">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）、“腐败行为”是指在招标或合同执行期间，通过提供、给予、接受或索要任何有价值的东西，从而影响招标人有关人员工作的行为；</w:t>
      </w:r>
    </w:p>
    <w:p w14:paraId="6A4C01E3">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40790EFF">
      <w:pPr>
        <w:pStyle w:val="34"/>
        <w:spacing w:after="0"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如果投标人被认定在本招标的竞争中有腐败或欺诈行为，则会被取消投标资格。</w:t>
      </w:r>
    </w:p>
    <w:p w14:paraId="4F875C4D">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32.3投标人如在本项目中存在串通投标、弄虚作假、行贿情形的，中标无效，行政监督部门将对其违法行为进行行政处罚并通报。该投标人将被招标人列入黑名单并限制其参与招标人后续项目的投标。</w:t>
      </w:r>
    </w:p>
    <w:p w14:paraId="4E50907E">
      <w:pPr>
        <w:spacing w:line="480" w:lineRule="auto"/>
        <w:ind w:firstLine="540" w:firstLineChars="224"/>
        <w:rPr>
          <w:rFonts w:ascii="宋体" w:hAns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33.</w:t>
      </w:r>
      <w:r>
        <w:rPr>
          <w:rFonts w:hint="eastAsia" w:ascii="宋体" w:hAnsi="宋体"/>
          <w:b/>
          <w:color w:val="000000" w:themeColor="text1"/>
          <w:sz w:val="24"/>
          <w:highlight w:val="none"/>
          <w14:textFill>
            <w14:solidFill>
              <w14:schemeClr w14:val="tx1"/>
            </w14:solidFill>
          </w14:textFill>
        </w:rPr>
        <w:t xml:space="preserve"> 投标人信誉的要求</w:t>
      </w:r>
    </w:p>
    <w:p w14:paraId="3391C978">
      <w:pPr>
        <w:spacing w:line="48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存在下列情形之一的，招标人可以限制其投标（需在招标文件中明确评定方法）</w:t>
      </w:r>
    </w:p>
    <w:p w14:paraId="479A80BA">
      <w:pPr>
        <w:spacing w:line="48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（1）被住房城乡建设行政主管部门在全国建筑市场监管一体化工作平台列入建筑市场主体“黑名单”；</w:t>
      </w:r>
    </w:p>
    <w:p w14:paraId="11EB4D9A">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（2）被发改委、人力资源社会保障、质检总局等有关部门、单位在“信用中国”网站中列入联合惩戒失信黑名单。</w:t>
      </w:r>
    </w:p>
    <w:p w14:paraId="1521B40E">
      <w:pPr>
        <w:pStyle w:val="3"/>
        <w:rPr>
          <w:color w:val="000000" w:themeColor="text1"/>
          <w:highlight w:val="none"/>
          <w14:textFill>
            <w14:solidFill>
              <w14:schemeClr w14:val="tx1"/>
            </w14:solidFill>
          </w14:textFill>
        </w:rPr>
      </w:pPr>
      <w:r>
        <w:rPr>
          <w:rFonts w:ascii="宋体"/>
          <w:color w:val="000000" w:themeColor="text1"/>
          <w:sz w:val="24"/>
          <w:highlight w:val="none"/>
          <w14:textFill>
            <w14:solidFill>
              <w14:schemeClr w14:val="tx1"/>
            </w14:solidFill>
          </w14:textFill>
        </w:rPr>
        <w:br w:type="page"/>
      </w:r>
      <w:bookmarkStart w:id="23" w:name="_Toc7719"/>
      <w:bookmarkStart w:id="24" w:name="_Toc10264"/>
      <w:bookmarkStart w:id="25" w:name="_Toc2272554"/>
      <w:r>
        <w:rPr>
          <w:rFonts w:hint="eastAsia"/>
          <w:color w:val="000000" w:themeColor="text1"/>
          <w:highlight w:val="none"/>
          <w14:textFill>
            <w14:solidFill>
              <w14:schemeClr w14:val="tx1"/>
            </w14:solidFill>
          </w14:textFill>
        </w:rPr>
        <w:t>第二章  开标、评标及定标办法</w:t>
      </w:r>
      <w:bookmarkEnd w:id="23"/>
      <w:bookmarkEnd w:id="24"/>
      <w:bookmarkEnd w:id="25"/>
    </w:p>
    <w:p w14:paraId="503E5641">
      <w:pPr>
        <w:pStyle w:val="2"/>
        <w:rPr>
          <w:color w:val="000000" w:themeColor="text1"/>
          <w:highlight w:val="none"/>
          <w14:textFill>
            <w14:solidFill>
              <w14:schemeClr w14:val="tx1"/>
            </w14:solidFill>
          </w14:textFill>
        </w:rPr>
      </w:pPr>
      <w:bookmarkStart w:id="26" w:name="_Toc16452"/>
      <w:bookmarkStart w:id="27" w:name="_Toc2272555"/>
      <w:bookmarkStart w:id="28" w:name="_Toc29431"/>
      <w:r>
        <w:rPr>
          <w:rFonts w:hint="eastAsia"/>
          <w:color w:val="000000" w:themeColor="text1"/>
          <w:sz w:val="28"/>
          <w:szCs w:val="28"/>
          <w:highlight w:val="none"/>
          <w14:textFill>
            <w14:solidFill>
              <w14:schemeClr w14:val="tx1"/>
            </w14:solidFill>
          </w14:textFill>
        </w:rPr>
        <w:t>一、</w:t>
      </w:r>
      <w:r>
        <w:rPr>
          <w:rFonts w:hint="eastAsia"/>
          <w:color w:val="000000" w:themeColor="text1"/>
          <w:highlight w:val="none"/>
          <w14:textFill>
            <w14:solidFill>
              <w14:schemeClr w14:val="tx1"/>
            </w14:solidFill>
          </w14:textFill>
        </w:rPr>
        <w:t>开标、评标及定标办法修改表</w:t>
      </w:r>
      <w:bookmarkEnd w:id="26"/>
      <w:bookmarkEnd w:id="27"/>
      <w:bookmarkEnd w:id="28"/>
    </w:p>
    <w:p w14:paraId="3EA89725">
      <w:pPr>
        <w:pStyle w:val="34"/>
        <w:keepNext w:val="0"/>
        <w:keepLines w:val="0"/>
        <w:pageBreakBefore w:val="0"/>
        <w:widowControl w:val="0"/>
        <w:kinsoku/>
        <w:wordWrap/>
        <w:overflowPunct/>
        <w:topLinePunct w:val="0"/>
        <w:autoSpaceDE/>
        <w:autoSpaceDN/>
        <w:bidi w:val="0"/>
        <w:adjustRightInd/>
        <w:snapToGrid w:val="0"/>
        <w:spacing w:after="0" w:line="360" w:lineRule="auto"/>
        <w:ind w:firstLine="422" w:firstLineChars="200"/>
        <w:textAlignment w:val="auto"/>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14:textFill>
            <w14:solidFill>
              <w14:schemeClr w14:val="tx1"/>
            </w14:solidFill>
          </w14:textFill>
        </w:rPr>
        <w:t>声明：本</w:t>
      </w:r>
      <w:r>
        <w:rPr>
          <w:rFonts w:hint="eastAsia" w:ascii="宋体" w:hAnsi="宋体" w:eastAsia="宋体" w:cs="宋体"/>
          <w:b/>
          <w:bCs w:val="0"/>
          <w:color w:val="000000" w:themeColor="text1"/>
          <w:highlight w:val="none"/>
          <w14:textFill>
            <w14:solidFill>
              <w14:schemeClr w14:val="tx1"/>
            </w14:solidFill>
          </w14:textFill>
        </w:rPr>
        <w:t>开标、评标及定标办法使用GZZB2018-3招标文件范本的开标、评标及定标办法通用条款，与该通用条款不同之处，均在本表中列明，并以现文为准，原</w:t>
      </w:r>
      <w:r>
        <w:rPr>
          <w:rFonts w:hint="eastAsia" w:ascii="宋体" w:hAnsi="宋体" w:eastAsia="宋体" w:cs="宋体"/>
          <w:b/>
          <w:bCs w:val="0"/>
          <w:color w:val="000000" w:themeColor="text1"/>
          <w:szCs w:val="21"/>
          <w:highlight w:val="none"/>
          <w14:textFill>
            <w14:solidFill>
              <w14:schemeClr w14:val="tx1"/>
            </w14:solidFill>
          </w14:textFill>
        </w:rPr>
        <w:t>文不再有效。本招标文件中不再转录</w:t>
      </w:r>
      <w:r>
        <w:rPr>
          <w:rFonts w:hint="eastAsia" w:ascii="宋体" w:hAnsi="宋体" w:eastAsia="宋体" w:cs="宋体"/>
          <w:b/>
          <w:bCs w:val="0"/>
          <w:color w:val="000000" w:themeColor="text1"/>
          <w:highlight w:val="none"/>
          <w14:textFill>
            <w14:solidFill>
              <w14:schemeClr w14:val="tx1"/>
            </w14:solidFill>
          </w14:textFill>
        </w:rPr>
        <w:t>开标、评标及定标办法</w:t>
      </w:r>
      <w:r>
        <w:rPr>
          <w:rFonts w:hint="eastAsia" w:ascii="宋体" w:hAnsi="宋体" w:eastAsia="宋体" w:cs="宋体"/>
          <w:b/>
          <w:bCs w:val="0"/>
          <w:color w:val="000000" w:themeColor="text1"/>
          <w:szCs w:val="21"/>
          <w:highlight w:val="none"/>
          <w14:textFill>
            <w14:solidFill>
              <w14:schemeClr w14:val="tx1"/>
            </w14:solidFill>
          </w14:textFill>
        </w:rPr>
        <w:t>通用条款，请投标人自行到广州市住房和城乡建设局网站（网址：</w:t>
      </w:r>
      <w:r>
        <w:rPr>
          <w:rFonts w:hint="eastAsia" w:ascii="宋体" w:hAnsi="宋体" w:eastAsia="宋体" w:cs="宋体"/>
          <w:b/>
          <w:bCs w:val="0"/>
          <w:color w:val="000000" w:themeColor="text1"/>
          <w:highlight w:val="none"/>
          <w14:textFill>
            <w14:solidFill>
              <w14:schemeClr w14:val="tx1"/>
            </w14:solidFill>
          </w14:textFill>
        </w:rPr>
        <w:fldChar w:fldCharType="begin"/>
      </w:r>
      <w:r>
        <w:rPr>
          <w:rFonts w:hint="eastAsia" w:ascii="宋体" w:hAnsi="宋体" w:eastAsia="宋体" w:cs="宋体"/>
          <w:b/>
          <w:bCs w:val="0"/>
          <w:color w:val="000000" w:themeColor="text1"/>
          <w:highlight w:val="none"/>
          <w14:textFill>
            <w14:solidFill>
              <w14:schemeClr w14:val="tx1"/>
            </w14:solidFill>
          </w14:textFill>
        </w:rPr>
        <w:instrText xml:space="preserve"> HYPERLINK "http://www.gzcc.gov.cn/）下载GZZB2018-3" </w:instrText>
      </w:r>
      <w:r>
        <w:rPr>
          <w:rFonts w:hint="eastAsia" w:ascii="宋体" w:hAnsi="宋体" w:eastAsia="宋体" w:cs="宋体"/>
          <w:b/>
          <w:bCs w:val="0"/>
          <w:color w:val="000000" w:themeColor="text1"/>
          <w:highlight w:val="none"/>
          <w14:textFill>
            <w14:solidFill>
              <w14:schemeClr w14:val="tx1"/>
            </w14:solidFill>
          </w14:textFill>
        </w:rPr>
        <w:fldChar w:fldCharType="separate"/>
      </w:r>
      <w:r>
        <w:rPr>
          <w:rFonts w:hint="eastAsia" w:ascii="宋体" w:hAnsi="宋体" w:eastAsia="宋体" w:cs="宋体"/>
          <w:b/>
          <w:bCs w:val="0"/>
          <w:color w:val="000000" w:themeColor="text1"/>
          <w:szCs w:val="21"/>
          <w:highlight w:val="none"/>
          <w14:textFill>
            <w14:solidFill>
              <w14:schemeClr w14:val="tx1"/>
            </w14:solidFill>
          </w14:textFill>
        </w:rPr>
        <w:t>http://zfcj.gz.gov.cn/</w:t>
      </w:r>
      <w:r>
        <w:rPr>
          <w:rStyle w:val="43"/>
          <w:rFonts w:hint="eastAsia" w:ascii="宋体" w:hAnsi="宋体" w:eastAsia="宋体" w:cs="宋体"/>
          <w:b/>
          <w:bCs w:val="0"/>
          <w:color w:val="000000" w:themeColor="text1"/>
          <w:szCs w:val="21"/>
          <w:highlight w:val="none"/>
          <w:u w:val="none"/>
          <w14:textFill>
            <w14:solidFill>
              <w14:schemeClr w14:val="tx1"/>
            </w14:solidFill>
          </w14:textFill>
        </w:rPr>
        <w:t>）下载GZZB2018-3</w:t>
      </w:r>
      <w:r>
        <w:rPr>
          <w:rStyle w:val="43"/>
          <w:rFonts w:hint="eastAsia" w:ascii="宋体" w:hAnsi="宋体" w:eastAsia="宋体" w:cs="宋体"/>
          <w:b/>
          <w:bCs w:val="0"/>
          <w:color w:val="000000" w:themeColor="text1"/>
          <w:szCs w:val="21"/>
          <w:highlight w:val="none"/>
          <w:u w:val="none"/>
          <w14:textFill>
            <w14:solidFill>
              <w14:schemeClr w14:val="tx1"/>
            </w14:solidFill>
          </w14:textFill>
        </w:rPr>
        <w:fldChar w:fldCharType="end"/>
      </w:r>
      <w:r>
        <w:rPr>
          <w:rFonts w:hint="eastAsia" w:ascii="宋体" w:hAnsi="宋体" w:eastAsia="宋体" w:cs="宋体"/>
          <w:b/>
          <w:bCs w:val="0"/>
          <w:color w:val="000000" w:themeColor="text1"/>
          <w:szCs w:val="21"/>
          <w:highlight w:val="none"/>
          <w14:textFill>
            <w14:solidFill>
              <w14:schemeClr w14:val="tx1"/>
            </w14:solidFill>
          </w14:textFill>
        </w:rPr>
        <w:t>范本查阅。</w:t>
      </w:r>
    </w:p>
    <w:p w14:paraId="46E1B68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 xml:space="preserve">可选办法一     </w:t>
      </w:r>
      <w:r>
        <w:rPr>
          <w:rFonts w:hint="eastAsia" w:ascii="宋体" w:hAnsi="宋体" w:eastAsia="宋体" w:cs="宋体"/>
          <w:b/>
          <w:color w:val="000000" w:themeColor="text1"/>
          <w:szCs w:val="21"/>
          <w:highlight w:val="none"/>
          <w14:textFill>
            <w14:solidFill>
              <w14:schemeClr w14:val="tx1"/>
            </w14:solidFill>
          </w14:textFill>
        </w:rPr>
        <w:t xml:space="preserve">        修改类型：删除</w:t>
      </w:r>
    </w:p>
    <w:p w14:paraId="5B652C48">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可选办法一（适合综合评分法一，技术标与经济标先后分别开启）</w:t>
      </w:r>
    </w:p>
    <w:p w14:paraId="5261A99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 xml:space="preserve">可选办法二   </w:t>
      </w:r>
      <w:r>
        <w:rPr>
          <w:rFonts w:hint="eastAsia" w:ascii="宋体" w:hAnsi="宋体" w:eastAsia="宋体" w:cs="宋体"/>
          <w:b/>
          <w:color w:val="000000" w:themeColor="text1"/>
          <w:szCs w:val="21"/>
          <w:highlight w:val="none"/>
          <w14:textFill>
            <w14:solidFill>
              <w14:schemeClr w14:val="tx1"/>
            </w14:solidFill>
          </w14:textFill>
        </w:rPr>
        <w:t xml:space="preserve">          修改类型：删除</w:t>
      </w:r>
    </w:p>
    <w:p w14:paraId="30CAB96D">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可选办法二（适合综合评分法一，技术标与经济标同时开启）</w:t>
      </w:r>
    </w:p>
    <w:p w14:paraId="6FFEE3B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 xml:space="preserve">可选办法三  </w:t>
      </w:r>
      <w:r>
        <w:rPr>
          <w:rFonts w:hint="eastAsia" w:ascii="宋体" w:hAnsi="宋体" w:eastAsia="宋体" w:cs="宋体"/>
          <w:b/>
          <w:color w:val="000000" w:themeColor="text1"/>
          <w:szCs w:val="21"/>
          <w:highlight w:val="none"/>
          <w14:textFill>
            <w14:solidFill>
              <w14:schemeClr w14:val="tx1"/>
            </w14:solidFill>
          </w14:textFill>
        </w:rPr>
        <w:t xml:space="preserve">           修改类型：删除</w:t>
      </w:r>
    </w:p>
    <w:p w14:paraId="4725A5B4">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可选办法三（适合综合评分法二，技术标与经济标先后分别开启）</w:t>
      </w:r>
    </w:p>
    <w:p w14:paraId="7DC9A24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 xml:space="preserve">可选办法四  </w:t>
      </w:r>
      <w:r>
        <w:rPr>
          <w:rFonts w:hint="eastAsia" w:ascii="宋体" w:hAnsi="宋体" w:eastAsia="宋体" w:cs="宋体"/>
          <w:b/>
          <w:color w:val="000000" w:themeColor="text1"/>
          <w:szCs w:val="21"/>
          <w:highlight w:val="none"/>
          <w14:textFill>
            <w14:solidFill>
              <w14:schemeClr w14:val="tx1"/>
            </w14:solidFill>
          </w14:textFill>
        </w:rPr>
        <w:t xml:space="preserve">           修改类型：删除</w:t>
      </w:r>
    </w:p>
    <w:p w14:paraId="3ED5FDD4">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可选办法四（适合综合评分法二，技术标与经济标同时开启）</w:t>
      </w:r>
    </w:p>
    <w:p w14:paraId="7E5378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 xml:space="preserve">可选办法五 </w:t>
      </w:r>
      <w:r>
        <w:rPr>
          <w:rFonts w:hint="eastAsia" w:ascii="宋体" w:hAnsi="宋体" w:eastAsia="宋体" w:cs="宋体"/>
          <w:b/>
          <w:color w:val="000000" w:themeColor="text1"/>
          <w:szCs w:val="21"/>
          <w:highlight w:val="none"/>
          <w14:textFill>
            <w14:solidFill>
              <w14:schemeClr w14:val="tx1"/>
            </w14:solidFill>
          </w14:textFill>
        </w:rPr>
        <w:t xml:space="preserve">            修改类型：删除</w:t>
      </w:r>
    </w:p>
    <w:p w14:paraId="6A2BD866">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可选办法五（适合综合评分法三，技术标与经济标先后分别开启）</w:t>
      </w:r>
    </w:p>
    <w:p w14:paraId="7D15A8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 xml:space="preserve">可选办法六 </w:t>
      </w:r>
      <w:r>
        <w:rPr>
          <w:rFonts w:hint="eastAsia" w:ascii="宋体" w:hAnsi="宋体" w:eastAsia="宋体" w:cs="宋体"/>
          <w:b/>
          <w:color w:val="000000" w:themeColor="text1"/>
          <w:szCs w:val="21"/>
          <w:highlight w:val="none"/>
          <w14:textFill>
            <w14:solidFill>
              <w14:schemeClr w14:val="tx1"/>
            </w14:solidFill>
          </w14:textFill>
        </w:rPr>
        <w:t xml:space="preserve">            修改类型：删除</w:t>
      </w:r>
    </w:p>
    <w:p w14:paraId="26E7B4DC">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b w:val="0"/>
          <w:bCs/>
          <w:color w:val="000000" w:themeColor="text1"/>
          <w:szCs w:val="21"/>
          <w:highlight w:val="none"/>
          <w14:textFill>
            <w14:solidFill>
              <w14:schemeClr w14:val="tx1"/>
            </w14:solidFill>
          </w14:textFill>
        </w:rPr>
        <w:t>可选办法六（适合综合评分法三，技术标与经济标同时开启</w:t>
      </w:r>
      <w:r>
        <w:rPr>
          <w:rFonts w:hint="eastAsia" w:ascii="宋体" w:hAnsi="宋体" w:eastAsia="宋体" w:cs="宋体"/>
          <w:color w:val="000000" w:themeColor="text1"/>
          <w:szCs w:val="21"/>
          <w:highlight w:val="none"/>
          <w14:textFill>
            <w14:solidFill>
              <w14:schemeClr w14:val="tx1"/>
            </w14:solidFill>
          </w14:textFill>
        </w:rPr>
        <w:t>）</w:t>
      </w:r>
    </w:p>
    <w:p w14:paraId="0AB42C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可选办法八</w:t>
      </w:r>
      <w:r>
        <w:rPr>
          <w:rFonts w:hint="eastAsia" w:ascii="宋体" w:hAnsi="宋体" w:eastAsia="宋体" w:cs="宋体"/>
          <w:b/>
          <w:color w:val="000000" w:themeColor="text1"/>
          <w:szCs w:val="21"/>
          <w:highlight w:val="none"/>
          <w14:textFill>
            <w14:solidFill>
              <w14:schemeClr w14:val="tx1"/>
            </w14:solidFill>
          </w14:textFill>
        </w:rPr>
        <w:t xml:space="preserve">             修改类型：删除</w:t>
      </w:r>
    </w:p>
    <w:p w14:paraId="0B81BDF4">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可选办法八（适合经评审的最低投标价法，技术标与经济标同时开启）</w:t>
      </w:r>
    </w:p>
    <w:p w14:paraId="778F8BB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 xml:space="preserve">35  </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b/>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 xml:space="preserve">      修改类型：修改</w:t>
      </w:r>
    </w:p>
    <w:p w14:paraId="307BDC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35 开标、评标及定标所依据的规则</w:t>
      </w:r>
    </w:p>
    <w:p w14:paraId="3BD309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35.1《中华人民共和国招标投标法》；</w:t>
      </w:r>
    </w:p>
    <w:p w14:paraId="18E4C5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35.2《中华人民共和国招标投标法实施条例》；</w:t>
      </w:r>
    </w:p>
    <w:p w14:paraId="2C73AE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35.3《评标委员会和评标方法暂行规定》（七部委第12号令）</w:t>
      </w:r>
    </w:p>
    <w:p w14:paraId="14B4C5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35.4《工程建设项目施工招标投标办法》（七部委2003年第30号令）</w:t>
      </w:r>
    </w:p>
    <w:p w14:paraId="374186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35.5《广东省实施〈中华人民共和国招标投标法〉办法》；</w:t>
      </w:r>
    </w:p>
    <w:p w14:paraId="1EBA36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35.6《房屋建筑和市政基础设施工程施工招标投标管理办法》（建设部令第89号）</w:t>
      </w:r>
    </w:p>
    <w:p w14:paraId="167018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《广东省加强建设工程招标投标监督管理的若干规定》（粤发[2004]4号）；</w:t>
      </w:r>
    </w:p>
    <w:p w14:paraId="4CFA5C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《广州市工程建设项目招标投标管理办法》（穗建规字〔2023〕12号）；</w:t>
      </w:r>
    </w:p>
    <w:p w14:paraId="33E5EB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35.9本项目招标文件</w:t>
      </w:r>
      <w:r>
        <w:rPr>
          <w:rFonts w:hint="eastAsia" w:ascii="宋体" w:hAnsi="宋体" w:eastAsia="宋体" w:cs="宋体"/>
          <w:color w:val="000000" w:themeColor="text1"/>
          <w:szCs w:val="21"/>
          <w:highlight w:val="none"/>
          <w:lang w:eastAsia="zh-CN"/>
          <w14:textFill>
            <w14:solidFill>
              <w14:schemeClr w14:val="tx1"/>
            </w14:solidFill>
          </w14:textFill>
        </w:rPr>
        <w:t>。</w:t>
      </w:r>
    </w:p>
    <w:p w14:paraId="04F7B54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35 开标、评标及定标所依据的规则</w:t>
      </w:r>
    </w:p>
    <w:p w14:paraId="15E7B1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35.1《中华人民共和国招标投标法》；</w:t>
      </w:r>
    </w:p>
    <w:p w14:paraId="09F0DA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35.2《中华人民共和国招标投标法实施条例》；</w:t>
      </w:r>
    </w:p>
    <w:p w14:paraId="47D0C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35.3《评标委员会和评标方法暂行规定》（七部委第12号令）</w:t>
      </w:r>
    </w:p>
    <w:p w14:paraId="2FFCC0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35.4《工程建设项目施工招标投标办法》（七部委2003年第30号令）</w:t>
      </w:r>
    </w:p>
    <w:p w14:paraId="34BE89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35.5《广东省实施〈中华人民共和国招标投标法〉办法》；</w:t>
      </w:r>
    </w:p>
    <w:p w14:paraId="5B923E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35.6《房屋建筑和市政基础设施工程施工招标投标管理办法》（建设部令第89号）</w:t>
      </w:r>
    </w:p>
    <w:p w14:paraId="27F4A47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35.7《财政部工业和信息化部关于印发〈政府采购促进中小企业发展管理办法〉的通知》（财库〔2020〕46号）</w:t>
      </w:r>
    </w:p>
    <w:p w14:paraId="7AAA5C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35.8《广东省加强建设工程招标投标监督管理的若干规定》（粤发[2004]4号）；</w:t>
      </w:r>
    </w:p>
    <w:p w14:paraId="6A446C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35.9《广东省政府采购促进中小企业发展实施细则（试行）》</w:t>
      </w:r>
    </w:p>
    <w:p w14:paraId="5E61B9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35.10《广州市工程建设项目招标投标管理办法》（穗建规字〔2023〕12号）；</w:t>
      </w:r>
    </w:p>
    <w:p w14:paraId="5EBD9864">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751840A8">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35.12本项目招标文件。</w:t>
      </w:r>
    </w:p>
    <w:p w14:paraId="7D7FA5A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条款号：36.1                修改类型：修改</w:t>
      </w:r>
    </w:p>
    <w:p w14:paraId="748EE16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原文：36.1</w:t>
      </w:r>
      <w:r>
        <w:rPr>
          <w:rFonts w:hint="eastAsia" w:ascii="宋体" w:hAnsi="宋体" w:eastAsia="宋体" w:cs="宋体"/>
          <w:color w:val="000000" w:themeColor="text1"/>
          <w:sz w:val="21"/>
          <w:szCs w:val="21"/>
          <w:highlight w:val="none"/>
          <w14:textFill>
            <w14:solidFill>
              <w14:schemeClr w14:val="tx1"/>
            </w14:solidFill>
          </w14:textFill>
        </w:rPr>
        <w:t xml:space="preserve"> 招标人按投标须知前附表第18项所规定的时间和地点公开开标，并邀请所有投标人参加。截标后，开标开始时间因故推迟的，相关评标信息仍以原定的开标开始时间的信息为准。</w:t>
      </w:r>
    </w:p>
    <w:p w14:paraId="6BDB453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现文：36.1</w:t>
      </w:r>
      <w:r>
        <w:rPr>
          <w:rFonts w:hint="eastAsia" w:ascii="宋体" w:hAnsi="宋体" w:eastAsia="宋体" w:cs="宋体"/>
          <w:color w:val="000000" w:themeColor="text1"/>
          <w:sz w:val="21"/>
          <w:szCs w:val="21"/>
          <w:highlight w:val="none"/>
          <w14:textFill>
            <w14:solidFill>
              <w14:schemeClr w14:val="tx1"/>
            </w14:solidFill>
          </w14:textFill>
        </w:rPr>
        <w:t xml:space="preserve">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eastAsia="宋体" w:cs="宋体"/>
          <w:color w:val="000000" w:themeColor="text1"/>
          <w:sz w:val="21"/>
          <w:szCs w:val="21"/>
          <w:highlight w:val="none"/>
          <w:u w:val="single"/>
          <w14:textFill>
            <w14:solidFill>
              <w14:schemeClr w14:val="tx1"/>
            </w14:solidFill>
          </w14:textFill>
        </w:rPr>
        <w:t>若投标人不参加开标会的，其投标文件在开标现场的投标人或招标人代表、招标代理机构代表及</w:t>
      </w:r>
      <w:r>
        <w:rPr>
          <w:rFonts w:hint="eastAsia" w:ascii="宋体" w:hAnsi="宋体" w:eastAsia="宋体" w:cs="宋体"/>
          <w:b/>
          <w:bCs/>
          <w:color w:val="000000" w:themeColor="text1"/>
          <w:kern w:val="0"/>
          <w:sz w:val="2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代表见证下公开开启、解密、公布，并视同该投标人认可开标结果。</w:t>
      </w:r>
    </w:p>
    <w:p w14:paraId="1873DF29">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r>
        <w:rPr>
          <w:rFonts w:hint="eastAsia" w:ascii="宋体" w:hAnsi="宋体" w:eastAsia="宋体" w:cs="宋体"/>
          <w:color w:val="000000" w:themeColor="text1"/>
          <w:sz w:val="21"/>
          <w:szCs w:val="21"/>
          <w:highlight w:val="none"/>
          <w14:textFill>
            <w14:solidFill>
              <w14:schemeClr w14:val="tx1"/>
            </w14:solidFill>
          </w14:textFill>
        </w:rPr>
        <w:t xml:space="preserve">36.3  </w:t>
      </w:r>
      <w:r>
        <w:rPr>
          <w:rFonts w:hint="eastAsia" w:ascii="宋体" w:hAnsi="宋体" w:eastAsia="宋体" w:cs="宋体"/>
          <w:b/>
          <w:color w:val="000000" w:themeColor="text1"/>
          <w:sz w:val="21"/>
          <w:szCs w:val="21"/>
          <w:highlight w:val="none"/>
          <w14:textFill>
            <w14:solidFill>
              <w14:schemeClr w14:val="tx1"/>
            </w14:solidFill>
          </w14:textFill>
        </w:rPr>
        <w:t xml:space="preserve">          修改类型：删除</w:t>
      </w:r>
    </w:p>
    <w:p w14:paraId="6683E680">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2CFF21D">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条款号：36.5.1              修改类型：修改</w:t>
      </w:r>
    </w:p>
    <w:p w14:paraId="385D9D7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原文：</w:t>
      </w:r>
      <w:r>
        <w:rPr>
          <w:rFonts w:hint="eastAsia" w:ascii="宋体" w:hAnsi="宋体" w:cs="宋体"/>
          <w:color w:val="000000" w:themeColor="text1"/>
          <w:sz w:val="21"/>
          <w:szCs w:val="21"/>
          <w:highlight w:val="none"/>
          <w14:textFill>
            <w14:solidFill>
              <w14:schemeClr w14:val="tx1"/>
            </w14:solidFill>
          </w14:textFill>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1586DDF3">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现文：</w:t>
      </w:r>
      <w:r>
        <w:rPr>
          <w:rFonts w:hint="eastAsia" w:ascii="宋体" w:hAnsi="宋体" w:cs="宋体"/>
          <w:color w:val="000000" w:themeColor="text1"/>
          <w:sz w:val="21"/>
          <w:szCs w:val="21"/>
          <w:highlight w:val="none"/>
          <w14:textFill>
            <w14:solidFill>
              <w14:schemeClr w14:val="tx1"/>
            </w14:solidFill>
          </w14:textFill>
        </w:rPr>
        <w:t>36.5.1在投标截止时间后</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一个</w:t>
      </w:r>
      <w:r>
        <w:rPr>
          <w:rFonts w:hint="eastAsia" w:ascii="宋体" w:hAnsi="宋体" w:cs="宋体"/>
          <w:b/>
          <w:bCs/>
          <w:color w:val="000000" w:themeColor="text1"/>
          <w:sz w:val="21"/>
          <w:szCs w:val="21"/>
          <w:highlight w:val="none"/>
          <w:u w:val="single"/>
          <w14:textFill>
            <w14:solidFill>
              <w14:schemeClr w14:val="tx1"/>
            </w14:solidFill>
          </w14:textFill>
        </w:rPr>
        <w:t>小时内</w:t>
      </w:r>
      <w:r>
        <w:rPr>
          <w:rFonts w:hint="eastAsia" w:ascii="宋体" w:hAnsi="宋体" w:cs="宋体"/>
          <w:color w:val="000000" w:themeColor="text1"/>
          <w:sz w:val="21"/>
          <w:szCs w:val="21"/>
          <w:highlight w:val="none"/>
          <w14:textFill>
            <w14:solidFill>
              <w14:schemeClr w14:val="tx1"/>
            </w14:solidFill>
          </w14:textFill>
        </w:rPr>
        <w:t>，投标人通过</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cs="宋体"/>
          <w:color w:val="000000" w:themeColor="text1"/>
          <w:sz w:val="21"/>
          <w:szCs w:val="21"/>
          <w:highlight w:val="none"/>
          <w14:textFill>
            <w14:solidFill>
              <w14:schemeClr w14:val="tx1"/>
            </w14:solidFill>
          </w14:textFill>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6959682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r>
        <w:rPr>
          <w:rFonts w:hint="eastAsia" w:ascii="宋体" w:hAnsi="宋体" w:eastAsia="宋体" w:cs="宋体"/>
          <w:b/>
          <w:color w:val="000000" w:themeColor="text1"/>
          <w:sz w:val="21"/>
          <w:szCs w:val="21"/>
          <w:highlight w:val="none"/>
          <w:lang w:val="en-US" w:eastAsia="zh-CN"/>
          <w14:textFill>
            <w14:solidFill>
              <w14:schemeClr w14:val="tx1"/>
            </w14:solidFill>
          </w14:textFill>
        </w:rPr>
        <w:t>37</w:t>
      </w:r>
      <w:r>
        <w:rPr>
          <w:rFonts w:hint="eastAsia" w:ascii="宋体" w:hAnsi="宋体" w:eastAsia="宋体" w:cs="宋体"/>
          <w:b/>
          <w:color w:val="000000" w:themeColor="text1"/>
          <w:sz w:val="21"/>
          <w:szCs w:val="21"/>
          <w:highlight w:val="none"/>
          <w14:textFill>
            <w14:solidFill>
              <w14:schemeClr w14:val="tx1"/>
            </w14:solidFill>
          </w14:textFill>
        </w:rPr>
        <w:t xml:space="preserve">           </w:t>
      </w: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修改类型：修改</w:t>
      </w:r>
    </w:p>
    <w:p w14:paraId="48529D1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37．评标</w:t>
      </w:r>
    </w:p>
    <w:p w14:paraId="3EF6BA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37.1评标委员会由招标人依法组建。</w:t>
      </w:r>
    </w:p>
    <w:p w14:paraId="4D2370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37.2评标委员会的职责及守则：</w:t>
      </w:r>
    </w:p>
    <w:p w14:paraId="276588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37.2.1根据评标细则，对投标文件进行认真评审，完成评审报告；</w:t>
      </w:r>
    </w:p>
    <w:p w14:paraId="102607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37.2.2向招标人报告评审意见，推荐合格的中标候选人。</w:t>
      </w:r>
    </w:p>
    <w:p w14:paraId="5DBDC7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37.2.3所有参加评标人员必须遵守国家、地方政府制定的有关工程招标投标的法则、规定，遵守有关工程招标投标的保密制度；如有违反者，给予行政处分；情节严重，构成犯罪的，由司法机关依法追究其刑事责任。</w:t>
      </w:r>
    </w:p>
    <w:p w14:paraId="1B839D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37.2.4全体参与评标人员：</w:t>
      </w:r>
    </w:p>
    <w:p w14:paraId="1AD75F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37.2.4.1 必须遵守评标纪律、不得泄密；</w:t>
      </w:r>
    </w:p>
    <w:p w14:paraId="2EA876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37.2.4.2 必须公正、不得循私；</w:t>
      </w:r>
    </w:p>
    <w:p w14:paraId="00C65A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37.2.4.3 必须科学、不得草率；</w:t>
      </w:r>
    </w:p>
    <w:p w14:paraId="725B7A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37.2.4.4 必须客观、不得带有成见；</w:t>
      </w:r>
    </w:p>
    <w:p w14:paraId="71C871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37.2.4.5 必须平等、不得强加于人；</w:t>
      </w:r>
    </w:p>
    <w:p w14:paraId="1564B7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37.2.4.6 必须严谨、不得随意马虎。</w:t>
      </w:r>
    </w:p>
    <w:p w14:paraId="5C55DB2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37.3 评标结束后，评标委员会递交评标报告并依法推荐中标候选人</w:t>
      </w:r>
      <w:r>
        <w:rPr>
          <w:rFonts w:hint="eastAsia" w:ascii="宋体" w:hAnsi="宋体" w:eastAsia="宋体" w:cs="宋体"/>
          <w:color w:val="000000" w:themeColor="text1"/>
          <w:szCs w:val="21"/>
          <w:highlight w:val="none"/>
          <w:lang w:eastAsia="zh-CN"/>
          <w14:textFill>
            <w14:solidFill>
              <w14:schemeClr w14:val="tx1"/>
            </w14:solidFill>
          </w14:textFill>
        </w:rPr>
        <w:t>。</w:t>
      </w:r>
    </w:p>
    <w:p w14:paraId="5D59E8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sz w:val="21"/>
          <w:szCs w:val="21"/>
          <w:highlight w:val="none"/>
          <w14:textFill>
            <w14:solidFill>
              <w14:schemeClr w14:val="tx1"/>
            </w14:solidFill>
          </w14:textFill>
        </w:rPr>
        <w:t>37．评标</w:t>
      </w:r>
    </w:p>
    <w:p w14:paraId="04D511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37.1评标委员会由招标人依法组建。</w:t>
      </w:r>
    </w:p>
    <w:p w14:paraId="68212A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37.2</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评标委员会在开始评标前，应了解评标专家的职责及守则，认真阅读附件1《评标委员会成员声明》的内容并签名，签字后方可进行评标；</w:t>
      </w:r>
    </w:p>
    <w:p w14:paraId="68F40EA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37.3</w:t>
      </w:r>
      <w:r>
        <w:rPr>
          <w:rFonts w:hint="eastAsia" w:ascii="宋体" w:hAnsi="宋体" w:eastAsia="宋体" w:cs="宋体"/>
          <w:color w:val="000000" w:themeColor="text1"/>
          <w:sz w:val="21"/>
          <w:szCs w:val="21"/>
          <w:highlight w:val="none"/>
          <w14:textFill>
            <w14:solidFill>
              <w14:schemeClr w14:val="tx1"/>
            </w14:solidFill>
          </w14:textFill>
        </w:rPr>
        <w:t>评标委员会的职责及守则：</w:t>
      </w:r>
    </w:p>
    <w:p w14:paraId="46D45B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根据评标细则，对投标文件进行认真评审，完成评审报告；</w:t>
      </w:r>
    </w:p>
    <w:p w14:paraId="04259A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向招标人报告评审意见，推荐合格的中标候选人。</w:t>
      </w:r>
    </w:p>
    <w:p w14:paraId="5FF14D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所有参加评标人员必须遵守国家、地方政府制定的有关工程招标投标的法则、规定，遵守有关工程招标投标的保密制度；如有违反者，给予行政处分；情节严重，构成犯罪的，由司法机关依法追究其刑事责任。</w:t>
      </w:r>
    </w:p>
    <w:p w14:paraId="70BF5A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全体参与评标人员：</w:t>
      </w:r>
    </w:p>
    <w:p w14:paraId="7575DE8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.4.1</w:t>
      </w:r>
      <w:r>
        <w:rPr>
          <w:rFonts w:hint="eastAsia" w:ascii="宋体" w:hAnsi="宋体" w:eastAsia="宋体" w:cs="宋体"/>
          <w:color w:val="000000" w:themeColor="text1"/>
          <w:sz w:val="21"/>
          <w:szCs w:val="21"/>
          <w:highlight w:val="none"/>
          <w14:textFill>
            <w14:solidFill>
              <w14:schemeClr w14:val="tx1"/>
            </w14:solidFill>
          </w14:textFill>
        </w:rPr>
        <w:t xml:space="preserve"> 必须遵守评标纪律、不得泄密；</w:t>
      </w:r>
    </w:p>
    <w:p w14:paraId="55FCA8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.4.2 </w:t>
      </w:r>
      <w:r>
        <w:rPr>
          <w:rFonts w:hint="eastAsia" w:ascii="宋体" w:hAnsi="宋体" w:eastAsia="宋体" w:cs="宋体"/>
          <w:color w:val="000000" w:themeColor="text1"/>
          <w:sz w:val="21"/>
          <w:szCs w:val="21"/>
          <w:highlight w:val="none"/>
          <w14:textFill>
            <w14:solidFill>
              <w14:schemeClr w14:val="tx1"/>
            </w14:solidFill>
          </w14:textFill>
        </w:rPr>
        <w:t>必须公正、不得循私；</w:t>
      </w:r>
    </w:p>
    <w:p w14:paraId="5F4FC6C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.4.3</w:t>
      </w:r>
      <w:r>
        <w:rPr>
          <w:rFonts w:hint="eastAsia" w:ascii="宋体" w:hAnsi="宋体" w:eastAsia="宋体" w:cs="宋体"/>
          <w:color w:val="000000" w:themeColor="text1"/>
          <w:sz w:val="21"/>
          <w:szCs w:val="21"/>
          <w:highlight w:val="none"/>
          <w14:textFill>
            <w14:solidFill>
              <w14:schemeClr w14:val="tx1"/>
            </w14:solidFill>
          </w14:textFill>
        </w:rPr>
        <w:t xml:space="preserve"> 必须科学、不得草率；</w:t>
      </w:r>
    </w:p>
    <w:p w14:paraId="45F2137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.4.4</w:t>
      </w:r>
      <w:r>
        <w:rPr>
          <w:rFonts w:hint="eastAsia" w:ascii="宋体" w:hAnsi="宋体" w:eastAsia="宋体" w:cs="宋体"/>
          <w:color w:val="000000" w:themeColor="text1"/>
          <w:sz w:val="21"/>
          <w:szCs w:val="21"/>
          <w:highlight w:val="none"/>
          <w14:textFill>
            <w14:solidFill>
              <w14:schemeClr w14:val="tx1"/>
            </w14:solidFill>
          </w14:textFill>
        </w:rPr>
        <w:t xml:space="preserve"> 必须客观、不得带有成见；</w:t>
      </w:r>
    </w:p>
    <w:p w14:paraId="678BCC2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.4.5</w:t>
      </w:r>
      <w:r>
        <w:rPr>
          <w:rFonts w:hint="eastAsia" w:ascii="宋体" w:hAnsi="宋体" w:eastAsia="宋体" w:cs="宋体"/>
          <w:color w:val="000000" w:themeColor="text1"/>
          <w:sz w:val="21"/>
          <w:szCs w:val="21"/>
          <w:highlight w:val="none"/>
          <w14:textFill>
            <w14:solidFill>
              <w14:schemeClr w14:val="tx1"/>
            </w14:solidFill>
          </w14:textFill>
        </w:rPr>
        <w:t xml:space="preserve"> 必须平等、不得强加于人；</w:t>
      </w:r>
    </w:p>
    <w:p w14:paraId="3941EB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.4.6</w:t>
      </w:r>
      <w:r>
        <w:rPr>
          <w:rFonts w:hint="eastAsia" w:ascii="宋体" w:hAnsi="宋体" w:eastAsia="宋体" w:cs="宋体"/>
          <w:color w:val="000000" w:themeColor="text1"/>
          <w:sz w:val="21"/>
          <w:szCs w:val="21"/>
          <w:highlight w:val="none"/>
          <w14:textFill>
            <w14:solidFill>
              <w14:schemeClr w14:val="tx1"/>
            </w14:solidFill>
          </w14:textFill>
        </w:rPr>
        <w:t xml:space="preserve"> 必须严谨、不得随意马虎。</w:t>
      </w:r>
    </w:p>
    <w:p w14:paraId="38F69CC5">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37.</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b/>
          <w:color w:val="000000" w:themeColor="text1"/>
          <w:kern w:val="0"/>
          <w:sz w:val="21"/>
          <w:szCs w:val="21"/>
          <w:highlight w:val="none"/>
          <w:u w:val="single"/>
          <w14:textFill>
            <w14:solidFill>
              <w14:schemeClr w14:val="tx1"/>
            </w14:solidFill>
          </w14:textFill>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r>
        <w:rPr>
          <w:rFonts w:hint="eastAsia" w:ascii="宋体" w:hAnsi="宋体" w:eastAsia="宋体" w:cs="宋体"/>
          <w:bCs/>
          <w:color w:val="000000" w:themeColor="text1"/>
          <w:kern w:val="0"/>
          <w:sz w:val="21"/>
          <w:szCs w:val="21"/>
          <w:highlight w:val="none"/>
          <w14:textFill>
            <w14:solidFill>
              <w14:schemeClr w14:val="tx1"/>
            </w14:solidFill>
          </w14:textFill>
        </w:rPr>
        <w:t>。</w:t>
      </w:r>
    </w:p>
    <w:p w14:paraId="73592013">
      <w:pPr>
        <w:keepNext w:val="0"/>
        <w:keepLines w:val="0"/>
        <w:pageBreakBefore w:val="0"/>
        <w:widowControl w:val="0"/>
        <w:pBdr>
          <w:bottom w:val="single" w:color="auto" w:sz="6" w:space="1"/>
        </w:pBdr>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kern w:val="0"/>
          <w:sz w:val="21"/>
          <w:szCs w:val="21"/>
          <w:highlight w:val="none"/>
          <w:u w:val="single"/>
          <w14:textFill>
            <w14:solidFill>
              <w14:schemeClr w14:val="tx1"/>
            </w14:solidFill>
          </w14:textFill>
        </w:rPr>
        <w:t>37.</w:t>
      </w:r>
      <w:r>
        <w:rPr>
          <w:rFonts w:hint="eastAsia" w:ascii="宋体" w:hAnsi="宋体" w:eastAsia="宋体" w:cs="宋体"/>
          <w:b/>
          <w:color w:val="000000" w:themeColor="text1"/>
          <w:kern w:val="0"/>
          <w:sz w:val="21"/>
          <w:szCs w:val="21"/>
          <w:highlight w:val="none"/>
          <w:u w:val="singl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评标结束后，评标委员会递交评标报告并依法推荐中标候选人</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w:t>
      </w:r>
    </w:p>
    <w:p w14:paraId="716EE50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条款号：38.1             修改类型：修改</w:t>
      </w:r>
    </w:p>
    <w:p w14:paraId="65C2E09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sz w:val="21"/>
          <w:szCs w:val="21"/>
          <w:highlight w:val="none"/>
          <w14:textFill>
            <w14:solidFill>
              <w14:schemeClr w14:val="tx1"/>
            </w14:solidFill>
          </w14:textFill>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A13F222">
      <w:pPr>
        <w:keepNext w:val="0"/>
        <w:keepLines w:val="0"/>
        <w:pageBreakBefore w:val="0"/>
        <w:widowControl w:val="0"/>
        <w:pBdr>
          <w:bottom w:val="single" w:color="auto" w:sz="6" w:space="1"/>
        </w:pBdr>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sz w:val="21"/>
          <w:szCs w:val="21"/>
          <w:highlight w:val="none"/>
          <w14:textFill>
            <w14:solidFill>
              <w14:schemeClr w14:val="tx1"/>
            </w14:solidFill>
          </w14:textFill>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eastAsia="宋体" w:cs="宋体"/>
          <w:color w:val="000000" w:themeColor="text1"/>
          <w:sz w:val="21"/>
          <w:szCs w:val="21"/>
          <w:highlight w:val="none"/>
          <w:u w:val="single"/>
          <w14:textFill>
            <w14:solidFill>
              <w14:schemeClr w14:val="tx1"/>
            </w14:solidFill>
          </w14:textFill>
        </w:rPr>
        <w:t>对投标文件含义不明确、对同类问题表述不一致、有明显文字和计算错误的内容以及细微偏差的</w:t>
      </w:r>
      <w:r>
        <w:rPr>
          <w:rFonts w:hint="eastAsia" w:ascii="宋体" w:hAnsi="宋体" w:eastAsia="宋体" w:cs="宋体"/>
          <w:color w:val="000000" w:themeColor="text1"/>
          <w:sz w:val="21"/>
          <w:szCs w:val="21"/>
          <w:highlight w:val="none"/>
          <w14:textFill>
            <w14:solidFill>
              <w14:schemeClr w14:val="tx1"/>
            </w14:solidFill>
          </w14:textFill>
        </w:rPr>
        <w:t>内容作出澄清。</w:t>
      </w:r>
    </w:p>
    <w:p w14:paraId="067CA634">
      <w:pPr>
        <w:pStyle w:val="3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bCs/>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FFFFFF"/>
          <w14:textFill>
            <w14:solidFill>
              <w14:schemeClr w14:val="tx1"/>
            </w14:solidFill>
          </w14:textFill>
        </w:rPr>
        <w:t>条款号：39.3         修改类型：修改</w:t>
      </w:r>
    </w:p>
    <w:p w14:paraId="3EAF7BDF">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b/>
          <w:color w:val="000000" w:themeColor="text1"/>
          <w:kern w:val="0"/>
          <w:sz w:val="21"/>
          <w:szCs w:val="21"/>
          <w:highlight w:val="none"/>
          <w:shd w:val="clear" w:color="auto" w:fill="FFFFFF"/>
          <w14:textFill>
            <w14:solidFill>
              <w14:schemeClr w14:val="tx1"/>
            </w14:solidFill>
          </w14:textFill>
        </w:rPr>
        <w:t>原文：</w:t>
      </w:r>
      <w:r>
        <w:rPr>
          <w:rFonts w:hint="eastAsia" w:ascii="宋体" w:hAnsi="宋体" w:eastAsia="宋体" w:cs="宋体"/>
          <w:color w:val="000000" w:themeColor="text1"/>
          <w:sz w:val="21"/>
          <w:szCs w:val="21"/>
          <w:highlight w:val="none"/>
          <w14:textFill>
            <w14:solidFill>
              <w14:schemeClr w14:val="tx1"/>
            </w14:solidFill>
          </w14:textFill>
        </w:rPr>
        <w:t>排名第一的中标候选人放弃中标、或因不可抗力提出不能履行合同，或者招标文件规定应当提交履约担保而在规定的期限内未能提交的，招标人可以确定排名第二的中标候选人为中标人。</w:t>
      </w:r>
    </w:p>
    <w:p w14:paraId="335BE5D5">
      <w:pPr>
        <w:keepNext w:val="0"/>
        <w:keepLines w:val="0"/>
        <w:pageBreakBefore w:val="0"/>
        <w:pBdr>
          <w:bottom w:val="single" w:color="auto" w:sz="6" w:space="1"/>
        </w:pBdr>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14:textFill>
            <w14:solidFill>
              <w14:schemeClr w14:val="tx1"/>
            </w14:solidFill>
          </w14:textFill>
        </w:rPr>
        <w:t>现文：</w:t>
      </w:r>
      <w:r>
        <w:rPr>
          <w:rFonts w:hint="eastAsia" w:ascii="宋体" w:hAnsi="宋体" w:eastAsia="宋体" w:cs="宋体"/>
          <w:color w:val="000000" w:themeColor="text1"/>
          <w:sz w:val="21"/>
          <w:szCs w:val="21"/>
          <w:highlight w:val="none"/>
          <w14:textFill>
            <w14:solidFill>
              <w14:schemeClr w14:val="tx1"/>
            </w14:solidFill>
          </w14:textFill>
        </w:rPr>
        <w:t>排名第一的中标候选人放弃中标、或因不可抗力提出不能履行合同，或者招标文件规定应当提交履约担保而在规定的期限内未能提交的，</w:t>
      </w:r>
      <w:r>
        <w:rPr>
          <w:rFonts w:hint="eastAsia" w:ascii="宋体" w:hAnsi="宋体" w:eastAsia="宋体" w:cs="宋体"/>
          <w:bCs/>
          <w:color w:val="000000" w:themeColor="text1"/>
          <w:sz w:val="21"/>
          <w:szCs w:val="21"/>
          <w:highlight w:val="none"/>
          <w:u w:val="single"/>
          <w14:textFill>
            <w14:solidFill>
              <w14:schemeClr w14:val="tx1"/>
            </w14:solidFill>
          </w14:textFill>
        </w:rPr>
        <w:t>或经核查发现委派的项目负责人已在</w:t>
      </w:r>
      <w:r>
        <w:rPr>
          <w:rFonts w:hint="eastAsia" w:ascii="宋体" w:hAnsi="宋体" w:eastAsia="宋体" w:cs="宋体"/>
          <w:color w:val="000000" w:themeColor="text1"/>
          <w:kern w:val="0"/>
          <w:sz w:val="21"/>
          <w:szCs w:val="21"/>
          <w:highlight w:val="none"/>
          <w14:textFill>
            <w14:solidFill>
              <w14:schemeClr w14:val="tx1"/>
            </w14:solidFill>
          </w14:textFill>
        </w:rPr>
        <w:t>其他在建项目中任施工单位项目负责人</w:t>
      </w:r>
      <w:r>
        <w:rPr>
          <w:rFonts w:hint="eastAsia" w:ascii="宋体" w:hAnsi="宋体" w:eastAsia="宋体" w:cs="宋体"/>
          <w:bCs/>
          <w:color w:val="000000" w:themeColor="text1"/>
          <w:sz w:val="21"/>
          <w:szCs w:val="21"/>
          <w:highlight w:val="none"/>
          <w:u w:val="single"/>
          <w14:textFill>
            <w14:solidFill>
              <w14:schemeClr w14:val="tx1"/>
            </w14:solidFill>
          </w14:textFill>
        </w:rPr>
        <w:t>的，或因中标候选人原因在招标文件规定时间内未与招标人完成合同签署的，招标人可以重新招标，也可以确定排名第二的中标候选人为中标人，如第二中标候选人出现前款所列的情形的，招标人也可以确定排名第三的中标候选人为中标人，如所有中标候选人均出现前款所列的情形，为招标失败，招标人依法重新招标。</w:t>
      </w:r>
    </w:p>
    <w:p w14:paraId="4DA706B0">
      <w:pPr>
        <w:pStyle w:val="34"/>
        <w:keepNext w:val="0"/>
        <w:keepLines w:val="0"/>
        <w:pageBreakBefore w:val="0"/>
        <w:widowControl w:val="0"/>
        <w:shd w:val="clear" w:color="auto" w:fill="auto"/>
        <w:kinsoku/>
        <w:wordWrap/>
        <w:overflowPunct/>
        <w:topLinePunct w:val="0"/>
        <w:autoSpaceDE/>
        <w:autoSpaceDN/>
        <w:bidi w:val="0"/>
        <w:adjustRightInd/>
        <w:snapToGrid/>
        <w:spacing w:after="0" w:line="360" w:lineRule="auto"/>
        <w:ind w:firstLine="422" w:firstLineChars="20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条款号：（二）开标评标办法程序和细则          修改类型：删除</w:t>
      </w:r>
    </w:p>
    <w:p w14:paraId="2C598C77">
      <w:pPr>
        <w:keepNext w:val="0"/>
        <w:keepLines w:val="0"/>
        <w:pageBreakBefore w:val="0"/>
        <w:widowControl w:val="0"/>
        <w:pBdr>
          <w:bottom w:val="single" w:color="auto" w:sz="4" w:space="0"/>
        </w:pBdr>
        <w:shd w:val="clear" w:color="auto" w:fill="auto"/>
        <w:kinsoku/>
        <w:wordWrap/>
        <w:overflowPunct/>
        <w:topLinePunct w:val="0"/>
        <w:autoSpaceDE/>
        <w:autoSpaceDN/>
        <w:bidi w:val="0"/>
        <w:adjustRightInd/>
        <w:snapToGrid/>
        <w:spacing w:line="360" w:lineRule="auto"/>
        <w:ind w:firstLine="422" w:firstLineChars="200"/>
        <w:textAlignment w:val="auto"/>
        <w:rPr>
          <w:rFonts w:ascii="宋体" w:hAnsi="宋体"/>
          <w:color w:val="000000" w:themeColor="text1"/>
          <w:sz w:val="21"/>
          <w:szCs w:val="21"/>
          <w:highlight w:val="none"/>
          <w:u w:val="singl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原文：</w:t>
      </w:r>
      <w:r>
        <w:rPr>
          <w:rFonts w:hint="eastAsia" w:ascii="宋体" w:hAnsi="宋体"/>
          <w:bCs/>
          <w:color w:val="000000" w:themeColor="text1"/>
          <w:sz w:val="21"/>
          <w:szCs w:val="21"/>
          <w:highlight w:val="none"/>
          <w14:textFill>
            <w14:solidFill>
              <w14:schemeClr w14:val="tx1"/>
            </w14:solidFill>
          </w14:textFill>
        </w:rPr>
        <w:t>注：以下</w:t>
      </w:r>
      <w:r>
        <w:rPr>
          <w:rFonts w:hint="eastAsia" w:ascii="宋体" w:hAnsi="宋体"/>
          <w:bCs/>
          <w:color w:val="000000" w:themeColor="text1"/>
          <w:sz w:val="21"/>
          <w:szCs w:val="21"/>
          <w:highlight w:val="none"/>
          <w:lang w:val="en-US" w:eastAsia="zh-CN"/>
          <w14:textFill>
            <w14:solidFill>
              <w14:schemeClr w14:val="tx1"/>
            </w14:solidFill>
          </w14:textFill>
        </w:rPr>
        <w:t>八</w:t>
      </w:r>
      <w:r>
        <w:rPr>
          <w:rFonts w:hint="eastAsia" w:ascii="宋体" w:hAnsi="宋体"/>
          <w:bCs/>
          <w:color w:val="000000" w:themeColor="text1"/>
          <w:sz w:val="21"/>
          <w:szCs w:val="21"/>
          <w:highlight w:val="none"/>
          <w14:textFill>
            <w14:solidFill>
              <w14:schemeClr w14:val="tx1"/>
            </w14:solidFill>
          </w14:textFill>
        </w:rPr>
        <w:t>种评标办法所述企业综合诚信评价分数即投标截止当日广州市工程招标代理行业协会网站上公布的企业综合诚信评价60日诚信分。</w:t>
      </w:r>
    </w:p>
    <w:p w14:paraId="3F75DF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条款号：41.1         修改类型：修改</w:t>
      </w:r>
    </w:p>
    <w:p w14:paraId="378D43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原文：</w:t>
      </w:r>
      <w:r>
        <w:rPr>
          <w:rFonts w:hint="eastAsia" w:ascii="宋体" w:hAnsi="宋体" w:cs="宋体"/>
          <w:color w:val="000000" w:themeColor="text1"/>
          <w:sz w:val="21"/>
          <w:szCs w:val="21"/>
          <w:highlight w:val="none"/>
          <w14:textFill>
            <w14:solidFill>
              <w14:schemeClr w14:val="tx1"/>
            </w14:solidFill>
          </w14:textFill>
        </w:rPr>
        <w:t>41.1 开标由招标人主持；</w:t>
      </w:r>
    </w:p>
    <w:p w14:paraId="5C366E3F">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现文：</w:t>
      </w:r>
      <w:r>
        <w:rPr>
          <w:rFonts w:hint="eastAsia" w:ascii="宋体" w:hAnsi="宋体" w:cs="宋体"/>
          <w:color w:val="000000" w:themeColor="text1"/>
          <w:sz w:val="21"/>
          <w:szCs w:val="21"/>
          <w:highlight w:val="none"/>
          <w14:textFill>
            <w14:solidFill>
              <w14:schemeClr w14:val="tx1"/>
            </w14:solidFill>
          </w14:textFill>
        </w:rPr>
        <w:t>41.1 开标由招标人</w:t>
      </w:r>
      <w:r>
        <w:rPr>
          <w:rFonts w:hint="eastAsia" w:ascii="宋体" w:hAnsi="宋体" w:cs="宋体"/>
          <w:color w:val="000000" w:themeColor="text1"/>
          <w:sz w:val="21"/>
          <w:szCs w:val="21"/>
          <w:highlight w:val="none"/>
          <w:u w:val="single"/>
          <w14:textFill>
            <w14:solidFill>
              <w14:schemeClr w14:val="tx1"/>
            </w14:solidFill>
          </w14:textFill>
        </w:rPr>
        <w:t>或招标代理</w:t>
      </w:r>
      <w:r>
        <w:rPr>
          <w:rFonts w:hint="eastAsia" w:ascii="宋体" w:hAnsi="宋体" w:cs="宋体"/>
          <w:color w:val="000000" w:themeColor="text1"/>
          <w:sz w:val="21"/>
          <w:szCs w:val="21"/>
          <w:highlight w:val="none"/>
          <w14:textFill>
            <w14:solidFill>
              <w14:schemeClr w14:val="tx1"/>
            </w14:solidFill>
          </w14:textFill>
        </w:rPr>
        <w:t>主持；</w:t>
      </w:r>
    </w:p>
    <w:p w14:paraId="4AE241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条款号：41.2.1          修改类型：修改</w:t>
      </w:r>
    </w:p>
    <w:p w14:paraId="21994AF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原文：</w:t>
      </w:r>
      <w:r>
        <w:rPr>
          <w:rFonts w:hint="eastAsia" w:ascii="宋体" w:hAnsi="宋体" w:cs="宋体"/>
          <w:color w:val="000000" w:themeColor="text1"/>
          <w:sz w:val="21"/>
          <w:szCs w:val="21"/>
          <w:highlight w:val="none"/>
          <w14:textFill>
            <w14:solidFill>
              <w14:schemeClr w14:val="tx1"/>
            </w14:solidFill>
          </w14:textFill>
        </w:rPr>
        <w:t xml:space="preserve">41.2.1投标截止期前，各投标人递交投标文件（包括技术标投标文件、经济标投标文件）至交易平台。有关投标文件提交的事项详见第一章投标须知。 </w:t>
      </w:r>
    </w:p>
    <w:p w14:paraId="7BE576A0">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现文：</w:t>
      </w:r>
      <w:r>
        <w:rPr>
          <w:rFonts w:hint="eastAsia" w:ascii="宋体" w:hAnsi="宋体" w:cs="宋体"/>
          <w:color w:val="000000" w:themeColor="text1"/>
          <w:sz w:val="21"/>
          <w:szCs w:val="21"/>
          <w:highlight w:val="none"/>
          <w14:textFill>
            <w14:solidFill>
              <w14:schemeClr w14:val="tx1"/>
            </w14:solidFill>
          </w14:textFill>
        </w:rPr>
        <w:t>41.2.1投标截止期前，各投标人递交投标文件（包括技术标投标文件、经济标投标文件）至</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cs="宋体"/>
          <w:color w:val="000000" w:themeColor="text1"/>
          <w:sz w:val="21"/>
          <w:szCs w:val="21"/>
          <w:highlight w:val="none"/>
          <w14:textFill>
            <w14:solidFill>
              <w14:schemeClr w14:val="tx1"/>
            </w14:solidFill>
          </w14:textFill>
        </w:rPr>
        <w:t xml:space="preserve">交易平台。有关投标文件提交的事项详见第一章投标须知。 </w:t>
      </w:r>
    </w:p>
    <w:p w14:paraId="4D22B6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条款号：41.2.3             修改类型：修改</w:t>
      </w:r>
    </w:p>
    <w:p w14:paraId="5D1E8AEC">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bCs/>
          <w:color w:val="000000" w:themeColor="text1"/>
          <w:sz w:val="21"/>
          <w:szCs w:val="21"/>
          <w:highlight w:val="none"/>
          <w14:textFill>
            <w14:solidFill>
              <w14:schemeClr w14:val="tx1"/>
            </w14:solidFill>
          </w14:textFill>
        </w:rPr>
        <w:t>开标时，投标人代表有权出席开标会，也可以自主决定不参加开标会，若投标人代表对开标过程提出异议，该投标人代表须同时出示本人身份证原件。</w:t>
      </w:r>
    </w:p>
    <w:p w14:paraId="16F72EAD">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现文：</w:t>
      </w:r>
      <w:r>
        <w:rPr>
          <w:rFonts w:hint="eastAsia" w:ascii="宋体" w:hAnsi="宋体" w:eastAsia="宋体" w:cs="宋体"/>
          <w:bCs/>
          <w:color w:val="000000" w:themeColor="text1"/>
          <w:kern w:val="0"/>
          <w:sz w:val="21"/>
          <w:szCs w:val="21"/>
          <w:highlight w:val="none"/>
          <w14:textFill>
            <w14:solidFill>
              <w14:schemeClr w14:val="tx1"/>
            </w14:solidFill>
          </w14:textFill>
        </w:rPr>
        <w:t>开标时，投标人代表有权参加现场开标或</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在线开标</w:t>
      </w:r>
      <w:r>
        <w:rPr>
          <w:rFonts w:hint="eastAsia" w:ascii="宋体" w:hAnsi="宋体" w:eastAsia="宋体" w:cs="宋体"/>
          <w:bCs/>
          <w:color w:val="000000" w:themeColor="text1"/>
          <w:kern w:val="0"/>
          <w:sz w:val="21"/>
          <w:szCs w:val="21"/>
          <w:highlight w:val="none"/>
          <w14:textFill>
            <w14:solidFill>
              <w14:schemeClr w14:val="tx1"/>
            </w14:solidFill>
          </w14:textFill>
        </w:rPr>
        <w:t>，也可以自主决定不参加开标，若投标人代表对开标过程有异议的，</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参加现场开标的应当在开标现场提出，同时出示本人身份证原件，招标人</w:t>
      </w:r>
      <w:r>
        <w:rPr>
          <w:rFonts w:hint="eastAsia" w:ascii="宋体" w:hAnsi="宋体" w:eastAsia="宋体" w:cs="宋体"/>
          <w:b/>
          <w:bCs/>
          <w:color w:val="000000" w:themeColor="text1"/>
          <w:kern w:val="0"/>
          <w:sz w:val="21"/>
          <w:szCs w:val="21"/>
          <w:highlight w:val="none"/>
          <w:u w:val="single"/>
          <w:lang w:eastAsia="zh-CN"/>
          <w14:textFill>
            <w14:solidFill>
              <w14:schemeClr w14:val="tx1"/>
            </w14:solidFill>
          </w14:textFill>
        </w:rPr>
        <w:t>或招标代理</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应当当场作出答复，并制作记录；参加在线开标的，投标人应通过交易平台在线提出，招标人</w:t>
      </w:r>
      <w:r>
        <w:rPr>
          <w:rFonts w:hint="eastAsia"/>
          <w:color w:val="000000" w:themeColor="text1"/>
          <w:highlight w:val="none"/>
          <w:lang w:eastAsia="zh-CN"/>
          <w14:textFill>
            <w14:solidFill>
              <w14:schemeClr w14:val="tx1"/>
            </w14:solidFill>
          </w14:textFill>
        </w:rPr>
        <w:t>或招标代理</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应通过交易平台答复，答复后方可结束开标。</w:t>
      </w:r>
    </w:p>
    <w:p w14:paraId="140A460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条款号：42.2</w:t>
      </w:r>
      <w:r>
        <w:rPr>
          <w:rFonts w:ascii="宋体" w:hAnsi="宋体" w:cs="宋体"/>
          <w:b/>
          <w:color w:val="000000" w:themeColor="text1"/>
          <w:sz w:val="21"/>
          <w:szCs w:val="21"/>
          <w:highlight w:val="none"/>
          <w14:textFill>
            <w14:solidFill>
              <w14:schemeClr w14:val="tx1"/>
            </w14:solidFill>
          </w14:textFill>
        </w:rPr>
        <w:t xml:space="preserve"> </w:t>
      </w:r>
      <w:r>
        <w:rPr>
          <w:rFonts w:hint="eastAsia" w:ascii="宋体" w:hAnsi="宋体" w:cs="宋体"/>
          <w:b/>
          <w:color w:val="000000" w:themeColor="text1"/>
          <w:sz w:val="21"/>
          <w:szCs w:val="21"/>
          <w:highlight w:val="none"/>
          <w14:textFill>
            <w14:solidFill>
              <w14:schemeClr w14:val="tx1"/>
            </w14:solidFill>
          </w14:textFill>
        </w:rPr>
        <w:t xml:space="preserve">               </w:t>
      </w:r>
      <w:r>
        <w:rPr>
          <w:rFonts w:hint="eastAsia" w:ascii="宋体" w:hAnsi="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b/>
          <w:color w:val="000000" w:themeColor="text1"/>
          <w:sz w:val="21"/>
          <w:szCs w:val="21"/>
          <w:highlight w:val="none"/>
          <w14:textFill>
            <w14:solidFill>
              <w14:schemeClr w14:val="tx1"/>
            </w14:solidFill>
          </w14:textFill>
        </w:rPr>
        <w:t>修改类型：修改</w:t>
      </w:r>
    </w:p>
    <w:p w14:paraId="5D2B0F92">
      <w:pPr>
        <w:pStyle w:val="34"/>
        <w:keepNext w:val="0"/>
        <w:keepLines w:val="0"/>
        <w:pageBreakBefore w:val="0"/>
        <w:widowControl w:val="0"/>
        <w:tabs>
          <w:tab w:val="left" w:pos="7380"/>
        </w:tabs>
        <w:kinsoku/>
        <w:wordWrap/>
        <w:overflowPunct/>
        <w:topLinePunct w:val="0"/>
        <w:autoSpaceDE/>
        <w:autoSpaceDN/>
        <w:bidi w:val="0"/>
        <w:adjustRightInd/>
        <w:snapToGrid w:val="0"/>
        <w:spacing w:after="0" w:line="360" w:lineRule="auto"/>
        <w:ind w:firstLine="422"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kern w:val="2"/>
          <w:sz w:val="21"/>
          <w:szCs w:val="21"/>
          <w:highlight w:val="none"/>
          <w14:textFill>
            <w14:solidFill>
              <w14:schemeClr w14:val="tx1"/>
            </w14:solidFill>
          </w14:textFill>
        </w:rPr>
        <w:t>评标委员会的组成：方式。</w:t>
      </w:r>
    </w:p>
    <w:p w14:paraId="6E0507B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方式一：评标委员会为综合评标委员会，负责资格审查及评标工作。</w:t>
      </w:r>
    </w:p>
    <w:p w14:paraId="15161352">
      <w:pPr>
        <w:keepNext w:val="0"/>
        <w:keepLines w:val="0"/>
        <w:pageBreakBefore w:val="0"/>
        <w:widowControl w:val="0"/>
        <w:pBdr>
          <w:bottom w:val="single" w:color="auto" w:sz="6" w:space="1"/>
        </w:pBd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方式二：评标委员会由技术评审组和经济评审组组成。其中：资格审查及技术评审由技术评标组负责，经济评审由经济评审组负责</w:t>
      </w:r>
      <w:r>
        <w:rPr>
          <w:rFonts w:hint="eastAsia" w:ascii="宋体" w:hAnsi="宋体" w:eastAsia="宋体" w:cs="宋体"/>
          <w:color w:val="000000" w:themeColor="text1"/>
          <w:sz w:val="21"/>
          <w:szCs w:val="21"/>
          <w:highlight w:val="none"/>
          <w14:textFill>
            <w14:solidFill>
              <w14:schemeClr w14:val="tx1"/>
            </w14:solidFill>
          </w14:textFill>
        </w:rPr>
        <w:t>。</w:t>
      </w:r>
    </w:p>
    <w:p w14:paraId="700A376A">
      <w:pPr>
        <w:keepNext w:val="0"/>
        <w:keepLines w:val="0"/>
        <w:pageBreakBefore w:val="0"/>
        <w:widowControl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评标委员会的组成：方式</w:t>
      </w:r>
      <w:r>
        <w:rPr>
          <w:rFonts w:hint="eastAsia" w:ascii="宋体" w:hAnsi="宋体" w:eastAsia="宋体" w:cs="宋体"/>
          <w:color w:val="000000" w:themeColor="text1"/>
          <w:szCs w:val="21"/>
          <w:highlight w:val="none"/>
          <w:u w:val="single"/>
          <w14:textFill>
            <w14:solidFill>
              <w14:schemeClr w14:val="tx1"/>
            </w14:solidFill>
          </w14:textFill>
        </w:rPr>
        <w:t>一</w:t>
      </w:r>
      <w:r>
        <w:rPr>
          <w:rFonts w:hint="eastAsia" w:ascii="宋体" w:hAnsi="宋体" w:eastAsia="宋体" w:cs="宋体"/>
          <w:color w:val="000000" w:themeColor="text1"/>
          <w:szCs w:val="21"/>
          <w:highlight w:val="none"/>
          <w14:textFill>
            <w14:solidFill>
              <w14:schemeClr w14:val="tx1"/>
            </w14:solidFill>
          </w14:textFill>
        </w:rPr>
        <w:t xml:space="preserve">。 </w:t>
      </w:r>
    </w:p>
    <w:p w14:paraId="39E74C96">
      <w:pPr>
        <w:keepNext w:val="0"/>
        <w:keepLines w:val="0"/>
        <w:pageBreakBefore w:val="0"/>
        <w:widowControl w:val="0"/>
        <w:pBdr>
          <w:bottom w:val="single" w:color="auto" w:sz="6" w:space="1"/>
        </w:pBd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方式一：评标委员会为综合评标委员会，负责资格审查及评标工作</w:t>
      </w:r>
      <w:r>
        <w:rPr>
          <w:rFonts w:hint="eastAsia" w:ascii="宋体" w:hAnsi="宋体" w:eastAsia="宋体" w:cs="宋体"/>
          <w:color w:val="000000" w:themeColor="text1"/>
          <w:sz w:val="21"/>
          <w:szCs w:val="21"/>
          <w:highlight w:val="none"/>
          <w14:textFill>
            <w14:solidFill>
              <w14:schemeClr w14:val="tx1"/>
            </w14:solidFill>
          </w14:textFill>
        </w:rPr>
        <w:t>。</w:t>
      </w:r>
    </w:p>
    <w:p w14:paraId="478C7A24">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条款号：43.1</w:t>
      </w: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b/>
          <w:color w:val="000000" w:themeColor="text1"/>
          <w:sz w:val="21"/>
          <w:szCs w:val="21"/>
          <w:highlight w:val="none"/>
          <w14:textFill>
            <w14:solidFill>
              <w14:schemeClr w14:val="tx1"/>
            </w14:solidFill>
          </w14:textFill>
        </w:rPr>
        <w:t>修改类型：修改</w:t>
      </w:r>
    </w:p>
    <w:p w14:paraId="623693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bCs/>
          <w:color w:val="000000" w:themeColor="text1"/>
          <w:sz w:val="21"/>
          <w:szCs w:val="21"/>
          <w:highlight w:val="none"/>
          <w14:textFill>
            <w14:solidFill>
              <w14:schemeClr w14:val="tx1"/>
            </w14:solidFill>
          </w14:textFill>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eastAsia="宋体" w:cs="宋体"/>
          <w:color w:val="000000" w:themeColor="text1"/>
          <w:sz w:val="21"/>
          <w:szCs w:val="21"/>
          <w:highlight w:val="none"/>
          <w14:textFill>
            <w14:solidFill>
              <w14:schemeClr w14:val="tx1"/>
            </w14:solidFill>
          </w14:textFill>
        </w:rPr>
        <w:t>。</w:t>
      </w:r>
    </w:p>
    <w:p w14:paraId="6605C36B">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bCs/>
          <w:color w:val="000000" w:themeColor="text1"/>
          <w:kern w:val="0"/>
          <w:sz w:val="21"/>
          <w:szCs w:val="21"/>
          <w:highlight w:val="none"/>
          <w14:textFill>
            <w14:solidFill>
              <w14:schemeClr w14:val="tx1"/>
            </w14:solidFill>
          </w14:textFill>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评委发现资格审查文件中含义不明确、对同类问题表述不一致、有明显文字和计算错误的，应当要求投标人作必要的澄清、说明后再判定投标人是否通过资格审查，不得直接认定其不通过资格审查</w:t>
      </w:r>
      <w:r>
        <w:rPr>
          <w:rFonts w:hint="eastAsia" w:ascii="宋体" w:hAnsi="宋体" w:eastAsia="宋体" w:cs="宋体"/>
          <w:color w:val="000000" w:themeColor="text1"/>
          <w:sz w:val="21"/>
          <w:szCs w:val="21"/>
          <w:highlight w:val="none"/>
          <w14:textFill>
            <w14:solidFill>
              <w14:schemeClr w14:val="tx1"/>
            </w14:solidFill>
          </w14:textFill>
        </w:rPr>
        <w:t>。</w:t>
      </w:r>
    </w:p>
    <w:p w14:paraId="7D4179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条款号：44.1</w:t>
      </w:r>
      <w:r>
        <w:rPr>
          <w:rFonts w:hint="eastAsia" w:ascii="宋体" w:hAnsi="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b/>
          <w:color w:val="000000" w:themeColor="text1"/>
          <w:sz w:val="21"/>
          <w:szCs w:val="21"/>
          <w:highlight w:val="none"/>
          <w14:textFill>
            <w14:solidFill>
              <w14:schemeClr w14:val="tx1"/>
            </w14:solidFill>
          </w14:textFill>
        </w:rPr>
        <w:t>修改类型：修改</w:t>
      </w:r>
    </w:p>
    <w:p w14:paraId="5E4A89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bCs/>
          <w:color w:val="000000" w:themeColor="text1"/>
          <w:kern w:val="0"/>
          <w:sz w:val="21"/>
          <w:szCs w:val="21"/>
          <w:highlight w:val="none"/>
          <w14:textFill>
            <w14:solidFill>
              <w14:schemeClr w14:val="tx1"/>
            </w14:solidFill>
          </w14:textFill>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w:t>
      </w:r>
    </w:p>
    <w:p w14:paraId="1BB4C491">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bCs/>
          <w:color w:val="000000" w:themeColor="text1"/>
          <w:kern w:val="0"/>
          <w:sz w:val="21"/>
          <w:szCs w:val="21"/>
          <w:highlight w:val="none"/>
          <w14:textFill>
            <w14:solidFill>
              <w14:schemeClr w14:val="tx1"/>
            </w14:solidFill>
          </w14:textFill>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eastAsia="宋体" w:cs="宋体"/>
          <w:b/>
          <w:color w:val="000000" w:themeColor="text1"/>
          <w:kern w:val="0"/>
          <w:sz w:val="21"/>
          <w:szCs w:val="21"/>
          <w:highlight w:val="none"/>
          <w:u w:val="single"/>
          <w14:textFill>
            <w14:solidFill>
              <w14:schemeClr w14:val="tx1"/>
            </w14:solidFill>
          </w14:textFill>
        </w:rPr>
        <w:t>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eastAsia="宋体" w:cs="宋体"/>
          <w:color w:val="000000" w:themeColor="text1"/>
          <w:sz w:val="21"/>
          <w:szCs w:val="21"/>
          <w:highlight w:val="none"/>
          <w14:textFill>
            <w14:solidFill>
              <w14:schemeClr w14:val="tx1"/>
            </w14:solidFill>
          </w14:textFill>
        </w:rPr>
        <w:t>。</w:t>
      </w:r>
    </w:p>
    <w:p w14:paraId="26D226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w:t>
      </w:r>
      <w:r>
        <w:rPr>
          <w:rFonts w:hint="eastAsia" w:ascii="仿宋" w:hAnsi="仿宋" w:eastAsia="仿宋" w:cs="仿宋"/>
          <w:b/>
          <w:color w:val="000000" w:themeColor="text1"/>
          <w:szCs w:val="21"/>
          <w:highlight w:val="none"/>
          <w14:textFill>
            <w14:solidFill>
              <w14:schemeClr w14:val="tx1"/>
            </w14:solidFill>
          </w14:textFill>
        </w:rPr>
        <w:t>44.2</w:t>
      </w:r>
      <w:r>
        <w:rPr>
          <w:rFonts w:hint="eastAsia" w:ascii="宋体" w:hAnsi="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b/>
          <w:color w:val="000000" w:themeColor="text1"/>
          <w:sz w:val="21"/>
          <w:szCs w:val="21"/>
          <w:highlight w:val="none"/>
          <w14:textFill>
            <w14:solidFill>
              <w14:schemeClr w14:val="tx1"/>
            </w14:solidFill>
          </w14:textFill>
        </w:rPr>
        <w:t>修改类型：修改</w:t>
      </w:r>
    </w:p>
    <w:p w14:paraId="4127A1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sz w:val="21"/>
          <w:szCs w:val="21"/>
          <w:highlight w:val="none"/>
          <w14:textFill>
            <w14:solidFill>
              <w14:schemeClr w14:val="tx1"/>
            </w14:solidFill>
          </w14:textFill>
        </w:rPr>
        <w:t>技术标详细审查评分：评标委员会按照附表四《技术标详细审查评分表》的标准，对通过技术标有效性审查的投标文件技术标进行详细审查，评出技术分，得分四舍五入精确到小数点后两位</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p w14:paraId="2FDD19A9">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sz w:val="21"/>
          <w:szCs w:val="21"/>
          <w:highlight w:val="none"/>
          <w14:textFill>
            <w14:solidFill>
              <w14:schemeClr w14:val="tx1"/>
            </w14:solidFill>
          </w14:textFill>
        </w:rPr>
        <w:t>技术标详细审查评分：评标委员会按照附表四《技术标详细审查评分表》的标准，对通过技术标有效性审查的投标文件技术标进行详细审查，评出技术分，</w:t>
      </w:r>
      <w:r>
        <w:rPr>
          <w:rFonts w:hint="eastAsia" w:ascii="宋体" w:hAnsi="宋体" w:eastAsia="宋体" w:cs="宋体"/>
          <w:color w:val="000000" w:themeColor="text1"/>
          <w:sz w:val="21"/>
          <w:szCs w:val="21"/>
          <w:highlight w:val="none"/>
          <w:u w:val="single"/>
          <w14:textFill>
            <w14:solidFill>
              <w14:schemeClr w14:val="tx1"/>
            </w14:solidFill>
          </w14:textFill>
        </w:rPr>
        <w:t>投标人的技术分为各评标委员会成员的评分的算术平均值（若分数出现小数点时，保留小数点后二位，第三位小数四舍五入）</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5582556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条款号：45.1</w:t>
      </w:r>
      <w:r>
        <w:rPr>
          <w:rFonts w:hint="eastAsia" w:ascii="宋体" w:hAnsi="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b/>
          <w:color w:val="000000" w:themeColor="text1"/>
          <w:sz w:val="21"/>
          <w:szCs w:val="21"/>
          <w:highlight w:val="none"/>
          <w14:textFill>
            <w14:solidFill>
              <w14:schemeClr w14:val="tx1"/>
            </w14:solidFill>
          </w14:textFill>
        </w:rPr>
        <w:t>修改类型：修改</w:t>
      </w:r>
    </w:p>
    <w:p w14:paraId="272193FB">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color w:val="000000" w:themeColor="text1"/>
          <w:sz w:val="21"/>
          <w:szCs w:val="21"/>
          <w:highlight w:val="none"/>
          <w14:textFill>
            <w14:solidFill>
              <w14:schemeClr w14:val="tx1"/>
            </w14:solidFill>
          </w14:textFill>
        </w:rPr>
        <w:t>若通过技术标有效性审查的投标人中所有投标报价均大于等于最高投标限价*D%（D的取值范围为[94,100],由招标人自主确定）的（具体金额为：</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元），则本项目招标失败，由招标人依法重新招标</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p w14:paraId="4795E0B4">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bCs/>
          <w:color w:val="000000" w:themeColor="text1"/>
          <w:kern w:val="0"/>
          <w:sz w:val="21"/>
          <w:szCs w:val="21"/>
          <w:highlight w:val="none"/>
          <w14:textFill>
            <w14:solidFill>
              <w14:schemeClr w14:val="tx1"/>
            </w14:solidFill>
          </w14:textFill>
        </w:rPr>
        <w:t>若通过技术标有效性审查的投标人中所有投标报价均大于等于最高投标限价，</w:t>
      </w:r>
      <w:r>
        <w:rPr>
          <w:rFonts w:hint="eastAsia" w:ascii="宋体" w:hAnsi="宋体" w:eastAsia="宋体" w:cs="宋体"/>
          <w:b/>
          <w:color w:val="000000" w:themeColor="text1"/>
          <w:kern w:val="0"/>
          <w:sz w:val="21"/>
          <w:szCs w:val="21"/>
          <w:highlight w:val="none"/>
          <w:u w:val="single"/>
          <w14:textFill>
            <w14:solidFill>
              <w14:schemeClr w14:val="tx1"/>
            </w14:solidFill>
          </w14:textFill>
        </w:rPr>
        <w:t>则本项目招标失败，由招标人依法重新招标</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4319663C">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条款号：45.2             修改类型：</w:t>
      </w:r>
      <w:r>
        <w:rPr>
          <w:rFonts w:hint="eastAsia" w:ascii="宋体" w:hAnsi="宋体" w:cs="宋体"/>
          <w:b/>
          <w:color w:val="000000" w:themeColor="text1"/>
          <w:sz w:val="21"/>
          <w:szCs w:val="21"/>
          <w:highlight w:val="none"/>
          <w:lang w:val="en-US" w:eastAsia="zh-CN"/>
          <w14:textFill>
            <w14:solidFill>
              <w14:schemeClr w14:val="tx1"/>
            </w14:solidFill>
          </w14:textFill>
        </w:rPr>
        <w:t>删除</w:t>
      </w:r>
    </w:p>
    <w:p w14:paraId="38B1C522">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000000" w:themeColor="text1"/>
          <w:sz w:val="21"/>
          <w:szCs w:val="21"/>
          <w:highlight w:val="none"/>
          <w:lang w:val="en-US" w:eastAsia="zh-CN"/>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原文：</w:t>
      </w:r>
      <w:r>
        <w:rPr>
          <w:rFonts w:hint="eastAsia" w:ascii="宋体" w:hAnsi="宋体" w:cs="宋体"/>
          <w:b w:val="0"/>
          <w:bCs/>
          <w:color w:val="000000" w:themeColor="text1"/>
          <w:sz w:val="21"/>
          <w:szCs w:val="21"/>
          <w:highlight w:val="none"/>
          <w:lang w:val="en-US" w:eastAsia="zh-CN"/>
          <w14:textFill>
            <w14:solidFill>
              <w14:schemeClr w14:val="tx1"/>
            </w14:solidFill>
          </w14:textFill>
        </w:rPr>
        <w:t>45.2按方法</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color w:val="000000" w:themeColor="text1"/>
          <w:sz w:val="21"/>
          <w:szCs w:val="21"/>
          <w:highlight w:val="none"/>
          <w:lang w:val="en-US" w:eastAsia="zh-CN"/>
          <w14:textFill>
            <w14:solidFill>
              <w14:schemeClr w14:val="tx1"/>
            </w14:solidFill>
          </w14:textFill>
        </w:rPr>
        <w:t>计算评标参考价：</w:t>
      </w:r>
    </w:p>
    <w:p w14:paraId="6E3002F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方法一：加权平均法</w:t>
      </w:r>
    </w:p>
    <w:p w14:paraId="17BF0A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color w:val="000000" w:themeColor="text1"/>
          <w:sz w:val="21"/>
          <w:szCs w:val="21"/>
          <w:highlight w:val="none"/>
          <w14:textFill>
            <w14:solidFill>
              <w14:schemeClr w14:val="tx1"/>
            </w14:solidFill>
          </w14:textFill>
        </w:rPr>
      </w:pPr>
      <w:r>
        <w:rPr>
          <w:rFonts w:hint="eastAsia" w:ascii="宋体" w:hAnsi="宋体" w:cs="仿宋"/>
          <w:color w:val="000000" w:themeColor="text1"/>
          <w:sz w:val="21"/>
          <w:szCs w:val="21"/>
          <w:highlight w:val="none"/>
          <w14:textFill>
            <w14:solidFill>
              <w14:schemeClr w14:val="tx1"/>
            </w14:solidFill>
          </w14:textFill>
        </w:rPr>
        <w:t>技术标或技术标加诚信得分（具体由招标人自定）前</w:t>
      </w:r>
      <w:r>
        <w:rPr>
          <w:rFonts w:ascii="宋体" w:hAnsi="宋体" w:cs="仿宋"/>
          <w:color w:val="000000" w:themeColor="text1"/>
          <w:sz w:val="21"/>
          <w:szCs w:val="21"/>
          <w:highlight w:val="none"/>
          <w14:textFill>
            <w14:solidFill>
              <w14:schemeClr w14:val="tx1"/>
            </w14:solidFill>
          </w14:textFill>
        </w:rPr>
        <w:t>N</w:t>
      </w:r>
      <w:r>
        <w:rPr>
          <w:rFonts w:hint="eastAsia" w:ascii="宋体" w:hAnsi="宋体" w:cs="仿宋"/>
          <w:color w:val="000000" w:themeColor="text1"/>
          <w:sz w:val="21"/>
          <w:szCs w:val="21"/>
          <w:highlight w:val="none"/>
          <w14:textFill>
            <w14:solidFill>
              <w14:schemeClr w14:val="tx1"/>
            </w14:solidFill>
          </w14:textFill>
        </w:rPr>
        <w:t>名（N≥5，具体由招标人自定）的经济报价加权平均，计算评标参考价。公式如下：</w:t>
      </w:r>
    </w:p>
    <w:p w14:paraId="68E2C9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color w:val="000000" w:themeColor="text1"/>
          <w:sz w:val="21"/>
          <w:szCs w:val="21"/>
          <w:highlight w:val="none"/>
          <w14:textFill>
            <w14:solidFill>
              <w14:schemeClr w14:val="tx1"/>
            </w14:solidFill>
          </w14:textFill>
        </w:rPr>
      </w:pPr>
      <w:r>
        <w:rPr>
          <w:rFonts w:hint="eastAsia" w:ascii="宋体" w:hAnsi="宋体" w:cs="仿宋"/>
          <w:color w:val="000000" w:themeColor="text1"/>
          <w:sz w:val="21"/>
          <w:szCs w:val="21"/>
          <w:highlight w:val="none"/>
          <w14:textFill>
            <w14:solidFill>
              <w14:schemeClr w14:val="tx1"/>
            </w14:solidFill>
          </w14:textFill>
        </w:rPr>
        <w:t>评标参考价</w:t>
      </w:r>
      <w:r>
        <w:rPr>
          <w:rFonts w:ascii="宋体" w:hAnsi="宋体" w:cs="仿宋"/>
          <w:color w:val="000000" w:themeColor="text1"/>
          <w:sz w:val="21"/>
          <w:szCs w:val="21"/>
          <w:highlight w:val="none"/>
          <w14:textFill>
            <w14:solidFill>
              <w14:schemeClr w14:val="tx1"/>
            </w14:solidFill>
          </w14:textFill>
        </w:rPr>
        <w:t>=</w:t>
      </w:r>
      <w:r>
        <w:rPr>
          <w:rFonts w:hint="eastAsia" w:ascii="宋体" w:hAnsi="宋体" w:cs="仿宋"/>
          <w:color w:val="000000" w:themeColor="text1"/>
          <w:sz w:val="21"/>
          <w:szCs w:val="21"/>
          <w:highlight w:val="none"/>
          <w14:textFill>
            <w14:solidFill>
              <w14:schemeClr w14:val="tx1"/>
            </w14:solidFill>
          </w14:textFill>
        </w:rPr>
        <w:t>Σ（投标人的投标报价</w:t>
      </w:r>
      <w:r>
        <w:rPr>
          <w:rFonts w:ascii="宋体" w:hAnsi="宋体" w:cs="仿宋"/>
          <w:color w:val="000000" w:themeColor="text1"/>
          <w:sz w:val="21"/>
          <w:szCs w:val="21"/>
          <w:highlight w:val="none"/>
          <w14:textFill>
            <w14:solidFill>
              <w14:schemeClr w14:val="tx1"/>
            </w14:solidFill>
          </w14:textFill>
        </w:rPr>
        <w:t>*</w:t>
      </w:r>
      <w:r>
        <w:rPr>
          <w:rFonts w:hint="eastAsia" w:ascii="宋体" w:hAnsi="宋体" w:cs="仿宋"/>
          <w:color w:val="000000" w:themeColor="text1"/>
          <w:sz w:val="21"/>
          <w:szCs w:val="21"/>
          <w:highlight w:val="none"/>
          <w14:textFill>
            <w14:solidFill>
              <w14:schemeClr w14:val="tx1"/>
            </w14:solidFill>
          </w14:textFill>
        </w:rPr>
        <w:t>报价权重）。</w:t>
      </w:r>
    </w:p>
    <w:p w14:paraId="74BB444C">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0"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仿宋"/>
          <w:color w:val="000000" w:themeColor="text1"/>
          <w:sz w:val="21"/>
          <w:szCs w:val="21"/>
          <w:highlight w:val="none"/>
          <w14:textFill>
            <w14:solidFill>
              <w14:schemeClr w14:val="tx1"/>
            </w14:solidFill>
          </w14:textFill>
        </w:rPr>
        <w:t>其中：报价权重的计算方法为：将</w:t>
      </w:r>
      <w:r>
        <w:rPr>
          <w:rFonts w:ascii="宋体" w:hAnsi="宋体" w:cs="仿宋"/>
          <w:color w:val="000000" w:themeColor="text1"/>
          <w:sz w:val="21"/>
          <w:szCs w:val="21"/>
          <w:highlight w:val="none"/>
          <w14:textFill>
            <w14:solidFill>
              <w14:schemeClr w14:val="tx1"/>
            </w14:solidFill>
          </w14:textFill>
        </w:rPr>
        <w:t>N</w:t>
      </w:r>
      <w:r>
        <w:rPr>
          <w:rFonts w:hint="eastAsia" w:ascii="宋体" w:hAnsi="宋体" w:cs="仿宋"/>
          <w:color w:val="000000" w:themeColor="text1"/>
          <w:sz w:val="21"/>
          <w:szCs w:val="21"/>
          <w:highlight w:val="none"/>
          <w14:textFill>
            <w14:solidFill>
              <w14:schemeClr w14:val="tx1"/>
            </w14:solidFill>
          </w14:textFill>
        </w:rPr>
        <w:t>名投标人按技术分由高至低进行排序，第一名投标人的权重为（</w:t>
      </w:r>
      <w:r>
        <w:rPr>
          <w:rFonts w:ascii="宋体" w:hAnsi="宋体" w:cs="仿宋"/>
          <w:color w:val="000000" w:themeColor="text1"/>
          <w:sz w:val="21"/>
          <w:szCs w:val="21"/>
          <w:highlight w:val="none"/>
          <w14:textFill>
            <w14:solidFill>
              <w14:schemeClr w14:val="tx1"/>
            </w14:solidFill>
          </w14:textFill>
        </w:rPr>
        <w:fldChar w:fldCharType="begin"/>
      </w:r>
      <w:r>
        <w:rPr>
          <w:rFonts w:ascii="宋体" w:hAnsi="宋体" w:cs="仿宋"/>
          <w:color w:val="000000" w:themeColor="text1"/>
          <w:sz w:val="21"/>
          <w:szCs w:val="21"/>
          <w:highlight w:val="none"/>
          <w14:textFill>
            <w14:solidFill>
              <w14:schemeClr w14:val="tx1"/>
            </w14:solidFill>
          </w14:textFill>
        </w:rPr>
        <w:instrText xml:space="preserve"> QUOTE </w:instrText>
      </w:r>
      <w:r>
        <w:rPr>
          <w:rFonts w:ascii="宋体" w:hAnsi="宋体"/>
          <w:color w:val="000000" w:themeColor="text1"/>
          <w:sz w:val="21"/>
          <w:szCs w:val="21"/>
          <w:highlight w:val="none"/>
          <w14:textFill>
            <w14:solidFill>
              <w14:schemeClr w14:val="tx1"/>
            </w14:solidFill>
          </w14:textFill>
        </w:rPr>
        <w:drawing>
          <wp:inline distT="0" distB="0" distL="0" distR="0">
            <wp:extent cx="381000" cy="447675"/>
            <wp:effectExtent l="0" t="0" r="0" b="8890"/>
            <wp:docPr id="10" name="图片 6"/>
            <wp:cNvGraphicFramePr/>
            <a:graphic xmlns:a="http://schemas.openxmlformats.org/drawingml/2006/main">
              <a:graphicData uri="http://schemas.openxmlformats.org/drawingml/2006/picture">
                <pic:pic xmlns:pic="http://schemas.openxmlformats.org/drawingml/2006/picture">
                  <pic:nvPicPr>
                    <pic:cNvPr id="10" name="图片 6"/>
                    <pic:cNvPicPr/>
                  </pic:nvPicPr>
                  <pic:blipFill>
                    <a:blip r:embed="rId11"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Pr>
          <w:rFonts w:ascii="宋体" w:hAnsi="宋体" w:cs="仿宋"/>
          <w:color w:val="000000" w:themeColor="text1"/>
          <w:sz w:val="21"/>
          <w:szCs w:val="21"/>
          <w:highlight w:val="none"/>
          <w14:textFill>
            <w14:solidFill>
              <w14:schemeClr w14:val="tx1"/>
            </w14:solidFill>
          </w14:textFill>
        </w:rPr>
        <w:fldChar w:fldCharType="separate"/>
      </w:r>
      <w:r>
        <w:rPr>
          <w:rFonts w:ascii="宋体" w:hAnsi="宋体"/>
          <w:color w:val="000000" w:themeColor="text1"/>
          <w:sz w:val="21"/>
          <w:szCs w:val="21"/>
          <w:highlight w:val="none"/>
          <w14:textFill>
            <w14:solidFill>
              <w14:schemeClr w14:val="tx1"/>
            </w14:solidFill>
          </w14:textFill>
        </w:rPr>
        <w:drawing>
          <wp:inline distT="0" distB="0" distL="0" distR="0">
            <wp:extent cx="381000" cy="447675"/>
            <wp:effectExtent l="0" t="0" r="0" b="889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1"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Pr>
          <w:rFonts w:ascii="宋体" w:hAnsi="宋体" w:cs="仿宋"/>
          <w:color w:val="000000" w:themeColor="text1"/>
          <w:sz w:val="21"/>
          <w:szCs w:val="21"/>
          <w:highlight w:val="none"/>
          <w14:textFill>
            <w14:solidFill>
              <w14:schemeClr w14:val="tx1"/>
            </w14:solidFill>
          </w14:textFill>
        </w:rPr>
        <w:fldChar w:fldCharType="end"/>
      </w:r>
      <w:r>
        <w:rPr>
          <w:rFonts w:hint="eastAsia" w:ascii="宋体" w:hAnsi="宋体" w:cs="仿宋"/>
          <w:color w:val="000000" w:themeColor="text1"/>
          <w:sz w:val="21"/>
          <w:szCs w:val="21"/>
          <w:highlight w:val="none"/>
          <w14:textFill>
            <w14:solidFill>
              <w14:schemeClr w14:val="tx1"/>
            </w14:solidFill>
          </w14:textFill>
        </w:rPr>
        <w:t>），第二名投标人的权重为（</w:t>
      </w:r>
      <w:r>
        <w:rPr>
          <w:rFonts w:ascii="宋体" w:hAnsi="宋体" w:cs="仿宋"/>
          <w:color w:val="000000" w:themeColor="text1"/>
          <w:sz w:val="21"/>
          <w:szCs w:val="21"/>
          <w:highlight w:val="none"/>
          <w14:textFill>
            <w14:solidFill>
              <w14:schemeClr w14:val="tx1"/>
            </w14:solidFill>
          </w14:textFill>
        </w:rPr>
        <w:fldChar w:fldCharType="begin"/>
      </w:r>
      <w:r>
        <w:rPr>
          <w:rFonts w:ascii="宋体" w:hAnsi="宋体" w:cs="仿宋"/>
          <w:color w:val="000000" w:themeColor="text1"/>
          <w:sz w:val="21"/>
          <w:szCs w:val="21"/>
          <w:highlight w:val="none"/>
          <w14:textFill>
            <w14:solidFill>
              <w14:schemeClr w14:val="tx1"/>
            </w14:solidFill>
          </w14:textFill>
        </w:rPr>
        <w:instrText xml:space="preserve"> QUOTE </w:instrText>
      </w:r>
      <w:r>
        <w:rPr>
          <w:rFonts w:ascii="宋体" w:hAnsi="宋体"/>
          <w:color w:val="000000" w:themeColor="text1"/>
          <w:position w:val="-23"/>
          <w:sz w:val="21"/>
          <w:szCs w:val="21"/>
          <w:highlight w:val="none"/>
          <w14:textFill>
            <w14:solidFill>
              <w14:schemeClr w14:val="tx1"/>
            </w14:solidFill>
          </w14:textFill>
        </w:rPr>
        <w:drawing>
          <wp:inline distT="0" distB="0" distL="0" distR="0">
            <wp:extent cx="323850" cy="400050"/>
            <wp:effectExtent l="0" t="0" r="0" b="0"/>
            <wp:docPr id="12" name="图片 4"/>
            <wp:cNvGraphicFramePr/>
            <a:graphic xmlns:a="http://schemas.openxmlformats.org/drawingml/2006/main">
              <a:graphicData uri="http://schemas.openxmlformats.org/drawingml/2006/picture">
                <pic:pic xmlns:pic="http://schemas.openxmlformats.org/drawingml/2006/picture">
                  <pic:nvPicPr>
                    <pic:cNvPr id="12" name="图片 4"/>
                    <pic:cNvPicPr/>
                  </pic:nvPicPr>
                  <pic:blipFill>
                    <a:blip r:embed="rId12"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color w:val="000000" w:themeColor="text1"/>
          <w:sz w:val="21"/>
          <w:szCs w:val="21"/>
          <w:highlight w:val="none"/>
          <w14:textFill>
            <w14:solidFill>
              <w14:schemeClr w14:val="tx1"/>
            </w14:solidFill>
          </w14:textFill>
        </w:rPr>
        <w:fldChar w:fldCharType="separate"/>
      </w:r>
      <w:r>
        <w:rPr>
          <w:rFonts w:ascii="宋体" w:hAnsi="宋体"/>
          <w:color w:val="000000" w:themeColor="text1"/>
          <w:position w:val="-23"/>
          <w:sz w:val="21"/>
          <w:szCs w:val="21"/>
          <w:highlight w:val="none"/>
          <w14:textFill>
            <w14:solidFill>
              <w14:schemeClr w14:val="tx1"/>
            </w14:solidFill>
          </w14:textFill>
        </w:rPr>
        <w:drawing>
          <wp:inline distT="0" distB="0" distL="0" distR="0">
            <wp:extent cx="323850" cy="400050"/>
            <wp:effectExtent l="0" t="0" r="0" b="0"/>
            <wp:docPr id="13" name="图片 3"/>
            <wp:cNvGraphicFramePr/>
            <a:graphic xmlns:a="http://schemas.openxmlformats.org/drawingml/2006/main">
              <a:graphicData uri="http://schemas.openxmlformats.org/drawingml/2006/picture">
                <pic:pic xmlns:pic="http://schemas.openxmlformats.org/drawingml/2006/picture">
                  <pic:nvPicPr>
                    <pic:cNvPr id="13" name="图片 3"/>
                    <pic:cNvPicPr/>
                  </pic:nvPicPr>
                  <pic:blipFill>
                    <a:blip r:embed="rId12"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color w:val="000000" w:themeColor="text1"/>
          <w:sz w:val="21"/>
          <w:szCs w:val="21"/>
          <w:highlight w:val="none"/>
          <w14:textFill>
            <w14:solidFill>
              <w14:schemeClr w14:val="tx1"/>
            </w14:solidFill>
          </w14:textFill>
        </w:rPr>
        <w:fldChar w:fldCharType="end"/>
      </w:r>
      <w:r>
        <w:rPr>
          <w:rFonts w:hint="eastAsia" w:ascii="宋体" w:hAnsi="宋体" w:cs="仿宋"/>
          <w:color w:val="000000" w:themeColor="text1"/>
          <w:sz w:val="21"/>
          <w:szCs w:val="21"/>
          <w:highlight w:val="none"/>
          <w14:textFill>
            <w14:solidFill>
              <w14:schemeClr w14:val="tx1"/>
            </w14:solidFill>
          </w14:textFill>
        </w:rPr>
        <w:t>），以此类推，最后一名投标人的权重为（</w:t>
      </w:r>
      <w:r>
        <w:rPr>
          <w:rFonts w:ascii="宋体" w:hAnsi="宋体" w:cs="仿宋"/>
          <w:color w:val="000000" w:themeColor="text1"/>
          <w:sz w:val="21"/>
          <w:szCs w:val="21"/>
          <w:highlight w:val="none"/>
          <w14:textFill>
            <w14:solidFill>
              <w14:schemeClr w14:val="tx1"/>
            </w14:solidFill>
          </w14:textFill>
        </w:rPr>
        <w:fldChar w:fldCharType="begin"/>
      </w:r>
      <w:r>
        <w:rPr>
          <w:rFonts w:ascii="宋体" w:hAnsi="宋体" w:cs="仿宋"/>
          <w:color w:val="000000" w:themeColor="text1"/>
          <w:sz w:val="21"/>
          <w:szCs w:val="21"/>
          <w:highlight w:val="none"/>
          <w14:textFill>
            <w14:solidFill>
              <w14:schemeClr w14:val="tx1"/>
            </w14:solidFill>
          </w14:textFill>
        </w:rPr>
        <w:instrText xml:space="preserve"> QUOTE </w:instrText>
      </w:r>
      <w:r>
        <w:rPr>
          <w:rFonts w:ascii="宋体" w:hAnsi="宋体"/>
          <w:color w:val="000000" w:themeColor="text1"/>
          <w:position w:val="-23"/>
          <w:sz w:val="21"/>
          <w:szCs w:val="21"/>
          <w:highlight w:val="none"/>
          <w14:textFill>
            <w14:solidFill>
              <w14:schemeClr w14:val="tx1"/>
            </w14:solidFill>
          </w14:textFill>
        </w:rPr>
        <w:drawing>
          <wp:inline distT="0" distB="0" distL="0" distR="0">
            <wp:extent cx="323850" cy="400050"/>
            <wp:effectExtent l="0" t="0" r="0" b="0"/>
            <wp:docPr id="14" name="图片 2"/>
            <wp:cNvGraphicFramePr/>
            <a:graphic xmlns:a="http://schemas.openxmlformats.org/drawingml/2006/main">
              <a:graphicData uri="http://schemas.openxmlformats.org/drawingml/2006/picture">
                <pic:pic xmlns:pic="http://schemas.openxmlformats.org/drawingml/2006/picture">
                  <pic:nvPicPr>
                    <pic:cNvPr id="14" name="图片 2"/>
                    <pic:cNvPicPr/>
                  </pic:nvPicPr>
                  <pic:blipFill>
                    <a:blip r:embed="rId13"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color w:val="000000" w:themeColor="text1"/>
          <w:sz w:val="21"/>
          <w:szCs w:val="21"/>
          <w:highlight w:val="none"/>
          <w14:textFill>
            <w14:solidFill>
              <w14:schemeClr w14:val="tx1"/>
            </w14:solidFill>
          </w14:textFill>
        </w:rPr>
        <w:fldChar w:fldCharType="separate"/>
      </w:r>
      <w:r>
        <w:rPr>
          <w:rFonts w:ascii="宋体" w:hAnsi="宋体"/>
          <w:color w:val="000000" w:themeColor="text1"/>
          <w:position w:val="-23"/>
          <w:sz w:val="21"/>
          <w:szCs w:val="21"/>
          <w:highlight w:val="none"/>
          <w14:textFill>
            <w14:solidFill>
              <w14:schemeClr w14:val="tx1"/>
            </w14:solidFill>
          </w14:textFill>
        </w:rPr>
        <w:drawing>
          <wp:inline distT="0" distB="0" distL="0" distR="0">
            <wp:extent cx="323850" cy="400050"/>
            <wp:effectExtent l="0" t="0" r="0" b="0"/>
            <wp:docPr id="15" name="图片 1"/>
            <wp:cNvGraphicFramePr/>
            <a:graphic xmlns:a="http://schemas.openxmlformats.org/drawingml/2006/main">
              <a:graphicData uri="http://schemas.openxmlformats.org/drawingml/2006/picture">
                <pic:pic xmlns:pic="http://schemas.openxmlformats.org/drawingml/2006/picture">
                  <pic:nvPicPr>
                    <pic:cNvPr id="15" name="图片 1"/>
                    <pic:cNvPicPr/>
                  </pic:nvPicPr>
                  <pic:blipFill>
                    <a:blip r:embed="rId13"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color w:val="000000" w:themeColor="text1"/>
          <w:sz w:val="21"/>
          <w:szCs w:val="21"/>
          <w:highlight w:val="none"/>
          <w14:textFill>
            <w14:solidFill>
              <w14:schemeClr w14:val="tx1"/>
            </w14:solidFill>
          </w14:textFill>
        </w:rPr>
        <w:fldChar w:fldCharType="end"/>
      </w:r>
      <w:r>
        <w:rPr>
          <w:rFonts w:hint="eastAsia" w:ascii="宋体" w:hAnsi="宋体" w:cs="仿宋"/>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1DAAD0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条款号：方法二：区间抽取法             修改类型：修改</w:t>
      </w:r>
    </w:p>
    <w:p w14:paraId="1D3EE54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原文：方法二：区间抽取法</w:t>
      </w:r>
    </w:p>
    <w:p w14:paraId="10F1558A">
      <w:pPr>
        <w:widowControl/>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6C0059E">
      <w:pPr>
        <w:widowControl/>
        <w:snapToGrid w:val="0"/>
        <w:spacing w:line="360" w:lineRule="auto"/>
        <w:ind w:firstLine="420" w:firstLineChars="200"/>
        <w:rPr>
          <w:rFonts w:hint="eastAsia" w:ascii="宋体" w:hAnsi="宋体" w:eastAsia="宋体" w:cs="宋体"/>
          <w:color w:val="000000" w:themeColor="text1"/>
          <w:kern w:val="0"/>
          <w:sz w:val="21"/>
          <w:szCs w:val="21"/>
          <w:highlight w:val="none"/>
          <w:vertAlign w:val="subscript"/>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评标参考价=（Q</w:t>
      </w:r>
      <w:r>
        <w:rPr>
          <w:rFonts w:hint="eastAsia" w:ascii="宋体" w:hAnsi="宋体" w:eastAsia="宋体" w:cs="宋体"/>
          <w:color w:val="000000" w:themeColor="text1"/>
          <w:kern w:val="0"/>
          <w:sz w:val="21"/>
          <w:szCs w:val="21"/>
          <w:highlight w:val="none"/>
          <w:vertAlign w:val="subscript"/>
          <w14:textFill>
            <w14:solidFill>
              <w14:schemeClr w14:val="tx1"/>
            </w14:solidFill>
          </w14:textFill>
        </w:rPr>
        <w:t>高</w:t>
      </w:r>
      <w:r>
        <w:rPr>
          <w:rFonts w:hint="eastAsia" w:ascii="宋体" w:hAnsi="宋体" w:eastAsia="宋体" w:cs="宋体"/>
          <w:color w:val="000000" w:themeColor="text1"/>
          <w:kern w:val="0"/>
          <w:sz w:val="21"/>
          <w:szCs w:val="21"/>
          <w:highlight w:val="none"/>
          <w14:textFill>
            <w14:solidFill>
              <w14:schemeClr w14:val="tx1"/>
            </w14:solidFill>
          </w14:textFill>
        </w:rPr>
        <w:t>-Q</w:t>
      </w:r>
      <w:r>
        <w:rPr>
          <w:rFonts w:hint="eastAsia" w:ascii="宋体" w:hAnsi="宋体" w:eastAsia="宋体" w:cs="宋体"/>
          <w:color w:val="000000" w:themeColor="text1"/>
          <w:kern w:val="0"/>
          <w:sz w:val="21"/>
          <w:szCs w:val="21"/>
          <w:highlight w:val="none"/>
          <w:vertAlign w:val="subscript"/>
          <w14:textFill>
            <w14:solidFill>
              <w14:schemeClr w14:val="tx1"/>
            </w14:solidFill>
          </w14:textFill>
        </w:rPr>
        <w:t>低</w:t>
      </w:r>
      <w:r>
        <w:rPr>
          <w:rFonts w:hint="eastAsia" w:ascii="宋体" w:hAnsi="宋体" w:eastAsia="宋体" w:cs="宋体"/>
          <w:color w:val="000000" w:themeColor="text1"/>
          <w:kern w:val="0"/>
          <w:sz w:val="21"/>
          <w:szCs w:val="21"/>
          <w:highlight w:val="none"/>
          <w14:textFill>
            <w14:solidFill>
              <w14:schemeClr w14:val="tx1"/>
            </w14:solidFill>
          </w14:textFill>
        </w:rPr>
        <w:t>）/100*Ｘ+Q</w:t>
      </w:r>
      <w:r>
        <w:rPr>
          <w:rFonts w:hint="eastAsia" w:ascii="宋体" w:hAnsi="宋体" w:eastAsia="宋体" w:cs="宋体"/>
          <w:color w:val="000000" w:themeColor="text1"/>
          <w:kern w:val="0"/>
          <w:sz w:val="21"/>
          <w:szCs w:val="21"/>
          <w:highlight w:val="none"/>
          <w:vertAlign w:val="subscript"/>
          <w14:textFill>
            <w14:solidFill>
              <w14:schemeClr w14:val="tx1"/>
            </w14:solidFill>
          </w14:textFill>
        </w:rPr>
        <w:t>低</w:t>
      </w:r>
    </w:p>
    <w:p w14:paraId="5CD21663">
      <w:pPr>
        <w:widowControl/>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Q</w:t>
      </w:r>
      <w:r>
        <w:rPr>
          <w:rFonts w:hint="eastAsia" w:ascii="宋体" w:hAnsi="宋体" w:eastAsia="宋体" w:cs="宋体"/>
          <w:color w:val="000000" w:themeColor="text1"/>
          <w:sz w:val="21"/>
          <w:szCs w:val="21"/>
          <w:highlight w:val="none"/>
          <w:vertAlign w:val="subscript"/>
          <w14:textFill>
            <w14:solidFill>
              <w14:schemeClr w14:val="tx1"/>
            </w14:solidFill>
          </w14:textFill>
        </w:rPr>
        <w:t>低</w:t>
      </w:r>
      <w:r>
        <w:rPr>
          <w:rFonts w:hint="eastAsia" w:ascii="宋体" w:hAnsi="宋体" w:eastAsia="宋体" w:cs="宋体"/>
          <w:color w:val="000000" w:themeColor="text1"/>
          <w:sz w:val="21"/>
          <w:szCs w:val="21"/>
          <w:highlight w:val="none"/>
          <w14:textFill>
            <w14:solidFill>
              <w14:schemeClr w14:val="tx1"/>
            </w14:solidFill>
          </w14:textFill>
        </w:rPr>
        <w:t>：为达到或超过技术标及格分数线的投标人最低报价与工程成本警示价两者中的较高值；</w:t>
      </w:r>
    </w:p>
    <w:p w14:paraId="7BC032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Q</w:t>
      </w:r>
      <w:r>
        <w:rPr>
          <w:rFonts w:hint="eastAsia" w:ascii="宋体" w:hAnsi="宋体" w:eastAsia="宋体" w:cs="宋体"/>
          <w:color w:val="000000" w:themeColor="text1"/>
          <w:kern w:val="0"/>
          <w:sz w:val="21"/>
          <w:szCs w:val="21"/>
          <w:highlight w:val="none"/>
          <w:vertAlign w:val="subscript"/>
          <w14:textFill>
            <w14:solidFill>
              <w14:schemeClr w14:val="tx1"/>
            </w14:solidFill>
          </w14:textFill>
        </w:rPr>
        <w:t>高</w:t>
      </w:r>
      <w:r>
        <w:rPr>
          <w:rFonts w:hint="eastAsia" w:ascii="宋体" w:hAnsi="宋体" w:eastAsia="宋体" w:cs="宋体"/>
          <w:color w:val="000000" w:themeColor="text1"/>
          <w:sz w:val="21"/>
          <w:szCs w:val="21"/>
          <w:highlight w:val="none"/>
          <w14:textFill>
            <w14:solidFill>
              <w14:schemeClr w14:val="tx1"/>
            </w14:solidFill>
          </w14:textFill>
        </w:rPr>
        <w:t>：为（最高投标限价*D%）（D的取值范围为[94,100],由招标人自定）</w:t>
      </w:r>
    </w:p>
    <w:p w14:paraId="3D0FEB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X:为等分点值，在开标前从[0,100]整数中随机抽取</w:t>
      </w:r>
    </w:p>
    <w:p w14:paraId="4192A905">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现文：区间抽取法</w:t>
      </w:r>
    </w:p>
    <w:p w14:paraId="481E20A5">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设立入围合格分数线（技术标得分</w:t>
      </w:r>
      <w:r>
        <w:rPr>
          <w:rFonts w:hint="eastAsia" w:ascii="宋体" w:hAnsi="宋体" w:cs="宋体"/>
          <w:color w:val="000000" w:themeColor="text1"/>
          <w:sz w:val="21"/>
          <w:szCs w:val="21"/>
          <w:highlight w:val="none"/>
          <w:lang w:val="en-US" w:eastAsia="zh-CN"/>
          <w14:textFill>
            <w14:solidFill>
              <w14:schemeClr w14:val="tx1"/>
            </w14:solidFill>
          </w14:textFill>
        </w:rPr>
        <w:t>70</w:t>
      </w:r>
      <w:r>
        <w:rPr>
          <w:rFonts w:hint="eastAsia" w:ascii="宋体" w:hAnsi="宋体" w:cs="宋体"/>
          <w:color w:val="000000" w:themeColor="text1"/>
          <w:sz w:val="21"/>
          <w:szCs w:val="21"/>
          <w:highlight w:val="none"/>
          <w14:textFill>
            <w14:solidFill>
              <w14:schemeClr w14:val="tx1"/>
            </w14:solidFill>
          </w14:textFill>
        </w:rPr>
        <w:t>分），达到或超过及格线的投标人的报价方能参与评标参考价的计算。将达到或超过技术标及格分数线的投标报价由低至高进行排列，按以下公式计算评标参考价，计算公式如下：</w:t>
      </w:r>
    </w:p>
    <w:p w14:paraId="02B102E9">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评标参考价=（Q高-Q低）/100*Ｘ+Q低</w:t>
      </w:r>
    </w:p>
    <w:p w14:paraId="62AFAE7A">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Q低：为达到或超过技术标及格分数线的投标人最低报价与工程成本警示价两者中的较高值；</w:t>
      </w:r>
    </w:p>
    <w:p w14:paraId="77606766">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Q高：为最高投标限价</w:t>
      </w:r>
    </w:p>
    <w:p w14:paraId="6B2F5A51">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X:为等分点值，在开标前从[0,100]整数中随机抽取</w:t>
      </w:r>
    </w:p>
    <w:p w14:paraId="6EF0BF4D">
      <w:pPr>
        <w:rPr>
          <w:rFonts w:hint="default"/>
          <w:color w:val="000000" w:themeColor="text1"/>
          <w:highlight w:val="none"/>
          <w:lang w:val="en-US" w:eastAsia="zh-CN"/>
          <w14:textFill>
            <w14:solidFill>
              <w14:schemeClr w14:val="tx1"/>
            </w14:solidFill>
          </w14:textFill>
        </w:rPr>
      </w:pPr>
    </w:p>
    <w:p w14:paraId="036EB88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条款号：45.3             修改类型：修改</w:t>
      </w:r>
    </w:p>
    <w:p w14:paraId="4644859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kern w:val="0"/>
          <w:sz w:val="21"/>
          <w:szCs w:val="21"/>
          <w:highlight w:val="none"/>
          <w14:textFill>
            <w14:solidFill>
              <w14:schemeClr w14:val="tx1"/>
            </w14:solidFill>
          </w14:textFill>
        </w:rPr>
        <w:t>45.3</w:t>
      </w:r>
      <w:r>
        <w:rPr>
          <w:rFonts w:hint="eastAsia" w:ascii="宋体" w:hAnsi="宋体" w:eastAsia="宋体" w:cs="宋体"/>
          <w:color w:val="000000" w:themeColor="text1"/>
          <w:sz w:val="21"/>
          <w:szCs w:val="21"/>
          <w:highlight w:val="none"/>
          <w14:textFill>
            <w14:solidFill>
              <w14:schemeClr w14:val="tx1"/>
            </w14:solidFill>
          </w14:textFill>
        </w:rPr>
        <w:t>当标价等于评标参考价时得100分，标价每高于评标参考价1%，扣1.5分，每低于评标参考价1%，扣1分，扣至0分为止，得出经济分，精确到小数点后两位。</w:t>
      </w:r>
    </w:p>
    <w:p w14:paraId="27AEC882">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b/>
          <w:bCs/>
          <w:color w:val="000000" w:themeColor="text1"/>
          <w:kern w:val="0"/>
          <w:sz w:val="21"/>
          <w:szCs w:val="21"/>
          <w:highlight w:val="none"/>
          <w14:textFill>
            <w14:solidFill>
              <w14:schemeClr w14:val="tx1"/>
            </w14:solidFill>
          </w14:textFill>
        </w:rPr>
        <w:t>45.3</w:t>
      </w:r>
      <w:r>
        <w:rPr>
          <w:rFonts w:hint="eastAsia" w:ascii="宋体" w:hAnsi="宋体" w:eastAsia="宋体" w:cs="宋体"/>
          <w:b/>
          <w:bCs/>
          <w:color w:val="000000" w:themeColor="text1"/>
          <w:sz w:val="21"/>
          <w:szCs w:val="21"/>
          <w:highlight w:val="none"/>
          <w14:textFill>
            <w14:solidFill>
              <w14:schemeClr w14:val="tx1"/>
            </w14:solidFill>
          </w14:textFill>
        </w:rPr>
        <w:t>当标价等于评标参考价时得100分，标价每高于评标参考价1%，扣</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分，每低于评标参考价1%，扣</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0.5</w:t>
      </w:r>
      <w:r>
        <w:rPr>
          <w:rFonts w:hint="eastAsia" w:ascii="宋体" w:hAnsi="宋体" w:eastAsia="宋体" w:cs="宋体"/>
          <w:b/>
          <w:bCs/>
          <w:color w:val="000000" w:themeColor="text1"/>
          <w:sz w:val="21"/>
          <w:szCs w:val="21"/>
          <w:highlight w:val="none"/>
          <w14:textFill>
            <w14:solidFill>
              <w14:schemeClr w14:val="tx1"/>
            </w14:solidFill>
          </w14:textFill>
        </w:rPr>
        <w:t>分，扣至0分为止，得出经济分，精确到小数点后两位</w:t>
      </w:r>
      <w:r>
        <w:rPr>
          <w:rFonts w:hint="eastAsia" w:ascii="宋体" w:hAnsi="宋体" w:eastAsia="宋体" w:cs="宋体"/>
          <w:color w:val="000000" w:themeColor="text1"/>
          <w:sz w:val="21"/>
          <w:szCs w:val="21"/>
          <w:highlight w:val="none"/>
          <w14:textFill>
            <w14:solidFill>
              <w14:schemeClr w14:val="tx1"/>
            </w14:solidFill>
          </w14:textFill>
        </w:rPr>
        <w:t>。</w:t>
      </w:r>
    </w:p>
    <w:p w14:paraId="6AF8ECC5">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条款号：45.4             修改类型：修改</w:t>
      </w:r>
    </w:p>
    <w:p w14:paraId="3A1287D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r>
        <w:rPr>
          <w:rFonts w:hint="eastAsia" w:ascii="宋体" w:hAnsi="宋体" w:eastAsia="宋体" w:cs="宋体"/>
          <w:color w:val="000000" w:themeColor="text1"/>
          <w:sz w:val="21"/>
          <w:szCs w:val="21"/>
          <w:highlight w:val="none"/>
          <w14:textFill>
            <w14:solidFill>
              <w14:schemeClr w14:val="tx1"/>
            </w14:solidFill>
          </w14:textFill>
        </w:rPr>
        <w:t>。</w:t>
      </w:r>
    </w:p>
    <w:p w14:paraId="4EF723B4">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计算通过技术标有效性审查的投标人总得分。</w:t>
      </w:r>
      <w:r>
        <w:rPr>
          <w:rFonts w:hint="eastAsia" w:ascii="宋体" w:hAnsi="宋体" w:eastAsia="宋体" w:cs="宋体"/>
          <w:color w:val="000000" w:themeColor="text1"/>
          <w:szCs w:val="21"/>
          <w:highlight w:val="none"/>
          <w:u w:val="single"/>
          <w14:textFill>
            <w14:solidFill>
              <w14:schemeClr w14:val="tx1"/>
            </w14:solidFill>
          </w14:textFill>
        </w:rPr>
        <w:t>投标人总得分=技术得分（满分100分）×技术得分权重(20%)＋经济得分（满分100分）×经济得分权重(80%)。总得分四舍五入保留两位小数。总得分相同的</w:t>
      </w:r>
      <w:r>
        <w:rPr>
          <w:rFonts w:hint="eastAsia" w:ascii="宋体" w:hAnsi="宋体" w:eastAsia="宋体" w:cs="宋体"/>
          <w:color w:val="000000" w:themeColor="text1"/>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，以技术分较高的排前；技术分均相同的</w:t>
      </w:r>
      <w:r>
        <w:rPr>
          <w:rFonts w:hint="eastAsia" w:ascii="宋体" w:hAnsi="宋体" w:eastAsia="宋体" w:cs="宋体"/>
          <w:color w:val="000000" w:themeColor="text1"/>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，以投标报价较低的排前；如仍存在相同情况，则对具有相同情况的投标人，由评标委员会采用以差额选举的记名投票方式决定先后顺序，确定投标人的排序</w:t>
      </w:r>
      <w: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t>。</w:t>
      </w:r>
    </w:p>
    <w:p w14:paraId="6A6005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条款号：46.1             修改类型：修改</w:t>
      </w:r>
    </w:p>
    <w:p w14:paraId="13D617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bCs/>
          <w:color w:val="000000" w:themeColor="text1"/>
          <w:kern w:val="0"/>
          <w:sz w:val="21"/>
          <w:szCs w:val="21"/>
          <w:highlight w:val="none"/>
          <w14:textFill>
            <w14:solidFill>
              <w14:schemeClr w14:val="tx1"/>
            </w14:solidFill>
          </w14:textFill>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6778DD78">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bCs/>
          <w:color w:val="000000" w:themeColor="text1"/>
          <w:kern w:val="0"/>
          <w:sz w:val="21"/>
          <w:szCs w:val="21"/>
          <w:highlight w:val="none"/>
          <w14:textFill>
            <w14:solidFill>
              <w14:schemeClr w14:val="tx1"/>
            </w14:solidFill>
          </w14:textFill>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8404B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条款号：48.修改类型：修改</w:t>
      </w:r>
    </w:p>
    <w:p w14:paraId="75BCC8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kern w:val="0"/>
          <w:sz w:val="21"/>
          <w:szCs w:val="21"/>
          <w:highlight w:val="none"/>
          <w14:textFill>
            <w14:solidFill>
              <w14:schemeClr w14:val="tx1"/>
            </w14:solidFill>
          </w14:textFill>
        </w:rPr>
        <w:t>48.评标委员会应在通过投标文件经济标有效性审查的投标人中，按步骤45.4确定的投标人第二阶段排序，推荐前3名依次为第一中标候选人至第三中标候选人</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并编制评标报告</w:t>
      </w:r>
      <w:r>
        <w:rPr>
          <w:rFonts w:hint="eastAsia" w:ascii="宋体" w:hAnsi="宋体" w:eastAsia="宋体" w:cs="宋体"/>
          <w:color w:val="000000" w:themeColor="text1"/>
          <w:sz w:val="21"/>
          <w:szCs w:val="21"/>
          <w:highlight w:val="none"/>
          <w14:textFill>
            <w14:solidFill>
              <w14:schemeClr w14:val="tx1"/>
            </w14:solidFill>
          </w14:textFill>
        </w:rPr>
        <w:t>。</w:t>
      </w:r>
    </w:p>
    <w:p w14:paraId="55791531">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kern w:val="0"/>
          <w:sz w:val="21"/>
          <w:szCs w:val="21"/>
          <w:highlight w:val="none"/>
          <w14:textFill>
            <w14:solidFill>
              <w14:schemeClr w14:val="tx1"/>
            </w14:solidFill>
          </w14:textFill>
        </w:rPr>
        <w:t>48.评标委员会应在通过投标文件经济标有效性审查的投标人中，按步骤45.4确定的投标人排序，推荐前3名依次为第一中标候选人至第三中标候选人，并编制评标报告</w:t>
      </w:r>
      <w:r>
        <w:rPr>
          <w:rFonts w:hint="eastAsia" w:ascii="宋体" w:hAnsi="宋体" w:eastAsia="宋体" w:cs="宋体"/>
          <w:color w:val="000000" w:themeColor="text1"/>
          <w:sz w:val="21"/>
          <w:szCs w:val="21"/>
          <w:highlight w:val="none"/>
          <w14:textFill>
            <w14:solidFill>
              <w14:schemeClr w14:val="tx1"/>
            </w14:solidFill>
          </w14:textFill>
        </w:rPr>
        <w:t>。</w:t>
      </w:r>
    </w:p>
    <w:p w14:paraId="353194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color w:val="000000" w:themeColor="text1"/>
          <w:sz w:val="21"/>
          <w:szCs w:val="21"/>
          <w:highlight w:val="none"/>
          <w14:textFill>
            <w14:solidFill>
              <w14:schemeClr w14:val="tx1"/>
            </w14:solidFill>
          </w14:textFill>
        </w:rPr>
      </w:pPr>
    </w:p>
    <w:p w14:paraId="1809F3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color w:val="000000" w:themeColor="text1"/>
          <w:sz w:val="21"/>
          <w:szCs w:val="21"/>
          <w:highlight w:val="none"/>
          <w14:textFill>
            <w14:solidFill>
              <w14:schemeClr w14:val="tx1"/>
            </w14:solidFill>
          </w14:textFill>
        </w:rPr>
      </w:pPr>
    </w:p>
    <w:p w14:paraId="5BC8BC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注：以上修改，仅限于本范本中有可供选择条款的情形。</w:t>
      </w:r>
    </w:p>
    <w:p w14:paraId="0C4D547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（以下无正文）</w:t>
      </w:r>
    </w:p>
    <w:p w14:paraId="31791231">
      <w:pPr>
        <w:pStyle w:val="9"/>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73DDCEB">
      <w:pPr>
        <w:pStyle w:val="2"/>
        <w:ind w:firstLine="525"/>
        <w:rPr>
          <w:color w:val="000000" w:themeColor="text1"/>
          <w:highlight w:val="none"/>
          <w14:textFill>
            <w14:solidFill>
              <w14:schemeClr w14:val="tx1"/>
            </w14:solidFill>
          </w14:textFill>
        </w:rPr>
      </w:pPr>
      <w:bookmarkStart w:id="29" w:name="_Toc2272556"/>
      <w:bookmarkStart w:id="30" w:name="_Toc29427"/>
      <w:bookmarkStart w:id="31" w:name="_Toc5686"/>
      <w:r>
        <w:rPr>
          <w:rFonts w:hint="eastAsia"/>
          <w:color w:val="000000" w:themeColor="text1"/>
          <w:highlight w:val="none"/>
          <w14:textFill>
            <w14:solidFill>
              <w14:schemeClr w14:val="tx1"/>
            </w14:solidFill>
          </w14:textFill>
        </w:rPr>
        <w:t>二、开标、评标及定标办法</w:t>
      </w:r>
      <w:r>
        <w:rPr>
          <w:rFonts w:hint="eastAsia"/>
          <w:color w:val="000000" w:themeColor="text1"/>
          <w:szCs w:val="30"/>
          <w:highlight w:val="none"/>
          <w14:textFill>
            <w14:solidFill>
              <w14:schemeClr w14:val="tx1"/>
            </w14:solidFill>
          </w14:textFill>
        </w:rPr>
        <w:t>通用条款</w:t>
      </w:r>
      <w:bookmarkEnd w:id="29"/>
      <w:bookmarkEnd w:id="30"/>
      <w:bookmarkEnd w:id="31"/>
    </w:p>
    <w:p w14:paraId="5C9551E2">
      <w:pPr>
        <w:pStyle w:val="4"/>
        <w:spacing w:before="156" w:after="156"/>
        <w:ind w:firstLine="540" w:firstLineChars="200"/>
        <w:rPr>
          <w:color w:val="000000" w:themeColor="text1"/>
          <w:highlight w:val="none"/>
          <w14:textFill>
            <w14:solidFill>
              <w14:schemeClr w14:val="tx1"/>
            </w14:solidFill>
          </w14:textFill>
        </w:rPr>
      </w:pPr>
      <w:bookmarkStart w:id="32" w:name="_Toc981"/>
      <w:bookmarkStart w:id="33" w:name="_Toc26243"/>
      <w:bookmarkStart w:id="34" w:name="_Toc2272557"/>
      <w:r>
        <w:rPr>
          <w:rFonts w:hint="eastAsia"/>
          <w:color w:val="000000" w:themeColor="text1"/>
          <w:highlight w:val="none"/>
          <w14:textFill>
            <w14:solidFill>
              <w14:schemeClr w14:val="tx1"/>
            </w14:solidFill>
          </w14:textFill>
        </w:rPr>
        <w:t>（一）总则</w:t>
      </w:r>
      <w:bookmarkEnd w:id="32"/>
      <w:bookmarkEnd w:id="33"/>
      <w:bookmarkEnd w:id="34"/>
    </w:p>
    <w:p w14:paraId="44D3E43C">
      <w:pPr>
        <w:spacing w:line="360" w:lineRule="auto"/>
        <w:ind w:firstLine="480" w:firstLineChars="200"/>
        <w:rPr>
          <w:rFonts w:ascii="宋体" w:hAnsi="宋体"/>
          <w:b/>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35 </w:t>
      </w:r>
      <w:r>
        <w:rPr>
          <w:rFonts w:hint="eastAsia" w:ascii="宋体" w:hAnsi="宋体"/>
          <w:color w:val="000000" w:themeColor="text1"/>
          <w:sz w:val="24"/>
          <w:szCs w:val="24"/>
          <w:highlight w:val="none"/>
          <w14:textFill>
            <w14:solidFill>
              <w14:schemeClr w14:val="tx1"/>
            </w14:solidFill>
          </w14:textFill>
        </w:rPr>
        <w:t>开标、评标及定标所依据的规则</w:t>
      </w:r>
    </w:p>
    <w:p w14:paraId="164888F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35.1</w:t>
      </w:r>
      <w:r>
        <w:rPr>
          <w:rFonts w:hint="eastAsia" w:ascii="宋体" w:hAnsi="宋体"/>
          <w:color w:val="000000" w:themeColor="text1"/>
          <w:sz w:val="24"/>
          <w:szCs w:val="24"/>
          <w:highlight w:val="none"/>
          <w14:textFill>
            <w14:solidFill>
              <w14:schemeClr w14:val="tx1"/>
            </w14:solidFill>
          </w14:textFill>
        </w:rPr>
        <w:t>《中华人民共和国招标投标法》；</w:t>
      </w:r>
    </w:p>
    <w:p w14:paraId="7358860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35.2</w:t>
      </w:r>
      <w:r>
        <w:rPr>
          <w:rFonts w:hint="eastAsia" w:ascii="宋体" w:hAnsi="宋体"/>
          <w:color w:val="000000" w:themeColor="text1"/>
          <w:sz w:val="24"/>
          <w:szCs w:val="24"/>
          <w:highlight w:val="none"/>
          <w14:textFill>
            <w14:solidFill>
              <w14:schemeClr w14:val="tx1"/>
            </w14:solidFill>
          </w14:textFill>
        </w:rPr>
        <w:t>《中华人民共和国招标投标法实施条例》；</w:t>
      </w:r>
    </w:p>
    <w:p w14:paraId="1369C81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35.3</w:t>
      </w:r>
      <w:r>
        <w:rPr>
          <w:rFonts w:hint="eastAsia" w:ascii="宋体" w:hAnsi="宋体"/>
          <w:color w:val="000000" w:themeColor="text1"/>
          <w:sz w:val="24"/>
          <w:szCs w:val="24"/>
          <w:highlight w:val="none"/>
          <w14:textFill>
            <w14:solidFill>
              <w14:schemeClr w14:val="tx1"/>
            </w14:solidFill>
          </w14:textFill>
        </w:rPr>
        <w:t>《评标委员会和评标方法暂行规定》（七部委第</w:t>
      </w:r>
      <w:r>
        <w:rPr>
          <w:rFonts w:ascii="宋体" w:hAnsi="宋体"/>
          <w:color w:val="000000" w:themeColor="text1"/>
          <w:sz w:val="24"/>
          <w:szCs w:val="24"/>
          <w:highlight w:val="none"/>
          <w14:textFill>
            <w14:solidFill>
              <w14:schemeClr w14:val="tx1"/>
            </w14:solidFill>
          </w14:textFill>
        </w:rPr>
        <w:t>12</w:t>
      </w:r>
      <w:r>
        <w:rPr>
          <w:rFonts w:hint="eastAsia" w:ascii="宋体" w:hAnsi="宋体"/>
          <w:color w:val="000000" w:themeColor="text1"/>
          <w:sz w:val="24"/>
          <w:szCs w:val="24"/>
          <w:highlight w:val="none"/>
          <w14:textFill>
            <w14:solidFill>
              <w14:schemeClr w14:val="tx1"/>
            </w14:solidFill>
          </w14:textFill>
        </w:rPr>
        <w:t>号令）</w:t>
      </w:r>
    </w:p>
    <w:p w14:paraId="6965BA3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35.4</w:t>
      </w:r>
      <w:r>
        <w:rPr>
          <w:rFonts w:hint="eastAsia" w:ascii="宋体" w:hAnsi="宋体"/>
          <w:color w:val="000000" w:themeColor="text1"/>
          <w:sz w:val="24"/>
          <w:szCs w:val="24"/>
          <w:highlight w:val="none"/>
          <w14:textFill>
            <w14:solidFill>
              <w14:schemeClr w14:val="tx1"/>
            </w14:solidFill>
          </w14:textFill>
        </w:rPr>
        <w:t>《工程建设项目施工招标投标办法》（七部委</w:t>
      </w:r>
      <w:r>
        <w:rPr>
          <w:rFonts w:ascii="宋体" w:hAnsi="宋体"/>
          <w:color w:val="000000" w:themeColor="text1"/>
          <w:sz w:val="24"/>
          <w:szCs w:val="24"/>
          <w:highlight w:val="none"/>
          <w14:textFill>
            <w14:solidFill>
              <w14:schemeClr w14:val="tx1"/>
            </w14:solidFill>
          </w14:textFill>
        </w:rPr>
        <w:t>2003</w:t>
      </w:r>
      <w:r>
        <w:rPr>
          <w:rFonts w:hint="eastAsia" w:ascii="宋体" w:hAnsi="宋体"/>
          <w:color w:val="000000" w:themeColor="text1"/>
          <w:sz w:val="24"/>
          <w:szCs w:val="24"/>
          <w:highlight w:val="none"/>
          <w14:textFill>
            <w14:solidFill>
              <w14:schemeClr w14:val="tx1"/>
            </w14:solidFill>
          </w14:textFill>
        </w:rPr>
        <w:t>年第</w:t>
      </w:r>
      <w:r>
        <w:rPr>
          <w:rFonts w:ascii="宋体" w:hAnsi="宋体"/>
          <w:color w:val="000000" w:themeColor="text1"/>
          <w:sz w:val="24"/>
          <w:szCs w:val="24"/>
          <w:highlight w:val="non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号令）</w:t>
      </w:r>
    </w:p>
    <w:p w14:paraId="0EE69B8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35.5</w:t>
      </w:r>
      <w:r>
        <w:rPr>
          <w:rFonts w:hint="eastAsia" w:ascii="宋体" w:hAnsi="宋体"/>
          <w:color w:val="000000" w:themeColor="text1"/>
          <w:sz w:val="24"/>
          <w:szCs w:val="24"/>
          <w:highlight w:val="none"/>
          <w14:textFill>
            <w14:solidFill>
              <w14:schemeClr w14:val="tx1"/>
            </w14:solidFill>
          </w14:textFill>
        </w:rPr>
        <w:t>《广东省实施〈中华人民共和国招标投标法〉办法》；</w:t>
      </w:r>
    </w:p>
    <w:p w14:paraId="59C4E0E1">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35.6</w:t>
      </w:r>
      <w:r>
        <w:rPr>
          <w:rFonts w:hint="eastAsia" w:ascii="宋体" w:hAnsi="宋体"/>
          <w:color w:val="000000" w:themeColor="text1"/>
          <w:sz w:val="24"/>
          <w:szCs w:val="24"/>
          <w:highlight w:val="none"/>
          <w14:textFill>
            <w14:solidFill>
              <w14:schemeClr w14:val="tx1"/>
            </w14:solidFill>
          </w14:textFill>
        </w:rPr>
        <w:t>《房屋建筑和市政基础设施工程施工招标投标管理办法》（建设部令第</w:t>
      </w:r>
      <w:r>
        <w:rPr>
          <w:rFonts w:ascii="宋体" w:hAnsi="宋体"/>
          <w:color w:val="000000" w:themeColor="text1"/>
          <w:sz w:val="24"/>
          <w:szCs w:val="24"/>
          <w:highlight w:val="none"/>
          <w14:textFill>
            <w14:solidFill>
              <w14:schemeClr w14:val="tx1"/>
            </w14:solidFill>
          </w14:textFill>
        </w:rPr>
        <w:t>89</w:t>
      </w:r>
      <w:r>
        <w:rPr>
          <w:rFonts w:hint="eastAsia" w:ascii="宋体" w:hAnsi="宋体"/>
          <w:color w:val="000000" w:themeColor="text1"/>
          <w:sz w:val="24"/>
          <w:szCs w:val="24"/>
          <w:highlight w:val="none"/>
          <w14:textFill>
            <w14:solidFill>
              <w14:schemeClr w14:val="tx1"/>
            </w14:solidFill>
          </w14:textFill>
        </w:rPr>
        <w:t>号）</w:t>
      </w:r>
    </w:p>
    <w:p w14:paraId="1179018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35.7</w:t>
      </w:r>
      <w:r>
        <w:rPr>
          <w:rFonts w:hint="eastAsia" w:ascii="宋体" w:hAnsi="宋体"/>
          <w:color w:val="000000" w:themeColor="text1"/>
          <w:sz w:val="24"/>
          <w:szCs w:val="24"/>
          <w:highlight w:val="none"/>
          <w14:textFill>
            <w14:solidFill>
              <w14:schemeClr w14:val="tx1"/>
            </w14:solidFill>
          </w14:textFill>
        </w:rPr>
        <w:t>《广东省加强建设工程招标投标监督管理的若干规定》（粤发[2004]4号）；</w:t>
      </w:r>
    </w:p>
    <w:p w14:paraId="6B99F18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35.8《广州市工程建设项目招标投标管理办法》（穗建规字〔2023〕12号）；35.9本项目招标文件。</w:t>
      </w:r>
    </w:p>
    <w:p w14:paraId="18B971E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36</w:t>
      </w:r>
      <w:r>
        <w:rPr>
          <w:rFonts w:hint="eastAsia" w:ascii="宋体" w:hAnsi="宋体"/>
          <w:color w:val="000000" w:themeColor="text1"/>
          <w:sz w:val="24"/>
          <w:szCs w:val="24"/>
          <w:highlight w:val="none"/>
          <w14:textFill>
            <w14:solidFill>
              <w14:schemeClr w14:val="tx1"/>
            </w14:solidFill>
          </w14:textFill>
        </w:rPr>
        <w:t>．开标</w:t>
      </w:r>
    </w:p>
    <w:p w14:paraId="7D89F53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36.1 </w:t>
      </w:r>
      <w:r>
        <w:rPr>
          <w:rFonts w:hint="eastAsia" w:ascii="宋体" w:hAnsi="宋体"/>
          <w:color w:val="000000" w:themeColor="text1"/>
          <w:sz w:val="24"/>
          <w:szCs w:val="24"/>
          <w:highlight w:val="none"/>
          <w14:textFill>
            <w14:solidFill>
              <w14:schemeClr w14:val="tx1"/>
            </w14:solidFill>
          </w14:textFill>
        </w:rPr>
        <w:t>招标人按投标须知前附表第18项所规定的时间和地点公开开标，并邀请所有投标人参加。截标后，开标开始时间因故推迟的，相关评标信息仍以原定的开标开始时间的信息为准。</w:t>
      </w:r>
    </w:p>
    <w:p w14:paraId="5E5743D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36.2</w:t>
      </w:r>
      <w:r>
        <w:rPr>
          <w:rFonts w:hint="eastAsia" w:ascii="宋体" w:hAnsi="宋体"/>
          <w:color w:val="000000" w:themeColor="text1"/>
          <w:sz w:val="24"/>
          <w:szCs w:val="24"/>
          <w:highlight w:val="none"/>
          <w14:textFill>
            <w14:solidFill>
              <w14:schemeClr w14:val="tx1"/>
            </w14:solidFill>
          </w14:textFill>
        </w:rPr>
        <w:t xml:space="preserve"> 招标人在招标文件要求提交投标文件的截止时间前收到的投标文件，开标时都当众予以解密、公布。</w:t>
      </w:r>
    </w:p>
    <w:p w14:paraId="02C7374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0B31088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36.4若递交投标文件的投标人不足3家，则重新组织招标。（当</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个标段同时招标且不允许兼中时，若有效投标人不足</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2家，则重新组织招标）</w:t>
      </w:r>
    </w:p>
    <w:p w14:paraId="5EFA2A4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36.5按下列程序进行开标：</w:t>
      </w:r>
    </w:p>
    <w:p w14:paraId="7DA4942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36.5.1在投标截止时间后半小时内，投标人通过</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3C835E6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36.5.2备用光盘的读取按投标须知前附表第36项的规定执行；</w:t>
      </w:r>
    </w:p>
    <w:p w14:paraId="45F0991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36.5.3投标人代表、招标人代表、监标人、记录人等有关人员在开标记录上签字确认；若有关人员不签字的，不影响开标程序；</w:t>
      </w:r>
    </w:p>
    <w:p w14:paraId="614133F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36.5.4开标结束。</w:t>
      </w:r>
    </w:p>
    <w:p w14:paraId="5543A32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338541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36.7开标时，两个（含两个）以上的投标人加密打包投标文件电脑机器特征码一致的，不参与下一程序，并由评标委员会否决其投标。</w:t>
      </w:r>
    </w:p>
    <w:p w14:paraId="0E07C15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．评标</w:t>
      </w:r>
    </w:p>
    <w:p w14:paraId="33F6F2E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37.1</w:t>
      </w:r>
      <w:r>
        <w:rPr>
          <w:rFonts w:hint="eastAsia" w:ascii="宋体" w:hAnsi="宋体"/>
          <w:color w:val="000000" w:themeColor="text1"/>
          <w:sz w:val="24"/>
          <w:szCs w:val="24"/>
          <w:highlight w:val="none"/>
          <w14:textFill>
            <w14:solidFill>
              <w14:schemeClr w14:val="tx1"/>
            </w14:solidFill>
          </w14:textFill>
        </w:rPr>
        <w:t>评标委员会由招标人依法组建。</w:t>
      </w:r>
    </w:p>
    <w:p w14:paraId="7207C17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37.2</w:t>
      </w:r>
      <w:r>
        <w:rPr>
          <w:rFonts w:hint="eastAsia" w:ascii="宋体" w:hAnsi="宋体"/>
          <w:color w:val="000000" w:themeColor="text1"/>
          <w:sz w:val="24"/>
          <w:szCs w:val="24"/>
          <w:highlight w:val="none"/>
          <w14:textFill>
            <w14:solidFill>
              <w14:schemeClr w14:val="tx1"/>
            </w14:solidFill>
          </w14:textFill>
        </w:rPr>
        <w:t>评标委员会的职责及守则：</w:t>
      </w:r>
    </w:p>
    <w:p w14:paraId="6234EA7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37.2.1</w:t>
      </w:r>
      <w:r>
        <w:rPr>
          <w:rFonts w:hint="eastAsia" w:ascii="宋体" w:hAnsi="宋体"/>
          <w:color w:val="000000" w:themeColor="text1"/>
          <w:sz w:val="24"/>
          <w:szCs w:val="24"/>
          <w:highlight w:val="none"/>
          <w14:textFill>
            <w14:solidFill>
              <w14:schemeClr w14:val="tx1"/>
            </w14:solidFill>
          </w14:textFill>
        </w:rPr>
        <w:t>根据评标细则，对</w:t>
      </w:r>
      <w:r>
        <w:rPr>
          <w:rFonts w:hint="eastAsia" w:ascii="宋体" w:hAnsi="宋体"/>
          <w:color w:val="000000" w:themeColor="text1"/>
          <w:sz w:val="24"/>
          <w:highlight w:val="none"/>
          <w14:textFill>
            <w14:solidFill>
              <w14:schemeClr w14:val="tx1"/>
            </w14:solidFill>
          </w14:textFill>
        </w:rPr>
        <w:t>投标文件</w:t>
      </w:r>
      <w:r>
        <w:rPr>
          <w:rFonts w:hint="eastAsia" w:ascii="宋体" w:hAnsi="宋体"/>
          <w:color w:val="000000" w:themeColor="text1"/>
          <w:sz w:val="24"/>
          <w:szCs w:val="24"/>
          <w:highlight w:val="none"/>
          <w14:textFill>
            <w14:solidFill>
              <w14:schemeClr w14:val="tx1"/>
            </w14:solidFill>
          </w14:textFill>
        </w:rPr>
        <w:t>进行认真评审，完成评审报告；</w:t>
      </w:r>
    </w:p>
    <w:p w14:paraId="75CF576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37.2.2</w:t>
      </w:r>
      <w:r>
        <w:rPr>
          <w:rFonts w:hint="eastAsia" w:ascii="宋体" w:hAnsi="宋体"/>
          <w:color w:val="000000" w:themeColor="text1"/>
          <w:sz w:val="24"/>
          <w:szCs w:val="24"/>
          <w:highlight w:val="none"/>
          <w14:textFill>
            <w14:solidFill>
              <w14:schemeClr w14:val="tx1"/>
            </w14:solidFill>
          </w14:textFill>
        </w:rPr>
        <w:t>向招标人报告评审意见，推荐合格的中标候选人。</w:t>
      </w:r>
    </w:p>
    <w:p w14:paraId="583C1211">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37.2.3</w:t>
      </w:r>
      <w:r>
        <w:rPr>
          <w:rFonts w:hint="eastAsia" w:ascii="宋体" w:hAnsi="宋体"/>
          <w:color w:val="000000" w:themeColor="text1"/>
          <w:sz w:val="24"/>
          <w:szCs w:val="24"/>
          <w:highlight w:val="none"/>
          <w14:textFill>
            <w14:solidFill>
              <w14:schemeClr w14:val="tx1"/>
            </w14:solidFill>
          </w14:textFill>
        </w:rPr>
        <w:t>所有参加评标人员必须遵守国家、地方政府制定的有关工程招标投标的法则、规定，遵守有关工程招标投标的保密制度；如有违反者，给予行政处分；情节严重，构成犯罪的，由司法机关依法追究其刑事责任。</w:t>
      </w:r>
    </w:p>
    <w:p w14:paraId="312703A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37.2.4</w:t>
      </w:r>
      <w:r>
        <w:rPr>
          <w:rFonts w:hint="eastAsia" w:ascii="宋体" w:hAnsi="宋体"/>
          <w:color w:val="000000" w:themeColor="text1"/>
          <w:sz w:val="24"/>
          <w:szCs w:val="24"/>
          <w:highlight w:val="none"/>
          <w14:textFill>
            <w14:solidFill>
              <w14:schemeClr w14:val="tx1"/>
            </w14:solidFill>
          </w14:textFill>
        </w:rPr>
        <w:t>全体参与评标人员：</w:t>
      </w:r>
    </w:p>
    <w:p w14:paraId="061FC19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37.2.4.1 </w:t>
      </w:r>
      <w:r>
        <w:rPr>
          <w:rFonts w:hint="eastAsia" w:ascii="宋体" w:hAnsi="宋体"/>
          <w:color w:val="000000" w:themeColor="text1"/>
          <w:sz w:val="24"/>
          <w:szCs w:val="24"/>
          <w:highlight w:val="none"/>
          <w14:textFill>
            <w14:solidFill>
              <w14:schemeClr w14:val="tx1"/>
            </w14:solidFill>
          </w14:textFill>
        </w:rPr>
        <w:t>必须遵守评标纪律、不得泄密；</w:t>
      </w:r>
    </w:p>
    <w:p w14:paraId="037639D4">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37.2.4.2 </w:t>
      </w:r>
      <w:r>
        <w:rPr>
          <w:rFonts w:hint="eastAsia" w:ascii="宋体" w:hAnsi="宋体"/>
          <w:color w:val="000000" w:themeColor="text1"/>
          <w:sz w:val="24"/>
          <w:szCs w:val="24"/>
          <w:highlight w:val="none"/>
          <w14:textFill>
            <w14:solidFill>
              <w14:schemeClr w14:val="tx1"/>
            </w14:solidFill>
          </w14:textFill>
        </w:rPr>
        <w:t>必须公正、不得徇私；</w:t>
      </w:r>
    </w:p>
    <w:p w14:paraId="719BF93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37.2.4.3 </w:t>
      </w:r>
      <w:r>
        <w:rPr>
          <w:rFonts w:hint="eastAsia" w:ascii="宋体" w:hAnsi="宋体"/>
          <w:color w:val="000000" w:themeColor="text1"/>
          <w:sz w:val="24"/>
          <w:szCs w:val="24"/>
          <w:highlight w:val="none"/>
          <w14:textFill>
            <w14:solidFill>
              <w14:schemeClr w14:val="tx1"/>
            </w14:solidFill>
          </w14:textFill>
        </w:rPr>
        <w:t>必须科学、不得草率；</w:t>
      </w:r>
    </w:p>
    <w:p w14:paraId="54D2E61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37.2.4.4 </w:t>
      </w:r>
      <w:r>
        <w:rPr>
          <w:rFonts w:hint="eastAsia" w:ascii="宋体" w:hAnsi="宋体"/>
          <w:color w:val="000000" w:themeColor="text1"/>
          <w:sz w:val="24"/>
          <w:szCs w:val="24"/>
          <w:highlight w:val="none"/>
          <w14:textFill>
            <w14:solidFill>
              <w14:schemeClr w14:val="tx1"/>
            </w14:solidFill>
          </w14:textFill>
        </w:rPr>
        <w:t>必须客观、不得带有成见；</w:t>
      </w:r>
    </w:p>
    <w:p w14:paraId="0BC9C04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37.2.4.5 </w:t>
      </w:r>
      <w:r>
        <w:rPr>
          <w:rFonts w:hint="eastAsia" w:ascii="宋体" w:hAnsi="宋体"/>
          <w:color w:val="000000" w:themeColor="text1"/>
          <w:sz w:val="24"/>
          <w:szCs w:val="24"/>
          <w:highlight w:val="none"/>
          <w14:textFill>
            <w14:solidFill>
              <w14:schemeClr w14:val="tx1"/>
            </w14:solidFill>
          </w14:textFill>
        </w:rPr>
        <w:t>必须平等、不得强加于人；</w:t>
      </w:r>
    </w:p>
    <w:p w14:paraId="5E817E18">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37.2.4.6 </w:t>
      </w:r>
      <w:r>
        <w:rPr>
          <w:rFonts w:hint="eastAsia" w:ascii="宋体" w:hAnsi="宋体"/>
          <w:color w:val="000000" w:themeColor="text1"/>
          <w:sz w:val="24"/>
          <w:szCs w:val="24"/>
          <w:highlight w:val="none"/>
          <w14:textFill>
            <w14:solidFill>
              <w14:schemeClr w14:val="tx1"/>
            </w14:solidFill>
          </w14:textFill>
        </w:rPr>
        <w:t>必须严谨、不得随意马虎。</w:t>
      </w:r>
    </w:p>
    <w:p w14:paraId="1F2839D2">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0FD1B561">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37.4评标结束后，评标委员会递交评标报告并依法推荐中标候选人。</w:t>
      </w:r>
    </w:p>
    <w:p w14:paraId="7B2BC261">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38</w:t>
      </w:r>
      <w:r>
        <w:rPr>
          <w:rFonts w:hint="eastAsia" w:ascii="宋体" w:hAnsi="宋体"/>
          <w:color w:val="000000" w:themeColor="text1"/>
          <w:sz w:val="24"/>
          <w:szCs w:val="24"/>
          <w:highlight w:val="none"/>
          <w14:textFill>
            <w14:solidFill>
              <w14:schemeClr w14:val="tx1"/>
            </w14:solidFill>
          </w14:textFill>
        </w:rPr>
        <w:t>．投标文件的澄清</w:t>
      </w:r>
    </w:p>
    <w:p w14:paraId="1F4F732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38.1</w:t>
      </w:r>
      <w:r>
        <w:rPr>
          <w:rFonts w:hint="eastAsia" w:ascii="宋体" w:hAnsi="宋体"/>
          <w:color w:val="000000" w:themeColor="text1"/>
          <w:sz w:val="24"/>
          <w:szCs w:val="24"/>
          <w:highlight w:val="none"/>
          <w14:textFill>
            <w14:solidFill>
              <w14:schemeClr w14:val="tx1"/>
            </w14:solidFill>
          </w14:textFill>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3DCEDF9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38.2 </w:t>
      </w:r>
      <w:r>
        <w:rPr>
          <w:rFonts w:hint="eastAsia" w:ascii="宋体" w:hAnsi="宋体"/>
          <w:color w:val="000000" w:themeColor="text1"/>
          <w:sz w:val="24"/>
          <w:szCs w:val="24"/>
          <w:highlight w:val="none"/>
          <w14:textFill>
            <w14:solidFill>
              <w14:schemeClr w14:val="tx1"/>
            </w14:solidFill>
          </w14:textFill>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55C622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38.3 </w:t>
      </w:r>
      <w:r>
        <w:rPr>
          <w:rFonts w:hint="eastAsia" w:ascii="宋体" w:hAnsi="宋体"/>
          <w:color w:val="000000" w:themeColor="text1"/>
          <w:sz w:val="24"/>
          <w:szCs w:val="24"/>
          <w:highlight w:val="none"/>
          <w14:textFill>
            <w14:solidFill>
              <w14:schemeClr w14:val="tx1"/>
            </w14:solidFill>
          </w14:textFill>
        </w:rPr>
        <w:t>评标委员会或评标委员会专业评审组成员均应当阅读投标人的澄清，但应独立参考澄清对投标文件进行评审。</w:t>
      </w:r>
    </w:p>
    <w:p w14:paraId="295E7F4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38.4</w:t>
      </w:r>
      <w:r>
        <w:rPr>
          <w:rFonts w:hint="eastAsia" w:ascii="宋体" w:hAnsi="宋体"/>
          <w:color w:val="000000" w:themeColor="text1"/>
          <w:sz w:val="24"/>
          <w:szCs w:val="24"/>
          <w:highlight w:val="none"/>
          <w14:textFill>
            <w14:solidFill>
              <w14:schemeClr w14:val="tx1"/>
            </w14:solidFill>
          </w14:textFill>
        </w:rPr>
        <w:t>如果投标文件实质上不响应招标文件的各项要求，评标委员会将按照符合性审查标准予以拒绝，不接受投标人通过修改或撤销其不符合要求的差异或保留，使之成为具有响应性的投标。</w:t>
      </w:r>
    </w:p>
    <w:p w14:paraId="58B6B49C">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4EEB2FB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39</w:t>
      </w:r>
      <w:r>
        <w:rPr>
          <w:rFonts w:hint="eastAsia" w:ascii="宋体" w:hAnsi="宋体"/>
          <w:color w:val="000000" w:themeColor="text1"/>
          <w:sz w:val="24"/>
          <w:szCs w:val="24"/>
          <w:highlight w:val="none"/>
          <w14:textFill>
            <w14:solidFill>
              <w14:schemeClr w14:val="tx1"/>
            </w14:solidFill>
          </w14:textFill>
        </w:rPr>
        <w:t>．定标</w:t>
      </w:r>
    </w:p>
    <w:p w14:paraId="6C953958">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39.1 </w:t>
      </w:r>
      <w:r>
        <w:rPr>
          <w:rFonts w:hint="eastAsia" w:ascii="宋体" w:hAnsi="宋体"/>
          <w:color w:val="000000" w:themeColor="text1"/>
          <w:sz w:val="24"/>
          <w:szCs w:val="24"/>
          <w:highlight w:val="none"/>
          <w14:textFill>
            <w14:solidFill>
              <w14:schemeClr w14:val="tx1"/>
            </w14:solidFill>
          </w14:textFill>
        </w:rPr>
        <w:t>招标人根据评标委员会递交的评标报告，最终审定中标人。</w:t>
      </w:r>
    </w:p>
    <w:p w14:paraId="67AE003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39.2 </w:t>
      </w:r>
      <w:r>
        <w:rPr>
          <w:rFonts w:hint="eastAsia" w:ascii="宋体" w:hAnsi="宋体"/>
          <w:color w:val="000000" w:themeColor="text1"/>
          <w:sz w:val="24"/>
          <w:szCs w:val="24"/>
          <w:highlight w:val="none"/>
          <w14:textFill>
            <w14:solidFill>
              <w14:schemeClr w14:val="tx1"/>
            </w14:solidFill>
          </w14:textFill>
        </w:rPr>
        <w:t>依法必须进行公开招标的项目，招标人应当确定排名第一的中标候选人为中标人。</w:t>
      </w:r>
    </w:p>
    <w:p w14:paraId="4180CAF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39.3</w:t>
      </w:r>
      <w:r>
        <w:rPr>
          <w:rFonts w:hint="eastAsia" w:ascii="宋体" w:hAnsi="宋体"/>
          <w:color w:val="000000" w:themeColor="text1"/>
          <w:sz w:val="24"/>
          <w:szCs w:val="24"/>
          <w:highlight w:val="none"/>
          <w14:textFill>
            <w14:solidFill>
              <w14:schemeClr w14:val="tx1"/>
            </w14:solidFill>
          </w14:textFill>
        </w:rPr>
        <w:t>排名第一的中标候选人放弃中标、或因不可抗力提出不能履行合同，或者招标文件规定应当提交履约担保而在规定的期限内未能提交的，招标人可以确定排名第二的中标候选人为中标人。</w:t>
      </w:r>
    </w:p>
    <w:p w14:paraId="0D4BCAB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39.4</w:t>
      </w:r>
      <w:r>
        <w:rPr>
          <w:rFonts w:hint="eastAsia" w:ascii="宋体" w:hAnsi="宋体"/>
          <w:color w:val="000000" w:themeColor="text1"/>
          <w:sz w:val="24"/>
          <w:szCs w:val="24"/>
          <w:highlight w:val="none"/>
          <w14:textFill>
            <w14:solidFill>
              <w14:schemeClr w14:val="tx1"/>
            </w14:solidFill>
          </w14:textFill>
        </w:rPr>
        <w:t>排名第二的中标候选人出现前款所列的情形的，招标人可以确定排名第三的中标候选人为中标人。以此类推，如所有中标候选人均出现前款所列的情形，为招标失败，招标人依法重新招标。</w:t>
      </w:r>
    </w:p>
    <w:p w14:paraId="27E7D5DB">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39.</w:t>
      </w:r>
      <w:r>
        <w:rPr>
          <w:rFonts w:hint="default" w:ascii="宋体" w:hAnsi="宋体"/>
          <w:color w:val="000000" w:themeColor="text1"/>
          <w:sz w:val="24"/>
          <w:szCs w:val="24"/>
          <w:highlight w:val="none"/>
          <w:lang w:val="en-US"/>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 xml:space="preserve"> 重新评标的，评标信息（含业绩、奖项等）仍以投标截止时投标人的信息为准。因特殊原因需要延长投标有效期，投标人拒绝延长投标有效期的，仍参与评标，但不被推荐为中标候选人。</w:t>
      </w:r>
    </w:p>
    <w:p w14:paraId="1C3B2EDA">
      <w:pPr>
        <w:pStyle w:val="4"/>
        <w:spacing w:before="156" w:after="156"/>
        <w:ind w:firstLine="540" w:firstLineChars="200"/>
        <w:rPr>
          <w:color w:val="000000" w:themeColor="text1"/>
          <w:highlight w:val="none"/>
          <w14:textFill>
            <w14:solidFill>
              <w14:schemeClr w14:val="tx1"/>
            </w14:solidFill>
          </w14:textFill>
        </w:rPr>
      </w:pPr>
      <w:bookmarkStart w:id="35" w:name="_Toc2272558"/>
      <w:bookmarkStart w:id="36" w:name="_Toc19477"/>
      <w:bookmarkStart w:id="37" w:name="_Toc9449"/>
      <w:r>
        <w:rPr>
          <w:rFonts w:hint="eastAsia"/>
          <w:color w:val="000000" w:themeColor="text1"/>
          <w:highlight w:val="none"/>
          <w14:textFill>
            <w14:solidFill>
              <w14:schemeClr w14:val="tx1"/>
            </w14:solidFill>
          </w14:textFill>
        </w:rPr>
        <w:t>（二）开标评标办法程序和细则</w:t>
      </w:r>
      <w:bookmarkEnd w:id="35"/>
      <w:bookmarkEnd w:id="36"/>
      <w:bookmarkEnd w:id="37"/>
    </w:p>
    <w:p w14:paraId="04AB697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注：以下评标办法所述企业综合诚信评价分数即投标截至当日</w:t>
      </w:r>
      <w:r>
        <w:rPr>
          <w:rFonts w:hint="eastAsia"/>
          <w:b/>
          <w:bCs/>
          <w:color w:val="000000" w:themeColor="text1"/>
          <w:sz w:val="24"/>
          <w:szCs w:val="24"/>
          <w:highlight w:val="none"/>
          <w14:textFill>
            <w14:solidFill>
              <w14:schemeClr w14:val="tx1"/>
            </w14:solidFill>
          </w14:textFill>
        </w:rPr>
        <w:t>广州市工程招标代理行业协会</w:t>
      </w:r>
      <w:r>
        <w:rPr>
          <w:rFonts w:hint="eastAsia" w:ascii="宋体" w:hAnsi="宋体"/>
          <w:color w:val="000000" w:themeColor="text1"/>
          <w:sz w:val="24"/>
          <w:szCs w:val="24"/>
          <w:highlight w:val="none"/>
          <w14:textFill>
            <w14:solidFill>
              <w14:schemeClr w14:val="tx1"/>
            </w14:solidFill>
          </w14:textFill>
        </w:rPr>
        <w:t>网站上公布的企业综合诚信评价</w:t>
      </w:r>
      <w:r>
        <w:rPr>
          <w:rFonts w:ascii="宋体" w:hAnsi="宋体"/>
          <w:color w:val="000000" w:themeColor="text1"/>
          <w:sz w:val="24"/>
          <w:szCs w:val="24"/>
          <w:highlight w:val="none"/>
          <w14:textFill>
            <w14:solidFill>
              <w14:schemeClr w14:val="tx1"/>
            </w14:solidFill>
          </w14:textFill>
        </w:rPr>
        <w:t>60</w:t>
      </w:r>
      <w:r>
        <w:rPr>
          <w:rFonts w:hint="eastAsia" w:ascii="宋体" w:hAnsi="宋体"/>
          <w:color w:val="000000" w:themeColor="text1"/>
          <w:sz w:val="24"/>
          <w:szCs w:val="24"/>
          <w:highlight w:val="none"/>
          <w14:textFill>
            <w14:solidFill>
              <w14:schemeClr w14:val="tx1"/>
            </w14:solidFill>
          </w14:textFill>
        </w:rPr>
        <w:t>日诚信分。</w:t>
      </w:r>
    </w:p>
    <w:p w14:paraId="2E8E2308">
      <w:pPr>
        <w:pStyle w:val="4"/>
        <w:spacing w:before="156" w:after="156"/>
        <w:ind w:firstLine="540" w:firstLineChars="200"/>
        <w:rPr>
          <w:color w:val="000000" w:themeColor="text1"/>
          <w:highlight w:val="none"/>
          <w14:textFill>
            <w14:solidFill>
              <w14:schemeClr w14:val="tx1"/>
            </w14:solidFill>
          </w14:textFill>
        </w:rPr>
      </w:pPr>
      <w:bookmarkStart w:id="38" w:name="_Toc2272564"/>
      <w:bookmarkStart w:id="39" w:name="_Toc10919"/>
      <w:bookmarkStart w:id="40" w:name="_Toc14960"/>
      <w:r>
        <w:rPr>
          <w:rFonts w:hint="eastAsia"/>
          <w:color w:val="000000" w:themeColor="text1"/>
          <w:highlight w:val="none"/>
          <w14:textFill>
            <w14:solidFill>
              <w14:schemeClr w14:val="tx1"/>
            </w14:solidFill>
          </w14:textFill>
        </w:rPr>
        <w:t>可选办法七（适合综合评分法四，技术标与经济标同时开启）</w:t>
      </w:r>
      <w:bookmarkEnd w:id="38"/>
      <w:bookmarkEnd w:id="39"/>
      <w:bookmarkEnd w:id="40"/>
    </w:p>
    <w:p w14:paraId="4D513280">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40．开标和评标程序</w:t>
      </w:r>
    </w:p>
    <w:p w14:paraId="0D33181A">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40.1技术标（含资格审查文件）与经济标投标文件同时公开开标；</w:t>
      </w:r>
    </w:p>
    <w:p w14:paraId="46798210">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40.2由评标委员会对所有已公开开标的投标人进行资格审查；</w:t>
      </w:r>
    </w:p>
    <w:p w14:paraId="4739B826">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40.3技术标投标文件有效性审查；</w:t>
      </w:r>
    </w:p>
    <w:p w14:paraId="0C59F181">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40.4技术标详细审查评分；</w:t>
      </w:r>
    </w:p>
    <w:p w14:paraId="6F0960B9">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40.5经济标详细审查评分；</w:t>
      </w:r>
    </w:p>
    <w:p w14:paraId="746ED29B">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40.6评标委员会按照投标人总得分由高至低排序；</w:t>
      </w:r>
    </w:p>
    <w:p w14:paraId="13084790">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40.7经济标投标文件有效性审查；</w:t>
      </w:r>
    </w:p>
    <w:p w14:paraId="5C59D047">
      <w:pPr>
        <w:snapToGrid w:val="0"/>
        <w:spacing w:line="360" w:lineRule="auto"/>
        <w:ind w:firstLine="480" w:firstLineChars="200"/>
        <w:rPr>
          <w:rFonts w:ascii="宋体"/>
          <w:color w:val="000000" w:themeColor="text1"/>
          <w:szCs w:val="21"/>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40.8评标委员会按排序向招标人推荐中标候选人名单，并递交资格审查报告及评标报告。</w:t>
      </w:r>
    </w:p>
    <w:p w14:paraId="075EBC5B">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41．开标细则</w:t>
      </w:r>
    </w:p>
    <w:p w14:paraId="2ACCFF91">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41.1开标由招标人主持；</w:t>
      </w:r>
    </w:p>
    <w:p w14:paraId="1A871298">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 细则</w:t>
      </w:r>
    </w:p>
    <w:p w14:paraId="1AEB3D43">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 xml:space="preserve">41.2.1投标截止期前，各投标人递交投标文件（包括技术标投标文件、经济标投标文件）至交易平台。有关投标文件提交的事项详见第一章投标须知。 </w:t>
      </w:r>
    </w:p>
    <w:p w14:paraId="0FE19F83">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41.2.2开标前，首先由招标人随机抽取确定该工程计算评标参考价的等分点值X。</w:t>
      </w:r>
    </w:p>
    <w:p w14:paraId="7A967133">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41.2.3开标时，投标人代表有权出席开标会，也可以自主决定不参加开标会，若投标人代表对开标过程提出异议，该投标人代表须同时出示本人身份证原件。</w:t>
      </w:r>
    </w:p>
    <w:p w14:paraId="46C1AC38">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 xml:space="preserve">41.2.4按36.5.1的规定完成解密后，公布下列内容，并予以记录，记录提交评标委员会评审： </w:t>
      </w:r>
    </w:p>
    <w:p w14:paraId="7F2830C0">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41.2.4.1开标时，公布：a、投标人名称；b、</w:t>
      </w:r>
      <w:r>
        <w:rPr>
          <w:rFonts w:hint="eastAsia" w:ascii="宋体" w:hAnsi="宋体"/>
          <w:color w:val="000000" w:themeColor="text1"/>
          <w:sz w:val="24"/>
          <w:highlight w:val="none"/>
          <w14:textFill>
            <w14:solidFill>
              <w14:schemeClr w14:val="tx1"/>
            </w14:solidFill>
          </w14:textFill>
        </w:rPr>
        <w:t>投标文件</w:t>
      </w:r>
      <w:r>
        <w:rPr>
          <w:rFonts w:hint="eastAsia" w:ascii="宋体"/>
          <w:color w:val="000000" w:themeColor="text1"/>
          <w:sz w:val="24"/>
          <w:szCs w:val="24"/>
          <w:highlight w:val="none"/>
          <w14:textFill>
            <w14:solidFill>
              <w14:schemeClr w14:val="tx1"/>
            </w14:solidFill>
          </w14:textFill>
        </w:rPr>
        <w:t>密封情况；c、投标报价；d、投标保证金；e、项目经理（负责人）名称；f、法定代表人证明及授权委托等主要内容及开标记录表中的其他必要内容。投标报价以数字和文字两种方式表述的，应公布文字表述的投标报价。</w:t>
      </w:r>
    </w:p>
    <w:p w14:paraId="24B0C2C5">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41.3招标人对开标过程进行记录，并存档备查，投标人在技术标开标记录上签字。</w:t>
      </w:r>
    </w:p>
    <w:p w14:paraId="32521ABA">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41.4 招标人将上述符合要求的投标文件，送至评标委员会进行评审。</w:t>
      </w:r>
    </w:p>
    <w:p w14:paraId="5368D773">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42. 资格审查及评标细则</w:t>
      </w:r>
    </w:p>
    <w:p w14:paraId="61087C5B">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42.1资格审查及评标均由招标人依法组建的评标委员会负责。</w:t>
      </w:r>
    </w:p>
    <w:p w14:paraId="7EB0B265">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42.2评标委员会的组成：方式。</w:t>
      </w:r>
    </w:p>
    <w:p w14:paraId="4D2084D3">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方式一：评标委员会为综合评标委员会，负责资格审查及评标工作。</w:t>
      </w:r>
    </w:p>
    <w:p w14:paraId="2054D91B">
      <w:pPr>
        <w:pStyle w:val="34"/>
        <w:tabs>
          <w:tab w:val="left" w:pos="7380"/>
        </w:tabs>
        <w:snapToGrid w:val="0"/>
        <w:spacing w:after="0"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方式二：评标委员会由技术评审组和经济评审组组成。其中：资格审查及技术评审由技术评标组负责，经济评审由经济评审组负责。</w:t>
      </w:r>
    </w:p>
    <w:p w14:paraId="6EBCF79C">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43．投标人资格审查</w:t>
      </w:r>
    </w:p>
    <w:p w14:paraId="73A7CFD4">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385F407E">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43.2汇总资格审查情况，编写资格审查报告。</w:t>
      </w:r>
    </w:p>
    <w:p w14:paraId="3FDF77E2">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43.3资格审查不合格的投标文件不参加下一阶段的评标，不参与评标参考价的计算。</w:t>
      </w:r>
    </w:p>
    <w:p w14:paraId="5B50A2BC">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6AFCBD67">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43.5资审合格后，投标人的资格发生变化而不满足投标人合格条件，在发出中标通知书前，资格问题仍未解决的，招标人将取消其中标资格。</w:t>
      </w:r>
    </w:p>
    <w:p w14:paraId="631108A7">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43.6资格审查合格的投标人少于3名的（当N个标段同时招标且不允许兼中时，资格审查合格的投标人少于N+2名），则本项目招标失败。</w:t>
      </w:r>
    </w:p>
    <w:p w14:paraId="5F8A2EAD">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44．技术标评审</w:t>
      </w:r>
    </w:p>
    <w:p w14:paraId="0C95FC47">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6191ADC3">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44.2技术标详细审查评分：评标委员会按照附表四《技术标详细审查评分表》的标准，对通过技术标有效性审查的投标文件技术标进行详细审查，评出技术分，得分四舍五入精确到小数点后两位。</w:t>
      </w:r>
    </w:p>
    <w:p w14:paraId="1DF477CD">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45．经济标评审和得分汇总</w:t>
      </w:r>
    </w:p>
    <w:p w14:paraId="6AA1BBBE">
      <w:pPr>
        <w:pStyle w:val="34"/>
        <w:tabs>
          <w:tab w:val="left" w:pos="7380"/>
        </w:tabs>
        <w:snapToGrid w:val="0"/>
        <w:spacing w:after="0"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45.1若通过技术标有效性审查的投标人中所有投标报价均大于等于最高投标限价*D%（D的取值范围为[94,100],由招标人自主确定）的（具体金额为：</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元），则本项目招标失败，由招标人依法重新招标。</w:t>
      </w:r>
    </w:p>
    <w:p w14:paraId="6C6F2237">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45.2按方法</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计算评标参考价：</w:t>
      </w:r>
    </w:p>
    <w:p w14:paraId="282CDB2B">
      <w:pPr>
        <w:widowControl/>
        <w:spacing w:line="360" w:lineRule="auto"/>
        <w:ind w:firstLine="482" w:firstLineChars="200"/>
        <w:rPr>
          <w:rFonts w:ascii="宋体" w:hAnsi="宋体"/>
          <w:b/>
          <w:bCs/>
          <w:color w:val="000000" w:themeColor="text1"/>
          <w:kern w:val="0"/>
          <w:sz w:val="24"/>
          <w:szCs w:val="24"/>
          <w:highlight w:val="none"/>
          <w14:textFill>
            <w14:solidFill>
              <w14:schemeClr w14:val="tx1"/>
            </w14:solidFill>
          </w14:textFill>
        </w:rPr>
      </w:pPr>
      <w:r>
        <w:rPr>
          <w:rFonts w:hint="eastAsia" w:ascii="宋体" w:hAnsi="宋体" w:cs="仿宋"/>
          <w:b/>
          <w:bCs/>
          <w:color w:val="000000" w:themeColor="text1"/>
          <w:kern w:val="0"/>
          <w:sz w:val="24"/>
          <w:szCs w:val="24"/>
          <w:highlight w:val="none"/>
          <w14:textFill>
            <w14:solidFill>
              <w14:schemeClr w14:val="tx1"/>
            </w14:solidFill>
          </w14:textFill>
        </w:rPr>
        <w:t>方法一：加权平均法</w:t>
      </w:r>
    </w:p>
    <w:p w14:paraId="0FA18F57">
      <w:pPr>
        <w:spacing w:line="360" w:lineRule="auto"/>
        <w:ind w:firstLine="480" w:firstLineChars="200"/>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技术标或技术标加诚信得分（具体由招标人自定）前</w:t>
      </w:r>
      <w:r>
        <w:rPr>
          <w:rFonts w:ascii="宋体" w:hAnsi="宋体" w:cs="仿宋"/>
          <w:color w:val="000000" w:themeColor="text1"/>
          <w:sz w:val="24"/>
          <w:szCs w:val="24"/>
          <w:highlight w:val="none"/>
          <w14:textFill>
            <w14:solidFill>
              <w14:schemeClr w14:val="tx1"/>
            </w14:solidFill>
          </w14:textFill>
        </w:rPr>
        <w:t>N</w:t>
      </w:r>
      <w:r>
        <w:rPr>
          <w:rFonts w:hint="eastAsia" w:ascii="宋体" w:hAnsi="宋体" w:cs="仿宋"/>
          <w:color w:val="000000" w:themeColor="text1"/>
          <w:sz w:val="24"/>
          <w:szCs w:val="24"/>
          <w:highlight w:val="none"/>
          <w14:textFill>
            <w14:solidFill>
              <w14:schemeClr w14:val="tx1"/>
            </w14:solidFill>
          </w14:textFill>
        </w:rPr>
        <w:t>名（N≥5，具体由招标人自定）的经济报价加权平均，计算评标参考价。公式如下：</w:t>
      </w:r>
    </w:p>
    <w:p w14:paraId="67BA1C6D">
      <w:pPr>
        <w:spacing w:line="360" w:lineRule="auto"/>
        <w:ind w:firstLine="480" w:firstLineChars="200"/>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评标参考价</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Σ（投标人的投标报价</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报价权重）。</w:t>
      </w:r>
    </w:p>
    <w:p w14:paraId="64B39229">
      <w:pPr>
        <w:spacing w:line="360" w:lineRule="auto"/>
        <w:ind w:firstLine="480" w:firstLineChars="200"/>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其中：报价权重的计算方法为：将</w:t>
      </w:r>
      <w:r>
        <w:rPr>
          <w:rFonts w:ascii="宋体" w:hAnsi="宋体" w:cs="仿宋"/>
          <w:color w:val="000000" w:themeColor="text1"/>
          <w:sz w:val="24"/>
          <w:szCs w:val="24"/>
          <w:highlight w:val="none"/>
          <w14:textFill>
            <w14:solidFill>
              <w14:schemeClr w14:val="tx1"/>
            </w14:solidFill>
          </w14:textFill>
        </w:rPr>
        <w:t>N</w:t>
      </w:r>
      <w:r>
        <w:rPr>
          <w:rFonts w:hint="eastAsia" w:ascii="宋体" w:hAnsi="宋体" w:cs="仿宋"/>
          <w:color w:val="000000" w:themeColor="text1"/>
          <w:sz w:val="24"/>
          <w:szCs w:val="24"/>
          <w:highlight w:val="none"/>
          <w14:textFill>
            <w14:solidFill>
              <w14:schemeClr w14:val="tx1"/>
            </w14:solidFill>
          </w14:textFill>
        </w:rPr>
        <w:t>名投标人按技术分由高至低进行排序，第一名投标人的权重为（</w:t>
      </w:r>
      <w:r>
        <w:rPr>
          <w:rFonts w:ascii="宋体" w:hAnsi="宋体" w:cs="仿宋"/>
          <w:color w:val="000000" w:themeColor="text1"/>
          <w:sz w:val="24"/>
          <w:szCs w:val="24"/>
          <w:highlight w:val="none"/>
          <w14:textFill>
            <w14:solidFill>
              <w14:schemeClr w14:val="tx1"/>
            </w14:solidFill>
          </w14:textFill>
        </w:rPr>
        <w:fldChar w:fldCharType="begin"/>
      </w:r>
      <w:r>
        <w:rPr>
          <w:rFonts w:ascii="宋体" w:hAnsi="宋体" w:cs="仿宋"/>
          <w:color w:val="000000" w:themeColor="text1"/>
          <w:sz w:val="24"/>
          <w:szCs w:val="24"/>
          <w:highlight w:val="none"/>
          <w14:textFill>
            <w14:solidFill>
              <w14:schemeClr w14:val="tx1"/>
            </w14:solidFill>
          </w14:textFill>
        </w:rPr>
        <w:instrText xml:space="preserve"> QUOTE </w:instrText>
      </w:r>
      <w:r>
        <w:rPr>
          <w:rFonts w:ascii="宋体" w:hAnsi="宋体"/>
          <w:color w:val="000000" w:themeColor="text1"/>
          <w:sz w:val="24"/>
          <w:szCs w:val="24"/>
          <w:highlight w:val="none"/>
          <w14:textFill>
            <w14:solidFill>
              <w14:schemeClr w14:val="tx1"/>
            </w14:solidFill>
          </w14:textFill>
        </w:rPr>
        <w:drawing>
          <wp:inline distT="0" distB="0" distL="0" distR="0">
            <wp:extent cx="381000" cy="447675"/>
            <wp:effectExtent l="0" t="0" r="0" b="8890"/>
            <wp:docPr id="1039" name="图片 6"/>
            <wp:cNvGraphicFramePr/>
            <a:graphic xmlns:a="http://schemas.openxmlformats.org/drawingml/2006/main">
              <a:graphicData uri="http://schemas.openxmlformats.org/drawingml/2006/picture">
                <pic:pic xmlns:pic="http://schemas.openxmlformats.org/drawingml/2006/picture">
                  <pic:nvPicPr>
                    <pic:cNvPr id="1039" name="图片 6"/>
                    <pic:cNvPicPr/>
                  </pic:nvPicPr>
                  <pic:blipFill>
                    <a:blip r:embed="rId11"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Pr>
          <w:rFonts w:ascii="宋体" w:hAnsi="宋体" w:cs="仿宋"/>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drawing>
          <wp:inline distT="0" distB="0" distL="0" distR="0">
            <wp:extent cx="381000" cy="447675"/>
            <wp:effectExtent l="0" t="0" r="0" b="8890"/>
            <wp:docPr id="1040" name="图片 5"/>
            <wp:cNvGraphicFramePr/>
            <a:graphic xmlns:a="http://schemas.openxmlformats.org/drawingml/2006/main">
              <a:graphicData uri="http://schemas.openxmlformats.org/drawingml/2006/picture">
                <pic:pic xmlns:pic="http://schemas.openxmlformats.org/drawingml/2006/picture">
                  <pic:nvPicPr>
                    <pic:cNvPr id="1040" name="图片 5"/>
                    <pic:cNvPicPr/>
                  </pic:nvPicPr>
                  <pic:blipFill>
                    <a:blip r:embed="rId11"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Pr>
          <w:rFonts w:ascii="宋体" w:hAnsi="宋体" w:cs="仿宋"/>
          <w:color w:val="000000" w:themeColor="text1"/>
          <w:sz w:val="24"/>
          <w:szCs w:val="24"/>
          <w:highlight w:val="none"/>
          <w14:textFill>
            <w14:solidFill>
              <w14:schemeClr w14:val="tx1"/>
            </w14:solidFill>
          </w14:textFill>
        </w:rPr>
        <w:fldChar w:fldCharType="end"/>
      </w:r>
      <w:r>
        <w:rPr>
          <w:rFonts w:hint="eastAsia" w:ascii="宋体" w:hAnsi="宋体" w:cs="仿宋"/>
          <w:color w:val="000000" w:themeColor="text1"/>
          <w:sz w:val="24"/>
          <w:szCs w:val="24"/>
          <w:highlight w:val="none"/>
          <w14:textFill>
            <w14:solidFill>
              <w14:schemeClr w14:val="tx1"/>
            </w14:solidFill>
          </w14:textFill>
        </w:rPr>
        <w:t>），第二名投标人的权重为（</w:t>
      </w:r>
      <w:r>
        <w:rPr>
          <w:rFonts w:ascii="宋体" w:hAnsi="宋体" w:cs="仿宋"/>
          <w:color w:val="000000" w:themeColor="text1"/>
          <w:sz w:val="24"/>
          <w:szCs w:val="24"/>
          <w:highlight w:val="none"/>
          <w14:textFill>
            <w14:solidFill>
              <w14:schemeClr w14:val="tx1"/>
            </w14:solidFill>
          </w14:textFill>
        </w:rPr>
        <w:fldChar w:fldCharType="begin"/>
      </w:r>
      <w:r>
        <w:rPr>
          <w:rFonts w:ascii="宋体" w:hAnsi="宋体" w:cs="仿宋"/>
          <w:color w:val="000000" w:themeColor="text1"/>
          <w:sz w:val="24"/>
          <w:szCs w:val="24"/>
          <w:highlight w:val="none"/>
          <w14:textFill>
            <w14:solidFill>
              <w14:schemeClr w14:val="tx1"/>
            </w14:solidFill>
          </w14:textFill>
        </w:rPr>
        <w:instrText xml:space="preserve"> QUOTE </w:instrText>
      </w:r>
      <w:r>
        <w:rPr>
          <w:rFonts w:ascii="宋体" w:hAnsi="宋体"/>
          <w:color w:val="000000" w:themeColor="text1"/>
          <w:position w:val="-23"/>
          <w:sz w:val="24"/>
          <w:szCs w:val="24"/>
          <w:highlight w:val="none"/>
          <w14:textFill>
            <w14:solidFill>
              <w14:schemeClr w14:val="tx1"/>
            </w14:solidFill>
          </w14:textFill>
        </w:rPr>
        <w:drawing>
          <wp:inline distT="0" distB="0" distL="0" distR="0">
            <wp:extent cx="323850" cy="400050"/>
            <wp:effectExtent l="0" t="0" r="0" b="0"/>
            <wp:docPr id="1041" name="图片 4"/>
            <wp:cNvGraphicFramePr/>
            <a:graphic xmlns:a="http://schemas.openxmlformats.org/drawingml/2006/main">
              <a:graphicData uri="http://schemas.openxmlformats.org/drawingml/2006/picture">
                <pic:pic xmlns:pic="http://schemas.openxmlformats.org/drawingml/2006/picture">
                  <pic:nvPicPr>
                    <pic:cNvPr id="1041" name="图片 4"/>
                    <pic:cNvPicPr/>
                  </pic:nvPicPr>
                  <pic:blipFill>
                    <a:blip r:embed="rId12"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color w:val="000000" w:themeColor="text1"/>
          <w:sz w:val="24"/>
          <w:szCs w:val="24"/>
          <w:highlight w:val="none"/>
          <w14:textFill>
            <w14:solidFill>
              <w14:schemeClr w14:val="tx1"/>
            </w14:solidFill>
          </w14:textFill>
        </w:rPr>
        <w:fldChar w:fldCharType="separate"/>
      </w:r>
      <w:r>
        <w:rPr>
          <w:rFonts w:ascii="宋体" w:hAnsi="宋体"/>
          <w:color w:val="000000" w:themeColor="text1"/>
          <w:position w:val="-23"/>
          <w:sz w:val="24"/>
          <w:szCs w:val="24"/>
          <w:highlight w:val="none"/>
          <w14:textFill>
            <w14:solidFill>
              <w14:schemeClr w14:val="tx1"/>
            </w14:solidFill>
          </w14:textFill>
        </w:rPr>
        <w:drawing>
          <wp:inline distT="0" distB="0" distL="0" distR="0">
            <wp:extent cx="323850" cy="400050"/>
            <wp:effectExtent l="0" t="0" r="0" b="0"/>
            <wp:docPr id="1042" name="图片 3"/>
            <wp:cNvGraphicFramePr/>
            <a:graphic xmlns:a="http://schemas.openxmlformats.org/drawingml/2006/main">
              <a:graphicData uri="http://schemas.openxmlformats.org/drawingml/2006/picture">
                <pic:pic xmlns:pic="http://schemas.openxmlformats.org/drawingml/2006/picture">
                  <pic:nvPicPr>
                    <pic:cNvPr id="1042" name="图片 3"/>
                    <pic:cNvPicPr/>
                  </pic:nvPicPr>
                  <pic:blipFill>
                    <a:blip r:embed="rId12"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color w:val="000000" w:themeColor="text1"/>
          <w:sz w:val="24"/>
          <w:szCs w:val="24"/>
          <w:highlight w:val="none"/>
          <w14:textFill>
            <w14:solidFill>
              <w14:schemeClr w14:val="tx1"/>
            </w14:solidFill>
          </w14:textFill>
        </w:rPr>
        <w:fldChar w:fldCharType="end"/>
      </w:r>
      <w:r>
        <w:rPr>
          <w:rFonts w:hint="eastAsia" w:ascii="宋体" w:hAnsi="宋体" w:cs="仿宋"/>
          <w:color w:val="000000" w:themeColor="text1"/>
          <w:sz w:val="24"/>
          <w:szCs w:val="24"/>
          <w:highlight w:val="none"/>
          <w14:textFill>
            <w14:solidFill>
              <w14:schemeClr w14:val="tx1"/>
            </w14:solidFill>
          </w14:textFill>
        </w:rPr>
        <w:t>），以此类推，最后一名投标人的权重为（</w:t>
      </w:r>
      <w:r>
        <w:rPr>
          <w:rFonts w:ascii="宋体" w:hAnsi="宋体" w:cs="仿宋"/>
          <w:color w:val="000000" w:themeColor="text1"/>
          <w:sz w:val="24"/>
          <w:szCs w:val="24"/>
          <w:highlight w:val="none"/>
          <w14:textFill>
            <w14:solidFill>
              <w14:schemeClr w14:val="tx1"/>
            </w14:solidFill>
          </w14:textFill>
        </w:rPr>
        <w:fldChar w:fldCharType="begin"/>
      </w:r>
      <w:r>
        <w:rPr>
          <w:rFonts w:ascii="宋体" w:hAnsi="宋体" w:cs="仿宋"/>
          <w:color w:val="000000" w:themeColor="text1"/>
          <w:sz w:val="24"/>
          <w:szCs w:val="24"/>
          <w:highlight w:val="none"/>
          <w14:textFill>
            <w14:solidFill>
              <w14:schemeClr w14:val="tx1"/>
            </w14:solidFill>
          </w14:textFill>
        </w:rPr>
        <w:instrText xml:space="preserve"> QUOTE </w:instrText>
      </w:r>
      <w:r>
        <w:rPr>
          <w:rFonts w:ascii="宋体" w:hAnsi="宋体"/>
          <w:color w:val="000000" w:themeColor="text1"/>
          <w:position w:val="-23"/>
          <w:sz w:val="24"/>
          <w:szCs w:val="24"/>
          <w:highlight w:val="none"/>
          <w14:textFill>
            <w14:solidFill>
              <w14:schemeClr w14:val="tx1"/>
            </w14:solidFill>
          </w14:textFill>
        </w:rPr>
        <w:drawing>
          <wp:inline distT="0" distB="0" distL="0" distR="0">
            <wp:extent cx="323850" cy="400050"/>
            <wp:effectExtent l="0" t="0" r="0" b="0"/>
            <wp:docPr id="1043" name="图片 2"/>
            <wp:cNvGraphicFramePr/>
            <a:graphic xmlns:a="http://schemas.openxmlformats.org/drawingml/2006/main">
              <a:graphicData uri="http://schemas.openxmlformats.org/drawingml/2006/picture">
                <pic:pic xmlns:pic="http://schemas.openxmlformats.org/drawingml/2006/picture">
                  <pic:nvPicPr>
                    <pic:cNvPr id="1043" name="图片 2"/>
                    <pic:cNvPicPr/>
                  </pic:nvPicPr>
                  <pic:blipFill>
                    <a:blip r:embed="rId13"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color w:val="000000" w:themeColor="text1"/>
          <w:sz w:val="24"/>
          <w:szCs w:val="24"/>
          <w:highlight w:val="none"/>
          <w14:textFill>
            <w14:solidFill>
              <w14:schemeClr w14:val="tx1"/>
            </w14:solidFill>
          </w14:textFill>
        </w:rPr>
        <w:fldChar w:fldCharType="separate"/>
      </w:r>
      <w:r>
        <w:rPr>
          <w:rFonts w:ascii="宋体" w:hAnsi="宋体"/>
          <w:color w:val="000000" w:themeColor="text1"/>
          <w:position w:val="-23"/>
          <w:sz w:val="24"/>
          <w:szCs w:val="24"/>
          <w:highlight w:val="none"/>
          <w14:textFill>
            <w14:solidFill>
              <w14:schemeClr w14:val="tx1"/>
            </w14:solidFill>
          </w14:textFill>
        </w:rPr>
        <w:drawing>
          <wp:inline distT="0" distB="0" distL="0" distR="0">
            <wp:extent cx="323850" cy="400050"/>
            <wp:effectExtent l="0" t="0" r="0" b="0"/>
            <wp:docPr id="1044" name="图片 1"/>
            <wp:cNvGraphicFramePr/>
            <a:graphic xmlns:a="http://schemas.openxmlformats.org/drawingml/2006/main">
              <a:graphicData uri="http://schemas.openxmlformats.org/drawingml/2006/picture">
                <pic:pic xmlns:pic="http://schemas.openxmlformats.org/drawingml/2006/picture">
                  <pic:nvPicPr>
                    <pic:cNvPr id="1044" name="图片 1"/>
                    <pic:cNvPicPr/>
                  </pic:nvPicPr>
                  <pic:blipFill>
                    <a:blip r:embed="rId13"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color w:val="000000" w:themeColor="text1"/>
          <w:sz w:val="24"/>
          <w:szCs w:val="24"/>
          <w:highlight w:val="none"/>
          <w14:textFill>
            <w14:solidFill>
              <w14:schemeClr w14:val="tx1"/>
            </w14:solidFill>
          </w14:textFill>
        </w:rPr>
        <w:fldChar w:fldCharType="end"/>
      </w:r>
      <w:r>
        <w:rPr>
          <w:rFonts w:hint="eastAsia" w:ascii="宋体" w:hAnsi="宋体" w:cs="仿宋"/>
          <w:color w:val="000000" w:themeColor="text1"/>
          <w:sz w:val="24"/>
          <w:szCs w:val="24"/>
          <w:highlight w:val="none"/>
          <w14:textFill>
            <w14:solidFill>
              <w14:schemeClr w14:val="tx1"/>
            </w14:solidFill>
          </w14:textFill>
        </w:rPr>
        <w:t>）。</w:t>
      </w:r>
    </w:p>
    <w:p w14:paraId="11B6D404">
      <w:pPr>
        <w:widowControl/>
        <w:spacing w:line="360" w:lineRule="auto"/>
        <w:ind w:firstLine="482" w:firstLineChars="200"/>
        <w:rPr>
          <w:rFonts w:ascii="宋体" w:hAnsi="宋体"/>
          <w:b/>
          <w:bCs/>
          <w:color w:val="000000" w:themeColor="text1"/>
          <w:kern w:val="0"/>
          <w:sz w:val="24"/>
          <w:szCs w:val="24"/>
          <w:highlight w:val="none"/>
          <w14:textFill>
            <w14:solidFill>
              <w14:schemeClr w14:val="tx1"/>
            </w14:solidFill>
          </w14:textFill>
        </w:rPr>
      </w:pPr>
      <w:r>
        <w:rPr>
          <w:rFonts w:hint="eastAsia" w:ascii="宋体" w:hAnsi="宋体" w:cs="仿宋"/>
          <w:b/>
          <w:bCs/>
          <w:color w:val="000000" w:themeColor="text1"/>
          <w:kern w:val="0"/>
          <w:sz w:val="24"/>
          <w:szCs w:val="24"/>
          <w:highlight w:val="none"/>
          <w14:textFill>
            <w14:solidFill>
              <w14:schemeClr w14:val="tx1"/>
            </w14:solidFill>
          </w14:textFill>
        </w:rPr>
        <w:t>方法二：区间抽取法</w:t>
      </w:r>
    </w:p>
    <w:p w14:paraId="47C096A2">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8B7F4D0">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评标参考价=（Q高-Q低）/100*Ｘ+Q低</w:t>
      </w:r>
    </w:p>
    <w:p w14:paraId="352BABB2">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Q低：为达到或超过技术标及格分数线的投标人最低报价与工程成本警示价两者中的较高值；</w:t>
      </w:r>
    </w:p>
    <w:p w14:paraId="023053A6">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Q高：为最高投标限价</w:t>
      </w:r>
    </w:p>
    <w:p w14:paraId="0A6BC824">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X:为等分点值，在开标前从[0,100]整数中随机抽取</w:t>
      </w:r>
    </w:p>
    <w:p w14:paraId="74715F9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45.3当标价等于评标参考价时得100分，标价每高于评标参考价1%，扣</w:t>
      </w:r>
      <w:r>
        <w:rPr>
          <w:rFonts w:hint="default" w:ascii="宋体" w:hAnsi="宋体" w:cs="宋体"/>
          <w:color w:val="000000" w:themeColor="text1"/>
          <w:kern w:val="0"/>
          <w:sz w:val="24"/>
          <w:szCs w:val="24"/>
          <w:highlight w:val="none"/>
          <w:lang w:val="en-US" w:eastAsia="zh-CN"/>
          <w14:textFill>
            <w14:solidFill>
              <w14:schemeClr w14:val="tx1"/>
            </w14:solidFill>
          </w14:textFill>
        </w:rPr>
        <w:t>1</w:t>
      </w:r>
      <w:r>
        <w:rPr>
          <w:rFonts w:hint="default" w:ascii="宋体" w:hAnsi="宋体" w:cs="宋体"/>
          <w:color w:val="000000" w:themeColor="text1"/>
          <w:kern w:val="0"/>
          <w:sz w:val="24"/>
          <w:szCs w:val="24"/>
          <w:highlight w:val="none"/>
          <w:lang w:val="en-US"/>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分，每低于评标参考价1%，扣</w:t>
      </w:r>
      <w:r>
        <w:rPr>
          <w:rFonts w:hint="default" w:ascii="宋体" w:hAnsi="宋体" w:cs="宋体"/>
          <w:color w:val="000000" w:themeColor="text1"/>
          <w:kern w:val="0"/>
          <w:sz w:val="24"/>
          <w:szCs w:val="24"/>
          <w:highlight w:val="none"/>
          <w:lang w:val="en-US"/>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分，扣至0分为止，得出经济分，精确到小数点后两位</w:t>
      </w:r>
      <w:r>
        <w:rPr>
          <w:rFonts w:hint="eastAsia" w:ascii="宋体" w:hAnsi="宋体"/>
          <w:color w:val="000000" w:themeColor="text1"/>
          <w:sz w:val="24"/>
          <w:szCs w:val="24"/>
          <w:highlight w:val="none"/>
          <w14:textFill>
            <w14:solidFill>
              <w14:schemeClr w14:val="tx1"/>
            </w14:solidFill>
          </w14:textFill>
        </w:rPr>
        <w:t>。</w:t>
      </w:r>
    </w:p>
    <w:p w14:paraId="31B0450F">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45.4</w:t>
      </w:r>
      <w:r>
        <w:rPr>
          <w:rFonts w:hint="eastAsia" w:ascii="宋体"/>
          <w:color w:val="000000" w:themeColor="text1"/>
          <w:sz w:val="24"/>
          <w:szCs w:val="24"/>
          <w:highlight w:val="none"/>
          <w14:textFill>
            <w14:solidFill>
              <w14:schemeClr w14:val="tx1"/>
            </w14:solidFill>
          </w14:textFill>
        </w:rPr>
        <w:t>计算通过技术标有效性审查的投标人总得分。投标人总得分=（技术得分×技术得分权重</w:t>
      </w:r>
      <w:r>
        <w:rPr>
          <w:rFonts w:hint="eastAsia" w:ascii="宋体" w:cs="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经济得分×经济得分权重）×（1-综合诚信评价分数权重）</w:t>
      </w:r>
      <w:r>
        <w:rPr>
          <w:rFonts w:hint="eastAsia" w:ascii="宋体" w:cs="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综合诚信评价排名得分×综合诚信评价分数权重）。技术、经济得分权重按投标须知前附表的规定执行。总得分四舍五入保留两位小数。</w:t>
      </w:r>
    </w:p>
    <w:p w14:paraId="755B337B">
      <w:pPr>
        <w:pStyle w:val="34"/>
        <w:tabs>
          <w:tab w:val="left" w:pos="7380"/>
        </w:tabs>
        <w:snapToGrid w:val="0"/>
        <w:spacing w:after="0"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46.经济标的有效性审查</w:t>
      </w:r>
    </w:p>
    <w:p w14:paraId="12952D5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color w:val="000000" w:themeColor="text1"/>
          <w:sz w:val="24"/>
          <w:highlight w:val="none"/>
          <w14:textFill>
            <w14:solidFill>
              <w14:schemeClr w14:val="tx1"/>
            </w14:solidFill>
          </w14:textFill>
        </w:rPr>
        <w:t>投标文件</w:t>
      </w:r>
      <w:r>
        <w:rPr>
          <w:rFonts w:hint="eastAsia" w:ascii="宋体" w:hAnsi="宋体"/>
          <w:color w:val="000000" w:themeColor="text1"/>
          <w:sz w:val="24"/>
          <w:szCs w:val="24"/>
          <w:highlight w:val="none"/>
          <w14:textFill>
            <w14:solidFill>
              <w14:schemeClr w14:val="tx1"/>
            </w14:solidFill>
          </w14:textFill>
        </w:rPr>
        <w:t>，否则其投标文件将被否决。如评标委员会成员的评审意见不一致时，以评标委员会过半数成员的意见作为评标委员会对该情形的认定结论。</w:t>
      </w:r>
    </w:p>
    <w:p w14:paraId="5F54153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6.2经济标的算术校核。评标委员会对进行经济标有效性审查的投标文件投标报价按照就低不就高的原则进行算术校核，具体标准如下：</w:t>
      </w:r>
    </w:p>
    <w:p w14:paraId="406F64A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6.2.1如果数字表示的金额和用文字表示的金额不一致时，应以文字表示的金额为准；</w:t>
      </w:r>
    </w:p>
    <w:p w14:paraId="6DB07F58">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6.2.2经算术复核的投标人报价与其投标报价不一致时，按就低不就高原则确定其最终报价；</w:t>
      </w:r>
    </w:p>
    <w:p w14:paraId="37EBD4D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16D09C61">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当合价、金额累加错误时，按就低不就高原则，如果累加修正值小于原累加值，则按累加修正值；如果累加修正值大于原累加值，则按原累加值；</w:t>
      </w:r>
    </w:p>
    <w:p w14:paraId="1F4F91C4">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如果投标人的有关规费、暂列金额、暂估价、绿色施工安全防护措施费等未按招标文件规定的金额填写的，由评标委员会按照招标文件规定的金额进行修正；</w:t>
      </w:r>
    </w:p>
    <w:p w14:paraId="736BDCB4">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4153CE6F">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按就低不就高原则，当修正后报价小于原报价，总价按修正后报价；当修正后报价大于原报价，总价按原报价，并在签订合同时载明在结算价中扣除修正报价与原报价的差额。</w:t>
      </w:r>
    </w:p>
    <w:p w14:paraId="23BAF56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按上述修正错误的原则及方法调整或修正投标文件的投标报价，调整后的投标报价对投标人起约束作用。如果投标人不接受修正后的报价，则取消其投标资格，并且其投标保证金也将不予退还。</w:t>
      </w:r>
    </w:p>
    <w:p w14:paraId="72AC89F6">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0FC8EE14">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8.评标委员会应在通过投标文件经济标有效性审查的投标人中，按步骤45.4确定的投标人第二阶段排序，推荐前</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名依次为第一中标候选人至第三中标候选人</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并编制评标报告。</w:t>
      </w:r>
    </w:p>
    <w:p w14:paraId="65F6F1C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9.若通过经济标有效性审查的投标人不足三家，应当依法重新招标。（当</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个标段同时招标且不允许兼中时，若有效投标人不足</w:t>
      </w:r>
      <w:r>
        <w:rPr>
          <w:rFonts w:ascii="宋体" w:hAnsi="宋体"/>
          <w:color w:val="000000" w:themeColor="text1"/>
          <w:sz w:val="24"/>
          <w:szCs w:val="24"/>
          <w:highlight w:val="none"/>
          <w14:textFill>
            <w14:solidFill>
              <w14:schemeClr w14:val="tx1"/>
            </w14:solidFill>
          </w14:textFill>
        </w:rPr>
        <w:t>N+2</w:t>
      </w:r>
      <w:r>
        <w:rPr>
          <w:rFonts w:hint="eastAsia" w:ascii="宋体" w:hAnsi="宋体"/>
          <w:color w:val="000000" w:themeColor="text1"/>
          <w:sz w:val="24"/>
          <w:szCs w:val="24"/>
          <w:highlight w:val="none"/>
          <w14:textFill>
            <w14:solidFill>
              <w14:schemeClr w14:val="tx1"/>
            </w14:solidFill>
          </w14:textFill>
        </w:rPr>
        <w:t>家，应当依法重新招标</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p w14:paraId="72B66BF0">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p>
    <w:p w14:paraId="483583A6">
      <w:pPr>
        <w:widowControl/>
        <w:snapToGrid w:val="0"/>
        <w:spacing w:line="360" w:lineRule="auto"/>
        <w:ind w:right="102"/>
        <w:jc w:val="left"/>
        <w:outlineLvl w:val="3"/>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附表一：资格审查表</w:t>
      </w:r>
    </w:p>
    <w:p w14:paraId="4C29C874">
      <w:pPr>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资格审查表</w:t>
      </w:r>
    </w:p>
    <w:p w14:paraId="673D8044">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工程名称：</w:t>
      </w:r>
    </w:p>
    <w:p w14:paraId="53F7399F">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投标人名称：</w:t>
      </w:r>
    </w:p>
    <w:tbl>
      <w:tblPr>
        <w:tblStyle w:val="36"/>
        <w:tblW w:w="9189"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960"/>
        <w:gridCol w:w="4041"/>
        <w:gridCol w:w="720"/>
      </w:tblGrid>
      <w:tr w14:paraId="3792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13BD923">
            <w:pPr>
              <w:spacing w:before="120" w:after="6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3960" w:type="dxa"/>
            <w:tcBorders>
              <w:top w:val="single" w:color="auto" w:sz="4" w:space="0"/>
              <w:left w:val="single" w:color="auto" w:sz="4" w:space="0"/>
              <w:bottom w:val="single" w:color="auto" w:sz="4" w:space="0"/>
              <w:right w:val="single" w:color="auto" w:sz="4" w:space="0"/>
            </w:tcBorders>
            <w:vAlign w:val="center"/>
          </w:tcPr>
          <w:p w14:paraId="16DE12A4">
            <w:pPr>
              <w:spacing w:before="120" w:after="6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审查项目</w:t>
            </w:r>
          </w:p>
        </w:tc>
        <w:tc>
          <w:tcPr>
            <w:tcW w:w="4041" w:type="dxa"/>
            <w:tcBorders>
              <w:top w:val="single" w:color="auto" w:sz="4" w:space="0"/>
              <w:left w:val="single" w:color="auto" w:sz="4" w:space="0"/>
              <w:bottom w:val="single" w:color="auto" w:sz="4" w:space="0"/>
              <w:right w:val="single" w:color="auto" w:sz="4" w:space="0"/>
            </w:tcBorders>
            <w:vAlign w:val="center"/>
          </w:tcPr>
          <w:p w14:paraId="0D93084E">
            <w:pPr>
              <w:spacing w:before="120" w:after="6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7C4A5D1F">
            <w:pPr>
              <w:spacing w:before="120" w:after="6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审查结果</w:t>
            </w:r>
          </w:p>
        </w:tc>
      </w:tr>
      <w:tr w14:paraId="1A22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74EC088">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960" w:type="dxa"/>
            <w:tcBorders>
              <w:top w:val="single" w:color="auto" w:sz="4" w:space="0"/>
              <w:left w:val="single" w:color="auto" w:sz="4" w:space="0"/>
              <w:bottom w:val="single" w:color="auto" w:sz="4" w:space="0"/>
              <w:right w:val="single" w:color="auto" w:sz="4" w:space="0"/>
            </w:tcBorders>
            <w:vAlign w:val="center"/>
          </w:tcPr>
          <w:p w14:paraId="6B9B8E3A">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投标人参加投标的意思表达清楚，投标人代表被授权有效。</w:t>
            </w:r>
          </w:p>
        </w:tc>
        <w:tc>
          <w:tcPr>
            <w:tcW w:w="4041" w:type="dxa"/>
            <w:tcBorders>
              <w:top w:val="single" w:color="auto" w:sz="4" w:space="0"/>
              <w:left w:val="single" w:color="auto" w:sz="4" w:space="0"/>
              <w:bottom w:val="single" w:color="auto" w:sz="4" w:space="0"/>
              <w:right w:val="single" w:color="auto" w:sz="4" w:space="0"/>
            </w:tcBorders>
            <w:vAlign w:val="center"/>
          </w:tcPr>
          <w:p w14:paraId="456AEF70">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37F75F68">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599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001AC66">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960" w:type="dxa"/>
            <w:tcBorders>
              <w:top w:val="single" w:color="auto" w:sz="4" w:space="0"/>
              <w:left w:val="single" w:color="auto" w:sz="4" w:space="0"/>
              <w:bottom w:val="single" w:color="auto" w:sz="4" w:space="0"/>
              <w:right w:val="single" w:color="auto" w:sz="4" w:space="0"/>
            </w:tcBorders>
            <w:vAlign w:val="center"/>
          </w:tcPr>
          <w:p w14:paraId="61967927">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投标人均具有独立法人资格，按国家法律经营。</w:t>
            </w:r>
          </w:p>
        </w:tc>
        <w:tc>
          <w:tcPr>
            <w:tcW w:w="4041" w:type="dxa"/>
            <w:tcBorders>
              <w:top w:val="single" w:color="auto" w:sz="4" w:space="0"/>
              <w:left w:val="single" w:color="auto" w:sz="4" w:space="0"/>
              <w:bottom w:val="single" w:color="auto" w:sz="4" w:space="0"/>
              <w:right w:val="single" w:color="auto" w:sz="4" w:space="0"/>
            </w:tcBorders>
            <w:vAlign w:val="center"/>
          </w:tcPr>
          <w:p w14:paraId="6585CDB9">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5E57A5CC">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5D8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9FA5DE9">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960" w:type="dxa"/>
            <w:tcBorders>
              <w:top w:val="single" w:color="auto" w:sz="4" w:space="0"/>
              <w:left w:val="single" w:color="auto" w:sz="4" w:space="0"/>
              <w:bottom w:val="single" w:color="auto" w:sz="4" w:space="0"/>
              <w:right w:val="single" w:color="auto" w:sz="4" w:space="0"/>
            </w:tcBorders>
            <w:vAlign w:val="center"/>
          </w:tcPr>
          <w:p w14:paraId="159070A3">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投标人均持有建设行政主管部门颁发的企业资质证书及安全生产许可证；投标人资质符合公告要求。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3FACE6E3">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资质证书</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电力工程施工总承包三级（或以上）资质或输变电工程专业承包三级（或以上）资质或建筑机电安装工程专业承包二级（或以上），且同时具备《承装(修、试)电力设施许可证》承装类五级（或以上）资质、承修类五级（或以上）资质、承试类五级（或以上）资质</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及安全生产许可证扫描件或电子证照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45804FBF">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236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68" w:type="dxa"/>
            <w:tcBorders>
              <w:top w:val="single" w:color="auto" w:sz="4" w:space="0"/>
              <w:left w:val="single" w:color="auto" w:sz="4" w:space="0"/>
              <w:bottom w:val="single" w:color="auto" w:sz="4" w:space="0"/>
              <w:right w:val="single" w:color="auto" w:sz="4" w:space="0"/>
            </w:tcBorders>
            <w:vAlign w:val="center"/>
          </w:tcPr>
          <w:p w14:paraId="274D1AA9">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3960" w:type="dxa"/>
            <w:tcBorders>
              <w:top w:val="single" w:color="auto" w:sz="4" w:space="0"/>
              <w:left w:val="single" w:color="auto" w:sz="4" w:space="0"/>
              <w:bottom w:val="single" w:color="auto" w:sz="4" w:space="0"/>
              <w:right w:val="single" w:color="auto" w:sz="4" w:space="0"/>
            </w:tcBorders>
            <w:vAlign w:val="center"/>
          </w:tcPr>
          <w:p w14:paraId="0E90B8DB">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投标人拟担任本工程的项目负责人符合公告要求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42F3BC94">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有效期内的</w:t>
            </w:r>
            <w:r>
              <w:rPr>
                <w:rFonts w:hint="eastAsia" w:ascii="宋体" w:hAnsi="宋体" w:cs="宋体"/>
                <w:color w:val="000000" w:themeColor="text1"/>
                <w:szCs w:val="21"/>
                <w:highlight w:val="none"/>
                <w14:textFill>
                  <w14:solidFill>
                    <w14:schemeClr w14:val="tx1"/>
                  </w14:solidFill>
                </w14:textFill>
              </w:rPr>
              <w:t>机电工程专业二级或以上</w:t>
            </w:r>
            <w:r>
              <w:rPr>
                <w:rFonts w:hint="eastAsia" w:ascii="宋体" w:hAnsi="宋体" w:eastAsia="宋体" w:cs="宋体"/>
                <w:color w:val="000000" w:themeColor="text1"/>
                <w:sz w:val="21"/>
                <w:szCs w:val="21"/>
                <w:highlight w:val="none"/>
                <w14:textFill>
                  <w14:solidFill>
                    <w14:schemeClr w14:val="tx1"/>
                  </w14:solidFill>
                </w14:textFill>
              </w:rPr>
              <w:t>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14:paraId="0CCFBB08">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EBA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683106F">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3960" w:type="dxa"/>
            <w:tcBorders>
              <w:top w:val="single" w:color="auto" w:sz="4" w:space="0"/>
              <w:left w:val="single" w:color="auto" w:sz="4" w:space="0"/>
              <w:bottom w:val="single" w:color="auto" w:sz="4" w:space="0"/>
              <w:right w:val="single" w:color="auto" w:sz="4" w:space="0"/>
            </w:tcBorders>
            <w:vAlign w:val="center"/>
          </w:tcPr>
          <w:p w14:paraId="2F7B95B3">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持有项目负责人安全培训考核合格证（B类）或</w:t>
            </w:r>
            <w:r>
              <w:rPr>
                <w:rFonts w:hint="eastAsia" w:ascii="宋体" w:hAnsi="宋体" w:eastAsia="宋体" w:cs="宋体"/>
                <w:b/>
                <w:color w:val="000000" w:themeColor="text1"/>
                <w:sz w:val="21"/>
                <w:szCs w:val="21"/>
                <w:highlight w:val="none"/>
                <w14:textFill>
                  <w14:solidFill>
                    <w14:schemeClr w14:val="tx1"/>
                  </w14:solidFill>
                </w14:textFill>
              </w:rPr>
              <w:t>建筑施工企业项目负责人安全生产考核合格证</w:t>
            </w:r>
          </w:p>
        </w:tc>
        <w:tc>
          <w:tcPr>
            <w:tcW w:w="4041" w:type="dxa"/>
            <w:tcBorders>
              <w:top w:val="single" w:color="auto" w:sz="4" w:space="0"/>
              <w:left w:val="single" w:color="auto" w:sz="4" w:space="0"/>
              <w:bottom w:val="single" w:color="auto" w:sz="4" w:space="0"/>
              <w:right w:val="single" w:color="auto" w:sz="4" w:space="0"/>
            </w:tcBorders>
            <w:vAlign w:val="center"/>
          </w:tcPr>
          <w:p w14:paraId="37BDD639">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项目负责人安全生产考核合格证（B类）或建筑施工企业项目负责人安全生产考核合格证</w:t>
            </w:r>
            <w:r>
              <w:rPr>
                <w:rFonts w:hint="eastAsia" w:ascii="宋体" w:hAnsi="宋体" w:eastAsia="宋体" w:cs="宋体"/>
                <w:b/>
                <w:bCs/>
                <w:color w:val="000000" w:themeColor="text1"/>
                <w:kern w:val="0"/>
                <w:sz w:val="21"/>
                <w:szCs w:val="21"/>
                <w:highlight w:val="none"/>
                <w14:textFill>
                  <w14:solidFill>
                    <w14:schemeClr w14:val="tx1"/>
                  </w14:solidFill>
                </w14:textFill>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5F497C9D">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BDB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29D7C4C">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3960" w:type="dxa"/>
            <w:tcBorders>
              <w:top w:val="single" w:color="auto" w:sz="4" w:space="0"/>
              <w:left w:val="single" w:color="auto" w:sz="4" w:space="0"/>
              <w:bottom w:val="single" w:color="auto" w:sz="4" w:space="0"/>
              <w:right w:val="single" w:color="auto" w:sz="4" w:space="0"/>
            </w:tcBorders>
            <w:vAlign w:val="center"/>
          </w:tcPr>
          <w:p w14:paraId="70A3704A">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投标人拟担任本工程技术负责人符合公告要求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2C2B404B">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技术负责人的</w:t>
            </w:r>
            <w:r>
              <w:rPr>
                <w:rFonts w:hint="eastAsia" w:ascii="宋体" w:hAnsi="宋体" w:cs="宋体"/>
                <w:color w:val="000000" w:themeColor="text1"/>
                <w:szCs w:val="21"/>
                <w:highlight w:val="none"/>
                <w14:textFill>
                  <w14:solidFill>
                    <w14:schemeClr w14:val="tx1"/>
                  </w14:solidFill>
                </w14:textFill>
              </w:rPr>
              <w:t>机电类或电气类或电力类</w:t>
            </w:r>
            <w:r>
              <w:rPr>
                <w:rFonts w:hint="eastAsia" w:ascii="宋体" w:hAnsi="宋体" w:eastAsia="宋体" w:cs="宋体"/>
                <w:color w:val="000000" w:themeColor="text1"/>
                <w:sz w:val="21"/>
                <w:szCs w:val="21"/>
                <w:highlight w:val="none"/>
                <w14:textFill>
                  <w14:solidFill>
                    <w14:schemeClr w14:val="tx1"/>
                  </w14:solidFill>
                </w14:textFill>
              </w:rPr>
              <w:t>相关专业中级工程师或以上职称，附相关证明</w:t>
            </w:r>
          </w:p>
        </w:tc>
        <w:tc>
          <w:tcPr>
            <w:tcW w:w="720" w:type="dxa"/>
            <w:tcBorders>
              <w:top w:val="single" w:color="auto" w:sz="4" w:space="0"/>
              <w:left w:val="single" w:color="auto" w:sz="4" w:space="0"/>
              <w:bottom w:val="single" w:color="auto" w:sz="4" w:space="0"/>
              <w:right w:val="single" w:color="auto" w:sz="4" w:space="0"/>
            </w:tcBorders>
            <w:vAlign w:val="center"/>
          </w:tcPr>
          <w:p w14:paraId="657F0B8F">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A12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4E28D4F">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3960" w:type="dxa"/>
            <w:tcBorders>
              <w:top w:val="single" w:color="auto" w:sz="4" w:space="0"/>
              <w:left w:val="single" w:color="auto" w:sz="4" w:space="0"/>
              <w:bottom w:val="single" w:color="auto" w:sz="4" w:space="0"/>
              <w:right w:val="single" w:color="auto" w:sz="4" w:space="0"/>
            </w:tcBorders>
            <w:vAlign w:val="center"/>
          </w:tcPr>
          <w:p w14:paraId="64EC2970">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专职安全员须具有安全生产考核合格证（C类）或</w:t>
            </w:r>
            <w:r>
              <w:rPr>
                <w:rFonts w:hint="eastAsia" w:ascii="宋体" w:hAnsi="宋体" w:eastAsia="宋体" w:cs="宋体"/>
                <w:b/>
                <w:bCs/>
                <w:color w:val="000000" w:themeColor="text1"/>
                <w:kern w:val="0"/>
                <w:sz w:val="21"/>
                <w:szCs w:val="21"/>
                <w:highlight w:val="none"/>
                <w14:textFill>
                  <w14:solidFill>
                    <w14:schemeClr w14:val="tx1"/>
                  </w14:solidFill>
                </w14:textFill>
              </w:rPr>
              <w:t>建筑施工企业专职安全生产管理人员安全生产考核合格证（C3类）</w:t>
            </w:r>
          </w:p>
        </w:tc>
        <w:tc>
          <w:tcPr>
            <w:tcW w:w="4041" w:type="dxa"/>
            <w:tcBorders>
              <w:top w:val="single" w:color="auto" w:sz="4" w:space="0"/>
              <w:left w:val="single" w:color="auto" w:sz="4" w:space="0"/>
              <w:bottom w:val="single" w:color="auto" w:sz="4" w:space="0"/>
              <w:right w:val="single" w:color="auto" w:sz="4" w:space="0"/>
            </w:tcBorders>
            <w:vAlign w:val="center"/>
          </w:tcPr>
          <w:p w14:paraId="045053A7">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专职安全员的安全生产考核合格证（C类）或建筑施工企业专职安全生产管理人员安全生产考核合格证</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C3类）</w:t>
            </w:r>
            <w:r>
              <w:rPr>
                <w:rFonts w:hint="eastAsia" w:ascii="宋体" w:hAnsi="宋体" w:eastAsia="宋体" w:cs="宋体"/>
                <w:b/>
                <w:bCs/>
                <w:color w:val="000000" w:themeColor="text1"/>
                <w:kern w:val="0"/>
                <w:sz w:val="21"/>
                <w:szCs w:val="21"/>
                <w:highlight w:val="none"/>
                <w14:textFill>
                  <w14:solidFill>
                    <w14:schemeClr w14:val="tx1"/>
                  </w14:solidFill>
                </w14:textFill>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3124FCEF">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751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68" w:type="dxa"/>
            <w:tcBorders>
              <w:top w:val="single" w:color="auto" w:sz="4" w:space="0"/>
              <w:left w:val="single" w:color="auto" w:sz="4" w:space="0"/>
              <w:bottom w:val="single" w:color="auto" w:sz="4" w:space="0"/>
              <w:right w:val="single" w:color="auto" w:sz="4" w:space="0"/>
            </w:tcBorders>
            <w:vAlign w:val="center"/>
          </w:tcPr>
          <w:p w14:paraId="2C3CC3FE">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3960" w:type="dxa"/>
            <w:tcBorders>
              <w:top w:val="single" w:color="auto" w:sz="4" w:space="0"/>
              <w:left w:val="single" w:color="auto" w:sz="4" w:space="0"/>
              <w:bottom w:val="single" w:color="auto" w:sz="4" w:space="0"/>
              <w:right w:val="single" w:color="auto" w:sz="4" w:space="0"/>
            </w:tcBorders>
            <w:vAlign w:val="center"/>
          </w:tcPr>
          <w:p w14:paraId="5EA9D00E">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投标人提供的投标人声明符合公告要求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4178BF72">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7B61BB0B">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ECE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AB1BDBE">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3960" w:type="dxa"/>
            <w:tcBorders>
              <w:top w:val="single" w:color="auto" w:sz="4" w:space="0"/>
              <w:left w:val="single" w:color="auto" w:sz="4" w:space="0"/>
              <w:bottom w:val="single" w:color="auto" w:sz="4" w:space="0"/>
              <w:right w:val="single" w:color="auto" w:sz="4" w:space="0"/>
            </w:tcBorders>
            <w:vAlign w:val="center"/>
          </w:tcPr>
          <w:p w14:paraId="4CE83F96">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投标人声明中签字的项目负责人和技术负责人与本项目拟派的项目负责人和技术负责人一致</w:t>
            </w:r>
          </w:p>
        </w:tc>
        <w:tc>
          <w:tcPr>
            <w:tcW w:w="4041" w:type="dxa"/>
            <w:tcBorders>
              <w:top w:val="single" w:color="auto" w:sz="4" w:space="0"/>
              <w:left w:val="single" w:color="auto" w:sz="4" w:space="0"/>
              <w:bottom w:val="single" w:color="auto" w:sz="4" w:space="0"/>
              <w:right w:val="single" w:color="auto" w:sz="4" w:space="0"/>
            </w:tcBorders>
            <w:vAlign w:val="center"/>
          </w:tcPr>
          <w:p w14:paraId="142AFCDF">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网上登记时选择拟投标的项目负责人、资格审查文件中拟委派的技术负责人及投标人声明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68A21E98">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5B9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0EAAD16">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60" w:type="dxa"/>
            <w:tcBorders>
              <w:top w:val="single" w:color="auto" w:sz="4" w:space="0"/>
              <w:left w:val="single" w:color="auto" w:sz="4" w:space="0"/>
              <w:bottom w:val="single" w:color="auto" w:sz="4" w:space="0"/>
              <w:right w:val="single" w:color="auto" w:sz="4" w:space="0"/>
            </w:tcBorders>
            <w:vAlign w:val="center"/>
          </w:tcPr>
          <w:p w14:paraId="1E065A5A">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本次招标不接受联合体投标</w:t>
            </w:r>
          </w:p>
        </w:tc>
        <w:tc>
          <w:tcPr>
            <w:tcW w:w="4041" w:type="dxa"/>
            <w:tcBorders>
              <w:top w:val="single" w:color="auto" w:sz="4" w:space="0"/>
              <w:left w:val="single" w:color="auto" w:sz="4" w:space="0"/>
              <w:bottom w:val="single" w:color="auto" w:sz="4" w:space="0"/>
              <w:right w:val="single" w:color="auto" w:sz="4" w:space="0"/>
            </w:tcBorders>
            <w:vAlign w:val="center"/>
          </w:tcPr>
          <w:p w14:paraId="61E70337">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未以联合体进行投标</w:t>
            </w:r>
          </w:p>
        </w:tc>
        <w:tc>
          <w:tcPr>
            <w:tcW w:w="720" w:type="dxa"/>
            <w:tcBorders>
              <w:top w:val="single" w:color="auto" w:sz="4" w:space="0"/>
              <w:left w:val="single" w:color="auto" w:sz="4" w:space="0"/>
              <w:bottom w:val="single" w:color="auto" w:sz="4" w:space="0"/>
              <w:right w:val="single" w:color="auto" w:sz="4" w:space="0"/>
            </w:tcBorders>
            <w:vAlign w:val="center"/>
          </w:tcPr>
          <w:p w14:paraId="2635E7FD">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2B5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F9635FE">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3960" w:type="dxa"/>
            <w:tcBorders>
              <w:top w:val="single" w:color="auto" w:sz="4" w:space="0"/>
              <w:left w:val="single" w:color="auto" w:sz="4" w:space="0"/>
              <w:bottom w:val="single" w:color="auto" w:sz="4" w:space="0"/>
              <w:right w:val="single" w:color="auto" w:sz="4" w:space="0"/>
            </w:tcBorders>
            <w:vAlign w:val="center"/>
          </w:tcPr>
          <w:p w14:paraId="728C7529">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资格审查前，投标人须在</w:t>
            </w:r>
            <w:r>
              <w:rPr>
                <w:rFonts w:hint="eastAsia" w:ascii="宋体" w:hAnsi="宋体" w:eastAsia="宋体" w:cs="宋体"/>
                <w:b/>
                <w:color w:val="000000" w:themeColor="text1"/>
                <w:sz w:val="21"/>
                <w:szCs w:val="21"/>
                <w:highlight w:val="none"/>
                <w14:textFill>
                  <w14:solidFill>
                    <w14:schemeClr w14:val="tx1"/>
                  </w14:solidFill>
                </w14:textFill>
              </w:rPr>
              <w:t>广州市住房和城乡建设局建立企业信用档案</w:t>
            </w:r>
            <w:r>
              <w:rPr>
                <w:rFonts w:hint="eastAsia" w:ascii="宋体" w:hAnsi="宋体" w:eastAsia="宋体" w:cs="宋体"/>
                <w:bCs/>
                <w:color w:val="000000" w:themeColor="text1"/>
                <w:sz w:val="21"/>
                <w:szCs w:val="21"/>
                <w:highlight w:val="none"/>
                <w14:textFill>
                  <w14:solidFill>
                    <w14:schemeClr w14:val="tx1"/>
                  </w14:solidFill>
                </w14:textFill>
              </w:rPr>
              <w:t>及拟担任本工程项目负责人、专职安全员须是本企业中的在册人员</w:t>
            </w:r>
          </w:p>
        </w:tc>
        <w:tc>
          <w:tcPr>
            <w:tcW w:w="4041" w:type="dxa"/>
            <w:tcBorders>
              <w:top w:val="single" w:color="auto" w:sz="4" w:space="0"/>
              <w:left w:val="single" w:color="auto" w:sz="4" w:space="0"/>
              <w:bottom w:val="single" w:color="auto" w:sz="4" w:space="0"/>
              <w:right w:val="single" w:color="auto" w:sz="4" w:space="0"/>
            </w:tcBorders>
            <w:vAlign w:val="center"/>
          </w:tcPr>
          <w:p w14:paraId="2612E1D2">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投标人在</w:t>
            </w:r>
            <w:r>
              <w:rPr>
                <w:rFonts w:hint="eastAsia" w:ascii="宋体" w:hAnsi="宋体" w:eastAsia="宋体" w:cs="宋体"/>
                <w:b/>
                <w:color w:val="000000" w:themeColor="text1"/>
                <w:sz w:val="21"/>
                <w:szCs w:val="21"/>
                <w:highlight w:val="none"/>
                <w14:textFill>
                  <w14:solidFill>
                    <w14:schemeClr w14:val="tx1"/>
                  </w14:solidFill>
                </w14:textFill>
              </w:rPr>
              <w:t>广州市住建行业信用管理平台</w:t>
            </w:r>
            <w:r>
              <w:rPr>
                <w:rFonts w:hint="eastAsia" w:ascii="宋体" w:hAnsi="宋体" w:eastAsia="宋体" w:cs="宋体"/>
                <w:bCs/>
                <w:color w:val="000000" w:themeColor="text1"/>
                <w:sz w:val="21"/>
                <w:szCs w:val="21"/>
                <w:highlight w:val="none"/>
                <w14:textFill>
                  <w14:solidFill>
                    <w14:schemeClr w14:val="tx1"/>
                  </w14:solidFill>
                </w14:textFill>
              </w:rPr>
              <w:t>内</w:t>
            </w:r>
            <w:r>
              <w:rPr>
                <w:rFonts w:hint="eastAsia" w:ascii="宋体" w:hAnsi="宋体" w:eastAsia="宋体" w:cs="宋体"/>
                <w:b/>
                <w:color w:val="000000" w:themeColor="text1"/>
                <w:sz w:val="21"/>
                <w:szCs w:val="21"/>
                <w:highlight w:val="none"/>
                <w14:textFill>
                  <w14:solidFill>
                    <w14:schemeClr w14:val="tx1"/>
                  </w14:solidFill>
                </w14:textFill>
              </w:rPr>
              <w:t>企业信用档案</w:t>
            </w:r>
            <w:r>
              <w:rPr>
                <w:rFonts w:hint="eastAsia" w:ascii="宋体" w:hAnsi="宋体" w:eastAsia="宋体" w:cs="宋体"/>
                <w:bCs/>
                <w:color w:val="000000" w:themeColor="text1"/>
                <w:sz w:val="21"/>
                <w:szCs w:val="21"/>
                <w:highlight w:val="none"/>
                <w14:textFill>
                  <w14:solidFill>
                    <w14:schemeClr w14:val="tx1"/>
                  </w14:solidFill>
                </w14:textFill>
              </w:rPr>
              <w:t>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539B700F">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15C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8254325">
            <w:pPr>
              <w:spacing w:before="120" w:after="6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3960" w:type="dxa"/>
            <w:tcBorders>
              <w:top w:val="single" w:color="auto" w:sz="4" w:space="0"/>
              <w:left w:val="single" w:color="auto" w:sz="4" w:space="0"/>
              <w:bottom w:val="single" w:color="auto" w:sz="4" w:space="0"/>
              <w:right w:val="single" w:color="auto" w:sz="4" w:space="0"/>
            </w:tcBorders>
            <w:vAlign w:val="center"/>
          </w:tcPr>
          <w:p w14:paraId="47D45413">
            <w:pPr>
              <w:spacing w:before="120" w:after="6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未被</w:t>
            </w:r>
            <w:r>
              <w:rPr>
                <w:rFonts w:hint="eastAsia" w:ascii="宋体" w:hAnsi="宋体" w:cs="宋体"/>
                <w:bCs/>
                <w:color w:val="000000" w:themeColor="text1"/>
                <w:sz w:val="21"/>
                <w:szCs w:val="21"/>
                <w:highlight w:val="none"/>
                <w:lang w:eastAsia="zh-CN"/>
                <w14:textFill>
                  <w14:solidFill>
                    <w14:schemeClr w14:val="tx1"/>
                  </w14:solidFill>
                </w14:textFill>
              </w:rPr>
              <w:t>主管部门</w:t>
            </w:r>
            <w:r>
              <w:rPr>
                <w:rFonts w:hint="eastAsia" w:ascii="宋体" w:hAnsi="宋体" w:eastAsia="宋体" w:cs="宋体"/>
                <w:bCs/>
                <w:color w:val="000000" w:themeColor="text1"/>
                <w:sz w:val="21"/>
                <w:szCs w:val="21"/>
                <w:highlight w:val="none"/>
                <w14:textFill>
                  <w14:solidFill>
                    <w14:schemeClr w14:val="tx1"/>
                  </w14:solidFill>
                </w14:textFill>
              </w:rPr>
              <w:t>广东省监狱管理局列入因存在不良行为记录（违约）被招标人拒绝投标的企业。</w:t>
            </w:r>
          </w:p>
        </w:tc>
        <w:tc>
          <w:tcPr>
            <w:tcW w:w="4041" w:type="dxa"/>
            <w:tcBorders>
              <w:top w:val="single" w:color="auto" w:sz="4" w:space="0"/>
              <w:left w:val="single" w:color="auto" w:sz="4" w:space="0"/>
              <w:bottom w:val="single" w:color="auto" w:sz="4" w:space="0"/>
              <w:right w:val="single" w:color="auto" w:sz="4" w:space="0"/>
            </w:tcBorders>
            <w:vAlign w:val="center"/>
          </w:tcPr>
          <w:p w14:paraId="7AA74CFC">
            <w:pPr>
              <w:spacing w:before="120" w:after="6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2AEDC231">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6EF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C074662">
            <w:pPr>
              <w:spacing w:before="120" w:after="6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3960" w:type="dxa"/>
            <w:tcBorders>
              <w:top w:val="single" w:color="auto" w:sz="4" w:space="0"/>
              <w:left w:val="single" w:color="auto" w:sz="4" w:space="0"/>
              <w:bottom w:val="single" w:color="auto" w:sz="4" w:space="0"/>
              <w:right w:val="single" w:color="auto" w:sz="4" w:space="0"/>
            </w:tcBorders>
            <w:vAlign w:val="center"/>
          </w:tcPr>
          <w:p w14:paraId="45B0E824">
            <w:pPr>
              <w:spacing w:before="120" w:after="6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投标人未出现以下情形：与其它投标人的单位负责人为同一人或者存在控股、管理关系的（按投标人提供的《投标人声明》第八条内容进行评审）。</w:t>
            </w:r>
          </w:p>
        </w:tc>
        <w:tc>
          <w:tcPr>
            <w:tcW w:w="4041" w:type="dxa"/>
            <w:tcBorders>
              <w:top w:val="single" w:color="auto" w:sz="4" w:space="0"/>
              <w:left w:val="single" w:color="auto" w:sz="4" w:space="0"/>
              <w:bottom w:val="single" w:color="auto" w:sz="4" w:space="0"/>
              <w:right w:val="single" w:color="auto" w:sz="4" w:space="0"/>
            </w:tcBorders>
            <w:vAlign w:val="center"/>
          </w:tcPr>
          <w:p w14:paraId="3558609D">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195520E4">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7D5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6D014B3">
            <w:pPr>
              <w:spacing w:before="120" w:after="6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3960" w:type="dxa"/>
            <w:tcBorders>
              <w:top w:val="single" w:color="auto" w:sz="4" w:space="0"/>
              <w:left w:val="single" w:color="auto" w:sz="4" w:space="0"/>
              <w:bottom w:val="single" w:color="auto" w:sz="4" w:space="0"/>
              <w:right w:val="single" w:color="auto" w:sz="4" w:space="0"/>
            </w:tcBorders>
            <w:vAlign w:val="center"/>
          </w:tcPr>
          <w:p w14:paraId="0AE1555B">
            <w:pPr>
              <w:spacing w:before="120" w:after="6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未被列入拖欠农民工工资失信联合惩戒对象名单</w:t>
            </w:r>
          </w:p>
        </w:tc>
        <w:tc>
          <w:tcPr>
            <w:tcW w:w="4041" w:type="dxa"/>
            <w:tcBorders>
              <w:top w:val="single" w:color="auto" w:sz="4" w:space="0"/>
              <w:left w:val="single" w:color="auto" w:sz="4" w:space="0"/>
              <w:bottom w:val="single" w:color="auto" w:sz="4" w:space="0"/>
              <w:right w:val="single" w:color="auto" w:sz="4" w:space="0"/>
            </w:tcBorders>
            <w:vAlign w:val="center"/>
          </w:tcPr>
          <w:p w14:paraId="54759FDB">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695ECE54">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9D2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F059990">
            <w:pPr>
              <w:spacing w:before="120" w:after="6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15</w:t>
            </w:r>
          </w:p>
        </w:tc>
        <w:tc>
          <w:tcPr>
            <w:tcW w:w="3960" w:type="dxa"/>
            <w:tcBorders>
              <w:top w:val="single" w:color="auto" w:sz="4" w:space="0"/>
              <w:left w:val="single" w:color="auto" w:sz="4" w:space="0"/>
              <w:bottom w:val="single" w:color="auto" w:sz="4" w:space="0"/>
              <w:right w:val="single" w:color="auto" w:sz="4" w:space="0"/>
            </w:tcBorders>
            <w:vAlign w:val="center"/>
          </w:tcPr>
          <w:p w14:paraId="7E4F7530">
            <w:pPr>
              <w:spacing w:before="120" w:after="60"/>
              <w:jc w:val="left"/>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承诺满足第五章 技术条件（工程建设标准）“★”的要求</w:t>
            </w:r>
          </w:p>
        </w:tc>
        <w:tc>
          <w:tcPr>
            <w:tcW w:w="4041" w:type="dxa"/>
            <w:tcBorders>
              <w:top w:val="single" w:color="auto" w:sz="4" w:space="0"/>
              <w:left w:val="single" w:color="auto" w:sz="4" w:space="0"/>
              <w:bottom w:val="single" w:color="auto" w:sz="4" w:space="0"/>
              <w:right w:val="single" w:color="auto" w:sz="4" w:space="0"/>
            </w:tcBorders>
            <w:vAlign w:val="center"/>
          </w:tcPr>
          <w:p w14:paraId="04D0E06F">
            <w:pPr>
              <w:spacing w:before="120" w:after="6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提供承诺函，格式自拟</w:t>
            </w:r>
          </w:p>
        </w:tc>
        <w:tc>
          <w:tcPr>
            <w:tcW w:w="720" w:type="dxa"/>
            <w:tcBorders>
              <w:top w:val="single" w:color="auto" w:sz="4" w:space="0"/>
              <w:left w:val="single" w:color="auto" w:sz="4" w:space="0"/>
              <w:bottom w:val="single" w:color="auto" w:sz="4" w:space="0"/>
              <w:right w:val="single" w:color="auto" w:sz="4" w:space="0"/>
            </w:tcBorders>
            <w:vAlign w:val="center"/>
          </w:tcPr>
          <w:p w14:paraId="74A878ED">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62292240">
      <w:pPr>
        <w:spacing w:line="360" w:lineRule="auto"/>
        <w:ind w:firstLine="470" w:firstLineChars="224"/>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p w14:paraId="34ACCB88">
      <w:pPr>
        <w:spacing w:line="360" w:lineRule="auto"/>
        <w:ind w:firstLine="470" w:firstLineChars="224"/>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、每一项目符合的打“○”，不符合的打“×”；</w:t>
      </w:r>
    </w:p>
    <w:p w14:paraId="35C74916">
      <w:pPr>
        <w:spacing w:line="360" w:lineRule="auto"/>
        <w:ind w:firstLine="470" w:firstLineChars="224"/>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2</w:t>
      </w:r>
      <w:r>
        <w:rPr>
          <w:rFonts w:hint="default" w:ascii="宋体" w:hAnsi="宋体" w:eastAsia="宋体"/>
          <w:color w:val="000000" w:themeColor="text1"/>
          <w:szCs w:val="21"/>
          <w:highlight w:val="none"/>
          <w14:textFill>
            <w14:solidFill>
              <w14:schemeClr w14:val="tx1"/>
            </w14:solidFill>
          </w14:textFill>
        </w:rPr>
        <w:t>、若评委意见不一致时，则按少数服从多数的原则，作出评审结论。汇总后，出现一个“×”的结论为“不通过”。</w:t>
      </w:r>
    </w:p>
    <w:p w14:paraId="6FDFD40C">
      <w:pPr>
        <w:spacing w:line="360" w:lineRule="auto"/>
        <w:ind w:firstLine="470" w:firstLineChars="224"/>
        <w:rPr>
          <w:rFonts w:ascii="宋体" w:hAnsi="宋体" w:eastAsia="宋体"/>
          <w:color w:val="000000" w:themeColor="text1"/>
          <w:szCs w:val="21"/>
          <w:highlight w:val="none"/>
          <w14:textFill>
            <w14:solidFill>
              <w14:schemeClr w14:val="tx1"/>
            </w14:solidFill>
          </w14:textFill>
        </w:rPr>
        <w:sectPr>
          <w:footerReference r:id="rId5" w:type="default"/>
          <w:endnotePr>
            <w:numFmt w:val="decimal"/>
          </w:endnotePr>
          <w:pgSz w:w="11906" w:h="16838"/>
          <w:pgMar w:top="1417" w:right="1417" w:bottom="1417" w:left="1417" w:header="851" w:footer="680" w:gutter="0"/>
          <w:pgNumType w:start="1"/>
          <w:cols w:space="720" w:num="1"/>
          <w:docGrid w:type="lines" w:linePitch="312" w:charSpace="0"/>
        </w:sectPr>
      </w:pPr>
      <w:r>
        <w:rPr>
          <w:rFonts w:hint="default" w:ascii="宋体" w:hAnsi="宋体" w:eastAsia="宋体"/>
          <w:color w:val="000000" w:themeColor="text1"/>
          <w:szCs w:val="21"/>
          <w:highlight w:val="none"/>
          <w14:textFill>
            <w14:solidFill>
              <w14:schemeClr w14:val="tx1"/>
            </w14:solidFill>
          </w14:textFill>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7691C527">
      <w:pPr>
        <w:widowControl/>
        <w:snapToGrid w:val="0"/>
        <w:spacing w:line="360" w:lineRule="auto"/>
        <w:ind w:right="102"/>
        <w:jc w:val="left"/>
        <w:outlineLvl w:val="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附表二：技术标有效性审查表</w:t>
      </w:r>
    </w:p>
    <w:p w14:paraId="2373865C">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技术标有效性审查表</w:t>
      </w:r>
    </w:p>
    <w:p w14:paraId="1615D23E">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工程名称：</w:t>
      </w:r>
    </w:p>
    <w:tbl>
      <w:tblPr>
        <w:tblStyle w:val="36"/>
        <w:tblW w:w="14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118"/>
        <w:gridCol w:w="1482"/>
        <w:gridCol w:w="1374"/>
        <w:gridCol w:w="1662"/>
        <w:gridCol w:w="1662"/>
      </w:tblGrid>
      <w:tr w14:paraId="5615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22" w:type="dxa"/>
            <w:tcBorders>
              <w:top w:val="single" w:color="auto" w:sz="4" w:space="0"/>
              <w:left w:val="single" w:color="auto" w:sz="4" w:space="0"/>
              <w:bottom w:val="single" w:color="auto" w:sz="4" w:space="0"/>
              <w:right w:val="single" w:color="auto" w:sz="4" w:space="0"/>
            </w:tcBorders>
            <w:vAlign w:val="center"/>
          </w:tcPr>
          <w:p w14:paraId="33D87C3D">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7118" w:type="dxa"/>
            <w:tcBorders>
              <w:top w:val="single" w:color="auto" w:sz="4" w:space="0"/>
              <w:left w:val="single" w:color="auto" w:sz="4" w:space="0"/>
              <w:bottom w:val="single" w:color="auto" w:sz="4" w:space="0"/>
              <w:right w:val="single" w:color="auto" w:sz="4" w:space="0"/>
              <w:tl2br w:val="single" w:color="auto" w:sz="4" w:space="0"/>
            </w:tcBorders>
          </w:tcPr>
          <w:p w14:paraId="174DE94D">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w:t>
            </w:r>
          </w:p>
          <w:p w14:paraId="10438DB2">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评审内容</w:t>
            </w:r>
          </w:p>
        </w:tc>
        <w:tc>
          <w:tcPr>
            <w:tcW w:w="1482" w:type="dxa"/>
            <w:tcBorders>
              <w:top w:val="single" w:color="auto" w:sz="4" w:space="0"/>
              <w:left w:val="single" w:color="auto" w:sz="4" w:space="0"/>
              <w:bottom w:val="single" w:color="auto" w:sz="4" w:space="0"/>
              <w:right w:val="single" w:color="auto" w:sz="4" w:space="0"/>
            </w:tcBorders>
            <w:vAlign w:val="center"/>
          </w:tcPr>
          <w:p w14:paraId="6B5E43F6">
            <w:pPr>
              <w:adjustRightInd w:val="0"/>
              <w:jc w:val="center"/>
              <w:rPr>
                <w:rFonts w:ascii="宋体" w:hAnsi="宋体"/>
                <w:color w:val="000000" w:themeColor="text1"/>
                <w:szCs w:val="21"/>
                <w:highlight w:val="none"/>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319A7782">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5AAE1DB6">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64761F27">
            <w:pPr>
              <w:adjustRightInd w:val="0"/>
              <w:jc w:val="center"/>
              <w:rPr>
                <w:rFonts w:ascii="宋体" w:hAnsi="宋体"/>
                <w:color w:val="000000" w:themeColor="text1"/>
                <w:szCs w:val="21"/>
                <w:highlight w:val="none"/>
                <w14:textFill>
                  <w14:solidFill>
                    <w14:schemeClr w14:val="tx1"/>
                  </w14:solidFill>
                </w14:textFill>
              </w:rPr>
            </w:pPr>
          </w:p>
        </w:tc>
      </w:tr>
      <w:tr w14:paraId="7591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2" w:type="dxa"/>
            <w:tcBorders>
              <w:top w:val="single" w:color="auto" w:sz="4" w:space="0"/>
              <w:left w:val="single" w:color="auto" w:sz="4" w:space="0"/>
              <w:bottom w:val="single" w:color="auto" w:sz="4" w:space="0"/>
              <w:right w:val="single" w:color="auto" w:sz="4" w:space="0"/>
            </w:tcBorders>
            <w:vAlign w:val="center"/>
          </w:tcPr>
          <w:p w14:paraId="66BF9EC5">
            <w:pPr>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7118" w:type="dxa"/>
            <w:tcBorders>
              <w:top w:val="single" w:color="auto" w:sz="4" w:space="0"/>
              <w:left w:val="single" w:color="auto" w:sz="4" w:space="0"/>
              <w:bottom w:val="single" w:color="auto" w:sz="4" w:space="0"/>
              <w:right w:val="single" w:color="auto" w:sz="4" w:space="0"/>
            </w:tcBorders>
            <w:vAlign w:val="center"/>
          </w:tcPr>
          <w:p w14:paraId="0EC665F6">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不能满足完成投标项目工期的；</w:t>
            </w:r>
          </w:p>
        </w:tc>
        <w:tc>
          <w:tcPr>
            <w:tcW w:w="1482" w:type="dxa"/>
            <w:tcBorders>
              <w:top w:val="single" w:color="auto" w:sz="4" w:space="0"/>
              <w:left w:val="single" w:color="auto" w:sz="4" w:space="0"/>
              <w:bottom w:val="single" w:color="auto" w:sz="4" w:space="0"/>
              <w:right w:val="single" w:color="auto" w:sz="4" w:space="0"/>
            </w:tcBorders>
            <w:vAlign w:val="center"/>
          </w:tcPr>
          <w:p w14:paraId="31077FA4">
            <w:pPr>
              <w:adjustRightInd w:val="0"/>
              <w:jc w:val="center"/>
              <w:rPr>
                <w:rFonts w:ascii="宋体" w:hAnsi="宋体"/>
                <w:color w:val="000000" w:themeColor="text1"/>
                <w:szCs w:val="21"/>
                <w:highlight w:val="none"/>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41135FDC">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5CFBEFD3">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10C14650">
            <w:pPr>
              <w:adjustRightInd w:val="0"/>
              <w:jc w:val="center"/>
              <w:rPr>
                <w:rFonts w:ascii="宋体" w:hAnsi="宋体"/>
                <w:color w:val="000000" w:themeColor="text1"/>
                <w:szCs w:val="21"/>
                <w:highlight w:val="none"/>
                <w14:textFill>
                  <w14:solidFill>
                    <w14:schemeClr w14:val="tx1"/>
                  </w14:solidFill>
                </w14:textFill>
              </w:rPr>
            </w:pPr>
          </w:p>
        </w:tc>
      </w:tr>
      <w:tr w14:paraId="6860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2" w:type="dxa"/>
            <w:tcBorders>
              <w:top w:val="single" w:color="auto" w:sz="4" w:space="0"/>
              <w:left w:val="single" w:color="auto" w:sz="4" w:space="0"/>
              <w:bottom w:val="single" w:color="auto" w:sz="4" w:space="0"/>
              <w:right w:val="single" w:color="auto" w:sz="4" w:space="0"/>
            </w:tcBorders>
            <w:vAlign w:val="center"/>
          </w:tcPr>
          <w:p w14:paraId="415CCE99">
            <w:pPr>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7118" w:type="dxa"/>
            <w:tcBorders>
              <w:top w:val="single" w:color="auto" w:sz="4" w:space="0"/>
              <w:left w:val="single" w:color="auto" w:sz="4" w:space="0"/>
              <w:bottom w:val="single" w:color="auto" w:sz="4" w:space="0"/>
              <w:right w:val="single" w:color="auto" w:sz="4" w:space="0"/>
            </w:tcBorders>
            <w:vAlign w:val="center"/>
          </w:tcPr>
          <w:p w14:paraId="07CB5E4E">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不符合招标文件及有关技术规格、质量要求、检验标准和方法的；</w:t>
            </w:r>
          </w:p>
        </w:tc>
        <w:tc>
          <w:tcPr>
            <w:tcW w:w="1482" w:type="dxa"/>
            <w:tcBorders>
              <w:top w:val="single" w:color="auto" w:sz="4" w:space="0"/>
              <w:left w:val="single" w:color="auto" w:sz="4" w:space="0"/>
              <w:bottom w:val="single" w:color="auto" w:sz="4" w:space="0"/>
              <w:right w:val="single" w:color="auto" w:sz="4" w:space="0"/>
            </w:tcBorders>
            <w:vAlign w:val="center"/>
          </w:tcPr>
          <w:p w14:paraId="3720C50C">
            <w:pPr>
              <w:adjustRightInd w:val="0"/>
              <w:jc w:val="center"/>
              <w:rPr>
                <w:rFonts w:ascii="宋体" w:hAnsi="宋体"/>
                <w:color w:val="000000" w:themeColor="text1"/>
                <w:szCs w:val="21"/>
                <w:highlight w:val="none"/>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10CF4DB1">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2B918D96">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4EF21DF7">
            <w:pPr>
              <w:adjustRightInd w:val="0"/>
              <w:jc w:val="center"/>
              <w:rPr>
                <w:rFonts w:ascii="宋体" w:hAnsi="宋体"/>
                <w:color w:val="000000" w:themeColor="text1"/>
                <w:szCs w:val="21"/>
                <w:highlight w:val="none"/>
                <w14:textFill>
                  <w14:solidFill>
                    <w14:schemeClr w14:val="tx1"/>
                  </w14:solidFill>
                </w14:textFill>
              </w:rPr>
            </w:pPr>
          </w:p>
        </w:tc>
      </w:tr>
      <w:tr w14:paraId="3864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22" w:type="dxa"/>
            <w:tcBorders>
              <w:top w:val="single" w:color="auto" w:sz="4" w:space="0"/>
              <w:left w:val="single" w:color="auto" w:sz="4" w:space="0"/>
              <w:bottom w:val="single" w:color="auto" w:sz="4" w:space="0"/>
              <w:right w:val="single" w:color="auto" w:sz="4" w:space="0"/>
            </w:tcBorders>
            <w:vAlign w:val="center"/>
          </w:tcPr>
          <w:p w14:paraId="28B331CE">
            <w:pPr>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7118" w:type="dxa"/>
            <w:tcBorders>
              <w:top w:val="single" w:color="auto" w:sz="4" w:space="0"/>
              <w:left w:val="single" w:color="auto" w:sz="4" w:space="0"/>
              <w:bottom w:val="single" w:color="auto" w:sz="4" w:space="0"/>
              <w:right w:val="single" w:color="auto" w:sz="4" w:space="0"/>
            </w:tcBorders>
            <w:vAlign w:val="center"/>
          </w:tcPr>
          <w:p w14:paraId="389EC62D">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投标文件中没有有效的法定代表人证明书，或由委托代理人签署的投标文件中没有法定代表人授权书；</w:t>
            </w:r>
          </w:p>
        </w:tc>
        <w:tc>
          <w:tcPr>
            <w:tcW w:w="1482" w:type="dxa"/>
            <w:tcBorders>
              <w:top w:val="single" w:color="auto" w:sz="4" w:space="0"/>
              <w:left w:val="single" w:color="auto" w:sz="4" w:space="0"/>
              <w:bottom w:val="single" w:color="auto" w:sz="4" w:space="0"/>
              <w:right w:val="single" w:color="auto" w:sz="4" w:space="0"/>
            </w:tcBorders>
            <w:vAlign w:val="center"/>
          </w:tcPr>
          <w:p w14:paraId="3D9D7C07">
            <w:pPr>
              <w:adjustRightInd w:val="0"/>
              <w:jc w:val="center"/>
              <w:rPr>
                <w:rFonts w:ascii="宋体" w:hAnsi="宋体"/>
                <w:color w:val="000000" w:themeColor="text1"/>
                <w:szCs w:val="21"/>
                <w:highlight w:val="none"/>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5C4F935B">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58D371CC">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2DE2B2A0">
            <w:pPr>
              <w:adjustRightInd w:val="0"/>
              <w:jc w:val="center"/>
              <w:rPr>
                <w:rFonts w:ascii="宋体" w:hAnsi="宋体"/>
                <w:color w:val="000000" w:themeColor="text1"/>
                <w:szCs w:val="21"/>
                <w:highlight w:val="none"/>
                <w14:textFill>
                  <w14:solidFill>
                    <w14:schemeClr w14:val="tx1"/>
                  </w14:solidFill>
                </w14:textFill>
              </w:rPr>
            </w:pPr>
          </w:p>
        </w:tc>
      </w:tr>
      <w:tr w14:paraId="31F0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22" w:type="dxa"/>
            <w:tcBorders>
              <w:top w:val="single" w:color="auto" w:sz="4" w:space="0"/>
              <w:left w:val="single" w:color="auto" w:sz="4" w:space="0"/>
              <w:bottom w:val="single" w:color="auto" w:sz="4" w:space="0"/>
              <w:right w:val="single" w:color="auto" w:sz="4" w:space="0"/>
            </w:tcBorders>
            <w:vAlign w:val="center"/>
          </w:tcPr>
          <w:p w14:paraId="42B4163B">
            <w:pPr>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7118" w:type="dxa"/>
            <w:tcBorders>
              <w:top w:val="single" w:color="auto" w:sz="4" w:space="0"/>
              <w:left w:val="single" w:color="auto" w:sz="4" w:space="0"/>
              <w:bottom w:val="single" w:color="auto" w:sz="4" w:space="0"/>
              <w:right w:val="single" w:color="auto" w:sz="4" w:space="0"/>
            </w:tcBorders>
            <w:vAlign w:val="center"/>
          </w:tcPr>
          <w:p w14:paraId="01744F1D">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投标文件未按招标文件第四章规定的（技术投标文件（含资格审查文件）格式二、三）填写，或主要内容不全，或关键字迹模糊、无法辨认的；</w:t>
            </w:r>
          </w:p>
        </w:tc>
        <w:tc>
          <w:tcPr>
            <w:tcW w:w="1482" w:type="dxa"/>
            <w:tcBorders>
              <w:top w:val="single" w:color="auto" w:sz="4" w:space="0"/>
              <w:left w:val="single" w:color="auto" w:sz="4" w:space="0"/>
              <w:bottom w:val="single" w:color="auto" w:sz="4" w:space="0"/>
              <w:right w:val="single" w:color="auto" w:sz="4" w:space="0"/>
            </w:tcBorders>
            <w:vAlign w:val="center"/>
          </w:tcPr>
          <w:p w14:paraId="6589D518">
            <w:pPr>
              <w:adjustRightInd w:val="0"/>
              <w:jc w:val="center"/>
              <w:rPr>
                <w:rFonts w:ascii="宋体" w:hAnsi="宋体"/>
                <w:color w:val="000000" w:themeColor="text1"/>
                <w:szCs w:val="21"/>
                <w:highlight w:val="none"/>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5F3A6095">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288A1815">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7C44FD04">
            <w:pPr>
              <w:adjustRightInd w:val="0"/>
              <w:jc w:val="center"/>
              <w:rPr>
                <w:rFonts w:ascii="宋体" w:hAnsi="宋体"/>
                <w:color w:val="000000" w:themeColor="text1"/>
                <w:szCs w:val="21"/>
                <w:highlight w:val="none"/>
                <w14:textFill>
                  <w14:solidFill>
                    <w14:schemeClr w14:val="tx1"/>
                  </w14:solidFill>
                </w14:textFill>
              </w:rPr>
            </w:pPr>
          </w:p>
        </w:tc>
      </w:tr>
      <w:tr w14:paraId="7B7A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2" w:type="dxa"/>
            <w:tcBorders>
              <w:top w:val="single" w:color="auto" w:sz="4" w:space="0"/>
              <w:left w:val="single" w:color="auto" w:sz="4" w:space="0"/>
              <w:bottom w:val="single" w:color="auto" w:sz="4" w:space="0"/>
              <w:right w:val="single" w:color="auto" w:sz="4" w:space="0"/>
            </w:tcBorders>
            <w:vAlign w:val="center"/>
          </w:tcPr>
          <w:p w14:paraId="75676995">
            <w:pPr>
              <w:adjustRightInd w:val="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p>
        </w:tc>
        <w:tc>
          <w:tcPr>
            <w:tcW w:w="7118" w:type="dxa"/>
            <w:tcBorders>
              <w:top w:val="single" w:color="auto" w:sz="4" w:space="0"/>
              <w:left w:val="single" w:color="auto" w:sz="4" w:space="0"/>
              <w:bottom w:val="single" w:color="auto" w:sz="4" w:space="0"/>
              <w:right w:val="single" w:color="auto" w:sz="4" w:space="0"/>
            </w:tcBorders>
            <w:vAlign w:val="center"/>
          </w:tcPr>
          <w:p w14:paraId="4E31181C">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投标人之间存在《广东省实施&lt;中华人民共和国招标投标法&gt;》第十六条所禁止的情形的；</w:t>
            </w:r>
          </w:p>
        </w:tc>
        <w:tc>
          <w:tcPr>
            <w:tcW w:w="1482" w:type="dxa"/>
            <w:tcBorders>
              <w:top w:val="single" w:color="auto" w:sz="4" w:space="0"/>
              <w:left w:val="single" w:color="auto" w:sz="4" w:space="0"/>
              <w:bottom w:val="single" w:color="auto" w:sz="4" w:space="0"/>
              <w:right w:val="single" w:color="auto" w:sz="4" w:space="0"/>
            </w:tcBorders>
            <w:vAlign w:val="center"/>
          </w:tcPr>
          <w:p w14:paraId="4F21E706">
            <w:pPr>
              <w:adjustRightInd w:val="0"/>
              <w:jc w:val="center"/>
              <w:rPr>
                <w:rFonts w:ascii="宋体" w:hAnsi="宋体"/>
                <w:color w:val="000000" w:themeColor="text1"/>
                <w:szCs w:val="21"/>
                <w:highlight w:val="none"/>
                <w:shd w:val="pct10" w:color="auto" w:fill="FFFFFF"/>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0718D93B">
            <w:pPr>
              <w:adjustRightInd w:val="0"/>
              <w:jc w:val="center"/>
              <w:rPr>
                <w:rFonts w:ascii="宋体" w:hAnsi="宋体"/>
                <w:color w:val="000000" w:themeColor="text1"/>
                <w:szCs w:val="21"/>
                <w:highlight w:val="none"/>
                <w:shd w:val="pct10" w:color="auto" w:fill="FFFFFF"/>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19B70422">
            <w:pPr>
              <w:adjustRightInd w:val="0"/>
              <w:jc w:val="center"/>
              <w:rPr>
                <w:rFonts w:ascii="宋体" w:hAnsi="宋体"/>
                <w:color w:val="000000" w:themeColor="text1"/>
                <w:szCs w:val="21"/>
                <w:highlight w:val="none"/>
                <w:shd w:val="pct10" w:color="auto" w:fill="FFFFFF"/>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42FDA2DB">
            <w:pPr>
              <w:adjustRightInd w:val="0"/>
              <w:jc w:val="center"/>
              <w:rPr>
                <w:rFonts w:ascii="宋体" w:hAnsi="宋体"/>
                <w:color w:val="000000" w:themeColor="text1"/>
                <w:szCs w:val="21"/>
                <w:highlight w:val="none"/>
                <w:shd w:val="pct10" w:color="auto" w:fill="FFFFFF"/>
                <w14:textFill>
                  <w14:solidFill>
                    <w14:schemeClr w14:val="tx1"/>
                  </w14:solidFill>
                </w14:textFill>
              </w:rPr>
            </w:pPr>
          </w:p>
        </w:tc>
      </w:tr>
      <w:tr w14:paraId="6883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22" w:type="dxa"/>
            <w:tcBorders>
              <w:top w:val="single" w:color="auto" w:sz="4" w:space="0"/>
              <w:left w:val="single" w:color="auto" w:sz="4" w:space="0"/>
              <w:bottom w:val="single" w:color="auto" w:sz="4" w:space="0"/>
              <w:right w:val="single" w:color="auto" w:sz="4" w:space="0"/>
            </w:tcBorders>
            <w:vAlign w:val="center"/>
          </w:tcPr>
          <w:p w14:paraId="54B28E4D">
            <w:pPr>
              <w:adjustRightInd w:val="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p>
        </w:tc>
        <w:tc>
          <w:tcPr>
            <w:tcW w:w="7118" w:type="dxa"/>
            <w:tcBorders>
              <w:top w:val="single" w:color="auto" w:sz="4" w:space="0"/>
              <w:left w:val="single" w:color="auto" w:sz="4" w:space="0"/>
              <w:bottom w:val="single" w:color="auto" w:sz="4" w:space="0"/>
              <w:right w:val="single" w:color="auto" w:sz="4" w:space="0"/>
            </w:tcBorders>
            <w:vAlign w:val="center"/>
          </w:tcPr>
          <w:p w14:paraId="7002DEDC">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无《参与编制技术标投标文件人员名单》的</w:t>
            </w:r>
          </w:p>
        </w:tc>
        <w:tc>
          <w:tcPr>
            <w:tcW w:w="1482" w:type="dxa"/>
            <w:tcBorders>
              <w:top w:val="single" w:color="auto" w:sz="4" w:space="0"/>
              <w:left w:val="single" w:color="auto" w:sz="4" w:space="0"/>
              <w:bottom w:val="single" w:color="auto" w:sz="4" w:space="0"/>
              <w:right w:val="single" w:color="auto" w:sz="4" w:space="0"/>
            </w:tcBorders>
            <w:vAlign w:val="center"/>
          </w:tcPr>
          <w:p w14:paraId="2EBB2199">
            <w:pPr>
              <w:adjustRightInd w:val="0"/>
              <w:jc w:val="center"/>
              <w:rPr>
                <w:rFonts w:ascii="宋体" w:hAnsi="宋体"/>
                <w:color w:val="000000" w:themeColor="text1"/>
                <w:szCs w:val="21"/>
                <w:highlight w:val="none"/>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11EE7864">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34EF9558">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054833FE">
            <w:pPr>
              <w:adjustRightInd w:val="0"/>
              <w:jc w:val="center"/>
              <w:rPr>
                <w:rFonts w:ascii="宋体" w:hAnsi="宋体"/>
                <w:color w:val="000000" w:themeColor="text1"/>
                <w:szCs w:val="21"/>
                <w:highlight w:val="none"/>
                <w14:textFill>
                  <w14:solidFill>
                    <w14:schemeClr w14:val="tx1"/>
                  </w14:solidFill>
                </w14:textFill>
              </w:rPr>
            </w:pPr>
          </w:p>
        </w:tc>
      </w:tr>
      <w:tr w14:paraId="6CB3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22" w:type="dxa"/>
            <w:tcBorders>
              <w:top w:val="single" w:color="auto" w:sz="4" w:space="0"/>
              <w:left w:val="single" w:color="auto" w:sz="4" w:space="0"/>
              <w:bottom w:val="single" w:color="auto" w:sz="4" w:space="0"/>
              <w:right w:val="single" w:color="auto" w:sz="4" w:space="0"/>
            </w:tcBorders>
            <w:vAlign w:val="center"/>
          </w:tcPr>
          <w:p w14:paraId="27DABBA6">
            <w:pPr>
              <w:adjustRightInd w:val="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p>
        </w:tc>
        <w:tc>
          <w:tcPr>
            <w:tcW w:w="7118" w:type="dxa"/>
            <w:tcBorders>
              <w:top w:val="single" w:color="auto" w:sz="4" w:space="0"/>
              <w:left w:val="single" w:color="auto" w:sz="4" w:space="0"/>
              <w:bottom w:val="single" w:color="auto" w:sz="4" w:space="0"/>
              <w:right w:val="single" w:color="auto" w:sz="4" w:space="0"/>
            </w:tcBorders>
            <w:vAlign w:val="center"/>
          </w:tcPr>
          <w:p w14:paraId="4E19A2AE">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投标人未按要求提交投标保证金的</w:t>
            </w:r>
          </w:p>
        </w:tc>
        <w:tc>
          <w:tcPr>
            <w:tcW w:w="1482" w:type="dxa"/>
            <w:tcBorders>
              <w:top w:val="single" w:color="auto" w:sz="4" w:space="0"/>
              <w:left w:val="single" w:color="auto" w:sz="4" w:space="0"/>
              <w:bottom w:val="single" w:color="auto" w:sz="4" w:space="0"/>
              <w:right w:val="single" w:color="auto" w:sz="4" w:space="0"/>
            </w:tcBorders>
            <w:vAlign w:val="center"/>
          </w:tcPr>
          <w:p w14:paraId="16D758C8">
            <w:pPr>
              <w:adjustRightInd w:val="0"/>
              <w:jc w:val="center"/>
              <w:rPr>
                <w:rFonts w:ascii="宋体" w:hAnsi="宋体"/>
                <w:color w:val="000000" w:themeColor="text1"/>
                <w:szCs w:val="21"/>
                <w:highlight w:val="none"/>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37C04D4A">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266F620C">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12C3E1CD">
            <w:pPr>
              <w:adjustRightInd w:val="0"/>
              <w:jc w:val="center"/>
              <w:rPr>
                <w:rFonts w:ascii="宋体" w:hAnsi="宋体"/>
                <w:color w:val="000000" w:themeColor="text1"/>
                <w:szCs w:val="21"/>
                <w:highlight w:val="none"/>
                <w14:textFill>
                  <w14:solidFill>
                    <w14:schemeClr w14:val="tx1"/>
                  </w14:solidFill>
                </w14:textFill>
              </w:rPr>
            </w:pPr>
          </w:p>
        </w:tc>
      </w:tr>
      <w:tr w14:paraId="085D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22" w:type="dxa"/>
            <w:tcBorders>
              <w:top w:val="single" w:color="auto" w:sz="4" w:space="0"/>
              <w:left w:val="single" w:color="auto" w:sz="4" w:space="0"/>
              <w:bottom w:val="single" w:color="auto" w:sz="4" w:space="0"/>
              <w:right w:val="single" w:color="auto" w:sz="4" w:space="0"/>
            </w:tcBorders>
            <w:vAlign w:val="center"/>
          </w:tcPr>
          <w:p w14:paraId="21381133">
            <w:pPr>
              <w:adjustRightInd w:val="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p>
        </w:tc>
        <w:tc>
          <w:tcPr>
            <w:tcW w:w="7118" w:type="dxa"/>
            <w:tcBorders>
              <w:top w:val="single" w:color="auto" w:sz="4" w:space="0"/>
              <w:left w:val="single" w:color="auto" w:sz="4" w:space="0"/>
              <w:bottom w:val="single" w:color="auto" w:sz="4" w:space="0"/>
              <w:right w:val="single" w:color="auto" w:sz="4" w:space="0"/>
            </w:tcBorders>
            <w:vAlign w:val="center"/>
          </w:tcPr>
          <w:p w14:paraId="5B33878B">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投标人与本项目其他投标人加密打包投标文件电脑机器特征码一致的(以交易平台评标系统的检索信息为准)</w:t>
            </w:r>
          </w:p>
        </w:tc>
        <w:tc>
          <w:tcPr>
            <w:tcW w:w="1482" w:type="dxa"/>
            <w:tcBorders>
              <w:top w:val="single" w:color="auto" w:sz="4" w:space="0"/>
              <w:left w:val="single" w:color="auto" w:sz="4" w:space="0"/>
              <w:bottom w:val="single" w:color="auto" w:sz="4" w:space="0"/>
              <w:right w:val="single" w:color="auto" w:sz="4" w:space="0"/>
            </w:tcBorders>
            <w:vAlign w:val="center"/>
          </w:tcPr>
          <w:p w14:paraId="138C9B4C">
            <w:pPr>
              <w:adjustRightInd w:val="0"/>
              <w:jc w:val="center"/>
              <w:rPr>
                <w:rFonts w:ascii="宋体" w:hAnsi="宋体"/>
                <w:color w:val="000000" w:themeColor="text1"/>
                <w:szCs w:val="21"/>
                <w:highlight w:val="none"/>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5FB80F5A">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29BB9065">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286E72E5">
            <w:pPr>
              <w:adjustRightInd w:val="0"/>
              <w:jc w:val="center"/>
              <w:rPr>
                <w:rFonts w:ascii="宋体" w:hAnsi="宋体"/>
                <w:color w:val="000000" w:themeColor="text1"/>
                <w:szCs w:val="21"/>
                <w:highlight w:val="none"/>
                <w14:textFill>
                  <w14:solidFill>
                    <w14:schemeClr w14:val="tx1"/>
                  </w14:solidFill>
                </w14:textFill>
              </w:rPr>
            </w:pPr>
          </w:p>
        </w:tc>
      </w:tr>
    </w:tbl>
    <w:p w14:paraId="2E82B08A">
      <w:pPr>
        <w:shd w:val="clear" w:color="auto" w:fill="auto"/>
        <w:spacing w:line="240" w:lineRule="auto"/>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hint="eastAsia" w:ascii="宋体" w:hAnsi="宋体" w:cs="宋体"/>
          <w:color w:val="000000" w:themeColor="text1"/>
          <w:szCs w:val="21"/>
          <w:highlight w:val="none"/>
          <w:lang w:bidi="ar"/>
          <w14:textFill>
            <w14:solidFill>
              <w14:schemeClr w14:val="tx1"/>
            </w14:solidFill>
          </w14:textFill>
        </w:rPr>
        <w:t>1.本表使用GZZB2018-3招标文件范本，与范本内容不同之处均以下划线标明。技术标评审中，响应性、承诺性内容不应作为评分因素，可在该表中对上述内容进行符合性审查。审查标准须具备可操作性。</w:t>
      </w:r>
    </w:p>
    <w:p w14:paraId="766BC5FD">
      <w:pPr>
        <w:shd w:val="clear" w:color="auto" w:fill="auto"/>
        <w:spacing w:line="24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    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4F90B0E">
      <w:pPr>
        <w:shd w:val="clear" w:color="auto" w:fill="auto"/>
        <w:spacing w:line="24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    3.凡出现以上任何一项情形，结论均为无效，否则就为有效。</w:t>
      </w:r>
    </w:p>
    <w:p w14:paraId="1EFFBBC7">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4.如对本表中某种情形的评审意见不一致时，以评标委员会过半数成员的意见作为评标委员会对该情形的认定结论</w:t>
      </w:r>
      <w:r>
        <w:rPr>
          <w:rFonts w:hint="eastAsia" w:ascii="宋体" w:hAnsi="宋体"/>
          <w:color w:val="000000" w:themeColor="text1"/>
          <w:szCs w:val="21"/>
          <w:highlight w:val="none"/>
          <w14:textFill>
            <w14:solidFill>
              <w14:schemeClr w14:val="tx1"/>
            </w14:solidFill>
          </w14:textFill>
        </w:rPr>
        <w:t>。</w:t>
      </w:r>
    </w:p>
    <w:p w14:paraId="20ACFE9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评委签名：</w:t>
      </w:r>
    </w:p>
    <w:p w14:paraId="597068AB">
      <w:pPr>
        <w:outlineLvl w:val="3"/>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szCs w:val="21"/>
          <w:highlight w:val="none"/>
          <w14:textFill>
            <w14:solidFill>
              <w14:schemeClr w14:val="tx1"/>
            </w14:solidFill>
          </w14:textFill>
        </w:rPr>
        <w:t>附表三：经济标有效性审查表</w:t>
      </w:r>
    </w:p>
    <w:p w14:paraId="734FB1C0">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经济标有效性审查表</w:t>
      </w:r>
    </w:p>
    <w:p w14:paraId="3D20F0FA">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工程名称：</w:t>
      </w:r>
    </w:p>
    <w:tbl>
      <w:tblPr>
        <w:tblStyle w:val="36"/>
        <w:tblW w:w="13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tblGrid>
      <w:tr w14:paraId="0FC4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4564D44E">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5550365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w:t>
            </w:r>
          </w:p>
          <w:p w14:paraId="364DB9E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评审内容</w:t>
            </w:r>
          </w:p>
        </w:tc>
        <w:tc>
          <w:tcPr>
            <w:tcW w:w="1397" w:type="dxa"/>
            <w:tcBorders>
              <w:top w:val="single" w:color="auto" w:sz="4" w:space="0"/>
              <w:left w:val="single" w:color="auto" w:sz="4" w:space="0"/>
              <w:bottom w:val="single" w:color="auto" w:sz="4" w:space="0"/>
              <w:right w:val="single" w:color="auto" w:sz="4" w:space="0"/>
            </w:tcBorders>
            <w:vAlign w:val="center"/>
          </w:tcPr>
          <w:p w14:paraId="126F89CF">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2B2E636C">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4F3F9D76">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31BF35D1">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52A85451">
            <w:pPr>
              <w:jc w:val="center"/>
              <w:rPr>
                <w:rFonts w:ascii="宋体" w:hAnsi="宋体"/>
                <w:color w:val="000000" w:themeColor="text1"/>
                <w:szCs w:val="21"/>
                <w:highlight w:val="none"/>
                <w14:textFill>
                  <w14:solidFill>
                    <w14:schemeClr w14:val="tx1"/>
                  </w14:solidFill>
                </w14:textFill>
              </w:rPr>
            </w:pPr>
          </w:p>
        </w:tc>
      </w:tr>
      <w:tr w14:paraId="0179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8C23BC7">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6102" w:type="dxa"/>
            <w:tcBorders>
              <w:top w:val="single" w:color="auto" w:sz="4" w:space="0"/>
              <w:left w:val="single" w:color="auto" w:sz="4" w:space="0"/>
              <w:bottom w:val="single" w:color="auto" w:sz="4" w:space="0"/>
              <w:right w:val="single" w:color="auto" w:sz="4" w:space="0"/>
            </w:tcBorders>
            <w:vAlign w:val="center"/>
          </w:tcPr>
          <w:p w14:paraId="5872D55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vAlign w:val="center"/>
          </w:tcPr>
          <w:p w14:paraId="4E892211">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31A13B62">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400E86CD">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107ABC73">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1E710021">
            <w:pPr>
              <w:jc w:val="center"/>
              <w:rPr>
                <w:rFonts w:ascii="宋体" w:hAnsi="宋体"/>
                <w:color w:val="000000" w:themeColor="text1"/>
                <w:szCs w:val="21"/>
                <w:highlight w:val="none"/>
                <w14:textFill>
                  <w14:solidFill>
                    <w14:schemeClr w14:val="tx1"/>
                  </w14:solidFill>
                </w14:textFill>
              </w:rPr>
            </w:pPr>
          </w:p>
        </w:tc>
      </w:tr>
      <w:tr w14:paraId="3DDE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E2467C5">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6102" w:type="dxa"/>
            <w:tcBorders>
              <w:top w:val="single" w:color="auto" w:sz="4" w:space="0"/>
              <w:left w:val="single" w:color="auto" w:sz="4" w:space="0"/>
              <w:bottom w:val="single" w:color="auto" w:sz="4" w:space="0"/>
              <w:right w:val="single" w:color="auto" w:sz="4" w:space="0"/>
            </w:tcBorders>
            <w:vAlign w:val="center"/>
          </w:tcPr>
          <w:p w14:paraId="03BF11B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投标报价高于最高投标限价的</w:t>
            </w:r>
            <w:r>
              <w:rPr>
                <w:rFonts w:hint="eastAsia" w:ascii="宋体" w:hAnsi="宋体"/>
                <w:color w:val="000000" w:themeColor="text1"/>
                <w:szCs w:val="21"/>
                <w:highlight w:val="none"/>
                <w:u w:val="single"/>
                <w14:textFill>
                  <w14:solidFill>
                    <w14:schemeClr w14:val="tx1"/>
                  </w14:solidFill>
                </w14:textFill>
              </w:rPr>
              <w:t>（以最高投标限价公布函公布的各项控制数据为准）</w:t>
            </w:r>
            <w:r>
              <w:rPr>
                <w:rFonts w:hint="eastAsia" w:ascii="宋体" w:hAnsi="宋体"/>
                <w:color w:val="000000" w:themeColor="text1"/>
                <w:szCs w:val="21"/>
                <w:highlight w:val="none"/>
                <w14:textFill>
                  <w14:solidFill>
                    <w14:schemeClr w14:val="tx1"/>
                  </w14:solidFill>
                </w14:textFill>
              </w:rPr>
              <w:t>；</w:t>
            </w:r>
          </w:p>
        </w:tc>
        <w:tc>
          <w:tcPr>
            <w:tcW w:w="1397" w:type="dxa"/>
            <w:tcBorders>
              <w:top w:val="single" w:color="auto" w:sz="4" w:space="0"/>
              <w:left w:val="single" w:color="auto" w:sz="4" w:space="0"/>
              <w:bottom w:val="single" w:color="auto" w:sz="4" w:space="0"/>
              <w:right w:val="single" w:color="auto" w:sz="4" w:space="0"/>
            </w:tcBorders>
            <w:vAlign w:val="center"/>
          </w:tcPr>
          <w:p w14:paraId="6475C1AB">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66AD6434">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5BBA574C">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43EEAD5E">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7391102B">
            <w:pPr>
              <w:jc w:val="center"/>
              <w:rPr>
                <w:rFonts w:ascii="宋体" w:hAnsi="宋体"/>
                <w:color w:val="000000" w:themeColor="text1"/>
                <w:szCs w:val="21"/>
                <w:highlight w:val="none"/>
                <w14:textFill>
                  <w14:solidFill>
                    <w14:schemeClr w14:val="tx1"/>
                  </w14:solidFill>
                </w14:textFill>
              </w:rPr>
            </w:pPr>
          </w:p>
        </w:tc>
      </w:tr>
      <w:tr w14:paraId="7DB0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4ED381A">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6102" w:type="dxa"/>
            <w:tcBorders>
              <w:top w:val="single" w:color="auto" w:sz="4" w:space="0"/>
              <w:left w:val="single" w:color="auto" w:sz="4" w:space="0"/>
              <w:bottom w:val="single" w:color="auto" w:sz="4" w:space="0"/>
              <w:right w:val="single" w:color="auto" w:sz="4" w:space="0"/>
            </w:tcBorders>
            <w:vAlign w:val="center"/>
          </w:tcPr>
          <w:p w14:paraId="1CFA6B84">
            <w:pPr>
              <w:autoSpaceDE w:val="0"/>
              <w:autoSpaceDN w:val="0"/>
              <w:adjustRightInd w:val="0"/>
              <w:ind w:left="-2"/>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投标报价低于成本的；</w:t>
            </w:r>
          </w:p>
        </w:tc>
        <w:tc>
          <w:tcPr>
            <w:tcW w:w="1397" w:type="dxa"/>
            <w:tcBorders>
              <w:top w:val="single" w:color="auto" w:sz="4" w:space="0"/>
              <w:left w:val="single" w:color="auto" w:sz="4" w:space="0"/>
              <w:bottom w:val="single" w:color="auto" w:sz="4" w:space="0"/>
              <w:right w:val="single" w:color="auto" w:sz="4" w:space="0"/>
            </w:tcBorders>
            <w:vAlign w:val="center"/>
          </w:tcPr>
          <w:p w14:paraId="1507CAF6">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10FF0A9E">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0995D65F">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644465C3">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23A63FAA">
            <w:pPr>
              <w:jc w:val="center"/>
              <w:rPr>
                <w:rFonts w:ascii="宋体" w:hAnsi="宋体"/>
                <w:color w:val="000000" w:themeColor="text1"/>
                <w:szCs w:val="21"/>
                <w:highlight w:val="none"/>
                <w14:textFill>
                  <w14:solidFill>
                    <w14:schemeClr w14:val="tx1"/>
                  </w14:solidFill>
                </w14:textFill>
              </w:rPr>
            </w:pPr>
          </w:p>
        </w:tc>
      </w:tr>
      <w:tr w14:paraId="0546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1BEB410">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p>
        </w:tc>
        <w:tc>
          <w:tcPr>
            <w:tcW w:w="6102" w:type="dxa"/>
            <w:tcBorders>
              <w:top w:val="single" w:color="auto" w:sz="4" w:space="0"/>
              <w:left w:val="single" w:color="auto" w:sz="4" w:space="0"/>
              <w:bottom w:val="single" w:color="auto" w:sz="4" w:space="0"/>
              <w:right w:val="single" w:color="auto" w:sz="4" w:space="0"/>
            </w:tcBorders>
            <w:vAlign w:val="center"/>
          </w:tcPr>
          <w:p w14:paraId="1E3BA247">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投标文件未按招标文件第四章规定的（经济标投标文件格式三、四）填写，或主要内容不全，或关键字迹模糊、无法辨认的；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vAlign w:val="center"/>
          </w:tcPr>
          <w:p w14:paraId="5F1F2C44">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75B60994">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2406C571">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75D58645">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47390DFC">
            <w:pPr>
              <w:jc w:val="center"/>
              <w:rPr>
                <w:rFonts w:ascii="宋体" w:hAnsi="宋体"/>
                <w:color w:val="000000" w:themeColor="text1"/>
                <w:szCs w:val="21"/>
                <w:highlight w:val="none"/>
                <w14:textFill>
                  <w14:solidFill>
                    <w14:schemeClr w14:val="tx1"/>
                  </w14:solidFill>
                </w14:textFill>
              </w:rPr>
            </w:pPr>
          </w:p>
        </w:tc>
      </w:tr>
      <w:tr w14:paraId="08CA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52E0705">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p>
        </w:tc>
        <w:tc>
          <w:tcPr>
            <w:tcW w:w="6102" w:type="dxa"/>
            <w:tcBorders>
              <w:top w:val="single" w:color="auto" w:sz="4" w:space="0"/>
              <w:left w:val="single" w:color="auto" w:sz="4" w:space="0"/>
              <w:bottom w:val="single" w:color="auto" w:sz="4" w:space="0"/>
              <w:right w:val="single" w:color="auto" w:sz="4" w:space="0"/>
            </w:tcBorders>
            <w:vAlign w:val="center"/>
          </w:tcPr>
          <w:p w14:paraId="1D3956C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vAlign w:val="center"/>
          </w:tcPr>
          <w:p w14:paraId="520E76F5">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33401AA8">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1F298D31">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60663796">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0D036AF3">
            <w:pPr>
              <w:jc w:val="center"/>
              <w:rPr>
                <w:rFonts w:ascii="宋体" w:hAnsi="宋体"/>
                <w:color w:val="000000" w:themeColor="text1"/>
                <w:szCs w:val="21"/>
                <w:highlight w:val="none"/>
                <w14:textFill>
                  <w14:solidFill>
                    <w14:schemeClr w14:val="tx1"/>
                  </w14:solidFill>
                </w14:textFill>
              </w:rPr>
            </w:pPr>
          </w:p>
        </w:tc>
      </w:tr>
      <w:tr w14:paraId="76D8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CCF0869">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p>
        </w:tc>
        <w:tc>
          <w:tcPr>
            <w:tcW w:w="6102" w:type="dxa"/>
            <w:tcBorders>
              <w:top w:val="single" w:color="auto" w:sz="4" w:space="0"/>
              <w:left w:val="single" w:color="auto" w:sz="4" w:space="0"/>
              <w:bottom w:val="single" w:color="auto" w:sz="4" w:space="0"/>
              <w:right w:val="single" w:color="auto" w:sz="4" w:space="0"/>
            </w:tcBorders>
            <w:vAlign w:val="center"/>
          </w:tcPr>
          <w:p w14:paraId="2B2BA22E">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vAlign w:val="center"/>
          </w:tcPr>
          <w:p w14:paraId="64B3268F">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0925C048">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5F415E70">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1F912282">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03E6A262">
            <w:pPr>
              <w:jc w:val="center"/>
              <w:rPr>
                <w:rFonts w:ascii="宋体" w:hAnsi="宋体"/>
                <w:color w:val="000000" w:themeColor="text1"/>
                <w:szCs w:val="21"/>
                <w:highlight w:val="none"/>
                <w14:textFill>
                  <w14:solidFill>
                    <w14:schemeClr w14:val="tx1"/>
                  </w14:solidFill>
                </w14:textFill>
              </w:rPr>
            </w:pPr>
          </w:p>
        </w:tc>
      </w:tr>
      <w:tr w14:paraId="66D2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8F0CD7E">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p>
        </w:tc>
        <w:tc>
          <w:tcPr>
            <w:tcW w:w="6102" w:type="dxa"/>
            <w:tcBorders>
              <w:top w:val="single" w:color="auto" w:sz="4" w:space="0"/>
              <w:left w:val="single" w:color="auto" w:sz="4" w:space="0"/>
              <w:bottom w:val="single" w:color="auto" w:sz="4" w:space="0"/>
              <w:right w:val="single" w:color="auto" w:sz="4" w:space="0"/>
            </w:tcBorders>
            <w:vAlign w:val="center"/>
          </w:tcPr>
          <w:p w14:paraId="7C9896E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无《对投标文件编制的承诺》</w:t>
            </w:r>
          </w:p>
        </w:tc>
        <w:tc>
          <w:tcPr>
            <w:tcW w:w="1397" w:type="dxa"/>
            <w:tcBorders>
              <w:top w:val="single" w:color="auto" w:sz="4" w:space="0"/>
              <w:left w:val="single" w:color="auto" w:sz="4" w:space="0"/>
              <w:bottom w:val="single" w:color="auto" w:sz="4" w:space="0"/>
              <w:right w:val="single" w:color="auto" w:sz="4" w:space="0"/>
            </w:tcBorders>
            <w:vAlign w:val="center"/>
          </w:tcPr>
          <w:p w14:paraId="312839FD">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2F25094D">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3E24A9F9">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43B34596">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400AC40F">
            <w:pPr>
              <w:jc w:val="center"/>
              <w:rPr>
                <w:rFonts w:ascii="宋体" w:hAnsi="宋体"/>
                <w:color w:val="000000" w:themeColor="text1"/>
                <w:szCs w:val="21"/>
                <w:highlight w:val="none"/>
                <w14:textFill>
                  <w14:solidFill>
                    <w14:schemeClr w14:val="tx1"/>
                  </w14:solidFill>
                </w14:textFill>
              </w:rPr>
            </w:pPr>
          </w:p>
        </w:tc>
      </w:tr>
      <w:tr w14:paraId="7069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FF1E15B">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p>
        </w:tc>
        <w:tc>
          <w:tcPr>
            <w:tcW w:w="6102" w:type="dxa"/>
            <w:tcBorders>
              <w:top w:val="single" w:color="auto" w:sz="4" w:space="0"/>
              <w:left w:val="single" w:color="auto" w:sz="4" w:space="0"/>
              <w:bottom w:val="single" w:color="auto" w:sz="4" w:space="0"/>
              <w:right w:val="single" w:color="auto" w:sz="4" w:space="0"/>
            </w:tcBorders>
            <w:vAlign w:val="center"/>
          </w:tcPr>
          <w:p w14:paraId="2216014A">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投标人与本项目其他投标人的投标文件工程量清单编制机器硬件信息一致的（以交易平台评标系统的检索信息为准）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vAlign w:val="center"/>
          </w:tcPr>
          <w:p w14:paraId="51F83300">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53595BF2">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533EC7C9">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3EF07619">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370456B4">
            <w:pPr>
              <w:jc w:val="center"/>
              <w:rPr>
                <w:rFonts w:ascii="宋体" w:hAnsi="宋体"/>
                <w:color w:val="000000" w:themeColor="text1"/>
                <w:szCs w:val="21"/>
                <w:highlight w:val="none"/>
                <w14:textFill>
                  <w14:solidFill>
                    <w14:schemeClr w14:val="tx1"/>
                  </w14:solidFill>
                </w14:textFill>
              </w:rPr>
            </w:pPr>
          </w:p>
        </w:tc>
      </w:tr>
    </w:tbl>
    <w:p w14:paraId="3BCC9F09">
      <w:pPr>
        <w:widowControl/>
        <w:jc w:val="left"/>
        <w:rPr>
          <w:rFonts w:hint="eastAsia" w:ascii="宋体" w:hAnsi="宋体" w:eastAsia="宋体" w:cs="宋体"/>
          <w:bCs/>
          <w:color w:val="000000" w:themeColor="text1"/>
          <w:kern w:val="0"/>
          <w:sz w:val="2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hint="eastAsia" w:ascii="宋体" w:hAnsi="宋体" w:eastAsia="宋体" w:cs="宋体"/>
          <w:bCs/>
          <w:color w:val="000000" w:themeColor="text1"/>
          <w:kern w:val="0"/>
          <w:sz w:val="22"/>
          <w:highlight w:val="none"/>
          <w14:textFill>
            <w14:solidFill>
              <w14:schemeClr w14:val="tx1"/>
            </w14:solidFill>
          </w14:textFill>
        </w:rPr>
        <w:t>1.本表使用GZZB2018-1招标文件范本，与范本内容不同之处均以下划线标明。</w:t>
      </w:r>
    </w:p>
    <w:p w14:paraId="09ACD743">
      <w:pPr>
        <w:widowControl/>
        <w:jc w:val="left"/>
        <w:rPr>
          <w:rFonts w:hint="eastAsia" w:ascii="宋体" w:hAnsi="宋体" w:eastAsia="宋体" w:cs="宋体"/>
          <w:bCs/>
          <w:color w:val="000000" w:themeColor="text1"/>
          <w:kern w:val="0"/>
          <w:sz w:val="22"/>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2.凡出现以上任何一项情形，结论均为无效，否则就为有效。</w:t>
      </w:r>
    </w:p>
    <w:p w14:paraId="3CB9DD47">
      <w:pPr>
        <w:widowControl/>
        <w:jc w:val="left"/>
        <w:rPr>
          <w:rFonts w:hint="eastAsia" w:ascii="宋体" w:hAnsi="宋体" w:eastAsia="宋体" w:cs="宋体"/>
          <w:bCs/>
          <w:color w:val="000000" w:themeColor="text1"/>
          <w:kern w:val="0"/>
          <w:sz w:val="22"/>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3.如对本表中某种情形的评审意见不一致时，以评标委员会过半数成员的意见作为评标委员会对该情形的认定结论。</w:t>
      </w:r>
    </w:p>
    <w:p w14:paraId="6212E018">
      <w:pPr>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b/>
          <w:bCs/>
          <w:color w:val="000000" w:themeColor="text1"/>
          <w:kern w:val="0"/>
          <w:sz w:val="22"/>
          <w:highlight w:val="none"/>
          <w14:textFill>
            <w14:solidFill>
              <w14:schemeClr w14:val="tx1"/>
            </w14:solidFill>
          </w14:textFill>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color w:val="000000" w:themeColor="text1"/>
          <w:szCs w:val="21"/>
          <w:highlight w:val="none"/>
          <w14:textFill>
            <w14:solidFill>
              <w14:schemeClr w14:val="tx1"/>
            </w14:solidFill>
          </w14:textFill>
        </w:rPr>
        <w:t>。</w:t>
      </w:r>
    </w:p>
    <w:p w14:paraId="0740FBB2">
      <w:pPr>
        <w:pStyle w:val="34"/>
        <w:ind w:firstLine="4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评委签名：</w:t>
      </w:r>
    </w:p>
    <w:p w14:paraId="5978D058">
      <w:pPr>
        <w:rPr>
          <w:color w:val="000000" w:themeColor="text1"/>
          <w:szCs w:val="21"/>
          <w:highlight w:val="none"/>
          <w14:textFill>
            <w14:solidFill>
              <w14:schemeClr w14:val="tx1"/>
            </w14:solidFill>
          </w14:textFill>
        </w:rPr>
        <w:sectPr>
          <w:headerReference r:id="rId6" w:type="default"/>
          <w:footerReference r:id="rId7" w:type="default"/>
          <w:endnotePr>
            <w:numFmt w:val="decimal"/>
          </w:endnotePr>
          <w:pgSz w:w="16838" w:h="11906" w:orient="landscape"/>
          <w:pgMar w:top="1417" w:right="1417" w:bottom="1417" w:left="1417" w:header="851" w:footer="680" w:gutter="0"/>
          <w:cols w:space="720" w:num="1"/>
          <w:docGrid w:type="lines" w:linePitch="312" w:charSpace="0"/>
        </w:sectPr>
      </w:pPr>
    </w:p>
    <w:p w14:paraId="79F1E6FC">
      <w:pPr>
        <w:outlineLvl w:val="3"/>
        <w:rPr>
          <w:color w:val="000000" w:themeColor="text1"/>
          <w:szCs w:val="21"/>
          <w:highlight w:val="none"/>
          <w14:textFill>
            <w14:solidFill>
              <w14:schemeClr w14:val="tx1"/>
            </w14:solidFill>
          </w14:textFill>
        </w:rPr>
      </w:pPr>
      <w:bookmarkStart w:id="41" w:name="_Hlk156231060"/>
      <w:r>
        <w:rPr>
          <w:rFonts w:hint="eastAsia"/>
          <w:color w:val="000000" w:themeColor="text1"/>
          <w:szCs w:val="21"/>
          <w:highlight w:val="none"/>
          <w14:textFill>
            <w14:solidFill>
              <w14:schemeClr w14:val="tx1"/>
            </w14:solidFill>
          </w14:textFill>
        </w:rPr>
        <w:t>附表四：技术标详细审查评分表</w:t>
      </w:r>
    </w:p>
    <w:p w14:paraId="51A18D4A">
      <w:pPr>
        <w:jc w:val="center"/>
        <w:rPr>
          <w:rFonts w:hint="eastAsia" w:ascii="宋体" w:hAnsi="宋体" w:eastAsia="宋体"/>
          <w:b/>
          <w:bCs/>
          <w:color w:val="000000" w:themeColor="text1"/>
          <w:sz w:val="36"/>
          <w:szCs w:val="36"/>
          <w:highlight w:val="none"/>
          <w:lang w:eastAsia="zh-CN"/>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技术标详细审查评分表</w:t>
      </w:r>
    </w:p>
    <w:p w14:paraId="7F3186AF">
      <w:pPr>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工程名称：</w:t>
      </w:r>
    </w:p>
    <w:tbl>
      <w:tblPr>
        <w:tblStyle w:val="36"/>
        <w:tblW w:w="13918"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174"/>
        <w:gridCol w:w="732"/>
        <w:gridCol w:w="10918"/>
      </w:tblGrid>
      <w:tr w14:paraId="154D1C1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14:paraId="5AB777FE">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评分项目</w:t>
            </w:r>
          </w:p>
        </w:tc>
        <w:tc>
          <w:tcPr>
            <w:tcW w:w="1174" w:type="dxa"/>
            <w:tcBorders>
              <w:top w:val="single" w:color="auto" w:sz="4" w:space="0"/>
              <w:left w:val="single" w:color="auto" w:sz="4" w:space="0"/>
              <w:bottom w:val="single" w:color="auto" w:sz="4" w:space="0"/>
              <w:right w:val="single" w:color="auto" w:sz="4" w:space="0"/>
            </w:tcBorders>
            <w:vAlign w:val="center"/>
          </w:tcPr>
          <w:p w14:paraId="7238B9EE">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评分内容</w:t>
            </w:r>
          </w:p>
        </w:tc>
        <w:tc>
          <w:tcPr>
            <w:tcW w:w="732" w:type="dxa"/>
            <w:tcBorders>
              <w:top w:val="single" w:color="auto" w:sz="4" w:space="0"/>
              <w:left w:val="single" w:color="auto" w:sz="4" w:space="0"/>
              <w:bottom w:val="single" w:color="auto" w:sz="4" w:space="0"/>
              <w:right w:val="single" w:color="auto" w:sz="4" w:space="0"/>
            </w:tcBorders>
            <w:vAlign w:val="center"/>
          </w:tcPr>
          <w:p w14:paraId="580856E3">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分值</w:t>
            </w:r>
          </w:p>
        </w:tc>
        <w:tc>
          <w:tcPr>
            <w:tcW w:w="10918" w:type="dxa"/>
            <w:tcBorders>
              <w:top w:val="single" w:color="auto" w:sz="4" w:space="0"/>
              <w:left w:val="single" w:color="auto" w:sz="4" w:space="0"/>
              <w:bottom w:val="single" w:color="auto" w:sz="4" w:space="0"/>
              <w:right w:val="single" w:color="auto" w:sz="4" w:space="0"/>
            </w:tcBorders>
            <w:vAlign w:val="center"/>
          </w:tcPr>
          <w:p w14:paraId="5971EBE8">
            <w:pPr>
              <w:keepNext w:val="0"/>
              <w:keepLines w:val="0"/>
              <w:pageBreakBefore w:val="0"/>
              <w:widowControl/>
              <w:tabs>
                <w:tab w:val="left" w:pos="3570"/>
              </w:tabs>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评审标准</w:t>
            </w:r>
          </w:p>
        </w:tc>
      </w:tr>
      <w:tr w14:paraId="4507400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vMerge w:val="restart"/>
            <w:tcBorders>
              <w:top w:val="single" w:color="auto" w:sz="4" w:space="0"/>
              <w:left w:val="single" w:color="auto" w:sz="4" w:space="0"/>
              <w:right w:val="single" w:color="auto" w:sz="4" w:space="0"/>
            </w:tcBorders>
            <w:vAlign w:val="center"/>
          </w:tcPr>
          <w:p w14:paraId="394C50E9">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项目管理机构能力</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w:t>
            </w:r>
          </w:p>
        </w:tc>
        <w:tc>
          <w:tcPr>
            <w:tcW w:w="1174" w:type="dxa"/>
            <w:tcBorders>
              <w:top w:val="single" w:color="auto" w:sz="4" w:space="0"/>
              <w:left w:val="single" w:color="auto" w:sz="4" w:space="0"/>
              <w:right w:val="single" w:color="auto" w:sz="4" w:space="0"/>
            </w:tcBorders>
            <w:vAlign w:val="center"/>
          </w:tcPr>
          <w:p w14:paraId="31EC26D1">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项目负责人</w:t>
            </w:r>
          </w:p>
        </w:tc>
        <w:tc>
          <w:tcPr>
            <w:tcW w:w="732" w:type="dxa"/>
            <w:tcBorders>
              <w:top w:val="single" w:color="auto" w:sz="4" w:space="0"/>
              <w:left w:val="single" w:color="auto" w:sz="4" w:space="0"/>
              <w:right w:val="single" w:color="auto" w:sz="4" w:space="0"/>
            </w:tcBorders>
            <w:vAlign w:val="center"/>
          </w:tcPr>
          <w:p w14:paraId="29B46208">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default" w:ascii="宋体" w:hAnsi="宋体" w:cs="宋体"/>
                <w:color w:val="000000" w:themeColor="text1"/>
                <w:szCs w:val="21"/>
                <w:highlight w:val="none"/>
                <w:lang w:val="en" w:eastAsia="zh-CN"/>
                <w14:textFill>
                  <w14:solidFill>
                    <w14:schemeClr w14:val="tx1"/>
                  </w14:solidFill>
                </w14:textFill>
              </w:rPr>
              <w:t>0</w:t>
            </w:r>
          </w:p>
        </w:tc>
        <w:tc>
          <w:tcPr>
            <w:tcW w:w="10918" w:type="dxa"/>
            <w:tcBorders>
              <w:top w:val="single" w:color="auto" w:sz="4" w:space="0"/>
              <w:left w:val="single" w:color="auto" w:sz="4" w:space="0"/>
              <w:bottom w:val="single" w:color="auto" w:sz="4" w:space="0"/>
              <w:right w:val="single" w:color="auto" w:sz="4" w:space="0"/>
            </w:tcBorders>
            <w:vAlign w:val="center"/>
          </w:tcPr>
          <w:p w14:paraId="05BEDF03">
            <w:pPr>
              <w:keepNext w:val="0"/>
              <w:keepLines w:val="0"/>
              <w:pageBreakBefore w:val="0"/>
              <w:widowControl/>
              <w:numPr>
                <w:ilvl w:val="0"/>
                <w:numId w:val="0"/>
              </w:numPr>
              <w:kinsoku/>
              <w:wordWrap w:val="0"/>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项目负责人具备机电</w:t>
            </w:r>
            <w:r>
              <w:rPr>
                <w:rFonts w:hint="eastAsia" w:ascii="宋体" w:hAnsi="宋体" w:cs="宋体"/>
                <w:color w:val="000000" w:themeColor="text1"/>
                <w:sz w:val="21"/>
                <w:szCs w:val="21"/>
                <w:highlight w:val="none"/>
                <w:lang w:eastAsia="zh-CN"/>
                <w14:textFill>
                  <w14:solidFill>
                    <w14:schemeClr w14:val="tx1"/>
                  </w14:solidFill>
                </w14:textFill>
              </w:rPr>
              <w:t>类</w:t>
            </w:r>
            <w:r>
              <w:rPr>
                <w:rFonts w:hint="eastAsia" w:ascii="宋体" w:hAnsi="宋体" w:eastAsia="宋体" w:cs="宋体"/>
                <w:color w:val="000000" w:themeColor="text1"/>
                <w:sz w:val="21"/>
                <w:szCs w:val="21"/>
                <w:highlight w:val="none"/>
                <w14:textFill>
                  <w14:solidFill>
                    <w14:schemeClr w14:val="tx1"/>
                  </w14:solidFill>
                </w14:textFill>
              </w:rPr>
              <w:t>或电气类</w:t>
            </w:r>
            <w:r>
              <w:rPr>
                <w:rFonts w:hint="eastAsia" w:ascii="宋体" w:hAnsi="宋体" w:cs="宋体"/>
                <w:color w:val="000000" w:themeColor="text1"/>
                <w:sz w:val="21"/>
                <w:szCs w:val="21"/>
                <w:highlight w:val="none"/>
                <w:lang w:eastAsia="zh-CN"/>
                <w14:textFill>
                  <w14:solidFill>
                    <w14:schemeClr w14:val="tx1"/>
                  </w14:solidFill>
                </w14:textFill>
              </w:rPr>
              <w:t>或电力类</w:t>
            </w:r>
            <w:r>
              <w:rPr>
                <w:rFonts w:hint="eastAsia" w:ascii="宋体" w:hAnsi="宋体" w:eastAsia="宋体" w:cs="宋体"/>
                <w:color w:val="000000" w:themeColor="text1"/>
                <w:sz w:val="21"/>
                <w:szCs w:val="21"/>
                <w:highlight w:val="none"/>
                <w14:textFill>
                  <w14:solidFill>
                    <w14:schemeClr w14:val="tx1"/>
                  </w14:solidFill>
                </w14:textFill>
              </w:rPr>
              <w:t>相关</w:t>
            </w:r>
            <w:r>
              <w:rPr>
                <w:rFonts w:hint="eastAsia" w:ascii="宋体" w:hAnsi="宋体" w:eastAsia="宋体" w:cs="宋体"/>
                <w:color w:val="000000" w:themeColor="text1"/>
                <w:sz w:val="21"/>
                <w:szCs w:val="21"/>
                <w:highlight w:val="none"/>
                <w:lang w:val="en-US" w:eastAsia="zh-CN"/>
                <w14:textFill>
                  <w14:solidFill>
                    <w14:schemeClr w14:val="tx1"/>
                  </w14:solidFill>
                </w14:textFill>
              </w:rPr>
              <w:t>专业</w:t>
            </w:r>
            <w:r>
              <w:rPr>
                <w:rFonts w:hint="eastAsia" w:ascii="宋体" w:hAnsi="宋体" w:cs="宋体"/>
                <w:color w:val="000000" w:themeColor="text1"/>
                <w:szCs w:val="21"/>
                <w:highlight w:val="none"/>
                <w14:textFill>
                  <w14:solidFill>
                    <w14:schemeClr w14:val="tx1"/>
                  </w14:solidFill>
                </w14:textFill>
              </w:rPr>
              <w:t>副高级（或以上）</w:t>
            </w:r>
            <w:r>
              <w:rPr>
                <w:rFonts w:hint="eastAsia" w:ascii="宋体" w:hAnsi="宋体" w:eastAsia="宋体" w:cs="宋体"/>
                <w:color w:val="000000" w:themeColor="text1"/>
                <w:sz w:val="21"/>
                <w:szCs w:val="21"/>
                <w:highlight w:val="none"/>
                <w14:textFill>
                  <w14:solidFill>
                    <w14:schemeClr w14:val="tx1"/>
                  </w14:solidFill>
                </w14:textFill>
              </w:rPr>
              <w:t>工程师职称，得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中级</w:t>
            </w:r>
            <w:r>
              <w:rPr>
                <w:rFonts w:hint="eastAsia" w:ascii="宋体" w:hAnsi="宋体" w:eastAsia="宋体" w:cs="宋体"/>
                <w:color w:val="000000" w:themeColor="text1"/>
                <w:sz w:val="21"/>
                <w:szCs w:val="21"/>
                <w:highlight w:val="none"/>
                <w14:textFill>
                  <w14:solidFill>
                    <w14:schemeClr w14:val="tx1"/>
                  </w14:solidFill>
                </w14:textFill>
              </w:rPr>
              <w:t>工程师职称，得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w:t>
            </w:r>
            <w:r>
              <w:rPr>
                <w:rFonts w:hint="eastAsia" w:ascii="宋体" w:hAnsi="宋体" w:eastAsia="宋体" w:cs="宋体"/>
                <w:color w:val="000000" w:themeColor="text1"/>
                <w:sz w:val="21"/>
                <w:szCs w:val="21"/>
                <w:highlight w:val="none"/>
                <w14:textFill>
                  <w14:solidFill>
                    <w14:schemeClr w14:val="tx1"/>
                  </w14:solidFill>
                </w14:textFill>
              </w:rPr>
              <w:t>最高得</w:t>
            </w:r>
            <w:r>
              <w:rPr>
                <w:rFonts w:hint="default" w:ascii="宋体" w:hAnsi="宋体" w:cs="宋体"/>
                <w:color w:val="000000" w:themeColor="text1"/>
                <w:sz w:val="21"/>
                <w:szCs w:val="21"/>
                <w:highlight w:val="none"/>
                <w:lang w:val="e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6F08637">
            <w:pPr>
              <w:pStyle w:val="18"/>
              <w:keepNext w:val="0"/>
              <w:keepLines w:val="0"/>
              <w:pageBreakBefore w:val="0"/>
              <w:numPr>
                <w:ilvl w:val="0"/>
                <w:numId w:val="0"/>
              </w:numPr>
              <w:kinsoku/>
              <w:overflowPunct/>
              <w:topLinePunct w:val="0"/>
              <w:autoSpaceDE/>
              <w:autoSpaceDN/>
              <w:bidi w:val="0"/>
              <w:snapToGrid/>
              <w:spacing w:beforeAutospacing="0"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拟委派的项目负责人</w:t>
            </w:r>
            <w:r>
              <w:rPr>
                <w:rFonts w:hint="eastAsia" w:ascii="宋体" w:hAnsi="宋体" w:eastAsia="宋体" w:cs="宋体"/>
                <w:color w:val="000000" w:themeColor="text1"/>
                <w:spacing w:val="-4"/>
                <w:szCs w:val="21"/>
                <w:highlight w:val="none"/>
                <w:lang w:bidi="zh-CN"/>
                <w14:textFill>
                  <w14:solidFill>
                    <w14:schemeClr w14:val="tx1"/>
                  </w14:solidFill>
                </w14:textFill>
              </w:rPr>
              <w:t>具有</w:t>
            </w:r>
            <w:r>
              <w:rPr>
                <w:rFonts w:hint="eastAsia" w:hAnsi="宋体" w:cs="宋体"/>
                <w:color w:val="000000" w:themeColor="text1"/>
                <w:spacing w:val="-4"/>
                <w:szCs w:val="21"/>
                <w:highlight w:val="none"/>
                <w:lang w:val="en-US" w:bidi="zh-CN"/>
                <w14:textFill>
                  <w14:solidFill>
                    <w14:schemeClr w14:val="tx1"/>
                  </w14:solidFill>
                </w14:textFill>
              </w:rPr>
              <w:t>5</w:t>
            </w:r>
            <w:r>
              <w:rPr>
                <w:rFonts w:hint="eastAsia" w:ascii="宋体" w:hAnsi="宋体" w:eastAsia="宋体" w:cs="宋体"/>
                <w:color w:val="000000" w:themeColor="text1"/>
                <w:spacing w:val="-4"/>
                <w:szCs w:val="21"/>
                <w:highlight w:val="none"/>
                <w:lang w:val="zh-CN" w:bidi="zh-CN"/>
                <w14:textFill>
                  <w14:solidFill>
                    <w14:schemeClr w14:val="tx1"/>
                  </w14:solidFill>
                </w14:textFill>
              </w:rPr>
              <w:t>年（含）及以上工作经验的，得</w:t>
            </w:r>
            <w:r>
              <w:rPr>
                <w:rFonts w:hint="eastAsia" w:ascii="宋体" w:hAnsi="宋体" w:eastAsia="宋体" w:cs="宋体"/>
                <w:color w:val="000000" w:themeColor="text1"/>
                <w:spacing w:val="-4"/>
                <w:szCs w:val="21"/>
                <w:highlight w:val="none"/>
                <w:lang w:val="en-US" w:bidi="zh-CN"/>
                <w14:textFill>
                  <w14:solidFill>
                    <w14:schemeClr w14:val="tx1"/>
                  </w14:solidFill>
                </w14:textFill>
              </w:rPr>
              <w:t>5</w:t>
            </w:r>
            <w:r>
              <w:rPr>
                <w:rFonts w:hint="eastAsia" w:ascii="宋体" w:hAnsi="宋体" w:eastAsia="宋体" w:cs="宋体"/>
                <w:color w:val="000000" w:themeColor="text1"/>
                <w:spacing w:val="-4"/>
                <w:szCs w:val="21"/>
                <w:highlight w:val="none"/>
                <w:lang w:val="zh-CN" w:bidi="zh-CN"/>
                <w14:textFill>
                  <w14:solidFill>
                    <w14:schemeClr w14:val="tx1"/>
                  </w14:solidFill>
                </w14:textFill>
              </w:rPr>
              <w:t>分；</w:t>
            </w:r>
            <w:r>
              <w:rPr>
                <w:rFonts w:hint="eastAsia" w:hAnsi="宋体" w:cs="宋体"/>
                <w:color w:val="000000" w:themeColor="text1"/>
                <w:spacing w:val="-4"/>
                <w:szCs w:val="21"/>
                <w:highlight w:val="none"/>
                <w:lang w:val="en-US" w:bidi="zh-CN"/>
                <w14:textFill>
                  <w14:solidFill>
                    <w14:schemeClr w14:val="tx1"/>
                  </w14:solidFill>
                </w14:textFill>
              </w:rPr>
              <w:t>3</w:t>
            </w:r>
            <w:r>
              <w:rPr>
                <w:rFonts w:hint="eastAsia" w:ascii="宋体" w:hAnsi="宋体" w:eastAsia="宋体" w:cs="宋体"/>
                <w:color w:val="000000" w:themeColor="text1"/>
                <w:spacing w:val="-4"/>
                <w:szCs w:val="21"/>
                <w:highlight w:val="none"/>
                <w:lang w:val="zh-CN" w:bidi="zh-CN"/>
                <w14:textFill>
                  <w14:solidFill>
                    <w14:schemeClr w14:val="tx1"/>
                  </w14:solidFill>
                </w14:textFill>
              </w:rPr>
              <w:t>年（含）以上</w:t>
            </w:r>
            <w:r>
              <w:rPr>
                <w:rFonts w:hint="eastAsia" w:ascii="宋体" w:hAnsi="宋体" w:eastAsia="宋体" w:cs="宋体"/>
                <w:color w:val="000000" w:themeColor="text1"/>
                <w:spacing w:val="-4"/>
                <w:szCs w:val="21"/>
                <w:highlight w:val="none"/>
                <w:lang w:val="en-US" w:bidi="zh-CN"/>
                <w14:textFill>
                  <w14:solidFill>
                    <w14:schemeClr w14:val="tx1"/>
                  </w14:solidFill>
                </w14:textFill>
              </w:rPr>
              <w:t>-</w:t>
            </w:r>
            <w:r>
              <w:rPr>
                <w:rFonts w:hint="eastAsia" w:hAnsi="宋体" w:cs="宋体"/>
                <w:color w:val="000000" w:themeColor="text1"/>
                <w:spacing w:val="-4"/>
                <w:szCs w:val="21"/>
                <w:highlight w:val="none"/>
                <w:lang w:val="en-US" w:bidi="zh-CN"/>
                <w14:textFill>
                  <w14:solidFill>
                    <w14:schemeClr w14:val="tx1"/>
                  </w14:solidFill>
                </w14:textFill>
              </w:rPr>
              <w:t>5</w:t>
            </w:r>
            <w:r>
              <w:rPr>
                <w:rFonts w:hint="eastAsia" w:ascii="宋体" w:hAnsi="宋体" w:eastAsia="宋体" w:cs="宋体"/>
                <w:color w:val="000000" w:themeColor="text1"/>
                <w:spacing w:val="-4"/>
                <w:szCs w:val="21"/>
                <w:highlight w:val="none"/>
                <w:lang w:val="zh-CN" w:bidi="zh-CN"/>
                <w14:textFill>
                  <w14:solidFill>
                    <w14:schemeClr w14:val="tx1"/>
                  </w14:solidFill>
                </w14:textFill>
              </w:rPr>
              <w:t>年（不含）工作经验的，得</w:t>
            </w:r>
            <w:r>
              <w:rPr>
                <w:rFonts w:hint="eastAsia" w:ascii="宋体" w:hAnsi="宋体" w:eastAsia="宋体" w:cs="宋体"/>
                <w:color w:val="000000" w:themeColor="text1"/>
                <w:spacing w:val="-4"/>
                <w:szCs w:val="21"/>
                <w:highlight w:val="none"/>
                <w:lang w:val="en-US" w:bidi="zh-CN"/>
                <w14:textFill>
                  <w14:solidFill>
                    <w14:schemeClr w14:val="tx1"/>
                  </w14:solidFill>
                </w14:textFill>
              </w:rPr>
              <w:t>3</w:t>
            </w:r>
            <w:r>
              <w:rPr>
                <w:rFonts w:hint="eastAsia" w:ascii="宋体" w:hAnsi="宋体" w:eastAsia="宋体" w:cs="宋体"/>
                <w:color w:val="000000" w:themeColor="text1"/>
                <w:spacing w:val="-4"/>
                <w:szCs w:val="21"/>
                <w:highlight w:val="none"/>
                <w:lang w:val="zh-CN" w:bidi="zh-CN"/>
                <w14:textFill>
                  <w14:solidFill>
                    <w14:schemeClr w14:val="tx1"/>
                  </w14:solidFill>
                </w14:textFill>
              </w:rPr>
              <w:t>分；</w:t>
            </w:r>
            <w:r>
              <w:rPr>
                <w:rFonts w:hint="eastAsia" w:hAnsi="宋体" w:cs="宋体"/>
                <w:color w:val="000000" w:themeColor="text1"/>
                <w:spacing w:val="-4"/>
                <w:szCs w:val="21"/>
                <w:highlight w:val="none"/>
                <w:lang w:val="en-US" w:bidi="zh-CN"/>
                <w14:textFill>
                  <w14:solidFill>
                    <w14:schemeClr w14:val="tx1"/>
                  </w14:solidFill>
                </w14:textFill>
              </w:rPr>
              <w:t>1</w:t>
            </w:r>
            <w:r>
              <w:rPr>
                <w:rFonts w:hint="eastAsia" w:ascii="宋体" w:hAnsi="宋体" w:eastAsia="宋体" w:cs="宋体"/>
                <w:color w:val="000000" w:themeColor="text1"/>
                <w:spacing w:val="-4"/>
                <w:szCs w:val="21"/>
                <w:highlight w:val="none"/>
                <w:lang w:val="zh-CN" w:bidi="zh-CN"/>
                <w14:textFill>
                  <w14:solidFill>
                    <w14:schemeClr w14:val="tx1"/>
                  </w14:solidFill>
                </w14:textFill>
              </w:rPr>
              <w:t>年（含）以上</w:t>
            </w:r>
            <w:r>
              <w:rPr>
                <w:rFonts w:hint="eastAsia" w:ascii="宋体" w:hAnsi="宋体" w:eastAsia="宋体" w:cs="宋体"/>
                <w:color w:val="000000" w:themeColor="text1"/>
                <w:spacing w:val="-4"/>
                <w:szCs w:val="21"/>
                <w:highlight w:val="none"/>
                <w:lang w:val="en-US" w:bidi="zh-CN"/>
                <w14:textFill>
                  <w14:solidFill>
                    <w14:schemeClr w14:val="tx1"/>
                  </w14:solidFill>
                </w14:textFill>
              </w:rPr>
              <w:t>-</w:t>
            </w:r>
            <w:r>
              <w:rPr>
                <w:rFonts w:hint="eastAsia" w:hAnsi="宋体" w:cs="宋体"/>
                <w:color w:val="000000" w:themeColor="text1"/>
                <w:spacing w:val="-4"/>
                <w:szCs w:val="21"/>
                <w:highlight w:val="none"/>
                <w:lang w:val="en-US" w:bidi="zh-CN"/>
                <w14:textFill>
                  <w14:solidFill>
                    <w14:schemeClr w14:val="tx1"/>
                  </w14:solidFill>
                </w14:textFill>
              </w:rPr>
              <w:t>3</w:t>
            </w:r>
            <w:r>
              <w:rPr>
                <w:rFonts w:hint="eastAsia" w:ascii="宋体" w:hAnsi="宋体" w:eastAsia="宋体" w:cs="宋体"/>
                <w:color w:val="000000" w:themeColor="text1"/>
                <w:spacing w:val="-4"/>
                <w:szCs w:val="21"/>
                <w:highlight w:val="none"/>
                <w:lang w:val="zh-CN" w:bidi="zh-CN"/>
                <w14:textFill>
                  <w14:solidFill>
                    <w14:schemeClr w14:val="tx1"/>
                  </w14:solidFill>
                </w14:textFill>
              </w:rPr>
              <w:t>年（不含）以下工作经验的，得</w:t>
            </w:r>
            <w:r>
              <w:rPr>
                <w:rFonts w:hint="eastAsia" w:ascii="宋体" w:hAnsi="宋体" w:eastAsia="宋体" w:cs="宋体"/>
                <w:color w:val="000000" w:themeColor="text1"/>
                <w:spacing w:val="-4"/>
                <w:szCs w:val="21"/>
                <w:highlight w:val="none"/>
                <w:lang w:val="en-US" w:bidi="zh-CN"/>
                <w14:textFill>
                  <w14:solidFill>
                    <w14:schemeClr w14:val="tx1"/>
                  </w14:solidFill>
                </w14:textFill>
              </w:rPr>
              <w:t>1</w:t>
            </w:r>
            <w:r>
              <w:rPr>
                <w:rFonts w:hint="eastAsia" w:ascii="宋体" w:hAnsi="宋体" w:eastAsia="宋体" w:cs="宋体"/>
                <w:color w:val="000000" w:themeColor="text1"/>
                <w:spacing w:val="-4"/>
                <w:szCs w:val="21"/>
                <w:highlight w:val="none"/>
                <w:lang w:val="zh-CN" w:bidi="zh-CN"/>
                <w14:textFill>
                  <w14:solidFill>
                    <w14:schemeClr w14:val="tx1"/>
                  </w14:solidFill>
                </w14:textFill>
              </w:rPr>
              <w:t>分；其他不得分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A17F479">
            <w:pPr>
              <w:pStyle w:val="18"/>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z w:val="21"/>
                <w:szCs w:val="21"/>
                <w:highlight w:val="none"/>
                <w:lang w:val="en-US" w:eastAsia="zh-CN"/>
                <w14:textFill>
                  <w14:solidFill>
                    <w14:schemeClr w14:val="tx1"/>
                  </w14:solidFill>
                </w14:textFill>
              </w:rPr>
              <w:t>需</w:t>
            </w:r>
            <w:r>
              <w:rPr>
                <w:rFonts w:hint="eastAsia" w:ascii="宋体" w:hAnsi="宋体" w:eastAsia="宋体" w:cs="宋体"/>
                <w:color w:val="000000" w:themeColor="text1"/>
                <w:sz w:val="21"/>
                <w:szCs w:val="21"/>
                <w:highlight w:val="none"/>
                <w14:textFill>
                  <w14:solidFill>
                    <w14:schemeClr w14:val="tx1"/>
                  </w14:solidFill>
                </w14:textFill>
              </w:rPr>
              <w:t>提供职称证书</w:t>
            </w:r>
            <w:r>
              <w:rPr>
                <w:rFonts w:hint="eastAsia" w:ascii="宋体" w:hAnsi="宋体" w:eastAsia="宋体" w:cs="宋体"/>
                <w:color w:val="000000" w:themeColor="text1"/>
                <w:sz w:val="21"/>
                <w:szCs w:val="21"/>
                <w:highlight w:val="none"/>
                <w:lang w:val="en-US" w:eastAsia="zh-CN"/>
                <w14:textFill>
                  <w14:solidFill>
                    <w14:schemeClr w14:val="tx1"/>
                  </w14:solidFill>
                </w14:textFill>
              </w:rPr>
              <w:t>以及投标人为其近六个月内</w:t>
            </w:r>
            <w:r>
              <w:rPr>
                <w:rFonts w:hint="eastAsia" w:hAnsi="宋体" w:cs="宋体"/>
                <w:color w:val="000000" w:themeColor="text1"/>
                <w:sz w:val="21"/>
                <w:szCs w:val="21"/>
                <w:highlight w:val="none"/>
                <w:lang w:val="en-US" w:eastAsia="zh-CN"/>
                <w14:textFill>
                  <w14:solidFill>
                    <w14:schemeClr w14:val="tx1"/>
                  </w14:solidFill>
                </w14:textFill>
              </w:rPr>
              <w:t>连续</w:t>
            </w:r>
            <w:r>
              <w:rPr>
                <w:rFonts w:hint="eastAsia" w:ascii="宋体" w:hAnsi="宋体" w:eastAsia="宋体" w:cs="宋体"/>
                <w:color w:val="000000" w:themeColor="text1"/>
                <w:sz w:val="21"/>
                <w:szCs w:val="21"/>
                <w:highlight w:val="none"/>
                <w:lang w:val="en-US" w:eastAsia="zh-CN"/>
                <w14:textFill>
                  <w14:solidFill>
                    <w14:schemeClr w14:val="tx1"/>
                  </w14:solidFill>
                </w14:textFill>
              </w:rPr>
              <w:t>缴纳的社保</w:t>
            </w:r>
            <w:r>
              <w:rPr>
                <w:rFonts w:hint="eastAsia" w:ascii="宋体" w:hAnsi="宋体" w:eastAsia="宋体" w:cs="宋体"/>
                <w:color w:val="000000" w:themeColor="text1"/>
                <w:sz w:val="21"/>
                <w:szCs w:val="21"/>
                <w:highlight w:val="none"/>
                <w14:textFill>
                  <w14:solidFill>
                    <w14:schemeClr w14:val="tx1"/>
                  </w14:solidFill>
                </w14:textFill>
              </w:rPr>
              <w:t>扫描件并加盖投标人电子印章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工作经验计算时间以取得</w:t>
            </w:r>
            <w:r>
              <w:rPr>
                <w:rFonts w:hint="eastAsia" w:hAnsi="宋体" w:cs="宋体"/>
                <w:color w:val="000000" w:themeColor="text1"/>
                <w:sz w:val="21"/>
                <w:szCs w:val="21"/>
                <w:highlight w:val="none"/>
                <w:lang w:eastAsia="zh-CN"/>
                <w14:textFill>
                  <w14:solidFill>
                    <w14:schemeClr w14:val="tx1"/>
                  </w14:solidFill>
                </w14:textFill>
              </w:rPr>
              <w:t>电力类或</w:t>
            </w:r>
            <w:r>
              <w:rPr>
                <w:rFonts w:hint="eastAsia" w:ascii="宋体" w:hAnsi="宋体" w:eastAsia="宋体" w:cs="宋体"/>
                <w:color w:val="000000" w:themeColor="text1"/>
                <w:sz w:val="21"/>
                <w:szCs w:val="21"/>
                <w:highlight w:val="none"/>
                <w14:textFill>
                  <w14:solidFill>
                    <w14:schemeClr w14:val="tx1"/>
                  </w14:solidFill>
                </w14:textFill>
              </w:rPr>
              <w:t>机电</w:t>
            </w:r>
            <w:r>
              <w:rPr>
                <w:rFonts w:hint="eastAsia" w:hAnsi="宋体" w:cs="宋体"/>
                <w:color w:val="000000" w:themeColor="text1"/>
                <w:sz w:val="21"/>
                <w:szCs w:val="21"/>
                <w:highlight w:val="none"/>
                <w:lang w:eastAsia="zh-CN"/>
                <w14:textFill>
                  <w14:solidFill>
                    <w14:schemeClr w14:val="tx1"/>
                  </w14:solidFill>
                </w14:textFill>
              </w:rPr>
              <w:t>类</w:t>
            </w:r>
            <w:r>
              <w:rPr>
                <w:rFonts w:hint="eastAsia" w:ascii="宋体" w:hAnsi="宋体" w:eastAsia="宋体" w:cs="宋体"/>
                <w:color w:val="000000" w:themeColor="text1"/>
                <w:sz w:val="21"/>
                <w:szCs w:val="21"/>
                <w:highlight w:val="none"/>
                <w14:textFill>
                  <w14:solidFill>
                    <w14:schemeClr w14:val="tx1"/>
                  </w14:solidFill>
                </w14:textFill>
              </w:rPr>
              <w:t>或电气类相关</w:t>
            </w:r>
            <w:r>
              <w:rPr>
                <w:rFonts w:hint="eastAsia" w:ascii="宋体" w:hAnsi="宋体" w:eastAsia="宋体" w:cs="宋体"/>
                <w:color w:val="000000" w:themeColor="text1"/>
                <w:sz w:val="21"/>
                <w:szCs w:val="21"/>
                <w:highlight w:val="none"/>
                <w:lang w:val="en-US" w:eastAsia="zh-CN"/>
                <w14:textFill>
                  <w14:solidFill>
                    <w14:schemeClr w14:val="tx1"/>
                  </w14:solidFill>
                </w14:textFill>
              </w:rPr>
              <w:t>专业职称</w:t>
            </w:r>
            <w:r>
              <w:rPr>
                <w:rFonts w:hint="eastAsia" w:ascii="宋体" w:hAnsi="宋体" w:eastAsia="宋体" w:cs="宋体"/>
                <w:color w:val="000000" w:themeColor="text1"/>
                <w:sz w:val="21"/>
                <w:szCs w:val="21"/>
                <w:highlight w:val="none"/>
                <w14:textFill>
                  <w14:solidFill>
                    <w14:schemeClr w14:val="tx1"/>
                  </w14:solidFill>
                </w14:textFill>
              </w:rPr>
              <w:t>证书时间为准。</w:t>
            </w:r>
          </w:p>
        </w:tc>
      </w:tr>
      <w:tr w14:paraId="3D39971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94" w:type="dxa"/>
            <w:vMerge w:val="continue"/>
            <w:tcBorders>
              <w:left w:val="single" w:color="auto" w:sz="4" w:space="0"/>
              <w:right w:val="single" w:color="auto" w:sz="4" w:space="0"/>
            </w:tcBorders>
            <w:vAlign w:val="center"/>
          </w:tcPr>
          <w:p w14:paraId="328CC105">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right w:val="single" w:color="auto" w:sz="4" w:space="0"/>
            </w:tcBorders>
            <w:vAlign w:val="center"/>
          </w:tcPr>
          <w:p w14:paraId="18C561B9">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技术负责人</w:t>
            </w:r>
          </w:p>
        </w:tc>
        <w:tc>
          <w:tcPr>
            <w:tcW w:w="732" w:type="dxa"/>
            <w:tcBorders>
              <w:top w:val="single" w:color="auto" w:sz="4" w:space="0"/>
              <w:left w:val="single" w:color="auto" w:sz="4" w:space="0"/>
              <w:right w:val="single" w:color="auto" w:sz="4" w:space="0"/>
            </w:tcBorders>
            <w:vAlign w:val="center"/>
          </w:tcPr>
          <w:p w14:paraId="2DBF6C45">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p>
        </w:tc>
        <w:tc>
          <w:tcPr>
            <w:tcW w:w="10918" w:type="dxa"/>
            <w:tcBorders>
              <w:top w:val="single" w:color="auto" w:sz="4" w:space="0"/>
              <w:left w:val="single" w:color="auto" w:sz="4" w:space="0"/>
              <w:bottom w:val="single" w:color="auto" w:sz="4" w:space="0"/>
              <w:right w:val="single" w:color="auto" w:sz="4" w:space="0"/>
            </w:tcBorders>
            <w:vAlign w:val="center"/>
          </w:tcPr>
          <w:p w14:paraId="2F18E870">
            <w:pPr>
              <w:keepNext w:val="0"/>
              <w:keepLines w:val="0"/>
              <w:pageBreakBefore w:val="0"/>
              <w:kinsoku/>
              <w:overflowPunct/>
              <w:topLinePunct w:val="0"/>
              <w:autoSpaceDE/>
              <w:autoSpaceDN/>
              <w:bidi w:val="0"/>
              <w:snapToGrid/>
              <w:spacing w:beforeAutospacing="0" w:afterAutospacing="0"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技术负责人</w:t>
            </w:r>
            <w:r>
              <w:rPr>
                <w:rFonts w:hint="eastAsia" w:ascii="宋体" w:hAnsi="宋体" w:cs="宋体"/>
                <w:color w:val="000000" w:themeColor="text1"/>
                <w:sz w:val="21"/>
                <w:szCs w:val="21"/>
                <w:highlight w:val="none"/>
                <w:lang w:eastAsia="zh-CN"/>
                <w14:textFill>
                  <w14:solidFill>
                    <w14:schemeClr w14:val="tx1"/>
                  </w14:solidFill>
                </w14:textFill>
              </w:rPr>
              <w:t>具备</w:t>
            </w:r>
            <w:r>
              <w:rPr>
                <w:rFonts w:hint="eastAsia" w:ascii="宋体" w:hAnsi="宋体" w:eastAsia="宋体" w:cs="宋体"/>
                <w:color w:val="000000" w:themeColor="text1"/>
                <w:sz w:val="21"/>
                <w:szCs w:val="21"/>
                <w:highlight w:val="none"/>
                <w14:textFill>
                  <w14:solidFill>
                    <w14:schemeClr w14:val="tx1"/>
                  </w14:solidFill>
                </w14:textFill>
              </w:rPr>
              <w:t>机电</w:t>
            </w:r>
            <w:r>
              <w:rPr>
                <w:rFonts w:hint="eastAsia" w:ascii="宋体" w:hAnsi="宋体" w:cs="宋体"/>
                <w:color w:val="000000" w:themeColor="text1"/>
                <w:sz w:val="21"/>
                <w:szCs w:val="21"/>
                <w:highlight w:val="none"/>
                <w:lang w:eastAsia="zh-CN"/>
                <w14:textFill>
                  <w14:solidFill>
                    <w14:schemeClr w14:val="tx1"/>
                  </w14:solidFill>
                </w14:textFill>
              </w:rPr>
              <w:t>类</w:t>
            </w:r>
            <w:r>
              <w:rPr>
                <w:rFonts w:hint="eastAsia" w:ascii="宋体" w:hAnsi="宋体" w:eastAsia="宋体" w:cs="宋体"/>
                <w:color w:val="000000" w:themeColor="text1"/>
                <w:sz w:val="21"/>
                <w:szCs w:val="21"/>
                <w:highlight w:val="none"/>
                <w14:textFill>
                  <w14:solidFill>
                    <w14:schemeClr w14:val="tx1"/>
                  </w14:solidFill>
                </w14:textFill>
              </w:rPr>
              <w:t>或电气类</w:t>
            </w:r>
            <w:r>
              <w:rPr>
                <w:rFonts w:hint="eastAsia" w:ascii="宋体" w:hAnsi="宋体" w:cs="宋体"/>
                <w:color w:val="000000" w:themeColor="text1"/>
                <w:sz w:val="21"/>
                <w:szCs w:val="21"/>
                <w:highlight w:val="none"/>
                <w:lang w:eastAsia="zh-CN"/>
                <w14:textFill>
                  <w14:solidFill>
                    <w14:schemeClr w14:val="tx1"/>
                  </w14:solidFill>
                </w14:textFill>
              </w:rPr>
              <w:t>或电力类</w:t>
            </w:r>
            <w:r>
              <w:rPr>
                <w:rFonts w:hint="eastAsia" w:ascii="宋体" w:hAnsi="宋体" w:eastAsia="宋体" w:cs="宋体"/>
                <w:color w:val="000000" w:themeColor="text1"/>
                <w:sz w:val="21"/>
                <w:szCs w:val="21"/>
                <w:highlight w:val="none"/>
                <w14:textFill>
                  <w14:solidFill>
                    <w14:schemeClr w14:val="tx1"/>
                  </w14:solidFill>
                </w14:textFill>
              </w:rPr>
              <w:t>相关</w:t>
            </w:r>
            <w:r>
              <w:rPr>
                <w:rFonts w:hint="eastAsia" w:ascii="宋体" w:hAnsi="宋体" w:eastAsia="宋体" w:cs="宋体"/>
                <w:color w:val="000000" w:themeColor="text1"/>
                <w:sz w:val="21"/>
                <w:szCs w:val="21"/>
                <w:highlight w:val="none"/>
                <w:lang w:val="en-US" w:eastAsia="zh-CN"/>
                <w14:textFill>
                  <w14:solidFill>
                    <w14:schemeClr w14:val="tx1"/>
                  </w14:solidFill>
                </w14:textFill>
              </w:rPr>
              <w:t>专业</w:t>
            </w:r>
            <w:r>
              <w:rPr>
                <w:rFonts w:hint="eastAsia" w:ascii="宋体" w:hAnsi="宋体" w:cs="宋体"/>
                <w:color w:val="000000" w:themeColor="text1"/>
                <w:sz w:val="21"/>
                <w:szCs w:val="21"/>
                <w:highlight w:val="none"/>
                <w:lang w:val="en-US" w:eastAsia="zh-CN"/>
                <w14:textFill>
                  <w14:solidFill>
                    <w14:schemeClr w14:val="tx1"/>
                  </w14:solidFill>
                </w14:textFill>
              </w:rPr>
              <w:t>正高工程师职称，得5分；</w:t>
            </w:r>
            <w:r>
              <w:rPr>
                <w:rFonts w:hint="eastAsia" w:ascii="宋体" w:hAnsi="宋体" w:eastAsia="宋体" w:cs="宋体"/>
                <w:color w:val="000000" w:themeColor="text1"/>
                <w:sz w:val="21"/>
                <w:szCs w:val="21"/>
                <w:highlight w:val="none"/>
                <w:lang w:val="en-US" w:eastAsia="zh-CN"/>
                <w14:textFill>
                  <w14:solidFill>
                    <w14:schemeClr w14:val="tx1"/>
                  </w14:solidFill>
                </w14:textFill>
              </w:rPr>
              <w:t>副</w:t>
            </w:r>
            <w:r>
              <w:rPr>
                <w:rFonts w:hint="eastAsia" w:ascii="宋体" w:hAnsi="宋体" w:eastAsia="宋体" w:cs="宋体"/>
                <w:color w:val="000000" w:themeColor="text1"/>
                <w:sz w:val="21"/>
                <w:szCs w:val="21"/>
                <w:highlight w:val="none"/>
                <w:lang w:eastAsia="zh-CN"/>
                <w14:textFill>
                  <w14:solidFill>
                    <w14:schemeClr w14:val="tx1"/>
                  </w14:solidFill>
                </w14:textFill>
              </w:rPr>
              <w:t>高级</w:t>
            </w:r>
            <w:r>
              <w:rPr>
                <w:rFonts w:hint="eastAsia" w:ascii="宋体" w:hAnsi="宋体" w:eastAsia="宋体" w:cs="宋体"/>
                <w:color w:val="000000" w:themeColor="text1"/>
                <w:sz w:val="21"/>
                <w:szCs w:val="21"/>
                <w:highlight w:val="none"/>
                <w14:textFill>
                  <w14:solidFill>
                    <w14:schemeClr w14:val="tx1"/>
                  </w14:solidFill>
                </w14:textFill>
              </w:rPr>
              <w:t>工程师职称，得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w:t>
            </w:r>
            <w:r>
              <w:rPr>
                <w:rFonts w:hint="eastAsia" w:ascii="宋体" w:hAnsi="宋体" w:eastAsia="宋体" w:cs="宋体"/>
                <w:color w:val="000000" w:themeColor="text1"/>
                <w:sz w:val="21"/>
                <w:szCs w:val="21"/>
                <w:highlight w:val="none"/>
                <w14:textFill>
                  <w14:solidFill>
                    <w14:schemeClr w14:val="tx1"/>
                  </w14:solidFill>
                </w14:textFill>
              </w:rPr>
              <w:t>最高得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7A0632F">
            <w:pPr>
              <w:pStyle w:val="18"/>
              <w:keepNext w:val="0"/>
              <w:keepLines w:val="0"/>
              <w:pageBreakBefore w:val="0"/>
              <w:numPr>
                <w:ilvl w:val="0"/>
                <w:numId w:val="0"/>
              </w:numPr>
              <w:kinsoku/>
              <w:overflowPunct/>
              <w:topLinePunct w:val="0"/>
              <w:autoSpaceDE/>
              <w:autoSpaceDN/>
              <w:bidi w:val="0"/>
              <w:snapToGrid/>
              <w:spacing w:beforeAutospacing="0"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技术负责人</w:t>
            </w:r>
            <w:r>
              <w:rPr>
                <w:rFonts w:hint="eastAsia" w:ascii="宋体" w:hAnsi="宋体" w:eastAsia="宋体" w:cs="宋体"/>
                <w:color w:val="000000" w:themeColor="text1"/>
                <w:spacing w:val="-4"/>
                <w:szCs w:val="21"/>
                <w:highlight w:val="none"/>
                <w:lang w:bidi="zh-CN"/>
                <w14:textFill>
                  <w14:solidFill>
                    <w14:schemeClr w14:val="tx1"/>
                  </w14:solidFill>
                </w14:textFill>
              </w:rPr>
              <w:t>具有</w:t>
            </w:r>
            <w:r>
              <w:rPr>
                <w:rFonts w:hint="eastAsia" w:ascii="宋体" w:hAnsi="宋体" w:eastAsia="宋体" w:cs="宋体"/>
                <w:color w:val="000000" w:themeColor="text1"/>
                <w:spacing w:val="-4"/>
                <w:szCs w:val="21"/>
                <w:highlight w:val="none"/>
                <w:lang w:val="en-US" w:bidi="zh-CN"/>
                <w14:textFill>
                  <w14:solidFill>
                    <w14:schemeClr w14:val="tx1"/>
                  </w14:solidFill>
                </w14:textFill>
              </w:rPr>
              <w:t>1</w:t>
            </w:r>
            <w:r>
              <w:rPr>
                <w:rFonts w:hint="eastAsia" w:ascii="宋体" w:hAnsi="宋体" w:eastAsia="宋体" w:cs="宋体"/>
                <w:color w:val="000000" w:themeColor="text1"/>
                <w:spacing w:val="-4"/>
                <w:szCs w:val="21"/>
                <w:highlight w:val="none"/>
                <w:lang w:val="zh-CN" w:bidi="zh-CN"/>
                <w14:textFill>
                  <w14:solidFill>
                    <w14:schemeClr w14:val="tx1"/>
                  </w14:solidFill>
                </w14:textFill>
              </w:rPr>
              <w:t>0年（含）及以上工作经验的，得</w:t>
            </w:r>
            <w:r>
              <w:rPr>
                <w:rFonts w:hint="eastAsia" w:ascii="宋体" w:hAnsi="宋体" w:eastAsia="宋体" w:cs="宋体"/>
                <w:color w:val="000000" w:themeColor="text1"/>
                <w:spacing w:val="-4"/>
                <w:szCs w:val="21"/>
                <w:highlight w:val="none"/>
                <w:lang w:val="en-US" w:bidi="zh-CN"/>
                <w14:textFill>
                  <w14:solidFill>
                    <w14:schemeClr w14:val="tx1"/>
                  </w14:solidFill>
                </w14:textFill>
              </w:rPr>
              <w:t>5</w:t>
            </w:r>
            <w:r>
              <w:rPr>
                <w:rFonts w:hint="eastAsia" w:ascii="宋体" w:hAnsi="宋体" w:eastAsia="宋体" w:cs="宋体"/>
                <w:color w:val="000000" w:themeColor="text1"/>
                <w:spacing w:val="-4"/>
                <w:szCs w:val="21"/>
                <w:highlight w:val="none"/>
                <w:lang w:val="zh-CN" w:bidi="zh-CN"/>
                <w14:textFill>
                  <w14:solidFill>
                    <w14:schemeClr w14:val="tx1"/>
                  </w14:solidFill>
                </w14:textFill>
              </w:rPr>
              <w:t>分；</w:t>
            </w:r>
            <w:r>
              <w:rPr>
                <w:rFonts w:hint="eastAsia" w:ascii="宋体" w:hAnsi="宋体" w:eastAsia="宋体" w:cs="宋体"/>
                <w:color w:val="000000" w:themeColor="text1"/>
                <w:spacing w:val="-4"/>
                <w:szCs w:val="21"/>
                <w:highlight w:val="none"/>
                <w:lang w:val="en-US" w:bidi="zh-CN"/>
                <w14:textFill>
                  <w14:solidFill>
                    <w14:schemeClr w14:val="tx1"/>
                  </w14:solidFill>
                </w14:textFill>
              </w:rPr>
              <w:t>5</w:t>
            </w:r>
            <w:r>
              <w:rPr>
                <w:rFonts w:hint="eastAsia" w:ascii="宋体" w:hAnsi="宋体" w:eastAsia="宋体" w:cs="宋体"/>
                <w:color w:val="000000" w:themeColor="text1"/>
                <w:spacing w:val="-4"/>
                <w:szCs w:val="21"/>
                <w:highlight w:val="none"/>
                <w:lang w:val="zh-CN" w:bidi="zh-CN"/>
                <w14:textFill>
                  <w14:solidFill>
                    <w14:schemeClr w14:val="tx1"/>
                  </w14:solidFill>
                </w14:textFill>
              </w:rPr>
              <w:t>年（含）以上</w:t>
            </w:r>
            <w:r>
              <w:rPr>
                <w:rFonts w:hint="eastAsia" w:ascii="宋体" w:hAnsi="宋体" w:eastAsia="宋体" w:cs="宋体"/>
                <w:color w:val="000000" w:themeColor="text1"/>
                <w:spacing w:val="-4"/>
                <w:szCs w:val="21"/>
                <w:highlight w:val="none"/>
                <w:lang w:val="en-US" w:bidi="zh-CN"/>
                <w14:textFill>
                  <w14:solidFill>
                    <w14:schemeClr w14:val="tx1"/>
                  </w14:solidFill>
                </w14:textFill>
              </w:rPr>
              <w:t>-10</w:t>
            </w:r>
            <w:r>
              <w:rPr>
                <w:rFonts w:hint="eastAsia" w:ascii="宋体" w:hAnsi="宋体" w:eastAsia="宋体" w:cs="宋体"/>
                <w:color w:val="000000" w:themeColor="text1"/>
                <w:spacing w:val="-4"/>
                <w:szCs w:val="21"/>
                <w:highlight w:val="none"/>
                <w:lang w:val="zh-CN" w:bidi="zh-CN"/>
                <w14:textFill>
                  <w14:solidFill>
                    <w14:schemeClr w14:val="tx1"/>
                  </w14:solidFill>
                </w14:textFill>
              </w:rPr>
              <w:t>年（不含）工作经验的，得</w:t>
            </w:r>
            <w:r>
              <w:rPr>
                <w:rFonts w:hint="eastAsia" w:ascii="宋体" w:hAnsi="宋体" w:eastAsia="宋体" w:cs="宋体"/>
                <w:color w:val="000000" w:themeColor="text1"/>
                <w:spacing w:val="-4"/>
                <w:szCs w:val="21"/>
                <w:highlight w:val="none"/>
                <w:lang w:val="en-US" w:bidi="zh-CN"/>
                <w14:textFill>
                  <w14:solidFill>
                    <w14:schemeClr w14:val="tx1"/>
                  </w14:solidFill>
                </w14:textFill>
              </w:rPr>
              <w:t>3</w:t>
            </w:r>
            <w:r>
              <w:rPr>
                <w:rFonts w:hint="eastAsia" w:ascii="宋体" w:hAnsi="宋体" w:eastAsia="宋体" w:cs="宋体"/>
                <w:color w:val="000000" w:themeColor="text1"/>
                <w:spacing w:val="-4"/>
                <w:szCs w:val="21"/>
                <w:highlight w:val="none"/>
                <w:lang w:val="zh-CN" w:bidi="zh-CN"/>
                <w14:textFill>
                  <w14:solidFill>
                    <w14:schemeClr w14:val="tx1"/>
                  </w14:solidFill>
                </w14:textFill>
              </w:rPr>
              <w:t>分；</w:t>
            </w:r>
            <w:r>
              <w:rPr>
                <w:rFonts w:hint="eastAsia" w:ascii="宋体" w:hAnsi="宋体" w:eastAsia="宋体" w:cs="宋体"/>
                <w:color w:val="000000" w:themeColor="text1"/>
                <w:spacing w:val="-4"/>
                <w:szCs w:val="21"/>
                <w:highlight w:val="none"/>
                <w:lang w:val="en-US" w:bidi="zh-CN"/>
                <w14:textFill>
                  <w14:solidFill>
                    <w14:schemeClr w14:val="tx1"/>
                  </w14:solidFill>
                </w14:textFill>
              </w:rPr>
              <w:t>3</w:t>
            </w:r>
            <w:r>
              <w:rPr>
                <w:rFonts w:hint="eastAsia" w:ascii="宋体" w:hAnsi="宋体" w:eastAsia="宋体" w:cs="宋体"/>
                <w:color w:val="000000" w:themeColor="text1"/>
                <w:spacing w:val="-4"/>
                <w:szCs w:val="21"/>
                <w:highlight w:val="none"/>
                <w:lang w:val="zh-CN" w:bidi="zh-CN"/>
                <w14:textFill>
                  <w14:solidFill>
                    <w14:schemeClr w14:val="tx1"/>
                  </w14:solidFill>
                </w14:textFill>
              </w:rPr>
              <w:t>年（含）以上</w:t>
            </w:r>
            <w:r>
              <w:rPr>
                <w:rFonts w:hint="eastAsia" w:ascii="宋体" w:hAnsi="宋体" w:eastAsia="宋体" w:cs="宋体"/>
                <w:color w:val="000000" w:themeColor="text1"/>
                <w:spacing w:val="-4"/>
                <w:szCs w:val="21"/>
                <w:highlight w:val="none"/>
                <w:lang w:val="en-US" w:bidi="zh-CN"/>
                <w14:textFill>
                  <w14:solidFill>
                    <w14:schemeClr w14:val="tx1"/>
                  </w14:solidFill>
                </w14:textFill>
              </w:rPr>
              <w:t>-5</w:t>
            </w:r>
            <w:r>
              <w:rPr>
                <w:rFonts w:hint="eastAsia" w:ascii="宋体" w:hAnsi="宋体" w:eastAsia="宋体" w:cs="宋体"/>
                <w:color w:val="000000" w:themeColor="text1"/>
                <w:spacing w:val="-4"/>
                <w:szCs w:val="21"/>
                <w:highlight w:val="none"/>
                <w:lang w:val="zh-CN" w:bidi="zh-CN"/>
                <w14:textFill>
                  <w14:solidFill>
                    <w14:schemeClr w14:val="tx1"/>
                  </w14:solidFill>
                </w14:textFill>
              </w:rPr>
              <w:t>年（不含）以下工作经验的，得</w:t>
            </w:r>
            <w:r>
              <w:rPr>
                <w:rFonts w:hint="eastAsia" w:ascii="宋体" w:hAnsi="宋体" w:eastAsia="宋体" w:cs="宋体"/>
                <w:color w:val="000000" w:themeColor="text1"/>
                <w:spacing w:val="-4"/>
                <w:szCs w:val="21"/>
                <w:highlight w:val="none"/>
                <w:lang w:val="en-US" w:bidi="zh-CN"/>
                <w14:textFill>
                  <w14:solidFill>
                    <w14:schemeClr w14:val="tx1"/>
                  </w14:solidFill>
                </w14:textFill>
              </w:rPr>
              <w:t>1</w:t>
            </w:r>
            <w:r>
              <w:rPr>
                <w:rFonts w:hint="eastAsia" w:ascii="宋体" w:hAnsi="宋体" w:eastAsia="宋体" w:cs="宋体"/>
                <w:color w:val="000000" w:themeColor="text1"/>
                <w:spacing w:val="-4"/>
                <w:szCs w:val="21"/>
                <w:highlight w:val="none"/>
                <w:lang w:val="zh-CN" w:bidi="zh-CN"/>
                <w14:textFill>
                  <w14:solidFill>
                    <w14:schemeClr w14:val="tx1"/>
                  </w14:solidFill>
                </w14:textFill>
              </w:rPr>
              <w:t>分；其他不得分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2BF0665">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z w:val="21"/>
                <w:szCs w:val="21"/>
                <w:highlight w:val="none"/>
                <w:lang w:val="en-US" w:eastAsia="zh-CN"/>
                <w14:textFill>
                  <w14:solidFill>
                    <w14:schemeClr w14:val="tx1"/>
                  </w14:solidFill>
                </w14:textFill>
              </w:rPr>
              <w:t>需</w:t>
            </w:r>
            <w:r>
              <w:rPr>
                <w:rFonts w:hint="eastAsia" w:ascii="宋体" w:hAnsi="宋体" w:eastAsia="宋体" w:cs="宋体"/>
                <w:color w:val="000000" w:themeColor="text1"/>
                <w:sz w:val="21"/>
                <w:szCs w:val="21"/>
                <w:highlight w:val="none"/>
                <w14:textFill>
                  <w14:solidFill>
                    <w14:schemeClr w14:val="tx1"/>
                  </w14:solidFill>
                </w14:textFill>
              </w:rPr>
              <w:t>提供职称证书</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以及投标人为其近六个月内</w:t>
            </w:r>
            <w:r>
              <w:rPr>
                <w:rFonts w:hint="eastAsia" w:ascii="宋体" w:hAnsi="宋体" w:cs="宋体"/>
                <w:color w:val="000000" w:themeColor="text1"/>
                <w:sz w:val="21"/>
                <w:szCs w:val="21"/>
                <w:highlight w:val="none"/>
                <w:lang w:val="en-US" w:eastAsia="zh-CN" w:bidi="ar"/>
                <w14:textFill>
                  <w14:solidFill>
                    <w14:schemeClr w14:val="tx1"/>
                  </w14:solidFill>
                </w14:textFill>
              </w:rPr>
              <w:t>连续</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缴纳的社保</w:t>
            </w:r>
            <w:r>
              <w:rPr>
                <w:rFonts w:hint="eastAsia" w:ascii="宋体" w:hAnsi="宋体" w:eastAsia="宋体" w:cs="宋体"/>
                <w:color w:val="000000" w:themeColor="text1"/>
                <w:sz w:val="21"/>
                <w:szCs w:val="21"/>
                <w:highlight w:val="none"/>
                <w14:textFill>
                  <w14:solidFill>
                    <w14:schemeClr w14:val="tx1"/>
                  </w14:solidFill>
                </w14:textFill>
              </w:rPr>
              <w:t>扫描件并加盖投标人电子印章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工作经验计算时间以取得电力类或机电类或电气类相关专业职称证书时间为准</w:t>
            </w:r>
            <w:r>
              <w:rPr>
                <w:rFonts w:hint="eastAsia" w:ascii="宋体" w:hAnsi="宋体" w:eastAsia="宋体" w:cs="宋体"/>
                <w:color w:val="000000" w:themeColor="text1"/>
                <w:sz w:val="21"/>
                <w:szCs w:val="21"/>
                <w:highlight w:val="none"/>
                <w14:textFill>
                  <w14:solidFill>
                    <w14:schemeClr w14:val="tx1"/>
                  </w14:solidFill>
                </w14:textFill>
              </w:rPr>
              <w:t>。</w:t>
            </w:r>
          </w:p>
        </w:tc>
      </w:tr>
      <w:tr w14:paraId="097D696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94" w:type="dxa"/>
            <w:vMerge w:val="continue"/>
            <w:tcBorders>
              <w:left w:val="single" w:color="auto" w:sz="4" w:space="0"/>
              <w:right w:val="single" w:color="auto" w:sz="4" w:space="0"/>
            </w:tcBorders>
            <w:vAlign w:val="center"/>
          </w:tcPr>
          <w:p w14:paraId="4A887BD4">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right w:val="single" w:color="auto" w:sz="4" w:space="0"/>
            </w:tcBorders>
            <w:vAlign w:val="center"/>
          </w:tcPr>
          <w:p w14:paraId="085BD5CD">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szCs w:val="21"/>
                <w:highlight w:val="none"/>
                <w:lang w:val="en" w:eastAsia="zh-CN"/>
                <w14:textFill>
                  <w14:solidFill>
                    <w14:schemeClr w14:val="tx1"/>
                  </w14:solidFill>
                </w14:textFill>
              </w:rPr>
            </w:pPr>
            <w:r>
              <w:rPr>
                <w:rFonts w:hint="eastAsia" w:ascii="宋体" w:hAnsi="宋体" w:cs="宋体"/>
                <w:color w:val="000000" w:themeColor="text1"/>
                <w:szCs w:val="21"/>
                <w:highlight w:val="none"/>
                <w:lang w:val="en" w:eastAsia="zh-CN"/>
                <w14:textFill>
                  <w14:solidFill>
                    <w14:schemeClr w14:val="tx1"/>
                  </w14:solidFill>
                </w14:textFill>
              </w:rPr>
              <w:t>安全负责人</w:t>
            </w:r>
          </w:p>
        </w:tc>
        <w:tc>
          <w:tcPr>
            <w:tcW w:w="732" w:type="dxa"/>
            <w:tcBorders>
              <w:top w:val="single" w:color="auto" w:sz="4" w:space="0"/>
              <w:left w:val="single" w:color="auto" w:sz="4" w:space="0"/>
              <w:right w:val="single" w:color="auto" w:sz="4" w:space="0"/>
            </w:tcBorders>
            <w:vAlign w:val="center"/>
          </w:tcPr>
          <w:p w14:paraId="1D0B21FF">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p>
        </w:tc>
        <w:tc>
          <w:tcPr>
            <w:tcW w:w="10918" w:type="dxa"/>
            <w:tcBorders>
              <w:top w:val="single" w:color="auto" w:sz="4" w:space="0"/>
              <w:left w:val="single" w:color="auto" w:sz="4" w:space="0"/>
              <w:bottom w:val="single" w:color="auto" w:sz="4" w:space="0"/>
              <w:right w:val="single" w:color="auto" w:sz="4" w:space="0"/>
            </w:tcBorders>
            <w:vAlign w:val="center"/>
          </w:tcPr>
          <w:p w14:paraId="306A301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安全负责人具备</w:t>
            </w:r>
            <w:r>
              <w:rPr>
                <w:rFonts w:hint="eastAsia" w:ascii="宋体" w:hAnsi="宋体" w:eastAsia="宋体" w:cs="宋体"/>
                <w:color w:val="000000" w:themeColor="text1"/>
                <w:sz w:val="21"/>
                <w:szCs w:val="21"/>
                <w:highlight w:val="none"/>
                <w:lang w:val="en-US" w:eastAsia="zh-CN"/>
                <w14:textFill>
                  <w14:solidFill>
                    <w14:schemeClr w14:val="tx1"/>
                  </w14:solidFill>
                </w14:textFill>
              </w:rPr>
              <w:t>副</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高级（或以上）工程师职称，得</w:t>
            </w:r>
            <w:r>
              <w:rPr>
                <w:rFonts w:hint="eastAsia" w:cs="宋体"/>
                <w:i w:val="0"/>
                <w:iCs w:val="0"/>
                <w:caps w:val="0"/>
                <w:color w:val="000000" w:themeColor="text1"/>
                <w:spacing w:val="0"/>
                <w:sz w:val="21"/>
                <w:szCs w:val="21"/>
                <w:highlight w:val="no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分；具备</w:t>
            </w:r>
            <w:r>
              <w:rPr>
                <w:rFonts w:hint="eastAsia" w:cs="宋体"/>
                <w:i w:val="0"/>
                <w:iCs w:val="0"/>
                <w:caps w:val="0"/>
                <w:color w:val="000000" w:themeColor="text1"/>
                <w:spacing w:val="0"/>
                <w:sz w:val="21"/>
                <w:szCs w:val="21"/>
                <w:highlight w:val="none"/>
                <w:lang w:eastAsia="zh-CN"/>
                <w14:textFill>
                  <w14:solidFill>
                    <w14:schemeClr w14:val="tx1"/>
                  </w14:solidFill>
                </w14:textFill>
              </w:rPr>
              <w:t>中级</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工程师职称，得</w:t>
            </w:r>
            <w:r>
              <w:rPr>
                <w:rFonts w:hint="eastAsia" w:cs="宋体"/>
                <w:i w:val="0"/>
                <w:iCs w:val="0"/>
                <w:caps w:val="0"/>
                <w:color w:val="000000" w:themeColor="text1"/>
                <w:spacing w:val="0"/>
                <w:sz w:val="21"/>
                <w:szCs w:val="21"/>
                <w:highlight w:val="no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分。</w:t>
            </w:r>
          </w:p>
          <w:p w14:paraId="57BE735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安全负责人具备</w:t>
            </w:r>
            <w:r>
              <w:rPr>
                <w:rFonts w:hint="eastAsia" w:cs="宋体"/>
                <w:i w:val="0"/>
                <w:iCs w:val="0"/>
                <w:caps w:val="0"/>
                <w:color w:val="000000" w:themeColor="text1"/>
                <w:spacing w:val="0"/>
                <w:sz w:val="21"/>
                <w:szCs w:val="21"/>
                <w:highlight w:val="none"/>
                <w:lang w:eastAsia="zh-CN"/>
                <w14:textFill>
                  <w14:solidFill>
                    <w14:schemeClr w14:val="tx1"/>
                  </w14:solidFill>
                </w14:textFill>
              </w:rPr>
              <w:t>中级或以上</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注册安全工程师资格的，得</w:t>
            </w:r>
            <w:r>
              <w:rPr>
                <w:rFonts w:hint="eastAsia" w:cs="宋体"/>
                <w:i w:val="0"/>
                <w:iCs w:val="0"/>
                <w:caps w:val="0"/>
                <w:color w:val="000000" w:themeColor="text1"/>
                <w:spacing w:val="0"/>
                <w:sz w:val="21"/>
                <w:szCs w:val="21"/>
                <w:highlight w:val="no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分；</w:t>
            </w:r>
            <w:r>
              <w:rPr>
                <w:rFonts w:hint="eastAsia" w:cs="宋体"/>
                <w:color w:val="000000" w:themeColor="text1"/>
                <w:sz w:val="21"/>
                <w:szCs w:val="21"/>
                <w:highlight w:val="none"/>
                <w14:textFill>
                  <w14:solidFill>
                    <w14:schemeClr w14:val="tx1"/>
                  </w14:solidFill>
                </w14:textFill>
              </w:rPr>
              <w:t>具备</w:t>
            </w:r>
            <w:r>
              <w:rPr>
                <w:rFonts w:hint="eastAsia" w:cs="宋体"/>
                <w:color w:val="000000" w:themeColor="text1"/>
                <w:sz w:val="21"/>
                <w:szCs w:val="21"/>
                <w:highlight w:val="none"/>
                <w:lang w:eastAsia="zh-CN"/>
                <w14:textFill>
                  <w14:solidFill>
                    <w14:schemeClr w14:val="tx1"/>
                  </w14:solidFill>
                </w14:textFill>
              </w:rPr>
              <w:t>初级</w:t>
            </w:r>
            <w:r>
              <w:rPr>
                <w:rFonts w:hint="eastAsia" w:cs="宋体"/>
                <w:color w:val="000000" w:themeColor="text1"/>
                <w:sz w:val="21"/>
                <w:szCs w:val="21"/>
                <w:highlight w:val="none"/>
                <w14:textFill>
                  <w14:solidFill>
                    <w14:schemeClr w14:val="tx1"/>
                  </w14:solidFill>
                </w14:textFill>
              </w:rPr>
              <w:t>注册安全工程师资格的，得</w:t>
            </w: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分</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w:t>
            </w:r>
          </w:p>
          <w:p w14:paraId="3640C32D">
            <w:pPr>
              <w:pStyle w:val="2"/>
              <w:keepNext w:val="0"/>
              <w:keepLines w:val="0"/>
              <w:pageBreakBefore w:val="0"/>
              <w:kinsoku/>
              <w:overflowPunct/>
              <w:topLinePunct w:val="0"/>
              <w:autoSpaceDE/>
              <w:autoSpaceDN/>
              <w:bidi w:val="0"/>
              <w:snapToGrid/>
              <w:spacing w:before="0" w:beforeAutospacing="0" w:after="0" w:afterAutospacing="0" w:line="360" w:lineRule="auto"/>
              <w:ind w:left="0" w:lef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0"/>
                <w:sz w:val="21"/>
                <w:szCs w:val="21"/>
                <w:highlight w:val="none"/>
                <w:lang w:eastAsia="zh-CN"/>
                <w14:textFill>
                  <w14:solidFill>
                    <w14:schemeClr w14:val="tx1"/>
                  </w14:solidFill>
                </w14:textFill>
              </w:rPr>
              <w:t>注：</w:t>
            </w:r>
            <w:r>
              <w:rPr>
                <w:rFonts w:hint="eastAsia" w:ascii="宋体" w:hAnsi="宋体" w:eastAsia="宋体" w:cs="宋体"/>
                <w:b w:val="0"/>
                <w:bCs/>
                <w:i w:val="0"/>
                <w:iCs w:val="0"/>
                <w:caps w:val="0"/>
                <w:color w:val="000000" w:themeColor="text1"/>
                <w:spacing w:val="0"/>
                <w:sz w:val="21"/>
                <w:szCs w:val="21"/>
                <w:highlight w:val="none"/>
                <w:lang w:val="en-US" w:eastAsia="zh-CN"/>
                <w14:textFill>
                  <w14:solidFill>
                    <w14:schemeClr w14:val="tx1"/>
                  </w14:solidFill>
                </w14:textFill>
              </w:rPr>
              <w:t>需</w:t>
            </w:r>
            <w:r>
              <w:rPr>
                <w:rFonts w:hint="eastAsia" w:ascii="宋体" w:hAnsi="宋体" w:eastAsia="宋体" w:cs="宋体"/>
                <w:b w:val="0"/>
                <w:bCs/>
                <w:i w:val="0"/>
                <w:iCs w:val="0"/>
                <w:caps w:val="0"/>
                <w:color w:val="000000" w:themeColor="text1"/>
                <w:spacing w:val="0"/>
                <w:sz w:val="21"/>
                <w:szCs w:val="21"/>
                <w:highlight w:val="none"/>
                <w:lang w:eastAsia="zh-CN"/>
                <w14:textFill>
                  <w14:solidFill>
                    <w14:schemeClr w14:val="tx1"/>
                  </w14:solidFill>
                </w14:textFill>
              </w:rPr>
              <w:t>提供注册证</w:t>
            </w:r>
            <w:r>
              <w:rPr>
                <w:rStyle w:val="39"/>
                <w:rFonts w:hint="eastAsia" w:ascii="宋体" w:hAnsi="宋体" w:eastAsia="宋体" w:cs="宋体"/>
                <w:b w:val="0"/>
                <w:bCs/>
                <w:i w:val="0"/>
                <w:iCs w:val="0"/>
                <w:caps w:val="0"/>
                <w:color w:val="000000" w:themeColor="text1"/>
                <w:spacing w:val="0"/>
                <w:sz w:val="21"/>
                <w:szCs w:val="21"/>
                <w:highlight w:val="none"/>
                <w:lang w:eastAsia="zh-CN"/>
                <w14:textFill>
                  <w14:solidFill>
                    <w14:schemeClr w14:val="tx1"/>
                  </w14:solidFill>
                </w14:textFill>
              </w:rPr>
              <w:t>书</w:t>
            </w:r>
            <w:r>
              <w:rPr>
                <w:rFonts w:hint="eastAsia" w:ascii="宋体" w:hAnsi="宋体" w:eastAsia="宋体" w:cs="宋体"/>
                <w:b w:val="0"/>
                <w:bCs/>
                <w:i w:val="0"/>
                <w:iCs w:val="0"/>
                <w:caps w:val="0"/>
                <w:color w:val="000000" w:themeColor="text1"/>
                <w:spacing w:val="0"/>
                <w:sz w:val="21"/>
                <w:szCs w:val="21"/>
                <w:highlight w:val="none"/>
                <w:lang w:eastAsia="zh-CN"/>
                <w14:textFill>
                  <w14:solidFill>
                    <w14:schemeClr w14:val="tx1"/>
                  </w14:solidFill>
                </w14:textFill>
              </w:rPr>
              <w:t>、职称证书</w:t>
            </w:r>
            <w:r>
              <w:rPr>
                <w:rFonts w:hint="eastAsia" w:ascii="宋体" w:hAnsi="宋体" w:eastAsia="宋体" w:cs="宋体"/>
                <w:b w:val="0"/>
                <w:bCs/>
                <w:i w:val="0"/>
                <w:iCs w:val="0"/>
                <w:caps w:val="0"/>
                <w:color w:val="000000" w:themeColor="text1"/>
                <w:spacing w:val="0"/>
                <w:kern w:val="0"/>
                <w:sz w:val="21"/>
                <w:szCs w:val="21"/>
                <w:highlight w:val="none"/>
                <w:lang w:val="en-US" w:eastAsia="zh-CN" w:bidi="ar-SA"/>
                <w14:textFill>
                  <w14:solidFill>
                    <w14:schemeClr w14:val="tx1"/>
                  </w14:solidFill>
                </w14:textFill>
              </w:rPr>
              <w:t>以及投标人为其近六个月内</w:t>
            </w:r>
            <w:r>
              <w:rPr>
                <w:rFonts w:hint="eastAsia" w:ascii="宋体" w:hAnsi="宋体" w:cs="宋体"/>
                <w:b w:val="0"/>
                <w:bCs/>
                <w:i w:val="0"/>
                <w:iCs w:val="0"/>
                <w:caps w:val="0"/>
                <w:color w:val="000000" w:themeColor="text1"/>
                <w:spacing w:val="0"/>
                <w:kern w:val="0"/>
                <w:sz w:val="21"/>
                <w:szCs w:val="21"/>
                <w:highlight w:val="none"/>
                <w:lang w:val="en-US" w:eastAsia="zh-CN" w:bidi="ar-SA"/>
                <w14:textFill>
                  <w14:solidFill>
                    <w14:schemeClr w14:val="tx1"/>
                  </w14:solidFill>
                </w14:textFill>
              </w:rPr>
              <w:t>连续</w:t>
            </w:r>
            <w:r>
              <w:rPr>
                <w:rFonts w:hint="eastAsia" w:ascii="宋体" w:hAnsi="宋体" w:eastAsia="宋体" w:cs="宋体"/>
                <w:b w:val="0"/>
                <w:bCs/>
                <w:i w:val="0"/>
                <w:iCs w:val="0"/>
                <w:caps w:val="0"/>
                <w:color w:val="000000" w:themeColor="text1"/>
                <w:spacing w:val="0"/>
                <w:kern w:val="0"/>
                <w:sz w:val="21"/>
                <w:szCs w:val="21"/>
                <w:highlight w:val="none"/>
                <w:lang w:val="en-US" w:eastAsia="zh-CN" w:bidi="ar-SA"/>
                <w14:textFill>
                  <w14:solidFill>
                    <w14:schemeClr w14:val="tx1"/>
                  </w14:solidFill>
                </w14:textFill>
              </w:rPr>
              <w:t>缴纳的社保扫</w:t>
            </w:r>
            <w:r>
              <w:rPr>
                <w:rFonts w:hint="eastAsia" w:ascii="宋体" w:hAnsi="宋体" w:eastAsia="宋体" w:cs="宋体"/>
                <w:b w:val="0"/>
                <w:bCs/>
                <w:i w:val="0"/>
                <w:iCs w:val="0"/>
                <w:caps w:val="0"/>
                <w:color w:val="000000" w:themeColor="text1"/>
                <w:spacing w:val="0"/>
                <w:sz w:val="21"/>
                <w:szCs w:val="21"/>
                <w:highlight w:val="none"/>
                <w:lang w:eastAsia="zh-CN"/>
                <w14:textFill>
                  <w14:solidFill>
                    <w14:schemeClr w14:val="tx1"/>
                  </w14:solidFill>
                </w14:textFill>
              </w:rPr>
              <w:t>描件并加盖投标人电子印章。</w:t>
            </w:r>
          </w:p>
        </w:tc>
      </w:tr>
      <w:tr w14:paraId="29EC22F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94" w:type="dxa"/>
            <w:vMerge w:val="continue"/>
            <w:tcBorders>
              <w:left w:val="single" w:color="auto" w:sz="4" w:space="0"/>
              <w:right w:val="single" w:color="auto" w:sz="4" w:space="0"/>
            </w:tcBorders>
            <w:vAlign w:val="center"/>
          </w:tcPr>
          <w:p w14:paraId="34C43DAE">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right w:val="single" w:color="auto" w:sz="4" w:space="0"/>
            </w:tcBorders>
            <w:vAlign w:val="center"/>
          </w:tcPr>
          <w:p w14:paraId="6F35A09F">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造价负责人</w:t>
            </w:r>
          </w:p>
        </w:tc>
        <w:tc>
          <w:tcPr>
            <w:tcW w:w="732" w:type="dxa"/>
            <w:tcBorders>
              <w:top w:val="single" w:color="auto" w:sz="4" w:space="0"/>
              <w:left w:val="single" w:color="auto" w:sz="4" w:space="0"/>
              <w:right w:val="single" w:color="auto" w:sz="4" w:space="0"/>
            </w:tcBorders>
            <w:vAlign w:val="center"/>
          </w:tcPr>
          <w:p w14:paraId="6045EB29">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10918" w:type="dxa"/>
            <w:tcBorders>
              <w:top w:val="single" w:color="auto" w:sz="4" w:space="0"/>
              <w:left w:val="single" w:color="auto" w:sz="4" w:space="0"/>
              <w:bottom w:val="single" w:color="auto" w:sz="4" w:space="0"/>
              <w:right w:val="single" w:color="auto" w:sz="4" w:space="0"/>
            </w:tcBorders>
            <w:vAlign w:val="center"/>
          </w:tcPr>
          <w:p w14:paraId="42449102">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lang w:val="en-US"/>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造价负责人具备造价相关专业</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副</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高级（或以上）工程师职称，得</w:t>
            </w:r>
            <w:r>
              <w:rPr>
                <w:rFonts w:hint="eastAsia" w:cs="宋体"/>
                <w:i w:val="0"/>
                <w:iCs w:val="0"/>
                <w:caps w:val="0"/>
                <w:color w:val="000000" w:themeColor="text1"/>
                <w:spacing w:val="0"/>
                <w:sz w:val="21"/>
                <w:szCs w:val="21"/>
                <w:highlight w:val="no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分；具备造价相关专业</w:t>
            </w:r>
            <w:r>
              <w:rPr>
                <w:rFonts w:hint="eastAsia" w:cs="宋体"/>
                <w:i w:val="0"/>
                <w:iCs w:val="0"/>
                <w:caps w:val="0"/>
                <w:color w:val="000000" w:themeColor="text1"/>
                <w:spacing w:val="0"/>
                <w:sz w:val="21"/>
                <w:szCs w:val="21"/>
                <w:highlight w:val="none"/>
                <w:lang w:eastAsia="zh-CN"/>
                <w14:textFill>
                  <w14:solidFill>
                    <w14:schemeClr w14:val="tx1"/>
                  </w14:solidFill>
                </w14:textFill>
              </w:rPr>
              <w:t>中级</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工程师职称，得</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分。</w:t>
            </w:r>
          </w:p>
          <w:p w14:paraId="580C4FEB">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lang w:val="en-US"/>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造价负责人具备</w:t>
            </w:r>
            <w:r>
              <w:rPr>
                <w:rFonts w:hint="eastAsia" w:cs="宋体"/>
                <w:i w:val="0"/>
                <w:iCs w:val="0"/>
                <w:caps w:val="0"/>
                <w:color w:val="000000" w:themeColor="text1"/>
                <w:spacing w:val="0"/>
                <w:sz w:val="21"/>
                <w:szCs w:val="21"/>
                <w:highlight w:val="none"/>
                <w:lang w:eastAsia="zh-CN"/>
                <w14:textFill>
                  <w14:solidFill>
                    <w14:schemeClr w14:val="tx1"/>
                  </w14:solidFill>
                </w14:textFill>
              </w:rPr>
              <w:t>一级</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注册造价工程师（安装专业），得</w:t>
            </w:r>
            <w:r>
              <w:rPr>
                <w:rFonts w:hint="eastAsia" w:cs="宋体"/>
                <w:i w:val="0"/>
                <w:iCs w:val="0"/>
                <w:caps w:val="0"/>
                <w:color w:val="000000" w:themeColor="text1"/>
                <w:spacing w:val="0"/>
                <w:sz w:val="21"/>
                <w:szCs w:val="21"/>
                <w:highlight w:val="no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分</w:t>
            </w:r>
            <w:r>
              <w:rPr>
                <w:rFonts w:hint="eastAsia" w:cs="宋体"/>
                <w:i w:val="0"/>
                <w:iCs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具备</w:t>
            </w:r>
            <w:r>
              <w:rPr>
                <w:rFonts w:hint="eastAsia" w:cs="宋体"/>
                <w:i w:val="0"/>
                <w:iCs w:val="0"/>
                <w:caps w:val="0"/>
                <w:color w:val="000000" w:themeColor="text1"/>
                <w:spacing w:val="0"/>
                <w:sz w:val="21"/>
                <w:szCs w:val="21"/>
                <w:highlight w:val="none"/>
                <w:lang w:eastAsia="zh-CN"/>
                <w14:textFill>
                  <w14:solidFill>
                    <w14:schemeClr w14:val="tx1"/>
                  </w14:solidFill>
                </w14:textFill>
              </w:rPr>
              <w:t>二级</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注册造价工程师（安装专业），得</w:t>
            </w:r>
            <w:r>
              <w:rPr>
                <w:rFonts w:hint="eastAsia" w:cs="宋体"/>
                <w:i w:val="0"/>
                <w:iCs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分</w:t>
            </w:r>
            <w:r>
              <w:rPr>
                <w:rFonts w:hint="eastAsia" w:cs="宋体"/>
                <w:i w:val="0"/>
                <w:iCs w:val="0"/>
                <w:caps w:val="0"/>
                <w:color w:val="000000" w:themeColor="text1"/>
                <w:spacing w:val="0"/>
                <w:sz w:val="21"/>
                <w:szCs w:val="21"/>
                <w:highlight w:val="none"/>
                <w:lang w:eastAsia="zh-CN"/>
                <w14:textFill>
                  <w14:solidFill>
                    <w14:schemeClr w14:val="tx1"/>
                  </w14:solidFill>
                </w14:textFill>
              </w:rPr>
              <w:t>。</w:t>
            </w:r>
          </w:p>
          <w:p w14:paraId="13015C42">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注：①</w:t>
            </w:r>
            <w:r>
              <w:rPr>
                <w:rFonts w:hint="eastAsia" w:cs="宋体"/>
                <w:color w:val="000000" w:themeColor="text1"/>
                <w:sz w:val="21"/>
                <w:szCs w:val="21"/>
                <w:highlight w:val="none"/>
                <w14:textFill>
                  <w14:solidFill>
                    <w14:schemeClr w14:val="tx1"/>
                  </w14:solidFill>
                </w14:textFill>
              </w:rPr>
              <w:t>需提供注册证书、职称证书以及投标人为其近六个月内</w:t>
            </w:r>
            <w:r>
              <w:rPr>
                <w:rFonts w:hint="eastAsia" w:cs="宋体"/>
                <w:color w:val="000000" w:themeColor="text1"/>
                <w:sz w:val="21"/>
                <w:szCs w:val="21"/>
                <w:highlight w:val="none"/>
                <w:lang w:eastAsia="zh-CN"/>
                <w14:textFill>
                  <w14:solidFill>
                    <w14:schemeClr w14:val="tx1"/>
                  </w14:solidFill>
                </w14:textFill>
              </w:rPr>
              <w:t>连续</w:t>
            </w:r>
            <w:r>
              <w:rPr>
                <w:rFonts w:hint="eastAsia" w:cs="宋体"/>
                <w:color w:val="000000" w:themeColor="text1"/>
                <w:sz w:val="21"/>
                <w:szCs w:val="21"/>
                <w:highlight w:val="none"/>
                <w14:textFill>
                  <w14:solidFill>
                    <w14:schemeClr w14:val="tx1"/>
                  </w14:solidFill>
                </w14:textFill>
              </w:rPr>
              <w:t>缴纳的社保扫描件并加盖投标人电子印章</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②</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注册造价工程师必须是有效的且注册执业单位须与投标单位一致。</w:t>
            </w:r>
          </w:p>
        </w:tc>
      </w:tr>
      <w:tr w14:paraId="2DAB0FC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94" w:type="dxa"/>
            <w:vMerge w:val="continue"/>
            <w:tcBorders>
              <w:left w:val="single" w:color="auto" w:sz="4" w:space="0"/>
              <w:right w:val="single" w:color="auto" w:sz="4" w:space="0"/>
            </w:tcBorders>
            <w:vAlign w:val="center"/>
          </w:tcPr>
          <w:p w14:paraId="65009173">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right w:val="single" w:color="auto" w:sz="4" w:space="0"/>
            </w:tcBorders>
            <w:vAlign w:val="center"/>
          </w:tcPr>
          <w:p w14:paraId="0A5DAE01">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其他人员</w:t>
            </w:r>
          </w:p>
        </w:tc>
        <w:tc>
          <w:tcPr>
            <w:tcW w:w="732" w:type="dxa"/>
            <w:tcBorders>
              <w:top w:val="single" w:color="auto" w:sz="4" w:space="0"/>
              <w:left w:val="single" w:color="auto" w:sz="4" w:space="0"/>
              <w:right w:val="single" w:color="auto" w:sz="4" w:space="0"/>
            </w:tcBorders>
            <w:vAlign w:val="center"/>
          </w:tcPr>
          <w:p w14:paraId="2EAF6BE9">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10918" w:type="dxa"/>
            <w:tcBorders>
              <w:top w:val="single" w:color="auto" w:sz="4" w:space="0"/>
              <w:left w:val="single" w:color="auto" w:sz="4" w:space="0"/>
              <w:bottom w:val="single" w:color="auto" w:sz="4" w:space="0"/>
              <w:right w:val="single" w:color="auto" w:sz="4" w:space="0"/>
            </w:tcBorders>
            <w:vAlign w:val="center"/>
          </w:tcPr>
          <w:p w14:paraId="26629FF4">
            <w:pPr>
              <w:pStyle w:val="1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投标人拟派其他人员（除项目负责人</w:t>
            </w:r>
            <w:r>
              <w:rPr>
                <w:rFonts w:hint="eastAsia" w:ascii="宋体" w:hAnsi="宋体" w:eastAsia="宋体" w:cs="宋体"/>
                <w:color w:val="000000" w:themeColor="text1"/>
                <w:sz w:val="21"/>
                <w:szCs w:val="21"/>
                <w:highlight w:val="none"/>
                <w:lang w:bidi="ar"/>
                <w14:textFill>
                  <w14:solidFill>
                    <w14:schemeClr w14:val="tx1"/>
                  </w14:solidFill>
                </w14:textFill>
              </w:rPr>
              <w:t>、技术负责人、</w:t>
            </w:r>
            <w:r>
              <w:rPr>
                <w:rFonts w:hint="eastAsia" w:hAnsi="宋体" w:cs="宋体"/>
                <w:color w:val="000000" w:themeColor="text1"/>
                <w:sz w:val="21"/>
                <w:szCs w:val="21"/>
                <w:highlight w:val="none"/>
                <w:lang w:val="en-US" w:eastAsia="zh-CN" w:bidi="ar"/>
                <w14:textFill>
                  <w14:solidFill>
                    <w14:schemeClr w14:val="tx1"/>
                  </w14:solidFill>
                </w14:textFill>
              </w:rPr>
              <w:t>安全负责人</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sz w:val="21"/>
                <w:szCs w:val="21"/>
                <w:highlight w:val="none"/>
                <w:lang w:bidi="ar"/>
                <w14:textFill>
                  <w14:solidFill>
                    <w14:schemeClr w14:val="tx1"/>
                  </w14:solidFill>
                </w14:textFill>
              </w:rPr>
              <w:t>造价负责人外</w:t>
            </w:r>
            <w:r>
              <w:rPr>
                <w:rFonts w:hint="eastAsia" w:ascii="宋体" w:hAnsi="宋体" w:eastAsia="宋体" w:cs="宋体"/>
                <w:color w:val="000000" w:themeColor="text1"/>
                <w:sz w:val="21"/>
                <w:szCs w:val="21"/>
                <w:highlight w:val="none"/>
                <w:lang w:eastAsia="zh-CN" w:bidi="ar"/>
                <w14:textFill>
                  <w14:solidFill>
                    <w14:schemeClr w14:val="tx1"/>
                  </w14:solidFill>
                </w14:textFill>
              </w:rPr>
              <w:t>）</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中，具有施工员、材料员、质量员，资料员的，每具备一人的，得0.5分，最高得2分。同一个人员不可重复得分。</w:t>
            </w:r>
          </w:p>
          <w:p w14:paraId="2438B182">
            <w:pPr>
              <w:pStyle w:val="18"/>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注：以上人员需提供《住房和城乡建设领域施工现场专业人员职业培训合格证》以及投标人为其近六个月</w:t>
            </w:r>
            <w:r>
              <w:rPr>
                <w:rFonts w:hint="eastAsia" w:hAnsi="宋体" w:cs="宋体"/>
                <w:color w:val="000000" w:themeColor="text1"/>
                <w:sz w:val="21"/>
                <w:szCs w:val="21"/>
                <w:highlight w:val="none"/>
                <w:lang w:val="en-US" w:eastAsia="zh-CN" w:bidi="ar"/>
                <w14:textFill>
                  <w14:solidFill>
                    <w14:schemeClr w14:val="tx1"/>
                  </w14:solidFill>
                </w14:textFill>
              </w:rPr>
              <w:t>内连续缴纳的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社保证明并标记相关人员，不提供证书的不得分。</w:t>
            </w:r>
          </w:p>
          <w:p w14:paraId="5B64406C">
            <w:pPr>
              <w:pStyle w:val="1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投标人拟派其他人员</w:t>
            </w:r>
            <w:r>
              <w:rPr>
                <w:rFonts w:hint="eastAsia" w:ascii="宋体" w:hAnsi="宋体" w:eastAsia="宋体" w:cs="宋体"/>
                <w:color w:val="000000" w:themeColor="text1"/>
                <w:sz w:val="21"/>
                <w:szCs w:val="21"/>
                <w:highlight w:val="none"/>
                <w:lang w:val="en-US" w:eastAsia="zh-CN"/>
                <w14:textFill>
                  <w14:solidFill>
                    <w14:schemeClr w14:val="tx1"/>
                  </w14:solidFill>
                </w14:textFill>
              </w:rPr>
              <w:t>（除项目负责人</w:t>
            </w:r>
            <w:r>
              <w:rPr>
                <w:rFonts w:hint="eastAsia" w:ascii="宋体" w:hAnsi="宋体" w:eastAsia="宋体" w:cs="宋体"/>
                <w:color w:val="000000" w:themeColor="text1"/>
                <w:sz w:val="21"/>
                <w:szCs w:val="21"/>
                <w:highlight w:val="none"/>
                <w:lang w:bidi="ar"/>
                <w14:textFill>
                  <w14:solidFill>
                    <w14:schemeClr w14:val="tx1"/>
                  </w14:solidFill>
                </w14:textFill>
              </w:rPr>
              <w:t>、技术负责人、造价负责人外</w:t>
            </w:r>
            <w:r>
              <w:rPr>
                <w:rFonts w:hint="eastAsia" w:ascii="宋体" w:hAnsi="宋体" w:eastAsia="宋体" w:cs="宋体"/>
                <w:color w:val="000000" w:themeColor="text1"/>
                <w:sz w:val="21"/>
                <w:szCs w:val="21"/>
                <w:highlight w:val="none"/>
                <w:lang w:eastAsia="zh-CN" w:bidi="ar"/>
                <w14:textFill>
                  <w14:solidFill>
                    <w14:schemeClr w14:val="tx1"/>
                  </w14:solidFill>
                </w14:textFill>
              </w:rPr>
              <w:t>）中</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，具有高压电工作业证或低压电工作业证的，每提供1人得</w:t>
            </w:r>
            <w:r>
              <w:rPr>
                <w:rFonts w:hint="eastAsia" w:hAnsi="宋体" w:cs="宋体"/>
                <w:color w:val="000000" w:themeColor="text1"/>
                <w:sz w:val="21"/>
                <w:szCs w:val="21"/>
                <w:highlight w:val="none"/>
                <w:lang w:val="en-US" w:eastAsia="zh-CN" w:bidi="ar"/>
                <w14:textFill>
                  <w14:solidFill>
                    <w14:schemeClr w14:val="tx1"/>
                  </w14:solidFill>
                </w14:textFill>
              </w:rPr>
              <w:t>0.5</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分，最高得</w:t>
            </w:r>
            <w:r>
              <w:rPr>
                <w:rFonts w:hint="eastAsia" w:hAnsi="宋体" w:cs="宋体"/>
                <w:color w:val="000000" w:themeColor="text1"/>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分。同一个人员</w:t>
            </w:r>
            <w:r>
              <w:rPr>
                <w:rFonts w:hint="eastAsia" w:hAnsi="宋体" w:cs="宋体"/>
                <w:color w:val="000000" w:themeColor="text1"/>
                <w:sz w:val="21"/>
                <w:szCs w:val="21"/>
                <w:highlight w:val="none"/>
                <w:lang w:val="en-US" w:eastAsia="zh-CN" w:bidi="ar"/>
                <w14:textFill>
                  <w14:solidFill>
                    <w14:schemeClr w14:val="tx1"/>
                  </w14:solidFill>
                </w14:textFill>
              </w:rPr>
              <w:t>同时具有两种证书</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不可重复得分。</w:t>
            </w:r>
          </w:p>
          <w:p w14:paraId="1C6F43B6">
            <w:pPr>
              <w:pStyle w:val="18"/>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注;以上人员需提供相关部门颁发的证书以及投标人为其近六个月</w:t>
            </w:r>
            <w:r>
              <w:rPr>
                <w:rFonts w:hint="eastAsia" w:hAnsi="宋体" w:cs="宋体"/>
                <w:color w:val="000000" w:themeColor="text1"/>
                <w:sz w:val="21"/>
                <w:szCs w:val="21"/>
                <w:highlight w:val="none"/>
                <w:lang w:val="en-US" w:eastAsia="zh-CN" w:bidi="ar"/>
                <w14:textFill>
                  <w14:solidFill>
                    <w14:schemeClr w14:val="tx1"/>
                  </w14:solidFill>
                </w14:textFill>
              </w:rPr>
              <w:t>内连续</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缴纳</w:t>
            </w:r>
            <w:r>
              <w:rPr>
                <w:rFonts w:hint="eastAsia" w:hAnsi="宋体" w:cs="宋体"/>
                <w:color w:val="000000" w:themeColor="text1"/>
                <w:sz w:val="21"/>
                <w:szCs w:val="21"/>
                <w:highlight w:val="none"/>
                <w:lang w:val="en-US" w:eastAsia="zh-CN" w:bidi="ar"/>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社保证明并标记相关人员，不提供证书的不得分。</w:t>
            </w:r>
          </w:p>
        </w:tc>
      </w:tr>
      <w:tr w14:paraId="74AE89E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94" w:type="dxa"/>
            <w:vMerge w:val="restart"/>
            <w:tcBorders>
              <w:left w:val="single" w:color="auto" w:sz="4" w:space="0"/>
              <w:right w:val="single" w:color="auto" w:sz="4" w:space="0"/>
            </w:tcBorders>
            <w:vAlign w:val="center"/>
          </w:tcPr>
          <w:p w14:paraId="7F5647E7">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安全管理措施</w:t>
            </w:r>
            <w:r>
              <w:rPr>
                <w:rFonts w:hint="eastAsia" w:ascii="宋体" w:hAnsi="宋体" w:eastAsia="宋体" w:cs="宋体"/>
                <w:color w:val="000000" w:themeColor="text1"/>
                <w:szCs w:val="21"/>
                <w:highlight w:val="none"/>
                <w:lang w:val="en-US" w:eastAsia="zh-CN"/>
                <w14:textFill>
                  <w14:solidFill>
                    <w14:schemeClr w14:val="tx1"/>
                  </w14:solidFill>
                </w14:textFill>
              </w:rPr>
              <w:t>方案（40分</w:t>
            </w:r>
            <w:r>
              <w:rPr>
                <w:rFonts w:hint="eastAsia" w:ascii="宋体" w:hAnsi="宋体" w:cs="宋体"/>
                <w:color w:val="000000" w:themeColor="text1"/>
                <w:szCs w:val="21"/>
                <w:highlight w:val="none"/>
                <w:lang w:val="en-US" w:eastAsia="zh-CN"/>
                <w14:textFill>
                  <w14:solidFill>
                    <w14:schemeClr w14:val="tx1"/>
                  </w14:solidFill>
                </w14:textFill>
              </w:rPr>
              <w:t>）</w:t>
            </w:r>
          </w:p>
        </w:tc>
        <w:tc>
          <w:tcPr>
            <w:tcW w:w="1174" w:type="dxa"/>
            <w:tcBorders>
              <w:top w:val="single" w:color="auto" w:sz="4" w:space="0"/>
              <w:left w:val="single" w:color="auto" w:sz="4" w:space="0"/>
              <w:right w:val="single" w:color="auto" w:sz="4" w:space="0"/>
            </w:tcBorders>
            <w:shd w:val="clear" w:color="auto" w:fill="auto"/>
            <w:vAlign w:val="center"/>
          </w:tcPr>
          <w:p w14:paraId="5D220A6D">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安全</w:t>
            </w:r>
            <w:r>
              <w:rPr>
                <w:rFonts w:hint="eastAsia" w:ascii="宋体" w:hAnsi="宋体" w:cs="宋体"/>
                <w:color w:val="000000" w:themeColor="text1"/>
                <w:szCs w:val="21"/>
                <w:highlight w:val="none"/>
                <w:lang w:val="en-US" w:eastAsia="zh-CN"/>
                <w14:textFill>
                  <w14:solidFill>
                    <w14:schemeClr w14:val="tx1"/>
                  </w14:solidFill>
                </w14:textFill>
              </w:rPr>
              <w:t>管理</w:t>
            </w:r>
            <w:r>
              <w:rPr>
                <w:rFonts w:hint="eastAsia" w:ascii="宋体" w:hAnsi="宋体" w:eastAsia="宋体" w:cs="宋体"/>
                <w:color w:val="000000" w:themeColor="text1"/>
                <w:szCs w:val="21"/>
                <w:highlight w:val="none"/>
                <w:lang w:val="en-US" w:eastAsia="zh-CN"/>
                <w14:textFill>
                  <w14:solidFill>
                    <w14:schemeClr w14:val="tx1"/>
                  </w14:solidFill>
                </w14:textFill>
              </w:rPr>
              <w:t>施工方案</w:t>
            </w:r>
          </w:p>
        </w:tc>
        <w:tc>
          <w:tcPr>
            <w:tcW w:w="732" w:type="dxa"/>
            <w:tcBorders>
              <w:top w:val="single" w:color="auto" w:sz="4" w:space="0"/>
              <w:left w:val="single" w:color="auto" w:sz="4" w:space="0"/>
              <w:right w:val="single" w:color="auto" w:sz="4" w:space="0"/>
            </w:tcBorders>
            <w:shd w:val="clear" w:color="auto" w:fill="auto"/>
            <w:vAlign w:val="center"/>
          </w:tcPr>
          <w:p w14:paraId="30D12CC4">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20</w:t>
            </w:r>
          </w:p>
        </w:tc>
        <w:tc>
          <w:tcPr>
            <w:tcW w:w="10918" w:type="dxa"/>
            <w:tcBorders>
              <w:top w:val="single" w:color="auto" w:sz="4" w:space="0"/>
              <w:left w:val="single" w:color="auto" w:sz="4" w:space="0"/>
              <w:bottom w:val="single" w:color="auto" w:sz="4" w:space="0"/>
              <w:right w:val="single" w:color="auto" w:sz="4" w:space="0"/>
            </w:tcBorders>
            <w:shd w:val="clear" w:color="auto" w:fill="auto"/>
            <w:vAlign w:val="center"/>
          </w:tcPr>
          <w:p w14:paraId="12D6E05E">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根据投标人提供的安全管理施工方案，包括但不限于工地围挡、安全警示、减噪措施、安全教育、安全防护用具进行评审：</w:t>
            </w:r>
          </w:p>
          <w:p w14:paraId="5343259C">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提供的工地围挡方案详细具体，可行性强，完全满足本项目需求，得4分；方案较详细具体，可行性一般，基本符合本项目需求，得2分；方案不够详细具体，可行性较差，部分符合本项目需求，得1分；未提供方案不得分。</w:t>
            </w:r>
          </w:p>
          <w:p w14:paraId="0A7373A2">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提供的安全警示方案详细具体，可行性强，完全满足本项目需求，得4分；方案较详细具体，可行性一般，基本符合本项目需求，得2分；方案不够详细具体，可行性较差，部分符合本项目需求，得1分；未提供方案不得分。</w:t>
            </w:r>
          </w:p>
          <w:p w14:paraId="4F22ACAC">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提供的减噪措施方案详细具体，可行性强，完全满足本项目需求，得4分；方案较详细具体，可行性一般，基本符合本项目需求，得2分；方案不够详细具体，可行性较差，部分符合本项目需求，得1分；未提供方案不得分。</w:t>
            </w:r>
          </w:p>
          <w:p w14:paraId="643682D4">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提供的安全教育方案详细具体，可行性强，完全满足本项目需求，得4分；方案较详细具体，可行性一般，基本符合本项目需求，得2分；方案不够详细具体，可行性较差，部分符合本项目需求，得1分；未提供方案不得分。</w:t>
            </w:r>
          </w:p>
          <w:p w14:paraId="0D6C2500">
            <w:pPr>
              <w:spacing w:line="360" w:lineRule="auto"/>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提供的安全防护用具方案详细具体，可行性强，完全满足本项目需求，得4分；方案较详细具体，可行性一般，基本符合本项目需求，得2分；方案不够详细具体，可行性较差，部分符合本项目需求，得1分；未提供方案不得分。</w:t>
            </w:r>
          </w:p>
        </w:tc>
      </w:tr>
      <w:tr w14:paraId="129FC4C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94" w:type="dxa"/>
            <w:vMerge w:val="continue"/>
            <w:tcBorders>
              <w:left w:val="single" w:color="auto" w:sz="4" w:space="0"/>
              <w:right w:val="single" w:color="auto" w:sz="4" w:space="0"/>
            </w:tcBorders>
            <w:vAlign w:val="center"/>
          </w:tcPr>
          <w:p w14:paraId="54485979">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right w:val="single" w:color="auto" w:sz="4" w:space="0"/>
            </w:tcBorders>
            <w:shd w:val="clear" w:color="auto" w:fill="auto"/>
            <w:vAlign w:val="center"/>
          </w:tcPr>
          <w:p w14:paraId="4258109D">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不间断供电</w:t>
            </w:r>
            <w:r>
              <w:rPr>
                <w:rFonts w:hint="eastAsia" w:ascii="宋体" w:hAnsi="宋体" w:cs="宋体"/>
                <w:color w:val="000000" w:themeColor="text1"/>
                <w:szCs w:val="21"/>
                <w:highlight w:val="none"/>
                <w:lang w:val="en-US" w:eastAsia="zh-CN"/>
                <w14:textFill>
                  <w14:solidFill>
                    <w14:schemeClr w14:val="tx1"/>
                  </w14:solidFill>
                </w14:textFill>
              </w:rPr>
              <w:t>保障</w:t>
            </w:r>
            <w:r>
              <w:rPr>
                <w:rFonts w:hint="eastAsia" w:ascii="宋体" w:hAnsi="宋体" w:eastAsia="宋体" w:cs="宋体"/>
                <w:color w:val="000000" w:themeColor="text1"/>
                <w:szCs w:val="21"/>
                <w:highlight w:val="none"/>
                <w:lang w:val="en-US" w:eastAsia="zh-CN"/>
                <w14:textFill>
                  <w14:solidFill>
                    <w14:schemeClr w14:val="tx1"/>
                  </w14:solidFill>
                </w14:textFill>
              </w:rPr>
              <w:t>方案</w:t>
            </w:r>
          </w:p>
        </w:tc>
        <w:tc>
          <w:tcPr>
            <w:tcW w:w="732" w:type="dxa"/>
            <w:tcBorders>
              <w:top w:val="single" w:color="auto" w:sz="4" w:space="0"/>
              <w:left w:val="single" w:color="auto" w:sz="4" w:space="0"/>
              <w:right w:val="single" w:color="auto" w:sz="4" w:space="0"/>
            </w:tcBorders>
            <w:shd w:val="clear" w:color="auto" w:fill="auto"/>
            <w:vAlign w:val="center"/>
          </w:tcPr>
          <w:p w14:paraId="2EECCB49">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w:t>
            </w:r>
          </w:p>
        </w:tc>
        <w:tc>
          <w:tcPr>
            <w:tcW w:w="10918" w:type="dxa"/>
            <w:tcBorders>
              <w:top w:val="single" w:color="auto" w:sz="4" w:space="0"/>
              <w:left w:val="single" w:color="auto" w:sz="4" w:space="0"/>
              <w:bottom w:val="single" w:color="auto" w:sz="4" w:space="0"/>
              <w:right w:val="single" w:color="auto" w:sz="4" w:space="0"/>
            </w:tcBorders>
            <w:shd w:val="clear" w:color="auto" w:fill="auto"/>
            <w:vAlign w:val="center"/>
          </w:tcPr>
          <w:p w14:paraId="2EACF906">
            <w:pPr>
              <w:pStyle w:val="18"/>
              <w:keepNext w:val="0"/>
              <w:keepLines w:val="0"/>
              <w:pageBreakBefore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施工过程中，为保障居民住户用电正常，投标人需提供不间断供电方案，即在施工过程中，使用临时应急用电不间断供应住户用电。</w:t>
            </w:r>
          </w:p>
          <w:p w14:paraId="10D1FDAF">
            <w:pPr>
              <w:pStyle w:val="18"/>
              <w:keepNext w:val="0"/>
              <w:keepLines w:val="0"/>
              <w:pageBreakBefore w:val="0"/>
              <w:numPr>
                <w:ilvl w:val="-1"/>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1、不间断供电方案，包括但不限于保障不间断供电</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措施、</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投入使用的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设施设备和</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接入方式</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等，方案优的，得 </w:t>
            </w:r>
            <w:r>
              <w:rPr>
                <w:rFonts w:hint="eastAsia" w:hAnsi="宋体" w:cs="宋体"/>
                <w:color w:val="000000" w:themeColor="text1"/>
                <w:sz w:val="21"/>
                <w:szCs w:val="21"/>
                <w:highlight w:val="none"/>
                <w:lang w:val="en-US" w:eastAsia="zh-CN" w:bidi="ar"/>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eastAsia" w:hAnsi="宋体" w:cs="宋体"/>
                <w:color w:val="000000" w:themeColor="text1"/>
                <w:sz w:val="21"/>
                <w:szCs w:val="21"/>
                <w:highlight w:val="none"/>
                <w:lang w:val="en-US" w:eastAsia="zh-CN" w:bidi="ar"/>
                <w14:textFill>
                  <w14:solidFill>
                    <w14:schemeClr w14:val="tx1"/>
                  </w14:solidFill>
                </w14:textFill>
              </w:rPr>
              <w:t>15</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分；</w:t>
            </w:r>
          </w:p>
          <w:p w14:paraId="45F27424">
            <w:pPr>
              <w:pStyle w:val="18"/>
              <w:keepNext w:val="0"/>
              <w:keepLines w:val="0"/>
              <w:pageBreakBefore w:val="0"/>
              <w:numPr>
                <w:ilvl w:val="-1"/>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2、不间断供电方案，包括但不限于障措不间断供电</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的措施</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投入使用的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设施设备和</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接入方式</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等，方案较好的，得</w:t>
            </w:r>
            <w:r>
              <w:rPr>
                <w:rFonts w:hint="eastAsia" w:hAnsi="宋体" w:cs="宋体"/>
                <w:color w:val="000000" w:themeColor="text1"/>
                <w:sz w:val="21"/>
                <w:szCs w:val="21"/>
                <w:highlight w:val="none"/>
                <w:lang w:val="en-US" w:eastAsia="zh-CN" w:bidi="ar"/>
                <w14:textFill>
                  <w14:solidFill>
                    <w14:schemeClr w14:val="tx1"/>
                  </w14:solidFill>
                </w14:textFill>
              </w:rPr>
              <w:t>15</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eastAsia" w:hAnsi="宋体" w:cs="宋体"/>
                <w:color w:val="000000" w:themeColor="text1"/>
                <w:sz w:val="21"/>
                <w:szCs w:val="21"/>
                <w:highlight w:val="none"/>
                <w:lang w:val="en-US" w:eastAsia="zh-CN" w:bidi="ar"/>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分；</w:t>
            </w:r>
          </w:p>
          <w:p w14:paraId="188A0F05">
            <w:pPr>
              <w:pStyle w:val="18"/>
              <w:keepNext w:val="0"/>
              <w:keepLines w:val="0"/>
              <w:pageBreakBefore w:val="0"/>
              <w:numPr>
                <w:ilvl w:val="-1"/>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3、不间断供电方案，包括但不限于保障不间断供电</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措施、</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投入使用的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设施设备和</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接入方式</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等，方案一般的，得</w:t>
            </w:r>
            <w:r>
              <w:rPr>
                <w:rFonts w:hint="eastAsia" w:hAnsi="宋体" w:cs="宋体"/>
                <w:color w:val="000000" w:themeColor="text1"/>
                <w:sz w:val="21"/>
                <w:szCs w:val="21"/>
                <w:highlight w:val="none"/>
                <w:lang w:val="en-US" w:eastAsia="zh-CN" w:bidi="ar"/>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eastAsia" w:hAnsi="宋体" w:cs="宋体"/>
                <w:color w:val="000000" w:themeColor="text1"/>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分；</w:t>
            </w:r>
          </w:p>
          <w:p w14:paraId="173D771B">
            <w:pPr>
              <w:pStyle w:val="18"/>
              <w:keepNext w:val="0"/>
              <w:keepLines w:val="0"/>
              <w:pageBreakBefore w:val="0"/>
              <w:numPr>
                <w:ilvl w:val="-1"/>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4、不间断供电方案，包括但不限于保障不间断供电</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措施、</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投入使用的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设施设备和</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接入方式</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等，方案差的，得 </w:t>
            </w:r>
            <w:r>
              <w:rPr>
                <w:rFonts w:hint="eastAsia" w:hAnsi="宋体" w:cs="宋体"/>
                <w:color w:val="000000" w:themeColor="text1"/>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-1分；</w:t>
            </w:r>
          </w:p>
          <w:p w14:paraId="06E51A09">
            <w:pPr>
              <w:pStyle w:val="18"/>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5、不提供不间断供电方案的，不得分。</w:t>
            </w:r>
          </w:p>
        </w:tc>
      </w:tr>
      <w:tr w14:paraId="7E0D98B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94" w:type="dxa"/>
            <w:vMerge w:val="restart"/>
            <w:tcBorders>
              <w:top w:val="single" w:color="auto" w:sz="4" w:space="0"/>
              <w:left w:val="single" w:color="auto" w:sz="4" w:space="0"/>
              <w:right w:val="single" w:color="auto" w:sz="4" w:space="0"/>
            </w:tcBorders>
            <w:vAlign w:val="center"/>
          </w:tcPr>
          <w:p w14:paraId="3DEB53D3">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企业资信（</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分）</w:t>
            </w:r>
          </w:p>
        </w:tc>
        <w:tc>
          <w:tcPr>
            <w:tcW w:w="1174" w:type="dxa"/>
            <w:tcBorders>
              <w:top w:val="single" w:color="auto" w:sz="4" w:space="0"/>
              <w:left w:val="single" w:color="auto" w:sz="4" w:space="0"/>
              <w:bottom w:val="single" w:color="auto" w:sz="4" w:space="0"/>
              <w:right w:val="single" w:color="auto" w:sz="4" w:space="0"/>
            </w:tcBorders>
            <w:vAlign w:val="center"/>
          </w:tcPr>
          <w:p w14:paraId="78BFC618">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企业业绩</w:t>
            </w:r>
          </w:p>
        </w:tc>
        <w:tc>
          <w:tcPr>
            <w:tcW w:w="732" w:type="dxa"/>
            <w:tcBorders>
              <w:top w:val="single" w:color="auto" w:sz="4" w:space="0"/>
              <w:left w:val="single" w:color="auto" w:sz="4" w:space="0"/>
              <w:bottom w:val="single" w:color="auto" w:sz="4" w:space="0"/>
              <w:right w:val="single" w:color="auto" w:sz="4" w:space="0"/>
            </w:tcBorders>
            <w:vAlign w:val="center"/>
          </w:tcPr>
          <w:p w14:paraId="08EA7239">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11</w:t>
            </w:r>
          </w:p>
        </w:tc>
        <w:tc>
          <w:tcPr>
            <w:tcW w:w="10918" w:type="dxa"/>
            <w:tcBorders>
              <w:top w:val="single" w:color="auto" w:sz="4" w:space="0"/>
              <w:left w:val="single" w:color="auto" w:sz="4" w:space="0"/>
              <w:bottom w:val="single" w:color="auto" w:sz="4" w:space="0"/>
              <w:right w:val="single" w:color="auto" w:sz="4" w:space="0"/>
            </w:tcBorders>
            <w:vAlign w:val="center"/>
          </w:tcPr>
          <w:p w14:paraId="20151541">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投标人自202</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月1日至投标截止时间止完成过类似工程业绩的，每个得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分，本项目最高得</w:t>
            </w:r>
            <w:r>
              <w:rPr>
                <w:rFonts w:hint="eastAsia" w:ascii="宋体" w:hAnsi="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分。</w:t>
            </w:r>
          </w:p>
          <w:p w14:paraId="625D8F51">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w:t>
            </w:r>
            <w:r>
              <w:rPr>
                <w:rFonts w:hint="eastAsia" w:ascii="宋体" w:hAnsi="宋体" w:cs="宋体"/>
                <w:color w:val="000000" w:themeColor="text1"/>
                <w:szCs w:val="21"/>
                <w:highlight w:val="none"/>
                <w14:textFill>
                  <w14:solidFill>
                    <w14:schemeClr w14:val="tx1"/>
                  </w14:solidFill>
                </w14:textFill>
              </w:rPr>
              <w:t>类似工程业绩是指单独发包的且合同金额达200万元或以上的电力工程建设业绩</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需提供合同扫描件和竣工验收报告扫描件，不提供不得分。</w:t>
            </w:r>
          </w:p>
        </w:tc>
      </w:tr>
      <w:tr w14:paraId="6F34ACD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94" w:type="dxa"/>
            <w:vMerge w:val="continue"/>
            <w:tcBorders>
              <w:left w:val="single" w:color="auto" w:sz="4" w:space="0"/>
              <w:right w:val="single" w:color="auto" w:sz="4" w:space="0"/>
            </w:tcBorders>
            <w:vAlign w:val="center"/>
          </w:tcPr>
          <w:p w14:paraId="2314AE7B">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vAlign w:val="center"/>
          </w:tcPr>
          <w:p w14:paraId="38936B62">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企业奖项</w:t>
            </w:r>
          </w:p>
        </w:tc>
        <w:tc>
          <w:tcPr>
            <w:tcW w:w="732" w:type="dxa"/>
            <w:tcBorders>
              <w:top w:val="single" w:color="auto" w:sz="4" w:space="0"/>
              <w:left w:val="single" w:color="auto" w:sz="4" w:space="0"/>
              <w:bottom w:val="single" w:color="auto" w:sz="4" w:space="0"/>
              <w:right w:val="single" w:color="auto" w:sz="4" w:space="0"/>
            </w:tcBorders>
            <w:vAlign w:val="center"/>
          </w:tcPr>
          <w:p w14:paraId="2FF5E6D5">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10918" w:type="dxa"/>
            <w:tcBorders>
              <w:top w:val="single" w:color="auto" w:sz="4" w:space="0"/>
              <w:left w:val="single" w:color="auto" w:sz="4" w:space="0"/>
              <w:bottom w:val="single" w:color="auto" w:sz="4" w:space="0"/>
              <w:right w:val="single" w:color="auto" w:sz="4" w:space="0"/>
            </w:tcBorders>
            <w:vAlign w:val="center"/>
          </w:tcPr>
          <w:p w14:paraId="738FBEB2">
            <w:pPr>
              <w:keepNext w:val="0"/>
              <w:keepLines w:val="0"/>
              <w:pageBreakBefore w:val="0"/>
              <w:kinsoku/>
              <w:wordWrap w:val="0"/>
              <w:overflowPunct/>
              <w:topLinePunct w:val="0"/>
              <w:autoSpaceDE/>
              <w:autoSpaceDN/>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年1月1日</w:t>
            </w:r>
            <w:r>
              <w:rPr>
                <w:rFonts w:hint="eastAsia" w:ascii="宋体" w:hAnsi="宋体" w:cs="宋体"/>
                <w:color w:val="000000" w:themeColor="text1"/>
                <w:kern w:val="0"/>
                <w:szCs w:val="21"/>
                <w:highlight w:val="none"/>
                <w14:textFill>
                  <w14:solidFill>
                    <w14:schemeClr w14:val="tx1"/>
                  </w14:solidFill>
                </w14:textFill>
              </w:rPr>
              <w:t>至投标截止时间止</w:t>
            </w:r>
            <w:r>
              <w:rPr>
                <w:rFonts w:hint="eastAsia" w:ascii="宋体" w:hAnsi="宋体" w:eastAsia="宋体" w:cs="宋体"/>
                <w:color w:val="000000" w:themeColor="text1"/>
                <w:kern w:val="0"/>
                <w:sz w:val="21"/>
                <w:szCs w:val="21"/>
                <w:highlight w:val="none"/>
                <w14:textFill>
                  <w14:solidFill>
                    <w14:schemeClr w14:val="tx1"/>
                  </w14:solidFill>
                </w14:textFill>
              </w:rPr>
              <w:t>投标人获得过工程质量方面奖项证书，国家级每项得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分，省级每项得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市级每项得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本项</w:t>
            </w:r>
            <w:r>
              <w:rPr>
                <w:rFonts w:hint="eastAsia" w:ascii="宋体" w:hAnsi="宋体" w:eastAsia="宋体" w:cs="宋体"/>
                <w:color w:val="000000" w:themeColor="text1"/>
                <w:kern w:val="0"/>
                <w:sz w:val="21"/>
                <w:szCs w:val="21"/>
                <w:highlight w:val="none"/>
                <w14:textFill>
                  <w14:solidFill>
                    <w14:schemeClr w14:val="tx1"/>
                  </w14:solidFill>
                </w14:textFill>
              </w:rPr>
              <w:t>最多得</w:t>
            </w:r>
            <w:r>
              <w:rPr>
                <w:rFonts w:hint="eastAsia" w:ascii="宋体" w:hAnsi="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4DD7C7D7">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注：获奖由建设行政主管部门或行业协会颁发的工程质量方面奖项为准（行业协会须在民政管理部门登记备案）。国家级奖项指中国建设工程鲁班奖、国家优质工程（金质奖）、国家优质工程奖、中国土木工程詹天佑奖、中国电力优质工程奖，</w:t>
            </w:r>
            <w:r>
              <w:rPr>
                <w:rFonts w:hint="eastAsia" w:ascii="宋体" w:hAnsi="宋体" w:eastAsia="宋体" w:cs="宋体"/>
                <w:color w:val="000000" w:themeColor="text1"/>
                <w:sz w:val="21"/>
                <w:szCs w:val="21"/>
                <w:highlight w:val="none"/>
                <w14:textFill>
                  <w14:solidFill>
                    <w14:schemeClr w14:val="tx1"/>
                  </w14:solidFill>
                </w14:textFill>
              </w:rPr>
              <w:t>省级及市级质量奖项指由行政主管部门或行业协会颁发的质量奖项，不包含安全文明、绿色施工、结构、技术创新、QC成果、科技进步及技术应用类等奖项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工程获奖需</w:t>
            </w:r>
            <w:r>
              <w:rPr>
                <w:rStyle w:val="39"/>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提供</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获奖证书，获奖时间以获奖证书为准。</w:t>
            </w:r>
            <w:r>
              <w:rPr>
                <w:rFonts w:hint="eastAsia" w:ascii="宋体" w:hAnsi="宋体" w:eastAsia="宋体" w:cs="宋体"/>
                <w:color w:val="000000" w:themeColor="text1"/>
                <w:sz w:val="21"/>
                <w:szCs w:val="21"/>
                <w:highlight w:val="none"/>
                <w14:textFill>
                  <w14:solidFill>
                    <w14:schemeClr w14:val="tx1"/>
                  </w14:solidFill>
                </w14:textFill>
              </w:rPr>
              <w:t>同一项目只按最高奖项计算一次得分，不得重复计算，参建及承建的奖项均予以计算；②获奖时间以发证时间为准，投标人须提供相关获奖证书原件扫描件，并加盖投标人公章，不符合上述条件或未提供上述资料的不得分。③境外工程不予计算。④若发证机构为学会或协会的，须在中国社会组织公共服务平台查询到为有效（附网页截图）。</w:t>
            </w:r>
          </w:p>
        </w:tc>
      </w:tr>
      <w:tr w14:paraId="324FACB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94" w:type="dxa"/>
            <w:vMerge w:val="continue"/>
            <w:tcBorders>
              <w:left w:val="single" w:color="auto" w:sz="4" w:space="0"/>
              <w:right w:val="single" w:color="auto" w:sz="4" w:space="0"/>
            </w:tcBorders>
            <w:vAlign w:val="center"/>
          </w:tcPr>
          <w:p w14:paraId="6BC19DEC">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lang w:val="en"/>
                <w14:textFill>
                  <w14:solidFill>
                    <w14:schemeClr w14:val="tx1"/>
                  </w14:solidFill>
                </w14:textFill>
              </w:rPr>
            </w:pPr>
            <w:r>
              <w:rPr>
                <w:rFonts w:hint="eastAsia" w:ascii="宋体" w:hAnsi="宋体" w:eastAsia="宋体" w:cs="宋体"/>
                <w:color w:val="000000" w:themeColor="text1"/>
                <w:szCs w:val="21"/>
                <w:highlight w:val="none"/>
                <w:lang w:val="en"/>
                <w14:textFill>
                  <w14:solidFill>
                    <w14:schemeClr w14:val="tx1"/>
                  </w14:solidFill>
                </w14:textFill>
              </w:rPr>
              <w:t>企业</w:t>
            </w:r>
          </w:p>
        </w:tc>
        <w:tc>
          <w:tcPr>
            <w:tcW w:w="1174" w:type="dxa"/>
            <w:tcBorders>
              <w:top w:val="single" w:color="auto" w:sz="4" w:space="0"/>
              <w:left w:val="single" w:color="auto" w:sz="4" w:space="0"/>
              <w:bottom w:val="single" w:color="auto" w:sz="4" w:space="0"/>
              <w:right w:val="single" w:color="auto" w:sz="4" w:space="0"/>
            </w:tcBorders>
            <w:vAlign w:val="center"/>
          </w:tcPr>
          <w:p w14:paraId="5D054525">
            <w:pPr>
              <w:keepNext w:val="0"/>
              <w:keepLines w:val="0"/>
              <w:pageBreakBefore w:val="0"/>
              <w:widowControl/>
              <w:kinsoku/>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lang w:val="en"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第三方评价</w:t>
            </w:r>
          </w:p>
        </w:tc>
        <w:tc>
          <w:tcPr>
            <w:tcW w:w="732" w:type="dxa"/>
            <w:tcBorders>
              <w:top w:val="single" w:color="auto" w:sz="4" w:space="0"/>
              <w:left w:val="single" w:color="auto" w:sz="4" w:space="0"/>
              <w:bottom w:val="single" w:color="auto" w:sz="4" w:space="0"/>
              <w:right w:val="single" w:color="auto" w:sz="4" w:space="0"/>
            </w:tcBorders>
            <w:vAlign w:val="center"/>
          </w:tcPr>
          <w:p w14:paraId="1B9D9ABC">
            <w:pPr>
              <w:keepNext w:val="0"/>
              <w:keepLines w:val="0"/>
              <w:pageBreakBefore w:val="0"/>
              <w:widowControl/>
              <w:kinsoku/>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c>
          <w:tcPr>
            <w:tcW w:w="10918" w:type="dxa"/>
            <w:tcBorders>
              <w:top w:val="single" w:color="auto" w:sz="4" w:space="0"/>
              <w:left w:val="single" w:color="auto" w:sz="4" w:space="0"/>
              <w:bottom w:val="single" w:color="auto" w:sz="4" w:space="0"/>
              <w:right w:val="single" w:color="auto" w:sz="4" w:space="0"/>
            </w:tcBorders>
            <w:vAlign w:val="center"/>
          </w:tcPr>
          <w:p w14:paraId="28861771">
            <w:pPr>
              <w:keepNext w:val="0"/>
              <w:keepLines w:val="0"/>
              <w:pageBreakBefore w:val="0"/>
              <w:widowControl/>
              <w:numPr>
                <w:ilvl w:val="0"/>
                <w:numId w:val="0"/>
              </w:numPr>
              <w:kinsoku/>
              <w:overflowPunct/>
              <w:topLinePunct w:val="0"/>
              <w:autoSpaceDE/>
              <w:autoSpaceDN/>
              <w:bidi w:val="0"/>
              <w:adjustRightInd w:val="0"/>
              <w:snapToGrid/>
              <w:spacing w:beforeAutospacing="0" w:afterAutospacing="0" w:line="360" w:lineRule="auto"/>
              <w:jc w:val="left"/>
              <w:textAlignment w:val="auto"/>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sz w:val="21"/>
                <w:szCs w:val="21"/>
                <w:highlight w:val="none"/>
                <w:lang w:val="zh-TW" w:bidi="ar"/>
                <w14:textFill>
                  <w14:solidFill>
                    <w14:schemeClr w14:val="tx1"/>
                  </w14:solidFill>
                </w14:textFill>
              </w:rPr>
              <w:t>投标人具有质量管理体系认证、职业健康安全管理体系认证、环境管理体系认证</w:t>
            </w:r>
            <w:r>
              <w:rPr>
                <w:rFonts w:hint="eastAsia" w:ascii="宋体" w:hAnsi="宋体" w:cs="宋体"/>
                <w:color w:val="000000" w:themeColor="text1"/>
                <w:sz w:val="21"/>
                <w:szCs w:val="21"/>
                <w:highlight w:val="none"/>
                <w:lang w:val="zh-TW" w:eastAsia="zh-CN" w:bidi="ar"/>
                <w14:textFill>
                  <w14:solidFill>
                    <w14:schemeClr w14:val="tx1"/>
                  </w14:solidFill>
                </w14:textFill>
              </w:rPr>
              <w:t>证书</w:t>
            </w:r>
            <w:r>
              <w:rPr>
                <w:rFonts w:hint="eastAsia" w:ascii="宋体" w:hAnsi="宋体" w:eastAsia="宋体" w:cs="宋体"/>
                <w:color w:val="000000" w:themeColor="text1"/>
                <w:sz w:val="21"/>
                <w:szCs w:val="21"/>
                <w:highlight w:val="none"/>
                <w:lang w:val="zh-TW" w:bidi="ar"/>
                <w14:textFill>
                  <w14:solidFill>
                    <w14:schemeClr w14:val="tx1"/>
                  </w14:solidFill>
                </w14:textFill>
              </w:rPr>
              <w:t>且</w:t>
            </w:r>
            <w:r>
              <w:rPr>
                <w:rFonts w:hint="eastAsia" w:ascii="宋体" w:hAnsi="宋体" w:cs="宋体"/>
                <w:color w:val="000000" w:themeColor="text1"/>
                <w:sz w:val="21"/>
                <w:szCs w:val="21"/>
                <w:highlight w:val="none"/>
                <w:lang w:val="zh-TW" w:eastAsia="zh-CN" w:bidi="ar"/>
                <w14:textFill>
                  <w14:solidFill>
                    <w14:schemeClr w14:val="tx1"/>
                  </w14:solidFill>
                </w14:textFill>
              </w:rPr>
              <w:t>证书</w:t>
            </w:r>
            <w:r>
              <w:rPr>
                <w:rFonts w:hint="eastAsia" w:ascii="宋体" w:hAnsi="宋体" w:eastAsia="宋体" w:cs="宋体"/>
                <w:color w:val="000000" w:themeColor="text1"/>
                <w:sz w:val="21"/>
                <w:szCs w:val="21"/>
                <w:highlight w:val="none"/>
                <w:lang w:val="zh-TW" w:bidi="ar"/>
                <w14:textFill>
                  <w14:solidFill>
                    <w14:schemeClr w14:val="tx1"/>
                  </w14:solidFill>
                </w14:textFill>
              </w:rPr>
              <w:t>在有效期内的</w:t>
            </w:r>
            <w:r>
              <w:rPr>
                <w:rFonts w:hint="eastAsia" w:ascii="宋体" w:hAnsi="宋体" w:eastAsia="宋体" w:cs="宋体"/>
                <w:color w:val="000000" w:themeColor="text1"/>
                <w:sz w:val="21"/>
                <w:szCs w:val="21"/>
                <w:highlight w:val="none"/>
                <w:lang w:val="zh-TW" w:eastAsia="zh-CN" w:bidi="ar"/>
                <w14:textFill>
                  <w14:solidFill>
                    <w14:schemeClr w14:val="tx1"/>
                  </w14:solidFill>
                </w14:textFill>
              </w:rPr>
              <w:t>，</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每具备</w:t>
            </w:r>
            <w:r>
              <w:rPr>
                <w:rFonts w:hint="eastAsia" w:ascii="宋体" w:hAnsi="宋体" w:eastAsia="宋体" w:cs="宋体"/>
                <w:color w:val="000000" w:themeColor="text1"/>
                <w:sz w:val="21"/>
                <w:szCs w:val="21"/>
                <w:highlight w:val="none"/>
                <w:lang w:val="zh-TW" w:bidi="ar"/>
                <w14:textFill>
                  <w14:solidFill>
                    <w14:schemeClr w14:val="tx1"/>
                  </w14:solidFill>
                </w14:textFill>
              </w:rPr>
              <w:t>一项证书，得</w:t>
            </w:r>
            <w:r>
              <w:rPr>
                <w:rFonts w:hint="eastAsia" w:ascii="宋体" w:hAnsi="宋体" w:cs="宋体"/>
                <w:color w:val="000000" w:themeColor="text1"/>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sz w:val="21"/>
                <w:szCs w:val="21"/>
                <w:highlight w:val="none"/>
                <w:lang w:val="zh-TW" w:bidi="ar"/>
                <w14:textFill>
                  <w14:solidFill>
                    <w14:schemeClr w14:val="tx1"/>
                  </w14:solidFill>
                </w14:textFill>
              </w:rPr>
              <w:t>分</w:t>
            </w:r>
            <w:r>
              <w:rPr>
                <w:rFonts w:hint="eastAsia" w:ascii="宋体" w:hAnsi="宋体" w:eastAsia="宋体" w:cs="宋体"/>
                <w:color w:val="000000" w:themeColor="text1"/>
                <w:sz w:val="21"/>
                <w:szCs w:val="21"/>
                <w:highlight w:val="none"/>
                <w:lang w:val="zh-TW" w:eastAsia="zh-CN" w:bidi="ar"/>
                <w14:textFill>
                  <w14:solidFill>
                    <w14:schemeClr w14:val="tx1"/>
                  </w14:solidFill>
                </w14:textFill>
              </w:rPr>
              <w:t>，</w:t>
            </w:r>
            <w:r>
              <w:rPr>
                <w:rFonts w:hint="eastAsia" w:ascii="宋体" w:hAnsi="宋体" w:eastAsia="宋体" w:cs="宋体"/>
                <w:color w:val="000000" w:themeColor="text1"/>
                <w:sz w:val="21"/>
                <w:szCs w:val="21"/>
                <w:highlight w:val="none"/>
                <w:lang w:bidi="ar"/>
                <w14:textFill>
                  <w14:solidFill>
                    <w14:schemeClr w14:val="tx1"/>
                  </w14:solidFill>
                </w14:textFill>
              </w:rPr>
              <w:t>本项最高得</w:t>
            </w:r>
            <w:r>
              <w:rPr>
                <w:rFonts w:hint="eastAsia" w:ascii="宋体" w:hAnsi="宋体" w:cs="宋体"/>
                <w:color w:val="000000" w:themeColor="text1"/>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sz w:val="21"/>
                <w:szCs w:val="21"/>
                <w:highlight w:val="none"/>
                <w:lang w:bidi="ar"/>
                <w14:textFill>
                  <w14:solidFill>
                    <w14:schemeClr w14:val="tx1"/>
                  </w14:solidFill>
                </w14:textFill>
              </w:rPr>
              <w:t>分。</w:t>
            </w:r>
          </w:p>
        </w:tc>
      </w:tr>
      <w:tr w14:paraId="058FAE4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14:paraId="64084325">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ascii="宋体" w:hAnsi="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vAlign w:val="center"/>
          </w:tcPr>
          <w:p w14:paraId="3EC6665C">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合计</w:t>
            </w:r>
          </w:p>
        </w:tc>
        <w:tc>
          <w:tcPr>
            <w:tcW w:w="732" w:type="dxa"/>
            <w:tcBorders>
              <w:top w:val="single" w:color="auto" w:sz="4" w:space="0"/>
              <w:left w:val="single" w:color="auto" w:sz="4" w:space="0"/>
              <w:bottom w:val="single" w:color="auto" w:sz="4" w:space="0"/>
              <w:right w:val="single" w:color="auto" w:sz="4" w:space="0"/>
            </w:tcBorders>
            <w:vAlign w:val="center"/>
          </w:tcPr>
          <w:p w14:paraId="67E288C3">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100</w:t>
            </w:r>
          </w:p>
        </w:tc>
        <w:tc>
          <w:tcPr>
            <w:tcW w:w="10918" w:type="dxa"/>
            <w:tcBorders>
              <w:top w:val="single" w:color="auto" w:sz="4" w:space="0"/>
              <w:left w:val="single" w:color="auto" w:sz="4" w:space="0"/>
              <w:bottom w:val="single" w:color="auto" w:sz="4" w:space="0"/>
              <w:right w:val="single" w:color="auto" w:sz="4" w:space="0"/>
            </w:tcBorders>
            <w:vAlign w:val="center"/>
          </w:tcPr>
          <w:p w14:paraId="2EC9FFDA">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ascii="宋体" w:hAnsi="宋体"/>
                <w:color w:val="000000" w:themeColor="text1"/>
                <w:szCs w:val="21"/>
                <w:highlight w:val="none"/>
                <w14:textFill>
                  <w14:solidFill>
                    <w14:schemeClr w14:val="tx1"/>
                  </w14:solidFill>
                </w14:textFill>
              </w:rPr>
            </w:pPr>
          </w:p>
        </w:tc>
      </w:tr>
    </w:tbl>
    <w:p w14:paraId="21D736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14:paraId="4B39B5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w:t>
      </w:r>
      <w:r>
        <w:rPr>
          <w:rFonts w:hint="eastAsia" w:ascii="宋体" w:hAnsi="宋体" w:cs="宋体"/>
          <w:b/>
          <w:color w:val="000000" w:themeColor="text1"/>
          <w:highlight w:val="none"/>
          <w14:textFill>
            <w14:solidFill>
              <w14:schemeClr w14:val="tx1"/>
            </w14:solidFill>
          </w14:textFill>
        </w:rPr>
        <w:t>【项目管理机构】：</w:t>
      </w:r>
      <w:r>
        <w:rPr>
          <w:rFonts w:hint="eastAsia" w:ascii="宋体" w:hAnsi="宋体"/>
          <w:color w:val="000000" w:themeColor="text1"/>
          <w:szCs w:val="21"/>
          <w:highlight w:val="none"/>
          <w14:textFill>
            <w14:solidFill>
              <w14:schemeClr w14:val="tx1"/>
            </w14:solidFill>
          </w14:textFill>
        </w:rPr>
        <w:t>①所有人员须提供相关证明资料和</w:t>
      </w:r>
      <w:r>
        <w:rPr>
          <w:rFonts w:ascii="宋体" w:hAnsi="宋体" w:cs="宋体"/>
          <w:color w:val="000000" w:themeColor="text1"/>
          <w:szCs w:val="21"/>
          <w:highlight w:val="none"/>
          <w14:textFill>
            <w14:solidFill>
              <w14:schemeClr w14:val="tx1"/>
            </w14:solidFill>
          </w14:textFill>
        </w:rPr>
        <w:t>至投标截止时间</w:t>
      </w:r>
      <w:r>
        <w:rPr>
          <w:rFonts w:hint="eastAsia" w:ascii="宋体" w:hAnsi="宋体" w:cs="宋体"/>
          <w:color w:val="000000" w:themeColor="text1"/>
          <w:szCs w:val="21"/>
          <w:highlight w:val="none"/>
          <w:lang w:val="en-US" w:eastAsia="zh-CN"/>
          <w14:textFill>
            <w14:solidFill>
              <w14:schemeClr w14:val="tx1"/>
            </w14:solidFill>
          </w14:textFill>
        </w:rPr>
        <w:t>近六个月</w:t>
      </w:r>
      <w:r>
        <w:rPr>
          <w:rFonts w:hint="eastAsia" w:ascii="宋体" w:hAnsi="宋体"/>
          <w:color w:val="000000" w:themeColor="text1"/>
          <w:szCs w:val="21"/>
          <w:highlight w:val="none"/>
          <w14:textFill>
            <w14:solidFill>
              <w14:schemeClr w14:val="tx1"/>
            </w14:solidFill>
          </w14:textFill>
        </w:rPr>
        <w:t>在投标单位</w:t>
      </w:r>
      <w:r>
        <w:rPr>
          <w:rFonts w:hint="eastAsia" w:ascii="宋体" w:hAnsi="宋体"/>
          <w:color w:val="000000" w:themeColor="text1"/>
          <w:szCs w:val="21"/>
          <w:highlight w:val="none"/>
          <w:lang w:val="en-US" w:eastAsia="zh-CN"/>
          <w14:textFill>
            <w14:solidFill>
              <w14:schemeClr w14:val="tx1"/>
            </w14:solidFill>
          </w14:textFill>
        </w:rPr>
        <w:t>连续</w:t>
      </w:r>
      <w:r>
        <w:rPr>
          <w:rFonts w:hint="eastAsia" w:ascii="宋体" w:hAnsi="宋体"/>
          <w:color w:val="000000" w:themeColor="text1"/>
          <w:szCs w:val="21"/>
          <w:highlight w:val="none"/>
          <w14:textFill>
            <w14:solidFill>
              <w14:schemeClr w14:val="tx1"/>
            </w14:solidFill>
          </w14:textFill>
        </w:rPr>
        <w:t>缴纳社保的证明材料扫描件，未提供或所提供的证明资料不符合要求的，则该评分节点不予评审。②</w:t>
      </w:r>
      <w:r>
        <w:rPr>
          <w:rFonts w:hint="eastAsia" w:ascii="宋体" w:hAnsi="宋体" w:cs="宋体"/>
          <w:color w:val="000000" w:themeColor="text1"/>
          <w:kern w:val="0"/>
          <w:szCs w:val="21"/>
          <w:highlight w:val="none"/>
          <w14:textFill>
            <w14:solidFill>
              <w14:schemeClr w14:val="tx1"/>
            </w14:solidFill>
          </w14:textFill>
        </w:rPr>
        <w:t>职称证书以地市级(或以上)人社部门核发为准，若非人社部门核发的职称证书，投标人须同时提供地市级(或以上)人社部门委托核发机构开展职称评审工作的证明文件或其他可由该机构核发的政策文件依据，或在人社部门专业技术人才职称管理系统登记的信息记录网页及截图，否则，对该职称证书不予认可</w:t>
      </w: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③</w:t>
      </w:r>
      <w:r>
        <w:rPr>
          <w:rFonts w:ascii="Times New Roman" w:hAnsi="Times New Roman"/>
          <w:color w:val="000000" w:themeColor="text1"/>
          <w:highlight w:val="none"/>
          <w14:textFill>
            <w14:solidFill>
              <w14:schemeClr w14:val="tx1"/>
            </w14:solidFill>
          </w14:textFill>
        </w:rPr>
        <w:t>按照《造价工程师职业资格制度规定》的规定，根据原人事部、原建设部发布的《造价工程师执业资格制度暂行规定》（人发〔1996〕77号）取得的造价工程师执业资格，并经注册且在有效期内的，等同于一级注册造价工程师。</w:t>
      </w:r>
      <w:r>
        <w:rPr>
          <w:rFonts w:hint="eastAsia" w:ascii="Times New Roman" w:hAnsi="Times New Roman"/>
          <w:color w:val="000000" w:themeColor="text1"/>
          <w:highlight w:val="none"/>
          <w14:textFill>
            <w14:solidFill>
              <w14:schemeClr w14:val="tx1"/>
            </w14:solidFill>
          </w14:textFill>
        </w:rPr>
        <w:t>④</w:t>
      </w:r>
      <w:r>
        <w:rPr>
          <w:rFonts w:hint="eastAsia" w:ascii="宋体" w:hAnsi="宋体"/>
          <w:color w:val="000000" w:themeColor="text1"/>
          <w:szCs w:val="21"/>
          <w:highlight w:val="none"/>
          <w14:textFill>
            <w14:solidFill>
              <w14:schemeClr w14:val="tx1"/>
            </w14:solidFill>
          </w14:textFill>
        </w:rPr>
        <w:t>上述人员岗位不能相互兼任。</w:t>
      </w:r>
    </w:p>
    <w:p w14:paraId="59FF512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w:t>
      </w:r>
      <w:r>
        <w:rPr>
          <w:rFonts w:hint="eastAsia" w:ascii="宋体" w:hAnsi="宋体" w:cs="宋体"/>
          <w:b/>
          <w:color w:val="000000" w:themeColor="text1"/>
          <w:highlight w:val="none"/>
          <w14:textFill>
            <w14:solidFill>
              <w14:schemeClr w14:val="tx1"/>
            </w14:solidFill>
          </w14:textFill>
        </w:rPr>
        <w:t>企业业绩：</w:t>
      </w:r>
      <w:r>
        <w:rPr>
          <w:rFonts w:hint="eastAsia" w:ascii="宋体" w:hAnsi="宋体" w:cs="宋体"/>
          <w:color w:val="000000" w:themeColor="text1"/>
          <w:kern w:val="0"/>
          <w:szCs w:val="21"/>
          <w:highlight w:val="none"/>
          <w14:textFill>
            <w14:solidFill>
              <w14:schemeClr w14:val="tx1"/>
            </w14:solidFill>
          </w14:textFill>
        </w:rPr>
        <w:t>类似工程业绩是指单独发包的且合同金额达200万元或以上的电力工程建设业绩，需同时提供中标通知书或免招标的相关证明、施工合同、竣工验收报告或竣工验收证明（至少具有建设单位、设计、施工和监理单位盖章）扫描件。由总承包单位依法分包的电力工程业绩</w:t>
      </w:r>
      <w:r>
        <w:rPr>
          <w:rFonts w:hint="eastAsia" w:ascii="宋体" w:hAnsi="宋体" w:cs="宋体"/>
          <w:color w:val="000000" w:themeColor="text1"/>
          <w:szCs w:val="21"/>
          <w:highlight w:val="none"/>
          <w:lang w:bidi="ar"/>
          <w14:textFill>
            <w14:solidFill>
              <w14:schemeClr w14:val="tx1"/>
            </w14:solidFill>
          </w14:textFill>
        </w:rPr>
        <w:t>，需同时提供经业主和总承包单位确认的分包合同、竣工验收报告或竣工验收证明（至少具有建设单位、设计、施工和监理单位盖章）扫描件。</w:t>
      </w:r>
      <w:r>
        <w:rPr>
          <w:rFonts w:hint="eastAsia" w:ascii="宋体" w:hAnsi="宋体" w:cs="宋体"/>
          <w:color w:val="000000" w:themeColor="text1"/>
          <w:kern w:val="0"/>
          <w:szCs w:val="21"/>
          <w:highlight w:val="none"/>
          <w14:textFill>
            <w14:solidFill>
              <w14:schemeClr w14:val="tx1"/>
            </w14:solidFill>
          </w14:textFill>
        </w:rPr>
        <w:t>完成时间以竣工验收文件为准。</w:t>
      </w:r>
    </w:p>
    <w:p w14:paraId="170828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Cs/>
          <w:color w:val="000000" w:themeColor="text1"/>
          <w:szCs w:val="21"/>
          <w:highlight w:val="none"/>
          <w:lang w:eastAsia="zh-CN" w:bidi="ar"/>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第三方评价：</w:t>
      </w:r>
      <w:r>
        <w:rPr>
          <w:rFonts w:hint="eastAsia" w:ascii="宋体" w:hAnsi="宋体" w:cs="宋体"/>
          <w:bCs/>
          <w:color w:val="000000" w:themeColor="text1"/>
          <w:szCs w:val="21"/>
          <w:highlight w:val="none"/>
          <w:lang w:bidi="ar"/>
          <w14:textFill>
            <w14:solidFill>
              <w14:schemeClr w14:val="tx1"/>
            </w14:solidFill>
          </w14:textFill>
        </w:rPr>
        <w:t>体系认证提供证书复印件并加盖投标人公章，及全国认证平台相关查询网页打印件，未提供的不得分</w:t>
      </w:r>
      <w:r>
        <w:rPr>
          <w:rFonts w:hint="eastAsia" w:ascii="宋体" w:hAnsi="宋体" w:cs="宋体"/>
          <w:bCs/>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投标人须提供在上述官网的查询结果网页打印页并加盖投标单位公章（不符合条件或无提交上述打印件的不计分）。</w:t>
      </w:r>
    </w:p>
    <w:p w14:paraId="74D03F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rFonts w:hint="eastAsia" w:ascii="宋体" w:hAnsi="宋体" w:cs="宋体"/>
          <w:bCs/>
          <w:color w:val="000000" w:themeColor="text1"/>
          <w:szCs w:val="21"/>
          <w:highlight w:val="none"/>
          <w:lang w:val="en-US" w:eastAsia="zh-CN" w:bidi="ar"/>
          <w14:textFill>
            <w14:solidFill>
              <w14:schemeClr w14:val="tx1"/>
            </w14:solidFill>
          </w14:textFill>
        </w:rPr>
        <w:t>4、</w:t>
      </w:r>
      <w:r>
        <w:rPr>
          <w:rFonts w:hint="eastAsia" w:ascii="宋体" w:hAnsi="宋体"/>
          <w:b/>
          <w:bCs/>
          <w:color w:val="000000" w:themeColor="text1"/>
          <w:szCs w:val="21"/>
          <w:highlight w:val="none"/>
          <w:lang w:val="en-US" w:eastAsia="zh-CN"/>
          <w14:textFill>
            <w14:solidFill>
              <w14:schemeClr w14:val="tx1"/>
            </w14:solidFill>
          </w14:textFill>
        </w:rPr>
        <w:t>企业奖项</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获奖由建设行政主管部门或行业协会颁发的工程质量方面奖项为准（行业协会须在民政管理部门登记备案）。国家级奖项指中国建设工程鲁班奖、国家优质工程（金质奖）、国家优质工程奖、中国土木工程詹天佑奖、中国电力优质工程奖，</w:t>
      </w:r>
      <w:r>
        <w:rPr>
          <w:rFonts w:hint="eastAsia" w:ascii="宋体" w:hAnsi="宋体" w:eastAsia="宋体" w:cs="宋体"/>
          <w:color w:val="000000" w:themeColor="text1"/>
          <w:sz w:val="21"/>
          <w:szCs w:val="21"/>
          <w:highlight w:val="none"/>
          <w14:textFill>
            <w14:solidFill>
              <w14:schemeClr w14:val="tx1"/>
            </w14:solidFill>
          </w14:textFill>
        </w:rPr>
        <w:t>省级及市级质量奖项指由行政主管部门或行业协会颁发的质量奖项，不包含安全文明、绿色施工、结构、技术创新、QC成果、科技进步及技术应用类等奖项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工程获奖需</w:t>
      </w:r>
      <w:r>
        <w:rPr>
          <w:rStyle w:val="39"/>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提供</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获奖证书，获奖时间以获奖证书为准。</w:t>
      </w:r>
      <w:r>
        <w:rPr>
          <w:rFonts w:hint="eastAsia" w:ascii="宋体" w:hAnsi="宋体" w:eastAsia="宋体" w:cs="宋体"/>
          <w:color w:val="000000" w:themeColor="text1"/>
          <w:sz w:val="21"/>
          <w:szCs w:val="21"/>
          <w:highlight w:val="none"/>
          <w14:textFill>
            <w14:solidFill>
              <w14:schemeClr w14:val="tx1"/>
            </w14:solidFill>
          </w14:textFill>
        </w:rPr>
        <w:t>同一项目只按最高奖项计算一次得分，不得重复计算，参建及承建的奖项均予以计算；②获奖时间以发证时间为准，投标人须提供相关获奖证书原件扫描件，并加盖投标人公章，不符合上述条件或未提供上述资料的不得分。③境外工程不予计算。④若发证机构为学会或协会的，须在中国社会组织公共服务平台查询到为有效（附网页截图）</w:t>
      </w:r>
      <w:r>
        <w:rPr>
          <w:rFonts w:hint="eastAsia" w:ascii="宋体" w:hAnsi="宋体" w:cs="宋体"/>
          <w:bCs/>
          <w:color w:val="000000" w:themeColor="text1"/>
          <w:szCs w:val="21"/>
          <w:highlight w:val="none"/>
          <w:lang w:bidi="ar"/>
          <w14:textFill>
            <w14:solidFill>
              <w14:schemeClr w14:val="tx1"/>
            </w14:solidFill>
          </w14:textFill>
        </w:rPr>
        <w:t>。</w:t>
      </w:r>
    </w:p>
    <w:p w14:paraId="7D7FA61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5</w:t>
      </w:r>
      <w:r>
        <w:rPr>
          <w:rFonts w:hint="eastAsia" w:ascii="宋体" w:hAnsi="宋体"/>
          <w:b/>
          <w:bCs/>
          <w:color w:val="000000" w:themeColor="text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所有评委总分汇总后的算术平均值为投标人的最终得分。分数出现小数点，保留小数点后二位小数，三位小数四舍五入。</w:t>
      </w:r>
    </w:p>
    <w:p w14:paraId="0423473E">
      <w:pPr>
        <w:rPr>
          <w:rFonts w:hint="eastAsia" w:ascii="宋体" w:hAnsi="宋体" w:cs="宋体"/>
          <w:color w:val="000000" w:themeColor="text1"/>
          <w:szCs w:val="21"/>
          <w:highlight w:val="none"/>
          <w:lang w:bidi="ar"/>
          <w14:textFill>
            <w14:solidFill>
              <w14:schemeClr w14:val="tx1"/>
            </w14:solidFill>
          </w14:textFill>
        </w:rPr>
      </w:pPr>
    </w:p>
    <w:p w14:paraId="1AB176FD">
      <w:pPr>
        <w:rPr>
          <w:rFonts w:hint="eastAsia" w:ascii="宋体" w:hAnsi="宋体" w:cs="宋体"/>
          <w:color w:val="000000" w:themeColor="text1"/>
          <w:szCs w:val="21"/>
          <w:highlight w:val="none"/>
          <w:lang w:bidi="ar"/>
          <w14:textFill>
            <w14:solidFill>
              <w14:schemeClr w14:val="tx1"/>
            </w14:solidFill>
          </w14:textFill>
        </w:rPr>
      </w:pPr>
    </w:p>
    <w:p w14:paraId="2E333E9D">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评委签名：                     日期：</w:t>
      </w:r>
      <w:r>
        <w:rPr>
          <w:rFonts w:hint="eastAsia"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附表</w:t>
      </w:r>
      <w:r>
        <w:rPr>
          <w:rFonts w:hint="eastAsia" w:ascii="宋体" w:hAnsi="宋体"/>
          <w:color w:val="000000" w:themeColor="text1"/>
          <w:szCs w:val="21"/>
          <w:highlight w:val="none"/>
          <w:lang w:val="en-US" w:eastAsia="zh-CN"/>
          <w14:textFill>
            <w14:solidFill>
              <w14:schemeClr w14:val="tx1"/>
            </w14:solidFill>
          </w14:textFill>
        </w:rPr>
        <w:t>五</w:t>
      </w:r>
      <w:r>
        <w:rPr>
          <w:rFonts w:hint="eastAsia" w:ascii="宋体" w:hAnsi="宋体"/>
          <w:color w:val="000000" w:themeColor="text1"/>
          <w:szCs w:val="21"/>
          <w:highlight w:val="none"/>
          <w14:textFill>
            <w14:solidFill>
              <w14:schemeClr w14:val="tx1"/>
            </w14:solidFill>
          </w14:textFill>
        </w:rPr>
        <w:t>：《投入人员配备基本要求表》</w:t>
      </w:r>
    </w:p>
    <w:p w14:paraId="0A01A068">
      <w:pPr>
        <w:spacing w:line="480" w:lineRule="auto"/>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《投入人员配备基本要求表》</w:t>
      </w:r>
    </w:p>
    <w:tbl>
      <w:tblPr>
        <w:tblStyle w:val="36"/>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687"/>
        <w:gridCol w:w="1219"/>
        <w:gridCol w:w="4610"/>
        <w:gridCol w:w="6327"/>
      </w:tblGrid>
      <w:tr w14:paraId="2776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614" w:type="dxa"/>
            <w:vAlign w:val="center"/>
          </w:tcPr>
          <w:p w14:paraId="3E9D7F28">
            <w:pPr>
              <w:jc w:val="cente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p>
        </w:tc>
        <w:tc>
          <w:tcPr>
            <w:tcW w:w="1687" w:type="dxa"/>
            <w:vAlign w:val="center"/>
          </w:tcPr>
          <w:p w14:paraId="098A94B0">
            <w:pPr>
              <w:widowControl/>
              <w:ind w:left="-65" w:leftChars="-31" w:right="-46" w:rightChars="-22"/>
              <w:jc w:val="cente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项目管理团队</w:t>
            </w:r>
          </w:p>
        </w:tc>
        <w:tc>
          <w:tcPr>
            <w:tcW w:w="1219" w:type="dxa"/>
            <w:vAlign w:val="center"/>
          </w:tcPr>
          <w:p w14:paraId="06AA5935">
            <w:pPr>
              <w:widowControl/>
              <w:ind w:left="-65" w:leftChars="-31" w:right="-46" w:rightChars="-22"/>
              <w:jc w:val="cente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数量</w:t>
            </w:r>
          </w:p>
        </w:tc>
        <w:tc>
          <w:tcPr>
            <w:tcW w:w="4610" w:type="dxa"/>
            <w:vAlign w:val="center"/>
          </w:tcPr>
          <w:p w14:paraId="23B89769">
            <w:pPr>
              <w:widowControl/>
              <w:ind w:left="-65" w:leftChars="-31" w:right="-46" w:rightChars="-22"/>
              <w:jc w:val="cente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基本要求</w:t>
            </w:r>
          </w:p>
        </w:tc>
        <w:tc>
          <w:tcPr>
            <w:tcW w:w="6327" w:type="dxa"/>
            <w:vAlign w:val="center"/>
          </w:tcPr>
          <w:p w14:paraId="28039302">
            <w:pPr>
              <w:widowControl/>
              <w:ind w:left="-65" w:leftChars="-31" w:right="-46" w:rightChars="-22"/>
              <w:jc w:val="cente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备注</w:t>
            </w:r>
          </w:p>
        </w:tc>
      </w:tr>
      <w:tr w14:paraId="0AEF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Align w:val="center"/>
          </w:tcPr>
          <w:p w14:paraId="5E6D6583">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1687" w:type="dxa"/>
            <w:vAlign w:val="center"/>
          </w:tcPr>
          <w:p w14:paraId="0F44EC2A">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项目负责人</w:t>
            </w:r>
          </w:p>
        </w:tc>
        <w:tc>
          <w:tcPr>
            <w:tcW w:w="1219" w:type="dxa"/>
            <w:shd w:val="clear" w:color="auto" w:fill="auto"/>
            <w:vAlign w:val="center"/>
          </w:tcPr>
          <w:p w14:paraId="36BB831F">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人</w:t>
            </w:r>
          </w:p>
        </w:tc>
        <w:tc>
          <w:tcPr>
            <w:tcW w:w="4610" w:type="dxa"/>
            <w:shd w:val="clear" w:color="auto" w:fill="auto"/>
            <w:vAlign w:val="center"/>
          </w:tcPr>
          <w:p w14:paraId="6978236B">
            <w:pPr>
              <w:widowControl/>
              <w:ind w:left="-48" w:leftChars="-23"/>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按招标公告要求</w:t>
            </w:r>
          </w:p>
        </w:tc>
        <w:tc>
          <w:tcPr>
            <w:tcW w:w="6327" w:type="dxa"/>
            <w:vAlign w:val="center"/>
          </w:tcPr>
          <w:p w14:paraId="08E800D6">
            <w:pPr>
              <w:widowControl/>
              <w:ind w:left="-48" w:leftChars="-23"/>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按招标公告要求提供资料</w:t>
            </w:r>
          </w:p>
        </w:tc>
      </w:tr>
      <w:tr w14:paraId="120E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Align w:val="center"/>
          </w:tcPr>
          <w:p w14:paraId="20807644">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1687" w:type="dxa"/>
            <w:vAlign w:val="center"/>
          </w:tcPr>
          <w:p w14:paraId="08044D3B">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技术负责人</w:t>
            </w:r>
          </w:p>
        </w:tc>
        <w:tc>
          <w:tcPr>
            <w:tcW w:w="1219" w:type="dxa"/>
            <w:shd w:val="clear" w:color="auto" w:fill="auto"/>
            <w:vAlign w:val="center"/>
          </w:tcPr>
          <w:p w14:paraId="336A95E4">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人</w:t>
            </w:r>
          </w:p>
        </w:tc>
        <w:tc>
          <w:tcPr>
            <w:tcW w:w="4610" w:type="dxa"/>
            <w:shd w:val="clear" w:color="auto" w:fill="auto"/>
            <w:vAlign w:val="center"/>
          </w:tcPr>
          <w:p w14:paraId="13774FF2">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按招标公告要求</w:t>
            </w:r>
          </w:p>
        </w:tc>
        <w:tc>
          <w:tcPr>
            <w:tcW w:w="6327" w:type="dxa"/>
            <w:vAlign w:val="center"/>
          </w:tcPr>
          <w:p w14:paraId="6625AE4E">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提供职称证书（原件扫描件）</w:t>
            </w:r>
          </w:p>
        </w:tc>
      </w:tr>
      <w:tr w14:paraId="7039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Align w:val="center"/>
          </w:tcPr>
          <w:p w14:paraId="45A1EBCA">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1687" w:type="dxa"/>
            <w:shd w:val="clear" w:color="auto" w:fill="auto"/>
            <w:vAlign w:val="center"/>
          </w:tcPr>
          <w:p w14:paraId="6DFE0B24">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安全负责人</w:t>
            </w:r>
          </w:p>
        </w:tc>
        <w:tc>
          <w:tcPr>
            <w:tcW w:w="1219" w:type="dxa"/>
            <w:shd w:val="clear" w:color="auto" w:fill="auto"/>
            <w:vAlign w:val="center"/>
          </w:tcPr>
          <w:p w14:paraId="2C0A9465">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人</w:t>
            </w:r>
          </w:p>
        </w:tc>
        <w:tc>
          <w:tcPr>
            <w:tcW w:w="4610" w:type="dxa"/>
            <w:shd w:val="clear" w:color="auto" w:fill="auto"/>
            <w:vAlign w:val="center"/>
          </w:tcPr>
          <w:p w14:paraId="3D3FBE71">
            <w:pPr>
              <w:widowControl/>
              <w:spacing w:line="256" w:lineRule="exact"/>
              <w:ind w:hanging="6"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具有</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注册安全工程师资格</w:t>
            </w:r>
          </w:p>
        </w:tc>
        <w:tc>
          <w:tcPr>
            <w:tcW w:w="6327" w:type="dxa"/>
            <w:shd w:val="clear" w:color="auto" w:fill="auto"/>
            <w:vAlign w:val="center"/>
          </w:tcPr>
          <w:p w14:paraId="4A84C539">
            <w:pPr>
              <w:widowControl/>
              <w:spacing w:line="256" w:lineRule="exact"/>
              <w:ind w:hanging="6" w:firstLineChars="0"/>
              <w:jc w:val="center"/>
              <w:rPr>
                <w:rFonts w:hint="default"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t>提供注册证书（原件扫描件）</w:t>
            </w:r>
          </w:p>
        </w:tc>
      </w:tr>
      <w:tr w14:paraId="3E44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14" w:type="dxa"/>
            <w:vAlign w:val="center"/>
          </w:tcPr>
          <w:p w14:paraId="35BA9D20">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1687" w:type="dxa"/>
            <w:shd w:val="clear" w:color="auto" w:fill="auto"/>
            <w:vAlign w:val="center"/>
          </w:tcPr>
          <w:p w14:paraId="1C6ADB9B">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造价负责人</w:t>
            </w:r>
          </w:p>
        </w:tc>
        <w:tc>
          <w:tcPr>
            <w:tcW w:w="1219" w:type="dxa"/>
            <w:shd w:val="clear" w:color="auto" w:fill="auto"/>
            <w:vAlign w:val="center"/>
          </w:tcPr>
          <w:p w14:paraId="7D8DE4AB">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1人</w:t>
            </w:r>
          </w:p>
        </w:tc>
        <w:tc>
          <w:tcPr>
            <w:tcW w:w="4610" w:type="dxa"/>
            <w:shd w:val="clear" w:color="auto" w:fill="auto"/>
            <w:vAlign w:val="center"/>
          </w:tcPr>
          <w:p w14:paraId="7ABA1665">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具有</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安装专业注册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造价工程师证</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不要求等级）</w:t>
            </w:r>
          </w:p>
        </w:tc>
        <w:tc>
          <w:tcPr>
            <w:tcW w:w="6327" w:type="dxa"/>
            <w:shd w:val="clear" w:color="auto" w:fill="auto"/>
            <w:vAlign w:val="center"/>
          </w:tcPr>
          <w:p w14:paraId="1937F61A">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提供造价工程师注册证（原件扫描件）及注册造价工程师注册信息查询网站（http://zaojiasys.jianshe99.com/）查询结果网页截图</w:t>
            </w:r>
          </w:p>
        </w:tc>
      </w:tr>
      <w:tr w14:paraId="2A4A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14" w:type="dxa"/>
            <w:vAlign w:val="center"/>
          </w:tcPr>
          <w:p w14:paraId="69B267C3">
            <w:pPr>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1687" w:type="dxa"/>
            <w:shd w:val="clear" w:color="auto" w:fill="auto"/>
            <w:vAlign w:val="center"/>
          </w:tcPr>
          <w:p w14:paraId="590E5AE0">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专职安全员</w:t>
            </w:r>
          </w:p>
        </w:tc>
        <w:tc>
          <w:tcPr>
            <w:tcW w:w="1219" w:type="dxa"/>
            <w:shd w:val="clear" w:color="auto" w:fill="auto"/>
            <w:vAlign w:val="center"/>
          </w:tcPr>
          <w:p w14:paraId="02088F73">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人</w:t>
            </w:r>
          </w:p>
        </w:tc>
        <w:tc>
          <w:tcPr>
            <w:tcW w:w="4610" w:type="dxa"/>
            <w:shd w:val="clear" w:color="auto" w:fill="auto"/>
            <w:vAlign w:val="center"/>
          </w:tcPr>
          <w:p w14:paraId="01B9A63C">
            <w:pPr>
              <w:widowControl/>
              <w:spacing w:line="256" w:lineRule="exact"/>
              <w:ind w:hanging="6"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按招标公告要求，需与投标登记时提供的一致</w:t>
            </w:r>
          </w:p>
        </w:tc>
        <w:tc>
          <w:tcPr>
            <w:tcW w:w="6327" w:type="dxa"/>
            <w:shd w:val="clear" w:color="auto" w:fill="auto"/>
            <w:vAlign w:val="center"/>
          </w:tcPr>
          <w:p w14:paraId="5E40A14E">
            <w:p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提供安全生产考核合格证</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（C类</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）或建筑施工企业专职安全生产管理人员安全生产考核合格证</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（C3类）</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在广州市住建行业信用管理平台内上传件。</w:t>
            </w:r>
          </w:p>
        </w:tc>
      </w:tr>
      <w:tr w14:paraId="4135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Align w:val="center"/>
          </w:tcPr>
          <w:p w14:paraId="2985FC7E">
            <w:pPr>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1687" w:type="dxa"/>
            <w:shd w:val="clear" w:color="auto" w:fill="auto"/>
            <w:vAlign w:val="center"/>
          </w:tcPr>
          <w:p w14:paraId="387DCA54">
            <w:pPr>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施工员</w:t>
            </w:r>
          </w:p>
        </w:tc>
        <w:tc>
          <w:tcPr>
            <w:tcW w:w="1219" w:type="dxa"/>
            <w:shd w:val="clear" w:color="auto" w:fill="auto"/>
            <w:vAlign w:val="center"/>
          </w:tcPr>
          <w:p w14:paraId="3F95F8D9">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人</w:t>
            </w:r>
          </w:p>
        </w:tc>
        <w:tc>
          <w:tcPr>
            <w:tcW w:w="4610" w:type="dxa"/>
            <w:shd w:val="clear" w:color="auto" w:fill="auto"/>
            <w:vAlign w:val="center"/>
          </w:tcPr>
          <w:p w14:paraId="2A5B6276">
            <w:pPr>
              <w:widowControl/>
              <w:spacing w:line="256" w:lineRule="exact"/>
              <w:ind w:hanging="6" w:firstLineChars="0"/>
              <w:jc w:val="center"/>
              <w:rPr>
                <w:rFonts w:hint="default"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具有施工员证</w:t>
            </w:r>
          </w:p>
        </w:tc>
        <w:tc>
          <w:tcPr>
            <w:tcW w:w="6327" w:type="dxa"/>
            <w:shd w:val="clear" w:color="auto" w:fill="auto"/>
            <w:vAlign w:val="center"/>
          </w:tcPr>
          <w:p w14:paraId="4113ACBC">
            <w:pPr>
              <w:widowControl/>
              <w:spacing w:line="256" w:lineRule="exact"/>
              <w:ind w:hanging="6"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提供施工员证书（原件扫描件）</w:t>
            </w:r>
          </w:p>
        </w:tc>
      </w:tr>
      <w:tr w14:paraId="53B7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Align w:val="center"/>
          </w:tcPr>
          <w:p w14:paraId="47046274">
            <w:pPr>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7</w:t>
            </w:r>
          </w:p>
        </w:tc>
        <w:tc>
          <w:tcPr>
            <w:tcW w:w="1687" w:type="dxa"/>
            <w:shd w:val="clear" w:color="auto" w:fill="auto"/>
            <w:vAlign w:val="center"/>
          </w:tcPr>
          <w:p w14:paraId="1BA5CC9D">
            <w:pPr>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质量员</w:t>
            </w:r>
          </w:p>
        </w:tc>
        <w:tc>
          <w:tcPr>
            <w:tcW w:w="1219" w:type="dxa"/>
            <w:shd w:val="clear" w:color="auto" w:fill="auto"/>
            <w:vAlign w:val="center"/>
          </w:tcPr>
          <w:p w14:paraId="7B9BBDE0">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人</w:t>
            </w:r>
          </w:p>
        </w:tc>
        <w:tc>
          <w:tcPr>
            <w:tcW w:w="4610" w:type="dxa"/>
            <w:shd w:val="clear" w:color="auto" w:fill="auto"/>
            <w:vAlign w:val="center"/>
          </w:tcPr>
          <w:p w14:paraId="74BB87F4">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具有质量员证</w:t>
            </w:r>
          </w:p>
        </w:tc>
        <w:tc>
          <w:tcPr>
            <w:tcW w:w="6327" w:type="dxa"/>
            <w:shd w:val="clear" w:color="auto" w:fill="auto"/>
            <w:vAlign w:val="center"/>
          </w:tcPr>
          <w:p w14:paraId="02628083">
            <w:pPr>
              <w:widowControl/>
              <w:spacing w:line="256" w:lineRule="exact"/>
              <w:ind w:hanging="6"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提供</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质量员</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证书（原件扫描件）</w:t>
            </w:r>
          </w:p>
        </w:tc>
      </w:tr>
      <w:tr w14:paraId="4EB3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Align w:val="center"/>
          </w:tcPr>
          <w:p w14:paraId="6CDAE971">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1687" w:type="dxa"/>
            <w:shd w:val="clear" w:color="auto" w:fill="auto"/>
            <w:vAlign w:val="center"/>
          </w:tcPr>
          <w:p w14:paraId="7A3063DF">
            <w:pPr>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资料员</w:t>
            </w:r>
          </w:p>
        </w:tc>
        <w:tc>
          <w:tcPr>
            <w:tcW w:w="1219" w:type="dxa"/>
            <w:shd w:val="clear" w:color="auto" w:fill="auto"/>
            <w:vAlign w:val="center"/>
          </w:tcPr>
          <w:p w14:paraId="5C9D9C6C">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人</w:t>
            </w:r>
          </w:p>
        </w:tc>
        <w:tc>
          <w:tcPr>
            <w:tcW w:w="4610" w:type="dxa"/>
            <w:shd w:val="clear" w:color="auto" w:fill="auto"/>
            <w:vAlign w:val="center"/>
          </w:tcPr>
          <w:p w14:paraId="1051C6AB">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具有资料员证</w:t>
            </w:r>
          </w:p>
        </w:tc>
        <w:tc>
          <w:tcPr>
            <w:tcW w:w="6327" w:type="dxa"/>
            <w:shd w:val="clear" w:color="auto" w:fill="auto"/>
            <w:vAlign w:val="center"/>
          </w:tcPr>
          <w:p w14:paraId="1FED8E3E">
            <w:pPr>
              <w:widowControl/>
              <w:spacing w:line="256" w:lineRule="exact"/>
              <w:ind w:hanging="6"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提供资料员证书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（原件扫描件）</w:t>
            </w:r>
          </w:p>
        </w:tc>
      </w:tr>
      <w:tr w14:paraId="5C59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Align w:val="center"/>
          </w:tcPr>
          <w:p w14:paraId="732CCD1D">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p>
        </w:tc>
        <w:tc>
          <w:tcPr>
            <w:tcW w:w="1687" w:type="dxa"/>
            <w:shd w:val="clear" w:color="auto" w:fill="auto"/>
            <w:vAlign w:val="center"/>
          </w:tcPr>
          <w:p w14:paraId="7C4E9C98">
            <w:pPr>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材料员</w:t>
            </w:r>
          </w:p>
        </w:tc>
        <w:tc>
          <w:tcPr>
            <w:tcW w:w="1219" w:type="dxa"/>
            <w:shd w:val="clear" w:color="auto" w:fill="auto"/>
            <w:vAlign w:val="center"/>
          </w:tcPr>
          <w:p w14:paraId="4CA47F1C">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人</w:t>
            </w:r>
          </w:p>
        </w:tc>
        <w:tc>
          <w:tcPr>
            <w:tcW w:w="4610" w:type="dxa"/>
            <w:shd w:val="clear" w:color="auto" w:fill="auto"/>
            <w:vAlign w:val="center"/>
          </w:tcPr>
          <w:p w14:paraId="29570703">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具有材料员证</w:t>
            </w:r>
          </w:p>
        </w:tc>
        <w:tc>
          <w:tcPr>
            <w:tcW w:w="6327" w:type="dxa"/>
            <w:shd w:val="clear" w:color="auto" w:fill="auto"/>
            <w:vAlign w:val="center"/>
          </w:tcPr>
          <w:p w14:paraId="032971EB">
            <w:pPr>
              <w:widowControl/>
              <w:spacing w:line="256" w:lineRule="exact"/>
              <w:ind w:hanging="6"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提供材料员证书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（原件扫描件）</w:t>
            </w:r>
          </w:p>
        </w:tc>
      </w:tr>
      <w:tr w14:paraId="347B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Align w:val="center"/>
          </w:tcPr>
          <w:p w14:paraId="75623C30">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p>
        </w:tc>
        <w:tc>
          <w:tcPr>
            <w:tcW w:w="1687" w:type="dxa"/>
            <w:shd w:val="clear" w:color="auto" w:fill="auto"/>
            <w:vAlign w:val="center"/>
          </w:tcPr>
          <w:p w14:paraId="5FFA2555">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高压电工</w:t>
            </w:r>
          </w:p>
        </w:tc>
        <w:tc>
          <w:tcPr>
            <w:tcW w:w="1219" w:type="dxa"/>
            <w:shd w:val="clear" w:color="auto" w:fill="auto"/>
            <w:vAlign w:val="center"/>
          </w:tcPr>
          <w:p w14:paraId="5E3EBF2A">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2人或以上</w:t>
            </w:r>
          </w:p>
        </w:tc>
        <w:tc>
          <w:tcPr>
            <w:tcW w:w="4610" w:type="dxa"/>
            <w:shd w:val="clear" w:color="auto" w:fill="auto"/>
            <w:vAlign w:val="center"/>
          </w:tcPr>
          <w:p w14:paraId="35FCF280">
            <w:pPr>
              <w:widowControl/>
              <w:spacing w:line="256" w:lineRule="exact"/>
              <w:ind w:hanging="6" w:firstLineChars="0"/>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具有高压电工作业证</w:t>
            </w:r>
          </w:p>
        </w:tc>
        <w:tc>
          <w:tcPr>
            <w:tcW w:w="6327" w:type="dxa"/>
            <w:shd w:val="clear" w:color="auto" w:fill="auto"/>
            <w:vAlign w:val="center"/>
          </w:tcPr>
          <w:p w14:paraId="5B61C422">
            <w:pPr>
              <w:widowControl/>
              <w:spacing w:line="256" w:lineRule="exact"/>
              <w:ind w:hanging="6" w:firstLineChars="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提供特种作业证书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（原件扫描件）</w:t>
            </w:r>
          </w:p>
        </w:tc>
      </w:tr>
      <w:tr w14:paraId="02A8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14" w:type="dxa"/>
            <w:vAlign w:val="center"/>
          </w:tcPr>
          <w:p w14:paraId="7772FD8A">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p>
        </w:tc>
        <w:tc>
          <w:tcPr>
            <w:tcW w:w="1687" w:type="dxa"/>
            <w:shd w:val="clear" w:color="auto" w:fill="auto"/>
            <w:vAlign w:val="center"/>
          </w:tcPr>
          <w:p w14:paraId="4517B7A0">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低压电工</w:t>
            </w:r>
          </w:p>
        </w:tc>
        <w:tc>
          <w:tcPr>
            <w:tcW w:w="1219" w:type="dxa"/>
            <w:shd w:val="clear" w:color="auto" w:fill="auto"/>
            <w:vAlign w:val="center"/>
          </w:tcPr>
          <w:p w14:paraId="5290A03C">
            <w:pPr>
              <w:widowControl/>
              <w:spacing w:line="256" w:lineRule="exact"/>
              <w:ind w:hanging="6" w:firstLineChars="0"/>
              <w:jc w:val="center"/>
              <w:rPr>
                <w:rFonts w:hint="default"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2人或以上</w:t>
            </w:r>
          </w:p>
        </w:tc>
        <w:tc>
          <w:tcPr>
            <w:tcW w:w="4610" w:type="dxa"/>
            <w:shd w:val="clear" w:color="auto" w:fill="auto"/>
            <w:vAlign w:val="center"/>
          </w:tcPr>
          <w:p w14:paraId="3095C7C6">
            <w:pPr>
              <w:widowControl/>
              <w:spacing w:line="256" w:lineRule="exact"/>
              <w:ind w:hanging="6"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具有低压电工作业证</w:t>
            </w:r>
          </w:p>
        </w:tc>
        <w:tc>
          <w:tcPr>
            <w:tcW w:w="6327" w:type="dxa"/>
            <w:shd w:val="clear" w:color="auto" w:fill="auto"/>
            <w:vAlign w:val="center"/>
          </w:tcPr>
          <w:p w14:paraId="3F517195">
            <w:pPr>
              <w:widowControl/>
              <w:spacing w:line="256" w:lineRule="exact"/>
              <w:ind w:hanging="6"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提供特种作业证书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（原件扫描件）</w:t>
            </w:r>
          </w:p>
        </w:tc>
      </w:tr>
    </w:tbl>
    <w:p w14:paraId="066AB828">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注：①所有人员(不含投标人的子公司或母公司人员)须提供相关证明资料和至投标截止时间</w:t>
      </w:r>
      <w:r>
        <w:rPr>
          <w:rFonts w:hint="eastAsia" w:ascii="宋体" w:hAnsi="宋体" w:cs="宋体"/>
          <w:bCs/>
          <w:color w:val="000000" w:themeColor="text1"/>
          <w:kern w:val="0"/>
          <w:sz w:val="21"/>
          <w:szCs w:val="21"/>
          <w:highlight w:val="none"/>
          <w:lang w:val="en-US" w:eastAsia="zh-CN"/>
          <w14:textFill>
            <w14:solidFill>
              <w14:schemeClr w14:val="tx1"/>
            </w14:solidFill>
          </w14:textFill>
        </w:rPr>
        <w:t>近六个月</w:t>
      </w:r>
      <w:r>
        <w:rPr>
          <w:rFonts w:hint="eastAsia" w:ascii="宋体" w:hAnsi="宋体" w:cs="宋体"/>
          <w:bCs/>
          <w:color w:val="000000" w:themeColor="text1"/>
          <w:kern w:val="0"/>
          <w:sz w:val="21"/>
          <w:szCs w:val="21"/>
          <w:highlight w:val="none"/>
          <w14:textFill>
            <w14:solidFill>
              <w14:schemeClr w14:val="tx1"/>
            </w14:solidFill>
          </w14:textFill>
        </w:rPr>
        <w:t>在投标单位</w:t>
      </w:r>
      <w:r>
        <w:rPr>
          <w:rFonts w:hint="eastAsia" w:ascii="宋体" w:hAnsi="宋体" w:cs="宋体"/>
          <w:bCs/>
          <w:color w:val="000000" w:themeColor="text1"/>
          <w:kern w:val="0"/>
          <w:sz w:val="21"/>
          <w:szCs w:val="21"/>
          <w:highlight w:val="none"/>
          <w:lang w:val="en-US" w:eastAsia="zh-CN"/>
          <w14:textFill>
            <w14:solidFill>
              <w14:schemeClr w14:val="tx1"/>
            </w14:solidFill>
          </w14:textFill>
        </w:rPr>
        <w:t>连续</w:t>
      </w:r>
      <w:r>
        <w:rPr>
          <w:rFonts w:hint="eastAsia" w:ascii="宋体" w:hAnsi="宋体" w:cs="宋体"/>
          <w:bCs/>
          <w:color w:val="000000" w:themeColor="text1"/>
          <w:kern w:val="0"/>
          <w:sz w:val="21"/>
          <w:szCs w:val="21"/>
          <w:highlight w:val="none"/>
          <w14:textFill>
            <w14:solidFill>
              <w14:schemeClr w14:val="tx1"/>
            </w14:solidFill>
          </w14:textFill>
        </w:rPr>
        <w:t>缴纳社保的证明材料扫描件，未提供或所提供的证明资料不符合要求的，则该评分节点不予评审。②职称证书以地市级(或以上)人社部门核发为准，若非人社部门核发的职称证书，投标人须同时提供地市级(或以上)人社部门委托核发机构开展职称评审工作的证明文件或其他可由该机构核发的政策文件依据，否则对该职称证书不予认可。注册造价工程师专业以全国建筑市场监管公共服务平台（http://jzsc.mohurd.gov.cn）查询结果注明的专业为准；按照《造价工程师职业资格制度规定》的规定，根据原人事部、原建设部发布的《造价工程师执业资格制度暂行规定》（人发〔1996〕77号）取得的造价工程师执业资格并经注册且在有效期内的，等同于一级注册造价工程师。③上述人员岗位不能相互兼任。</w:t>
      </w:r>
      <w:bookmarkEnd w:id="41"/>
      <w:r>
        <w:rPr>
          <w:rFonts w:hint="eastAsia"/>
          <w:color w:val="000000" w:themeColor="text1"/>
          <w:szCs w:val="21"/>
          <w:highlight w:val="none"/>
          <w14:textFill>
            <w14:solidFill>
              <w14:schemeClr w14:val="tx1"/>
            </w14:solidFill>
          </w14:textFill>
        </w:rPr>
        <w:br w:type="page"/>
      </w:r>
    </w:p>
    <w:p w14:paraId="09880268">
      <w:pPr>
        <w:outlineLvl w:val="3"/>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附表</w:t>
      </w:r>
      <w:r>
        <w:rPr>
          <w:rFonts w:hint="eastAsia"/>
          <w:color w:val="000000" w:themeColor="text1"/>
          <w:szCs w:val="21"/>
          <w:highlight w:val="none"/>
          <w:lang w:val="en-US" w:eastAsia="zh-CN"/>
          <w14:textFill>
            <w14:solidFill>
              <w14:schemeClr w14:val="tx1"/>
            </w14:solidFill>
          </w14:textFill>
        </w:rPr>
        <w:t>六</w:t>
      </w:r>
      <w:r>
        <w:rPr>
          <w:rFonts w:hint="eastAsia"/>
          <w:color w:val="000000" w:themeColor="text1"/>
          <w:szCs w:val="21"/>
          <w:highlight w:val="none"/>
          <w14:textFill>
            <w14:solidFill>
              <w14:schemeClr w14:val="tx1"/>
            </w14:solidFill>
          </w14:textFill>
        </w:rPr>
        <w:t>：经济标评分表</w:t>
      </w:r>
    </w:p>
    <w:p w14:paraId="770A40D4">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经济标评分表</w:t>
      </w:r>
    </w:p>
    <w:p w14:paraId="11E16355">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工程名称：</w:t>
      </w:r>
    </w:p>
    <w:tbl>
      <w:tblPr>
        <w:tblStyle w:val="36"/>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14:paraId="44F9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6E790AB6">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14:paraId="6CEA6C28">
            <w:pPr>
              <w:rPr>
                <w:rFonts w:hint="eastAsia" w:ascii="仿宋" w:hAnsi="仿宋" w:eastAsia="仿宋" w:cs="仿宋"/>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08D28F65">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2ABDB8C">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B4B406E">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B67D00B">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2730DAA">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DC90D2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A01101E">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CB40DD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BA153FB">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23336CA">
            <w:pPr>
              <w:rPr>
                <w:rFonts w:hint="eastAsia" w:ascii="仿宋" w:hAnsi="仿宋" w:eastAsia="仿宋" w:cs="仿宋"/>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64DA860B">
            <w:pPr>
              <w:rPr>
                <w:rFonts w:hint="eastAsia" w:ascii="仿宋" w:hAnsi="仿宋" w:eastAsia="仿宋" w:cs="仿宋"/>
                <w:color w:val="000000" w:themeColor="text1"/>
                <w:szCs w:val="21"/>
                <w:highlight w:val="none"/>
                <w14:textFill>
                  <w14:solidFill>
                    <w14:schemeClr w14:val="tx1"/>
                  </w14:solidFill>
                </w14:textFill>
              </w:rPr>
            </w:pPr>
          </w:p>
        </w:tc>
      </w:tr>
      <w:tr w14:paraId="4A1B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6D028E35">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投标报价PT（元）</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14:paraId="641242F4">
            <w:pPr>
              <w:rPr>
                <w:rFonts w:hint="eastAsia" w:ascii="仿宋" w:hAnsi="仿宋" w:eastAsia="仿宋" w:cs="仿宋"/>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0AC3444E">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F6C107C">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2E589C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C3A560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4E0BE20">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9417D04">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4E2E63C">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5E17B4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11DD2AB">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95D899C">
            <w:pPr>
              <w:rPr>
                <w:rFonts w:hint="eastAsia" w:ascii="仿宋" w:hAnsi="仿宋" w:eastAsia="仿宋" w:cs="仿宋"/>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33546D27">
            <w:pPr>
              <w:rPr>
                <w:rFonts w:hint="eastAsia" w:ascii="仿宋" w:hAnsi="仿宋" w:eastAsia="仿宋" w:cs="仿宋"/>
                <w:color w:val="000000" w:themeColor="text1"/>
                <w:szCs w:val="21"/>
                <w:highlight w:val="none"/>
                <w14:textFill>
                  <w14:solidFill>
                    <w14:schemeClr w14:val="tx1"/>
                  </w14:solidFill>
                </w14:textFill>
              </w:rPr>
            </w:pPr>
          </w:p>
        </w:tc>
      </w:tr>
      <w:tr w14:paraId="5E7B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7BBEA777">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报价权重</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0CA7D992">
            <w:pPr>
              <w:rPr>
                <w:rFonts w:hint="eastAsia" w:ascii="仿宋" w:hAnsi="仿宋" w:eastAsia="仿宋" w:cs="仿宋"/>
                <w:color w:val="000000" w:themeColor="text1"/>
                <w:szCs w:val="21"/>
                <w:highlight w:val="none"/>
                <w14:textFill>
                  <w14:solidFill>
                    <w14:schemeClr w14:val="tx1"/>
                  </w14:solidFill>
                </w14:textFill>
              </w:rPr>
            </w:pPr>
          </w:p>
        </w:tc>
        <w:tc>
          <w:tcPr>
            <w:tcW w:w="1046" w:type="dxa"/>
            <w:gridSpan w:val="2"/>
            <w:tcBorders>
              <w:top w:val="single" w:color="auto" w:sz="4" w:space="0"/>
              <w:left w:val="single" w:color="auto" w:sz="4" w:space="0"/>
              <w:bottom w:val="single" w:color="auto" w:sz="4" w:space="0"/>
              <w:right w:val="single" w:color="auto" w:sz="4" w:space="0"/>
            </w:tcBorders>
            <w:noWrap w:val="0"/>
            <w:vAlign w:val="center"/>
          </w:tcPr>
          <w:p w14:paraId="0A4A41D4">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D2FA009">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714903E">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E4209C5">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69E1276">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941EF95">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7A350F3">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556F1A8">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0FB6DEE">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FBC05A3">
            <w:pPr>
              <w:rPr>
                <w:rFonts w:hint="eastAsia" w:ascii="仿宋" w:hAnsi="仿宋" w:eastAsia="仿宋" w:cs="仿宋"/>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10290111">
            <w:pPr>
              <w:rPr>
                <w:rFonts w:hint="eastAsia" w:ascii="仿宋" w:hAnsi="仿宋" w:eastAsia="仿宋" w:cs="仿宋"/>
                <w:color w:val="000000" w:themeColor="text1"/>
                <w:szCs w:val="21"/>
                <w:highlight w:val="none"/>
                <w14:textFill>
                  <w14:solidFill>
                    <w14:schemeClr w14:val="tx1"/>
                  </w14:solidFill>
                </w14:textFill>
              </w:rPr>
            </w:pPr>
          </w:p>
        </w:tc>
      </w:tr>
      <w:tr w14:paraId="1CF3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5C195740">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评标参考价PC（元）</w:t>
            </w:r>
          </w:p>
        </w:tc>
        <w:tc>
          <w:tcPr>
            <w:tcW w:w="12384" w:type="dxa"/>
            <w:gridSpan w:val="13"/>
            <w:tcBorders>
              <w:top w:val="single" w:color="auto" w:sz="4" w:space="0"/>
              <w:left w:val="single" w:color="auto" w:sz="4" w:space="0"/>
              <w:bottom w:val="single" w:color="auto" w:sz="4" w:space="0"/>
              <w:right w:val="single" w:color="auto" w:sz="4" w:space="0"/>
            </w:tcBorders>
            <w:noWrap w:val="0"/>
            <w:vAlign w:val="center"/>
          </w:tcPr>
          <w:p w14:paraId="750A57CF">
            <w:pPr>
              <w:rPr>
                <w:rFonts w:hint="eastAsia" w:ascii="仿宋" w:hAnsi="仿宋" w:eastAsia="仿宋" w:cs="仿宋"/>
                <w:color w:val="000000" w:themeColor="text1"/>
                <w:szCs w:val="21"/>
                <w:highlight w:val="none"/>
                <w14:textFill>
                  <w14:solidFill>
                    <w14:schemeClr w14:val="tx1"/>
                  </w14:solidFill>
                </w14:textFill>
              </w:rPr>
            </w:pPr>
          </w:p>
        </w:tc>
      </w:tr>
      <w:tr w14:paraId="7FA2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2241A1BA">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偏差（（PT-PC）/PC）（%）</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14:paraId="031A149C">
            <w:pPr>
              <w:rPr>
                <w:rFonts w:hint="eastAsia" w:ascii="仿宋" w:hAnsi="仿宋" w:eastAsia="仿宋" w:cs="仿宋"/>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8B4E51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C39ECB0">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BE94C0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8C92A9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E5CD7BB">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3719C5B">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6205E43">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8A6C17B">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A8E0CF7">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00AB9D4">
            <w:pPr>
              <w:rPr>
                <w:rFonts w:hint="eastAsia" w:ascii="仿宋" w:hAnsi="仿宋" w:eastAsia="仿宋" w:cs="仿宋"/>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3C4B9FCB">
            <w:pPr>
              <w:rPr>
                <w:rFonts w:hint="eastAsia" w:ascii="仿宋" w:hAnsi="仿宋" w:eastAsia="仿宋" w:cs="仿宋"/>
                <w:color w:val="000000" w:themeColor="text1"/>
                <w:szCs w:val="21"/>
                <w:highlight w:val="none"/>
                <w14:textFill>
                  <w14:solidFill>
                    <w14:schemeClr w14:val="tx1"/>
                  </w14:solidFill>
                </w14:textFill>
              </w:rPr>
            </w:pPr>
          </w:p>
        </w:tc>
      </w:tr>
      <w:tr w14:paraId="70D5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7715A5B6">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减分（A）</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14:paraId="37091570">
            <w:pPr>
              <w:rPr>
                <w:rFonts w:hint="eastAsia" w:ascii="仿宋" w:hAnsi="仿宋" w:eastAsia="仿宋" w:cs="仿宋"/>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43F200D2">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0056B1E">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5B1379F">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3EB279C">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20E483F">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98F20F6">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F6B4DE1">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80F9E5F">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91BF2A2">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BA8CDE8">
            <w:pPr>
              <w:rPr>
                <w:rFonts w:hint="eastAsia" w:ascii="仿宋" w:hAnsi="仿宋" w:eastAsia="仿宋" w:cs="仿宋"/>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7AE1D1B3">
            <w:pPr>
              <w:rPr>
                <w:rFonts w:hint="eastAsia" w:ascii="仿宋" w:hAnsi="仿宋" w:eastAsia="仿宋" w:cs="仿宋"/>
                <w:color w:val="000000" w:themeColor="text1"/>
                <w:szCs w:val="21"/>
                <w:highlight w:val="none"/>
                <w14:textFill>
                  <w14:solidFill>
                    <w14:schemeClr w14:val="tx1"/>
                  </w14:solidFill>
                </w14:textFill>
              </w:rPr>
            </w:pPr>
          </w:p>
        </w:tc>
      </w:tr>
      <w:tr w14:paraId="05A8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3A72C76E">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得分(I=100-A)</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14:paraId="79DC7DFC">
            <w:pPr>
              <w:rPr>
                <w:rFonts w:hint="eastAsia" w:ascii="仿宋" w:hAnsi="仿宋" w:eastAsia="仿宋" w:cs="仿宋"/>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F9D3C36">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1BEA29A">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BDB5D32">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4791F4E">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631DBFF">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DBB7285">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EF5A960">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8942ED0">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CA15FB6">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BD8D968">
            <w:pPr>
              <w:rPr>
                <w:rFonts w:hint="eastAsia" w:ascii="仿宋" w:hAnsi="仿宋" w:eastAsia="仿宋" w:cs="仿宋"/>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6A72501A">
            <w:pPr>
              <w:rPr>
                <w:rFonts w:hint="eastAsia" w:ascii="仿宋" w:hAnsi="仿宋" w:eastAsia="仿宋" w:cs="仿宋"/>
                <w:color w:val="000000" w:themeColor="text1"/>
                <w:szCs w:val="21"/>
                <w:highlight w:val="none"/>
                <w14:textFill>
                  <w14:solidFill>
                    <w14:schemeClr w14:val="tx1"/>
                  </w14:solidFill>
                </w14:textFill>
              </w:rPr>
            </w:pPr>
          </w:p>
        </w:tc>
      </w:tr>
      <w:tr w14:paraId="4082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3EA25391">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得分排名次序</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14:paraId="0B35C94B">
            <w:pPr>
              <w:rPr>
                <w:rFonts w:hint="eastAsia" w:ascii="仿宋" w:hAnsi="仿宋" w:eastAsia="仿宋" w:cs="仿宋"/>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41F6A301">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5EC4B90">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9AA0081">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A3B9D9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1856664">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ADADB70">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76651B1">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6540209">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ED6051E">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85BAB97">
            <w:pPr>
              <w:rPr>
                <w:rFonts w:hint="eastAsia" w:ascii="仿宋" w:hAnsi="仿宋" w:eastAsia="仿宋" w:cs="仿宋"/>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2968C2DD">
            <w:pPr>
              <w:rPr>
                <w:rFonts w:hint="eastAsia" w:ascii="仿宋" w:hAnsi="仿宋" w:eastAsia="仿宋" w:cs="仿宋"/>
                <w:color w:val="000000" w:themeColor="text1"/>
                <w:szCs w:val="21"/>
                <w:highlight w:val="none"/>
                <w14:textFill>
                  <w14:solidFill>
                    <w14:schemeClr w14:val="tx1"/>
                  </w14:solidFill>
                </w14:textFill>
              </w:rPr>
            </w:pPr>
          </w:p>
        </w:tc>
      </w:tr>
    </w:tbl>
    <w:p w14:paraId="4D59B40F">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评委签名：</w:t>
      </w:r>
    </w:p>
    <w:p w14:paraId="09175FB2">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br w:type="page"/>
      </w:r>
    </w:p>
    <w:p w14:paraId="4B4F25E1">
      <w:pPr>
        <w:outlineLvl w:val="3"/>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附表</w:t>
      </w:r>
      <w:r>
        <w:rPr>
          <w:rFonts w:hint="eastAsia"/>
          <w:color w:val="000000" w:themeColor="text1"/>
          <w:szCs w:val="21"/>
          <w:highlight w:val="none"/>
          <w:lang w:val="en-US" w:eastAsia="zh-CN"/>
          <w14:textFill>
            <w14:solidFill>
              <w14:schemeClr w14:val="tx1"/>
            </w14:solidFill>
          </w14:textFill>
        </w:rPr>
        <w:t>七</w:t>
      </w:r>
      <w:r>
        <w:rPr>
          <w:rFonts w:hint="eastAsia"/>
          <w:color w:val="000000" w:themeColor="text1"/>
          <w:szCs w:val="21"/>
          <w:highlight w:val="none"/>
          <w14:textFill>
            <w14:solidFill>
              <w14:schemeClr w14:val="tx1"/>
            </w14:solidFill>
          </w14:textFill>
        </w:rPr>
        <w:t>：算术复核表</w:t>
      </w:r>
    </w:p>
    <w:p w14:paraId="452A716C">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算术复核表</w:t>
      </w:r>
    </w:p>
    <w:p w14:paraId="3DDB0A2F">
      <w:pPr>
        <w:rPr>
          <w:rFonts w:ascii="宋体" w:hAnsi="宋体"/>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工程名称：</w:t>
      </w:r>
      <w:r>
        <w:rPr>
          <w:rFonts w:hint="eastAsia" w:ascii="宋体" w:hAnsi="宋体"/>
          <w:color w:val="000000" w:themeColor="text1"/>
          <w:kern w:val="0"/>
          <w:szCs w:val="21"/>
          <w:highlight w:val="none"/>
          <w14:textFill>
            <w14:solidFill>
              <w14:schemeClr w14:val="tx1"/>
            </w14:solidFill>
          </w14:textFill>
        </w:rPr>
        <w:t>投标人</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单位：元</w:t>
      </w:r>
    </w:p>
    <w:tbl>
      <w:tblPr>
        <w:tblStyle w:val="36"/>
        <w:tblW w:w="14282" w:type="dxa"/>
        <w:tblInd w:w="0" w:type="dxa"/>
        <w:tblLayout w:type="fixed"/>
        <w:tblCellMar>
          <w:top w:w="0" w:type="dxa"/>
          <w:left w:w="108" w:type="dxa"/>
          <w:bottom w:w="0" w:type="dxa"/>
          <w:right w:w="108" w:type="dxa"/>
        </w:tblCellMar>
      </w:tblPr>
      <w:tblGrid>
        <w:gridCol w:w="645"/>
        <w:gridCol w:w="4150"/>
        <w:gridCol w:w="1602"/>
        <w:gridCol w:w="1575"/>
        <w:gridCol w:w="1904"/>
        <w:gridCol w:w="1470"/>
        <w:gridCol w:w="2936"/>
      </w:tblGrid>
      <w:tr w14:paraId="6FF9E148">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47C0385E">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编号</w:t>
            </w:r>
          </w:p>
        </w:tc>
        <w:tc>
          <w:tcPr>
            <w:tcW w:w="4150" w:type="dxa"/>
            <w:tcBorders>
              <w:top w:val="single" w:color="auto" w:sz="4" w:space="0"/>
              <w:left w:val="nil"/>
              <w:bottom w:val="single" w:color="auto" w:sz="4" w:space="0"/>
              <w:right w:val="single" w:color="auto" w:sz="4" w:space="0"/>
            </w:tcBorders>
            <w:vAlign w:val="center"/>
          </w:tcPr>
          <w:p w14:paraId="2026C3A1">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算术校核项目</w:t>
            </w:r>
          </w:p>
        </w:tc>
        <w:tc>
          <w:tcPr>
            <w:tcW w:w="1602" w:type="dxa"/>
            <w:tcBorders>
              <w:top w:val="single" w:color="auto" w:sz="4" w:space="0"/>
              <w:left w:val="nil"/>
              <w:bottom w:val="single" w:color="auto" w:sz="4" w:space="0"/>
              <w:right w:val="single" w:color="auto" w:sz="4" w:space="0"/>
            </w:tcBorders>
            <w:vAlign w:val="center"/>
          </w:tcPr>
          <w:p w14:paraId="6E6D2256">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修正前投标</w:t>
            </w:r>
          </w:p>
          <w:p w14:paraId="012B93EC">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报价</w:t>
            </w:r>
            <w:r>
              <w:rPr>
                <w:rFonts w:ascii="宋体" w:hAnsi="宋体"/>
                <w:b/>
                <w:bCs/>
                <w:color w:val="000000" w:themeColor="text1"/>
                <w:kern w:val="0"/>
                <w:szCs w:val="21"/>
                <w:highlight w:val="none"/>
                <w14:textFill>
                  <w14:solidFill>
                    <w14:schemeClr w14:val="tx1"/>
                  </w14:solidFill>
                </w14:textFill>
              </w:rPr>
              <w:t>A</w:t>
            </w:r>
          </w:p>
        </w:tc>
        <w:tc>
          <w:tcPr>
            <w:tcW w:w="1575" w:type="dxa"/>
            <w:tcBorders>
              <w:top w:val="single" w:color="auto" w:sz="4" w:space="0"/>
              <w:left w:val="nil"/>
              <w:bottom w:val="single" w:color="auto" w:sz="4" w:space="0"/>
              <w:right w:val="single" w:color="auto" w:sz="4" w:space="0"/>
            </w:tcBorders>
            <w:vAlign w:val="center"/>
          </w:tcPr>
          <w:p w14:paraId="0890DB8F">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修正后投标</w:t>
            </w:r>
          </w:p>
          <w:p w14:paraId="39964F8C">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报价</w:t>
            </w:r>
            <w:r>
              <w:rPr>
                <w:rFonts w:ascii="宋体" w:hAnsi="宋体"/>
                <w:b/>
                <w:bCs/>
                <w:color w:val="000000" w:themeColor="text1"/>
                <w:kern w:val="0"/>
                <w:szCs w:val="21"/>
                <w:highlight w:val="none"/>
                <w14:textFill>
                  <w14:solidFill>
                    <w14:schemeClr w14:val="tx1"/>
                  </w14:solidFill>
                </w14:textFill>
              </w:rPr>
              <w:t>B</w:t>
            </w:r>
          </w:p>
        </w:tc>
        <w:tc>
          <w:tcPr>
            <w:tcW w:w="1904" w:type="dxa"/>
            <w:tcBorders>
              <w:top w:val="single" w:color="auto" w:sz="4" w:space="0"/>
              <w:left w:val="nil"/>
              <w:bottom w:val="single" w:color="auto" w:sz="4" w:space="0"/>
              <w:right w:val="single" w:color="auto" w:sz="4" w:space="0"/>
            </w:tcBorders>
            <w:vAlign w:val="center"/>
          </w:tcPr>
          <w:p w14:paraId="38483AF4">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修正率</w:t>
            </w:r>
            <w:r>
              <w:rPr>
                <w:rFonts w:ascii="宋体" w:hAnsi="宋体"/>
                <w:b/>
                <w:bCs/>
                <w:color w:val="000000" w:themeColor="text1"/>
                <w:kern w:val="0"/>
                <w:szCs w:val="21"/>
                <w:highlight w:val="none"/>
                <w14:textFill>
                  <w14:solidFill>
                    <w14:schemeClr w14:val="tx1"/>
                  </w14:solidFill>
                </w14:textFill>
              </w:rPr>
              <w:br w:type="textWrapping"/>
            </w:r>
            <w:r>
              <w:rPr>
                <w:rFonts w:ascii="宋体" w:hAnsi="宋体"/>
                <w:b/>
                <w:bCs/>
                <w:color w:val="000000" w:themeColor="text1"/>
                <w:kern w:val="0"/>
                <w:szCs w:val="21"/>
                <w:highlight w:val="none"/>
                <w14:textFill>
                  <w14:solidFill>
                    <w14:schemeClr w14:val="tx1"/>
                  </w14:solidFill>
                </w14:textFill>
              </w:rPr>
              <w:t>r=|A-B|/A*100%</w:t>
            </w:r>
          </w:p>
        </w:tc>
        <w:tc>
          <w:tcPr>
            <w:tcW w:w="1470" w:type="dxa"/>
            <w:tcBorders>
              <w:top w:val="single" w:color="auto" w:sz="4" w:space="0"/>
              <w:left w:val="nil"/>
              <w:bottom w:val="single" w:color="auto" w:sz="4" w:space="0"/>
              <w:right w:val="single" w:color="auto" w:sz="4" w:space="0"/>
            </w:tcBorders>
            <w:vAlign w:val="center"/>
          </w:tcPr>
          <w:p w14:paraId="7DB3D31C">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经评审的最终投标报价</w:t>
            </w:r>
          </w:p>
        </w:tc>
        <w:tc>
          <w:tcPr>
            <w:tcW w:w="2936" w:type="dxa"/>
            <w:tcBorders>
              <w:top w:val="single" w:color="auto" w:sz="4" w:space="0"/>
              <w:left w:val="nil"/>
              <w:bottom w:val="single" w:color="auto" w:sz="4" w:space="0"/>
              <w:right w:val="single" w:color="auto" w:sz="4" w:space="0"/>
            </w:tcBorders>
            <w:vAlign w:val="center"/>
          </w:tcPr>
          <w:p w14:paraId="7A364742">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当</w:t>
            </w:r>
            <w:r>
              <w:rPr>
                <w:rFonts w:ascii="宋体" w:hAnsi="宋体"/>
                <w:b/>
                <w:bCs/>
                <w:color w:val="000000" w:themeColor="text1"/>
                <w:kern w:val="0"/>
                <w:szCs w:val="21"/>
                <w:highlight w:val="none"/>
                <w14:textFill>
                  <w14:solidFill>
                    <w14:schemeClr w14:val="tx1"/>
                  </w14:solidFill>
                </w14:textFill>
              </w:rPr>
              <w:t>B&gt;A</w:t>
            </w:r>
            <w:r>
              <w:rPr>
                <w:rFonts w:hint="eastAsia" w:ascii="宋体" w:hAnsi="宋体"/>
                <w:b/>
                <w:bCs/>
                <w:color w:val="000000" w:themeColor="text1"/>
                <w:kern w:val="0"/>
                <w:szCs w:val="21"/>
                <w:highlight w:val="none"/>
                <w14:textFill>
                  <w14:solidFill>
                    <w14:schemeClr w14:val="tx1"/>
                  </w14:solidFill>
                </w14:textFill>
              </w:rPr>
              <w:t>时，修正后报价与原报价的差额；当</w:t>
            </w:r>
            <w:r>
              <w:rPr>
                <w:rFonts w:ascii="宋体" w:hAnsi="宋体"/>
                <w:b/>
                <w:bCs/>
                <w:color w:val="000000" w:themeColor="text1"/>
                <w:kern w:val="0"/>
                <w:szCs w:val="21"/>
                <w:highlight w:val="none"/>
                <w14:textFill>
                  <w14:solidFill>
                    <w14:schemeClr w14:val="tx1"/>
                  </w14:solidFill>
                </w14:textFill>
              </w:rPr>
              <w:t>B</w:t>
            </w:r>
            <w:r>
              <w:rPr>
                <w:rFonts w:hint="eastAsia" w:ascii="宋体" w:hAnsi="宋体"/>
                <w:b/>
                <w:bCs/>
                <w:color w:val="000000" w:themeColor="text1"/>
                <w:kern w:val="0"/>
                <w:szCs w:val="21"/>
                <w:highlight w:val="none"/>
                <w14:textFill>
                  <w14:solidFill>
                    <w14:schemeClr w14:val="tx1"/>
                  </w14:solidFill>
                </w14:textFill>
              </w:rPr>
              <w:t>≤</w:t>
            </w:r>
            <w:r>
              <w:rPr>
                <w:rFonts w:ascii="宋体" w:hAnsi="宋体"/>
                <w:b/>
                <w:bCs/>
                <w:color w:val="000000" w:themeColor="text1"/>
                <w:kern w:val="0"/>
                <w:szCs w:val="21"/>
                <w:highlight w:val="none"/>
                <w14:textFill>
                  <w14:solidFill>
                    <w14:schemeClr w14:val="tx1"/>
                  </w14:solidFill>
                </w14:textFill>
              </w:rPr>
              <w:t>A</w:t>
            </w:r>
            <w:r>
              <w:rPr>
                <w:rFonts w:hint="eastAsia" w:ascii="宋体" w:hAnsi="宋体"/>
                <w:b/>
                <w:bCs/>
                <w:color w:val="000000" w:themeColor="text1"/>
                <w:kern w:val="0"/>
                <w:szCs w:val="21"/>
                <w:highlight w:val="none"/>
                <w14:textFill>
                  <w14:solidFill>
                    <w14:schemeClr w14:val="tx1"/>
                  </w14:solidFill>
                </w14:textFill>
              </w:rPr>
              <w:t>时</w:t>
            </w:r>
            <w:r>
              <w:rPr>
                <w:rFonts w:ascii="宋体" w:hAnsi="宋体"/>
                <w:b/>
                <w:bCs/>
                <w:color w:val="000000" w:themeColor="text1"/>
                <w:kern w:val="0"/>
                <w:szCs w:val="21"/>
                <w:highlight w:val="none"/>
                <w14:textFill>
                  <w14:solidFill>
                    <w14:schemeClr w14:val="tx1"/>
                  </w14:solidFill>
                </w14:textFill>
              </w:rPr>
              <w:t>,R=0</w:t>
            </w:r>
          </w:p>
        </w:tc>
      </w:tr>
      <w:tr w14:paraId="12FF1A2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8F31C99">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p>
        </w:tc>
        <w:tc>
          <w:tcPr>
            <w:tcW w:w="4150" w:type="dxa"/>
            <w:tcBorders>
              <w:top w:val="nil"/>
              <w:left w:val="nil"/>
              <w:bottom w:val="single" w:color="auto" w:sz="4" w:space="0"/>
              <w:right w:val="single" w:color="auto" w:sz="4" w:space="0"/>
            </w:tcBorders>
            <w:vAlign w:val="center"/>
          </w:tcPr>
          <w:p w14:paraId="08CFF8CD">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单位工程</w:t>
            </w:r>
            <w:r>
              <w:rPr>
                <w:rFonts w:ascii="宋体" w:hAnsi="宋体"/>
                <w:color w:val="000000" w:themeColor="text1"/>
                <w:kern w:val="0"/>
                <w:szCs w:val="21"/>
                <w:highlight w:val="none"/>
                <w14:textFill>
                  <w14:solidFill>
                    <w14:schemeClr w14:val="tx1"/>
                  </w14:solidFill>
                </w14:textFill>
              </w:rPr>
              <w:t>1]</w:t>
            </w:r>
          </w:p>
        </w:tc>
        <w:tc>
          <w:tcPr>
            <w:tcW w:w="1602" w:type="dxa"/>
            <w:tcBorders>
              <w:top w:val="nil"/>
              <w:left w:val="nil"/>
              <w:bottom w:val="single" w:color="auto" w:sz="4" w:space="0"/>
              <w:right w:val="single" w:color="auto" w:sz="4" w:space="0"/>
            </w:tcBorders>
            <w:vAlign w:val="center"/>
          </w:tcPr>
          <w:p w14:paraId="54A07ACC">
            <w:pPr>
              <w:jc w:val="center"/>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41023D0E">
            <w:pPr>
              <w:jc w:val="center"/>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520F7D6A">
            <w:pPr>
              <w:jc w:val="center"/>
              <w:rPr>
                <w:rFonts w:ascii="宋体" w:hAnsi="宋体"/>
                <w:color w:val="000000" w:themeColor="text1"/>
                <w:kern w:val="0"/>
                <w:szCs w:val="21"/>
                <w:highlight w:val="none"/>
                <w14:textFill>
                  <w14:solidFill>
                    <w14:schemeClr w14:val="tx1"/>
                  </w14:solidFill>
                </w14:textFill>
              </w:rPr>
            </w:pPr>
          </w:p>
        </w:tc>
        <w:tc>
          <w:tcPr>
            <w:tcW w:w="1470" w:type="dxa"/>
            <w:tcBorders>
              <w:top w:val="nil"/>
              <w:left w:val="nil"/>
              <w:bottom w:val="single" w:color="auto" w:sz="4" w:space="0"/>
              <w:right w:val="single" w:color="auto" w:sz="4" w:space="0"/>
            </w:tcBorders>
            <w:vAlign w:val="center"/>
          </w:tcPr>
          <w:p w14:paraId="4E36AED6">
            <w:pPr>
              <w:jc w:val="center"/>
              <w:rPr>
                <w:rFonts w:ascii="宋体" w:hAnsi="宋体"/>
                <w:color w:val="000000" w:themeColor="text1"/>
                <w:kern w:val="0"/>
                <w:szCs w:val="21"/>
                <w:highlight w:val="none"/>
                <w14:textFill>
                  <w14:solidFill>
                    <w14:schemeClr w14:val="tx1"/>
                  </w14:solidFill>
                </w14:textFill>
              </w:rPr>
            </w:pPr>
          </w:p>
        </w:tc>
        <w:tc>
          <w:tcPr>
            <w:tcW w:w="2936" w:type="dxa"/>
            <w:tcBorders>
              <w:top w:val="single" w:color="auto" w:sz="4" w:space="0"/>
              <w:left w:val="nil"/>
              <w:bottom w:val="single" w:color="auto" w:sz="4" w:space="0"/>
              <w:right w:val="single" w:color="auto" w:sz="4" w:space="0"/>
            </w:tcBorders>
            <w:vAlign w:val="center"/>
          </w:tcPr>
          <w:p w14:paraId="6557E8D5">
            <w:pPr>
              <w:jc w:val="center"/>
              <w:rPr>
                <w:rFonts w:ascii="宋体" w:hAnsi="宋体"/>
                <w:color w:val="000000" w:themeColor="text1"/>
                <w:kern w:val="0"/>
                <w:szCs w:val="21"/>
                <w:highlight w:val="none"/>
                <w14:textFill>
                  <w14:solidFill>
                    <w14:schemeClr w14:val="tx1"/>
                  </w14:solidFill>
                </w14:textFill>
              </w:rPr>
            </w:pPr>
          </w:p>
        </w:tc>
      </w:tr>
      <w:tr w14:paraId="201DD80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F8F9D14">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p>
        </w:tc>
        <w:tc>
          <w:tcPr>
            <w:tcW w:w="4150" w:type="dxa"/>
            <w:tcBorders>
              <w:top w:val="nil"/>
              <w:left w:val="nil"/>
              <w:bottom w:val="single" w:color="auto" w:sz="4" w:space="0"/>
              <w:right w:val="single" w:color="auto" w:sz="4" w:space="0"/>
            </w:tcBorders>
            <w:vAlign w:val="center"/>
          </w:tcPr>
          <w:p w14:paraId="67586379">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单位工程</w:t>
            </w:r>
            <w:r>
              <w:rPr>
                <w:rFonts w:ascii="宋体" w:hAnsi="宋体"/>
                <w:color w:val="000000" w:themeColor="text1"/>
                <w:kern w:val="0"/>
                <w:szCs w:val="21"/>
                <w:highlight w:val="none"/>
                <w14:textFill>
                  <w14:solidFill>
                    <w14:schemeClr w14:val="tx1"/>
                  </w14:solidFill>
                </w14:textFill>
              </w:rPr>
              <w:t>2]</w:t>
            </w:r>
          </w:p>
        </w:tc>
        <w:tc>
          <w:tcPr>
            <w:tcW w:w="1602" w:type="dxa"/>
            <w:tcBorders>
              <w:top w:val="nil"/>
              <w:left w:val="nil"/>
              <w:bottom w:val="single" w:color="auto" w:sz="4" w:space="0"/>
              <w:right w:val="single" w:color="auto" w:sz="4" w:space="0"/>
            </w:tcBorders>
            <w:vAlign w:val="center"/>
          </w:tcPr>
          <w:p w14:paraId="074CF449">
            <w:pPr>
              <w:jc w:val="center"/>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0B76C157">
            <w:pPr>
              <w:jc w:val="center"/>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21040172">
            <w:pPr>
              <w:jc w:val="center"/>
              <w:rPr>
                <w:rFonts w:ascii="宋体" w:hAnsi="宋体"/>
                <w:color w:val="000000" w:themeColor="text1"/>
                <w:kern w:val="0"/>
                <w:szCs w:val="21"/>
                <w:highlight w:val="none"/>
                <w14:textFill>
                  <w14:solidFill>
                    <w14:schemeClr w14:val="tx1"/>
                  </w14:solidFill>
                </w14:textFill>
              </w:rPr>
            </w:pPr>
          </w:p>
        </w:tc>
        <w:tc>
          <w:tcPr>
            <w:tcW w:w="1470" w:type="dxa"/>
            <w:tcBorders>
              <w:top w:val="nil"/>
              <w:left w:val="nil"/>
              <w:bottom w:val="single" w:color="auto" w:sz="4" w:space="0"/>
              <w:right w:val="single" w:color="auto" w:sz="4" w:space="0"/>
            </w:tcBorders>
            <w:vAlign w:val="center"/>
          </w:tcPr>
          <w:p w14:paraId="3085DD2F">
            <w:pPr>
              <w:jc w:val="center"/>
              <w:rPr>
                <w:rFonts w:ascii="宋体" w:hAnsi="宋体"/>
                <w:color w:val="000000" w:themeColor="text1"/>
                <w:kern w:val="0"/>
                <w:szCs w:val="21"/>
                <w:highlight w:val="none"/>
                <w14:textFill>
                  <w14:solidFill>
                    <w14:schemeClr w14:val="tx1"/>
                  </w14:solidFill>
                </w14:textFill>
              </w:rPr>
            </w:pPr>
          </w:p>
        </w:tc>
        <w:tc>
          <w:tcPr>
            <w:tcW w:w="2936" w:type="dxa"/>
            <w:tcBorders>
              <w:top w:val="single" w:color="auto" w:sz="4" w:space="0"/>
              <w:left w:val="nil"/>
              <w:bottom w:val="single" w:color="auto" w:sz="4" w:space="0"/>
              <w:right w:val="single" w:color="auto" w:sz="4" w:space="0"/>
            </w:tcBorders>
            <w:vAlign w:val="center"/>
          </w:tcPr>
          <w:p w14:paraId="7659621A">
            <w:pPr>
              <w:jc w:val="center"/>
              <w:rPr>
                <w:rFonts w:ascii="宋体" w:hAnsi="宋体"/>
                <w:color w:val="000000" w:themeColor="text1"/>
                <w:kern w:val="0"/>
                <w:szCs w:val="21"/>
                <w:highlight w:val="none"/>
                <w14:textFill>
                  <w14:solidFill>
                    <w14:schemeClr w14:val="tx1"/>
                  </w14:solidFill>
                </w14:textFill>
              </w:rPr>
            </w:pPr>
          </w:p>
        </w:tc>
      </w:tr>
      <w:tr w14:paraId="40B4E3E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9A874E0">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4150" w:type="dxa"/>
            <w:tcBorders>
              <w:top w:val="nil"/>
              <w:left w:val="nil"/>
              <w:bottom w:val="single" w:color="auto" w:sz="4" w:space="0"/>
              <w:right w:val="single" w:color="auto" w:sz="4" w:space="0"/>
            </w:tcBorders>
            <w:vAlign w:val="center"/>
          </w:tcPr>
          <w:p w14:paraId="25D2196B">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1602" w:type="dxa"/>
            <w:tcBorders>
              <w:top w:val="nil"/>
              <w:left w:val="nil"/>
              <w:bottom w:val="single" w:color="auto" w:sz="4" w:space="0"/>
              <w:right w:val="single" w:color="auto" w:sz="4" w:space="0"/>
            </w:tcBorders>
            <w:vAlign w:val="center"/>
          </w:tcPr>
          <w:p w14:paraId="140C7333">
            <w:pPr>
              <w:jc w:val="center"/>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102DE42B">
            <w:pPr>
              <w:jc w:val="center"/>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4A018865">
            <w:pPr>
              <w:jc w:val="center"/>
              <w:rPr>
                <w:rFonts w:ascii="宋体" w:hAnsi="宋体"/>
                <w:color w:val="000000" w:themeColor="text1"/>
                <w:kern w:val="0"/>
                <w:szCs w:val="21"/>
                <w:highlight w:val="none"/>
                <w14:textFill>
                  <w14:solidFill>
                    <w14:schemeClr w14:val="tx1"/>
                  </w14:solidFill>
                </w14:textFill>
              </w:rPr>
            </w:pPr>
          </w:p>
        </w:tc>
        <w:tc>
          <w:tcPr>
            <w:tcW w:w="1470" w:type="dxa"/>
            <w:tcBorders>
              <w:top w:val="nil"/>
              <w:left w:val="nil"/>
              <w:bottom w:val="single" w:color="auto" w:sz="4" w:space="0"/>
              <w:right w:val="single" w:color="auto" w:sz="4" w:space="0"/>
            </w:tcBorders>
            <w:vAlign w:val="center"/>
          </w:tcPr>
          <w:p w14:paraId="257899AD">
            <w:pPr>
              <w:jc w:val="center"/>
              <w:rPr>
                <w:rFonts w:ascii="宋体" w:hAnsi="宋体"/>
                <w:color w:val="000000" w:themeColor="text1"/>
                <w:kern w:val="0"/>
                <w:szCs w:val="21"/>
                <w:highlight w:val="none"/>
                <w14:textFill>
                  <w14:solidFill>
                    <w14:schemeClr w14:val="tx1"/>
                  </w14:solidFill>
                </w14:textFill>
              </w:rPr>
            </w:pPr>
          </w:p>
        </w:tc>
        <w:tc>
          <w:tcPr>
            <w:tcW w:w="2936" w:type="dxa"/>
            <w:tcBorders>
              <w:top w:val="single" w:color="auto" w:sz="4" w:space="0"/>
              <w:left w:val="nil"/>
              <w:bottom w:val="single" w:color="auto" w:sz="4" w:space="0"/>
              <w:right w:val="single" w:color="auto" w:sz="4" w:space="0"/>
            </w:tcBorders>
            <w:vAlign w:val="center"/>
          </w:tcPr>
          <w:p w14:paraId="6DCF0A9E">
            <w:pPr>
              <w:jc w:val="center"/>
              <w:rPr>
                <w:rFonts w:ascii="宋体" w:hAnsi="宋体"/>
                <w:color w:val="000000" w:themeColor="text1"/>
                <w:kern w:val="0"/>
                <w:szCs w:val="21"/>
                <w:highlight w:val="none"/>
                <w14:textFill>
                  <w14:solidFill>
                    <w14:schemeClr w14:val="tx1"/>
                  </w14:solidFill>
                </w14:textFill>
              </w:rPr>
            </w:pPr>
          </w:p>
        </w:tc>
      </w:tr>
      <w:tr w14:paraId="798D0C6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5AE3B14">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4150" w:type="dxa"/>
            <w:tcBorders>
              <w:top w:val="nil"/>
              <w:left w:val="nil"/>
              <w:bottom w:val="single" w:color="auto" w:sz="4" w:space="0"/>
              <w:right w:val="single" w:color="auto" w:sz="4" w:space="0"/>
            </w:tcBorders>
            <w:vAlign w:val="center"/>
          </w:tcPr>
          <w:p w14:paraId="292EE423">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1602" w:type="dxa"/>
            <w:tcBorders>
              <w:top w:val="nil"/>
              <w:left w:val="nil"/>
              <w:bottom w:val="single" w:color="auto" w:sz="4" w:space="0"/>
              <w:right w:val="single" w:color="auto" w:sz="4" w:space="0"/>
            </w:tcBorders>
            <w:vAlign w:val="center"/>
          </w:tcPr>
          <w:p w14:paraId="10EC74B6">
            <w:pPr>
              <w:jc w:val="center"/>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41B18DD8">
            <w:pPr>
              <w:jc w:val="center"/>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454CC772">
            <w:pPr>
              <w:jc w:val="center"/>
              <w:rPr>
                <w:rFonts w:ascii="宋体" w:hAnsi="宋体"/>
                <w:color w:val="000000" w:themeColor="text1"/>
                <w:kern w:val="0"/>
                <w:szCs w:val="21"/>
                <w:highlight w:val="none"/>
                <w14:textFill>
                  <w14:solidFill>
                    <w14:schemeClr w14:val="tx1"/>
                  </w14:solidFill>
                </w14:textFill>
              </w:rPr>
            </w:pPr>
          </w:p>
        </w:tc>
        <w:tc>
          <w:tcPr>
            <w:tcW w:w="1470" w:type="dxa"/>
            <w:tcBorders>
              <w:top w:val="nil"/>
              <w:left w:val="nil"/>
              <w:bottom w:val="single" w:color="auto" w:sz="4" w:space="0"/>
              <w:right w:val="single" w:color="auto" w:sz="4" w:space="0"/>
            </w:tcBorders>
            <w:vAlign w:val="center"/>
          </w:tcPr>
          <w:p w14:paraId="1D7B9491">
            <w:pPr>
              <w:jc w:val="center"/>
              <w:rPr>
                <w:rFonts w:ascii="宋体" w:hAnsi="宋体"/>
                <w:color w:val="000000" w:themeColor="text1"/>
                <w:kern w:val="0"/>
                <w:szCs w:val="21"/>
                <w:highlight w:val="none"/>
                <w14:textFill>
                  <w14:solidFill>
                    <w14:schemeClr w14:val="tx1"/>
                  </w14:solidFill>
                </w14:textFill>
              </w:rPr>
            </w:pPr>
          </w:p>
        </w:tc>
        <w:tc>
          <w:tcPr>
            <w:tcW w:w="2936" w:type="dxa"/>
            <w:tcBorders>
              <w:top w:val="single" w:color="auto" w:sz="4" w:space="0"/>
              <w:left w:val="nil"/>
              <w:bottom w:val="single" w:color="auto" w:sz="4" w:space="0"/>
              <w:right w:val="single" w:color="auto" w:sz="4" w:space="0"/>
            </w:tcBorders>
            <w:vAlign w:val="center"/>
          </w:tcPr>
          <w:p w14:paraId="66820DB4">
            <w:pPr>
              <w:jc w:val="center"/>
              <w:rPr>
                <w:rFonts w:ascii="宋体" w:hAnsi="宋体"/>
                <w:color w:val="000000" w:themeColor="text1"/>
                <w:kern w:val="0"/>
                <w:szCs w:val="21"/>
                <w:highlight w:val="none"/>
                <w14:textFill>
                  <w14:solidFill>
                    <w14:schemeClr w14:val="tx1"/>
                  </w14:solidFill>
                </w14:textFill>
              </w:rPr>
            </w:pPr>
          </w:p>
        </w:tc>
      </w:tr>
      <w:tr w14:paraId="4A43E48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FD64D58">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4150" w:type="dxa"/>
            <w:tcBorders>
              <w:top w:val="nil"/>
              <w:left w:val="nil"/>
              <w:bottom w:val="single" w:color="auto" w:sz="4" w:space="0"/>
              <w:right w:val="single" w:color="auto" w:sz="4" w:space="0"/>
            </w:tcBorders>
            <w:vAlign w:val="center"/>
          </w:tcPr>
          <w:p w14:paraId="52504CD0">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1602" w:type="dxa"/>
            <w:tcBorders>
              <w:top w:val="nil"/>
              <w:left w:val="nil"/>
              <w:bottom w:val="single" w:color="auto" w:sz="4" w:space="0"/>
              <w:right w:val="single" w:color="auto" w:sz="4" w:space="0"/>
            </w:tcBorders>
            <w:vAlign w:val="center"/>
          </w:tcPr>
          <w:p w14:paraId="3FCBE0E7">
            <w:pPr>
              <w:jc w:val="center"/>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6BEA84E0">
            <w:pPr>
              <w:jc w:val="center"/>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71B1A1E3">
            <w:pPr>
              <w:jc w:val="center"/>
              <w:rPr>
                <w:rFonts w:ascii="宋体" w:hAnsi="宋体"/>
                <w:color w:val="000000" w:themeColor="text1"/>
                <w:kern w:val="0"/>
                <w:szCs w:val="21"/>
                <w:highlight w:val="none"/>
                <w14:textFill>
                  <w14:solidFill>
                    <w14:schemeClr w14:val="tx1"/>
                  </w14:solidFill>
                </w14:textFill>
              </w:rPr>
            </w:pPr>
          </w:p>
        </w:tc>
        <w:tc>
          <w:tcPr>
            <w:tcW w:w="1470" w:type="dxa"/>
            <w:tcBorders>
              <w:top w:val="nil"/>
              <w:left w:val="nil"/>
              <w:bottom w:val="single" w:color="auto" w:sz="4" w:space="0"/>
              <w:right w:val="single" w:color="auto" w:sz="4" w:space="0"/>
            </w:tcBorders>
            <w:vAlign w:val="center"/>
          </w:tcPr>
          <w:p w14:paraId="5F0068EA">
            <w:pPr>
              <w:jc w:val="center"/>
              <w:rPr>
                <w:rFonts w:ascii="宋体" w:hAnsi="宋体"/>
                <w:color w:val="000000" w:themeColor="text1"/>
                <w:kern w:val="0"/>
                <w:szCs w:val="21"/>
                <w:highlight w:val="none"/>
                <w14:textFill>
                  <w14:solidFill>
                    <w14:schemeClr w14:val="tx1"/>
                  </w14:solidFill>
                </w14:textFill>
              </w:rPr>
            </w:pPr>
          </w:p>
        </w:tc>
        <w:tc>
          <w:tcPr>
            <w:tcW w:w="2936" w:type="dxa"/>
            <w:tcBorders>
              <w:top w:val="single" w:color="auto" w:sz="4" w:space="0"/>
              <w:left w:val="nil"/>
              <w:bottom w:val="single" w:color="auto" w:sz="4" w:space="0"/>
              <w:right w:val="single" w:color="auto" w:sz="4" w:space="0"/>
            </w:tcBorders>
            <w:vAlign w:val="center"/>
          </w:tcPr>
          <w:p w14:paraId="1AEE36AB">
            <w:pPr>
              <w:jc w:val="center"/>
              <w:rPr>
                <w:rFonts w:ascii="宋体" w:hAnsi="宋体"/>
                <w:color w:val="000000" w:themeColor="text1"/>
                <w:kern w:val="0"/>
                <w:szCs w:val="21"/>
                <w:highlight w:val="none"/>
                <w14:textFill>
                  <w14:solidFill>
                    <w14:schemeClr w14:val="tx1"/>
                  </w14:solidFill>
                </w14:textFill>
              </w:rPr>
            </w:pPr>
          </w:p>
        </w:tc>
      </w:tr>
      <w:tr w14:paraId="4BB2671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3A40847">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n</w:t>
            </w:r>
          </w:p>
        </w:tc>
        <w:tc>
          <w:tcPr>
            <w:tcW w:w="4150" w:type="dxa"/>
            <w:tcBorders>
              <w:top w:val="nil"/>
              <w:left w:val="nil"/>
              <w:bottom w:val="single" w:color="auto" w:sz="4" w:space="0"/>
              <w:right w:val="single" w:color="auto" w:sz="4" w:space="0"/>
            </w:tcBorders>
            <w:vAlign w:val="center"/>
          </w:tcPr>
          <w:p w14:paraId="776833B5">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单位工程</w:t>
            </w:r>
            <w:r>
              <w:rPr>
                <w:rFonts w:ascii="宋体" w:hAnsi="宋体"/>
                <w:color w:val="000000" w:themeColor="text1"/>
                <w:kern w:val="0"/>
                <w:szCs w:val="21"/>
                <w:highlight w:val="none"/>
                <w14:textFill>
                  <w14:solidFill>
                    <w14:schemeClr w14:val="tx1"/>
                  </w14:solidFill>
                </w14:textFill>
              </w:rPr>
              <w:t>n]</w:t>
            </w:r>
          </w:p>
        </w:tc>
        <w:tc>
          <w:tcPr>
            <w:tcW w:w="1602" w:type="dxa"/>
            <w:tcBorders>
              <w:top w:val="nil"/>
              <w:left w:val="nil"/>
              <w:bottom w:val="single" w:color="auto" w:sz="4" w:space="0"/>
              <w:right w:val="single" w:color="auto" w:sz="4" w:space="0"/>
            </w:tcBorders>
            <w:vAlign w:val="center"/>
          </w:tcPr>
          <w:p w14:paraId="5126185C">
            <w:pPr>
              <w:jc w:val="center"/>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4DF8F192">
            <w:pPr>
              <w:jc w:val="center"/>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3104DA4A">
            <w:pPr>
              <w:jc w:val="center"/>
              <w:rPr>
                <w:rFonts w:ascii="宋体" w:hAnsi="宋体"/>
                <w:color w:val="000000" w:themeColor="text1"/>
                <w:kern w:val="0"/>
                <w:szCs w:val="21"/>
                <w:highlight w:val="none"/>
                <w14:textFill>
                  <w14:solidFill>
                    <w14:schemeClr w14:val="tx1"/>
                  </w14:solidFill>
                </w14:textFill>
              </w:rPr>
            </w:pPr>
          </w:p>
        </w:tc>
        <w:tc>
          <w:tcPr>
            <w:tcW w:w="1470" w:type="dxa"/>
            <w:tcBorders>
              <w:top w:val="nil"/>
              <w:left w:val="nil"/>
              <w:bottom w:val="single" w:color="auto" w:sz="4" w:space="0"/>
              <w:right w:val="single" w:color="auto" w:sz="4" w:space="0"/>
            </w:tcBorders>
            <w:vAlign w:val="center"/>
          </w:tcPr>
          <w:p w14:paraId="797FBEA4">
            <w:pPr>
              <w:jc w:val="center"/>
              <w:rPr>
                <w:rFonts w:ascii="宋体" w:hAnsi="宋体"/>
                <w:color w:val="000000" w:themeColor="text1"/>
                <w:kern w:val="0"/>
                <w:szCs w:val="21"/>
                <w:highlight w:val="none"/>
                <w14:textFill>
                  <w14:solidFill>
                    <w14:schemeClr w14:val="tx1"/>
                  </w14:solidFill>
                </w14:textFill>
              </w:rPr>
            </w:pPr>
          </w:p>
        </w:tc>
        <w:tc>
          <w:tcPr>
            <w:tcW w:w="2936" w:type="dxa"/>
            <w:tcBorders>
              <w:top w:val="single" w:color="auto" w:sz="4" w:space="0"/>
              <w:left w:val="nil"/>
              <w:bottom w:val="single" w:color="auto" w:sz="4" w:space="0"/>
              <w:right w:val="single" w:color="auto" w:sz="4" w:space="0"/>
            </w:tcBorders>
            <w:vAlign w:val="center"/>
          </w:tcPr>
          <w:p w14:paraId="1870611C">
            <w:pPr>
              <w:jc w:val="center"/>
              <w:rPr>
                <w:rFonts w:ascii="宋体" w:hAnsi="宋体"/>
                <w:color w:val="000000" w:themeColor="text1"/>
                <w:kern w:val="0"/>
                <w:szCs w:val="21"/>
                <w:highlight w:val="none"/>
                <w14:textFill>
                  <w14:solidFill>
                    <w14:schemeClr w14:val="tx1"/>
                  </w14:solidFill>
                </w14:textFill>
              </w:rPr>
            </w:pPr>
          </w:p>
        </w:tc>
      </w:tr>
      <w:tr w14:paraId="11DECBE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234A45D">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4150" w:type="dxa"/>
            <w:tcBorders>
              <w:top w:val="nil"/>
              <w:left w:val="nil"/>
              <w:bottom w:val="single" w:color="auto" w:sz="4" w:space="0"/>
              <w:right w:val="single" w:color="auto" w:sz="4" w:space="0"/>
            </w:tcBorders>
            <w:vAlign w:val="center"/>
          </w:tcPr>
          <w:p w14:paraId="6924CA97">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投标总报价</w:t>
            </w:r>
          </w:p>
        </w:tc>
        <w:tc>
          <w:tcPr>
            <w:tcW w:w="1602" w:type="dxa"/>
            <w:tcBorders>
              <w:top w:val="nil"/>
              <w:left w:val="nil"/>
              <w:bottom w:val="single" w:color="auto" w:sz="4" w:space="0"/>
              <w:right w:val="single" w:color="auto" w:sz="4" w:space="0"/>
            </w:tcBorders>
            <w:vAlign w:val="center"/>
          </w:tcPr>
          <w:p w14:paraId="3C72801F">
            <w:pPr>
              <w:jc w:val="center"/>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69DD53DD">
            <w:pPr>
              <w:jc w:val="center"/>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r2bl w:val="single" w:color="auto" w:sz="4" w:space="0"/>
            </w:tcBorders>
            <w:vAlign w:val="center"/>
          </w:tcPr>
          <w:p w14:paraId="269C8ABF">
            <w:pPr>
              <w:jc w:val="center"/>
              <w:rPr>
                <w:rFonts w:ascii="宋体" w:hAnsi="宋体"/>
                <w:color w:val="000000" w:themeColor="text1"/>
                <w:kern w:val="0"/>
                <w:szCs w:val="21"/>
                <w:highlight w:val="none"/>
                <w14:textFill>
                  <w14:solidFill>
                    <w14:schemeClr w14:val="tx1"/>
                  </w14:solidFill>
                </w14:textFill>
              </w:rPr>
            </w:pPr>
          </w:p>
        </w:tc>
        <w:tc>
          <w:tcPr>
            <w:tcW w:w="1470" w:type="dxa"/>
            <w:tcBorders>
              <w:top w:val="nil"/>
              <w:left w:val="nil"/>
              <w:bottom w:val="single" w:color="auto" w:sz="4" w:space="0"/>
              <w:right w:val="single" w:color="auto" w:sz="4" w:space="0"/>
            </w:tcBorders>
            <w:vAlign w:val="center"/>
          </w:tcPr>
          <w:p w14:paraId="364CF639">
            <w:pPr>
              <w:jc w:val="center"/>
              <w:rPr>
                <w:rFonts w:ascii="宋体" w:hAnsi="宋体"/>
                <w:color w:val="000000" w:themeColor="text1"/>
                <w:kern w:val="0"/>
                <w:szCs w:val="21"/>
                <w:highlight w:val="none"/>
                <w14:textFill>
                  <w14:solidFill>
                    <w14:schemeClr w14:val="tx1"/>
                  </w14:solidFill>
                </w14:textFill>
              </w:rPr>
            </w:pPr>
          </w:p>
        </w:tc>
        <w:tc>
          <w:tcPr>
            <w:tcW w:w="2936" w:type="dxa"/>
            <w:tcBorders>
              <w:top w:val="single" w:color="auto" w:sz="4" w:space="0"/>
              <w:left w:val="nil"/>
              <w:bottom w:val="single" w:color="auto" w:sz="4" w:space="0"/>
              <w:right w:val="single" w:color="auto" w:sz="4" w:space="0"/>
            </w:tcBorders>
            <w:vAlign w:val="center"/>
          </w:tcPr>
          <w:p w14:paraId="4A58F2B0">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A=A</w:t>
            </w:r>
            <w:r>
              <w:rPr>
                <w:rFonts w:ascii="宋体" w:hAnsi="宋体"/>
                <w:color w:val="000000" w:themeColor="text1"/>
                <w:kern w:val="0"/>
                <w:szCs w:val="21"/>
                <w:highlight w:val="none"/>
                <w:vertAlign w:val="subscript"/>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+A</w:t>
            </w:r>
            <w:r>
              <w:rPr>
                <w:rFonts w:ascii="宋体" w:hAnsi="宋体"/>
                <w:color w:val="000000" w:themeColor="text1"/>
                <w:kern w:val="0"/>
                <w:szCs w:val="21"/>
                <w:highlight w:val="none"/>
                <w:vertAlign w:val="subscript"/>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An</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B=B</w:t>
            </w:r>
            <w:r>
              <w:rPr>
                <w:rFonts w:ascii="宋体" w:hAnsi="宋体"/>
                <w:color w:val="000000" w:themeColor="text1"/>
                <w:kern w:val="0"/>
                <w:szCs w:val="21"/>
                <w:highlight w:val="none"/>
                <w:vertAlign w:val="subscript"/>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+B</w:t>
            </w:r>
            <w:r>
              <w:rPr>
                <w:rFonts w:ascii="宋体" w:hAnsi="宋体"/>
                <w:color w:val="000000" w:themeColor="text1"/>
                <w:kern w:val="0"/>
                <w:szCs w:val="21"/>
                <w:highlight w:val="none"/>
                <w:vertAlign w:val="subscript"/>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Bn</w:t>
            </w:r>
          </w:p>
        </w:tc>
      </w:tr>
    </w:tbl>
    <w:p w14:paraId="1B0A980D">
      <w:pP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修正原则：</w:t>
      </w:r>
      <w:r>
        <w:rPr>
          <w:rFonts w:hint="eastAsia"/>
          <w:color w:val="000000" w:themeColor="text1"/>
          <w:szCs w:val="21"/>
          <w:highlight w:val="none"/>
          <w14:textFill>
            <w14:solidFill>
              <w14:schemeClr w14:val="tx1"/>
            </w14:solidFill>
          </w14:textFill>
        </w:rPr>
        <w:t>按就低不就高原则，当修正后报价小于原报价，总价按修正后报价；当修正后报价大于原报价，总价按原报价，并在签订合同时载明在结算价中扣除修正报价与原报价的差额。</w:t>
      </w:r>
      <w:r>
        <w:rPr>
          <w:rFonts w:cs="宋体"/>
          <w:color w:val="000000" w:themeColor="text1"/>
          <w:kern w:val="0"/>
          <w:szCs w:val="21"/>
          <w:highlight w:val="none"/>
          <w14:textFill>
            <w14:solidFill>
              <w14:schemeClr w14:val="tx1"/>
            </w14:solidFill>
          </w14:textFill>
        </w:rPr>
        <w:tab/>
      </w:r>
    </w:p>
    <w:p w14:paraId="25898B4C">
      <w:pP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评委签名：</w:t>
      </w:r>
      <w:r>
        <w:rPr>
          <w:color w:val="000000" w:themeColor="text1"/>
          <w:kern w:val="0"/>
          <w:szCs w:val="21"/>
          <w:highlight w:val="none"/>
          <w14:textFill>
            <w14:solidFill>
              <w14:schemeClr w14:val="tx1"/>
            </w14:solidFill>
          </w14:textFill>
        </w:rPr>
        <w:tab/>
      </w:r>
      <w:r>
        <w:rPr>
          <w:color w:val="000000" w:themeColor="text1"/>
          <w:kern w:val="0"/>
          <w:szCs w:val="21"/>
          <w:highlight w:val="none"/>
          <w14:textFill>
            <w14:solidFill>
              <w14:schemeClr w14:val="tx1"/>
            </w14:solidFill>
          </w14:textFill>
        </w:rPr>
        <w:tab/>
      </w:r>
      <w:r>
        <w:rPr>
          <w:color w:val="000000" w:themeColor="text1"/>
          <w:kern w:val="0"/>
          <w:szCs w:val="21"/>
          <w:highlight w:val="none"/>
          <w14:textFill>
            <w14:solidFill>
              <w14:schemeClr w14:val="tx1"/>
            </w14:solidFill>
          </w14:textFill>
        </w:rPr>
        <w:tab/>
      </w:r>
      <w:r>
        <w:rPr>
          <w:color w:val="000000" w:themeColor="text1"/>
          <w:kern w:val="0"/>
          <w:szCs w:val="21"/>
          <w:highlight w:val="none"/>
          <w14:textFill>
            <w14:solidFill>
              <w14:schemeClr w14:val="tx1"/>
            </w14:solidFill>
          </w14:textFill>
        </w:rPr>
        <w:tab/>
      </w:r>
      <w:r>
        <w:rPr>
          <w:color w:val="000000" w:themeColor="text1"/>
          <w:kern w:val="0"/>
          <w:szCs w:val="21"/>
          <w:highlight w:val="none"/>
          <w14:textFill>
            <w14:solidFill>
              <w14:schemeClr w14:val="tx1"/>
            </w14:solidFill>
          </w14:textFill>
        </w:rPr>
        <w:tab/>
      </w:r>
      <w:r>
        <w:rPr>
          <w:rFonts w:hint="eastAsia"/>
          <w:color w:val="000000" w:themeColor="text1"/>
          <w:kern w:val="0"/>
          <w:szCs w:val="21"/>
          <w:highlight w:val="none"/>
          <w14:textFill>
            <w14:solidFill>
              <w14:schemeClr w14:val="tx1"/>
            </w14:solidFill>
          </w14:textFill>
        </w:rPr>
        <w:t>日期：</w:t>
      </w:r>
    </w:p>
    <w:p w14:paraId="74413DB7">
      <w:pPr>
        <w:rPr>
          <w:color w:val="000000" w:themeColor="text1"/>
          <w:highlight w:val="none"/>
          <w14:textFill>
            <w14:solidFill>
              <w14:schemeClr w14:val="tx1"/>
            </w14:solidFill>
          </w14:textFill>
        </w:rPr>
      </w:pPr>
    </w:p>
    <w:p w14:paraId="797BF4E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D53C7F7">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算术复核表</w:t>
      </w:r>
    </w:p>
    <w:p w14:paraId="011DDDC7">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工程名称：</w:t>
      </w:r>
    </w:p>
    <w:tbl>
      <w:tblPr>
        <w:tblStyle w:val="3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26EC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vAlign w:val="center"/>
          </w:tcPr>
          <w:p w14:paraId="0A157126">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编号</w:t>
            </w:r>
          </w:p>
        </w:tc>
        <w:tc>
          <w:tcPr>
            <w:tcW w:w="4297" w:type="dxa"/>
            <w:tcBorders>
              <w:top w:val="single" w:color="auto" w:sz="4" w:space="0"/>
              <w:left w:val="single" w:color="auto" w:sz="4" w:space="0"/>
              <w:bottom w:val="single" w:color="auto" w:sz="4" w:space="0"/>
              <w:right w:val="single" w:color="auto" w:sz="4" w:space="0"/>
            </w:tcBorders>
            <w:vAlign w:val="center"/>
          </w:tcPr>
          <w:p w14:paraId="52EBC2A1">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投标人名称</w:t>
            </w:r>
          </w:p>
        </w:tc>
        <w:tc>
          <w:tcPr>
            <w:tcW w:w="2330" w:type="dxa"/>
            <w:tcBorders>
              <w:top w:val="single" w:color="auto" w:sz="4" w:space="0"/>
              <w:left w:val="single" w:color="auto" w:sz="4" w:space="0"/>
              <w:bottom w:val="single" w:color="auto" w:sz="4" w:space="0"/>
              <w:right w:val="single" w:color="auto" w:sz="4" w:space="0"/>
            </w:tcBorders>
            <w:vAlign w:val="center"/>
          </w:tcPr>
          <w:p w14:paraId="5A948513">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原投标报价（</w:t>
            </w:r>
            <w:r>
              <w:rPr>
                <w:b/>
                <w:color w:val="000000" w:themeColor="text1"/>
                <w:sz w:val="28"/>
                <w:szCs w:val="28"/>
                <w:highlight w:val="none"/>
                <w14:textFill>
                  <w14:solidFill>
                    <w14:schemeClr w14:val="tx1"/>
                  </w14:solidFill>
                </w14:textFill>
              </w:rPr>
              <w:t>A</w:t>
            </w:r>
            <w:r>
              <w:rPr>
                <w:rFonts w:hint="eastAsia"/>
                <w:b/>
                <w:color w:val="000000" w:themeColor="text1"/>
                <w:sz w:val="28"/>
                <w:szCs w:val="28"/>
                <w:highlight w:val="none"/>
                <w14:textFill>
                  <w14:solidFill>
                    <w14:schemeClr w14:val="tx1"/>
                  </w14:solidFill>
                </w14:textFill>
              </w:rPr>
              <w:t>）</w:t>
            </w:r>
          </w:p>
        </w:tc>
        <w:tc>
          <w:tcPr>
            <w:tcW w:w="3101" w:type="dxa"/>
            <w:tcBorders>
              <w:top w:val="single" w:color="auto" w:sz="4" w:space="0"/>
              <w:left w:val="single" w:color="auto" w:sz="4" w:space="0"/>
              <w:bottom w:val="single" w:color="auto" w:sz="4" w:space="0"/>
              <w:right w:val="single" w:color="auto" w:sz="4" w:space="0"/>
            </w:tcBorders>
            <w:vAlign w:val="center"/>
          </w:tcPr>
          <w:p w14:paraId="2F8F2F3A">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算数复核后投标报价（</w:t>
            </w:r>
            <w:r>
              <w:rPr>
                <w:b/>
                <w:color w:val="000000" w:themeColor="text1"/>
                <w:sz w:val="28"/>
                <w:szCs w:val="28"/>
                <w:highlight w:val="none"/>
                <w14:textFill>
                  <w14:solidFill>
                    <w14:schemeClr w14:val="tx1"/>
                  </w14:solidFill>
                </w14:textFill>
              </w:rPr>
              <w:t>B</w:t>
            </w:r>
            <w:r>
              <w:rPr>
                <w:rFonts w:hint="eastAsia"/>
                <w:b/>
                <w:color w:val="000000" w:themeColor="text1"/>
                <w:sz w:val="28"/>
                <w:szCs w:val="28"/>
                <w:highlight w:val="none"/>
                <w14:textFill>
                  <w14:solidFill>
                    <w14:schemeClr w14:val="tx1"/>
                  </w14:solidFill>
                </w14:textFill>
              </w:rPr>
              <w:t>）</w:t>
            </w:r>
          </w:p>
        </w:tc>
        <w:tc>
          <w:tcPr>
            <w:tcW w:w="3423" w:type="dxa"/>
            <w:tcBorders>
              <w:top w:val="single" w:color="auto" w:sz="4" w:space="0"/>
              <w:left w:val="single" w:color="auto" w:sz="4" w:space="0"/>
              <w:bottom w:val="single" w:color="auto" w:sz="4" w:space="0"/>
              <w:right w:val="single" w:color="auto" w:sz="4" w:space="0"/>
            </w:tcBorders>
            <w:vAlign w:val="center"/>
          </w:tcPr>
          <w:p w14:paraId="1A856DFF">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误差率（</w:t>
            </w:r>
            <w:r>
              <w:rPr>
                <w:b/>
                <w:color w:val="000000" w:themeColor="text1"/>
                <w:sz w:val="28"/>
                <w:szCs w:val="28"/>
                <w:highlight w:val="none"/>
                <w14:textFill>
                  <w14:solidFill>
                    <w14:schemeClr w14:val="tx1"/>
                  </w14:solidFill>
                </w14:textFill>
              </w:rPr>
              <w:t>r=|A-B|/A*100%</w:t>
            </w:r>
            <w:r>
              <w:rPr>
                <w:rFonts w:hint="eastAsia"/>
                <w:b/>
                <w:color w:val="000000" w:themeColor="text1"/>
                <w:sz w:val="28"/>
                <w:szCs w:val="28"/>
                <w:highlight w:val="none"/>
                <w14:textFill>
                  <w14:solidFill>
                    <w14:schemeClr w14:val="tx1"/>
                  </w14:solidFill>
                </w14:textFill>
              </w:rPr>
              <w:t>）</w:t>
            </w:r>
          </w:p>
        </w:tc>
      </w:tr>
      <w:tr w14:paraId="794A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7FA8B3A4">
            <w:pPr>
              <w:jc w:val="cente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vAlign w:val="center"/>
          </w:tcPr>
          <w:p w14:paraId="5B4480B3">
            <w:pPr>
              <w:jc w:val="cente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vAlign w:val="center"/>
          </w:tcPr>
          <w:p w14:paraId="0B585630">
            <w:pPr>
              <w:jc w:val="cente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vAlign w:val="center"/>
          </w:tcPr>
          <w:p w14:paraId="0F84E4D7">
            <w:pPr>
              <w:jc w:val="cente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vAlign w:val="center"/>
          </w:tcPr>
          <w:p w14:paraId="1DC25272">
            <w:pPr>
              <w:jc w:val="center"/>
              <w:rPr>
                <w:color w:val="000000" w:themeColor="text1"/>
                <w:sz w:val="36"/>
                <w:szCs w:val="36"/>
                <w:highlight w:val="none"/>
                <w14:textFill>
                  <w14:solidFill>
                    <w14:schemeClr w14:val="tx1"/>
                  </w14:solidFill>
                </w14:textFill>
              </w:rPr>
            </w:pPr>
          </w:p>
        </w:tc>
      </w:tr>
      <w:tr w14:paraId="4D65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504122FC">
            <w:pPr>
              <w:jc w:val="cente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vAlign w:val="center"/>
          </w:tcPr>
          <w:p w14:paraId="74D351EC">
            <w:pPr>
              <w:jc w:val="cente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vAlign w:val="center"/>
          </w:tcPr>
          <w:p w14:paraId="53852FC4">
            <w:pPr>
              <w:jc w:val="cente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vAlign w:val="center"/>
          </w:tcPr>
          <w:p w14:paraId="254952AB">
            <w:pPr>
              <w:jc w:val="cente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vAlign w:val="center"/>
          </w:tcPr>
          <w:p w14:paraId="20C50267">
            <w:pPr>
              <w:jc w:val="center"/>
              <w:rPr>
                <w:color w:val="000000" w:themeColor="text1"/>
                <w:sz w:val="36"/>
                <w:szCs w:val="36"/>
                <w:highlight w:val="none"/>
                <w14:textFill>
                  <w14:solidFill>
                    <w14:schemeClr w14:val="tx1"/>
                  </w14:solidFill>
                </w14:textFill>
              </w:rPr>
            </w:pPr>
          </w:p>
        </w:tc>
      </w:tr>
      <w:tr w14:paraId="3293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1EE5FF8C">
            <w:pPr>
              <w:jc w:val="cente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vAlign w:val="center"/>
          </w:tcPr>
          <w:p w14:paraId="61AF6635">
            <w:pPr>
              <w:jc w:val="cente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vAlign w:val="center"/>
          </w:tcPr>
          <w:p w14:paraId="2626A16C">
            <w:pPr>
              <w:jc w:val="cente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vAlign w:val="center"/>
          </w:tcPr>
          <w:p w14:paraId="589E91FA">
            <w:pPr>
              <w:jc w:val="cente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vAlign w:val="center"/>
          </w:tcPr>
          <w:p w14:paraId="3382C5A2">
            <w:pPr>
              <w:jc w:val="center"/>
              <w:rPr>
                <w:color w:val="000000" w:themeColor="text1"/>
                <w:sz w:val="36"/>
                <w:szCs w:val="36"/>
                <w:highlight w:val="none"/>
                <w14:textFill>
                  <w14:solidFill>
                    <w14:schemeClr w14:val="tx1"/>
                  </w14:solidFill>
                </w14:textFill>
              </w:rPr>
            </w:pPr>
          </w:p>
        </w:tc>
      </w:tr>
      <w:tr w14:paraId="1C9E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17BF3F1D">
            <w:pPr>
              <w:jc w:val="cente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vAlign w:val="center"/>
          </w:tcPr>
          <w:p w14:paraId="12FEE894">
            <w:pPr>
              <w:jc w:val="cente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vAlign w:val="center"/>
          </w:tcPr>
          <w:p w14:paraId="2AC8AC46">
            <w:pPr>
              <w:jc w:val="cente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vAlign w:val="center"/>
          </w:tcPr>
          <w:p w14:paraId="57F74705">
            <w:pPr>
              <w:jc w:val="cente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vAlign w:val="center"/>
          </w:tcPr>
          <w:p w14:paraId="224260F5">
            <w:pPr>
              <w:jc w:val="center"/>
              <w:rPr>
                <w:color w:val="000000" w:themeColor="text1"/>
                <w:sz w:val="36"/>
                <w:szCs w:val="36"/>
                <w:highlight w:val="none"/>
                <w14:textFill>
                  <w14:solidFill>
                    <w14:schemeClr w14:val="tx1"/>
                  </w14:solidFill>
                </w14:textFill>
              </w:rPr>
            </w:pPr>
          </w:p>
        </w:tc>
      </w:tr>
      <w:tr w14:paraId="57D5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4C15B378">
            <w:pPr>
              <w:jc w:val="cente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vAlign w:val="center"/>
          </w:tcPr>
          <w:p w14:paraId="6E27FA8D">
            <w:pPr>
              <w:jc w:val="cente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vAlign w:val="center"/>
          </w:tcPr>
          <w:p w14:paraId="7A29CECB">
            <w:pPr>
              <w:jc w:val="cente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vAlign w:val="center"/>
          </w:tcPr>
          <w:p w14:paraId="14141FC7">
            <w:pPr>
              <w:jc w:val="cente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vAlign w:val="center"/>
          </w:tcPr>
          <w:p w14:paraId="497EE8C7">
            <w:pPr>
              <w:jc w:val="center"/>
              <w:rPr>
                <w:color w:val="000000" w:themeColor="text1"/>
                <w:sz w:val="36"/>
                <w:szCs w:val="36"/>
                <w:highlight w:val="none"/>
                <w14:textFill>
                  <w14:solidFill>
                    <w14:schemeClr w14:val="tx1"/>
                  </w14:solidFill>
                </w14:textFill>
              </w:rPr>
            </w:pPr>
          </w:p>
        </w:tc>
      </w:tr>
      <w:tr w14:paraId="5C52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3E5691AA">
            <w:pPr>
              <w:jc w:val="cente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vAlign w:val="center"/>
          </w:tcPr>
          <w:p w14:paraId="53588080">
            <w:pPr>
              <w:jc w:val="cente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vAlign w:val="center"/>
          </w:tcPr>
          <w:p w14:paraId="29695963">
            <w:pPr>
              <w:jc w:val="cente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vAlign w:val="center"/>
          </w:tcPr>
          <w:p w14:paraId="701AD338">
            <w:pPr>
              <w:jc w:val="cente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vAlign w:val="center"/>
          </w:tcPr>
          <w:p w14:paraId="12485696">
            <w:pPr>
              <w:jc w:val="center"/>
              <w:rPr>
                <w:color w:val="000000" w:themeColor="text1"/>
                <w:sz w:val="36"/>
                <w:szCs w:val="36"/>
                <w:highlight w:val="none"/>
                <w14:textFill>
                  <w14:solidFill>
                    <w14:schemeClr w14:val="tx1"/>
                  </w14:solidFill>
                </w14:textFill>
              </w:rPr>
            </w:pPr>
          </w:p>
        </w:tc>
      </w:tr>
      <w:tr w14:paraId="132E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4957AB7A">
            <w:pPr>
              <w:jc w:val="cente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vAlign w:val="center"/>
          </w:tcPr>
          <w:p w14:paraId="61BCD23B">
            <w:pPr>
              <w:jc w:val="cente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vAlign w:val="center"/>
          </w:tcPr>
          <w:p w14:paraId="13CB23B9">
            <w:pPr>
              <w:jc w:val="cente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vAlign w:val="center"/>
          </w:tcPr>
          <w:p w14:paraId="05862BDA">
            <w:pPr>
              <w:jc w:val="cente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vAlign w:val="center"/>
          </w:tcPr>
          <w:p w14:paraId="7A904790">
            <w:pPr>
              <w:jc w:val="center"/>
              <w:rPr>
                <w:color w:val="000000" w:themeColor="text1"/>
                <w:sz w:val="36"/>
                <w:szCs w:val="36"/>
                <w:highlight w:val="none"/>
                <w14:textFill>
                  <w14:solidFill>
                    <w14:schemeClr w14:val="tx1"/>
                  </w14:solidFill>
                </w14:textFill>
              </w:rPr>
            </w:pPr>
          </w:p>
        </w:tc>
      </w:tr>
      <w:tr w14:paraId="4A88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0CC4A83F">
            <w:pPr>
              <w:jc w:val="cente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vAlign w:val="center"/>
          </w:tcPr>
          <w:p w14:paraId="168474E6">
            <w:pPr>
              <w:jc w:val="cente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vAlign w:val="center"/>
          </w:tcPr>
          <w:p w14:paraId="6D7A999F">
            <w:pPr>
              <w:jc w:val="cente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vAlign w:val="center"/>
          </w:tcPr>
          <w:p w14:paraId="117D2C19">
            <w:pPr>
              <w:jc w:val="cente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vAlign w:val="center"/>
          </w:tcPr>
          <w:p w14:paraId="01F05EE9">
            <w:pPr>
              <w:jc w:val="center"/>
              <w:rPr>
                <w:color w:val="000000" w:themeColor="text1"/>
                <w:sz w:val="36"/>
                <w:szCs w:val="36"/>
                <w:highlight w:val="none"/>
                <w14:textFill>
                  <w14:solidFill>
                    <w14:schemeClr w14:val="tx1"/>
                  </w14:solidFill>
                </w14:textFill>
              </w:rPr>
            </w:pPr>
          </w:p>
        </w:tc>
      </w:tr>
    </w:tbl>
    <w:p w14:paraId="041AE618">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评委签名：</w:t>
      </w:r>
    </w:p>
    <w:p w14:paraId="223D362A">
      <w:pPr>
        <w:spacing w:line="360" w:lineRule="auto"/>
        <w:jc w:val="center"/>
        <w:rPr>
          <w:rFonts w:ascii="仿宋_GB2312" w:hAnsi="宋体" w:eastAsia="仿宋_GB2312"/>
          <w:color w:val="000000" w:themeColor="text1"/>
          <w:szCs w:val="21"/>
          <w:highlight w:val="none"/>
          <w14:textFill>
            <w14:solidFill>
              <w14:schemeClr w14:val="tx1"/>
            </w14:solidFill>
          </w14:textFill>
        </w:rPr>
      </w:pPr>
    </w:p>
    <w:p w14:paraId="3810FC61">
      <w:pPr>
        <w:pStyle w:val="3"/>
        <w:rPr>
          <w:color w:val="000000" w:themeColor="text1"/>
          <w:highlight w:val="none"/>
          <w14:textFill>
            <w14:solidFill>
              <w14:schemeClr w14:val="tx1"/>
            </w14:solidFill>
          </w14:textFill>
        </w:rPr>
        <w:sectPr>
          <w:pgSz w:w="16838" w:h="11906" w:orient="landscape"/>
          <w:pgMar w:top="1417" w:right="1417" w:bottom="1417" w:left="1417" w:header="851" w:footer="680" w:gutter="0"/>
          <w:cols w:space="720" w:num="1"/>
          <w:docGrid w:type="lines" w:linePitch="312" w:charSpace="0"/>
        </w:sectPr>
      </w:pPr>
      <w:bookmarkStart w:id="42" w:name="_Toc2272566"/>
    </w:p>
    <w:p w14:paraId="46BC934B">
      <w:pPr>
        <w:pStyle w:val="3"/>
        <w:rPr>
          <w:color w:val="000000" w:themeColor="text1"/>
          <w:highlight w:val="none"/>
          <w14:textFill>
            <w14:solidFill>
              <w14:schemeClr w14:val="tx1"/>
            </w14:solidFill>
          </w14:textFill>
        </w:rPr>
      </w:pPr>
      <w:bookmarkStart w:id="43" w:name="_Toc27321"/>
      <w:bookmarkStart w:id="44" w:name="_Toc29196"/>
      <w:r>
        <w:rPr>
          <w:rFonts w:hint="eastAsia"/>
          <w:color w:val="000000" w:themeColor="text1"/>
          <w:highlight w:val="none"/>
          <w14:textFill>
            <w14:solidFill>
              <w14:schemeClr w14:val="tx1"/>
            </w14:solidFill>
          </w14:textFill>
        </w:rPr>
        <w:t>第三章  合同条款</w:t>
      </w:r>
      <w:bookmarkEnd w:id="42"/>
      <w:bookmarkEnd w:id="43"/>
      <w:bookmarkEnd w:id="44"/>
    </w:p>
    <w:p w14:paraId="64F9F3FB">
      <w:pPr>
        <w:jc w:val="center"/>
        <w:rPr>
          <w:rFonts w:asci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另册</w:t>
      </w:r>
    </w:p>
    <w:p w14:paraId="5FD34D16">
      <w:pPr>
        <w:rPr>
          <w:color w:val="000000" w:themeColor="text1"/>
          <w:sz w:val="24"/>
          <w:szCs w:val="24"/>
          <w:highlight w:val="none"/>
          <w14:textFill>
            <w14:solidFill>
              <w14:schemeClr w14:val="tx1"/>
            </w14:solidFill>
          </w14:textFill>
        </w:rPr>
      </w:pPr>
    </w:p>
    <w:p w14:paraId="361C6CD7">
      <w:pPr>
        <w:pStyle w:val="34"/>
        <w:spacing w:line="360" w:lineRule="auto"/>
        <w:ind w:firstLine="0"/>
        <w:rPr>
          <w:color w:val="000000" w:themeColor="text1"/>
          <w:sz w:val="24"/>
          <w:szCs w:val="24"/>
          <w:highlight w:val="none"/>
          <w14:textFill>
            <w14:solidFill>
              <w14:schemeClr w14:val="tx1"/>
            </w14:solidFill>
          </w14:textFill>
        </w:rPr>
      </w:pPr>
    </w:p>
    <w:p w14:paraId="738B95B6">
      <w:pPr>
        <w:pStyle w:val="18"/>
        <w:spacing w:line="360" w:lineRule="auto"/>
        <w:rPr>
          <w:color w:val="000000" w:themeColor="text1"/>
          <w:sz w:val="24"/>
          <w:szCs w:val="24"/>
          <w:highlight w:val="none"/>
          <w14:textFill>
            <w14:solidFill>
              <w14:schemeClr w14:val="tx1"/>
            </w14:solidFill>
          </w14:textFill>
        </w:rPr>
      </w:pPr>
    </w:p>
    <w:p w14:paraId="38EA4439">
      <w:pPr>
        <w:pStyle w:val="18"/>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6A1A55CC">
      <w:pPr>
        <w:pStyle w:val="3"/>
        <w:rPr>
          <w:color w:val="000000" w:themeColor="text1"/>
          <w:highlight w:val="none"/>
          <w14:textFill>
            <w14:solidFill>
              <w14:schemeClr w14:val="tx1"/>
            </w14:solidFill>
          </w14:textFill>
        </w:rPr>
      </w:pPr>
      <w:bookmarkStart w:id="45" w:name="_Toc13758"/>
      <w:bookmarkStart w:id="46" w:name="_Toc32687"/>
      <w:bookmarkStart w:id="47" w:name="_Toc2272567"/>
      <w:r>
        <w:rPr>
          <w:rFonts w:hint="eastAsia"/>
          <w:color w:val="000000" w:themeColor="text1"/>
          <w:highlight w:val="none"/>
          <w14:textFill>
            <w14:solidFill>
              <w14:schemeClr w14:val="tx1"/>
            </w14:solidFill>
          </w14:textFill>
        </w:rPr>
        <w:t>第四章  投标文件格式</w:t>
      </w:r>
      <w:bookmarkEnd w:id="45"/>
      <w:bookmarkEnd w:id="46"/>
      <w:bookmarkEnd w:id="47"/>
    </w:p>
    <w:p w14:paraId="40E7383B">
      <w:pPr>
        <w:rPr>
          <w:rFonts w:hint="eastAsia" w:ascii="宋体" w:hAnsi="宋体" w:eastAsia="宋体" w:cs="宋体"/>
          <w:b/>
          <w:bCs/>
          <w:color w:val="000000" w:themeColor="text1"/>
          <w:sz w:val="22"/>
          <w:highlight w:val="none"/>
          <w14:textFill>
            <w14:solidFill>
              <w14:schemeClr w14:val="tx1"/>
            </w14:solidFill>
          </w14:textFill>
        </w:rPr>
      </w:pPr>
      <w:bookmarkStart w:id="48" w:name="_Toc464131230"/>
      <w:bookmarkStart w:id="49" w:name="_Toc515454599"/>
      <w:bookmarkStart w:id="50" w:name="_Toc449308426"/>
      <w:bookmarkStart w:id="51" w:name="_Toc352623427"/>
      <w:bookmarkStart w:id="52" w:name="_Toc358370584"/>
      <w:bookmarkStart w:id="53" w:name="_Toc11987"/>
      <w:bookmarkStart w:id="54" w:name="_Toc369536776"/>
      <w:bookmarkStart w:id="55" w:name="_Toc395261105"/>
      <w:bookmarkStart w:id="56" w:name="_Toc163337626"/>
      <w:bookmarkStart w:id="57" w:name="_Toc239216037"/>
      <w:bookmarkStart w:id="58" w:name="_Toc239311752"/>
      <w:bookmarkStart w:id="59" w:name="_Toc23443"/>
      <w:bookmarkStart w:id="60" w:name="_Toc318924501"/>
      <w:bookmarkStart w:id="61" w:name="_Toc226209009"/>
      <w:bookmarkStart w:id="62" w:name="_Toc352240529"/>
      <w:bookmarkStart w:id="63" w:name="_Toc337720097"/>
      <w:bookmarkStart w:id="64" w:name="_Toc2272568"/>
      <w:r>
        <w:rPr>
          <w:rFonts w:hint="eastAsia" w:ascii="宋体" w:hAnsi="宋体" w:eastAsia="宋体" w:cs="宋体"/>
          <w:b/>
          <w:bCs/>
          <w:color w:val="000000" w:themeColor="text1"/>
          <w:sz w:val="22"/>
          <w:highlight w:val="none"/>
          <w14:textFill>
            <w14:solidFill>
              <w14:schemeClr w14:val="tx1"/>
            </w14:solidFill>
          </w14:textFill>
        </w:rPr>
        <w:t>第一部分、技术投标文件（含资格审查文件）</w:t>
      </w:r>
    </w:p>
    <w:p w14:paraId="6866D2EE">
      <w:pPr>
        <w:pStyle w:val="135"/>
        <w:spacing w:beforeLines="0" w:after="120" w:line="400" w:lineRule="exact"/>
        <w:jc w:val="both"/>
        <w:rPr>
          <w:rFonts w:hint="eastAsia" w:ascii="宋体" w:hAnsi="宋体" w:eastAsia="宋体" w:cs="宋体"/>
          <w:b w:val="0"/>
          <w:color w:val="000000" w:themeColor="text1"/>
          <w:sz w:val="21"/>
          <w:szCs w:val="21"/>
          <w:highlight w:val="none"/>
          <w14:textFill>
            <w14:solidFill>
              <w14:schemeClr w14:val="tx1"/>
            </w14:solidFill>
          </w14:textFill>
        </w:rPr>
      </w:pPr>
      <w:bookmarkStart w:id="65" w:name="_Toc16352"/>
      <w:r>
        <w:rPr>
          <w:rFonts w:hint="eastAsia" w:ascii="宋体" w:hAnsi="宋体" w:eastAsia="宋体" w:cs="宋体"/>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color w:val="000000" w:themeColor="text1"/>
          <w:sz w:val="21"/>
          <w:szCs w:val="21"/>
          <w:highlight w:val="none"/>
          <w14:textFill>
            <w14:solidFill>
              <w14:schemeClr w14:val="tx1"/>
            </w14:solidFill>
          </w14:textFill>
        </w:rPr>
        <w:t>格式一：</w:t>
      </w:r>
      <w:r>
        <w:rPr>
          <w:rFonts w:hint="eastAsia" w:ascii="宋体" w:hAnsi="宋体" w:eastAsia="宋体" w:cs="宋体"/>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color w:val="000000" w:themeColor="text1"/>
          <w:sz w:val="21"/>
          <w:szCs w:val="21"/>
          <w:highlight w:val="none"/>
          <w14:textFill>
            <w14:solidFill>
              <w14:schemeClr w14:val="tx1"/>
            </w14:solidFill>
          </w14:textFill>
        </w:rPr>
        <w:t>封面</w:t>
      </w:r>
      <w:bookmarkEnd w:id="65"/>
    </w:p>
    <w:p w14:paraId="323FCB2D">
      <w:pPr>
        <w:pStyle w:val="136"/>
        <w:spacing w:line="400" w:lineRule="exact"/>
        <w:ind w:firstLine="498"/>
        <w:rPr>
          <w:rFonts w:hint="eastAsia" w:ascii="宋体" w:hAnsi="宋体" w:eastAsia="宋体" w:cs="宋体"/>
          <w:b w:val="0"/>
          <w:color w:val="000000" w:themeColor="text1"/>
          <w:sz w:val="21"/>
          <w:szCs w:val="21"/>
          <w:highlight w:val="none"/>
          <w:u w:val="single"/>
          <w14:textFill>
            <w14:solidFill>
              <w14:schemeClr w14:val="tx1"/>
            </w14:solidFill>
          </w14:textFill>
        </w:rPr>
      </w:pPr>
    </w:p>
    <w:p w14:paraId="51E8D574">
      <w:pPr>
        <w:pStyle w:val="136"/>
        <w:spacing w:line="400" w:lineRule="exact"/>
        <w:ind w:firstLine="498"/>
        <w:rPr>
          <w:rFonts w:hint="eastAsia" w:ascii="宋体" w:hAnsi="宋体" w:eastAsia="宋体" w:cs="宋体"/>
          <w:b w:val="0"/>
          <w:color w:val="000000" w:themeColor="text1"/>
          <w:sz w:val="21"/>
          <w:szCs w:val="21"/>
          <w:highlight w:val="none"/>
          <w:u w:val="single"/>
          <w14:textFill>
            <w14:solidFill>
              <w14:schemeClr w14:val="tx1"/>
            </w14:solidFill>
          </w14:textFill>
        </w:rPr>
      </w:pPr>
    </w:p>
    <w:p w14:paraId="6363C2B8">
      <w:pPr>
        <w:pStyle w:val="136"/>
        <w:spacing w:line="400" w:lineRule="exact"/>
        <w:ind w:firstLine="498"/>
        <w:rPr>
          <w:rFonts w:hint="eastAsia" w:ascii="宋体" w:hAnsi="宋体" w:eastAsia="宋体" w:cs="宋体"/>
          <w:b w:val="0"/>
          <w:color w:val="000000" w:themeColor="text1"/>
          <w:sz w:val="21"/>
          <w:szCs w:val="21"/>
          <w:highlight w:val="none"/>
          <w:u w:val="single"/>
          <w14:textFill>
            <w14:solidFill>
              <w14:schemeClr w14:val="tx1"/>
            </w14:solidFill>
          </w14:textFill>
        </w:rPr>
      </w:pPr>
    </w:p>
    <w:p w14:paraId="6E6601A4">
      <w:pPr>
        <w:pStyle w:val="136"/>
        <w:spacing w:line="400" w:lineRule="exact"/>
        <w:jc w:val="both"/>
        <w:rPr>
          <w:rFonts w:hint="eastAsia" w:ascii="宋体" w:hAnsi="宋体" w:eastAsia="宋体" w:cs="宋体"/>
          <w:b w:val="0"/>
          <w:color w:val="000000" w:themeColor="text1"/>
          <w:sz w:val="21"/>
          <w:szCs w:val="21"/>
          <w:highlight w:val="none"/>
          <w:u w:val="single"/>
          <w14:textFill>
            <w14:solidFill>
              <w14:schemeClr w14:val="tx1"/>
            </w14:solidFill>
          </w14:textFill>
        </w:rPr>
      </w:pPr>
    </w:p>
    <w:p w14:paraId="2728BFF3">
      <w:pPr>
        <w:pStyle w:val="136"/>
        <w:spacing w:line="480" w:lineRule="exact"/>
        <w:ind w:firstLine="499"/>
        <w:rPr>
          <w:rFonts w:hint="eastAsia" w:ascii="宋体" w:hAnsi="宋体" w:eastAsia="宋体" w:cs="宋体"/>
          <w:b w:val="0"/>
          <w:color w:val="000000" w:themeColor="text1"/>
          <w:sz w:val="21"/>
          <w:szCs w:val="21"/>
          <w:highlight w:val="none"/>
          <w:u w:val="single"/>
          <w14:textFill>
            <w14:solidFill>
              <w14:schemeClr w14:val="tx1"/>
            </w14:solidFill>
          </w14:textFill>
        </w:rPr>
      </w:pP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[工程名称] </w:t>
      </w:r>
    </w:p>
    <w:p w14:paraId="0A777AB8">
      <w:pPr>
        <w:pStyle w:val="132"/>
        <w:spacing w:line="400" w:lineRule="exact"/>
        <w:ind w:firstLine="436"/>
        <w:rPr>
          <w:rFonts w:hint="eastAsia" w:ascii="宋体" w:hAnsi="宋体" w:eastAsia="宋体" w:cs="宋体"/>
          <w:color w:val="000000" w:themeColor="text1"/>
          <w:sz w:val="21"/>
          <w:szCs w:val="21"/>
          <w:highlight w:val="none"/>
          <w14:textFill>
            <w14:solidFill>
              <w14:schemeClr w14:val="tx1"/>
            </w14:solidFill>
          </w14:textFill>
        </w:rPr>
      </w:pPr>
    </w:p>
    <w:p w14:paraId="779AE0B6">
      <w:pPr>
        <w:pStyle w:val="137"/>
        <w:spacing w:line="400" w:lineRule="exact"/>
        <w:rPr>
          <w:rFonts w:hint="eastAsia" w:ascii="宋体" w:hAnsi="宋体" w:eastAsia="宋体" w:cs="宋体"/>
          <w:b w:val="0"/>
          <w:color w:val="000000" w:themeColor="text1"/>
          <w:sz w:val="21"/>
          <w:szCs w:val="21"/>
          <w:highlight w:val="none"/>
          <w14:textFill>
            <w14:solidFill>
              <w14:schemeClr w14:val="tx1"/>
            </w14:solidFill>
          </w14:textFill>
        </w:rPr>
      </w:pPr>
    </w:p>
    <w:p w14:paraId="725463B0">
      <w:pPr>
        <w:pStyle w:val="132"/>
        <w:ind w:firstLine="438"/>
        <w:rPr>
          <w:rFonts w:hint="eastAsia" w:ascii="宋体" w:hAnsi="宋体" w:eastAsia="宋体" w:cs="宋体"/>
          <w:b/>
          <w:color w:val="000000" w:themeColor="text1"/>
          <w:sz w:val="21"/>
          <w:szCs w:val="21"/>
          <w:highlight w:val="none"/>
          <w14:textFill>
            <w14:solidFill>
              <w14:schemeClr w14:val="tx1"/>
            </w14:solidFill>
          </w14:textFill>
        </w:rPr>
      </w:pPr>
    </w:p>
    <w:p w14:paraId="700D5A82">
      <w:pPr>
        <w:pStyle w:val="132"/>
        <w:ind w:firstLine="438"/>
        <w:rPr>
          <w:rFonts w:hint="eastAsia" w:ascii="宋体" w:hAnsi="宋体" w:eastAsia="宋体" w:cs="宋体"/>
          <w:b/>
          <w:color w:val="000000" w:themeColor="text1"/>
          <w:sz w:val="21"/>
          <w:szCs w:val="21"/>
          <w:highlight w:val="none"/>
          <w14:textFill>
            <w14:solidFill>
              <w14:schemeClr w14:val="tx1"/>
            </w14:solidFill>
          </w14:textFill>
        </w:rPr>
      </w:pPr>
    </w:p>
    <w:p w14:paraId="720E7192">
      <w:pPr>
        <w:pStyle w:val="137"/>
        <w:spacing w:line="400" w:lineRule="exact"/>
        <w:rPr>
          <w:rFonts w:hint="eastAsia" w:ascii="宋体" w:hAnsi="宋体" w:eastAsia="宋体" w:cs="宋体"/>
          <w:b w:val="0"/>
          <w:color w:val="000000" w:themeColor="text1"/>
          <w:sz w:val="21"/>
          <w:szCs w:val="21"/>
          <w:highlight w:val="none"/>
          <w14:textFill>
            <w14:solidFill>
              <w14:schemeClr w14:val="tx1"/>
            </w14:solidFill>
          </w14:textFill>
        </w:rPr>
      </w:pPr>
    </w:p>
    <w:p w14:paraId="7BC1D13F">
      <w:pPr>
        <w:pStyle w:val="137"/>
        <w:spacing w:line="400" w:lineRule="exact"/>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投标文件</w:t>
      </w:r>
    </w:p>
    <w:p w14:paraId="5BB6FC7F">
      <w:pPr>
        <w:pStyle w:val="136"/>
        <w:spacing w:line="400" w:lineRule="exact"/>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第一部分  【技术标投标文件（含资格审查文件）】</w:t>
      </w:r>
    </w:p>
    <w:p w14:paraId="72DB1D07">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2DFC0F75">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119F804B">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37F30EAC">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4853DC60">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62C59B65">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2B6CBE49">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2E0B5E95">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41A373C0">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2F55720D">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5BD204AF">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2A244C30">
      <w:pPr>
        <w:pStyle w:val="132"/>
        <w:spacing w:line="400" w:lineRule="exact"/>
        <w:ind w:firstLine="436"/>
        <w:rPr>
          <w:rFonts w:hint="eastAsia" w:ascii="宋体" w:hAnsi="宋体" w:eastAsia="宋体" w:cs="宋体"/>
          <w:color w:val="000000" w:themeColor="text1"/>
          <w:sz w:val="21"/>
          <w:szCs w:val="21"/>
          <w:highlight w:val="none"/>
          <w14:textFill>
            <w14:solidFill>
              <w14:schemeClr w14:val="tx1"/>
            </w14:solidFill>
          </w14:textFill>
        </w:rPr>
      </w:pPr>
    </w:p>
    <w:p w14:paraId="694709B4">
      <w:pPr>
        <w:pStyle w:val="138"/>
        <w:spacing w:line="400" w:lineRule="exact"/>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B4BB8CE">
      <w:pPr>
        <w:pStyle w:val="138"/>
        <w:spacing w:line="400" w:lineRule="exact"/>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p>
    <w:p w14:paraId="7D534C97">
      <w:pPr>
        <w:pStyle w:val="135"/>
        <w:spacing w:beforeLines="0" w:after="120" w:line="400" w:lineRule="exact"/>
        <w:outlineLvl w:val="9"/>
        <w:rPr>
          <w:rFonts w:hint="eastAsia" w:ascii="宋体" w:hAnsi="宋体" w:eastAsia="宋体" w:cs="宋体"/>
          <w:b w:val="0"/>
          <w:color w:val="000000" w:themeColor="text1"/>
          <w:sz w:val="21"/>
          <w:szCs w:val="21"/>
          <w:highlight w:val="none"/>
          <w14:textFill>
            <w14:solidFill>
              <w14:schemeClr w14:val="tx1"/>
            </w14:solidFill>
          </w14:textFill>
        </w:rPr>
      </w:pPr>
    </w:p>
    <w:p w14:paraId="23B0F9E7">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7327C152">
      <w:pPr>
        <w:autoSpaceDE w:val="0"/>
        <w:autoSpaceDN w:val="0"/>
        <w:adjustRightInd w:val="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b/>
          <w:bCs/>
          <w:color w:val="000000" w:themeColor="text1"/>
          <w:kern w:val="0"/>
          <w:szCs w:val="21"/>
          <w:highlight w:val="none"/>
          <w14:textFill>
            <w14:solidFill>
              <w14:schemeClr w14:val="tx1"/>
            </w14:solidFill>
          </w14:textFill>
        </w:rPr>
        <w:t>格式二</w:t>
      </w:r>
    </w:p>
    <w:p w14:paraId="249D4DEE">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（适用于技术标与经济标同时开启）</w:t>
      </w:r>
    </w:p>
    <w:p w14:paraId="4D361AA8">
      <w:pPr>
        <w:autoSpaceDE w:val="0"/>
        <w:autoSpaceDN w:val="0"/>
        <w:adjustRightInd w:val="0"/>
        <w:ind w:left="-540" w:leftChars="-257" w:firstLine="542" w:firstLineChars="257"/>
        <w:jc w:val="center"/>
        <w:rPr>
          <w:rFonts w:hint="eastAsia" w:ascii="宋体" w:hAnsi="宋体" w:eastAsia="宋体" w:cs="宋体"/>
          <w:b/>
          <w:bCs/>
          <w:color w:val="000000" w:themeColor="text1"/>
          <w:szCs w:val="21"/>
          <w:highlight w:val="none"/>
          <w:lang w:val="zh-CN"/>
          <w14:textFill>
            <w14:solidFill>
              <w14:schemeClr w14:val="tx1"/>
            </w14:solidFill>
          </w14:textFill>
        </w:rPr>
      </w:pPr>
    </w:p>
    <w:p w14:paraId="275018C7">
      <w:pPr>
        <w:autoSpaceDE w:val="0"/>
        <w:autoSpaceDN w:val="0"/>
        <w:adjustRightInd w:val="0"/>
        <w:ind w:left="-540" w:leftChars="-257" w:firstLine="542" w:firstLineChars="257"/>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广州建设工程施工招标投标书</w:t>
      </w:r>
    </w:p>
    <w:tbl>
      <w:tblPr>
        <w:tblStyle w:val="36"/>
        <w:tblpPr w:leftFromText="180" w:rightFromText="180" w:vertAnchor="text" w:horzAnchor="margin" w:tblpXSpec="center" w:tblpY="275"/>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2"/>
        <w:gridCol w:w="3993"/>
      </w:tblGrid>
      <w:tr w14:paraId="7C9B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619276E1">
            <w:pPr>
              <w:autoSpaceDE w:val="0"/>
              <w:autoSpaceDN w:val="0"/>
              <w:adjustRightInd w:val="0"/>
              <w:jc w:val="center"/>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工程名称</w:t>
            </w:r>
          </w:p>
        </w:tc>
        <w:tc>
          <w:tcPr>
            <w:tcW w:w="3993" w:type="dxa"/>
            <w:tcBorders>
              <w:top w:val="single" w:color="auto" w:sz="4" w:space="0"/>
              <w:left w:val="single" w:color="auto" w:sz="4" w:space="0"/>
              <w:bottom w:val="single" w:color="auto" w:sz="4" w:space="0"/>
              <w:right w:val="single" w:color="auto" w:sz="4" w:space="0"/>
            </w:tcBorders>
            <w:noWrap w:val="0"/>
            <w:vAlign w:val="top"/>
          </w:tcPr>
          <w:p w14:paraId="1E7F8B3C">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p>
        </w:tc>
      </w:tr>
      <w:tr w14:paraId="67AE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1B51DD8E">
            <w:pPr>
              <w:autoSpaceDE w:val="0"/>
              <w:autoSpaceDN w:val="0"/>
              <w:adjustRightInd w:val="0"/>
              <w:jc w:val="center"/>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投标总报价（元）</w:t>
            </w:r>
          </w:p>
        </w:tc>
        <w:tc>
          <w:tcPr>
            <w:tcW w:w="3993" w:type="dxa"/>
            <w:tcBorders>
              <w:top w:val="single" w:color="auto" w:sz="4" w:space="0"/>
              <w:left w:val="single" w:color="auto" w:sz="4" w:space="0"/>
              <w:bottom w:val="single" w:color="auto" w:sz="4" w:space="0"/>
              <w:right w:val="single" w:color="auto" w:sz="4" w:space="0"/>
            </w:tcBorders>
            <w:noWrap w:val="0"/>
            <w:vAlign w:val="center"/>
          </w:tcPr>
          <w:p w14:paraId="1158519E">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p>
        </w:tc>
      </w:tr>
      <w:tr w14:paraId="457C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4F2A5AAC">
            <w:pPr>
              <w:autoSpaceDE w:val="0"/>
              <w:autoSpaceDN w:val="0"/>
              <w:adjustRightInd w:val="0"/>
              <w:jc w:val="center"/>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其中：</w:t>
            </w:r>
            <w:r>
              <w:rPr>
                <w:rFonts w:hint="eastAsia" w:ascii="宋体" w:hAnsi="宋体" w:eastAsia="宋体" w:cs="宋体"/>
                <w:b/>
                <w:bCs/>
                <w:color w:val="000000" w:themeColor="text1"/>
                <w:szCs w:val="21"/>
                <w:highlight w:val="none"/>
                <w:lang w:val="zh-CN"/>
                <w14:textFill>
                  <w14:solidFill>
                    <w14:schemeClr w14:val="tx1"/>
                  </w14:solidFill>
                </w14:textFill>
              </w:rPr>
              <w:t>人工费</w:t>
            </w:r>
            <w:r>
              <w:rPr>
                <w:rFonts w:hint="eastAsia" w:ascii="宋体" w:hAnsi="宋体" w:eastAsia="宋体" w:cs="宋体"/>
                <w:b/>
                <w:color w:val="000000" w:themeColor="text1"/>
                <w:szCs w:val="21"/>
                <w:highlight w:val="none"/>
                <w:lang w:val="zh-CN"/>
                <w14:textFill>
                  <w14:solidFill>
                    <w14:schemeClr w14:val="tx1"/>
                  </w14:solidFill>
                </w14:textFill>
              </w:rPr>
              <w:t>（元）</w:t>
            </w:r>
          </w:p>
        </w:tc>
        <w:tc>
          <w:tcPr>
            <w:tcW w:w="3993" w:type="dxa"/>
            <w:tcBorders>
              <w:top w:val="single" w:color="auto" w:sz="4" w:space="0"/>
              <w:left w:val="single" w:color="auto" w:sz="4" w:space="0"/>
              <w:bottom w:val="single" w:color="auto" w:sz="4" w:space="0"/>
              <w:right w:val="single" w:color="auto" w:sz="4" w:space="0"/>
            </w:tcBorders>
            <w:noWrap w:val="0"/>
            <w:vAlign w:val="center"/>
          </w:tcPr>
          <w:p w14:paraId="1D3FEE53">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p>
        </w:tc>
      </w:tr>
      <w:tr w14:paraId="7AEE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574CBB56">
            <w:pPr>
              <w:widowControl/>
              <w:jc w:val="center"/>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其中：</w:t>
            </w:r>
            <w:r>
              <w:rPr>
                <w:rFonts w:hint="eastAsia" w:ascii="宋体" w:hAnsi="宋体" w:eastAsia="宋体" w:cs="宋体"/>
                <w:b/>
                <w:color w:val="000000" w:themeColor="text1"/>
                <w:szCs w:val="21"/>
                <w:highlight w:val="none"/>
                <w:lang w:val="zh-CN"/>
                <w14:textFill>
                  <w14:solidFill>
                    <w14:schemeClr w14:val="tx1"/>
                  </w14:solidFill>
                </w14:textFill>
              </w:rPr>
              <w:t>绿色施工安全防护措施费（元）</w:t>
            </w:r>
          </w:p>
        </w:tc>
        <w:tc>
          <w:tcPr>
            <w:tcW w:w="3993" w:type="dxa"/>
            <w:tcBorders>
              <w:top w:val="single" w:color="auto" w:sz="4" w:space="0"/>
              <w:left w:val="single" w:color="auto" w:sz="4" w:space="0"/>
              <w:bottom w:val="single" w:color="auto" w:sz="4" w:space="0"/>
              <w:right w:val="single" w:color="auto" w:sz="4" w:space="0"/>
            </w:tcBorders>
            <w:noWrap w:val="0"/>
            <w:vAlign w:val="center"/>
          </w:tcPr>
          <w:p w14:paraId="7CC4F469">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p>
        </w:tc>
      </w:tr>
      <w:tr w14:paraId="4C8E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77D74F92">
            <w:pPr>
              <w:widowControl/>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其中：暂列金额（元）</w:t>
            </w:r>
          </w:p>
        </w:tc>
        <w:tc>
          <w:tcPr>
            <w:tcW w:w="3993" w:type="dxa"/>
            <w:tcBorders>
              <w:top w:val="single" w:color="auto" w:sz="4" w:space="0"/>
              <w:left w:val="single" w:color="auto" w:sz="4" w:space="0"/>
              <w:bottom w:val="single" w:color="auto" w:sz="4" w:space="0"/>
              <w:right w:val="single" w:color="auto" w:sz="4" w:space="0"/>
            </w:tcBorders>
            <w:noWrap w:val="0"/>
            <w:vAlign w:val="center"/>
          </w:tcPr>
          <w:p w14:paraId="0525FE81">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p>
        </w:tc>
      </w:tr>
      <w:tr w14:paraId="7C8C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1A626AA4">
            <w:pPr>
              <w:jc w:val="center"/>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投标总工期</w:t>
            </w:r>
          </w:p>
        </w:tc>
        <w:tc>
          <w:tcPr>
            <w:tcW w:w="3993" w:type="dxa"/>
            <w:tcBorders>
              <w:top w:val="single" w:color="auto" w:sz="4" w:space="0"/>
              <w:left w:val="single" w:color="auto" w:sz="4" w:space="0"/>
              <w:bottom w:val="single" w:color="auto" w:sz="4" w:space="0"/>
              <w:right w:val="single" w:color="auto" w:sz="4" w:space="0"/>
            </w:tcBorders>
            <w:noWrap w:val="0"/>
            <w:vAlign w:val="top"/>
          </w:tcPr>
          <w:p w14:paraId="5AE3A207">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p>
        </w:tc>
      </w:tr>
      <w:tr w14:paraId="0468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2C6295AE">
            <w:pPr>
              <w:jc w:val="center"/>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u w:val="single"/>
                <w14:textFill>
                  <w14:solidFill>
                    <w14:schemeClr w14:val="tx1"/>
                  </w14:solidFill>
                </w14:textFill>
              </w:rPr>
              <w:t>项目负责人</w:t>
            </w:r>
          </w:p>
        </w:tc>
        <w:tc>
          <w:tcPr>
            <w:tcW w:w="3993" w:type="dxa"/>
            <w:tcBorders>
              <w:top w:val="single" w:color="auto" w:sz="4" w:space="0"/>
              <w:left w:val="single" w:color="auto" w:sz="4" w:space="0"/>
              <w:bottom w:val="single" w:color="auto" w:sz="4" w:space="0"/>
              <w:right w:val="single" w:color="auto" w:sz="4" w:space="0"/>
            </w:tcBorders>
            <w:noWrap w:val="0"/>
            <w:vAlign w:val="top"/>
          </w:tcPr>
          <w:p w14:paraId="6F3CFEB2">
            <w:pPr>
              <w:autoSpaceDE w:val="0"/>
              <w:autoSpaceDN w:val="0"/>
              <w:adjustRightInd w:val="0"/>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姓名：</w:t>
            </w:r>
          </w:p>
          <w:p w14:paraId="2F9C9D95">
            <w:pPr>
              <w:pStyle w:val="18"/>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证书编号：</w:t>
            </w:r>
          </w:p>
        </w:tc>
      </w:tr>
      <w:tr w14:paraId="46E4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5E6B8905">
            <w:pPr>
              <w:jc w:val="center"/>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u w:val="single"/>
                <w14:textFill>
                  <w14:solidFill>
                    <w14:schemeClr w14:val="tx1"/>
                  </w14:solidFill>
                </w14:textFill>
              </w:rPr>
              <w:t>专职安全员</w:t>
            </w:r>
          </w:p>
        </w:tc>
        <w:tc>
          <w:tcPr>
            <w:tcW w:w="3993" w:type="dxa"/>
            <w:tcBorders>
              <w:top w:val="single" w:color="auto" w:sz="4" w:space="0"/>
              <w:left w:val="single" w:color="auto" w:sz="4" w:space="0"/>
              <w:bottom w:val="single" w:color="auto" w:sz="4" w:space="0"/>
              <w:right w:val="single" w:color="auto" w:sz="4" w:space="0"/>
            </w:tcBorders>
            <w:noWrap w:val="0"/>
            <w:vAlign w:val="top"/>
          </w:tcPr>
          <w:p w14:paraId="74B5E380">
            <w:pPr>
              <w:autoSpaceDE w:val="0"/>
              <w:autoSpaceDN w:val="0"/>
              <w:adjustRightInd w:val="0"/>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姓名：</w:t>
            </w:r>
          </w:p>
          <w:p w14:paraId="58FEC5CE">
            <w:pPr>
              <w:autoSpaceDE w:val="0"/>
              <w:autoSpaceDN w:val="0"/>
              <w:adjustRightInd w:val="0"/>
              <w:rPr>
                <w:rFonts w:hint="eastAsia"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证书编号：</w:t>
            </w:r>
          </w:p>
        </w:tc>
      </w:tr>
      <w:tr w14:paraId="2BC6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3976AECD">
            <w:pPr>
              <w:jc w:val="center"/>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u w:val="single"/>
                <w14:textFill>
                  <w14:solidFill>
                    <w14:schemeClr w14:val="tx1"/>
                  </w14:solidFill>
                </w14:textFill>
              </w:rPr>
              <w:t>技术负责人</w:t>
            </w:r>
          </w:p>
        </w:tc>
        <w:tc>
          <w:tcPr>
            <w:tcW w:w="3993" w:type="dxa"/>
            <w:tcBorders>
              <w:top w:val="single" w:color="auto" w:sz="4" w:space="0"/>
              <w:left w:val="single" w:color="auto" w:sz="4" w:space="0"/>
              <w:bottom w:val="single" w:color="auto" w:sz="4" w:space="0"/>
              <w:right w:val="single" w:color="auto" w:sz="4" w:space="0"/>
            </w:tcBorders>
            <w:noWrap w:val="0"/>
            <w:vAlign w:val="top"/>
          </w:tcPr>
          <w:p w14:paraId="7B0CFE90">
            <w:pPr>
              <w:autoSpaceDE w:val="0"/>
              <w:autoSpaceDN w:val="0"/>
              <w:adjustRightInd w:val="0"/>
              <w:rPr>
                <w:rFonts w:hint="eastAsia"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姓名：</w:t>
            </w:r>
          </w:p>
        </w:tc>
      </w:tr>
      <w:tr w14:paraId="040E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509A5CD0">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工程质量标准</w:t>
            </w:r>
          </w:p>
        </w:tc>
        <w:tc>
          <w:tcPr>
            <w:tcW w:w="3993" w:type="dxa"/>
            <w:tcBorders>
              <w:top w:val="single" w:color="auto" w:sz="4" w:space="0"/>
              <w:left w:val="single" w:color="auto" w:sz="4" w:space="0"/>
              <w:bottom w:val="single" w:color="auto" w:sz="4" w:space="0"/>
              <w:right w:val="single" w:color="auto" w:sz="4" w:space="0"/>
            </w:tcBorders>
            <w:noWrap w:val="0"/>
            <w:vAlign w:val="top"/>
          </w:tcPr>
          <w:p w14:paraId="715D0974">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p>
        </w:tc>
      </w:tr>
      <w:tr w14:paraId="3259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5554F8F9">
            <w:pPr>
              <w:jc w:val="center"/>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保修期限</w:t>
            </w:r>
          </w:p>
        </w:tc>
        <w:tc>
          <w:tcPr>
            <w:tcW w:w="3993" w:type="dxa"/>
            <w:tcBorders>
              <w:top w:val="single" w:color="auto" w:sz="4" w:space="0"/>
              <w:left w:val="single" w:color="auto" w:sz="4" w:space="0"/>
              <w:bottom w:val="single" w:color="auto" w:sz="4" w:space="0"/>
              <w:right w:val="single" w:color="auto" w:sz="4" w:space="0"/>
            </w:tcBorders>
            <w:noWrap w:val="0"/>
            <w:vAlign w:val="top"/>
          </w:tcPr>
          <w:p w14:paraId="2DC2801B">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p>
        </w:tc>
      </w:tr>
    </w:tbl>
    <w:p w14:paraId="412A5F3F">
      <w:pPr>
        <w:tabs>
          <w:tab w:val="left" w:pos="720"/>
        </w:tabs>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p w14:paraId="668C8A48">
      <w:pPr>
        <w:pStyle w:val="18"/>
        <w:rPr>
          <w:rFonts w:hint="eastAsia" w:ascii="宋体" w:hAnsi="宋体" w:eastAsia="宋体" w:cs="宋体"/>
          <w:color w:val="000000" w:themeColor="text1"/>
          <w:highlight w:val="none"/>
          <w14:textFill>
            <w14:solidFill>
              <w14:schemeClr w14:val="tx1"/>
            </w14:solidFill>
          </w14:textFill>
        </w:rPr>
      </w:pPr>
    </w:p>
    <w:p w14:paraId="109A200B">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62CE2C89">
      <w:pPr>
        <w:autoSpaceDE w:val="0"/>
        <w:autoSpaceDN w:val="0"/>
        <w:adjustRightInd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b/>
          <w:bCs/>
          <w:color w:val="000000" w:themeColor="text1"/>
          <w:kern w:val="0"/>
          <w:szCs w:val="21"/>
          <w:highlight w:val="none"/>
          <w14:textFill>
            <w14:solidFill>
              <w14:schemeClr w14:val="tx1"/>
            </w14:solidFill>
          </w14:textFill>
        </w:rPr>
        <w:t>格式三</w:t>
      </w:r>
    </w:p>
    <w:p w14:paraId="5DCED2EF">
      <w:pPr>
        <w:tabs>
          <w:tab w:val="left" w:pos="720"/>
        </w:tabs>
        <w:snapToGrid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p w14:paraId="0F8386DF">
      <w:pPr>
        <w:tabs>
          <w:tab w:val="left" w:pos="720"/>
        </w:tabs>
        <w:snapToGrid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参与编制技术标投标文件人员名单</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0606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noWrap w:val="0"/>
            <w:vAlign w:val="center"/>
          </w:tcPr>
          <w:p w14:paraId="4C54B6A2">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p>
        </w:tc>
      </w:tr>
      <w:tr w14:paraId="49EB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1750117E">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7B807718">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5FFD2CCB">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所承担工作</w:t>
            </w:r>
          </w:p>
        </w:tc>
        <w:tc>
          <w:tcPr>
            <w:tcW w:w="2182" w:type="dxa"/>
            <w:tcBorders>
              <w:top w:val="single" w:color="auto" w:sz="4" w:space="0"/>
              <w:left w:val="single" w:color="auto" w:sz="4" w:space="0"/>
              <w:bottom w:val="single" w:color="auto" w:sz="4" w:space="0"/>
              <w:right w:val="single" w:color="auto" w:sz="4" w:space="0"/>
            </w:tcBorders>
            <w:noWrap w:val="0"/>
            <w:vAlign w:val="center"/>
          </w:tcPr>
          <w:p w14:paraId="2078D0B7">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323CFF4C">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本人签名栏</w:t>
            </w:r>
          </w:p>
        </w:tc>
      </w:tr>
      <w:tr w14:paraId="5D42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29C95E3B">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8DC8B7C">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11D5C4B4">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197E9632">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1F2D4E82">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89D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2C858B14">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1CC8A37B">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761ACD24">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0A5780A2">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1D9257D6">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46DB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28320C6F">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5CA04CEC">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2682C9AA">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6B171793">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73C6E688">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AA3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55C7965C">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202CB34">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7B68357C">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4A71602A">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05B65E7C">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87E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44052AA4">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4DD1F036">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35F50718">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22FEE8A5">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66813D35">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6D3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14C93A4B">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C8A8867">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158A2EB">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0CE58D42">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6791B3B2">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11E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48ABE9FA">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7883B9F">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2E3355DC">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0ED67A6F">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342DF839">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F1F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07FB17B3">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037BBA8">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FA6A62F">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60C86396">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0BFE3038">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14:paraId="1AD27273">
      <w:pPr>
        <w:pStyle w:val="132"/>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6A7390F0">
      <w:pPr>
        <w:tabs>
          <w:tab w:val="left" w:pos="720"/>
        </w:tabs>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0F154B97">
      <w:pPr>
        <w:tabs>
          <w:tab w:val="left" w:pos="720"/>
        </w:tabs>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275BDE41">
      <w:pPr>
        <w:pStyle w:val="139"/>
        <w:rPr>
          <w:rFonts w:hint="eastAsia" w:ascii="宋体" w:hAnsi="宋体" w:eastAsia="宋体" w:cs="宋体"/>
          <w:color w:val="000000" w:themeColor="text1"/>
          <w:highlight w:val="none"/>
          <w14:textFill>
            <w14:solidFill>
              <w14:schemeClr w14:val="tx1"/>
            </w14:solidFill>
          </w14:textFill>
        </w:rPr>
      </w:pPr>
    </w:p>
    <w:p w14:paraId="2E50A65A">
      <w:pPr>
        <w:tabs>
          <w:tab w:val="left" w:pos="720"/>
        </w:tabs>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r>
        <w:rPr>
          <w:rFonts w:hint="eastAsia" w:ascii="宋体" w:hAnsi="宋体" w:eastAsia="宋体" w:cs="宋体"/>
          <w:b/>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b/>
          <w:bCs/>
          <w:color w:val="000000" w:themeColor="text1"/>
          <w:kern w:val="0"/>
          <w:szCs w:val="21"/>
          <w:highlight w:val="none"/>
          <w14:textFill>
            <w14:solidFill>
              <w14:schemeClr w14:val="tx1"/>
            </w14:solidFill>
          </w14:textFill>
        </w:rPr>
        <w:t>格式四</w:t>
      </w:r>
    </w:p>
    <w:p w14:paraId="65E7ECFA">
      <w:pPr>
        <w:autoSpaceDE w:val="0"/>
        <w:autoSpaceDN w:val="0"/>
        <w:adjustRightInd w:val="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资格审查文件</w:t>
      </w:r>
    </w:p>
    <w:p w14:paraId="163C0156">
      <w:pPr>
        <w:pStyle w:val="1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pacing w:val="4"/>
          <w:sz w:val="21"/>
          <w:szCs w:val="21"/>
          <w:highlight w:val="none"/>
          <w14:textFill>
            <w14:solidFill>
              <w14:schemeClr w14:val="tx1"/>
            </w14:solidFill>
          </w14:textFill>
        </w:rPr>
        <w:t>注：按投标须知修改表11.2.2条款及《资格审查表》要求提交，格式自拟。</w:t>
      </w:r>
    </w:p>
    <w:p w14:paraId="68E08258">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06032A51">
      <w:pPr>
        <w:pStyle w:val="1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b/>
          <w:bCs/>
          <w:color w:val="000000" w:themeColor="text1"/>
          <w:sz w:val="21"/>
          <w:szCs w:val="21"/>
          <w:highlight w:val="none"/>
          <w14:textFill>
            <w14:solidFill>
              <w14:schemeClr w14:val="tx1"/>
            </w14:solidFill>
          </w14:textFill>
        </w:rPr>
        <w:t>格式五</w:t>
      </w:r>
    </w:p>
    <w:p w14:paraId="46794F97">
      <w:pPr>
        <w:autoSpaceDE w:val="0"/>
        <w:autoSpaceDN w:val="0"/>
        <w:adjustRightInd w:val="0"/>
        <w:jc w:val="center"/>
        <w:rPr>
          <w:rFonts w:hint="eastAsia" w:ascii="宋体" w:hAnsi="宋体" w:eastAsia="宋体" w:cs="宋体"/>
          <w:b/>
          <w:snapToGrid w:val="0"/>
          <w:color w:val="000000" w:themeColor="text1"/>
          <w:spacing w:val="4"/>
          <w:kern w:val="0"/>
          <w:sz w:val="32"/>
          <w:szCs w:val="32"/>
          <w:highlight w:val="none"/>
          <w14:textFill>
            <w14:solidFill>
              <w14:schemeClr w14:val="tx1"/>
            </w14:solidFill>
          </w14:textFill>
        </w:rPr>
      </w:pPr>
    </w:p>
    <w:p w14:paraId="13B218A0">
      <w:pPr>
        <w:autoSpaceDE w:val="0"/>
        <w:autoSpaceDN w:val="0"/>
        <w:adjustRightIn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snapToGrid w:val="0"/>
          <w:color w:val="000000" w:themeColor="text1"/>
          <w:spacing w:val="4"/>
          <w:kern w:val="0"/>
          <w:szCs w:val="21"/>
          <w:highlight w:val="none"/>
          <w14:textFill>
            <w14:solidFill>
              <w14:schemeClr w14:val="tx1"/>
            </w14:solidFill>
          </w14:textFill>
        </w:rPr>
        <w:t>技术评审资料</w:t>
      </w:r>
    </w:p>
    <w:p w14:paraId="74931798">
      <w:pPr>
        <w:autoSpaceDE w:val="0"/>
        <w:autoSpaceDN w:val="0"/>
        <w:adjustRightIn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spacing w:val="4"/>
          <w:kern w:val="0"/>
          <w:szCs w:val="21"/>
          <w:highlight w:val="none"/>
          <w14:textFill>
            <w14:solidFill>
              <w14:schemeClr w14:val="tx1"/>
            </w14:solidFill>
          </w14:textFill>
        </w:rPr>
        <w:t>注：按《技术标有效性审查表》及《技术标详细审查评分表》要求提交</w:t>
      </w:r>
      <w:r>
        <w:rPr>
          <w:rFonts w:hint="eastAsia" w:ascii="宋体" w:hAnsi="宋体" w:eastAsia="宋体" w:cs="宋体"/>
          <w:snapToGrid w:val="0"/>
          <w:color w:val="000000" w:themeColor="text1"/>
          <w:spacing w:val="4"/>
          <w:szCs w:val="21"/>
          <w:highlight w:val="none"/>
          <w14:textFill>
            <w14:solidFill>
              <w14:schemeClr w14:val="tx1"/>
            </w14:solidFill>
          </w14:textFill>
        </w:rPr>
        <w:t>，格式如无要求可自拟。</w:t>
      </w:r>
    </w:p>
    <w:p w14:paraId="425CA513">
      <w:pPr>
        <w:rPr>
          <w:rFonts w:hint="eastAsia" w:ascii="宋体" w:hAnsi="宋体" w:eastAsia="宋体" w:cs="宋体"/>
          <w:bCs/>
          <w:color w:val="000000" w:themeColor="text1"/>
          <w:kern w:val="44"/>
          <w:szCs w:val="21"/>
          <w:highlight w:val="none"/>
          <w14:textFill>
            <w14:solidFill>
              <w14:schemeClr w14:val="tx1"/>
            </w14:solidFill>
          </w14:textFill>
        </w:rPr>
      </w:pPr>
      <w:r>
        <w:rPr>
          <w:rFonts w:hint="eastAsia" w:ascii="宋体" w:hAnsi="宋体" w:eastAsia="宋体" w:cs="宋体"/>
          <w:bCs/>
          <w:color w:val="000000" w:themeColor="text1"/>
          <w:kern w:val="44"/>
          <w:szCs w:val="21"/>
          <w:highlight w:val="none"/>
          <w14:textFill>
            <w14:solidFill>
              <w14:schemeClr w14:val="tx1"/>
            </w14:solidFill>
          </w14:textFill>
        </w:rPr>
        <w:br w:type="page"/>
      </w:r>
    </w:p>
    <w:p w14:paraId="7BD59680">
      <w:pPr>
        <w:tabs>
          <w:tab w:val="left" w:pos="720"/>
        </w:tabs>
        <w:snapToGrid w:val="0"/>
        <w:spacing w:line="360" w:lineRule="auto"/>
        <w:jc w:val="left"/>
        <w:rPr>
          <w:rFonts w:hint="eastAsia" w:ascii="宋体" w:hAnsi="宋体" w:eastAsia="宋体" w:cs="宋体"/>
          <w:bCs/>
          <w:color w:val="000000" w:themeColor="text1"/>
          <w:kern w:val="44"/>
          <w:szCs w:val="21"/>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b/>
          <w:bCs/>
          <w:color w:val="000000" w:themeColor="text1"/>
          <w:kern w:val="0"/>
          <w:szCs w:val="21"/>
          <w:highlight w:val="none"/>
          <w14:textFill>
            <w14:solidFill>
              <w14:schemeClr w14:val="tx1"/>
            </w14:solidFill>
          </w14:textFill>
        </w:rPr>
        <w:t>格式六</w:t>
      </w:r>
    </w:p>
    <w:p w14:paraId="2CC1E241">
      <w:pPr>
        <w:pStyle w:val="23"/>
        <w:rPr>
          <w:rFonts w:hint="eastAsia" w:ascii="宋体" w:hAnsi="宋体" w:eastAsia="宋体" w:cs="宋体"/>
          <w:b/>
          <w:color w:val="000000" w:themeColor="text1"/>
          <w:kern w:val="44"/>
          <w:sz w:val="21"/>
          <w:szCs w:val="21"/>
          <w:highlight w:val="none"/>
          <w14:textFill>
            <w14:solidFill>
              <w14:schemeClr w14:val="tx1"/>
            </w14:solidFill>
          </w14:textFill>
        </w:rPr>
      </w:pPr>
    </w:p>
    <w:tbl>
      <w:tblPr>
        <w:tblStyle w:val="36"/>
        <w:tblW w:w="8336" w:type="dxa"/>
        <w:tblInd w:w="0" w:type="dxa"/>
        <w:tblLayout w:type="fixed"/>
        <w:tblCellMar>
          <w:top w:w="0" w:type="dxa"/>
          <w:left w:w="0" w:type="dxa"/>
          <w:bottom w:w="0" w:type="dxa"/>
          <w:right w:w="0" w:type="dxa"/>
        </w:tblCellMar>
      </w:tblPr>
      <w:tblGrid>
        <w:gridCol w:w="810"/>
        <w:gridCol w:w="1620"/>
        <w:gridCol w:w="1875"/>
        <w:gridCol w:w="1396"/>
        <w:gridCol w:w="2635"/>
      </w:tblGrid>
      <w:tr w14:paraId="68B7C02F">
        <w:tblPrEx>
          <w:tblCellMar>
            <w:top w:w="0" w:type="dxa"/>
            <w:left w:w="0" w:type="dxa"/>
            <w:bottom w:w="0" w:type="dxa"/>
            <w:right w:w="0" w:type="dxa"/>
          </w:tblCellMar>
        </w:tblPrEx>
        <w:trPr>
          <w:trHeight w:val="540" w:hRule="atLeast"/>
        </w:trPr>
        <w:tc>
          <w:tcPr>
            <w:tcW w:w="8336" w:type="dxa"/>
            <w:gridSpan w:val="5"/>
            <w:tcBorders>
              <w:top w:val="nil"/>
              <w:left w:val="nil"/>
              <w:bottom w:val="single" w:color="000000" w:sz="4" w:space="0"/>
              <w:right w:val="nil"/>
            </w:tcBorders>
            <w:noWrap/>
            <w:tcMar>
              <w:top w:w="15" w:type="dxa"/>
              <w:left w:w="15" w:type="dxa"/>
              <w:right w:w="15" w:type="dxa"/>
            </w:tcMar>
            <w:vAlign w:val="center"/>
          </w:tcPr>
          <w:p w14:paraId="6A996163">
            <w:pPr>
              <w:widowControl/>
              <w:jc w:val="center"/>
              <w:textAlignment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施工项目管理团队人员信息表</w:t>
            </w:r>
          </w:p>
        </w:tc>
      </w:tr>
      <w:tr w14:paraId="0F069280">
        <w:tblPrEx>
          <w:tblCellMar>
            <w:top w:w="0" w:type="dxa"/>
            <w:left w:w="0" w:type="dxa"/>
            <w:bottom w:w="0" w:type="dxa"/>
            <w:right w:w="0"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19DD7">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序号</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3EDB9">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姓名</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71378">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岗位</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3A5C0">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职称</w:t>
            </w:r>
          </w:p>
        </w:tc>
        <w:tc>
          <w:tcPr>
            <w:tcW w:w="2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06E40">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职称证书或资格证书编号</w:t>
            </w:r>
          </w:p>
        </w:tc>
      </w:tr>
      <w:tr w14:paraId="209036F4">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6A6E27">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CF182">
            <w:pPr>
              <w:jc w:val="center"/>
              <w:rPr>
                <w:rFonts w:hint="eastAsia" w:ascii="宋体" w:hAnsi="宋体" w:eastAsia="宋体" w:cs="宋体"/>
                <w:color w:val="000000" w:themeColor="text1"/>
                <w:szCs w:val="21"/>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D4818">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项目负责人</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6B12E">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B6395A">
            <w:pPr>
              <w:jc w:val="center"/>
              <w:rPr>
                <w:rFonts w:hint="eastAsia" w:ascii="宋体" w:hAnsi="宋体" w:eastAsia="宋体" w:cs="宋体"/>
                <w:color w:val="000000" w:themeColor="text1"/>
                <w:szCs w:val="21"/>
                <w:highlight w:val="none"/>
                <w14:textFill>
                  <w14:solidFill>
                    <w14:schemeClr w14:val="tx1"/>
                  </w14:solidFill>
                </w14:textFill>
              </w:rPr>
            </w:pPr>
          </w:p>
        </w:tc>
      </w:tr>
      <w:tr w14:paraId="3FE6CCF4">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E5F5F">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CBBC4">
            <w:pPr>
              <w:jc w:val="center"/>
              <w:rPr>
                <w:rFonts w:hint="eastAsia" w:ascii="宋体" w:hAnsi="宋体" w:eastAsia="宋体" w:cs="宋体"/>
                <w:color w:val="000000" w:themeColor="text1"/>
                <w:szCs w:val="21"/>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D7D26">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技术负责人</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D31466">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B4473">
            <w:pPr>
              <w:jc w:val="center"/>
              <w:rPr>
                <w:rFonts w:hint="eastAsia" w:ascii="宋体" w:hAnsi="宋体" w:eastAsia="宋体" w:cs="宋体"/>
                <w:color w:val="000000" w:themeColor="text1"/>
                <w:szCs w:val="21"/>
                <w:highlight w:val="none"/>
                <w14:textFill>
                  <w14:solidFill>
                    <w14:schemeClr w14:val="tx1"/>
                  </w14:solidFill>
                </w14:textFill>
              </w:rPr>
            </w:pPr>
          </w:p>
        </w:tc>
      </w:tr>
      <w:tr w14:paraId="79AD0B00">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5C9EA">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E011D">
            <w:pPr>
              <w:jc w:val="center"/>
              <w:rPr>
                <w:rFonts w:hint="eastAsia" w:ascii="宋体" w:hAnsi="宋体" w:eastAsia="宋体" w:cs="宋体"/>
                <w:color w:val="000000" w:themeColor="text1"/>
                <w:szCs w:val="21"/>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57ECA">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专职安全员</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E31301">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6D2E2D">
            <w:pPr>
              <w:jc w:val="center"/>
              <w:rPr>
                <w:rFonts w:hint="eastAsia" w:ascii="宋体" w:hAnsi="宋体" w:eastAsia="宋体" w:cs="宋体"/>
                <w:color w:val="000000" w:themeColor="text1"/>
                <w:szCs w:val="21"/>
                <w:highlight w:val="none"/>
                <w14:textFill>
                  <w14:solidFill>
                    <w14:schemeClr w14:val="tx1"/>
                  </w14:solidFill>
                </w14:textFill>
              </w:rPr>
            </w:pPr>
          </w:p>
        </w:tc>
      </w:tr>
      <w:tr w14:paraId="6FEAFE35">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1AE3B">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4F3ED">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47C58">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69477">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88311">
            <w:pPr>
              <w:jc w:val="center"/>
              <w:rPr>
                <w:rFonts w:hint="eastAsia" w:ascii="宋体" w:hAnsi="宋体" w:eastAsia="宋体" w:cs="宋体"/>
                <w:color w:val="000000" w:themeColor="text1"/>
                <w:szCs w:val="21"/>
                <w:highlight w:val="none"/>
                <w14:textFill>
                  <w14:solidFill>
                    <w14:schemeClr w14:val="tx1"/>
                  </w14:solidFill>
                </w14:textFill>
              </w:rPr>
            </w:pPr>
          </w:p>
        </w:tc>
      </w:tr>
      <w:tr w14:paraId="47612B17">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97DCE">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FD012D">
            <w:pPr>
              <w:jc w:val="center"/>
              <w:rPr>
                <w:rFonts w:hint="eastAsia" w:ascii="宋体" w:hAnsi="宋体" w:eastAsia="宋体" w:cs="宋体"/>
                <w:color w:val="000000" w:themeColor="text1"/>
                <w:szCs w:val="21"/>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261BA4">
            <w:pPr>
              <w:jc w:val="center"/>
              <w:rPr>
                <w:rFonts w:hint="eastAsia" w:ascii="宋体" w:hAnsi="宋体" w:eastAsia="宋体" w:cs="宋体"/>
                <w:color w:val="000000" w:themeColor="text1"/>
                <w:szCs w:val="21"/>
                <w:highlight w:val="none"/>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3142A3">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C1A98">
            <w:pPr>
              <w:jc w:val="center"/>
              <w:rPr>
                <w:rFonts w:hint="eastAsia" w:ascii="宋体" w:hAnsi="宋体" w:eastAsia="宋体" w:cs="宋体"/>
                <w:color w:val="000000" w:themeColor="text1"/>
                <w:szCs w:val="21"/>
                <w:highlight w:val="none"/>
                <w14:textFill>
                  <w14:solidFill>
                    <w14:schemeClr w14:val="tx1"/>
                  </w14:solidFill>
                </w14:textFill>
              </w:rPr>
            </w:pPr>
          </w:p>
        </w:tc>
      </w:tr>
      <w:tr w14:paraId="09D0E55D">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28249">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FDE6D">
            <w:pPr>
              <w:jc w:val="center"/>
              <w:rPr>
                <w:rFonts w:hint="eastAsia" w:ascii="宋体" w:hAnsi="宋体" w:eastAsia="宋体" w:cs="宋体"/>
                <w:color w:val="000000" w:themeColor="text1"/>
                <w:szCs w:val="21"/>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8C2CA">
            <w:pPr>
              <w:jc w:val="center"/>
              <w:rPr>
                <w:rFonts w:hint="eastAsia" w:ascii="宋体" w:hAnsi="宋体" w:eastAsia="宋体" w:cs="宋体"/>
                <w:color w:val="000000" w:themeColor="text1"/>
                <w:szCs w:val="21"/>
                <w:highlight w:val="none"/>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74654">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FA8AB">
            <w:pPr>
              <w:jc w:val="center"/>
              <w:rPr>
                <w:rFonts w:hint="eastAsia" w:ascii="宋体" w:hAnsi="宋体" w:eastAsia="宋体" w:cs="宋体"/>
                <w:color w:val="000000" w:themeColor="text1"/>
                <w:szCs w:val="21"/>
                <w:highlight w:val="none"/>
                <w14:textFill>
                  <w14:solidFill>
                    <w14:schemeClr w14:val="tx1"/>
                  </w14:solidFill>
                </w14:textFill>
              </w:rPr>
            </w:pPr>
          </w:p>
        </w:tc>
      </w:tr>
      <w:tr w14:paraId="03C2D1C8">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22467">
            <w:pPr>
              <w:widowControl/>
              <w:jc w:val="center"/>
              <w:textAlignment w:val="center"/>
              <w:rPr>
                <w:rFonts w:hint="eastAsia" w:ascii="宋体" w:hAnsi="宋体" w:eastAsia="宋体" w:cs="宋体"/>
                <w:color w:val="000000" w:themeColor="text1"/>
                <w:kern w:val="0"/>
                <w:szCs w:val="21"/>
                <w:highlight w:val="none"/>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3CD69">
            <w:pPr>
              <w:jc w:val="center"/>
              <w:rPr>
                <w:rFonts w:hint="eastAsia" w:ascii="宋体" w:hAnsi="宋体" w:eastAsia="宋体" w:cs="宋体"/>
                <w:color w:val="000000" w:themeColor="text1"/>
                <w:szCs w:val="21"/>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92B72">
            <w:pPr>
              <w:jc w:val="center"/>
              <w:rPr>
                <w:rFonts w:hint="eastAsia" w:ascii="宋体" w:hAnsi="宋体" w:eastAsia="宋体" w:cs="宋体"/>
                <w:color w:val="000000" w:themeColor="text1"/>
                <w:szCs w:val="21"/>
                <w:highlight w:val="none"/>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66DC1A">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5E580D">
            <w:pPr>
              <w:jc w:val="center"/>
              <w:rPr>
                <w:rFonts w:hint="eastAsia" w:ascii="宋体" w:hAnsi="宋体" w:eastAsia="宋体" w:cs="宋体"/>
                <w:color w:val="000000" w:themeColor="text1"/>
                <w:szCs w:val="21"/>
                <w:highlight w:val="none"/>
                <w14:textFill>
                  <w14:solidFill>
                    <w14:schemeClr w14:val="tx1"/>
                  </w14:solidFill>
                </w14:textFill>
              </w:rPr>
            </w:pPr>
          </w:p>
        </w:tc>
      </w:tr>
      <w:tr w14:paraId="7158017D">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D34BA">
            <w:pPr>
              <w:widowControl/>
              <w:jc w:val="center"/>
              <w:textAlignment w:val="center"/>
              <w:rPr>
                <w:rFonts w:hint="eastAsia" w:ascii="宋体" w:hAnsi="宋体" w:eastAsia="宋体" w:cs="宋体"/>
                <w:color w:val="000000" w:themeColor="text1"/>
                <w:kern w:val="0"/>
                <w:szCs w:val="21"/>
                <w:highlight w:val="none"/>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6B59C">
            <w:pPr>
              <w:jc w:val="center"/>
              <w:rPr>
                <w:rFonts w:hint="eastAsia" w:ascii="宋体" w:hAnsi="宋体" w:eastAsia="宋体" w:cs="宋体"/>
                <w:color w:val="000000" w:themeColor="text1"/>
                <w:szCs w:val="21"/>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D7351">
            <w:pPr>
              <w:jc w:val="center"/>
              <w:rPr>
                <w:rFonts w:hint="eastAsia" w:ascii="宋体" w:hAnsi="宋体" w:eastAsia="宋体" w:cs="宋体"/>
                <w:color w:val="000000" w:themeColor="text1"/>
                <w:szCs w:val="21"/>
                <w:highlight w:val="none"/>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83F470">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60BE6">
            <w:pPr>
              <w:jc w:val="center"/>
              <w:rPr>
                <w:rFonts w:hint="eastAsia" w:ascii="宋体" w:hAnsi="宋体" w:eastAsia="宋体" w:cs="宋体"/>
                <w:color w:val="000000" w:themeColor="text1"/>
                <w:szCs w:val="21"/>
                <w:highlight w:val="none"/>
                <w14:textFill>
                  <w14:solidFill>
                    <w14:schemeClr w14:val="tx1"/>
                  </w14:solidFill>
                </w14:textFill>
              </w:rPr>
            </w:pPr>
          </w:p>
        </w:tc>
      </w:tr>
      <w:tr w14:paraId="32FEC032">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FCC4A">
            <w:pPr>
              <w:widowControl/>
              <w:jc w:val="center"/>
              <w:textAlignment w:val="center"/>
              <w:rPr>
                <w:rFonts w:hint="eastAsia" w:ascii="宋体" w:hAnsi="宋体" w:eastAsia="宋体" w:cs="宋体"/>
                <w:color w:val="000000" w:themeColor="text1"/>
                <w:kern w:val="0"/>
                <w:szCs w:val="21"/>
                <w:highlight w:val="none"/>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BCE1AB">
            <w:pPr>
              <w:jc w:val="center"/>
              <w:rPr>
                <w:rFonts w:hint="eastAsia" w:ascii="宋体" w:hAnsi="宋体" w:eastAsia="宋体" w:cs="宋体"/>
                <w:color w:val="000000" w:themeColor="text1"/>
                <w:szCs w:val="21"/>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DD30A">
            <w:pPr>
              <w:jc w:val="center"/>
              <w:rPr>
                <w:rFonts w:hint="eastAsia" w:ascii="宋体" w:hAnsi="宋体" w:eastAsia="宋体" w:cs="宋体"/>
                <w:color w:val="000000" w:themeColor="text1"/>
                <w:szCs w:val="21"/>
                <w:highlight w:val="none"/>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4DE50">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E17DE">
            <w:pPr>
              <w:jc w:val="center"/>
              <w:rPr>
                <w:rFonts w:hint="eastAsia" w:ascii="宋体" w:hAnsi="宋体" w:eastAsia="宋体" w:cs="宋体"/>
                <w:color w:val="000000" w:themeColor="text1"/>
                <w:szCs w:val="21"/>
                <w:highlight w:val="none"/>
                <w14:textFill>
                  <w14:solidFill>
                    <w14:schemeClr w14:val="tx1"/>
                  </w14:solidFill>
                </w14:textFill>
              </w:rPr>
            </w:pPr>
          </w:p>
        </w:tc>
      </w:tr>
      <w:tr w14:paraId="312B94BC">
        <w:tblPrEx>
          <w:tblCellMar>
            <w:top w:w="0" w:type="dxa"/>
            <w:left w:w="0" w:type="dxa"/>
            <w:bottom w:w="0" w:type="dxa"/>
            <w:right w:w="0" w:type="dxa"/>
          </w:tblCellMar>
        </w:tblPrEx>
        <w:trPr>
          <w:trHeight w:val="4800" w:hRule="atLeast"/>
        </w:trPr>
        <w:tc>
          <w:tcPr>
            <w:tcW w:w="833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BA784">
            <w:pPr>
              <w:widowControl/>
              <w:jc w:val="left"/>
              <w:textAlignment w:val="center"/>
              <w:rPr>
                <w:rStyle w:val="140"/>
                <w:rFonts w:hint="eastAsia" w:ascii="宋体" w:hAnsi="宋体" w:eastAsia="宋体" w:cs="宋体"/>
                <w:color w:val="000000" w:themeColor="text1"/>
                <w:sz w:val="21"/>
                <w:szCs w:val="21"/>
                <w:highlight w:val="none"/>
                <w14:textFill>
                  <w14:solidFill>
                    <w14:schemeClr w14:val="tx1"/>
                  </w14:solidFill>
                </w14:textFill>
              </w:rPr>
            </w:pPr>
            <w:r>
              <w:rPr>
                <w:rStyle w:val="140"/>
                <w:rFonts w:hint="eastAsia" w:ascii="宋体" w:hAnsi="宋体" w:eastAsia="宋体" w:cs="宋体"/>
                <w:color w:val="000000" w:themeColor="text1"/>
                <w:sz w:val="21"/>
                <w:szCs w:val="21"/>
                <w:highlight w:val="none"/>
                <w14:textFill>
                  <w14:solidFill>
                    <w14:schemeClr w14:val="tx1"/>
                  </w14:solidFill>
                </w14:textFill>
              </w:rPr>
              <w:t>备注：</w:t>
            </w:r>
          </w:p>
          <w:p w14:paraId="61FBA2F9">
            <w:pPr>
              <w:widowControl/>
              <w:jc w:val="left"/>
              <w:textAlignment w:val="center"/>
              <w:rPr>
                <w:rStyle w:val="140"/>
                <w:rFonts w:hint="eastAsia" w:ascii="宋体" w:hAnsi="宋体" w:eastAsia="宋体" w:cs="宋体"/>
                <w:color w:val="000000" w:themeColor="text1"/>
                <w:sz w:val="21"/>
                <w:szCs w:val="21"/>
                <w:highlight w:val="none"/>
                <w14:textFill>
                  <w14:solidFill>
                    <w14:schemeClr w14:val="tx1"/>
                  </w14:solidFill>
                </w14:textFill>
              </w:rPr>
            </w:pPr>
            <w:r>
              <w:rPr>
                <w:rStyle w:val="140"/>
                <w:rFonts w:hint="eastAsia" w:ascii="宋体" w:hAnsi="宋体" w:eastAsia="宋体" w:cs="宋体"/>
                <w:color w:val="000000" w:themeColor="text1"/>
                <w:sz w:val="21"/>
                <w:szCs w:val="21"/>
                <w:highlight w:val="none"/>
                <w14:textFill>
                  <w14:solidFill>
                    <w14:schemeClr w14:val="tx1"/>
                  </w14:solidFill>
                </w14:textFill>
              </w:rPr>
              <w:t>1、“岗位”要求</w:t>
            </w:r>
            <w:r>
              <w:rPr>
                <w:rStyle w:val="141"/>
                <w:rFonts w:hint="eastAsia" w:ascii="宋体" w:hAnsi="宋体" w:eastAsia="宋体" w:cs="宋体"/>
                <w:b w:val="0"/>
                <w:bCs/>
                <w:color w:val="000000" w:themeColor="text1"/>
                <w:sz w:val="21"/>
                <w:szCs w:val="21"/>
                <w:highlight w:val="none"/>
                <w14:textFill>
                  <w14:solidFill>
                    <w14:schemeClr w14:val="tx1"/>
                  </w14:solidFill>
                </w14:textFill>
              </w:rPr>
              <w:t>（除项目负责人和专职安全员外）</w:t>
            </w:r>
            <w:r>
              <w:rPr>
                <w:rStyle w:val="140"/>
                <w:rFonts w:hint="eastAsia" w:ascii="宋体" w:hAnsi="宋体" w:eastAsia="宋体" w:cs="宋体"/>
                <w:color w:val="000000" w:themeColor="text1"/>
                <w:sz w:val="21"/>
                <w:szCs w:val="21"/>
                <w:highlight w:val="none"/>
                <w14:textFill>
                  <w14:solidFill>
                    <w14:schemeClr w14:val="tx1"/>
                  </w14:solidFill>
                </w14:textFill>
              </w:rPr>
              <w:t>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以上项目管理团队人员信息将由交易系统提取后供各相关单位在履约时比对、</w:t>
            </w:r>
            <w:r>
              <w:rPr>
                <w:rStyle w:val="140"/>
                <w:rFonts w:hint="eastAsia" w:ascii="宋体" w:hAnsi="宋体" w:eastAsia="宋体" w:cs="宋体"/>
                <w:color w:val="000000" w:themeColor="text1"/>
                <w:sz w:val="21"/>
                <w:szCs w:val="21"/>
                <w:highlight w:val="none"/>
                <w:lang w:eastAsia="zh-CN"/>
                <w14:textFill>
                  <w14:solidFill>
                    <w14:schemeClr w14:val="tx1"/>
                  </w14:solidFill>
                </w14:textFill>
              </w:rPr>
              <w:t>核查</w:t>
            </w:r>
            <w:r>
              <w:rPr>
                <w:rStyle w:val="140"/>
                <w:rFonts w:hint="eastAsia" w:ascii="宋体" w:hAnsi="宋体" w:eastAsia="宋体" w:cs="宋体"/>
                <w:color w:val="000000" w:themeColor="text1"/>
                <w:sz w:val="21"/>
                <w:szCs w:val="21"/>
                <w:highlight w:val="none"/>
                <w14:textFill>
                  <w14:solidFill>
                    <w14:schemeClr w14:val="tx1"/>
                  </w14:solidFill>
                </w14:textFill>
              </w:rPr>
              <w:t>。</w:t>
            </w:r>
          </w:p>
          <w:p w14:paraId="2242AF7A">
            <w:pPr>
              <w:widowControl/>
              <w:jc w:val="left"/>
              <w:textAlignment w:val="center"/>
              <w:rPr>
                <w:rStyle w:val="140"/>
                <w:rFonts w:hint="eastAsia" w:ascii="宋体" w:hAnsi="宋体" w:eastAsia="宋体" w:cs="宋体"/>
                <w:color w:val="000000" w:themeColor="text1"/>
                <w:sz w:val="21"/>
                <w:szCs w:val="21"/>
                <w:highlight w:val="none"/>
                <w14:textFill>
                  <w14:solidFill>
                    <w14:schemeClr w14:val="tx1"/>
                  </w14:solidFill>
                </w14:textFill>
              </w:rPr>
            </w:pPr>
            <w:r>
              <w:rPr>
                <w:rStyle w:val="140"/>
                <w:rFonts w:hint="eastAsia" w:ascii="宋体" w:hAnsi="宋体" w:eastAsia="宋体" w:cs="宋体"/>
                <w:color w:val="000000" w:themeColor="text1"/>
                <w:sz w:val="21"/>
                <w:szCs w:val="21"/>
                <w:highlight w:val="none"/>
                <w14:textFill>
                  <w14:solidFill>
                    <w14:schemeClr w14:val="tx1"/>
                  </w14:solidFill>
                </w14:textFill>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562B0B77">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Style w:val="140"/>
                <w:rFonts w:hint="eastAsia" w:ascii="宋体" w:hAnsi="宋体" w:eastAsia="宋体" w:cs="宋体"/>
                <w:color w:val="000000" w:themeColor="text1"/>
                <w:sz w:val="21"/>
                <w:szCs w:val="21"/>
                <w:highlight w:val="none"/>
                <w14:textFill>
                  <w14:solidFill>
                    <w14:schemeClr w14:val="tx1"/>
                  </w14:solidFill>
                </w14:textFill>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2FA68B7B">
      <w:pPr>
        <w:pStyle w:val="135"/>
        <w:spacing w:beforeLines="0" w:after="120" w:line="400" w:lineRule="exact"/>
        <w:rPr>
          <w:rStyle w:val="142"/>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bookmarkStart w:id="66" w:name="_Toc29986"/>
      <w:r>
        <w:rPr>
          <w:rFonts w:hint="eastAsia" w:ascii="宋体" w:hAnsi="宋体" w:eastAsia="宋体" w:cs="宋体"/>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bCs/>
          <w:color w:val="000000" w:themeColor="text1"/>
          <w:sz w:val="21"/>
          <w:szCs w:val="21"/>
          <w:highlight w:val="none"/>
          <w14:textFill>
            <w14:solidFill>
              <w14:schemeClr w14:val="tx1"/>
            </w14:solidFill>
          </w14:textFill>
        </w:rPr>
        <w:t>格式七</w:t>
      </w:r>
      <w:r>
        <w:rPr>
          <w:rFonts w:hint="eastAsia" w:ascii="宋体" w:hAnsi="宋体" w:eastAsia="宋体" w:cs="宋体"/>
          <w:color w:val="000000" w:themeColor="text1"/>
          <w:sz w:val="21"/>
          <w:szCs w:val="21"/>
          <w:highlight w:val="none"/>
          <w14:textFill>
            <w14:solidFill>
              <w14:schemeClr w14:val="tx1"/>
            </w14:solidFill>
          </w14:textFill>
        </w:rPr>
        <w:t>：</w:t>
      </w:r>
      <w:bookmarkEnd w:id="66"/>
    </w:p>
    <w:p w14:paraId="6516BA42">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危险性较大的分部分项工程安全管理措施</w:t>
      </w:r>
    </w:p>
    <w:p w14:paraId="10693F33">
      <w:pPr>
        <w:numPr>
          <w:ilvl w:val="0"/>
          <w:numId w:val="3"/>
        </w:numPr>
        <w:autoSpaceDE w:val="0"/>
        <w:autoSpaceDN w:val="0"/>
        <w:adjustRightInd w:val="0"/>
        <w:spacing w:line="400" w:lineRule="exact"/>
        <w:ind w:left="0" w:firstLine="420" w:firstLineChars="200"/>
        <w:jc w:val="left"/>
        <w:rPr>
          <w:rFonts w:hint="eastAsia" w:ascii="宋体" w:hAnsi="宋体" w:eastAsia="宋体" w:cs="宋体"/>
          <w:b/>
          <w:color w:val="000000" w:themeColor="text1"/>
          <w:spacing w:val="4"/>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根据中华人民共和国住房和城乡建设部令第37号《危险性较大的分部分项工程安全管理规定》（以下简称“37号文”），</w:t>
      </w:r>
      <w:r>
        <w:rPr>
          <w:rFonts w:hint="eastAsia" w:ascii="宋体" w:hAnsi="宋体" w:eastAsia="宋体" w:cs="宋体"/>
          <w:b/>
          <w:color w:val="000000" w:themeColor="text1"/>
          <w:szCs w:val="21"/>
          <w:highlight w:val="none"/>
          <w14:textFill>
            <w14:solidFill>
              <w14:schemeClr w14:val="tx1"/>
            </w14:solidFill>
          </w14:textFill>
        </w:rPr>
        <w:t>投标人在投标时须补充完善危大工程清单并</w:t>
      </w:r>
      <w:r>
        <w:rPr>
          <w:rFonts w:hint="eastAsia" w:ascii="宋体" w:hAnsi="宋体" w:eastAsia="宋体" w:cs="宋体"/>
          <w:b/>
          <w:color w:val="000000" w:themeColor="text1"/>
          <w:spacing w:val="4"/>
          <w:kern w:val="0"/>
          <w:szCs w:val="21"/>
          <w:highlight w:val="none"/>
          <w14:textFill>
            <w14:solidFill>
              <w14:schemeClr w14:val="tx1"/>
            </w14:solidFill>
          </w14:textFill>
        </w:rPr>
        <w:t>结合本工程的类型和特点，科学、合理地设置本项目的危险性较大的分部分项工程安全管理措施，危险性较大的分部分项工程安全管理措施由投标人结合招标人对本工程的具体要求自行设定。</w:t>
      </w:r>
    </w:p>
    <w:p w14:paraId="05E98D02">
      <w:pPr>
        <w:numPr>
          <w:ilvl w:val="0"/>
          <w:numId w:val="3"/>
        </w:numPr>
        <w:autoSpaceDE w:val="0"/>
        <w:autoSpaceDN w:val="0"/>
        <w:adjustRightInd w:val="0"/>
        <w:spacing w:line="400" w:lineRule="exact"/>
        <w:ind w:left="0"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招标人根据设计文件的要求及37号文的规定列出“危险性较大的分部分项工程清单及超过一定规模的危险性较大的分部分项工程清单”中与本招标项目相关的清单项，具体详见第5点“打√”标识。</w:t>
      </w:r>
    </w:p>
    <w:p w14:paraId="67A04D9C">
      <w:pPr>
        <w:numPr>
          <w:ilvl w:val="0"/>
          <w:numId w:val="4"/>
        </w:numPr>
        <w:autoSpaceDE w:val="0"/>
        <w:autoSpaceDN w:val="0"/>
        <w:adjustRightInd w:val="0"/>
        <w:spacing w:line="400" w:lineRule="exact"/>
        <w:ind w:left="0"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投标单位同意建设单位在清单中标识的该项请在对应项打“√”标识，并</w:t>
      </w:r>
      <w:r>
        <w:rPr>
          <w:rFonts w:hint="eastAsia" w:ascii="宋体" w:hAnsi="宋体" w:cs="宋体"/>
          <w:b/>
          <w:color w:val="000000" w:themeColor="text1"/>
          <w:szCs w:val="21"/>
          <w:highlight w:val="none"/>
          <w:lang w:eastAsia="zh-CN"/>
          <w14:textFill>
            <w14:solidFill>
              <w14:schemeClr w14:val="tx1"/>
            </w14:solidFill>
          </w14:textFill>
        </w:rPr>
        <w:t>在</w:t>
      </w:r>
      <w:r>
        <w:rPr>
          <w:rFonts w:hint="eastAsia" w:ascii="宋体" w:hAnsi="宋体" w:eastAsia="宋体" w:cs="宋体"/>
          <w:b/>
          <w:color w:val="000000" w:themeColor="text1"/>
          <w:szCs w:val="21"/>
          <w:highlight w:val="none"/>
          <w14:textFill>
            <w14:solidFill>
              <w14:schemeClr w14:val="tx1"/>
            </w14:solidFill>
          </w14:textFill>
        </w:rPr>
        <w:t>投标文件中提供相应的安全管理措施。</w:t>
      </w:r>
    </w:p>
    <w:p w14:paraId="631BF882">
      <w:pPr>
        <w:numPr>
          <w:ilvl w:val="0"/>
          <w:numId w:val="4"/>
        </w:numPr>
        <w:autoSpaceDE w:val="0"/>
        <w:autoSpaceDN w:val="0"/>
        <w:adjustRightInd w:val="0"/>
        <w:spacing w:line="400" w:lineRule="exact"/>
        <w:ind w:left="0"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投标单位对清单中认为需要补充的该项请在对应项打“√”标识，并</w:t>
      </w:r>
      <w:r>
        <w:rPr>
          <w:rFonts w:hint="eastAsia" w:ascii="宋体" w:hAnsi="宋体" w:cs="宋体"/>
          <w:b/>
          <w:color w:val="000000" w:themeColor="text1"/>
          <w:szCs w:val="21"/>
          <w:highlight w:val="none"/>
          <w:lang w:eastAsia="zh-CN"/>
          <w14:textFill>
            <w14:solidFill>
              <w14:schemeClr w14:val="tx1"/>
            </w14:solidFill>
          </w14:textFill>
        </w:rPr>
        <w:t>在</w:t>
      </w:r>
      <w:r>
        <w:rPr>
          <w:rFonts w:hint="eastAsia" w:ascii="宋体" w:hAnsi="宋体" w:eastAsia="宋体" w:cs="宋体"/>
          <w:b/>
          <w:color w:val="000000" w:themeColor="text1"/>
          <w:szCs w:val="21"/>
          <w:highlight w:val="none"/>
          <w14:textFill>
            <w14:solidFill>
              <w14:schemeClr w14:val="tx1"/>
            </w14:solidFill>
          </w14:textFill>
        </w:rPr>
        <w:t>投标文件中提供相应的安全管理措施。</w:t>
      </w:r>
    </w:p>
    <w:p w14:paraId="4E72DE91">
      <w:pPr>
        <w:numPr>
          <w:ilvl w:val="0"/>
          <w:numId w:val="4"/>
        </w:numPr>
        <w:autoSpaceDE w:val="0"/>
        <w:autoSpaceDN w:val="0"/>
        <w:adjustRightInd w:val="0"/>
        <w:spacing w:line="400" w:lineRule="exact"/>
        <w:ind w:left="0"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投标单位不同意建设单位在清单中标识的该项请在对应项打“×”标识，并在备注栏填上相关说明。</w:t>
      </w:r>
    </w:p>
    <w:p w14:paraId="405E7C51">
      <w:pPr>
        <w:numPr>
          <w:ilvl w:val="0"/>
          <w:numId w:val="3"/>
        </w:numPr>
        <w:autoSpaceDE w:val="0"/>
        <w:autoSpaceDN w:val="0"/>
        <w:adjustRightInd w:val="0"/>
        <w:spacing w:line="400" w:lineRule="exact"/>
        <w:ind w:left="0"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投标单位应当在投标时根据招标人提供的下述第5点清单，在投标文件中编制专项施工方案。</w:t>
      </w:r>
    </w:p>
    <w:p w14:paraId="454BFC87">
      <w:pPr>
        <w:numPr>
          <w:ilvl w:val="0"/>
          <w:numId w:val="3"/>
        </w:numPr>
        <w:autoSpaceDE w:val="0"/>
        <w:autoSpaceDN w:val="0"/>
        <w:adjustRightInd w:val="0"/>
        <w:spacing w:line="400" w:lineRule="exact"/>
        <w:ind w:left="0"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0DAA321E">
      <w:pPr>
        <w:numPr>
          <w:ilvl w:val="0"/>
          <w:numId w:val="3"/>
        </w:numPr>
        <w:autoSpaceDE w:val="0"/>
        <w:autoSpaceDN w:val="0"/>
        <w:adjustRightInd w:val="0"/>
        <w:spacing w:line="400" w:lineRule="exact"/>
        <w:ind w:left="0"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危险性较大的分部分项工程清单及超过一定规模的危险性较大的分部分项工程清单（参考版）：</w:t>
      </w:r>
    </w:p>
    <w:tbl>
      <w:tblPr>
        <w:tblStyle w:val="3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8"/>
        <w:gridCol w:w="1200"/>
        <w:gridCol w:w="1305"/>
        <w:gridCol w:w="795"/>
      </w:tblGrid>
      <w:tr w14:paraId="4749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center"/>
          </w:tcPr>
          <w:p w14:paraId="4DF05E86">
            <w:pP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一、危险性较大的分部分项工程清单</w:t>
            </w:r>
          </w:p>
        </w:tc>
        <w:tc>
          <w:tcPr>
            <w:tcW w:w="1200" w:type="dxa"/>
            <w:tcBorders>
              <w:top w:val="single" w:color="auto" w:sz="4" w:space="0"/>
              <w:left w:val="nil"/>
              <w:bottom w:val="single" w:color="auto" w:sz="4" w:space="0"/>
              <w:right w:val="single" w:color="auto" w:sz="4" w:space="0"/>
            </w:tcBorders>
            <w:noWrap w:val="0"/>
            <w:vAlign w:val="center"/>
          </w:tcPr>
          <w:p w14:paraId="084F958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建设单位</w:t>
            </w:r>
          </w:p>
        </w:tc>
        <w:tc>
          <w:tcPr>
            <w:tcW w:w="1305" w:type="dxa"/>
            <w:tcBorders>
              <w:top w:val="single" w:color="auto" w:sz="4" w:space="0"/>
              <w:left w:val="nil"/>
              <w:bottom w:val="single" w:color="auto" w:sz="4" w:space="0"/>
              <w:right w:val="single" w:color="auto" w:sz="4" w:space="0"/>
            </w:tcBorders>
            <w:noWrap w:val="0"/>
            <w:vAlign w:val="center"/>
          </w:tcPr>
          <w:p w14:paraId="3D13BFC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投标单位</w:t>
            </w:r>
          </w:p>
        </w:tc>
        <w:tc>
          <w:tcPr>
            <w:tcW w:w="795" w:type="dxa"/>
            <w:tcBorders>
              <w:top w:val="single" w:color="auto" w:sz="4" w:space="0"/>
              <w:left w:val="nil"/>
              <w:bottom w:val="single" w:color="auto" w:sz="4" w:space="0"/>
              <w:right w:val="single" w:color="auto" w:sz="4" w:space="0"/>
            </w:tcBorders>
            <w:noWrap w:val="0"/>
            <w:vAlign w:val="center"/>
          </w:tcPr>
          <w:p w14:paraId="72BDB71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r>
      <w:tr w14:paraId="56E8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396D4DD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一、基坑支护</w:t>
            </w:r>
          </w:p>
        </w:tc>
        <w:tc>
          <w:tcPr>
            <w:tcW w:w="1200" w:type="dxa"/>
            <w:tcBorders>
              <w:top w:val="single" w:color="auto" w:sz="4" w:space="0"/>
              <w:left w:val="nil"/>
              <w:bottom w:val="single" w:color="auto" w:sz="4" w:space="0"/>
              <w:right w:val="single" w:color="auto" w:sz="4" w:space="0"/>
            </w:tcBorders>
            <w:noWrap w:val="0"/>
            <w:vAlign w:val="center"/>
          </w:tcPr>
          <w:p w14:paraId="3E61871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34FB207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5AE6A8A2">
            <w:pPr>
              <w:jc w:val="left"/>
              <w:rPr>
                <w:rFonts w:hint="eastAsia" w:ascii="宋体" w:hAnsi="宋体" w:eastAsia="宋体" w:cs="宋体"/>
                <w:color w:val="000000" w:themeColor="text1"/>
                <w:szCs w:val="21"/>
                <w:highlight w:val="none"/>
                <w14:textFill>
                  <w14:solidFill>
                    <w14:schemeClr w14:val="tx1"/>
                  </w14:solidFill>
                </w14:textFill>
              </w:rPr>
            </w:pPr>
          </w:p>
        </w:tc>
      </w:tr>
      <w:tr w14:paraId="3DED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76869D4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（一）开挖深度超过3m（含3m）的基坑（槽）的土方开挖、支护、降水工程。</w:t>
            </w:r>
          </w:p>
        </w:tc>
        <w:tc>
          <w:tcPr>
            <w:tcW w:w="1200" w:type="dxa"/>
            <w:tcBorders>
              <w:top w:val="single" w:color="auto" w:sz="4" w:space="0"/>
              <w:left w:val="nil"/>
              <w:bottom w:val="single" w:color="auto" w:sz="4" w:space="0"/>
              <w:right w:val="single" w:color="auto" w:sz="4" w:space="0"/>
            </w:tcBorders>
            <w:noWrap w:val="0"/>
            <w:vAlign w:val="center"/>
          </w:tcPr>
          <w:p w14:paraId="276C9A9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36E9ACF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5ADECA8F">
            <w:pPr>
              <w:jc w:val="left"/>
              <w:rPr>
                <w:rFonts w:hint="eastAsia" w:ascii="宋体" w:hAnsi="宋体" w:eastAsia="宋体" w:cs="宋体"/>
                <w:color w:val="000000" w:themeColor="text1"/>
                <w:szCs w:val="21"/>
                <w:highlight w:val="none"/>
                <w14:textFill>
                  <w14:solidFill>
                    <w14:schemeClr w14:val="tx1"/>
                  </w14:solidFill>
                </w14:textFill>
              </w:rPr>
            </w:pPr>
          </w:p>
        </w:tc>
      </w:tr>
      <w:tr w14:paraId="6366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21D6F72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（二）开挖深度虽未超过3m，但地质条件、周围环境和地下管线复杂，或影响毗邻建、构筑物安全的基坑（槽）的土方开挖、支护、降水工程。</w:t>
            </w:r>
          </w:p>
        </w:tc>
        <w:tc>
          <w:tcPr>
            <w:tcW w:w="1200" w:type="dxa"/>
            <w:tcBorders>
              <w:top w:val="single" w:color="auto" w:sz="4" w:space="0"/>
              <w:left w:val="nil"/>
              <w:bottom w:val="single" w:color="auto" w:sz="4" w:space="0"/>
              <w:right w:val="single" w:color="auto" w:sz="4" w:space="0"/>
            </w:tcBorders>
            <w:noWrap w:val="0"/>
            <w:vAlign w:val="center"/>
          </w:tcPr>
          <w:p w14:paraId="26DB982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197F0D5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3B60084">
            <w:pPr>
              <w:jc w:val="left"/>
              <w:rPr>
                <w:rFonts w:hint="eastAsia" w:ascii="宋体" w:hAnsi="宋体" w:eastAsia="宋体" w:cs="宋体"/>
                <w:color w:val="000000" w:themeColor="text1"/>
                <w:szCs w:val="21"/>
                <w:highlight w:val="none"/>
                <w14:textFill>
                  <w14:solidFill>
                    <w14:schemeClr w14:val="tx1"/>
                  </w14:solidFill>
                </w14:textFill>
              </w:rPr>
            </w:pPr>
          </w:p>
        </w:tc>
      </w:tr>
      <w:tr w14:paraId="5D5F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750D44F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二、模板工程及支撑体系</w:t>
            </w:r>
          </w:p>
        </w:tc>
        <w:tc>
          <w:tcPr>
            <w:tcW w:w="1200" w:type="dxa"/>
            <w:tcBorders>
              <w:top w:val="single" w:color="auto" w:sz="4" w:space="0"/>
              <w:left w:val="nil"/>
              <w:bottom w:val="single" w:color="auto" w:sz="4" w:space="0"/>
              <w:right w:val="single" w:color="auto" w:sz="4" w:space="0"/>
            </w:tcBorders>
            <w:noWrap w:val="0"/>
            <w:vAlign w:val="center"/>
          </w:tcPr>
          <w:p w14:paraId="3978823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04BA017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7E290EBC">
            <w:pPr>
              <w:jc w:val="left"/>
              <w:rPr>
                <w:rFonts w:hint="eastAsia" w:ascii="宋体" w:hAnsi="宋体" w:eastAsia="宋体" w:cs="宋体"/>
                <w:color w:val="000000" w:themeColor="text1"/>
                <w:szCs w:val="21"/>
                <w:highlight w:val="none"/>
                <w14:textFill>
                  <w14:solidFill>
                    <w14:schemeClr w14:val="tx1"/>
                  </w14:solidFill>
                </w14:textFill>
              </w:rPr>
            </w:pPr>
          </w:p>
        </w:tc>
      </w:tr>
      <w:tr w14:paraId="05E6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69B916F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（一）各类工具式模板工程：包括滑模、爬模、飞模、隧道模等工程。</w:t>
            </w:r>
          </w:p>
        </w:tc>
        <w:tc>
          <w:tcPr>
            <w:tcW w:w="1200" w:type="dxa"/>
            <w:tcBorders>
              <w:top w:val="single" w:color="auto" w:sz="4" w:space="0"/>
              <w:left w:val="nil"/>
              <w:bottom w:val="single" w:color="auto" w:sz="4" w:space="0"/>
              <w:right w:val="single" w:color="auto" w:sz="4" w:space="0"/>
            </w:tcBorders>
            <w:noWrap w:val="0"/>
            <w:vAlign w:val="center"/>
          </w:tcPr>
          <w:p w14:paraId="0ACB699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197EAA9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37A3E3C7">
            <w:pPr>
              <w:jc w:val="left"/>
              <w:rPr>
                <w:rFonts w:hint="eastAsia" w:ascii="宋体" w:hAnsi="宋体" w:eastAsia="宋体" w:cs="宋体"/>
                <w:color w:val="000000" w:themeColor="text1"/>
                <w:szCs w:val="21"/>
                <w:highlight w:val="none"/>
                <w14:textFill>
                  <w14:solidFill>
                    <w14:schemeClr w14:val="tx1"/>
                  </w14:solidFill>
                </w14:textFill>
              </w:rPr>
            </w:pPr>
          </w:p>
        </w:tc>
      </w:tr>
      <w:tr w14:paraId="73C3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450A806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200" w:type="dxa"/>
            <w:tcBorders>
              <w:top w:val="single" w:color="auto" w:sz="4" w:space="0"/>
              <w:left w:val="nil"/>
              <w:bottom w:val="single" w:color="auto" w:sz="4" w:space="0"/>
              <w:right w:val="single" w:color="auto" w:sz="4" w:space="0"/>
            </w:tcBorders>
            <w:noWrap w:val="0"/>
            <w:vAlign w:val="center"/>
          </w:tcPr>
          <w:p w14:paraId="1B46237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28701FB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9092F14">
            <w:pPr>
              <w:jc w:val="left"/>
              <w:rPr>
                <w:rFonts w:hint="eastAsia" w:ascii="宋体" w:hAnsi="宋体" w:eastAsia="宋体" w:cs="宋体"/>
                <w:color w:val="000000" w:themeColor="text1"/>
                <w:szCs w:val="21"/>
                <w:highlight w:val="none"/>
                <w14:textFill>
                  <w14:solidFill>
                    <w14:schemeClr w14:val="tx1"/>
                  </w14:solidFill>
                </w14:textFill>
              </w:rPr>
            </w:pPr>
          </w:p>
        </w:tc>
      </w:tr>
      <w:tr w14:paraId="13B4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50348513">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（三）承重支撑体系：用于钢结构安装等满堂支撑体系。</w:t>
            </w:r>
          </w:p>
        </w:tc>
        <w:tc>
          <w:tcPr>
            <w:tcW w:w="1200" w:type="dxa"/>
            <w:tcBorders>
              <w:top w:val="single" w:color="auto" w:sz="4" w:space="0"/>
              <w:left w:val="nil"/>
              <w:bottom w:val="single" w:color="auto" w:sz="4" w:space="0"/>
              <w:right w:val="single" w:color="auto" w:sz="4" w:space="0"/>
            </w:tcBorders>
            <w:noWrap w:val="0"/>
            <w:vAlign w:val="center"/>
          </w:tcPr>
          <w:p w14:paraId="461991E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6AC4E2B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B3E7F87">
            <w:pPr>
              <w:jc w:val="left"/>
              <w:rPr>
                <w:rFonts w:hint="eastAsia" w:ascii="宋体" w:hAnsi="宋体" w:eastAsia="宋体" w:cs="宋体"/>
                <w:color w:val="000000" w:themeColor="text1"/>
                <w:szCs w:val="21"/>
                <w:highlight w:val="none"/>
                <w14:textFill>
                  <w14:solidFill>
                    <w14:schemeClr w14:val="tx1"/>
                  </w14:solidFill>
                </w14:textFill>
              </w:rPr>
            </w:pPr>
          </w:p>
        </w:tc>
      </w:tr>
      <w:tr w14:paraId="3807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2EDA01EE">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三、起重吊装及起重机械安装拆卸工程</w:t>
            </w:r>
          </w:p>
        </w:tc>
        <w:tc>
          <w:tcPr>
            <w:tcW w:w="1200" w:type="dxa"/>
            <w:tcBorders>
              <w:top w:val="single" w:color="auto" w:sz="4" w:space="0"/>
              <w:left w:val="nil"/>
              <w:bottom w:val="single" w:color="auto" w:sz="4" w:space="0"/>
              <w:right w:val="single" w:color="auto" w:sz="4" w:space="0"/>
            </w:tcBorders>
            <w:noWrap w:val="0"/>
            <w:vAlign w:val="center"/>
          </w:tcPr>
          <w:p w14:paraId="020E280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76718E6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3E732684">
            <w:pPr>
              <w:jc w:val="left"/>
              <w:rPr>
                <w:rFonts w:hint="eastAsia" w:ascii="宋体" w:hAnsi="宋体" w:eastAsia="宋体" w:cs="宋体"/>
                <w:color w:val="000000" w:themeColor="text1"/>
                <w:szCs w:val="21"/>
                <w:highlight w:val="none"/>
                <w14:textFill>
                  <w14:solidFill>
                    <w14:schemeClr w14:val="tx1"/>
                  </w14:solidFill>
                </w14:textFill>
              </w:rPr>
            </w:pPr>
          </w:p>
        </w:tc>
      </w:tr>
      <w:tr w14:paraId="3A47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5EE8CEC6">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（一）采用非常规起重设备、方法，且单件起吊重量在10kN及以上的起重吊装工程。</w:t>
            </w:r>
          </w:p>
        </w:tc>
        <w:tc>
          <w:tcPr>
            <w:tcW w:w="1200" w:type="dxa"/>
            <w:tcBorders>
              <w:top w:val="single" w:color="auto" w:sz="4" w:space="0"/>
              <w:left w:val="nil"/>
              <w:bottom w:val="single" w:color="auto" w:sz="4" w:space="0"/>
              <w:right w:val="single" w:color="auto" w:sz="4" w:space="0"/>
            </w:tcBorders>
            <w:noWrap w:val="0"/>
            <w:vAlign w:val="center"/>
          </w:tcPr>
          <w:p w14:paraId="2C7E859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5688309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1F4ADF5">
            <w:pPr>
              <w:jc w:val="left"/>
              <w:rPr>
                <w:rFonts w:hint="eastAsia" w:ascii="宋体" w:hAnsi="宋体" w:eastAsia="宋体" w:cs="宋体"/>
                <w:color w:val="000000" w:themeColor="text1"/>
                <w:szCs w:val="21"/>
                <w:highlight w:val="none"/>
                <w14:textFill>
                  <w14:solidFill>
                    <w14:schemeClr w14:val="tx1"/>
                  </w14:solidFill>
                </w14:textFill>
              </w:rPr>
            </w:pPr>
          </w:p>
        </w:tc>
      </w:tr>
      <w:tr w14:paraId="167F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6DA2561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（二）采用起重机械进行安装的工程。</w:t>
            </w:r>
          </w:p>
        </w:tc>
        <w:tc>
          <w:tcPr>
            <w:tcW w:w="1200" w:type="dxa"/>
            <w:tcBorders>
              <w:top w:val="single" w:color="auto" w:sz="4" w:space="0"/>
              <w:left w:val="nil"/>
              <w:bottom w:val="single" w:color="auto" w:sz="4" w:space="0"/>
              <w:right w:val="single" w:color="auto" w:sz="4" w:space="0"/>
            </w:tcBorders>
            <w:noWrap w:val="0"/>
            <w:vAlign w:val="center"/>
          </w:tcPr>
          <w:p w14:paraId="29F628F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94455C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040968CE">
            <w:pPr>
              <w:jc w:val="left"/>
              <w:rPr>
                <w:rFonts w:hint="eastAsia" w:ascii="宋体" w:hAnsi="宋体" w:eastAsia="宋体" w:cs="宋体"/>
                <w:color w:val="000000" w:themeColor="text1"/>
                <w:szCs w:val="21"/>
                <w:highlight w:val="none"/>
                <w14:textFill>
                  <w14:solidFill>
                    <w14:schemeClr w14:val="tx1"/>
                  </w14:solidFill>
                </w14:textFill>
              </w:rPr>
            </w:pPr>
          </w:p>
        </w:tc>
      </w:tr>
      <w:tr w14:paraId="2AAE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5DFB36C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（三）起重机械安装和拆卸工程。</w:t>
            </w:r>
          </w:p>
        </w:tc>
        <w:tc>
          <w:tcPr>
            <w:tcW w:w="1200" w:type="dxa"/>
            <w:tcBorders>
              <w:top w:val="single" w:color="auto" w:sz="4" w:space="0"/>
              <w:left w:val="nil"/>
              <w:bottom w:val="single" w:color="auto" w:sz="4" w:space="0"/>
              <w:right w:val="single" w:color="auto" w:sz="4" w:space="0"/>
            </w:tcBorders>
            <w:noWrap w:val="0"/>
            <w:vAlign w:val="center"/>
          </w:tcPr>
          <w:p w14:paraId="15DAA7D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5A1D0F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9A47AFB">
            <w:pPr>
              <w:jc w:val="left"/>
              <w:rPr>
                <w:rFonts w:hint="eastAsia" w:ascii="宋体" w:hAnsi="宋体" w:eastAsia="宋体" w:cs="宋体"/>
                <w:color w:val="000000" w:themeColor="text1"/>
                <w:szCs w:val="21"/>
                <w:highlight w:val="none"/>
                <w14:textFill>
                  <w14:solidFill>
                    <w14:schemeClr w14:val="tx1"/>
                  </w14:solidFill>
                </w14:textFill>
              </w:rPr>
            </w:pPr>
          </w:p>
        </w:tc>
      </w:tr>
      <w:tr w14:paraId="6B7C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6991957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四、脚手架工程</w:t>
            </w:r>
          </w:p>
        </w:tc>
        <w:tc>
          <w:tcPr>
            <w:tcW w:w="1200" w:type="dxa"/>
            <w:tcBorders>
              <w:top w:val="single" w:color="auto" w:sz="4" w:space="0"/>
              <w:left w:val="nil"/>
              <w:bottom w:val="single" w:color="auto" w:sz="4" w:space="0"/>
              <w:right w:val="single" w:color="auto" w:sz="4" w:space="0"/>
            </w:tcBorders>
            <w:noWrap w:val="0"/>
            <w:vAlign w:val="center"/>
          </w:tcPr>
          <w:p w14:paraId="7BBCA01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7248547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32567C5F">
            <w:pPr>
              <w:jc w:val="left"/>
              <w:rPr>
                <w:rFonts w:hint="eastAsia" w:ascii="宋体" w:hAnsi="宋体" w:eastAsia="宋体" w:cs="宋体"/>
                <w:color w:val="000000" w:themeColor="text1"/>
                <w:szCs w:val="21"/>
                <w:highlight w:val="none"/>
                <w14:textFill>
                  <w14:solidFill>
                    <w14:schemeClr w14:val="tx1"/>
                  </w14:solidFill>
                </w14:textFill>
              </w:rPr>
            </w:pPr>
          </w:p>
        </w:tc>
      </w:tr>
      <w:tr w14:paraId="47D4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4AFD788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（一）搭设高度24m及以上的落地式钢管脚手架工程（包括采光井、电梯井脚手架）。</w:t>
            </w:r>
          </w:p>
        </w:tc>
        <w:tc>
          <w:tcPr>
            <w:tcW w:w="1200" w:type="dxa"/>
            <w:tcBorders>
              <w:top w:val="single" w:color="auto" w:sz="4" w:space="0"/>
              <w:left w:val="nil"/>
              <w:bottom w:val="single" w:color="auto" w:sz="4" w:space="0"/>
              <w:right w:val="single" w:color="auto" w:sz="4" w:space="0"/>
            </w:tcBorders>
            <w:noWrap w:val="0"/>
            <w:vAlign w:val="center"/>
          </w:tcPr>
          <w:p w14:paraId="4615A94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2CF5939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2FB177E2">
            <w:pPr>
              <w:jc w:val="left"/>
              <w:rPr>
                <w:rFonts w:hint="eastAsia" w:ascii="宋体" w:hAnsi="宋体" w:eastAsia="宋体" w:cs="宋体"/>
                <w:color w:val="000000" w:themeColor="text1"/>
                <w:szCs w:val="21"/>
                <w:highlight w:val="none"/>
                <w14:textFill>
                  <w14:solidFill>
                    <w14:schemeClr w14:val="tx1"/>
                  </w14:solidFill>
                </w14:textFill>
              </w:rPr>
            </w:pPr>
          </w:p>
        </w:tc>
      </w:tr>
      <w:tr w14:paraId="5930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608EFA2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（二）附着式升降脚手架工程。</w:t>
            </w:r>
          </w:p>
        </w:tc>
        <w:tc>
          <w:tcPr>
            <w:tcW w:w="1200" w:type="dxa"/>
            <w:tcBorders>
              <w:top w:val="single" w:color="auto" w:sz="4" w:space="0"/>
              <w:left w:val="nil"/>
              <w:bottom w:val="single" w:color="auto" w:sz="4" w:space="0"/>
              <w:right w:val="single" w:color="auto" w:sz="4" w:space="0"/>
            </w:tcBorders>
            <w:noWrap w:val="0"/>
            <w:vAlign w:val="center"/>
          </w:tcPr>
          <w:p w14:paraId="6E40AE3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300D79C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9B0D833">
            <w:pPr>
              <w:jc w:val="left"/>
              <w:rPr>
                <w:rFonts w:hint="eastAsia" w:ascii="宋体" w:hAnsi="宋体" w:eastAsia="宋体" w:cs="宋体"/>
                <w:color w:val="000000" w:themeColor="text1"/>
                <w:szCs w:val="21"/>
                <w:highlight w:val="none"/>
                <w14:textFill>
                  <w14:solidFill>
                    <w14:schemeClr w14:val="tx1"/>
                  </w14:solidFill>
                </w14:textFill>
              </w:rPr>
            </w:pPr>
          </w:p>
        </w:tc>
      </w:tr>
      <w:tr w14:paraId="1C28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7514F80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（三）悬挑式脚手架工程。</w:t>
            </w:r>
          </w:p>
        </w:tc>
        <w:tc>
          <w:tcPr>
            <w:tcW w:w="1200" w:type="dxa"/>
            <w:tcBorders>
              <w:top w:val="single" w:color="auto" w:sz="4" w:space="0"/>
              <w:left w:val="nil"/>
              <w:bottom w:val="single" w:color="auto" w:sz="4" w:space="0"/>
              <w:right w:val="single" w:color="auto" w:sz="4" w:space="0"/>
            </w:tcBorders>
            <w:noWrap w:val="0"/>
            <w:vAlign w:val="center"/>
          </w:tcPr>
          <w:p w14:paraId="1AF29A4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5AEFC8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58ABA308">
            <w:pPr>
              <w:jc w:val="left"/>
              <w:rPr>
                <w:rFonts w:hint="eastAsia" w:ascii="宋体" w:hAnsi="宋体" w:eastAsia="宋体" w:cs="宋体"/>
                <w:color w:val="000000" w:themeColor="text1"/>
                <w:szCs w:val="21"/>
                <w:highlight w:val="none"/>
                <w14:textFill>
                  <w14:solidFill>
                    <w14:schemeClr w14:val="tx1"/>
                  </w14:solidFill>
                </w14:textFill>
              </w:rPr>
            </w:pPr>
          </w:p>
        </w:tc>
      </w:tr>
      <w:tr w14:paraId="384D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4585138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（四）高处作业吊篮。</w:t>
            </w:r>
          </w:p>
        </w:tc>
        <w:tc>
          <w:tcPr>
            <w:tcW w:w="1200" w:type="dxa"/>
            <w:tcBorders>
              <w:top w:val="single" w:color="auto" w:sz="4" w:space="0"/>
              <w:left w:val="nil"/>
              <w:bottom w:val="single" w:color="auto" w:sz="4" w:space="0"/>
              <w:right w:val="single" w:color="auto" w:sz="4" w:space="0"/>
            </w:tcBorders>
            <w:noWrap w:val="0"/>
            <w:vAlign w:val="center"/>
          </w:tcPr>
          <w:p w14:paraId="61B2504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3C5729B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54515D28">
            <w:pPr>
              <w:jc w:val="left"/>
              <w:rPr>
                <w:rFonts w:hint="eastAsia" w:ascii="宋体" w:hAnsi="宋体" w:eastAsia="宋体" w:cs="宋体"/>
                <w:color w:val="000000" w:themeColor="text1"/>
                <w:szCs w:val="21"/>
                <w:highlight w:val="none"/>
                <w14:textFill>
                  <w14:solidFill>
                    <w14:schemeClr w14:val="tx1"/>
                  </w14:solidFill>
                </w14:textFill>
              </w:rPr>
            </w:pPr>
          </w:p>
        </w:tc>
      </w:tr>
      <w:tr w14:paraId="5654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3D672DC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（五）卸料平台、操作平台工程。</w:t>
            </w:r>
          </w:p>
        </w:tc>
        <w:tc>
          <w:tcPr>
            <w:tcW w:w="1200" w:type="dxa"/>
            <w:tcBorders>
              <w:top w:val="single" w:color="auto" w:sz="4" w:space="0"/>
              <w:left w:val="nil"/>
              <w:bottom w:val="single" w:color="auto" w:sz="4" w:space="0"/>
              <w:right w:val="single" w:color="auto" w:sz="4" w:space="0"/>
            </w:tcBorders>
            <w:noWrap w:val="0"/>
            <w:vAlign w:val="center"/>
          </w:tcPr>
          <w:p w14:paraId="213D027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3979542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26638A89">
            <w:pPr>
              <w:jc w:val="left"/>
              <w:rPr>
                <w:rFonts w:hint="eastAsia" w:ascii="宋体" w:hAnsi="宋体" w:eastAsia="宋体" w:cs="宋体"/>
                <w:color w:val="000000" w:themeColor="text1"/>
                <w:szCs w:val="21"/>
                <w:highlight w:val="none"/>
                <w14:textFill>
                  <w14:solidFill>
                    <w14:schemeClr w14:val="tx1"/>
                  </w14:solidFill>
                </w14:textFill>
              </w:rPr>
            </w:pPr>
          </w:p>
        </w:tc>
      </w:tr>
      <w:tr w14:paraId="619D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45BDA8C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（六）异型脚手架工程。</w:t>
            </w:r>
          </w:p>
        </w:tc>
        <w:tc>
          <w:tcPr>
            <w:tcW w:w="1200" w:type="dxa"/>
            <w:tcBorders>
              <w:top w:val="single" w:color="auto" w:sz="4" w:space="0"/>
              <w:left w:val="nil"/>
              <w:bottom w:val="single" w:color="auto" w:sz="4" w:space="0"/>
              <w:right w:val="single" w:color="auto" w:sz="4" w:space="0"/>
            </w:tcBorders>
            <w:noWrap w:val="0"/>
            <w:vAlign w:val="center"/>
          </w:tcPr>
          <w:p w14:paraId="2C2C9A8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1D1FE12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22B6D707">
            <w:pPr>
              <w:jc w:val="left"/>
              <w:rPr>
                <w:rFonts w:hint="eastAsia" w:ascii="宋体" w:hAnsi="宋体" w:eastAsia="宋体" w:cs="宋体"/>
                <w:color w:val="000000" w:themeColor="text1"/>
                <w:szCs w:val="21"/>
                <w:highlight w:val="none"/>
                <w14:textFill>
                  <w14:solidFill>
                    <w14:schemeClr w14:val="tx1"/>
                  </w14:solidFill>
                </w14:textFill>
              </w:rPr>
            </w:pPr>
          </w:p>
        </w:tc>
      </w:tr>
      <w:tr w14:paraId="1819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26127A5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五、拆除工程</w:t>
            </w:r>
          </w:p>
        </w:tc>
        <w:tc>
          <w:tcPr>
            <w:tcW w:w="1200" w:type="dxa"/>
            <w:tcBorders>
              <w:top w:val="single" w:color="auto" w:sz="4" w:space="0"/>
              <w:left w:val="nil"/>
              <w:bottom w:val="single" w:color="auto" w:sz="4" w:space="0"/>
              <w:right w:val="single" w:color="auto" w:sz="4" w:space="0"/>
            </w:tcBorders>
            <w:noWrap w:val="0"/>
            <w:vAlign w:val="center"/>
          </w:tcPr>
          <w:p w14:paraId="74F2648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627C714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5E30EBF1">
            <w:pPr>
              <w:jc w:val="left"/>
              <w:rPr>
                <w:rFonts w:hint="eastAsia" w:ascii="宋体" w:hAnsi="宋体" w:eastAsia="宋体" w:cs="宋体"/>
                <w:color w:val="000000" w:themeColor="text1"/>
                <w:szCs w:val="21"/>
                <w:highlight w:val="none"/>
                <w14:textFill>
                  <w14:solidFill>
                    <w14:schemeClr w14:val="tx1"/>
                  </w14:solidFill>
                </w14:textFill>
              </w:rPr>
            </w:pPr>
          </w:p>
        </w:tc>
      </w:tr>
      <w:tr w14:paraId="6D4D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7071114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可能影响行人、交通、电力设施、通讯设施或其它建、构筑物安全的拆除工程。</w:t>
            </w:r>
          </w:p>
        </w:tc>
        <w:tc>
          <w:tcPr>
            <w:tcW w:w="1200" w:type="dxa"/>
            <w:tcBorders>
              <w:top w:val="single" w:color="auto" w:sz="4" w:space="0"/>
              <w:left w:val="nil"/>
              <w:bottom w:val="single" w:color="auto" w:sz="4" w:space="0"/>
              <w:right w:val="single" w:color="auto" w:sz="4" w:space="0"/>
            </w:tcBorders>
            <w:noWrap w:val="0"/>
            <w:vAlign w:val="center"/>
          </w:tcPr>
          <w:p w14:paraId="3D30515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7C8A469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FBA6408">
            <w:pPr>
              <w:jc w:val="left"/>
              <w:rPr>
                <w:rFonts w:hint="eastAsia" w:ascii="宋体" w:hAnsi="宋体" w:eastAsia="宋体" w:cs="宋体"/>
                <w:color w:val="000000" w:themeColor="text1"/>
                <w:szCs w:val="21"/>
                <w:highlight w:val="none"/>
                <w14:textFill>
                  <w14:solidFill>
                    <w14:schemeClr w14:val="tx1"/>
                  </w14:solidFill>
                </w14:textFill>
              </w:rPr>
            </w:pPr>
          </w:p>
        </w:tc>
      </w:tr>
      <w:tr w14:paraId="4B78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58EF467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六、暗挖工程</w:t>
            </w:r>
          </w:p>
        </w:tc>
        <w:tc>
          <w:tcPr>
            <w:tcW w:w="1200" w:type="dxa"/>
            <w:tcBorders>
              <w:top w:val="single" w:color="auto" w:sz="4" w:space="0"/>
              <w:left w:val="nil"/>
              <w:bottom w:val="single" w:color="auto" w:sz="4" w:space="0"/>
              <w:right w:val="single" w:color="auto" w:sz="4" w:space="0"/>
            </w:tcBorders>
            <w:noWrap w:val="0"/>
            <w:vAlign w:val="center"/>
          </w:tcPr>
          <w:p w14:paraId="46CC432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1D60F05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076DD932">
            <w:pPr>
              <w:jc w:val="left"/>
              <w:rPr>
                <w:rFonts w:hint="eastAsia" w:ascii="宋体" w:hAnsi="宋体" w:eastAsia="宋体" w:cs="宋体"/>
                <w:color w:val="000000" w:themeColor="text1"/>
                <w:szCs w:val="21"/>
                <w:highlight w:val="none"/>
                <w14:textFill>
                  <w14:solidFill>
                    <w14:schemeClr w14:val="tx1"/>
                  </w14:solidFill>
                </w14:textFill>
              </w:rPr>
            </w:pPr>
          </w:p>
        </w:tc>
      </w:tr>
      <w:tr w14:paraId="6F77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41DBA9F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采用矿山法、盾构法、顶管法施工的隧道、洞室工程。</w:t>
            </w:r>
          </w:p>
        </w:tc>
        <w:tc>
          <w:tcPr>
            <w:tcW w:w="1200" w:type="dxa"/>
            <w:tcBorders>
              <w:top w:val="single" w:color="auto" w:sz="4" w:space="0"/>
              <w:left w:val="nil"/>
              <w:bottom w:val="single" w:color="auto" w:sz="4" w:space="0"/>
              <w:right w:val="single" w:color="auto" w:sz="4" w:space="0"/>
            </w:tcBorders>
            <w:noWrap w:val="0"/>
            <w:vAlign w:val="center"/>
          </w:tcPr>
          <w:p w14:paraId="28AFD6E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307B1C5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7EA9A91C">
            <w:pPr>
              <w:jc w:val="left"/>
              <w:rPr>
                <w:rFonts w:hint="eastAsia" w:ascii="宋体" w:hAnsi="宋体" w:eastAsia="宋体" w:cs="宋体"/>
                <w:color w:val="000000" w:themeColor="text1"/>
                <w:szCs w:val="21"/>
                <w:highlight w:val="none"/>
                <w14:textFill>
                  <w14:solidFill>
                    <w14:schemeClr w14:val="tx1"/>
                  </w14:solidFill>
                </w14:textFill>
              </w:rPr>
            </w:pPr>
          </w:p>
        </w:tc>
      </w:tr>
      <w:tr w14:paraId="2762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1171C90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七、其它</w:t>
            </w:r>
          </w:p>
        </w:tc>
        <w:tc>
          <w:tcPr>
            <w:tcW w:w="1200" w:type="dxa"/>
            <w:tcBorders>
              <w:top w:val="single" w:color="auto" w:sz="4" w:space="0"/>
              <w:left w:val="nil"/>
              <w:bottom w:val="single" w:color="auto" w:sz="4" w:space="0"/>
              <w:right w:val="single" w:color="auto" w:sz="4" w:space="0"/>
            </w:tcBorders>
            <w:noWrap w:val="0"/>
            <w:vAlign w:val="center"/>
          </w:tcPr>
          <w:p w14:paraId="50C3A5C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5C0F02C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50F974C5">
            <w:pPr>
              <w:jc w:val="left"/>
              <w:rPr>
                <w:rFonts w:hint="eastAsia" w:ascii="宋体" w:hAnsi="宋体" w:eastAsia="宋体" w:cs="宋体"/>
                <w:color w:val="000000" w:themeColor="text1"/>
                <w:szCs w:val="21"/>
                <w:highlight w:val="none"/>
                <w14:textFill>
                  <w14:solidFill>
                    <w14:schemeClr w14:val="tx1"/>
                  </w14:solidFill>
                </w14:textFill>
              </w:rPr>
            </w:pPr>
          </w:p>
        </w:tc>
      </w:tr>
      <w:tr w14:paraId="36AE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5A170B0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（一）建筑幕墙安装工程。</w:t>
            </w:r>
          </w:p>
        </w:tc>
        <w:tc>
          <w:tcPr>
            <w:tcW w:w="1200" w:type="dxa"/>
            <w:tcBorders>
              <w:top w:val="single" w:color="auto" w:sz="4" w:space="0"/>
              <w:left w:val="nil"/>
              <w:bottom w:val="single" w:color="auto" w:sz="4" w:space="0"/>
              <w:right w:val="single" w:color="auto" w:sz="4" w:space="0"/>
            </w:tcBorders>
            <w:noWrap w:val="0"/>
            <w:vAlign w:val="center"/>
          </w:tcPr>
          <w:p w14:paraId="4292521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2448DFC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38DA5949">
            <w:pPr>
              <w:jc w:val="left"/>
              <w:rPr>
                <w:rFonts w:hint="eastAsia" w:ascii="宋体" w:hAnsi="宋体" w:eastAsia="宋体" w:cs="宋体"/>
                <w:color w:val="000000" w:themeColor="text1"/>
                <w:szCs w:val="21"/>
                <w:highlight w:val="none"/>
                <w14:textFill>
                  <w14:solidFill>
                    <w14:schemeClr w14:val="tx1"/>
                  </w14:solidFill>
                </w14:textFill>
              </w:rPr>
            </w:pPr>
          </w:p>
        </w:tc>
      </w:tr>
      <w:tr w14:paraId="471C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6EF445E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（二）钢结构、网架和索膜结构安装工程。</w:t>
            </w:r>
          </w:p>
        </w:tc>
        <w:tc>
          <w:tcPr>
            <w:tcW w:w="1200" w:type="dxa"/>
            <w:tcBorders>
              <w:top w:val="single" w:color="auto" w:sz="4" w:space="0"/>
              <w:left w:val="nil"/>
              <w:bottom w:val="single" w:color="auto" w:sz="4" w:space="0"/>
              <w:right w:val="single" w:color="auto" w:sz="4" w:space="0"/>
            </w:tcBorders>
            <w:noWrap w:val="0"/>
            <w:vAlign w:val="center"/>
          </w:tcPr>
          <w:p w14:paraId="5B03DC7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3EF8F67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62A14161">
            <w:pPr>
              <w:jc w:val="left"/>
              <w:rPr>
                <w:rFonts w:hint="eastAsia" w:ascii="宋体" w:hAnsi="宋体" w:eastAsia="宋体" w:cs="宋体"/>
                <w:color w:val="000000" w:themeColor="text1"/>
                <w:szCs w:val="21"/>
                <w:highlight w:val="none"/>
                <w14:textFill>
                  <w14:solidFill>
                    <w14:schemeClr w14:val="tx1"/>
                  </w14:solidFill>
                </w14:textFill>
              </w:rPr>
            </w:pPr>
          </w:p>
        </w:tc>
      </w:tr>
      <w:tr w14:paraId="088D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09D4868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（三）人工挖孔桩工程。</w:t>
            </w:r>
          </w:p>
        </w:tc>
        <w:tc>
          <w:tcPr>
            <w:tcW w:w="1200" w:type="dxa"/>
            <w:tcBorders>
              <w:top w:val="single" w:color="auto" w:sz="4" w:space="0"/>
              <w:left w:val="nil"/>
              <w:bottom w:val="single" w:color="auto" w:sz="4" w:space="0"/>
              <w:right w:val="single" w:color="auto" w:sz="4" w:space="0"/>
            </w:tcBorders>
            <w:noWrap w:val="0"/>
            <w:vAlign w:val="center"/>
          </w:tcPr>
          <w:p w14:paraId="7001EE1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25F7692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FCC989E">
            <w:pPr>
              <w:jc w:val="left"/>
              <w:rPr>
                <w:rFonts w:hint="eastAsia" w:ascii="宋体" w:hAnsi="宋体" w:eastAsia="宋体" w:cs="宋体"/>
                <w:color w:val="000000" w:themeColor="text1"/>
                <w:szCs w:val="21"/>
                <w:highlight w:val="none"/>
                <w14:textFill>
                  <w14:solidFill>
                    <w14:schemeClr w14:val="tx1"/>
                  </w14:solidFill>
                </w14:textFill>
              </w:rPr>
            </w:pPr>
          </w:p>
        </w:tc>
      </w:tr>
      <w:tr w14:paraId="29BC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369FEFE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（四）水下作业工程。</w:t>
            </w:r>
          </w:p>
        </w:tc>
        <w:tc>
          <w:tcPr>
            <w:tcW w:w="1200" w:type="dxa"/>
            <w:tcBorders>
              <w:top w:val="single" w:color="auto" w:sz="4" w:space="0"/>
              <w:left w:val="nil"/>
              <w:bottom w:val="single" w:color="auto" w:sz="4" w:space="0"/>
              <w:right w:val="single" w:color="auto" w:sz="4" w:space="0"/>
            </w:tcBorders>
            <w:noWrap w:val="0"/>
            <w:vAlign w:val="center"/>
          </w:tcPr>
          <w:p w14:paraId="3F9A7E3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5619A93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AACF247">
            <w:pPr>
              <w:jc w:val="left"/>
              <w:rPr>
                <w:rFonts w:hint="eastAsia" w:ascii="宋体" w:hAnsi="宋体" w:eastAsia="宋体" w:cs="宋体"/>
                <w:color w:val="000000" w:themeColor="text1"/>
                <w:szCs w:val="21"/>
                <w:highlight w:val="none"/>
                <w14:textFill>
                  <w14:solidFill>
                    <w14:schemeClr w14:val="tx1"/>
                  </w14:solidFill>
                </w14:textFill>
              </w:rPr>
            </w:pPr>
          </w:p>
        </w:tc>
      </w:tr>
      <w:tr w14:paraId="066A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1957E8E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（五）装配式建筑混凝土预制构件安装工程。</w:t>
            </w:r>
          </w:p>
        </w:tc>
        <w:tc>
          <w:tcPr>
            <w:tcW w:w="1200" w:type="dxa"/>
            <w:tcBorders>
              <w:top w:val="single" w:color="auto" w:sz="4" w:space="0"/>
              <w:left w:val="nil"/>
              <w:bottom w:val="single" w:color="auto" w:sz="4" w:space="0"/>
              <w:right w:val="single" w:color="auto" w:sz="4" w:space="0"/>
            </w:tcBorders>
            <w:noWrap w:val="0"/>
            <w:vAlign w:val="center"/>
          </w:tcPr>
          <w:p w14:paraId="1429361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36C6802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5BBAFF59">
            <w:pPr>
              <w:jc w:val="left"/>
              <w:rPr>
                <w:rFonts w:hint="eastAsia" w:ascii="宋体" w:hAnsi="宋体" w:eastAsia="宋体" w:cs="宋体"/>
                <w:color w:val="000000" w:themeColor="text1"/>
                <w:szCs w:val="21"/>
                <w:highlight w:val="none"/>
                <w14:textFill>
                  <w14:solidFill>
                    <w14:schemeClr w14:val="tx1"/>
                  </w14:solidFill>
                </w14:textFill>
              </w:rPr>
            </w:pPr>
          </w:p>
        </w:tc>
      </w:tr>
      <w:tr w14:paraId="6023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0BE5BB4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（六）采用新技术、新工艺、新材料、新设备可能影响工程施工安全，尚无国家、行业及地方技术标准的分部分项工程。</w:t>
            </w:r>
          </w:p>
        </w:tc>
        <w:tc>
          <w:tcPr>
            <w:tcW w:w="1200" w:type="dxa"/>
            <w:tcBorders>
              <w:top w:val="single" w:color="auto" w:sz="4" w:space="0"/>
              <w:left w:val="nil"/>
              <w:bottom w:val="single" w:color="auto" w:sz="4" w:space="0"/>
              <w:right w:val="single" w:color="auto" w:sz="4" w:space="0"/>
            </w:tcBorders>
            <w:noWrap w:val="0"/>
            <w:vAlign w:val="center"/>
          </w:tcPr>
          <w:p w14:paraId="3921ECC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546B256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2EF7D42A">
            <w:pPr>
              <w:jc w:val="left"/>
              <w:rPr>
                <w:rFonts w:hint="eastAsia" w:ascii="宋体" w:hAnsi="宋体" w:eastAsia="宋体" w:cs="宋体"/>
                <w:color w:val="000000" w:themeColor="text1"/>
                <w:szCs w:val="21"/>
                <w:highlight w:val="none"/>
                <w14:textFill>
                  <w14:solidFill>
                    <w14:schemeClr w14:val="tx1"/>
                  </w14:solidFill>
                </w14:textFill>
              </w:rPr>
            </w:pPr>
          </w:p>
        </w:tc>
      </w:tr>
      <w:tr w14:paraId="4A96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center"/>
          </w:tcPr>
          <w:p w14:paraId="2C2D8EBF">
            <w:pPr>
              <w:widowControl/>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二、超过一定规模的危险性较大的分部分项工程清单</w:t>
            </w:r>
          </w:p>
        </w:tc>
        <w:tc>
          <w:tcPr>
            <w:tcW w:w="1200" w:type="dxa"/>
            <w:tcBorders>
              <w:top w:val="single" w:color="auto" w:sz="4" w:space="0"/>
              <w:left w:val="nil"/>
              <w:bottom w:val="single" w:color="auto" w:sz="4" w:space="0"/>
              <w:right w:val="single" w:color="auto" w:sz="4" w:space="0"/>
            </w:tcBorders>
            <w:noWrap w:val="0"/>
            <w:vAlign w:val="center"/>
          </w:tcPr>
          <w:p w14:paraId="08E144F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51EEC45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092151F3">
            <w:pPr>
              <w:jc w:val="left"/>
              <w:rPr>
                <w:rFonts w:hint="eastAsia" w:ascii="宋体" w:hAnsi="宋体" w:eastAsia="宋体" w:cs="宋体"/>
                <w:color w:val="000000" w:themeColor="text1"/>
                <w:szCs w:val="21"/>
                <w:highlight w:val="none"/>
                <w14:textFill>
                  <w14:solidFill>
                    <w14:schemeClr w14:val="tx1"/>
                  </w14:solidFill>
                </w14:textFill>
              </w:rPr>
            </w:pPr>
          </w:p>
        </w:tc>
      </w:tr>
      <w:tr w14:paraId="498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63E8A99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一、深基坑工程</w:t>
            </w:r>
          </w:p>
        </w:tc>
        <w:tc>
          <w:tcPr>
            <w:tcW w:w="1200" w:type="dxa"/>
            <w:tcBorders>
              <w:top w:val="single" w:color="auto" w:sz="4" w:space="0"/>
              <w:left w:val="nil"/>
              <w:bottom w:val="single" w:color="auto" w:sz="4" w:space="0"/>
              <w:right w:val="single" w:color="auto" w:sz="4" w:space="0"/>
            </w:tcBorders>
            <w:noWrap w:val="0"/>
            <w:vAlign w:val="center"/>
          </w:tcPr>
          <w:p w14:paraId="5A1A08A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3C32109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111AA45">
            <w:pPr>
              <w:jc w:val="left"/>
              <w:rPr>
                <w:rFonts w:hint="eastAsia" w:ascii="宋体" w:hAnsi="宋体" w:eastAsia="宋体" w:cs="宋体"/>
                <w:color w:val="000000" w:themeColor="text1"/>
                <w:szCs w:val="21"/>
                <w:highlight w:val="none"/>
                <w14:textFill>
                  <w14:solidFill>
                    <w14:schemeClr w14:val="tx1"/>
                  </w14:solidFill>
                </w14:textFill>
              </w:rPr>
            </w:pPr>
          </w:p>
        </w:tc>
      </w:tr>
      <w:tr w14:paraId="3665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5311972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开挖深度超过5m（含5m）的基坑（槽）的土方开挖、支护、降水工程。</w:t>
            </w:r>
          </w:p>
        </w:tc>
        <w:tc>
          <w:tcPr>
            <w:tcW w:w="1200" w:type="dxa"/>
            <w:tcBorders>
              <w:top w:val="single" w:color="auto" w:sz="4" w:space="0"/>
              <w:left w:val="nil"/>
              <w:bottom w:val="single" w:color="auto" w:sz="4" w:space="0"/>
              <w:right w:val="single" w:color="auto" w:sz="4" w:space="0"/>
            </w:tcBorders>
            <w:noWrap w:val="0"/>
            <w:vAlign w:val="center"/>
          </w:tcPr>
          <w:p w14:paraId="1020068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6AC2D21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5408666D">
            <w:pPr>
              <w:jc w:val="left"/>
              <w:rPr>
                <w:rFonts w:hint="eastAsia" w:ascii="宋体" w:hAnsi="宋体" w:eastAsia="宋体" w:cs="宋体"/>
                <w:color w:val="000000" w:themeColor="text1"/>
                <w:szCs w:val="21"/>
                <w:highlight w:val="none"/>
                <w14:textFill>
                  <w14:solidFill>
                    <w14:schemeClr w14:val="tx1"/>
                  </w14:solidFill>
                </w14:textFill>
              </w:rPr>
            </w:pPr>
          </w:p>
        </w:tc>
      </w:tr>
      <w:tr w14:paraId="62EC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10AF8FA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二、模板工程及支撑体系</w:t>
            </w:r>
          </w:p>
        </w:tc>
        <w:tc>
          <w:tcPr>
            <w:tcW w:w="1200" w:type="dxa"/>
            <w:tcBorders>
              <w:top w:val="single" w:color="auto" w:sz="4" w:space="0"/>
              <w:left w:val="nil"/>
              <w:bottom w:val="single" w:color="auto" w:sz="4" w:space="0"/>
              <w:right w:val="single" w:color="auto" w:sz="4" w:space="0"/>
            </w:tcBorders>
            <w:noWrap w:val="0"/>
            <w:vAlign w:val="center"/>
          </w:tcPr>
          <w:p w14:paraId="56066BE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526FB6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3A0EE929">
            <w:pPr>
              <w:jc w:val="left"/>
              <w:rPr>
                <w:rFonts w:hint="eastAsia" w:ascii="宋体" w:hAnsi="宋体" w:eastAsia="宋体" w:cs="宋体"/>
                <w:color w:val="000000" w:themeColor="text1"/>
                <w:szCs w:val="21"/>
                <w:highlight w:val="none"/>
                <w14:textFill>
                  <w14:solidFill>
                    <w14:schemeClr w14:val="tx1"/>
                  </w14:solidFill>
                </w14:textFill>
              </w:rPr>
            </w:pPr>
          </w:p>
        </w:tc>
      </w:tr>
      <w:tr w14:paraId="68E0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66D2FD3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（一）各类工具式模板工程：包括滑模、爬模、飞模、隧道模等工程。</w:t>
            </w:r>
          </w:p>
        </w:tc>
        <w:tc>
          <w:tcPr>
            <w:tcW w:w="1200" w:type="dxa"/>
            <w:tcBorders>
              <w:top w:val="single" w:color="auto" w:sz="4" w:space="0"/>
              <w:left w:val="nil"/>
              <w:bottom w:val="single" w:color="auto" w:sz="4" w:space="0"/>
              <w:right w:val="single" w:color="auto" w:sz="4" w:space="0"/>
            </w:tcBorders>
            <w:noWrap w:val="0"/>
            <w:vAlign w:val="center"/>
          </w:tcPr>
          <w:p w14:paraId="13033E3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3A7345C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23347389">
            <w:pPr>
              <w:jc w:val="left"/>
              <w:rPr>
                <w:rFonts w:hint="eastAsia" w:ascii="宋体" w:hAnsi="宋体" w:eastAsia="宋体" w:cs="宋体"/>
                <w:color w:val="000000" w:themeColor="text1"/>
                <w:szCs w:val="21"/>
                <w:highlight w:val="none"/>
                <w14:textFill>
                  <w14:solidFill>
                    <w14:schemeClr w14:val="tx1"/>
                  </w14:solidFill>
                </w14:textFill>
              </w:rPr>
            </w:pPr>
          </w:p>
        </w:tc>
      </w:tr>
      <w:tr w14:paraId="4060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6029836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（二）混凝土模板支撑工程：搭设高度8m及以上，或搭设跨度18m及以上，或施工总荷载（设计值）15kN/m2及以上，或集中线荷载（设计值）20kN/m及以上。</w:t>
            </w:r>
          </w:p>
        </w:tc>
        <w:tc>
          <w:tcPr>
            <w:tcW w:w="1200" w:type="dxa"/>
            <w:tcBorders>
              <w:top w:val="single" w:color="auto" w:sz="4" w:space="0"/>
              <w:left w:val="nil"/>
              <w:bottom w:val="single" w:color="auto" w:sz="4" w:space="0"/>
              <w:right w:val="single" w:color="auto" w:sz="4" w:space="0"/>
            </w:tcBorders>
            <w:noWrap w:val="0"/>
            <w:vAlign w:val="center"/>
          </w:tcPr>
          <w:p w14:paraId="195713E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65B9CDD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26927F36">
            <w:pPr>
              <w:jc w:val="left"/>
              <w:rPr>
                <w:rFonts w:hint="eastAsia" w:ascii="宋体" w:hAnsi="宋体" w:eastAsia="宋体" w:cs="宋体"/>
                <w:color w:val="000000" w:themeColor="text1"/>
                <w:szCs w:val="21"/>
                <w:highlight w:val="none"/>
                <w14:textFill>
                  <w14:solidFill>
                    <w14:schemeClr w14:val="tx1"/>
                  </w14:solidFill>
                </w14:textFill>
              </w:rPr>
            </w:pPr>
          </w:p>
        </w:tc>
      </w:tr>
      <w:tr w14:paraId="0CA6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3EAEB94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（三）承重支撑体系：用于钢结构安装等满堂支撑体系，承受单点集中荷载7kN及以上。</w:t>
            </w:r>
          </w:p>
        </w:tc>
        <w:tc>
          <w:tcPr>
            <w:tcW w:w="1200" w:type="dxa"/>
            <w:tcBorders>
              <w:top w:val="single" w:color="auto" w:sz="4" w:space="0"/>
              <w:left w:val="nil"/>
              <w:bottom w:val="single" w:color="auto" w:sz="4" w:space="0"/>
              <w:right w:val="single" w:color="auto" w:sz="4" w:space="0"/>
            </w:tcBorders>
            <w:noWrap w:val="0"/>
            <w:vAlign w:val="center"/>
          </w:tcPr>
          <w:p w14:paraId="06F3E41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7239874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2F2620D">
            <w:pPr>
              <w:jc w:val="left"/>
              <w:rPr>
                <w:rFonts w:hint="eastAsia" w:ascii="宋体" w:hAnsi="宋体" w:eastAsia="宋体" w:cs="宋体"/>
                <w:color w:val="000000" w:themeColor="text1"/>
                <w:szCs w:val="21"/>
                <w:highlight w:val="none"/>
                <w14:textFill>
                  <w14:solidFill>
                    <w14:schemeClr w14:val="tx1"/>
                  </w14:solidFill>
                </w14:textFill>
              </w:rPr>
            </w:pPr>
          </w:p>
        </w:tc>
      </w:tr>
      <w:tr w14:paraId="3531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2037EB1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三、起重吊装及起重机械安装拆卸工程</w:t>
            </w:r>
          </w:p>
        </w:tc>
        <w:tc>
          <w:tcPr>
            <w:tcW w:w="1200" w:type="dxa"/>
            <w:tcBorders>
              <w:top w:val="single" w:color="auto" w:sz="4" w:space="0"/>
              <w:left w:val="nil"/>
              <w:bottom w:val="single" w:color="auto" w:sz="4" w:space="0"/>
              <w:right w:val="single" w:color="auto" w:sz="4" w:space="0"/>
            </w:tcBorders>
            <w:noWrap w:val="0"/>
            <w:vAlign w:val="center"/>
          </w:tcPr>
          <w:p w14:paraId="21EE892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40EECE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7EF54CD2">
            <w:pPr>
              <w:jc w:val="left"/>
              <w:rPr>
                <w:rFonts w:hint="eastAsia" w:ascii="宋体" w:hAnsi="宋体" w:eastAsia="宋体" w:cs="宋体"/>
                <w:color w:val="000000" w:themeColor="text1"/>
                <w:szCs w:val="21"/>
                <w:highlight w:val="none"/>
                <w14:textFill>
                  <w14:solidFill>
                    <w14:schemeClr w14:val="tx1"/>
                  </w14:solidFill>
                </w14:textFill>
              </w:rPr>
            </w:pPr>
          </w:p>
        </w:tc>
      </w:tr>
      <w:tr w14:paraId="4BB9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27206BC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（一）采用非常规起重设备、方法，且单件起吊重量在100kN及以上的起重吊装工程。</w:t>
            </w:r>
          </w:p>
        </w:tc>
        <w:tc>
          <w:tcPr>
            <w:tcW w:w="1200" w:type="dxa"/>
            <w:tcBorders>
              <w:top w:val="single" w:color="auto" w:sz="4" w:space="0"/>
              <w:left w:val="nil"/>
              <w:bottom w:val="single" w:color="auto" w:sz="4" w:space="0"/>
              <w:right w:val="single" w:color="auto" w:sz="4" w:space="0"/>
            </w:tcBorders>
            <w:noWrap w:val="0"/>
            <w:vAlign w:val="center"/>
          </w:tcPr>
          <w:p w14:paraId="7D162E8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3E0D85A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7F359505">
            <w:pPr>
              <w:jc w:val="left"/>
              <w:rPr>
                <w:rFonts w:hint="eastAsia" w:ascii="宋体" w:hAnsi="宋体" w:eastAsia="宋体" w:cs="宋体"/>
                <w:color w:val="000000" w:themeColor="text1"/>
                <w:szCs w:val="21"/>
                <w:highlight w:val="none"/>
                <w14:textFill>
                  <w14:solidFill>
                    <w14:schemeClr w14:val="tx1"/>
                  </w14:solidFill>
                </w14:textFill>
              </w:rPr>
            </w:pPr>
          </w:p>
        </w:tc>
      </w:tr>
      <w:tr w14:paraId="5E3A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1AB8702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（二）起重量300kN及以上，或搭设总高度200m及以上，或搭设基础标高在200m及以上的起重机械安装和拆卸工程。</w:t>
            </w:r>
          </w:p>
        </w:tc>
        <w:tc>
          <w:tcPr>
            <w:tcW w:w="1200" w:type="dxa"/>
            <w:tcBorders>
              <w:top w:val="single" w:color="auto" w:sz="4" w:space="0"/>
              <w:left w:val="nil"/>
              <w:bottom w:val="single" w:color="auto" w:sz="4" w:space="0"/>
              <w:right w:val="single" w:color="auto" w:sz="4" w:space="0"/>
            </w:tcBorders>
            <w:noWrap w:val="0"/>
            <w:vAlign w:val="center"/>
          </w:tcPr>
          <w:p w14:paraId="4BFF885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170F26E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07DA1CA8">
            <w:pPr>
              <w:jc w:val="left"/>
              <w:rPr>
                <w:rFonts w:hint="eastAsia" w:ascii="宋体" w:hAnsi="宋体" w:eastAsia="宋体" w:cs="宋体"/>
                <w:color w:val="000000" w:themeColor="text1"/>
                <w:szCs w:val="21"/>
                <w:highlight w:val="none"/>
                <w14:textFill>
                  <w14:solidFill>
                    <w14:schemeClr w14:val="tx1"/>
                  </w14:solidFill>
                </w14:textFill>
              </w:rPr>
            </w:pPr>
          </w:p>
        </w:tc>
      </w:tr>
      <w:tr w14:paraId="7730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24D1BBB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四、脚手架工程</w:t>
            </w:r>
          </w:p>
        </w:tc>
        <w:tc>
          <w:tcPr>
            <w:tcW w:w="1200" w:type="dxa"/>
            <w:tcBorders>
              <w:top w:val="single" w:color="auto" w:sz="4" w:space="0"/>
              <w:left w:val="nil"/>
              <w:bottom w:val="single" w:color="auto" w:sz="4" w:space="0"/>
              <w:right w:val="single" w:color="auto" w:sz="4" w:space="0"/>
            </w:tcBorders>
            <w:noWrap w:val="0"/>
            <w:vAlign w:val="center"/>
          </w:tcPr>
          <w:p w14:paraId="755F15D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0BA8507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09925622">
            <w:pPr>
              <w:jc w:val="left"/>
              <w:rPr>
                <w:rFonts w:hint="eastAsia" w:ascii="宋体" w:hAnsi="宋体" w:eastAsia="宋体" w:cs="宋体"/>
                <w:color w:val="000000" w:themeColor="text1"/>
                <w:szCs w:val="21"/>
                <w:highlight w:val="none"/>
                <w14:textFill>
                  <w14:solidFill>
                    <w14:schemeClr w14:val="tx1"/>
                  </w14:solidFill>
                </w14:textFill>
              </w:rPr>
            </w:pPr>
          </w:p>
        </w:tc>
      </w:tr>
      <w:tr w14:paraId="4A32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1AA0FEE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（一）搭设高度50m及以上的落地式钢管脚手架工程。</w:t>
            </w:r>
          </w:p>
        </w:tc>
        <w:tc>
          <w:tcPr>
            <w:tcW w:w="1200" w:type="dxa"/>
            <w:tcBorders>
              <w:top w:val="single" w:color="auto" w:sz="4" w:space="0"/>
              <w:left w:val="nil"/>
              <w:bottom w:val="single" w:color="auto" w:sz="4" w:space="0"/>
              <w:right w:val="single" w:color="auto" w:sz="4" w:space="0"/>
            </w:tcBorders>
            <w:noWrap w:val="0"/>
            <w:vAlign w:val="center"/>
          </w:tcPr>
          <w:p w14:paraId="1A75DA7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29BBBCF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A4B34CC">
            <w:pPr>
              <w:jc w:val="left"/>
              <w:rPr>
                <w:rFonts w:hint="eastAsia" w:ascii="宋体" w:hAnsi="宋体" w:eastAsia="宋体" w:cs="宋体"/>
                <w:color w:val="000000" w:themeColor="text1"/>
                <w:szCs w:val="21"/>
                <w:highlight w:val="none"/>
                <w14:textFill>
                  <w14:solidFill>
                    <w14:schemeClr w14:val="tx1"/>
                  </w14:solidFill>
                </w14:textFill>
              </w:rPr>
            </w:pPr>
          </w:p>
        </w:tc>
      </w:tr>
      <w:tr w14:paraId="32E0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1594B03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（二）提升高度在150m及以上的附着式升降脚手架工程或附着式升降操作平台工程。</w:t>
            </w:r>
          </w:p>
        </w:tc>
        <w:tc>
          <w:tcPr>
            <w:tcW w:w="1200" w:type="dxa"/>
            <w:tcBorders>
              <w:top w:val="single" w:color="auto" w:sz="4" w:space="0"/>
              <w:left w:val="nil"/>
              <w:bottom w:val="single" w:color="auto" w:sz="4" w:space="0"/>
              <w:right w:val="single" w:color="auto" w:sz="4" w:space="0"/>
            </w:tcBorders>
            <w:noWrap w:val="0"/>
            <w:vAlign w:val="center"/>
          </w:tcPr>
          <w:p w14:paraId="3636FB1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CF60D0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8157617">
            <w:pPr>
              <w:jc w:val="left"/>
              <w:rPr>
                <w:rFonts w:hint="eastAsia" w:ascii="宋体" w:hAnsi="宋体" w:eastAsia="宋体" w:cs="宋体"/>
                <w:color w:val="000000" w:themeColor="text1"/>
                <w:szCs w:val="21"/>
                <w:highlight w:val="none"/>
                <w14:textFill>
                  <w14:solidFill>
                    <w14:schemeClr w14:val="tx1"/>
                  </w14:solidFill>
                </w14:textFill>
              </w:rPr>
            </w:pPr>
          </w:p>
        </w:tc>
      </w:tr>
      <w:tr w14:paraId="752E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1C20483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（三）分段架体搭设高度20m及以上的悬挑式脚手架工程。</w:t>
            </w:r>
          </w:p>
        </w:tc>
        <w:tc>
          <w:tcPr>
            <w:tcW w:w="1200" w:type="dxa"/>
            <w:tcBorders>
              <w:top w:val="single" w:color="auto" w:sz="4" w:space="0"/>
              <w:left w:val="nil"/>
              <w:bottom w:val="single" w:color="auto" w:sz="4" w:space="0"/>
              <w:right w:val="single" w:color="auto" w:sz="4" w:space="0"/>
            </w:tcBorders>
            <w:noWrap w:val="0"/>
            <w:vAlign w:val="center"/>
          </w:tcPr>
          <w:p w14:paraId="450C93D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6BCD35C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0ADB601D">
            <w:pPr>
              <w:jc w:val="left"/>
              <w:rPr>
                <w:rFonts w:hint="eastAsia" w:ascii="宋体" w:hAnsi="宋体" w:eastAsia="宋体" w:cs="宋体"/>
                <w:color w:val="000000" w:themeColor="text1"/>
                <w:szCs w:val="21"/>
                <w:highlight w:val="none"/>
                <w14:textFill>
                  <w14:solidFill>
                    <w14:schemeClr w14:val="tx1"/>
                  </w14:solidFill>
                </w14:textFill>
              </w:rPr>
            </w:pPr>
          </w:p>
        </w:tc>
      </w:tr>
      <w:tr w14:paraId="2990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6E41FB2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五、拆除工程</w:t>
            </w:r>
          </w:p>
        </w:tc>
        <w:tc>
          <w:tcPr>
            <w:tcW w:w="1200" w:type="dxa"/>
            <w:tcBorders>
              <w:top w:val="single" w:color="auto" w:sz="4" w:space="0"/>
              <w:left w:val="nil"/>
              <w:bottom w:val="single" w:color="auto" w:sz="4" w:space="0"/>
              <w:right w:val="single" w:color="auto" w:sz="4" w:space="0"/>
            </w:tcBorders>
            <w:noWrap w:val="0"/>
            <w:vAlign w:val="center"/>
          </w:tcPr>
          <w:p w14:paraId="11CB640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62E06E5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4D60CBA">
            <w:pPr>
              <w:jc w:val="left"/>
              <w:rPr>
                <w:rFonts w:hint="eastAsia" w:ascii="宋体" w:hAnsi="宋体" w:eastAsia="宋体" w:cs="宋体"/>
                <w:color w:val="000000" w:themeColor="text1"/>
                <w:szCs w:val="21"/>
                <w:highlight w:val="none"/>
                <w14:textFill>
                  <w14:solidFill>
                    <w14:schemeClr w14:val="tx1"/>
                  </w14:solidFill>
                </w14:textFill>
              </w:rPr>
            </w:pPr>
          </w:p>
        </w:tc>
      </w:tr>
      <w:tr w14:paraId="0ABF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780837F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（一）码头、桥梁、高架、烟囱、水塔或拆除中容易引起有毒有害气（液）体或粉尘扩散、易燃易爆事故发生的特殊建、构筑物的拆除工程。</w:t>
            </w:r>
          </w:p>
        </w:tc>
        <w:tc>
          <w:tcPr>
            <w:tcW w:w="1200" w:type="dxa"/>
            <w:tcBorders>
              <w:top w:val="single" w:color="auto" w:sz="4" w:space="0"/>
              <w:left w:val="nil"/>
              <w:bottom w:val="single" w:color="auto" w:sz="4" w:space="0"/>
              <w:right w:val="single" w:color="auto" w:sz="4" w:space="0"/>
            </w:tcBorders>
            <w:noWrap w:val="0"/>
            <w:vAlign w:val="center"/>
          </w:tcPr>
          <w:p w14:paraId="2D8EE24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325A953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09865722">
            <w:pPr>
              <w:jc w:val="left"/>
              <w:rPr>
                <w:rFonts w:hint="eastAsia" w:ascii="宋体" w:hAnsi="宋体" w:eastAsia="宋体" w:cs="宋体"/>
                <w:color w:val="000000" w:themeColor="text1"/>
                <w:szCs w:val="21"/>
                <w:highlight w:val="none"/>
                <w14:textFill>
                  <w14:solidFill>
                    <w14:schemeClr w14:val="tx1"/>
                  </w14:solidFill>
                </w14:textFill>
              </w:rPr>
            </w:pPr>
          </w:p>
        </w:tc>
      </w:tr>
      <w:tr w14:paraId="27C9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7BB0AAA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（二）文物保护建筑、优秀历史建筑或历史文化风貌区影响范围内的拆除工程。</w:t>
            </w:r>
          </w:p>
        </w:tc>
        <w:tc>
          <w:tcPr>
            <w:tcW w:w="1200" w:type="dxa"/>
            <w:tcBorders>
              <w:top w:val="single" w:color="auto" w:sz="4" w:space="0"/>
              <w:left w:val="nil"/>
              <w:bottom w:val="single" w:color="auto" w:sz="4" w:space="0"/>
              <w:right w:val="single" w:color="auto" w:sz="4" w:space="0"/>
            </w:tcBorders>
            <w:noWrap w:val="0"/>
            <w:vAlign w:val="center"/>
          </w:tcPr>
          <w:p w14:paraId="4ADC24F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553B9A7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9C88519">
            <w:pPr>
              <w:jc w:val="left"/>
              <w:rPr>
                <w:rFonts w:hint="eastAsia" w:ascii="宋体" w:hAnsi="宋体" w:eastAsia="宋体" w:cs="宋体"/>
                <w:color w:val="000000" w:themeColor="text1"/>
                <w:szCs w:val="21"/>
                <w:highlight w:val="none"/>
                <w14:textFill>
                  <w14:solidFill>
                    <w14:schemeClr w14:val="tx1"/>
                  </w14:solidFill>
                </w14:textFill>
              </w:rPr>
            </w:pPr>
          </w:p>
        </w:tc>
      </w:tr>
      <w:tr w14:paraId="7702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7A94C99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六、暗挖工程</w:t>
            </w:r>
          </w:p>
        </w:tc>
        <w:tc>
          <w:tcPr>
            <w:tcW w:w="1200" w:type="dxa"/>
            <w:tcBorders>
              <w:top w:val="single" w:color="auto" w:sz="4" w:space="0"/>
              <w:left w:val="nil"/>
              <w:bottom w:val="single" w:color="auto" w:sz="4" w:space="0"/>
              <w:right w:val="single" w:color="auto" w:sz="4" w:space="0"/>
            </w:tcBorders>
            <w:noWrap w:val="0"/>
            <w:vAlign w:val="center"/>
          </w:tcPr>
          <w:p w14:paraId="375E9D6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000842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370DC781">
            <w:pPr>
              <w:jc w:val="left"/>
              <w:rPr>
                <w:rFonts w:hint="eastAsia" w:ascii="宋体" w:hAnsi="宋体" w:eastAsia="宋体" w:cs="宋体"/>
                <w:color w:val="000000" w:themeColor="text1"/>
                <w:szCs w:val="21"/>
                <w:highlight w:val="none"/>
                <w14:textFill>
                  <w14:solidFill>
                    <w14:schemeClr w14:val="tx1"/>
                  </w14:solidFill>
                </w14:textFill>
              </w:rPr>
            </w:pPr>
          </w:p>
        </w:tc>
      </w:tr>
      <w:tr w14:paraId="7FE3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07F2778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采用矿山法、盾构法、顶管法施工的隧道、洞室工程。</w:t>
            </w:r>
          </w:p>
        </w:tc>
        <w:tc>
          <w:tcPr>
            <w:tcW w:w="1200" w:type="dxa"/>
            <w:tcBorders>
              <w:top w:val="single" w:color="auto" w:sz="4" w:space="0"/>
              <w:left w:val="nil"/>
              <w:bottom w:val="single" w:color="auto" w:sz="4" w:space="0"/>
              <w:right w:val="single" w:color="auto" w:sz="4" w:space="0"/>
            </w:tcBorders>
            <w:noWrap w:val="0"/>
            <w:vAlign w:val="center"/>
          </w:tcPr>
          <w:p w14:paraId="3FE9B06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0CAF2EC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214B3953">
            <w:pPr>
              <w:jc w:val="left"/>
              <w:rPr>
                <w:rFonts w:hint="eastAsia" w:ascii="宋体" w:hAnsi="宋体" w:eastAsia="宋体" w:cs="宋体"/>
                <w:color w:val="000000" w:themeColor="text1"/>
                <w:szCs w:val="21"/>
                <w:highlight w:val="none"/>
                <w14:textFill>
                  <w14:solidFill>
                    <w14:schemeClr w14:val="tx1"/>
                  </w14:solidFill>
                </w14:textFill>
              </w:rPr>
            </w:pPr>
          </w:p>
        </w:tc>
      </w:tr>
      <w:tr w14:paraId="1AB0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333D011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七、其它</w:t>
            </w:r>
          </w:p>
        </w:tc>
        <w:tc>
          <w:tcPr>
            <w:tcW w:w="1200" w:type="dxa"/>
            <w:tcBorders>
              <w:top w:val="single" w:color="auto" w:sz="4" w:space="0"/>
              <w:left w:val="nil"/>
              <w:bottom w:val="single" w:color="auto" w:sz="4" w:space="0"/>
              <w:right w:val="single" w:color="auto" w:sz="4" w:space="0"/>
            </w:tcBorders>
            <w:noWrap w:val="0"/>
            <w:vAlign w:val="center"/>
          </w:tcPr>
          <w:p w14:paraId="402A7F3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7536120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D23BA2C">
            <w:pPr>
              <w:jc w:val="left"/>
              <w:rPr>
                <w:rFonts w:hint="eastAsia" w:ascii="宋体" w:hAnsi="宋体" w:eastAsia="宋体" w:cs="宋体"/>
                <w:color w:val="000000" w:themeColor="text1"/>
                <w:szCs w:val="21"/>
                <w:highlight w:val="none"/>
                <w14:textFill>
                  <w14:solidFill>
                    <w14:schemeClr w14:val="tx1"/>
                  </w14:solidFill>
                </w14:textFill>
              </w:rPr>
            </w:pPr>
          </w:p>
        </w:tc>
      </w:tr>
      <w:tr w14:paraId="7F39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2503AEF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（一）施工高度50m及以上的建筑幕墙安装工程。</w:t>
            </w:r>
          </w:p>
        </w:tc>
        <w:tc>
          <w:tcPr>
            <w:tcW w:w="1200" w:type="dxa"/>
            <w:tcBorders>
              <w:top w:val="single" w:color="auto" w:sz="4" w:space="0"/>
              <w:left w:val="nil"/>
              <w:bottom w:val="single" w:color="auto" w:sz="4" w:space="0"/>
              <w:right w:val="single" w:color="auto" w:sz="4" w:space="0"/>
            </w:tcBorders>
            <w:noWrap w:val="0"/>
            <w:vAlign w:val="center"/>
          </w:tcPr>
          <w:p w14:paraId="3E0247D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58F177D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00208FD">
            <w:pPr>
              <w:jc w:val="left"/>
              <w:rPr>
                <w:rFonts w:hint="eastAsia" w:ascii="宋体" w:hAnsi="宋体" w:eastAsia="宋体" w:cs="宋体"/>
                <w:color w:val="000000" w:themeColor="text1"/>
                <w:szCs w:val="21"/>
                <w:highlight w:val="none"/>
                <w14:textFill>
                  <w14:solidFill>
                    <w14:schemeClr w14:val="tx1"/>
                  </w14:solidFill>
                </w14:textFill>
              </w:rPr>
            </w:pPr>
          </w:p>
        </w:tc>
      </w:tr>
      <w:tr w14:paraId="645C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258E9B3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（二）跨度36m及以上的钢结构安装工程，或跨度60m及以上的网架和索膜结构安装工程。</w:t>
            </w:r>
          </w:p>
        </w:tc>
        <w:tc>
          <w:tcPr>
            <w:tcW w:w="1200" w:type="dxa"/>
            <w:tcBorders>
              <w:top w:val="single" w:color="auto" w:sz="4" w:space="0"/>
              <w:left w:val="nil"/>
              <w:bottom w:val="single" w:color="auto" w:sz="4" w:space="0"/>
              <w:right w:val="single" w:color="auto" w:sz="4" w:space="0"/>
            </w:tcBorders>
            <w:noWrap w:val="0"/>
            <w:vAlign w:val="center"/>
          </w:tcPr>
          <w:p w14:paraId="3318002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532599D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7BEC3116">
            <w:pPr>
              <w:jc w:val="left"/>
              <w:rPr>
                <w:rFonts w:hint="eastAsia" w:ascii="宋体" w:hAnsi="宋体" w:eastAsia="宋体" w:cs="宋体"/>
                <w:color w:val="000000" w:themeColor="text1"/>
                <w:szCs w:val="21"/>
                <w:highlight w:val="none"/>
                <w14:textFill>
                  <w14:solidFill>
                    <w14:schemeClr w14:val="tx1"/>
                  </w14:solidFill>
                </w14:textFill>
              </w:rPr>
            </w:pPr>
          </w:p>
        </w:tc>
      </w:tr>
      <w:tr w14:paraId="0EED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56D3F2A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（三）开挖深度16m及以上的人工挖孔桩工程。</w:t>
            </w:r>
          </w:p>
        </w:tc>
        <w:tc>
          <w:tcPr>
            <w:tcW w:w="1200" w:type="dxa"/>
            <w:tcBorders>
              <w:top w:val="single" w:color="auto" w:sz="4" w:space="0"/>
              <w:left w:val="nil"/>
              <w:bottom w:val="single" w:color="auto" w:sz="4" w:space="0"/>
              <w:right w:val="single" w:color="auto" w:sz="4" w:space="0"/>
            </w:tcBorders>
            <w:noWrap w:val="0"/>
            <w:vAlign w:val="center"/>
          </w:tcPr>
          <w:p w14:paraId="4686EC6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3798F2A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372669C9">
            <w:pPr>
              <w:jc w:val="left"/>
              <w:rPr>
                <w:rFonts w:hint="eastAsia" w:ascii="宋体" w:hAnsi="宋体" w:eastAsia="宋体" w:cs="宋体"/>
                <w:color w:val="000000" w:themeColor="text1"/>
                <w:szCs w:val="21"/>
                <w:highlight w:val="none"/>
                <w14:textFill>
                  <w14:solidFill>
                    <w14:schemeClr w14:val="tx1"/>
                  </w14:solidFill>
                </w14:textFill>
              </w:rPr>
            </w:pPr>
          </w:p>
        </w:tc>
      </w:tr>
      <w:tr w14:paraId="12D0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202F2F1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（四）水下作业工程。</w:t>
            </w:r>
          </w:p>
        </w:tc>
        <w:tc>
          <w:tcPr>
            <w:tcW w:w="1200" w:type="dxa"/>
            <w:tcBorders>
              <w:top w:val="single" w:color="auto" w:sz="4" w:space="0"/>
              <w:left w:val="nil"/>
              <w:bottom w:val="single" w:color="auto" w:sz="4" w:space="0"/>
              <w:right w:val="single" w:color="auto" w:sz="4" w:space="0"/>
            </w:tcBorders>
            <w:noWrap w:val="0"/>
            <w:vAlign w:val="center"/>
          </w:tcPr>
          <w:p w14:paraId="003B714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0F60DB0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5D9F4D8">
            <w:pPr>
              <w:jc w:val="left"/>
              <w:rPr>
                <w:rFonts w:hint="eastAsia" w:ascii="宋体" w:hAnsi="宋体" w:eastAsia="宋体" w:cs="宋体"/>
                <w:color w:val="000000" w:themeColor="text1"/>
                <w:szCs w:val="21"/>
                <w:highlight w:val="none"/>
                <w14:textFill>
                  <w14:solidFill>
                    <w14:schemeClr w14:val="tx1"/>
                  </w14:solidFill>
                </w14:textFill>
              </w:rPr>
            </w:pPr>
          </w:p>
        </w:tc>
      </w:tr>
      <w:tr w14:paraId="3BFC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08CB4C3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（五）重量1000kN及以上的大型结构整体顶升、平移、转体等施工工艺。</w:t>
            </w:r>
          </w:p>
        </w:tc>
        <w:tc>
          <w:tcPr>
            <w:tcW w:w="1200" w:type="dxa"/>
            <w:tcBorders>
              <w:top w:val="single" w:color="auto" w:sz="4" w:space="0"/>
              <w:left w:val="nil"/>
              <w:bottom w:val="single" w:color="auto" w:sz="4" w:space="0"/>
              <w:right w:val="single" w:color="auto" w:sz="4" w:space="0"/>
            </w:tcBorders>
            <w:noWrap w:val="0"/>
            <w:vAlign w:val="center"/>
          </w:tcPr>
          <w:p w14:paraId="7E93B48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122B117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35CE706">
            <w:pPr>
              <w:jc w:val="left"/>
              <w:rPr>
                <w:rFonts w:hint="eastAsia" w:ascii="宋体" w:hAnsi="宋体" w:eastAsia="宋体" w:cs="宋体"/>
                <w:color w:val="000000" w:themeColor="text1"/>
                <w:szCs w:val="21"/>
                <w:highlight w:val="none"/>
                <w14:textFill>
                  <w14:solidFill>
                    <w14:schemeClr w14:val="tx1"/>
                  </w14:solidFill>
                </w14:textFill>
              </w:rPr>
            </w:pPr>
          </w:p>
        </w:tc>
      </w:tr>
      <w:tr w14:paraId="4D30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7440D6F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（六）采用新技术、新工艺、新材料、新设备可能影响工程施工安全，尚无国家、行业及地方技术标准的分部分项工程。</w:t>
            </w:r>
          </w:p>
        </w:tc>
        <w:tc>
          <w:tcPr>
            <w:tcW w:w="1200" w:type="dxa"/>
            <w:tcBorders>
              <w:top w:val="single" w:color="auto" w:sz="4" w:space="0"/>
              <w:left w:val="nil"/>
              <w:bottom w:val="single" w:color="auto" w:sz="4" w:space="0"/>
              <w:right w:val="single" w:color="auto" w:sz="4" w:space="0"/>
            </w:tcBorders>
            <w:noWrap w:val="0"/>
            <w:vAlign w:val="center"/>
          </w:tcPr>
          <w:p w14:paraId="2BD0D6B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3E5571A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3C0BC41">
            <w:pPr>
              <w:jc w:val="left"/>
              <w:rPr>
                <w:rFonts w:hint="eastAsia" w:ascii="宋体" w:hAnsi="宋体" w:eastAsia="宋体" w:cs="宋体"/>
                <w:color w:val="000000" w:themeColor="text1"/>
                <w:szCs w:val="21"/>
                <w:highlight w:val="none"/>
                <w14:textFill>
                  <w14:solidFill>
                    <w14:schemeClr w14:val="tx1"/>
                  </w14:solidFill>
                </w14:textFill>
              </w:rPr>
            </w:pPr>
          </w:p>
        </w:tc>
      </w:tr>
    </w:tbl>
    <w:p w14:paraId="4A36C2AC">
      <w:pPr>
        <w:spacing w:line="400" w:lineRule="exact"/>
        <w:ind w:firstLine="420" w:firstLineChars="200"/>
        <w:jc w:val="left"/>
        <w:rPr>
          <w:rFonts w:hint="eastAsia" w:ascii="宋体" w:hAnsi="宋体" w:eastAsia="宋体" w:cs="宋体"/>
          <w:color w:val="000000" w:themeColor="text1"/>
          <w:highlight w:val="none"/>
          <w14:textFill>
            <w14:solidFill>
              <w14:schemeClr w14:val="tx1"/>
            </w14:solidFill>
          </w14:textFill>
        </w:rPr>
      </w:pPr>
    </w:p>
    <w:p w14:paraId="7E461596">
      <w:pPr>
        <w:topLinePunct/>
        <w:adjustRightInd w:val="0"/>
        <w:snapToGrid w:val="0"/>
        <w:spacing w:line="400" w:lineRule="exact"/>
        <w:jc w:val="cente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投 标 人：</w:t>
      </w:r>
    </w:p>
    <w:p w14:paraId="03088A4B">
      <w:pPr>
        <w:topLinePunct/>
        <w:adjustRightInd w:val="0"/>
        <w:snapToGrid w:val="0"/>
        <w:spacing w:line="400" w:lineRule="exact"/>
        <w:jc w:val="right"/>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pPr>
    </w:p>
    <w:p w14:paraId="1F4C25FD">
      <w:pPr>
        <w:pStyle w:val="132"/>
        <w:ind w:firstLine="0" w:firstLineChars="0"/>
        <w:jc w:val="right"/>
        <w:rPr>
          <w:rFonts w:hint="eastAsia" w:ascii="宋体" w:hAnsi="宋体" w:eastAsia="宋体" w:cs="宋体"/>
          <w:snapToGrid w:val="0"/>
          <w:color w:val="000000" w:themeColor="text1"/>
          <w:highlight w:val="none"/>
          <w14:textFill>
            <w14:solidFill>
              <w14:schemeClr w14:val="tx1"/>
            </w14:solidFill>
          </w14:textFill>
        </w:rPr>
      </w:pPr>
      <w:r>
        <w:rPr>
          <w:rFonts w:hint="eastAsia" w:ascii="宋体" w:hAnsi="宋体" w:eastAsia="宋体" w:cs="宋体"/>
          <w:snapToGrid w:val="0"/>
          <w:color w:val="000000" w:themeColor="text1"/>
          <w:highlight w:val="none"/>
          <w14:textFill>
            <w14:solidFill>
              <w14:schemeClr w14:val="tx1"/>
            </w14:solidFill>
          </w14:textFill>
        </w:rPr>
        <w:t>日    期：    年    月    日</w:t>
      </w:r>
    </w:p>
    <w:p w14:paraId="0C6FA5E5">
      <w:pPr>
        <w:pStyle w:val="132"/>
        <w:ind w:firstLine="0" w:firstLineChars="0"/>
        <w:outlineLvl w:val="2"/>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highlight w:val="none"/>
          <w14:textFill>
            <w14:solidFill>
              <w14:schemeClr w14:val="tx1"/>
            </w14:solidFill>
          </w14:textFill>
        </w:rPr>
        <w:br w:type="page"/>
      </w:r>
      <w:bookmarkStart w:id="67" w:name="_Toc21208"/>
      <w:r>
        <w:rPr>
          <w:rFonts w:hint="eastAsia" w:ascii="宋体" w:hAnsi="宋体" w:eastAsia="宋体" w:cs="宋体"/>
          <w:b/>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b/>
          <w:bCs/>
          <w:color w:val="000000" w:themeColor="text1"/>
          <w:sz w:val="21"/>
          <w:szCs w:val="21"/>
          <w:highlight w:val="none"/>
          <w14:textFill>
            <w14:solidFill>
              <w14:schemeClr w14:val="tx1"/>
            </w14:solidFill>
          </w14:textFill>
        </w:rPr>
        <w:t>格式八</w:t>
      </w:r>
      <w:r>
        <w:rPr>
          <w:rFonts w:hint="eastAsia" w:ascii="宋体" w:hAnsi="宋体" w:eastAsia="宋体" w:cs="宋体"/>
          <w:color w:val="000000" w:themeColor="text1"/>
          <w:sz w:val="21"/>
          <w:szCs w:val="21"/>
          <w:highlight w:val="none"/>
          <w14:textFill>
            <w14:solidFill>
              <w14:schemeClr w14:val="tx1"/>
            </w14:solidFill>
          </w14:textFill>
        </w:rPr>
        <w:t>：</w:t>
      </w:r>
      <w:bookmarkEnd w:id="67"/>
    </w:p>
    <w:p w14:paraId="207EFCD9">
      <w:pPr>
        <w:pStyle w:val="131"/>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承  诺  书</w:t>
      </w:r>
    </w:p>
    <w:p w14:paraId="2C55318C">
      <w:pPr>
        <w:pStyle w:val="132"/>
        <w:ind w:firstLine="0" w:firstLineChars="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致：招标人</w:t>
      </w:r>
    </w:p>
    <w:p w14:paraId="6C41D0BC">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经详细阅读本工程招标文件、招标答疑纪要和踏勘现场，我司已理解招标人对本招标项目要求，在此，我司郑重作出以下承诺：</w:t>
      </w:r>
    </w:p>
    <w:p w14:paraId="27486A71">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我司已按投标须知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1BF057D9">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3E92559D">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5B517C6E">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四、经认真进行市场调查，我司承诺本招标项目材料、设备来源有保证，可按投标承诺及时组织到货，无需代换，图纸、资料和设计文件中所要求的条件我司全部能够满足。</w:t>
      </w:r>
    </w:p>
    <w:p w14:paraId="51CDC4B9">
      <w:pPr>
        <w:pStyle w:val="132"/>
        <w:ind w:firstLine="436"/>
        <w:rPr>
          <w:rFonts w:hint="eastAsia" w:ascii="宋体" w:hAnsi="宋体" w:eastAsia="宋体" w:cs="宋体"/>
          <w:color w:val="000000" w:themeColor="text1"/>
          <w:spacing w:val="2"/>
          <w:positio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w:t>
      </w:r>
      <w:r>
        <w:rPr>
          <w:rFonts w:hint="eastAsia" w:ascii="宋体" w:hAnsi="宋体" w:eastAsia="宋体" w:cs="宋体"/>
          <w:color w:val="000000" w:themeColor="text1"/>
          <w:spacing w:val="2"/>
          <w:position w:val="2"/>
          <w:sz w:val="21"/>
          <w:szCs w:val="21"/>
          <w:highlight w:val="none"/>
          <w14:textFill>
            <w14:solidFill>
              <w14:schemeClr w14:val="tx1"/>
            </w14:solidFill>
          </w14:textFill>
        </w:rPr>
        <w:t>为确保按时、按质完成本工程的施工任务，我司经慎重考虑，承诺按招标文件的要求投入人员。否则，按合同约定处理，并承担违约责任。</w:t>
      </w:r>
    </w:p>
    <w:p w14:paraId="470221F5">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我司已充分阅读并理解招标文件第三章合同格式的所有内容，且对合同条款相关疑问已在投标阶段时提出。如果我司的投标被接受，将保证按招标文件规定的时间及合同条款与贵单位签订合同，且在办理合同签订手续时积极主动配合招标人，不提出任何违反招标文件合同条款精神的任何书面要求和疑问。</w:t>
      </w:r>
    </w:p>
    <w:p w14:paraId="43834E67">
      <w:pPr>
        <w:pStyle w:val="132"/>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七、我司保证本工程文明施工和职业健康安全管理方案完全满足国家、省、市政府、主管部门颁布的安全生产规程与规定，完全满足《建筑施工安全检查标准》（JGJ59-2011）、《广州市建设工程现场文明施工管理办法》（穗建质[2008]937号）、《广州市城乡建设委员会关于印发广州市加强建筑工地环保管理工作方案的通知》(穗建质〔2014〕754号)、《广州市建设工程绿色施工围蔽指导图集（V2.0版）》</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《广州市提升建设工程安全文明施工管理水平的工作指引》（穗建质[2017]815号）</w:t>
      </w:r>
      <w:r>
        <w:rPr>
          <w:rFonts w:hint="eastAsia" w:ascii="宋体" w:hAnsi="宋体" w:eastAsia="宋体" w:cs="宋体"/>
          <w:color w:val="000000" w:themeColor="text1"/>
          <w:spacing w:val="-2"/>
          <w:sz w:val="21"/>
          <w:szCs w:val="21"/>
          <w:highlight w:val="none"/>
          <w14:textFill>
            <w14:solidFill>
              <w14:schemeClr w14:val="tx1"/>
            </w14:solidFill>
          </w14:textFill>
        </w:rPr>
        <w:t>和《广州市建筑工程安全生产措施费管理办法》（穗建筑[2003]106号）各项规定和招标文件要求。否则，愿意无条件接受招标人的任何处罚，直至被清退出场，并为此承担相应的法律责任。</w:t>
      </w:r>
    </w:p>
    <w:p w14:paraId="69219696">
      <w:pPr>
        <w:pStyle w:val="132"/>
        <w:ind w:firstLine="412"/>
        <w:rPr>
          <w:rFonts w:hint="eastAsia" w:ascii="宋体" w:hAnsi="宋体" w:eastAsia="宋体" w:cs="宋体"/>
          <w:bCs/>
          <w:color w:val="000000" w:themeColor="text1"/>
          <w:spacing w:val="-2"/>
          <w:sz w:val="21"/>
          <w:szCs w:val="21"/>
          <w:highlight w:val="none"/>
          <w14:textFill>
            <w14:solidFill>
              <w14:schemeClr w14:val="tx1"/>
            </w14:solidFill>
          </w14:textFill>
        </w:rPr>
      </w:pPr>
      <w:r>
        <w:rPr>
          <w:rFonts w:hint="eastAsia" w:ascii="宋体" w:hAnsi="宋体" w:eastAsia="宋体" w:cs="宋体"/>
          <w:bCs/>
          <w:color w:val="000000" w:themeColor="text1"/>
          <w:spacing w:val="-2"/>
          <w:sz w:val="21"/>
          <w:szCs w:val="21"/>
          <w:highlight w:val="none"/>
          <w14:textFill>
            <w14:solidFill>
              <w14:schemeClr w14:val="tx1"/>
            </w14:solidFill>
          </w14:textFill>
        </w:rPr>
        <w:t>八、</w:t>
      </w:r>
      <w:r>
        <w:rPr>
          <w:rFonts w:hint="eastAsia" w:ascii="宋体" w:hAnsi="宋体" w:eastAsia="宋体" w:cs="宋体"/>
          <w:color w:val="000000" w:themeColor="text1"/>
          <w:spacing w:val="-2"/>
          <w:sz w:val="21"/>
          <w:szCs w:val="21"/>
          <w:highlight w:val="none"/>
          <w14:textFill>
            <w14:solidFill>
              <w14:schemeClr w14:val="tx1"/>
            </w14:solidFill>
          </w14:textFill>
        </w:rPr>
        <w:t>我司保证本工程竣工验收、竣工资料和竣工备案管理完全符合国家、省、市政府、主管部门颁布的竣工验收和档案管理各项规定及招标文件中提出的各项管理要求。</w:t>
      </w:r>
    </w:p>
    <w:p w14:paraId="3498470F">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九、我司保证在本项目投标中不存在围标、串标等违法、违规行为，如经招标监管部门查实存在上述行为，我司同意由招标人没收我司提交的投标保证金，并对由此造成的后果承担相应的法律责任。</w:t>
      </w:r>
    </w:p>
    <w:p w14:paraId="449F4730">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w:t>
      </w:r>
      <w:r>
        <w:rPr>
          <w:rFonts w:hint="eastAsia" w:ascii="宋体" w:hAnsi="宋体" w:eastAsia="宋体" w:cs="宋体"/>
          <w:color w:val="000000" w:themeColor="text1"/>
          <w:spacing w:val="-4"/>
          <w:sz w:val="21"/>
          <w:szCs w:val="21"/>
          <w:highlight w:val="none"/>
          <w14:textFill>
            <w14:solidFill>
              <w14:schemeClr w14:val="tx1"/>
            </w14:solidFill>
          </w14:textFill>
        </w:rPr>
        <w:t>如我司中标，我司承诺本项目的主要材料设备的选用严格按照发包人的规定执行，选用的材料设备的品牌、档次、技术参数需满足或优于投标文件要求，且不以任何理由调整中标的材料、设备价格</w:t>
      </w:r>
      <w:r>
        <w:rPr>
          <w:rFonts w:hint="eastAsia" w:ascii="宋体" w:hAnsi="宋体" w:eastAsia="宋体" w:cs="宋体"/>
          <w:color w:val="000000" w:themeColor="text1"/>
          <w:sz w:val="21"/>
          <w:szCs w:val="21"/>
          <w:highlight w:val="none"/>
          <w14:textFill>
            <w14:solidFill>
              <w14:schemeClr w14:val="tx1"/>
            </w14:solidFill>
          </w14:textFill>
        </w:rPr>
        <w:t>。</w:t>
      </w:r>
    </w:p>
    <w:p w14:paraId="1686E820">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十一、如果我司中标，对招标人、监理人为确保工程质量管理和工程进度而下达的调整人员配备要求的指令、通知，我司承诺无条件地在限期内执行并调整到位。</w:t>
      </w:r>
    </w:p>
    <w:p w14:paraId="4467A969">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十二、我公司承诺选用绿色生产达标企业生产的混凝土。</w:t>
      </w:r>
    </w:p>
    <w:p w14:paraId="438436C8">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三、如果我司中标，我方承诺在中标后按招标文件所附的施工组织设计基础上编制详细的施工组织设计，承诺严格按照招标人提出的施工现场建筑垃圾源头减量的具体要求以及建筑垃圾综合利用产品的使用要求执行，提供相应切实可行的措施，并报经监理单位和建设单位审批后落实至本工程实际成效中。</w:t>
      </w:r>
    </w:p>
    <w:p w14:paraId="04F2B75C">
      <w:pPr>
        <w:pStyle w:val="132"/>
        <w:ind w:firstLine="3052" w:firstLineChars="1400"/>
        <w:rPr>
          <w:rFonts w:hint="eastAsia" w:ascii="宋体" w:hAnsi="宋体" w:eastAsia="宋体" w:cs="宋体"/>
          <w:color w:val="000000" w:themeColor="text1"/>
          <w:sz w:val="21"/>
          <w:szCs w:val="21"/>
          <w:highlight w:val="none"/>
          <w14:textFill>
            <w14:solidFill>
              <w14:schemeClr w14:val="tx1"/>
            </w14:solidFill>
          </w14:textFill>
        </w:rPr>
      </w:pPr>
    </w:p>
    <w:p w14:paraId="4C4FE4B9">
      <w:pPr>
        <w:pStyle w:val="132"/>
        <w:ind w:firstLine="3052" w:firstLineChars="14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p>
    <w:p w14:paraId="494B75E2">
      <w:pPr>
        <w:pStyle w:val="132"/>
        <w:ind w:firstLine="3052" w:firstLineChars="1400"/>
        <w:rPr>
          <w:rFonts w:hint="eastAsia" w:ascii="宋体" w:hAnsi="宋体" w:eastAsia="宋体" w:cs="宋体"/>
          <w:color w:val="000000" w:themeColor="text1"/>
          <w:sz w:val="21"/>
          <w:szCs w:val="21"/>
          <w:highlight w:val="none"/>
          <w14:textFill>
            <w14:solidFill>
              <w14:schemeClr w14:val="tx1"/>
            </w14:solidFill>
          </w14:textFill>
        </w:rPr>
      </w:pPr>
    </w:p>
    <w:p w14:paraId="5B34E726">
      <w:pPr>
        <w:pStyle w:val="132"/>
        <w:ind w:firstLine="0" w:firstLineChars="0"/>
        <w:jc w:val="right"/>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    年    月    日</w:t>
      </w:r>
    </w:p>
    <w:p w14:paraId="486D80B8">
      <w:pPr>
        <w:pStyle w:val="135"/>
        <w:spacing w:beforeLines="0" w:after="120" w:line="400" w:lineRule="exact"/>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bookmarkStart w:id="68" w:name="_Toc25972"/>
      <w:r>
        <w:rPr>
          <w:rFonts w:hint="eastAsia" w:ascii="宋体" w:hAnsi="宋体" w:eastAsia="宋体" w:cs="宋体"/>
          <w:bCs/>
          <w:color w:val="000000" w:themeColor="text1"/>
          <w:sz w:val="21"/>
          <w:szCs w:val="21"/>
          <w:highlight w:val="none"/>
          <w14:textFill>
            <w14:solidFill>
              <w14:schemeClr w14:val="tx1"/>
            </w14:solidFill>
          </w14:textFill>
        </w:rPr>
        <w:t>第二部分、经济标投标文件</w:t>
      </w:r>
      <w:bookmarkEnd w:id="68"/>
    </w:p>
    <w:p w14:paraId="1EB27A0A">
      <w:pPr>
        <w:pStyle w:val="132"/>
        <w:ind w:firstLine="422"/>
        <w:rPr>
          <w:rFonts w:hint="eastAsia" w:ascii="宋体" w:hAnsi="宋体" w:eastAsia="宋体" w:cs="宋体"/>
          <w:b/>
          <w:bCs/>
          <w:color w:val="000000" w:themeColor="text1"/>
          <w:spacing w:val="0"/>
          <w:sz w:val="21"/>
          <w:szCs w:val="21"/>
          <w:highlight w:val="none"/>
          <w14:textFill>
            <w14:solidFill>
              <w14:schemeClr w14:val="tx1"/>
            </w14:solidFill>
          </w14:textFill>
        </w:rPr>
      </w:pPr>
      <w:r>
        <w:rPr>
          <w:rFonts w:hint="eastAsia" w:ascii="宋体" w:hAnsi="宋体" w:eastAsia="宋体" w:cs="宋体"/>
          <w:b/>
          <w:bCs/>
          <w:color w:val="000000" w:themeColor="text1"/>
          <w:spacing w:val="0"/>
          <w:sz w:val="21"/>
          <w:szCs w:val="21"/>
          <w:highlight w:val="none"/>
          <w14:textFill>
            <w14:solidFill>
              <w14:schemeClr w14:val="tx1"/>
            </w14:solidFill>
          </w14:textFill>
        </w:rPr>
        <w:t>经济标投标文件格式一：经济标投标文件封面</w:t>
      </w:r>
    </w:p>
    <w:p w14:paraId="070119C0">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380F9F09">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11F2844D">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1E60EACC">
      <w:pPr>
        <w:pStyle w:val="136"/>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[工程名称] </w:t>
      </w:r>
    </w:p>
    <w:p w14:paraId="66966025">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12F5150A">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6F11E7AF">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1A8D0D93">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1CDBE0FB">
      <w:pPr>
        <w:pStyle w:val="1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w:t>
      </w:r>
    </w:p>
    <w:p w14:paraId="368711C8">
      <w:pPr>
        <w:pStyle w:val="1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第二部分（经济标）</w:t>
      </w:r>
    </w:p>
    <w:p w14:paraId="41AF1AE0">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6E9BDD5E">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67C31123">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07B62F73">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5F270D04">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752B94A8">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6FE32170">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02CEDC91">
      <w:pPr>
        <w:pStyle w:val="138"/>
        <w:ind w:firstLine="1443" w:firstLineChars="66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p>
    <w:p w14:paraId="09F0F70F">
      <w:pPr>
        <w:pStyle w:val="138"/>
        <w:ind w:firstLine="1443" w:firstLineChars="662"/>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p>
    <w:p w14:paraId="4A3986F7">
      <w:pPr>
        <w:tabs>
          <w:tab w:val="left" w:pos="720"/>
        </w:tabs>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B97A816">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70116082">
      <w:pPr>
        <w:spacing w:line="360" w:lineRule="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经济标投标文件格式二：</w:t>
      </w:r>
    </w:p>
    <w:p w14:paraId="4EAAD9B3">
      <w:pPr>
        <w:pStyle w:val="13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工程量清单计价表</w:t>
      </w:r>
    </w:p>
    <w:p w14:paraId="2227E7F3">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68AE995C">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snapToGrid w:val="0"/>
          <w:color w:val="000000" w:themeColor="text1"/>
          <w:sz w:val="21"/>
          <w:szCs w:val="21"/>
          <w:highlight w:val="none"/>
          <w14:textFill>
            <w14:solidFill>
              <w14:schemeClr w14:val="tx1"/>
            </w14:solidFill>
          </w14:textFill>
        </w:rPr>
        <w:t>按投标须知修改表11.3.2条款要求，</w:t>
      </w:r>
      <w:r>
        <w:rPr>
          <w:rFonts w:hint="eastAsia" w:ascii="宋体" w:hAnsi="宋体" w:eastAsia="宋体" w:cs="宋体"/>
          <w:color w:val="000000" w:themeColor="text1"/>
          <w:sz w:val="21"/>
          <w:szCs w:val="21"/>
          <w:highlight w:val="none"/>
          <w14:textFill>
            <w14:solidFill>
              <w14:schemeClr w14:val="tx1"/>
            </w14:solidFill>
          </w14:textFill>
        </w:rPr>
        <w:t>详见工程量清单。</w:t>
      </w:r>
    </w:p>
    <w:p w14:paraId="0954B9AC">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2EC16B45">
      <w:pPr>
        <w:spacing w:line="360" w:lineRule="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经济标投标文件格式三：</w:t>
      </w:r>
    </w:p>
    <w:p w14:paraId="2B8DC83A">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参与编制经济标投标文件人员名单</w:t>
      </w:r>
    </w:p>
    <w:tbl>
      <w:tblPr>
        <w:tblStyle w:val="3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780C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noWrap w:val="0"/>
            <w:vAlign w:val="center"/>
          </w:tcPr>
          <w:p w14:paraId="3932EEBF">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p>
        </w:tc>
      </w:tr>
      <w:tr w14:paraId="0DE4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45A967DB">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A3CA8A6">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3B113B17">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所承担工作</w:t>
            </w:r>
          </w:p>
        </w:tc>
        <w:tc>
          <w:tcPr>
            <w:tcW w:w="2182" w:type="dxa"/>
            <w:tcBorders>
              <w:top w:val="single" w:color="auto" w:sz="4" w:space="0"/>
              <w:left w:val="single" w:color="auto" w:sz="4" w:space="0"/>
              <w:bottom w:val="single" w:color="auto" w:sz="4" w:space="0"/>
              <w:right w:val="single" w:color="auto" w:sz="4" w:space="0"/>
            </w:tcBorders>
            <w:noWrap w:val="0"/>
            <w:vAlign w:val="center"/>
          </w:tcPr>
          <w:p w14:paraId="20A663C6">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010511B5">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本人签名栏</w:t>
            </w:r>
          </w:p>
        </w:tc>
      </w:tr>
      <w:tr w14:paraId="6559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2EB4E17A">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089D4329">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B8CF7CB">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5E93D3D6">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1C0AA70A">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68D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595DB195">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F8BA4C6">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2F01EC4E">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6AAF11D5">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6C4504D7">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51B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42FB9509">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9894017">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5C7D20E1">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2DB80969">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292A7A75">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4F1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2D43DAF2">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9601CB4">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E46B256">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7F774921">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4D913657">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42DE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319B744E">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4EC82273">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74DB4226">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0EDDF1F0">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6A327C4C">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537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6F5BA82A">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99B2939">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3BDD14D5">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637021F2">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7F82DEE8">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FA9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7629B634">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324401A">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35D4B969">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6DCB2E73">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4178B259">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285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1B85D3CD">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5E300878">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A0C815E">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2E2D0A48">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6691AC56">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14:paraId="4EA0C08B">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注：参与编制投标文件所有人员名单应包括如编制各种专业工程量清单投标报价、负责清样校对、负责打印及复印等所有人员在内的人员名单。</w:t>
      </w:r>
    </w:p>
    <w:p w14:paraId="1775B2FA">
      <w:pPr>
        <w:autoSpaceDE w:val="0"/>
        <w:autoSpaceDN w:val="0"/>
        <w:adjustRightIn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r>
        <w:rPr>
          <w:rFonts w:hint="eastAsia" w:ascii="宋体" w:hAnsi="宋体" w:eastAsia="宋体" w:cs="宋体"/>
          <w:b/>
          <w:bCs/>
          <w:color w:val="000000" w:themeColor="text1"/>
          <w:kern w:val="0"/>
          <w:szCs w:val="21"/>
          <w:highlight w:val="none"/>
          <w14:textFill>
            <w14:solidFill>
              <w14:schemeClr w14:val="tx1"/>
            </w14:solidFill>
          </w14:textFill>
        </w:rPr>
        <w:t>经济标投标文件格式四：</w:t>
      </w:r>
    </w:p>
    <w:p w14:paraId="4EE00F4F">
      <w:pPr>
        <w:pStyle w:val="34"/>
        <w:spacing w:after="0" w:line="36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对投标文件编制的承诺</w:t>
      </w:r>
    </w:p>
    <w:p w14:paraId="2C518E66">
      <w:pPr>
        <w:pStyle w:val="34"/>
        <w:spacing w:after="0" w:line="360" w:lineRule="auto"/>
        <w:ind w:left="-2" w:leftChars="-1" w:firstLine="472" w:firstLineChars="2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本公司授权</w:t>
      </w:r>
      <w:r>
        <w:rPr>
          <w:rFonts w:hint="eastAsia" w:ascii="宋体" w:hAnsi="宋体" w:eastAsia="宋体" w:cs="宋体"/>
          <w:color w:val="000000" w:themeColor="text1"/>
          <w:sz w:val="21"/>
          <w:szCs w:val="21"/>
          <w:highlight w:val="none"/>
          <w:u w:val="single"/>
          <w14:textFill>
            <w14:solidFill>
              <w14:schemeClr w14:val="tx1"/>
            </w14:solidFill>
          </w14:textFill>
        </w:rPr>
        <w:t xml:space="preserve">         （身份证号：               ）</w:t>
      </w:r>
      <w:r>
        <w:rPr>
          <w:rFonts w:hint="eastAsia" w:ascii="宋体" w:hAnsi="宋体" w:eastAsia="宋体" w:cs="宋体"/>
          <w:color w:val="000000" w:themeColor="text1"/>
          <w:sz w:val="21"/>
          <w:szCs w:val="21"/>
          <w:highlight w:val="none"/>
          <w14:textFill>
            <w14:solidFill>
              <w14:schemeClr w14:val="tx1"/>
            </w14:solidFill>
          </w14:textFill>
        </w:rPr>
        <w:t>负责对投标文件的编制及内容进行解释、说明，并承诺以下事项：</w:t>
      </w:r>
    </w:p>
    <w:p w14:paraId="09EBBF9E">
      <w:pPr>
        <w:pStyle w:val="34"/>
        <w:spacing w:after="0" w:line="360" w:lineRule="auto"/>
        <w:ind w:left="-2" w:leftChars="-1" w:firstLine="472" w:firstLineChars="2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1.被授权人清楚投标文件编制的具体情况，包括技术方案文件、工程量清单、以及投标文件的加密打包的理解；</w:t>
      </w:r>
    </w:p>
    <w:p w14:paraId="1480D0F0">
      <w:pPr>
        <w:pStyle w:val="34"/>
        <w:spacing w:after="0" w:line="360" w:lineRule="auto"/>
        <w:ind w:left="-2" w:leftChars="-1" w:firstLine="472" w:firstLineChars="2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2.在本项目开标至评标结束前，努力确保被授权人在项目评标所在地附近；</w:t>
      </w:r>
    </w:p>
    <w:p w14:paraId="0A7F7F61">
      <w:pPr>
        <w:pStyle w:val="34"/>
        <w:spacing w:after="0" w:line="360" w:lineRule="auto"/>
        <w:ind w:left="-2" w:leftChars="-1" w:firstLine="472" w:firstLineChars="2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3.从评标委员会要求澄清起二小时内，被授权人应如实地书面澄清。</w:t>
      </w:r>
    </w:p>
    <w:p w14:paraId="058F9568">
      <w:pPr>
        <w:pStyle w:val="34"/>
        <w:spacing w:after="0" w:line="360" w:lineRule="auto"/>
        <w:ind w:left="-2" w:leftChars="-1" w:firstLine="472" w:firstLineChars="2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如由于未遵守上述承诺内容之一导致无法进行澄清的，我公司认可和接受评标委员会作出的评审结论。                                 </w:t>
      </w:r>
    </w:p>
    <w:p w14:paraId="5AE31E21">
      <w:pPr>
        <w:pStyle w:val="34"/>
        <w:spacing w:after="0"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p>
    <w:p w14:paraId="1EF8F35A">
      <w:pPr>
        <w:pStyle w:val="34"/>
        <w:spacing w:after="0" w:line="360" w:lineRule="auto"/>
        <w:ind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附件：《投标文件编制情况》</w:t>
      </w:r>
    </w:p>
    <w:p w14:paraId="410496B6">
      <w:pPr>
        <w:spacing w:line="360" w:lineRule="auto"/>
        <w:ind w:right="90" w:firstLine="2835" w:firstLineChars="135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投标人名称：</w:t>
      </w:r>
    </w:p>
    <w:p w14:paraId="15A0BCB2">
      <w:pPr>
        <w:spacing w:line="360" w:lineRule="auto"/>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p>
    <w:p w14:paraId="18D9F259">
      <w:pPr>
        <w:spacing w:line="360" w:lineRule="auto"/>
        <w:ind w:firstLine="3885" w:firstLineChars="18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  年  月  日</w:t>
      </w:r>
    </w:p>
    <w:p w14:paraId="309F45DC">
      <w:pPr>
        <w:pStyle w:val="34"/>
        <w:spacing w:after="0" w:line="360" w:lineRule="auto"/>
        <w:ind w:firstLine="0"/>
        <w:rPr>
          <w:rFonts w:hint="eastAsia" w:ascii="宋体" w:hAnsi="宋体" w:eastAsia="宋体" w:cs="宋体"/>
          <w:b/>
          <w:color w:val="000000" w:themeColor="text1"/>
          <w:sz w:val="21"/>
          <w:szCs w:val="21"/>
          <w:highlight w:val="none"/>
          <w14:textFill>
            <w14:solidFill>
              <w14:schemeClr w14:val="tx1"/>
            </w14:solidFill>
          </w14:textFill>
        </w:rPr>
      </w:pPr>
    </w:p>
    <w:p w14:paraId="56120D91">
      <w:pPr>
        <w:pStyle w:val="34"/>
        <w:spacing w:after="0" w:line="360" w:lineRule="auto"/>
        <w:ind w:firstLine="422"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投标文件编制情况</w:t>
      </w:r>
    </w:p>
    <w:p w14:paraId="6B4F44D2">
      <w:pPr>
        <w:pStyle w:val="34"/>
        <w:spacing w:after="0" w:line="360" w:lineRule="auto"/>
        <w:ind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1.投标文件报价编制方式: □自行编制的，编制的负责人：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（盖造价工程师执业专用章或全国建设工程造价员章，执业单位应与投标人一致） </w:t>
      </w:r>
      <w:r>
        <w:rPr>
          <w:rFonts w:hint="eastAsia" w:ascii="宋体" w:hAnsi="宋体" w:eastAsia="宋体" w:cs="宋体"/>
          <w:color w:val="000000" w:themeColor="text1"/>
          <w:sz w:val="21"/>
          <w:szCs w:val="21"/>
          <w:highlight w:val="none"/>
          <w14:textFill>
            <w14:solidFill>
              <w14:schemeClr w14:val="tx1"/>
            </w14:solidFill>
          </w14:textFill>
        </w:rPr>
        <w:t>。□委托编制的，受委托单位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，编制的负责人：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（盖造价工程师执业专用章或全国建设工程造价员章，执业单位应与受委托单位一致） </w:t>
      </w:r>
      <w:r>
        <w:rPr>
          <w:rFonts w:hint="eastAsia" w:ascii="宋体" w:hAnsi="宋体" w:eastAsia="宋体" w:cs="宋体"/>
          <w:color w:val="000000" w:themeColor="text1"/>
          <w:sz w:val="21"/>
          <w:szCs w:val="21"/>
          <w:highlight w:val="none"/>
          <w14:textFill>
            <w14:solidFill>
              <w14:schemeClr w14:val="tx1"/>
            </w14:solidFill>
          </w14:textFill>
        </w:rPr>
        <w:t>。</w:t>
      </w:r>
    </w:p>
    <w:p w14:paraId="342B3CEF">
      <w:pPr>
        <w:pStyle w:val="34"/>
        <w:spacing w:after="0" w:line="360" w:lineRule="auto"/>
        <w:ind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2.投标文件加密打包的电脑情况</w:t>
      </w:r>
    </w:p>
    <w:tbl>
      <w:tblPr>
        <w:tblStyle w:val="36"/>
        <w:tblW w:w="0" w:type="auto"/>
        <w:tblInd w:w="0" w:type="dxa"/>
        <w:tblLayout w:type="fixed"/>
        <w:tblCellMar>
          <w:top w:w="0" w:type="dxa"/>
          <w:left w:w="108" w:type="dxa"/>
          <w:bottom w:w="0" w:type="dxa"/>
          <w:right w:w="108" w:type="dxa"/>
        </w:tblCellMar>
      </w:tblPr>
      <w:tblGrid>
        <w:gridCol w:w="8522"/>
      </w:tblGrid>
      <w:tr w14:paraId="4801B471">
        <w:tblPrEx>
          <w:tblCellMar>
            <w:top w:w="0" w:type="dxa"/>
            <w:left w:w="108" w:type="dxa"/>
            <w:bottom w:w="0" w:type="dxa"/>
            <w:right w:w="108" w:type="dxa"/>
          </w:tblCellMar>
        </w:tblPrEx>
        <w:trPr>
          <w:trHeight w:val="2819" w:hRule="atLeast"/>
        </w:trPr>
        <w:tc>
          <w:tcPr>
            <w:tcW w:w="8522" w:type="dxa"/>
            <w:noWrap w:val="0"/>
            <w:vAlign w:val="top"/>
          </w:tcPr>
          <w:p w14:paraId="58F8CDE9">
            <w:pPr>
              <w:pStyle w:val="34"/>
              <w:spacing w:after="0" w:line="36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投标文件加密打包的电脑     自有    □      外包    □     其他    □</w:t>
            </w:r>
          </w:p>
          <w:p w14:paraId="14C6B5A6">
            <w:pPr>
              <w:pStyle w:val="34"/>
              <w:spacing w:after="0" w:line="36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电脑类型</w:t>
            </w:r>
          </w:p>
          <w:p w14:paraId="4E048B24">
            <w:pPr>
              <w:pStyle w:val="34"/>
              <w:spacing w:after="0" w:line="36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电脑所属单位</w:t>
            </w:r>
          </w:p>
          <w:p w14:paraId="78E21E8B">
            <w:pPr>
              <w:pStyle w:val="34"/>
              <w:spacing w:after="0" w:line="36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电脑所在地址    （如××市××区(县) ××街（路）××号××大厦××房）</w:t>
            </w:r>
          </w:p>
        </w:tc>
      </w:tr>
    </w:tbl>
    <w:p w14:paraId="234F345A">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B56FF7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br w:type="page"/>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1251AFBD">
      <w:pPr>
        <w:pStyle w:val="3"/>
        <w:jc w:val="center"/>
        <w:rPr>
          <w:rFonts w:ascii="宋体" w:hAnsi="宋体" w:eastAsia="宋体" w:cs="宋体"/>
          <w:b/>
          <w:color w:val="000000" w:themeColor="text1"/>
          <w:highlight w:val="none"/>
          <w14:textFill>
            <w14:solidFill>
              <w14:schemeClr w14:val="tx1"/>
            </w14:solidFill>
          </w14:textFill>
        </w:rPr>
      </w:pPr>
      <w:bookmarkStart w:id="69" w:name="_Toc8769"/>
      <w:r>
        <w:rPr>
          <w:rFonts w:hint="eastAsia" w:ascii="宋体" w:hAnsi="宋体" w:eastAsia="宋体" w:cs="宋体"/>
          <w:b/>
          <w:color w:val="000000" w:themeColor="text1"/>
          <w:highlight w:val="none"/>
          <w14:textFill>
            <w14:solidFill>
              <w14:schemeClr w14:val="tx1"/>
            </w14:solidFill>
          </w14:textFill>
        </w:rPr>
        <w:t>第五章</w:t>
      </w:r>
      <w:r>
        <w:rPr>
          <w:rFonts w:ascii="宋体" w:hAnsi="宋体" w:eastAsia="宋体" w:cs="宋体"/>
          <w:b/>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highlight w:val="none"/>
          <w14:textFill>
            <w14:solidFill>
              <w14:schemeClr w14:val="tx1"/>
            </w14:solidFill>
          </w14:textFill>
        </w:rPr>
        <w:t>技术条件（工程建设标准）</w:t>
      </w:r>
      <w:bookmarkEnd w:id="64"/>
      <w:bookmarkEnd w:id="69"/>
    </w:p>
    <w:p w14:paraId="0CCE45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w:t>
      </w:r>
      <w:r>
        <w:rPr>
          <w:rFonts w:hint="eastAsia" w:ascii="宋体" w:hAnsi="宋体" w:cs="宋体"/>
          <w:b/>
          <w:color w:val="000000" w:themeColor="text1"/>
          <w:sz w:val="24"/>
          <w:szCs w:val="24"/>
          <w:highlight w:val="none"/>
          <w:lang w:val="en-US" w:eastAsia="zh-CN"/>
          <w14:textFill>
            <w14:solidFill>
              <w14:schemeClr w14:val="tx1"/>
            </w14:solidFill>
          </w14:textFill>
        </w:rPr>
        <w:t>承包方式</w:t>
      </w:r>
    </w:p>
    <w:p w14:paraId="69528627">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4"/>
          <w:kern w:val="0"/>
          <w:sz w:val="24"/>
          <w:szCs w:val="24"/>
          <w:highlight w:val="none"/>
          <w:lang w:val="en-US" w:eastAsia="zh-CN"/>
          <w14:textFill>
            <w14:solidFill>
              <w14:schemeClr w14:val="tx1"/>
            </w14:solidFill>
          </w14:textFill>
        </w:rPr>
        <w:t>承包人</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根据</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招标</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施工图纸</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、工程量清单和相</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关</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协商文件</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，结合工程现场实际情况、工程性质、工程特点等要求，</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并</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以现有的图纸进行综合单价包干形式</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采取包报建、</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包税金、</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包工包料、包文明施工、包安全生产</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包</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工程</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质量、包</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施工</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工期、包现场组织</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和现场协调、</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包材料和设备检验</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试验、包质保期内工程质量保修、包竣工验收合格、包信息化项目的配合服务。</w:t>
      </w:r>
    </w:p>
    <w:p w14:paraId="69CBA07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二、建设施工需求</w:t>
      </w:r>
    </w:p>
    <w:p w14:paraId="2925BCDE">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pPr>
      <w:bookmarkStart w:id="70" w:name="_Toc43251300"/>
      <w:bookmarkStart w:id="71" w:name="_Toc503284278"/>
      <w:bookmarkStart w:id="72" w:name="_Toc12842"/>
      <w:r>
        <w:rPr>
          <w:rFonts w:hint="eastAsia" w:ascii="宋体" w:hAnsi="宋体" w:cs="宋体"/>
          <w:snapToGrid w:val="0"/>
          <w:color w:val="000000" w:themeColor="text1"/>
          <w:spacing w:val="4"/>
          <w:kern w:val="0"/>
          <w:sz w:val="24"/>
          <w:szCs w:val="24"/>
          <w:highlight w:val="none"/>
          <w14:textFill>
            <w14:solidFill>
              <w14:schemeClr w14:val="tx1"/>
            </w14:solidFill>
          </w14:textFill>
        </w:rPr>
        <w:t>本招标工程项目的材料、设备、施工须达到中华人民共和国以及省、市或行业的工程建设标准、规范的要求</w:t>
      </w:r>
      <w:r>
        <w:rPr>
          <w:rFonts w:hint="eastAsia" w:ascii="宋体" w:hAnsi="宋体" w:cs="宋体"/>
          <w:snapToGrid w:val="0"/>
          <w:color w:val="000000" w:themeColor="text1"/>
          <w:spacing w:val="4"/>
          <w:kern w:val="0"/>
          <w:sz w:val="24"/>
          <w:szCs w:val="24"/>
          <w:highlight w:val="none"/>
          <w:lang w:val="en-US" w:eastAsia="zh-CN"/>
          <w14:textFill>
            <w14:solidFill>
              <w14:schemeClr w14:val="tx1"/>
            </w14:solidFill>
          </w14:textFill>
        </w:rPr>
        <w:t>以及</w:t>
      </w:r>
      <w:r>
        <w:rPr>
          <w:rFonts w:hint="eastAsia" w:ascii="宋体" w:hAnsi="宋体"/>
          <w:color w:val="000000" w:themeColor="text1"/>
          <w:sz w:val="24"/>
          <w:szCs w:val="24"/>
          <w:highlight w:val="none"/>
          <w14:textFill>
            <w14:solidFill>
              <w14:schemeClr w14:val="tx1"/>
            </w14:solidFill>
          </w14:textFill>
        </w:rPr>
        <w:t>遵照招标人相关规定</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s="宋体"/>
          <w:snapToGrid w:val="0"/>
          <w:color w:val="000000" w:themeColor="text1"/>
          <w:spacing w:val="4"/>
          <w:kern w:val="0"/>
          <w:sz w:val="24"/>
          <w:szCs w:val="24"/>
          <w:highlight w:val="none"/>
          <w:lang w:val="en-US" w:eastAsia="zh-CN"/>
          <w14:textFill>
            <w14:solidFill>
              <w14:schemeClr w14:val="tx1"/>
            </w14:solidFill>
          </w14:textFill>
        </w:rPr>
        <w:t>建设标准需</w:t>
      </w:r>
      <w:r>
        <w:rPr>
          <w:rFonts w:hint="eastAsia" w:ascii="宋体" w:hAnsi="宋体" w:cs="宋体"/>
          <w:snapToGrid w:val="0"/>
          <w:color w:val="000000" w:themeColor="text1"/>
          <w:spacing w:val="4"/>
          <w:kern w:val="0"/>
          <w:sz w:val="24"/>
          <w:szCs w:val="24"/>
          <w:highlight w:val="none"/>
          <w14:textFill>
            <w14:solidFill>
              <w14:schemeClr w14:val="tx1"/>
            </w14:solidFill>
          </w14:textFill>
        </w:rPr>
        <w:t>依据设计文件</w:t>
      </w:r>
      <w:r>
        <w:rPr>
          <w:rFonts w:hint="eastAsia" w:ascii="宋体" w:hAnsi="宋体" w:cs="宋体"/>
          <w:snapToGrid w:val="0"/>
          <w:color w:val="000000" w:themeColor="text1"/>
          <w:spacing w:val="4"/>
          <w:kern w:val="0"/>
          <w:sz w:val="24"/>
          <w:szCs w:val="24"/>
          <w:highlight w:val="none"/>
          <w:lang w:eastAsia="zh-CN"/>
          <w14:textFill>
            <w14:solidFill>
              <w14:schemeClr w14:val="tx1"/>
            </w14:solidFill>
          </w14:textFill>
        </w:rPr>
        <w:t>、</w:t>
      </w:r>
      <w:r>
        <w:rPr>
          <w:rFonts w:hint="eastAsia" w:ascii="宋体" w:hAnsi="宋体" w:cs="宋体"/>
          <w:snapToGrid w:val="0"/>
          <w:color w:val="000000" w:themeColor="text1"/>
          <w:spacing w:val="4"/>
          <w:kern w:val="0"/>
          <w:sz w:val="24"/>
          <w:szCs w:val="24"/>
          <w:highlight w:val="none"/>
          <w14:textFill>
            <w14:solidFill>
              <w14:schemeClr w14:val="tx1"/>
            </w14:solidFill>
          </w14:textFill>
        </w:rPr>
        <w:t>施工图纸的要求</w:t>
      </w:r>
      <w:r>
        <w:rPr>
          <w:rFonts w:hint="eastAsia" w:ascii="宋体" w:hAnsi="宋体" w:cs="宋体"/>
          <w:snapToGrid w:val="0"/>
          <w:color w:val="000000" w:themeColor="text1"/>
          <w:spacing w:val="4"/>
          <w:kern w:val="0"/>
          <w:sz w:val="24"/>
          <w:szCs w:val="24"/>
          <w:highlight w:val="none"/>
          <w:lang w:val="en-US" w:eastAsia="zh-CN"/>
          <w14:textFill>
            <w14:solidFill>
              <w14:schemeClr w14:val="tx1"/>
            </w14:solidFill>
          </w14:textFill>
        </w:rPr>
        <w:t>进行施工作业</w:t>
      </w:r>
      <w:r>
        <w:rPr>
          <w:rFonts w:hint="eastAsia" w:ascii="宋体" w:hAnsi="宋体" w:cs="宋体"/>
          <w:snapToGrid w:val="0"/>
          <w:color w:val="000000" w:themeColor="text1"/>
          <w:spacing w:val="4"/>
          <w:kern w:val="0"/>
          <w:sz w:val="24"/>
          <w:szCs w:val="24"/>
          <w:highlight w:val="none"/>
          <w14:textFill>
            <w14:solidFill>
              <w14:schemeClr w14:val="tx1"/>
            </w14:solidFill>
          </w14:textFill>
        </w:rPr>
        <w:t>。</w:t>
      </w:r>
      <w:bookmarkEnd w:id="70"/>
      <w:bookmarkEnd w:id="71"/>
      <w:bookmarkEnd w:id="72"/>
      <w:r>
        <w:rPr>
          <w:rFonts w:hint="eastAsia" w:ascii="宋体" w:hAnsi="宋体" w:eastAsia="宋体" w:cs="宋体"/>
          <w:snapToGrid w:val="0"/>
          <w:color w:val="000000" w:themeColor="text1"/>
          <w:spacing w:val="4"/>
          <w:kern w:val="0"/>
          <w:sz w:val="24"/>
          <w:szCs w:val="24"/>
          <w:highlight w:val="none"/>
          <w:lang w:val="en-US" w:eastAsia="zh-CN"/>
          <w14:textFill>
            <w14:solidFill>
              <w14:schemeClr w14:val="tx1"/>
            </w14:solidFill>
          </w14:textFill>
        </w:rPr>
        <w:t xml:space="preserve">   </w:t>
      </w:r>
    </w:p>
    <w:p w14:paraId="249F763E">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bookmarkStart w:id="73" w:name="_Toc2272569"/>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投标人应按招标文件（含技术方案和施工要求）、采购答疑纪要及施工规范等文件资料，结合现场实际情况进行，工程包配电柜图纸深化设计、包设备、包工、包料、包质量、包工期、包安全、包调试、包敷设、包文明施工，包向供电部门办理供电工程施工审核以及施工过程的中间查验、竣工报验、停电、通电、技术指导和培训等工作，并达到规范验收和通电要求，工程竣工后办理移交当地供电部门手续；根据《编号：08000080000056941193-Y-2308A00145》供电方案要求，工程设计图纸已由广州市电力工程设计院有限公司设计，并经越秀供电局审图通过。</w:t>
      </w:r>
    </w:p>
    <w:p w14:paraId="15FADE2C">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根据工程</w:t>
      </w:r>
      <w:r>
        <w:rPr>
          <w:rFonts w:hint="eastAsia" w:ascii="宋体" w:hAnsi="宋体" w:cs="宋体"/>
          <w:color w:val="000000" w:themeColor="text1"/>
          <w:sz w:val="24"/>
          <w:szCs w:val="24"/>
          <w:highlight w:val="none"/>
          <w:u w:val="none"/>
          <w:lang w:val="en-US" w:eastAsia="zh-CN"/>
          <w14:textFill>
            <w14:solidFill>
              <w14:schemeClr w14:val="tx1"/>
            </w14:solidFill>
          </w14:textFill>
        </w:rPr>
        <w:t>配套</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设计图纸要求，项目改造内容主要如下：</w:t>
      </w:r>
    </w:p>
    <w:p w14:paraId="38178958">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（一）公变部分</w:t>
      </w:r>
    </w:p>
    <w:p w14:paraId="631C76E2">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新装2×630kVA。</w:t>
      </w:r>
    </w:p>
    <w:p w14:paraId="6469972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1.采用10kV单回路中旅F6供电。</w:t>
      </w:r>
    </w:p>
    <w:p w14:paraId="3A019C57">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2.将原中旅F6西十街开关房至</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处开关房ZRYJV22-8.7/15kV-3×240mm2（原有）在适当位置斩断，02头新做中间头接驳新敷ZRYJV22-8.7/15kV-3×300mm2/95米至新建北较场横路1号双公变综合房Ⅰ段母线；</w:t>
      </w:r>
    </w:p>
    <w:p w14:paraId="1BF0077E">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中旅F6</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处开关房新敷高压电缆ZRYJV22-8.7/15kV-3×300mm2/55米至新建北较场横路1号双公变综合房Ⅱ段母线；</w:t>
      </w:r>
    </w:p>
    <w:p w14:paraId="586DEDCA">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北较场横路1号双公变综合房G04柜新敷高压电缆ZRYJV22-8.7/15kV-3×300mm2/10米至本房G05柜作联络。</w:t>
      </w:r>
    </w:p>
    <w:p w14:paraId="32D94B1E">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3.由北较场横路1号双公变综合房新敷高压电缆ZRYJV22-8.7/15kV-3×70mm2/15、20米至本房#1、#2公变；</w:t>
      </w:r>
    </w:p>
    <w:p w14:paraId="307CF820">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4.在北较场横路1号双公变综合房新装SF6全绝缘断路器自动化成套柜8台，新装壁挂式综合测控通信单元箱2套。</w:t>
      </w:r>
    </w:p>
    <w:p w14:paraId="7238A962">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5.在北较场横路1号双公变综合房内新装SCB14-630kVA干式变压器2台；低压柜3台。</w:t>
      </w:r>
    </w:p>
    <w:p w14:paraId="4ECBE1E0">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6.新建双公变综合房1间（命名为北较场横路1号双公变综合房），电房按相关规定配置“安、健、环”。</w:t>
      </w:r>
    </w:p>
    <w:p w14:paraId="0C76CADA">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7.由#1公变至1D进线柜新敷低压电缆ZRYJV-3(4×(1×185))＋(2×(1×185)mm2/15米。</w:t>
      </w:r>
    </w:p>
    <w:p w14:paraId="4CA7C14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由#2公变至3D进线柜新敷低压电缆ZRYJV-3(4×(1×185))＋(2×(1×185)mm2/10米。</w:t>
      </w:r>
    </w:p>
    <w:p w14:paraId="01DA65DC">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8.由#1公变1N1、1N2出线新敷低压电缆ZRYJV22-0.6/1kV-4×240mm2/185米、185米至1号楼4层配电间。</w:t>
      </w:r>
    </w:p>
    <w:p w14:paraId="4E52899B">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9.由#1公变1N3出线新敷低压电缆ZRYJV22-0.6/1kV-4×185mm2/95米至3号楼1层楼梯口。</w:t>
      </w:r>
    </w:p>
    <w:p w14:paraId="2A2655A9">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10.由#1公变1N4出线新敷低压电缆ZRYJV22-0.6/1kV-4×185mm2/165米至5号楼2梯1层楼梯口。</w:t>
      </w:r>
    </w:p>
    <w:p w14:paraId="5B8FEC30">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11.由#2公变3N1出线新敷低压电缆ZRYJV22-0.6/1kV-4×240mm2/165米至2号楼1梯1层楼梯口。</w:t>
      </w:r>
    </w:p>
    <w:p w14:paraId="4CC68A36">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12.由#2公变3N2出线新敷低压电缆ZRYJV22-0.6/1kV-4×240mm2/145米至8号楼3梯1层楼梯口。</w:t>
      </w:r>
    </w:p>
    <w:p w14:paraId="29CFA942">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13.由#2公变3N3出线新敷低压电缆ZRYJV22-0.6/1kV-4×185mm2/205米至装备楼2层楼梯口。</w:t>
      </w:r>
    </w:p>
    <w:p w14:paraId="3CB48BB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14.由#2公变3N4出线新敷低压电缆ZRYJV22-0.6/1kV-4×185mm2/200米至6号楼1层楼梯口。</w:t>
      </w:r>
    </w:p>
    <w:p w14:paraId="0984C506">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15.采用低供低计，实行一户一表，安装集中抄表装置。新装220V单相供电10kW/户 户表330具，执行居民阶梯电价；</w:t>
      </w:r>
    </w:p>
    <w:p w14:paraId="1C28B0C5">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新装水泵表三相20kW/具 1具，新装电梯表三相20kW/具 7具，新装梯灯表单相10kW/具 9具，执行居民合表电价。新新装公建配套电表10kW/具 4具：老干部活动室、物业办公室、大院路灯、装备楼1楼礼堂，属居民生活用电类别，执行居民合表电价。</w:t>
      </w:r>
    </w:p>
    <w:p w14:paraId="4ACF1A23">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16.经现场实测用户新建电房位置的移动、联通2G无线信号强度分别为-72dBm、-75dBm；移动、联通4G无线信号强度分别为-76dBm、-81dBm，可满足安装自动化通信设备要求。</w:t>
      </w:r>
    </w:p>
    <w:p w14:paraId="26C6D9E0">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17.对7号楼共九屋，每层安装一路电表计量器。</w:t>
      </w:r>
    </w:p>
    <w:p w14:paraId="58050C2A">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（二）发电车低压部分</w:t>
      </w:r>
    </w:p>
    <w:p w14:paraId="275B24F9">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在北较场横路1号双公变综合房门口新装发电车接入箱1套，由房内1D柜新敷低压电缆8×WDZA-YJY-240/25m至发电车接入箱。</w:t>
      </w:r>
    </w:p>
    <w:p w14:paraId="38DBEDEB">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（三）专变部分</w:t>
      </w:r>
    </w:p>
    <w:p w14:paraId="4B1E0D63">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1.由</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路3号宿舍综合楼处低压房新敷低压电缆2×ZRYJV22-0.6/1kV-4×300mm2/160米至</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处5号楼一层低压房进线柜作联络，保留原有低压柜。</w:t>
      </w:r>
    </w:p>
    <w:p w14:paraId="69945C73">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2.拆除中旅F6</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处开关房至</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处专变房10kV高压电缆ZRYJV22-8.7/15kV-70mm2/60m，拆除</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处专变房至本房专变10kV高压电缆ZRYJV22-8.7/15kV-70mm2/40m。</w:t>
      </w:r>
    </w:p>
    <w:p w14:paraId="3CA46514">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3.拆除</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处专变房内高压柜4台，拆除SCB10-630kVA干式变压器1台。</w:t>
      </w:r>
    </w:p>
    <w:p w14:paraId="78F73377">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4.原有专变接电点不变。</w:t>
      </w:r>
    </w:p>
    <w:p w14:paraId="482047DB">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5.采用高供高计计量方式。用户编号0800040023971720，专变系统销户；保留用户编号0800040023880210专变系统，高供高计母表改为非工业电价，保留原低计商业子表。</w:t>
      </w:r>
    </w:p>
    <w:p w14:paraId="771E2E2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6.拆除省</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局宿舍综合楼处低压房、</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处5号楼一层低压房原有住宅回路电缆，保留办公回路。</w:t>
      </w:r>
    </w:p>
    <w:p w14:paraId="55763818">
      <w:pPr>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7.高低压设备安装调试，如需生产厂家协调的，应邀请生产厂家协调。</w:t>
      </w:r>
    </w:p>
    <w:p w14:paraId="18269370">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（四）土建部分</w:t>
      </w:r>
    </w:p>
    <w:p w14:paraId="66DCADF3">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1.新建沉底8线电缆沟10米，新建浮面8线电缆沟10米。</w:t>
      </w:r>
    </w:p>
    <w:p w14:paraId="2E341BF9">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2.新埋12孔行车排管60米，新建12孔行车转角井3座，新建12孔行车三通井2座；</w:t>
      </w:r>
    </w:p>
    <w:p w14:paraId="1B4A3A30">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新埋8孔行车排管30米，新建8孔行车三通井2座；</w:t>
      </w:r>
    </w:p>
    <w:p w14:paraId="7CB074D8">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新埋4孔行车排管420米，新建4孔行车直线井3座，新建4孔行车转角井9座，新建4孔行车三通井10座。</w:t>
      </w:r>
    </w:p>
    <w:p w14:paraId="1F5FE068">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3.新装镀锌桥架300×150×1.5mm/125米。</w:t>
      </w:r>
    </w:p>
    <w:p w14:paraId="1B6EE7B4">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4.破复瓷砖路面250mm厚1000平方米，破复沥青路面250mm厚20平方米，破复水泥路面250mm厚10平方米。</w:t>
      </w:r>
    </w:p>
    <w:p w14:paraId="2747B44C">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5.破复围墙2000宽×3000高×300厚（瓷砖贴面）。</w:t>
      </w:r>
    </w:p>
    <w:p w14:paraId="44F80209">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6.由于大院内部空地为停车场，电缆沟的开挖需分段开挖，建成一段再挖一段，当天开挖的井勾，应用铁板覆盖，保证车辆通行，避免施工期间，影响车辆停放。</w:t>
      </w:r>
    </w:p>
    <w:p w14:paraId="37A279DC">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7.红线外的管道开挖，由承包人申请施工许可，并在两天内完成，开挖的沟渠需用铁板覆盖，保证通行。</w:t>
      </w:r>
    </w:p>
    <w:p w14:paraId="3D094D1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8.拆除两个旧配电房供电设备。</w:t>
      </w:r>
    </w:p>
    <w:p w14:paraId="42075DAF">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9.因建设过程中需要临时对住户停电的，承包人须提供不间断电源或发电车供电，以保证住户正常用电。</w:t>
      </w:r>
    </w:p>
    <w:p w14:paraId="2046818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10.协助办理一户一表资料收集、报装等手续。</w:t>
      </w:r>
    </w:p>
    <w:p w14:paraId="2BA32DA0">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以上为建设内容概要，实际</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建设内容详见施工图纸，以施工图纸为准。</w:t>
      </w:r>
    </w:p>
    <w:p w14:paraId="54142A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74" w:name="_Toc13125"/>
      <w:r>
        <w:rPr>
          <w:rFonts w:hint="eastAsia" w:ascii="宋体" w:hAnsi="宋体" w:eastAsia="宋体" w:cs="宋体"/>
          <w:b/>
          <w:color w:val="000000" w:themeColor="text1"/>
          <w:sz w:val="24"/>
          <w:szCs w:val="24"/>
          <w:highlight w:val="none"/>
          <w:lang w:val="en-US" w:eastAsia="zh-CN"/>
          <w14:textFill>
            <w14:solidFill>
              <w14:schemeClr w14:val="tx1"/>
            </w14:solidFill>
          </w14:textFill>
        </w:rPr>
        <w:t>三、质量要求</w:t>
      </w:r>
    </w:p>
    <w:p w14:paraId="01FE60D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达到国家或行业质量检验评定的合格标准且需满足广东电网有限责任公司的有关技术标准、规章制度，须满足供电局“一户一表”和接收要求。工程质量保修期为1年，以工程移交至属地供电部门之日起算，工程质量保修期内发生的工程质量问题均由承包人负责修复，同一问题重复出现三次的，需更换出故障的设施设备。</w:t>
      </w:r>
    </w:p>
    <w:p w14:paraId="5BE60D0E">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2.双方对工程质量有争议，由双方同意的工程质量检测机构鉴定，所需费用及由此造成的损失，由责任方承担。双方均有责任，由双方根据其责任分别承担。</w:t>
      </w:r>
    </w:p>
    <w:p w14:paraId="1C305BE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3.质量保证体系</w:t>
      </w:r>
    </w:p>
    <w:p w14:paraId="4BFE1CFF">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承包人应当完善质量管理制度，建立质量控制流程，建立并保持一个有效的工程质量管理体系。</w:t>
      </w:r>
    </w:p>
    <w:p w14:paraId="455C12F2">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14:paraId="42A2786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（2）承包人提交总监理工程师批准的施工组织设计或者施工方案必须附有完备的工程质量保证措施。 </w:t>
      </w:r>
    </w:p>
    <w:p w14:paraId="6DCA03A7">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（3）单项工程开工前，承包人必须按要求对职工分级进行技术交底，组织学习有关规程、标准、规范和工艺要求，在施工中必须按规程及工艺进行操作。</w:t>
      </w:r>
    </w:p>
    <w:p w14:paraId="3DB6587C">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04A4E2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四、施工要求</w:t>
      </w:r>
    </w:p>
    <w:p w14:paraId="31E15EE9">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1.要求文明施工，保持施工场地清洁、卫生，所拆除材料及开挖的余泥及时清运归堆放好，服从发包方的指挥。</w:t>
      </w:r>
    </w:p>
    <w:p w14:paraId="4F87C013">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2.工人进场施工需服从建设方的管理要求，集中进出，并指定负责人带队，如需晚上加班要提前申请，经批准后才能加班。</w:t>
      </w:r>
    </w:p>
    <w:p w14:paraId="35F4440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3.施工计划需配合发包方需要，适时调整。</w:t>
      </w:r>
    </w:p>
    <w:p w14:paraId="516539EF">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4.施工现场不提供食宿条件。</w:t>
      </w:r>
    </w:p>
    <w:p w14:paraId="2E19D5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五、工期要求</w:t>
      </w:r>
    </w:p>
    <w:p w14:paraId="0DD91EAF">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完成招标范围内的工程内容要求不超过 150日历天（不含包含移交时间）。工期起计时间以开工报告签发之日起算。工期延误按合同16.2.2.4款执行。</w:t>
      </w:r>
    </w:p>
    <w:p w14:paraId="08F01B8D">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人员要求</w:t>
      </w:r>
    </w:p>
    <w:tbl>
      <w:tblPr>
        <w:tblStyle w:val="3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677"/>
        <w:gridCol w:w="1146"/>
        <w:gridCol w:w="3595"/>
        <w:gridCol w:w="1333"/>
      </w:tblGrid>
      <w:tr w14:paraId="7235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44" w:type="pct"/>
            <w:tcBorders>
              <w:top w:val="single" w:color="auto" w:sz="4" w:space="0"/>
              <w:left w:val="single" w:color="auto" w:sz="4" w:space="0"/>
              <w:bottom w:val="single" w:color="auto" w:sz="4" w:space="0"/>
              <w:right w:val="single" w:color="auto" w:sz="4" w:space="0"/>
            </w:tcBorders>
            <w:noWrap w:val="0"/>
            <w:vAlign w:val="center"/>
          </w:tcPr>
          <w:p w14:paraId="329973A4">
            <w:pPr>
              <w:widowControl/>
              <w:shd w:val="clear" w:color="auto" w:fill="auto"/>
              <w:spacing w:after="200" w:line="240" w:lineRule="auto"/>
              <w:jc w:val="center"/>
              <w:rPr>
                <w:rFonts w:hint="eastAsia" w:ascii="宋体" w:hAnsi="宋体" w:eastAsia="宋体" w:cs="宋体"/>
                <w:bCs/>
                <w:color w:val="000000" w:themeColor="text1"/>
                <w:kern w:val="0"/>
                <w:sz w:val="24"/>
                <w:szCs w:val="24"/>
                <w:highlight w:val="none"/>
                <w:lang w:eastAsia="en-US" w:bidi="en-US"/>
                <w14:textFill>
                  <w14:solidFill>
                    <w14:schemeClr w14:val="tx1"/>
                  </w14:solidFill>
                </w14:textFill>
              </w:rPr>
            </w:pPr>
            <w:r>
              <w:rPr>
                <w:rFonts w:hint="eastAsia" w:ascii="宋体" w:hAnsi="宋体" w:eastAsia="宋体" w:cs="宋体"/>
                <w:bCs/>
                <w:color w:val="000000" w:themeColor="text1"/>
                <w:kern w:val="0"/>
                <w:sz w:val="24"/>
                <w:szCs w:val="24"/>
                <w:highlight w:val="none"/>
                <w:lang w:eastAsia="en-US" w:bidi="en-US"/>
                <w14:textFill>
                  <w14:solidFill>
                    <w14:schemeClr w14:val="tx1"/>
                  </w14:solidFill>
                </w14:textFill>
              </w:rPr>
              <w:t>序号</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522D53D6">
            <w:pPr>
              <w:widowControl/>
              <w:shd w:val="clear" w:color="auto" w:fill="auto"/>
              <w:spacing w:after="200" w:line="240" w:lineRule="auto"/>
              <w:jc w:val="center"/>
              <w:rPr>
                <w:rFonts w:hint="eastAsia" w:ascii="宋体" w:hAnsi="宋体" w:eastAsia="宋体" w:cs="宋体"/>
                <w:bCs/>
                <w:color w:val="000000" w:themeColor="text1"/>
                <w:kern w:val="0"/>
                <w:sz w:val="24"/>
                <w:szCs w:val="24"/>
                <w:highlight w:val="none"/>
                <w:lang w:bidi="en-US"/>
                <w14:textFill>
                  <w14:solidFill>
                    <w14:schemeClr w14:val="tx1"/>
                  </w14:solidFill>
                </w14:textFill>
              </w:rPr>
            </w:pPr>
            <w:r>
              <w:rPr>
                <w:rFonts w:hint="eastAsia" w:ascii="宋体" w:hAnsi="宋体" w:eastAsia="宋体" w:cs="宋体"/>
                <w:bCs/>
                <w:color w:val="000000" w:themeColor="text1"/>
                <w:kern w:val="0"/>
                <w:sz w:val="24"/>
                <w:szCs w:val="24"/>
                <w:highlight w:val="none"/>
                <w:lang w:bidi="en-US"/>
                <w14:textFill>
                  <w14:solidFill>
                    <w14:schemeClr w14:val="tx1"/>
                  </w14:solidFill>
                </w14:textFill>
              </w:rPr>
              <w:t>职务</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100CD5A0">
            <w:pPr>
              <w:widowControl/>
              <w:shd w:val="clear" w:color="auto" w:fill="auto"/>
              <w:spacing w:after="200" w:line="240" w:lineRule="auto"/>
              <w:jc w:val="center"/>
              <w:rPr>
                <w:rFonts w:hint="eastAsia" w:ascii="宋体" w:hAnsi="宋体" w:eastAsia="宋体" w:cs="宋体"/>
                <w:bCs/>
                <w:color w:val="000000" w:themeColor="text1"/>
                <w:kern w:val="0"/>
                <w:sz w:val="24"/>
                <w:szCs w:val="24"/>
                <w:highlight w:val="none"/>
                <w:lang w:eastAsia="en-US" w:bidi="en-US"/>
                <w14:textFill>
                  <w14:solidFill>
                    <w14:schemeClr w14:val="tx1"/>
                  </w14:solidFill>
                </w14:textFill>
              </w:rPr>
            </w:pPr>
            <w:r>
              <w:rPr>
                <w:rFonts w:hint="eastAsia" w:ascii="宋体" w:hAnsi="宋体" w:eastAsia="宋体" w:cs="宋体"/>
                <w:bCs/>
                <w:color w:val="000000" w:themeColor="text1"/>
                <w:kern w:val="0"/>
                <w:sz w:val="24"/>
                <w:szCs w:val="24"/>
                <w:highlight w:val="none"/>
                <w:lang w:eastAsia="en-US" w:bidi="en-US"/>
                <w14:textFill>
                  <w14:solidFill>
                    <w14:schemeClr w14:val="tx1"/>
                  </w14:solidFill>
                </w14:textFill>
              </w:rPr>
              <w:t>数量</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3575C817">
            <w:pPr>
              <w:widowControl/>
              <w:shd w:val="clear" w:color="auto" w:fill="auto"/>
              <w:spacing w:after="200" w:line="240" w:lineRule="auto"/>
              <w:jc w:val="center"/>
              <w:rPr>
                <w:rFonts w:hint="eastAsia" w:ascii="宋体" w:hAnsi="宋体" w:eastAsia="宋体" w:cs="宋体"/>
                <w:bCs/>
                <w:color w:val="000000" w:themeColor="text1"/>
                <w:kern w:val="0"/>
                <w:sz w:val="24"/>
                <w:szCs w:val="24"/>
                <w:highlight w:val="none"/>
                <w:lang w:bidi="en-US"/>
                <w14:textFill>
                  <w14:solidFill>
                    <w14:schemeClr w14:val="tx1"/>
                  </w14:solidFill>
                </w14:textFill>
              </w:rPr>
            </w:pPr>
            <w:r>
              <w:rPr>
                <w:rFonts w:hint="eastAsia" w:ascii="宋体" w:hAnsi="宋体" w:eastAsia="宋体" w:cs="宋体"/>
                <w:bCs/>
                <w:color w:val="000000" w:themeColor="text1"/>
                <w:kern w:val="0"/>
                <w:sz w:val="24"/>
                <w:szCs w:val="24"/>
                <w:highlight w:val="none"/>
                <w:lang w:bidi="en-US"/>
                <w14:textFill>
                  <w14:solidFill>
                    <w14:schemeClr w14:val="tx1"/>
                  </w14:solidFill>
                </w14:textFill>
              </w:rPr>
              <w:t>基本要求</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5AE26C15">
            <w:pPr>
              <w:widowControl/>
              <w:shd w:val="clear" w:color="auto" w:fill="auto"/>
              <w:spacing w:after="200" w:line="240" w:lineRule="auto"/>
              <w:jc w:val="center"/>
              <w:rPr>
                <w:rFonts w:hint="eastAsia" w:ascii="宋体" w:hAnsi="宋体" w:eastAsia="宋体" w:cs="宋体"/>
                <w:bCs/>
                <w:color w:val="000000" w:themeColor="text1"/>
                <w:kern w:val="0"/>
                <w:sz w:val="24"/>
                <w:szCs w:val="24"/>
                <w:highlight w:val="none"/>
                <w:lang w:eastAsia="en-US" w:bidi="en-US"/>
                <w14:textFill>
                  <w14:solidFill>
                    <w14:schemeClr w14:val="tx1"/>
                  </w14:solidFill>
                </w14:textFill>
              </w:rPr>
            </w:pPr>
            <w:r>
              <w:rPr>
                <w:rFonts w:hint="eastAsia" w:ascii="宋体" w:hAnsi="宋体" w:eastAsia="宋体" w:cs="宋体"/>
                <w:bCs/>
                <w:color w:val="000000" w:themeColor="text1"/>
                <w:kern w:val="0"/>
                <w:sz w:val="24"/>
                <w:szCs w:val="24"/>
                <w:highlight w:val="none"/>
                <w:lang w:eastAsia="en-US" w:bidi="en-US"/>
                <w14:textFill>
                  <w14:solidFill>
                    <w14:schemeClr w14:val="tx1"/>
                  </w14:solidFill>
                </w14:textFill>
              </w:rPr>
              <w:t>备注</w:t>
            </w:r>
          </w:p>
        </w:tc>
      </w:tr>
      <w:tr w14:paraId="0FC1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noWrap w:val="0"/>
            <w:vAlign w:val="center"/>
          </w:tcPr>
          <w:p w14:paraId="7FF4D2A3">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2EDD2A94">
            <w:pPr>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1C5440FC">
            <w:pPr>
              <w:jc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0FC68C1F">
            <w:pPr>
              <w:widowControl/>
              <w:ind w:left="-48" w:leftChars="-23"/>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按招标公告要求</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4717D850">
            <w:pPr>
              <w:shd w:val="clear" w:color="auto" w:fill="auto"/>
              <w:tabs>
                <w:tab w:val="left" w:pos="2520"/>
              </w:tabs>
              <w:adjustRightInd w:val="0"/>
              <w:snapToGrid w:val="0"/>
              <w:spacing w:line="240" w:lineRule="exact"/>
              <w:jc w:val="center"/>
              <w:rPr>
                <w:rFonts w:hint="eastAsia" w:ascii="宋体" w:hAnsi="宋体" w:eastAsia="宋体" w:cs="宋体"/>
                <w:bCs/>
                <w:color w:val="000000" w:themeColor="text1"/>
                <w:kern w:val="44"/>
                <w:sz w:val="24"/>
                <w:szCs w:val="24"/>
                <w:highlight w:val="none"/>
                <w14:textFill>
                  <w14:solidFill>
                    <w14:schemeClr w14:val="tx1"/>
                  </w14:solidFill>
                </w14:textFill>
              </w:rPr>
            </w:pPr>
          </w:p>
        </w:tc>
      </w:tr>
      <w:tr w14:paraId="131E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noWrap w:val="0"/>
            <w:vAlign w:val="center"/>
          </w:tcPr>
          <w:p w14:paraId="4EC4533C">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290AB4A7">
            <w:pPr>
              <w:widowControl/>
              <w:spacing w:line="256" w:lineRule="exact"/>
              <w:ind w:hanging="6" w:firstLineChars="0"/>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技术负责人</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2CF33A4C">
            <w:pPr>
              <w:widowControl/>
              <w:spacing w:line="256" w:lineRule="exact"/>
              <w:ind w:hanging="6" w:firstLineChars="0"/>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5DEE9BBC">
            <w:pPr>
              <w:widowControl/>
              <w:spacing w:line="256" w:lineRule="exact"/>
              <w:ind w:hanging="6" w:firstLineChars="0"/>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按招标公告要求</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78FD3307">
            <w:pPr>
              <w:shd w:val="clear" w:color="auto" w:fill="auto"/>
              <w:tabs>
                <w:tab w:val="left" w:pos="2520"/>
              </w:tabs>
              <w:adjustRightInd w:val="0"/>
              <w:snapToGrid w:val="0"/>
              <w:spacing w:line="240" w:lineRule="exact"/>
              <w:jc w:val="center"/>
              <w:rPr>
                <w:rFonts w:hint="eastAsia" w:ascii="宋体" w:hAnsi="宋体" w:eastAsia="宋体" w:cs="宋体"/>
                <w:bCs/>
                <w:color w:val="000000" w:themeColor="text1"/>
                <w:kern w:val="44"/>
                <w:sz w:val="24"/>
                <w:szCs w:val="24"/>
                <w:highlight w:val="none"/>
                <w14:textFill>
                  <w14:solidFill>
                    <w14:schemeClr w14:val="tx1"/>
                  </w14:solidFill>
                </w14:textFill>
              </w:rPr>
            </w:pPr>
          </w:p>
        </w:tc>
      </w:tr>
      <w:tr w14:paraId="7052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1441FA">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5608514B">
            <w:pPr>
              <w:widowControl/>
              <w:spacing w:line="256" w:lineRule="exact"/>
              <w:ind w:hanging="6" w:firstLineChars="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安全负责人</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66AE1CF8">
            <w:pPr>
              <w:widowControl/>
              <w:spacing w:line="256" w:lineRule="exact"/>
              <w:ind w:hanging="6" w:firstLine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4BDC2485">
            <w:pPr>
              <w:widowControl/>
              <w:spacing w:line="256" w:lineRule="exact"/>
              <w:ind w:hanging="6"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具有注册安全工程师资格</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197C6EE6">
            <w:pPr>
              <w:shd w:val="clear" w:color="auto" w:fill="auto"/>
              <w:tabs>
                <w:tab w:val="left" w:pos="2520"/>
              </w:tabs>
              <w:adjustRightInd w:val="0"/>
              <w:snapToGrid w:val="0"/>
              <w:spacing w:line="240" w:lineRule="exact"/>
              <w:jc w:val="center"/>
              <w:rPr>
                <w:rFonts w:hint="eastAsia" w:ascii="宋体" w:hAnsi="宋体" w:eastAsia="宋体" w:cs="宋体"/>
                <w:bCs/>
                <w:color w:val="000000" w:themeColor="text1"/>
                <w:kern w:val="44"/>
                <w:sz w:val="24"/>
                <w:szCs w:val="24"/>
                <w:highlight w:val="none"/>
                <w14:textFill>
                  <w14:solidFill>
                    <w14:schemeClr w14:val="tx1"/>
                  </w14:solidFill>
                </w14:textFill>
              </w:rPr>
            </w:pPr>
          </w:p>
        </w:tc>
      </w:tr>
      <w:tr w14:paraId="3CED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755916">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4</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2581B304">
            <w:pPr>
              <w:widowControl/>
              <w:spacing w:line="256" w:lineRule="exact"/>
              <w:ind w:hanging="6" w:firstLineChars="0"/>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造价负责人</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7E7B549B">
            <w:pPr>
              <w:widowControl/>
              <w:spacing w:line="256" w:lineRule="exact"/>
              <w:ind w:hanging="6" w:firstLineChars="0"/>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317BE778">
            <w:pPr>
              <w:widowControl/>
              <w:spacing w:line="256" w:lineRule="exact"/>
              <w:ind w:hanging="6" w:firstLineChars="0"/>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安装专业注册</w:t>
            </w:r>
            <w:r>
              <w:rPr>
                <w:rFonts w:hint="eastAsia" w:ascii="宋体" w:hAnsi="宋体" w:eastAsia="宋体" w:cs="宋体"/>
                <w:color w:val="000000" w:themeColor="text1"/>
                <w:kern w:val="0"/>
                <w:sz w:val="24"/>
                <w:szCs w:val="24"/>
                <w:highlight w:val="none"/>
                <w14:textFill>
                  <w14:solidFill>
                    <w14:schemeClr w14:val="tx1"/>
                  </w14:solidFill>
                </w14:textFill>
              </w:rPr>
              <w:t>造价工程师证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不要求等级）</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10D55510">
            <w:pPr>
              <w:shd w:val="clear" w:color="auto" w:fill="auto"/>
              <w:tabs>
                <w:tab w:val="left" w:pos="2520"/>
              </w:tabs>
              <w:adjustRightInd w:val="0"/>
              <w:snapToGrid w:val="0"/>
              <w:spacing w:line="240" w:lineRule="exact"/>
              <w:jc w:val="center"/>
              <w:rPr>
                <w:rFonts w:hint="eastAsia" w:ascii="宋体" w:hAnsi="宋体" w:eastAsia="宋体" w:cs="宋体"/>
                <w:bCs/>
                <w:color w:val="000000" w:themeColor="text1"/>
                <w:kern w:val="44"/>
                <w:sz w:val="24"/>
                <w:szCs w:val="24"/>
                <w:highlight w:val="none"/>
                <w14:textFill>
                  <w14:solidFill>
                    <w14:schemeClr w14:val="tx1"/>
                  </w14:solidFill>
                </w14:textFill>
              </w:rPr>
            </w:pPr>
          </w:p>
        </w:tc>
      </w:tr>
      <w:tr w14:paraId="688F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34D71E">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5</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163BBA10">
            <w:pPr>
              <w:widowControl/>
              <w:spacing w:line="256" w:lineRule="exact"/>
              <w:ind w:hanging="6" w:firstLineChars="0"/>
              <w:jc w:val="center"/>
              <w:rPr>
                <w:rFonts w:hint="eastAsia" w:ascii="宋体" w:hAnsi="宋体" w:eastAsia="宋体" w:cs="宋体"/>
                <w:bCs/>
                <w:color w:val="000000" w:themeColor="text1"/>
                <w:kern w:val="44"/>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专职安全员</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64B86219">
            <w:pPr>
              <w:widowControl/>
              <w:spacing w:line="256" w:lineRule="exact"/>
              <w:ind w:hanging="6" w:firstLineChars="0"/>
              <w:jc w:val="center"/>
              <w:rPr>
                <w:rFonts w:hint="eastAsia" w:ascii="宋体" w:hAnsi="宋体" w:eastAsia="宋体" w:cs="宋体"/>
                <w:bCs/>
                <w:color w:val="000000" w:themeColor="text1"/>
                <w:kern w:val="44"/>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374608C6">
            <w:pPr>
              <w:widowControl/>
              <w:spacing w:line="256" w:lineRule="exact"/>
              <w:ind w:hanging="6" w:firstLineChars="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按招标公告要求，需与投标登记时提供的一致</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1626B4AF">
            <w:pPr>
              <w:shd w:val="clear" w:color="auto" w:fill="auto"/>
              <w:tabs>
                <w:tab w:val="left" w:pos="2520"/>
              </w:tabs>
              <w:adjustRightInd w:val="0"/>
              <w:snapToGrid w:val="0"/>
              <w:spacing w:line="240" w:lineRule="exact"/>
              <w:jc w:val="center"/>
              <w:rPr>
                <w:rFonts w:hint="eastAsia" w:ascii="宋体" w:hAnsi="宋体" w:eastAsia="宋体" w:cs="宋体"/>
                <w:bCs/>
                <w:color w:val="000000" w:themeColor="text1"/>
                <w:kern w:val="44"/>
                <w:sz w:val="24"/>
                <w:szCs w:val="24"/>
                <w:highlight w:val="none"/>
                <w14:textFill>
                  <w14:solidFill>
                    <w14:schemeClr w14:val="tx1"/>
                  </w14:solidFill>
                </w14:textFill>
              </w:rPr>
            </w:pPr>
          </w:p>
        </w:tc>
      </w:tr>
      <w:tr w14:paraId="18F4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E02D99">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6</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4F77E2E6">
            <w:pPr>
              <w:ind w:hanging="6" w:firstLineChars="0"/>
              <w:jc w:val="center"/>
              <w:rPr>
                <w:rFonts w:hint="eastAsia" w:ascii="宋体" w:hAnsi="宋体" w:eastAsia="宋体" w:cs="宋体"/>
                <w:bCs/>
                <w:color w:val="000000" w:themeColor="text1"/>
                <w:kern w:val="44"/>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施工员</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402C91D5">
            <w:pPr>
              <w:widowControl/>
              <w:spacing w:line="256" w:lineRule="exact"/>
              <w:ind w:hanging="6" w:firstLineChars="0"/>
              <w:jc w:val="center"/>
              <w:rPr>
                <w:rFonts w:hint="eastAsia" w:ascii="宋体" w:hAnsi="宋体" w:eastAsia="宋体" w:cs="宋体"/>
                <w:bCs/>
                <w:color w:val="000000" w:themeColor="text1"/>
                <w:kern w:val="44"/>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08DB2FE9">
            <w:pPr>
              <w:widowControl/>
              <w:spacing w:line="256" w:lineRule="exact"/>
              <w:ind w:hanging="6" w:firstLineChars="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具有施工员证</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46B2FEA6">
            <w:pPr>
              <w:shd w:val="clear" w:color="auto" w:fill="auto"/>
              <w:tabs>
                <w:tab w:val="left" w:pos="2520"/>
              </w:tabs>
              <w:spacing w:line="24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须提供培训合格证</w:t>
            </w:r>
          </w:p>
        </w:tc>
      </w:tr>
      <w:tr w14:paraId="68F0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341A2A">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7</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019D7BC1">
            <w:pPr>
              <w:jc w:val="center"/>
              <w:rPr>
                <w:rFonts w:hint="eastAsia" w:ascii="宋体" w:hAnsi="宋体" w:eastAsia="宋体" w:cs="宋体"/>
                <w:bCs/>
                <w:color w:val="000000" w:themeColor="text1"/>
                <w:kern w:val="44"/>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质量员</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0973BB8E">
            <w:pPr>
              <w:widowControl/>
              <w:spacing w:line="256" w:lineRule="exact"/>
              <w:ind w:hanging="6" w:firstLineChars="0"/>
              <w:jc w:val="center"/>
              <w:rPr>
                <w:rFonts w:hint="eastAsia" w:ascii="宋体" w:hAnsi="宋体" w:eastAsia="宋体" w:cs="宋体"/>
                <w:bCs/>
                <w:color w:val="000000" w:themeColor="text1"/>
                <w:kern w:val="44"/>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19826748">
            <w:pPr>
              <w:widowControl/>
              <w:spacing w:line="256" w:lineRule="exact"/>
              <w:ind w:hanging="6" w:firstLineChars="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具有质量员证</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4E3FFDC2">
            <w:pPr>
              <w:shd w:val="clear" w:color="auto" w:fill="auto"/>
              <w:tabs>
                <w:tab w:val="left" w:pos="2520"/>
              </w:tabs>
              <w:spacing w:line="24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须提供培训合格证</w:t>
            </w:r>
          </w:p>
        </w:tc>
      </w:tr>
      <w:tr w14:paraId="6D47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5954CD">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8</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74013970">
            <w:pPr>
              <w:jc w:val="center"/>
              <w:rPr>
                <w:rFonts w:hint="eastAsia" w:ascii="宋体" w:hAnsi="宋体" w:eastAsia="宋体" w:cs="宋体"/>
                <w:bCs/>
                <w:color w:val="000000" w:themeColor="text1"/>
                <w:kern w:val="44"/>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资料员</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0E76CDFB">
            <w:pPr>
              <w:widowControl/>
              <w:spacing w:line="256" w:lineRule="exact"/>
              <w:ind w:hanging="6" w:firstLineChars="0"/>
              <w:jc w:val="center"/>
              <w:rPr>
                <w:rFonts w:hint="eastAsia" w:ascii="宋体" w:hAnsi="宋体" w:eastAsia="宋体" w:cs="宋体"/>
                <w:bCs/>
                <w:color w:val="000000" w:themeColor="text1"/>
                <w:kern w:val="44"/>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76E3C6AA">
            <w:pPr>
              <w:widowControl/>
              <w:spacing w:line="256" w:lineRule="exact"/>
              <w:ind w:hanging="6" w:firstLineChars="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具有资料员证</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3C603A48">
            <w:pPr>
              <w:shd w:val="clear" w:color="auto" w:fill="auto"/>
              <w:tabs>
                <w:tab w:val="left" w:pos="2520"/>
              </w:tabs>
              <w:spacing w:line="24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须提供培训合格证</w:t>
            </w:r>
          </w:p>
        </w:tc>
      </w:tr>
      <w:tr w14:paraId="655B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noWrap w:val="0"/>
            <w:vAlign w:val="center"/>
          </w:tcPr>
          <w:p w14:paraId="17B36288">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9</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115A74BC">
            <w:pPr>
              <w:jc w:val="center"/>
              <w:rPr>
                <w:rFonts w:hint="eastAsia" w:ascii="宋体" w:hAnsi="宋体" w:eastAsia="宋体" w:cs="宋体"/>
                <w:bCs/>
                <w:color w:val="000000" w:themeColor="text1"/>
                <w:kern w:val="44"/>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材料员</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2F374964">
            <w:pPr>
              <w:widowControl/>
              <w:spacing w:line="256" w:lineRule="exact"/>
              <w:ind w:hanging="6" w:firstLineChars="0"/>
              <w:jc w:val="center"/>
              <w:rPr>
                <w:rFonts w:hint="eastAsia" w:ascii="宋体" w:hAnsi="宋体" w:eastAsia="宋体" w:cs="宋体"/>
                <w:bCs/>
                <w:color w:val="000000" w:themeColor="text1"/>
                <w:kern w:val="44"/>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6E7E3344">
            <w:pPr>
              <w:widowControl/>
              <w:spacing w:line="256" w:lineRule="exact"/>
              <w:ind w:hanging="6" w:firstLineChars="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具有材料员证</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084D3EED">
            <w:pPr>
              <w:shd w:val="clear" w:color="auto" w:fill="auto"/>
              <w:tabs>
                <w:tab w:val="left" w:pos="2520"/>
              </w:tabs>
              <w:spacing w:line="24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须提供培训合格证</w:t>
            </w:r>
          </w:p>
        </w:tc>
      </w:tr>
      <w:tr w14:paraId="6BF9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noWrap w:val="0"/>
            <w:vAlign w:val="center"/>
          </w:tcPr>
          <w:p w14:paraId="41DEA986">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10</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7BC6F44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高压电工</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60F95FE6">
            <w:pPr>
              <w:widowControl/>
              <w:spacing w:line="256" w:lineRule="exact"/>
              <w:ind w:hanging="6" w:firstLine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2人或以上</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0E6CFF03">
            <w:pPr>
              <w:widowControl/>
              <w:spacing w:line="256" w:lineRule="exact"/>
              <w:ind w:hanging="6"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具有高压电工作业证</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39C1825E">
            <w:pPr>
              <w:shd w:val="clear" w:color="auto" w:fill="auto"/>
              <w:tabs>
                <w:tab w:val="left" w:pos="2520"/>
              </w:tabs>
              <w:spacing w:line="24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提供特种作业证书</w:t>
            </w:r>
          </w:p>
        </w:tc>
      </w:tr>
      <w:tr w14:paraId="1B70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noWrap w:val="0"/>
            <w:vAlign w:val="center"/>
          </w:tcPr>
          <w:p w14:paraId="19E22627">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11</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509D48A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低压电工</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6A574D0C">
            <w:pPr>
              <w:widowControl/>
              <w:spacing w:line="256" w:lineRule="exact"/>
              <w:ind w:hanging="6"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2人或以上</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0BF87A1F">
            <w:pPr>
              <w:widowControl/>
              <w:spacing w:line="256" w:lineRule="exact"/>
              <w:ind w:hanging="6"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具有低压电工作业证</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698A465C">
            <w:pPr>
              <w:shd w:val="clear" w:color="auto" w:fill="auto"/>
              <w:tabs>
                <w:tab w:val="left" w:pos="2520"/>
              </w:tabs>
              <w:spacing w:line="24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提供特种作业证书</w:t>
            </w:r>
          </w:p>
        </w:tc>
      </w:tr>
    </w:tbl>
    <w:p w14:paraId="7F89B1A0">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jc w:val="left"/>
        <w:textAlignment w:val="auto"/>
        <w:rPr>
          <w:rFonts w:hint="eastAsia" w:ascii="宋体" w:hAnsi="宋体" w:eastAsia="宋体" w:cs="宋体"/>
          <w:b/>
          <w:bCs/>
          <w:color w:val="000000" w:themeColor="text1"/>
          <w:sz w:val="24"/>
          <w:szCs w:val="24"/>
          <w:highlight w:val="none"/>
          <w:u w:val="none"/>
          <w:lang w:val="en"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注：</w:t>
      </w:r>
      <w:r>
        <w:rPr>
          <w:rFonts w:hint="eastAsia" w:ascii="宋体" w:hAnsi="宋体" w:eastAsia="宋体" w:cs="宋体"/>
          <w:b/>
          <w:bCs/>
          <w:color w:val="000000" w:themeColor="text1"/>
          <w:sz w:val="24"/>
          <w:szCs w:val="24"/>
          <w:highlight w:val="none"/>
          <w:u w:val="none"/>
          <w:lang w:val="en" w:eastAsia="zh-CN"/>
          <w14:textFill>
            <w14:solidFill>
              <w14:schemeClr w14:val="tx1"/>
            </w14:solidFill>
          </w14:textFill>
        </w:rPr>
        <w:t>投标人在投标文件中安排的项目团队成员，即为施工期间的派驻团队人员，团队人员的变更需经</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招标人</w:t>
      </w:r>
      <w:r>
        <w:rPr>
          <w:rFonts w:hint="eastAsia" w:ascii="宋体" w:hAnsi="宋体" w:eastAsia="宋体" w:cs="宋体"/>
          <w:b/>
          <w:bCs/>
          <w:color w:val="000000" w:themeColor="text1"/>
          <w:sz w:val="24"/>
          <w:szCs w:val="24"/>
          <w:highlight w:val="none"/>
          <w:u w:val="none"/>
          <w:lang w:val="en" w:eastAsia="zh-CN"/>
          <w14:textFill>
            <w14:solidFill>
              <w14:schemeClr w14:val="tx1"/>
            </w14:solidFill>
          </w14:textFill>
        </w:rPr>
        <w:t>同意，更换为具有同等资质的人员，如中标人私自更换项目团队人员，</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招标人</w:t>
      </w:r>
      <w:r>
        <w:rPr>
          <w:rFonts w:hint="eastAsia" w:ascii="宋体" w:hAnsi="宋体" w:eastAsia="宋体" w:cs="宋体"/>
          <w:b/>
          <w:bCs/>
          <w:color w:val="000000" w:themeColor="text1"/>
          <w:sz w:val="24"/>
          <w:szCs w:val="24"/>
          <w:highlight w:val="none"/>
          <w:u w:val="none"/>
          <w:lang w:val="en" w:eastAsia="zh-CN"/>
          <w14:textFill>
            <w14:solidFill>
              <w14:schemeClr w14:val="tx1"/>
            </w14:solidFill>
          </w14:textFill>
        </w:rPr>
        <w:t>有权无责</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终</w:t>
      </w:r>
      <w:r>
        <w:rPr>
          <w:rFonts w:hint="eastAsia" w:ascii="宋体" w:hAnsi="宋体" w:eastAsia="宋体" w:cs="宋体"/>
          <w:b/>
          <w:bCs/>
          <w:color w:val="000000" w:themeColor="text1"/>
          <w:sz w:val="24"/>
          <w:szCs w:val="24"/>
          <w:highlight w:val="none"/>
          <w:u w:val="none"/>
          <w:lang w:val="en" w:eastAsia="zh-CN"/>
          <w14:textFill>
            <w14:solidFill>
              <w14:schemeClr w14:val="tx1"/>
            </w14:solidFill>
          </w14:textFill>
        </w:rPr>
        <w:t>止合同，</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并</w:t>
      </w:r>
      <w:r>
        <w:rPr>
          <w:rFonts w:hint="eastAsia" w:ascii="宋体" w:hAnsi="宋体" w:eastAsia="宋体" w:cs="宋体"/>
          <w:b/>
          <w:bCs/>
          <w:color w:val="000000" w:themeColor="text1"/>
          <w:sz w:val="24"/>
          <w:szCs w:val="24"/>
          <w:highlight w:val="none"/>
          <w:u w:val="none"/>
          <w:lang w:val="en" w:eastAsia="zh-CN"/>
          <w14:textFill>
            <w14:solidFill>
              <w14:schemeClr w14:val="tx1"/>
            </w14:solidFill>
          </w14:textFill>
        </w:rPr>
        <w:t>没收全额</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的</w:t>
      </w:r>
      <w:r>
        <w:rPr>
          <w:rFonts w:hint="eastAsia" w:ascii="宋体" w:hAnsi="宋体" w:eastAsia="宋体" w:cs="宋体"/>
          <w:b/>
          <w:bCs/>
          <w:color w:val="000000" w:themeColor="text1"/>
          <w:sz w:val="24"/>
          <w:szCs w:val="24"/>
          <w:highlight w:val="none"/>
          <w:u w:val="none"/>
          <w:lang w:val="en" w:eastAsia="zh-CN"/>
          <w14:textFill>
            <w14:solidFill>
              <w14:schemeClr w14:val="tx1"/>
            </w14:solidFill>
          </w14:textFill>
        </w:rPr>
        <w:t>履约保证金。</w:t>
      </w:r>
    </w:p>
    <w:p w14:paraId="0D4FA6C8">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七、投标价要求。</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本项目预算为7782073.62元（含绿色文明安全措施费355347.97元，暂列金639009.07元）。绿色文明安全措施费、暂列金为不可竞争的固定报价，不参与招标竞争价。绿色文明安全措施费，暂列金应列入投标总价中，暂列金的使用由需根据招标人的内部管理要求进行。</w:t>
      </w:r>
    </w:p>
    <w:p w14:paraId="1B89AA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八、配套要求</w:t>
      </w:r>
    </w:p>
    <w:p w14:paraId="4CE753A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1.由于</w:t>
      </w:r>
      <w:r>
        <w:rPr>
          <w:rFonts w:hint="eastAsia" w:ascii="宋体" w:hAnsi="宋体" w:cs="宋体"/>
          <w:color w:val="000000" w:themeColor="text1"/>
          <w:sz w:val="24"/>
          <w:szCs w:val="24"/>
          <w:highlight w:val="none"/>
          <w:u w:val="none"/>
          <w:lang w:val="en-US" w:eastAsia="zh-CN"/>
          <w14:textFill>
            <w14:solidFill>
              <w14:schemeClr w14:val="tx1"/>
            </w14:solidFill>
          </w14:textFill>
        </w:rPr>
        <w:t>非</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财政资金支付流程问题，需要承包人在进度款到位前，保质保量开展工程建设工作。</w:t>
      </w:r>
    </w:p>
    <w:p w14:paraId="300B0F24">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2.施工期间发生的所有安全生产事故，责任均由承包人承担。</w:t>
      </w:r>
    </w:p>
    <w:p w14:paraId="201EA809">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3.现场可提供施工用水电接口，产生的水电费用由承包人支付给物业管理公司。</w:t>
      </w:r>
    </w:p>
    <w:p w14:paraId="74809A74">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4.承包人要配合发包方办理建设相关许可证件。</w:t>
      </w:r>
    </w:p>
    <w:p w14:paraId="514D7BA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5.承包人要配合协调供电局完成送电手续办理。</w:t>
      </w:r>
    </w:p>
    <w:p w14:paraId="13E42F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九、承包人完成工作内容约定：</w:t>
      </w:r>
    </w:p>
    <w:p w14:paraId="33B0377C">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A.承包人所有发向监理单位的函件均应符合监理单位的表格或形式。该表格形式和要求由监理单位给予说明。</w:t>
      </w:r>
    </w:p>
    <w:p w14:paraId="72337AC8">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B.承包人应对工地所有作业和施工方法的适当性、可靠性、安全性负全责。</w:t>
      </w:r>
    </w:p>
    <w:p w14:paraId="354BF569">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C.承包人协助招标人联系质监站进行工程质量和安全的监督、检查，但办理监督登记及费用由招标人负责。</w:t>
      </w:r>
    </w:p>
    <w:p w14:paraId="69983A1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D.开工后承包人按响应文件承诺进场的设备机械未经招标人许可，不得撤出现场。</w:t>
      </w:r>
    </w:p>
    <w:p w14:paraId="7946E9E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E.承包人指定人员负责本项目，出席由招标人及监理单位主持的每周例会（书面通报本周进度完成情况并提出下周进度计划）及重要协调会。承包人的项目负责人以及主要行政与技术领导等，必须长驻工地，不得兼职。项目负责人每月应有20天或以上的出勤记录，否则按合同约定罚款。合同签订后，项目班子主要成员不到位，则监理单位不签发开工令，项目班子主要成员离开工地应向监理单位请假经过批准后才能离开，擅自离开工地，监理单位将有权发出停工令，待有关人员回到岗位后才批准复工。由此产生的工期及经济损失由承包人自负，造成招标人损失的，承包人应承担赔偿责任。</w:t>
      </w:r>
    </w:p>
    <w:p w14:paraId="64F6FF42">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F.招标人在最后一次进度款中一次性扣除城建档案保证金，待资料按要求移交完毕、档案馆审查合格后10天内退还。</w:t>
      </w:r>
    </w:p>
    <w:p w14:paraId="2904F81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G.承包人须协助招标人办理劳保基金缴交有关手续。</w:t>
      </w:r>
    </w:p>
    <w:p w14:paraId="78F5EB6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H.承包人应按《广州市城市建设档案管理办法》的规定,在工程施工过程及时做好收集、汇总、整理工程档案。</w:t>
      </w:r>
    </w:p>
    <w:p w14:paraId="57D349B5">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I.承包人应督促专业工程分包单位及时做好竣工验收资料整理，专业工程竣工验收后25天内应将资料移交承包人，由承包人做好汇总、归档；对专业施工单位的资料的管理，应在分包合同予以明确。</w:t>
      </w:r>
    </w:p>
    <w:p w14:paraId="0D48FDCE">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J.在本合同工程竣工验收之前14天内,承包人必须按竣工验收相关规定及技术档案管理规定编制整理竣工图一式五份,提交发包人。图纸的整理、装订、移交等费用由承包人承担。</w:t>
      </w:r>
    </w:p>
    <w:p w14:paraId="646A26D9">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K.竣工资料的组成：竣工图5份；设计变更汇编5份；设备及材料供货商（包括甲供料）随机文件资料1份（包括产品合格证、出厂说明书、使用说明书等）,承包人供应设备的备件清单5份；隐蔽工程施工记录5份；已完成工程量清单5份；设备及材料的抽检记录。</w:t>
      </w:r>
    </w:p>
    <w:p w14:paraId="41B2306E">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L.竣工资料的内容和完整性必须符合科学技术档案案卷构成的一般要求和技术制图、复制图的折叠方法。</w:t>
      </w:r>
    </w:p>
    <w:p w14:paraId="153065CA">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承包人未能履行以上各项义务，导致工期延长或给招标人造成损失的，承包人赔偿招标人有关损失，工期不予顺延。</w:t>
      </w:r>
    </w:p>
    <w:p w14:paraId="10CEDD2B">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M.招标人提供施工场地办公和生活的房屋及设施的数量和时间等要求：双方现场协商。</w:t>
      </w:r>
    </w:p>
    <w:p w14:paraId="367CD70A">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N、办完施工场地交通、环境保护、施工噪声、绿色施工安全防护等手续的时间：承包人应做好施工场地的交通、环卫和施工噪音管理工作，施工现场交通和噪音的要求要按当地有关规定的执行。如承包人控制、处理不当造成的不良影响，承包人应及时采取补救措施，并承担因此造成的损失。</w:t>
      </w:r>
    </w:p>
    <w:p w14:paraId="2F4BE427">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O.做好施工场地地下管线和邻近建筑物、构筑物（包括文物保护建筑）、古树名木保护工作的约定：承包人应保护好施工场地周围建筑物和地下管线，若施工过程中发生损坏，由承包人负责赔偿。</w:t>
      </w:r>
    </w:p>
    <w:p w14:paraId="0DE3956F">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P.保证施工场地的清洁和做好交工前施工现场清理工作的约定：根据合同通用条款的规定，施工现场布置、材料机械的放置，承包人必须按招标人批准的施工组织方案进行，精心施工和努力地完成工程，并修补其中的缺陷，做好施工组织管理，维持现场整洁、道路畅通，达到创建卫生城市标准，工程竣工后清理现场，做到工完场清。</w:t>
      </w:r>
    </w:p>
    <w:p w14:paraId="513D2A8A">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Q.提交竣工验收申请报告和竣工结算文件。</w:t>
      </w:r>
    </w:p>
    <w:p w14:paraId="37F9FCC8">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如果承包人不按照合同约定或监理工程师依据合同发出的指令组织施工，在监理工程师书面要求改正后，承包人应在24小时内向监理工程师提出书面申诉，否则应在7天内采取补救措施。承包人既不提出申诉，又不采取措施整改的，承包人还需按每次2000元向招标人支付违约金，相关费用在结算时予以扣减。</w:t>
      </w:r>
    </w:p>
    <w:p w14:paraId="32E5E4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十、工程担保</w:t>
      </w:r>
    </w:p>
    <w:p w14:paraId="344B96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履约保证金以合同总价10%的无条件的、不可撤销的银行履约保函形式由承包人在签订合同后20</w:t>
      </w:r>
      <w:r>
        <w:rPr>
          <w:rFonts w:hint="eastAsia" w:ascii="宋体" w:hAnsi="宋体" w:cs="宋体"/>
          <w:color w:val="000000" w:themeColor="text1"/>
          <w:kern w:val="2"/>
          <w:sz w:val="24"/>
          <w:szCs w:val="24"/>
          <w:highlight w:val="none"/>
          <w:u w:val="none"/>
          <w:lang w:val="en-US" w:eastAsia="zh-CN" w:bidi="ar-SA"/>
          <w14:textFill>
            <w14:solidFill>
              <w14:schemeClr w14:val="tx1"/>
            </w14:solidFill>
          </w14:textFill>
        </w:rPr>
        <w:t>天</w:t>
      </w: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内，向招标人申请支付预付款前向招标人提交。履约保函作为合同附件及支付工程预付款的依据。若招标人发现承包人在合同履约过程中有私自分包、拖欠工人工资等违约行为，招标人有权没收履约保函中的履约保证金，招标人有权从履约保证金中提取支付拖欠的工资，若出现扣除履约保证金情况，承包人应在10个工作日内补足全额的履约保证金。履约保函有效期为合同签订日起6个月，若因建设的供电改造工程因验收不合格无法移交至供电部门，施工期超过约定工期时，承包人须延长履约保函的有效期限，每次顺延3个月。承包人履行合同时违约或由于拖欠工人工资而影响工程正常施工, 招标人可随时使用履约保函中的履约保证金代发拖欠的工资。一切因工人工资引起的纠纷责任，均由承包人负全部责任。供电改造工程移交至广州市供电局越秀区分局后，承包人可收回履约保证金。</w:t>
      </w:r>
    </w:p>
    <w:p w14:paraId="30D93F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十一、招标人和承包人双方约定工期顺延的其他情况</w:t>
      </w:r>
    </w:p>
    <w:p w14:paraId="26750B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（1）重大设计变更而且确实影响到施工进度关键线路（但属施工技术措施失误影响的工期由承包人自负）；</w:t>
      </w:r>
    </w:p>
    <w:p w14:paraId="7BA4B1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（2）招标人不能按计划提供设计图纸而确实影响到施工进度；</w:t>
      </w:r>
    </w:p>
    <w:p w14:paraId="23C88A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（3）不可抗力因素；</w:t>
      </w:r>
    </w:p>
    <w:p w14:paraId="557224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（4）招标人原因包括工程款未能按合同及时拨付到位；</w:t>
      </w:r>
    </w:p>
    <w:p w14:paraId="370EA7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（5）一周内非承包人原因停水、停电造成停工连续超过8小时或因招标人其他原因造成工期延误的，如遇上列情况，顺延工期；</w:t>
      </w:r>
    </w:p>
    <w:p w14:paraId="0D7C2E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（6）因承包人原因造成工期延误的，从延期的第二天起，每天向招标人交纳违约金，违约金的金额为：每日历天应赔偿额度为合同总价的0.175‰，违约金的上限为 合同总价的 5% ，同时承包人还应据实赔偿发包人的实际损失。</w:t>
      </w:r>
    </w:p>
    <w:p w14:paraId="317B50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(7)工程延期累计超过60天，招标人有权解除合同，承包人除应当按约定支付延误违约金外，还应承担其它赔偿责任。</w:t>
      </w:r>
    </w:p>
    <w:p w14:paraId="52E551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十二、工程验收</w:t>
      </w:r>
    </w:p>
    <w:p w14:paraId="7C1254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隐蔽工程验收:承包人完成需要隐蔽的工程项目施工以后,必须在48小时前通知监理工程进行隐蔽验收,隐蔽工程验收后方可进行下道工序,监理工程师在接到通知24小时后未能参加隐蔽工程验收,或工程验收后24小时未签字,均视为监理工程师已经批准,承包人可覆盖继续施工。</w:t>
      </w:r>
    </w:p>
    <w:p w14:paraId="31A338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双方约定中间验收部位和时间：双方约定中间验收部位和办法执行穗建监[2001]068号文的规定：承包人完成各专业分部或特种分项工程施工经自检合格后，于48小时前书面通知监理工程师和招标人、广州市越秀区供电局（必要时）参加分部工程中间验收。书面通知包括承包人自检记录、中间验收内容、验收时间和地点。承包人准备验收记录。验收合格，监理工程师、设计单位和招标人在验收记录上签字确认后，方可继续施工。验收不合格，承包人在限定时间内完成整改，符合后重新验收。</w:t>
      </w:r>
    </w:p>
    <w:p w14:paraId="63C52A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整体工程验收：整体工程验收由监理单位组织，参与单位为招标人、设计单位、广州越秀区供电局。验收意见以广州越秀区供电局出具的意见为准，对不符合接收标准的，承包人在限期内需按要求整改，直至验收通过。</w:t>
      </w:r>
    </w:p>
    <w:p w14:paraId="53521F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十三、工程变更</w:t>
      </w:r>
    </w:p>
    <w:p w14:paraId="502050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（1）工程变更严格控制在暂列金范围内，关于暂列金的使用程序严格按照招标人内部相关制度规定执行。</w:t>
      </w:r>
    </w:p>
    <w:p w14:paraId="4CE30E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（2）设计变更文件必须盖有设计单位的出图章和招标人代表签字并盖有招标人印章。</w:t>
      </w:r>
    </w:p>
    <w:p w14:paraId="6E2EE4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（3）招标人书面通知设计变更的指令性文件应有招标人代表签字并盖有招标人印章。</w:t>
      </w:r>
    </w:p>
    <w:p w14:paraId="04F828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4）设计变更文件必须由承包人项目经理或主管预结算工作的负责人签字并加盖项目部印章和监理单位审核意见并经总监代表以上监理人员签字并加盖监理部印章及招标人现场代表签字；设计变更文件涉及合同价款调整或工期变动时，必须随变更报告附变更工程价款或工期计算书，除履行上述手续外，还需经总监、招标人的有关审核人签字并盖招标人印章。</w:t>
      </w:r>
    </w:p>
    <w:p w14:paraId="60534F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（5）设计变更文件（或指令）涉及合同价款和工期调整时，承包人接到设计变更（或指令）有效文件后在14天内申报工程价款和工期调整报告，否则应视作变更不涉及价款和工期调整。</w:t>
      </w:r>
    </w:p>
    <w:p w14:paraId="3F3F23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6）招标人要求的但无需发生费用变化的其它工程变更以书面形式在两天前提出；若需费用发生的其它工程变更在5天前以书面方式提出，费用计算方式采用固定价格合同执行。变更估价按照本款约定处理：已标价工程量清单或预算书有相同项目的，按照相同项目单价认定。</w:t>
      </w:r>
    </w:p>
    <w:p w14:paraId="5386F5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十四、合同价格的调整方法</w:t>
      </w:r>
    </w:p>
    <w:p w14:paraId="6C57A4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市场价格波动引起的调整应同时满足以下三个原则：</w:t>
      </w:r>
    </w:p>
    <w:p w14:paraId="0AC866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1、不超概算总投资的原则。</w:t>
      </w:r>
    </w:p>
    <w:p w14:paraId="716850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2、发包人承担增加费用不超合同总价5%的原则。</w:t>
      </w:r>
    </w:p>
    <w:p w14:paraId="027808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3、风险共担原则。主要建筑材料价格涨（跌）超出10%（不含本数）时，对合同价格进行调整，增加（或减少）费用由发、承包双方各自承担（或受益）50%。详见合同11. 价格调整。</w:t>
      </w:r>
    </w:p>
    <w:p w14:paraId="76F04A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合同人工、材料（设备）、施工机械台班的基准价以招标文件招标控制价（最高限价）预算中的人工、材料（设备）、施工机械台班的价格为准，当工程实际进度时段的《广州市建设工程造价信息》和工程所在地人工、材料（设备）、施工机械台班的价格与基准价对比有涨落时，人工按实调整价差；主要材料（设备）的市场材料价格较投标期信息价大幅度上涨或下降，在风险包干范围内涨或下降幅度在5%以内（含5%），其价差由承包人承担或受益；上涨或下降幅度在5%以外、10%以内的，5%以外、10%以内部分的价差由发包人承担或受益，根据合同中价格调整章节进行。</w:t>
      </w:r>
    </w:p>
    <w:p w14:paraId="707E2F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十五、支付方式</w:t>
      </w:r>
    </w:p>
    <w:p w14:paraId="7FF5384A">
      <w:pPr>
        <w:keepNext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当期完成实际工程进度款</w:t>
      </w:r>
      <w:r>
        <w:rPr>
          <w:rFonts w:hint="eastAsia" w:ascii="宋体" w:hAnsi="宋体" w:eastAsia="宋体" w:cs="宋体"/>
          <w:color w:val="000000" w:themeColor="text1"/>
          <w:sz w:val="24"/>
          <w:szCs w:val="24"/>
          <w:highlight w:val="none"/>
          <w:lang w:eastAsia="zh-CN"/>
          <w14:textFill>
            <w14:solidFill>
              <w14:schemeClr w14:val="tx1"/>
            </w14:solidFill>
          </w14:textFill>
        </w:rPr>
        <w:t>按以下</w:t>
      </w:r>
      <w:r>
        <w:rPr>
          <w:rFonts w:hint="eastAsia" w:ascii="宋体" w:hAnsi="宋体" w:eastAsia="宋体" w:cs="宋体"/>
          <w:color w:val="000000" w:themeColor="text1"/>
          <w:sz w:val="24"/>
          <w:szCs w:val="24"/>
          <w:highlight w:val="none"/>
          <w14:textFill>
            <w14:solidFill>
              <w14:schemeClr w14:val="tx1"/>
            </w14:solidFill>
          </w14:textFill>
        </w:rPr>
        <w:t>进度分</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期进行计算。</w:t>
      </w:r>
    </w:p>
    <w:p w14:paraId="5AD4D66C">
      <w:pPr>
        <w:pStyle w:val="2"/>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第一期：</w:t>
      </w:r>
      <w:r>
        <w:rPr>
          <w:rFonts w:hint="eastAsia" w:ascii="宋体" w:hAnsi="宋体" w:cs="宋体"/>
          <w:color w:val="000000" w:themeColor="text1"/>
          <w:sz w:val="24"/>
          <w:szCs w:val="24"/>
          <w:highlight w:val="none"/>
          <w:lang w:val="en-US" w:eastAsia="zh-CN"/>
          <w14:textFill>
            <w14:solidFill>
              <w14:schemeClr w14:val="tx1"/>
            </w14:solidFill>
          </w14:textFill>
        </w:rPr>
        <w:t>承包人向发包人提供中标金额的10%</w:t>
      </w:r>
      <w:r>
        <w:rPr>
          <w:rFonts w:hint="eastAsia" w:ascii="宋体" w:hAnsi="宋体" w:eastAsia="宋体" w:cs="宋体"/>
          <w:color w:val="000000" w:themeColor="text1"/>
          <w:kern w:val="0"/>
          <w:sz w:val="24"/>
          <w:szCs w:val="24"/>
          <w:highlight w:val="none"/>
          <w14:textFill>
            <w14:solidFill>
              <w14:schemeClr w14:val="tx1"/>
            </w14:solidFill>
          </w14:textFill>
        </w:rPr>
        <w:t>履约担保并</w:t>
      </w:r>
      <w:r>
        <w:rPr>
          <w:rFonts w:hint="eastAsia" w:ascii="宋体" w:hAnsi="宋体" w:cs="宋体"/>
          <w:color w:val="000000" w:themeColor="text1"/>
          <w:kern w:val="0"/>
          <w:sz w:val="24"/>
          <w:szCs w:val="24"/>
          <w:highlight w:val="none"/>
          <w:lang w:val="en-US" w:eastAsia="zh-CN"/>
          <w14:textFill>
            <w14:solidFill>
              <w14:schemeClr w14:val="tx1"/>
            </w14:solidFill>
          </w14:textFill>
        </w:rPr>
        <w:t>发包人向承包人签发开工令</w:t>
      </w:r>
      <w:r>
        <w:rPr>
          <w:rFonts w:hint="eastAsia"/>
          <w:color w:val="000000" w:themeColor="text1"/>
          <w:highlight w:val="none"/>
          <w:lang w:val="en-US" w:eastAsia="zh-CN"/>
          <w14:textFill>
            <w14:solidFill>
              <w14:schemeClr w14:val="tx1"/>
            </w14:solidFill>
          </w14:textFill>
        </w:rPr>
        <w:t>后</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eastAsia="zh-CN"/>
          <w14:textFill>
            <w14:solidFill>
              <w14:schemeClr w14:val="tx1"/>
            </w14:solidFill>
          </w14:textFill>
        </w:rPr>
        <w:t>发包</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人</w:t>
      </w:r>
      <w:r>
        <w:rPr>
          <w:rFonts w:hint="eastAsia" w:ascii="宋体" w:hAnsi="宋体" w:eastAsia="宋体" w:cs="宋体"/>
          <w:color w:val="000000" w:themeColor="text1"/>
          <w:kern w:val="0"/>
          <w:sz w:val="24"/>
          <w:szCs w:val="24"/>
          <w:highlight w:val="none"/>
          <w14:textFill>
            <w14:solidFill>
              <w14:schemeClr w14:val="tx1"/>
            </w14:solidFill>
          </w14:textFill>
        </w:rPr>
        <w:t>向</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承包人</w:t>
      </w:r>
      <w:r>
        <w:rPr>
          <w:rFonts w:hint="eastAsia" w:ascii="宋体" w:hAnsi="宋体" w:eastAsia="宋体" w:cs="宋体"/>
          <w:color w:val="000000" w:themeColor="text1"/>
          <w:kern w:val="0"/>
          <w:sz w:val="24"/>
          <w:szCs w:val="24"/>
          <w:highlight w:val="none"/>
          <w14:textFill>
            <w14:solidFill>
              <w14:schemeClr w14:val="tx1"/>
            </w14:solidFill>
          </w14:textFill>
        </w:rPr>
        <w:t>办理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合同价</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需</w:t>
      </w:r>
      <w:r>
        <w:rPr>
          <w:rFonts w:hint="eastAsia" w:ascii="宋体" w:hAnsi="宋体" w:eastAsia="宋体" w:cs="宋体"/>
          <w:color w:val="000000" w:themeColor="text1"/>
          <w:kern w:val="0"/>
          <w:sz w:val="24"/>
          <w:szCs w:val="24"/>
          <w:highlight w:val="none"/>
          <w14:textFill>
            <w14:solidFill>
              <w14:schemeClr w14:val="tx1"/>
            </w14:solidFill>
          </w14:textFill>
        </w:rPr>
        <w:t>合同总价扣除暂列金额</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，以下表达相同</w:t>
      </w:r>
      <w:r>
        <w:rPr>
          <w:rFonts w:hint="eastAsia" w:ascii="宋体" w:hAnsi="宋体" w:eastAsia="宋体" w:cs="宋体"/>
          <w:color w:val="000000" w:themeColor="text1"/>
          <w:kern w:val="0"/>
          <w:sz w:val="24"/>
          <w:szCs w:val="24"/>
          <w:highlight w:val="none"/>
          <w14:textFill>
            <w14:solidFill>
              <w14:schemeClr w14:val="tx1"/>
            </w14:solidFill>
          </w14:textFill>
        </w:rPr>
        <w:t>）的30%作为预付款的支付手续。</w:t>
      </w:r>
    </w:p>
    <w:p w14:paraId="19AB9936">
      <w:pPr>
        <w:keepNext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第</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二</w:t>
      </w:r>
      <w:r>
        <w:rPr>
          <w:rFonts w:hint="eastAsia" w:ascii="宋体" w:hAnsi="宋体" w:eastAsia="宋体" w:cs="宋体"/>
          <w:color w:val="000000" w:themeColor="text1"/>
          <w:sz w:val="24"/>
          <w:szCs w:val="24"/>
          <w:highlight w:val="none"/>
          <w:u w:val="single"/>
          <w14:textFill>
            <w14:solidFill>
              <w14:schemeClr w14:val="tx1"/>
            </w14:solidFill>
          </w14:textFill>
        </w:rPr>
        <w:t>期</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完成工程量50%时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发包</w:t>
      </w:r>
      <w:r>
        <w:rPr>
          <w:rFonts w:hint="eastAsia" w:ascii="宋体" w:hAnsi="宋体" w:eastAsia="宋体" w:cs="宋体"/>
          <w:color w:val="000000" w:themeColor="text1"/>
          <w:sz w:val="24"/>
          <w:szCs w:val="24"/>
          <w:highlight w:val="none"/>
          <w:lang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向</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办理支付</w:t>
      </w:r>
      <w:r>
        <w:rPr>
          <w:rFonts w:hint="eastAsia" w:ascii="宋体" w:hAnsi="宋体" w:eastAsia="宋体" w:cs="宋体"/>
          <w:color w:val="000000" w:themeColor="text1"/>
          <w:sz w:val="24"/>
          <w:szCs w:val="24"/>
          <w:highlight w:val="none"/>
          <w:lang w:eastAsia="zh-CN"/>
          <w14:textFill>
            <w14:solidFill>
              <w14:schemeClr w14:val="tx1"/>
            </w14:solidFill>
          </w14:textFill>
        </w:rPr>
        <w:t>合同价</w:t>
      </w:r>
      <w:r>
        <w:rPr>
          <w:rFonts w:hint="eastAsia" w:ascii="宋体" w:hAnsi="宋体" w:eastAsia="宋体" w:cs="宋体"/>
          <w:color w:val="000000" w:themeColor="text1"/>
          <w:sz w:val="24"/>
          <w:szCs w:val="24"/>
          <w:highlight w:val="none"/>
          <w14:textFill>
            <w14:solidFill>
              <w14:schemeClr w14:val="tx1"/>
            </w14:solidFill>
          </w14:textFill>
        </w:rPr>
        <w:t>（合同总价扣除暂列金额）</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0%的支付手续；</w:t>
      </w:r>
    </w:p>
    <w:p w14:paraId="07455C14">
      <w:pPr>
        <w:keepNext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第</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三</w:t>
      </w:r>
      <w:r>
        <w:rPr>
          <w:rFonts w:hint="eastAsia" w:ascii="宋体" w:hAnsi="宋体" w:eastAsia="宋体" w:cs="宋体"/>
          <w:color w:val="000000" w:themeColor="text1"/>
          <w:sz w:val="24"/>
          <w:szCs w:val="24"/>
          <w:highlight w:val="none"/>
          <w:u w:val="single"/>
          <w14:textFill>
            <w14:solidFill>
              <w14:schemeClr w14:val="tx1"/>
            </w14:solidFill>
          </w14:textFill>
        </w:rPr>
        <w:t>期：工程竣工</w:t>
      </w:r>
      <w:r>
        <w:rPr>
          <w:rFonts w:hint="eastAsia" w:ascii="宋体" w:hAnsi="宋体" w:cs="宋体"/>
          <w:color w:val="000000" w:themeColor="text1"/>
          <w:sz w:val="24"/>
          <w:szCs w:val="24"/>
          <w:highlight w:val="none"/>
          <w:u w:val="single"/>
          <w:lang w:eastAsia="zh-CN"/>
          <w14:textFill>
            <w14:solidFill>
              <w14:schemeClr w14:val="tx1"/>
            </w14:solidFill>
          </w14:textFill>
        </w:rPr>
        <w:t>且</w:t>
      </w:r>
      <w:r>
        <w:rPr>
          <w:rFonts w:hint="eastAsia" w:ascii="宋体" w:hAnsi="宋体" w:eastAsia="宋体" w:cs="宋体"/>
          <w:color w:val="000000" w:themeColor="text1"/>
          <w:sz w:val="24"/>
          <w:szCs w:val="24"/>
          <w:highlight w:val="none"/>
          <w:u w:val="single"/>
          <w14:textFill>
            <w14:solidFill>
              <w14:schemeClr w14:val="tx1"/>
            </w14:solidFill>
          </w14:textFill>
        </w:rPr>
        <w:t>经广州越秀区供电局验收合格</w:t>
      </w:r>
      <w:r>
        <w:rPr>
          <w:rFonts w:hint="eastAsia" w:ascii="宋体" w:hAnsi="宋体" w:cs="宋体"/>
          <w:color w:val="000000" w:themeColor="text1"/>
          <w:sz w:val="24"/>
          <w:szCs w:val="24"/>
          <w:highlight w:val="none"/>
          <w:u w:val="single"/>
          <w:lang w:val="en-US" w:eastAsia="zh-CN"/>
          <w14:textFill>
            <w14:solidFill>
              <w14:schemeClr w14:val="tx1"/>
            </w14:solidFill>
          </w14:textFill>
        </w:rPr>
        <w:t>并交付使用后，发包人办理支付</w:t>
      </w:r>
      <w:r>
        <w:rPr>
          <w:rFonts w:hint="eastAsia" w:ascii="宋体" w:hAnsi="宋体" w:cs="宋体"/>
          <w:color w:val="000000" w:themeColor="text1"/>
          <w:sz w:val="24"/>
          <w:szCs w:val="24"/>
          <w:highlight w:val="none"/>
          <w:u w:val="single"/>
          <w:lang w:eastAsia="zh-CN"/>
          <w14:textFill>
            <w14:solidFill>
              <w14:schemeClr w14:val="tx1"/>
            </w14:solidFill>
          </w14:textFill>
        </w:rPr>
        <w:t>合同</w:t>
      </w:r>
      <w:r>
        <w:rPr>
          <w:rFonts w:hint="eastAsia" w:ascii="宋体" w:hAnsi="宋体" w:eastAsia="宋体" w:cs="宋体"/>
          <w:color w:val="000000" w:themeColor="text1"/>
          <w:sz w:val="24"/>
          <w:szCs w:val="24"/>
          <w:highlight w:val="none"/>
          <w:u w:val="single"/>
          <w14:textFill>
            <w14:solidFill>
              <w14:schemeClr w14:val="tx1"/>
            </w14:solidFill>
          </w14:textFill>
        </w:rPr>
        <w:t>价（合同总价扣除暂列金额）</w:t>
      </w:r>
      <w:r>
        <w:rPr>
          <w:rFonts w:hint="eastAsia" w:ascii="宋体" w:hAnsi="宋体" w:cs="宋体"/>
          <w:color w:val="000000" w:themeColor="text1"/>
          <w:sz w:val="24"/>
          <w:szCs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u w:val="single"/>
          <w14:textFill>
            <w14:solidFill>
              <w14:schemeClr w14:val="tx1"/>
            </w14:solidFill>
          </w14:textFill>
        </w:rPr>
        <w:t>%的支付手续，</w:t>
      </w:r>
    </w:p>
    <w:p w14:paraId="5B8BFE4F">
      <w:pPr>
        <w:keepNext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第</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四</w:t>
      </w:r>
      <w:r>
        <w:rPr>
          <w:rFonts w:hint="eastAsia" w:ascii="宋体" w:hAnsi="宋体" w:eastAsia="宋体" w:cs="宋体"/>
          <w:color w:val="000000" w:themeColor="text1"/>
          <w:sz w:val="24"/>
          <w:szCs w:val="24"/>
          <w:highlight w:val="none"/>
          <w:u w:val="single"/>
          <w14:textFill>
            <w14:solidFill>
              <w14:schemeClr w14:val="tx1"/>
            </w14:solidFill>
          </w14:textFill>
        </w:rPr>
        <w:t>期：新建的供电系统已移交至广州越秀区供电局后14个工作日内，</w:t>
      </w:r>
      <w:r>
        <w:rPr>
          <w:rFonts w:hint="eastAsia" w:ascii="宋体" w:hAnsi="宋体" w:cs="宋体"/>
          <w:color w:val="000000" w:themeColor="text1"/>
          <w:sz w:val="24"/>
          <w:szCs w:val="24"/>
          <w:highlight w:val="none"/>
          <w:u w:val="single"/>
          <w:lang w:eastAsia="zh-CN"/>
          <w14:textFill>
            <w14:solidFill>
              <w14:schemeClr w14:val="tx1"/>
            </w14:solidFill>
          </w14:textFill>
        </w:rPr>
        <w:t>发包</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人</w:t>
      </w:r>
      <w:r>
        <w:rPr>
          <w:rFonts w:hint="eastAsia" w:ascii="宋体" w:hAnsi="宋体" w:eastAsia="宋体" w:cs="宋体"/>
          <w:color w:val="000000" w:themeColor="text1"/>
          <w:sz w:val="24"/>
          <w:szCs w:val="24"/>
          <w:highlight w:val="none"/>
          <w:u w:val="single"/>
          <w14:textFill>
            <w14:solidFill>
              <w14:schemeClr w14:val="tx1"/>
            </w14:solidFill>
          </w14:textFill>
        </w:rPr>
        <w:t>向</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承包人</w:t>
      </w:r>
      <w:r>
        <w:rPr>
          <w:rFonts w:hint="eastAsia" w:ascii="宋体" w:hAnsi="宋体" w:eastAsia="宋体" w:cs="宋体"/>
          <w:color w:val="000000" w:themeColor="text1"/>
          <w:sz w:val="24"/>
          <w:szCs w:val="24"/>
          <w:highlight w:val="none"/>
          <w:u w:val="single"/>
          <w14:textFill>
            <w14:solidFill>
              <w14:schemeClr w14:val="tx1"/>
            </w14:solidFill>
          </w14:textFill>
        </w:rPr>
        <w:t>办理支付</w:t>
      </w:r>
      <w:r>
        <w:rPr>
          <w:rFonts w:hint="eastAsia" w:ascii="宋体" w:hAnsi="宋体" w:cs="宋体"/>
          <w:color w:val="000000" w:themeColor="text1"/>
          <w:sz w:val="24"/>
          <w:szCs w:val="24"/>
          <w:highlight w:val="none"/>
          <w:u w:val="single"/>
          <w:lang w:eastAsia="zh-CN"/>
          <w14:textFill>
            <w14:solidFill>
              <w14:schemeClr w14:val="tx1"/>
            </w14:solidFill>
          </w14:textFill>
        </w:rPr>
        <w:t>合同</w:t>
      </w:r>
      <w:r>
        <w:rPr>
          <w:rFonts w:hint="eastAsia" w:ascii="宋体" w:hAnsi="宋体" w:eastAsia="宋体" w:cs="宋体"/>
          <w:color w:val="000000" w:themeColor="text1"/>
          <w:sz w:val="24"/>
          <w:szCs w:val="24"/>
          <w:highlight w:val="none"/>
          <w:u w:val="single"/>
          <w14:textFill>
            <w14:solidFill>
              <w14:schemeClr w14:val="tx1"/>
            </w14:solidFill>
          </w14:textFill>
        </w:rPr>
        <w:t>价（合同总价扣除暂列金额）</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single"/>
          <w14:textFill>
            <w14:solidFill>
              <w14:schemeClr w14:val="tx1"/>
            </w14:solidFill>
          </w14:textFill>
        </w:rPr>
        <w:t>%的支付手续；</w:t>
      </w:r>
    </w:p>
    <w:p w14:paraId="2BB84390">
      <w:pPr>
        <w:pStyle w:val="18"/>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第</w:t>
      </w:r>
      <w:r>
        <w:rPr>
          <w:rFonts w:hint="eastAsia" w:hAnsi="宋体" w:cs="宋体"/>
          <w:color w:val="000000" w:themeColor="text1"/>
          <w:sz w:val="24"/>
          <w:szCs w:val="24"/>
          <w:highlight w:val="none"/>
          <w:u w:val="singl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u w:val="single"/>
          <w14:textFill>
            <w14:solidFill>
              <w14:schemeClr w14:val="tx1"/>
            </w14:solidFill>
          </w14:textFill>
        </w:rPr>
        <w:t>期：</w:t>
      </w:r>
      <w:r>
        <w:rPr>
          <w:rFonts w:hint="eastAsia" w:ascii="宋体" w:hAnsi="宋体" w:eastAsia="宋体" w:cs="宋体"/>
          <w:color w:val="000000" w:themeColor="text1"/>
          <w:sz w:val="24"/>
          <w:szCs w:val="24"/>
          <w:highlight w:val="none"/>
          <w14:textFill>
            <w14:solidFill>
              <w14:schemeClr w14:val="tx1"/>
            </w14:solidFill>
          </w14:textFill>
        </w:rPr>
        <w:t>当工程按</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第14条</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〔竣工结算〕</w:t>
      </w:r>
      <w:r>
        <w:rPr>
          <w:rFonts w:hint="eastAsia" w:ascii="宋体" w:hAnsi="宋体" w:eastAsia="宋体" w:cs="宋体"/>
          <w:color w:val="000000" w:themeColor="text1"/>
          <w:sz w:val="24"/>
          <w:szCs w:val="24"/>
          <w:highlight w:val="none"/>
          <w14:textFill>
            <w14:solidFill>
              <w14:schemeClr w14:val="tx1"/>
            </w14:solidFill>
          </w14:textFill>
        </w:rPr>
        <w:t>约定完成竣工结算审核</w:t>
      </w:r>
      <w:r>
        <w:rPr>
          <w:rFonts w:hint="eastAsia" w:hAnsi="宋体" w:cs="宋体"/>
          <w:color w:val="000000" w:themeColor="text1"/>
          <w:sz w:val="24"/>
          <w:szCs w:val="24"/>
          <w:highlight w:val="none"/>
          <w:lang w:eastAsia="zh-CN"/>
          <w14:textFill>
            <w14:solidFill>
              <w14:schemeClr w14:val="tx1"/>
            </w14:solidFill>
          </w14:textFill>
        </w:rPr>
        <w:t>（结算审核单位由发包人指定）</w:t>
      </w:r>
      <w:r>
        <w:rPr>
          <w:rFonts w:hint="eastAsia" w:ascii="宋体" w:hAnsi="宋体" w:eastAsia="宋体" w:cs="宋体"/>
          <w:color w:val="000000" w:themeColor="text1"/>
          <w:sz w:val="24"/>
          <w:szCs w:val="24"/>
          <w:highlight w:val="none"/>
          <w14:textFill>
            <w14:solidFill>
              <w14:schemeClr w14:val="tx1"/>
            </w14:solidFill>
          </w14:textFill>
        </w:rPr>
        <w:t>，且承包人完成工程竣工资料整理并完整移交后，发包人支付至结算审定造价的97%</w:t>
      </w:r>
      <w:r>
        <w:rPr>
          <w:rFonts w:hint="eastAsia" w:ascii="宋体" w:hAnsi="宋体" w:eastAsia="宋体" w:cs="宋体"/>
          <w:color w:val="000000" w:themeColor="text1"/>
          <w:sz w:val="24"/>
          <w:szCs w:val="24"/>
          <w:highlight w:val="none"/>
          <w:lang w:eastAsia="zh-CN"/>
          <w14:textFill>
            <w14:solidFill>
              <w14:schemeClr w14:val="tx1"/>
            </w14:solidFill>
          </w14:textFill>
        </w:rPr>
        <w:t>（即</w:t>
      </w:r>
      <w:r>
        <w:rPr>
          <w:rFonts w:hint="eastAsia" w:ascii="宋体" w:hAnsi="宋体" w:eastAsia="宋体" w:cs="宋体"/>
          <w:color w:val="000000" w:themeColor="text1"/>
          <w:sz w:val="24"/>
          <w:szCs w:val="24"/>
          <w:highlight w:val="none"/>
          <w14:textFill>
            <w14:solidFill>
              <w14:schemeClr w14:val="tx1"/>
            </w14:solidFill>
          </w14:textFill>
        </w:rPr>
        <w:t>结算审定造价</w:t>
      </w:r>
      <w:r>
        <w:rPr>
          <w:rFonts w:hint="eastAsia" w:ascii="宋体" w:hAnsi="宋体" w:eastAsia="宋体" w:cs="宋体"/>
          <w:color w:val="000000" w:themeColor="text1"/>
          <w:sz w:val="24"/>
          <w:szCs w:val="24"/>
          <w:highlight w:val="none"/>
          <w:lang w:val="en-US" w:eastAsia="zh-CN"/>
          <w14:textFill>
            <w14:solidFill>
              <w14:schemeClr w14:val="tx1"/>
            </w14:solidFill>
          </w14:textFill>
        </w:rPr>
        <w:t>*97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-前期已支付工程款</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若结算</w:t>
      </w:r>
      <w:r>
        <w:rPr>
          <w:rFonts w:hint="eastAsia" w:ascii="宋体" w:hAnsi="宋体" w:eastAsia="宋体" w:cs="宋体"/>
          <w:color w:val="000000" w:themeColor="text1"/>
          <w:sz w:val="24"/>
          <w:szCs w:val="24"/>
          <w:highlight w:val="none"/>
          <w14:textFill>
            <w14:solidFill>
              <w14:schemeClr w14:val="tx1"/>
            </w14:solidFill>
          </w14:textFill>
        </w:rPr>
        <w:t>审定造价</w:t>
      </w:r>
      <w:r>
        <w:rPr>
          <w:rFonts w:hint="eastAsia" w:ascii="宋体" w:hAnsi="宋体" w:eastAsia="宋体" w:cs="宋体"/>
          <w:color w:val="000000" w:themeColor="text1"/>
          <w:sz w:val="24"/>
          <w:szCs w:val="24"/>
          <w:highlight w:val="none"/>
          <w:lang w:eastAsia="zh-CN"/>
          <w14:textFill>
            <w14:solidFill>
              <w14:schemeClr w14:val="tx1"/>
            </w14:solidFill>
          </w14:textFill>
        </w:rPr>
        <w:t>低于累计已支付的工程款时，承包人须退回超出支付的部分工程款</w:t>
      </w:r>
      <w:r>
        <w:rPr>
          <w:rFonts w:hint="eastAsia" w:hAnsi="宋体" w:cs="宋体"/>
          <w:color w:val="000000" w:themeColor="text1"/>
          <w:sz w:val="24"/>
          <w:szCs w:val="24"/>
          <w:highlight w:val="none"/>
          <w:lang w:eastAsia="zh-CN"/>
          <w14:textFill>
            <w14:solidFill>
              <w14:schemeClr w14:val="tx1"/>
            </w14:solidFill>
          </w14:textFill>
        </w:rPr>
        <w:t>；若结算审定造价高于合同总价，除正常签证变更和合同相关条款约定外，高出的金额由承包人承担。</w:t>
      </w:r>
    </w:p>
    <w:p w14:paraId="5E87BF5F">
      <w:pPr>
        <w:pStyle w:val="18"/>
        <w:keepNext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第</w:t>
      </w:r>
      <w:r>
        <w:rPr>
          <w:rFonts w:hint="eastAsia" w:hAnsi="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lang w:val="en-US" w:eastAsia="zh-CN"/>
          <w14:textFill>
            <w14:solidFill>
              <w14:schemeClr w14:val="tx1"/>
            </w14:solidFill>
          </w14:textFill>
        </w:rPr>
        <w:t>期：</w:t>
      </w:r>
      <w:r>
        <w:rPr>
          <w:rFonts w:hint="eastAsia" w:ascii="宋体" w:hAnsi="宋体" w:eastAsia="宋体" w:cs="宋体"/>
          <w:color w:val="000000" w:themeColor="text1"/>
          <w:sz w:val="24"/>
          <w:szCs w:val="24"/>
          <w:highlight w:val="none"/>
          <w14:textFill>
            <w14:solidFill>
              <w14:schemeClr w14:val="tx1"/>
            </w14:solidFill>
          </w14:textFill>
        </w:rPr>
        <w:t>预留结算审定造价的3%作为质量保证金。若在缺陷责任期内，承包人未出现违约情形的，</w:t>
      </w:r>
      <w:r>
        <w:rPr>
          <w:rFonts w:hint="eastAsia" w:ascii="宋体" w:hAnsi="宋体" w:eastAsia="宋体" w:cs="宋体"/>
          <w:color w:val="000000" w:themeColor="text1"/>
          <w:sz w:val="24"/>
          <w:szCs w:val="24"/>
          <w:highlight w:val="none"/>
          <w:lang w:eastAsia="zh-CN"/>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本工程移交至</w:t>
      </w:r>
      <w:r>
        <w:rPr>
          <w:rFonts w:hint="eastAsia" w:ascii="宋体" w:hAnsi="宋体" w:eastAsia="宋体" w:cs="宋体"/>
          <w:color w:val="000000" w:themeColor="text1"/>
          <w:sz w:val="24"/>
          <w:szCs w:val="24"/>
          <w:highlight w:val="none"/>
          <w:lang w:eastAsia="zh-CN"/>
          <w14:textFill>
            <w14:solidFill>
              <w14:schemeClr w14:val="tx1"/>
            </w14:solidFill>
          </w14:textFill>
        </w:rPr>
        <w:t>广州越秀区供电局</w:t>
      </w:r>
      <w:r>
        <w:rPr>
          <w:rFonts w:hint="eastAsia" w:ascii="宋体" w:hAnsi="宋体" w:eastAsia="宋体" w:cs="宋体"/>
          <w:color w:val="000000" w:themeColor="text1"/>
          <w:sz w:val="24"/>
          <w:szCs w:val="24"/>
          <w:highlight w:val="none"/>
          <w:lang w:val="en-US" w:eastAsia="zh-CN"/>
          <w14:textFill>
            <w14:solidFill>
              <w14:schemeClr w14:val="tx1"/>
            </w14:solidFill>
          </w14:textFill>
        </w:rPr>
        <w:t>接收日起一年后</w:t>
      </w:r>
      <w:r>
        <w:rPr>
          <w:rFonts w:hint="eastAsia" w:ascii="宋体" w:hAnsi="宋体" w:eastAsia="宋体" w:cs="宋体"/>
          <w:color w:val="000000" w:themeColor="text1"/>
          <w:sz w:val="24"/>
          <w:szCs w:val="24"/>
          <w:highlight w:val="none"/>
          <w14:textFill>
            <w14:solidFill>
              <w14:schemeClr w14:val="tx1"/>
            </w14:solidFill>
          </w14:textFill>
        </w:rPr>
        <w:t>，发包人无息</w:t>
      </w:r>
      <w:r>
        <w:rPr>
          <w:rFonts w:hint="eastAsia" w:ascii="宋体" w:hAnsi="宋体" w:eastAsia="宋体" w:cs="宋体"/>
          <w:color w:val="000000" w:themeColor="text1"/>
          <w:sz w:val="24"/>
          <w:szCs w:val="24"/>
          <w:highlight w:val="none"/>
          <w:lang w:eastAsia="zh-CN"/>
          <w14:textFill>
            <w14:solidFill>
              <w14:schemeClr w14:val="tx1"/>
            </w14:solidFill>
          </w14:textFill>
        </w:rPr>
        <w:t>退还</w:t>
      </w:r>
      <w:r>
        <w:rPr>
          <w:rFonts w:hint="eastAsia" w:ascii="宋体" w:hAnsi="宋体" w:eastAsia="宋体" w:cs="宋体"/>
          <w:color w:val="000000" w:themeColor="text1"/>
          <w:sz w:val="24"/>
          <w:szCs w:val="24"/>
          <w:highlight w:val="none"/>
          <w14:textFill>
            <w14:solidFill>
              <w14:schemeClr w14:val="tx1"/>
            </w14:solidFill>
          </w14:textFill>
        </w:rPr>
        <w:t>工程质量保证金。承包人出现违约情形的，发包人有权直接委托第三方进行维修，发生费用可在质量保修金内扣除。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供电改造工程移交至广州市供电局越秀区分局后，承包人可收回履约保证金。</w:t>
      </w:r>
    </w:p>
    <w:p w14:paraId="35D1839F">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申请工程款支付时，需提供等额</w:t>
      </w:r>
      <w:r>
        <w:rPr>
          <w:rFonts w:hint="eastAsia" w:ascii="宋体" w:hAnsi="宋体" w:eastAsia="宋体" w:cs="宋体"/>
          <w:color w:val="000000" w:themeColor="text1"/>
          <w:sz w:val="24"/>
          <w:szCs w:val="24"/>
          <w:highlight w:val="none"/>
          <w:lang w:val="en-US" w:eastAsia="zh-CN"/>
          <w14:textFill>
            <w14:solidFill>
              <w14:schemeClr w14:val="tx1"/>
            </w14:solidFill>
          </w14:textFill>
        </w:rPr>
        <w:t>增值税专用发票</w:t>
      </w:r>
      <w:r>
        <w:rPr>
          <w:rFonts w:hint="eastAsia" w:ascii="宋体" w:hAnsi="宋体" w:eastAsia="宋体" w:cs="宋体"/>
          <w:color w:val="000000" w:themeColor="text1"/>
          <w:sz w:val="24"/>
          <w:szCs w:val="24"/>
          <w:highlight w:val="none"/>
          <w14:textFill>
            <w14:solidFill>
              <w14:schemeClr w14:val="tx1"/>
            </w14:solidFill>
          </w14:textFill>
        </w:rPr>
        <w:t>。本项目的预付款和工程款由</w:t>
      </w:r>
      <w:r>
        <w:rPr>
          <w:rFonts w:hint="eastAsia" w:ascii="宋体" w:hAnsi="宋体" w:eastAsia="宋体" w:cs="宋体"/>
          <w:color w:val="000000" w:themeColor="text1"/>
          <w:sz w:val="24"/>
          <w:szCs w:val="24"/>
          <w:highlight w:val="none"/>
          <w:lang w:eastAsia="zh-CN"/>
          <w14:textFill>
            <w14:solidFill>
              <w14:schemeClr w14:val="tx1"/>
            </w14:solidFill>
          </w14:textFill>
        </w:rPr>
        <w:t>广东省广裕集团有限责任公司</w:t>
      </w:r>
      <w:r>
        <w:rPr>
          <w:rFonts w:hint="eastAsia" w:ascii="宋体" w:hAnsi="宋体" w:eastAsia="宋体" w:cs="宋体"/>
          <w:color w:val="000000" w:themeColor="text1"/>
          <w:sz w:val="24"/>
          <w:szCs w:val="24"/>
          <w:highlight w:val="none"/>
          <w14:textFill>
            <w14:solidFill>
              <w14:schemeClr w14:val="tx1"/>
            </w14:solidFill>
          </w14:textFill>
        </w:rPr>
        <w:t>支付,因资金拨款延误而导致</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逾期付款,</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不承担逾期付款的违约责任,并且此情况不能成为</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逾期开工和竣工的理由。</w:t>
      </w:r>
    </w:p>
    <w:p w14:paraId="2D5663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十六、结算要求</w:t>
      </w:r>
    </w:p>
    <w:p w14:paraId="0E9AA07A">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）工程竣工验收报告经</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认可后90天内，</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向</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递交竣工结算报告及完整的结算资料，双方按照协议书约定的合同价款及专用条款约定的合同价款调整内容，进行工程竣工结算。</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逾期提交结算资料，每逾期一天按合同价的</w:t>
      </w:r>
      <w:r>
        <w:rPr>
          <w:rFonts w:hint="eastAsia" w:ascii="宋体" w:hAnsi="宋体" w:eastAsia="宋体" w:cs="宋体"/>
          <w:color w:val="000000" w:themeColor="text1"/>
          <w:sz w:val="24"/>
          <w:szCs w:val="24"/>
          <w:highlight w:val="none"/>
          <w:lang w:val="en-US" w:eastAsia="zh-CN"/>
          <w14:textFill>
            <w14:solidFill>
              <w14:schemeClr w14:val="tx1"/>
            </w14:solidFill>
          </w14:textFill>
        </w:rPr>
        <w:t>0.175</w:t>
      </w:r>
      <w:r>
        <w:rPr>
          <w:rFonts w:hint="eastAsia" w:ascii="宋体" w:hAnsi="宋体" w:eastAsia="宋体" w:cs="宋体"/>
          <w:color w:val="000000" w:themeColor="text1"/>
          <w:sz w:val="24"/>
          <w:szCs w:val="24"/>
          <w:highlight w:val="none"/>
          <w14:textFill>
            <w14:solidFill>
              <w14:schemeClr w14:val="tx1"/>
            </w14:solidFill>
          </w14:textFill>
        </w:rPr>
        <w:t>‰向</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支付违约金。</w:t>
      </w:r>
    </w:p>
    <w:p w14:paraId="288EB808">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收到</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递交的竣工结算报告及完整结算资料后，在《建设工程价款结算暂行办法》第十四条第（三）款规定的时限内提交给</w:t>
      </w:r>
      <w:r>
        <w:rPr>
          <w:rFonts w:hint="eastAsia" w:ascii="宋体" w:hAnsi="宋体" w:eastAsia="宋体" w:cs="宋体"/>
          <w:color w:val="000000" w:themeColor="text1"/>
          <w:sz w:val="24"/>
          <w:szCs w:val="24"/>
          <w:highlight w:val="none"/>
          <w:lang w:eastAsia="zh-CN"/>
          <w14:textFill>
            <w14:solidFill>
              <w14:schemeClr w14:val="tx1"/>
            </w14:solidFill>
          </w14:textFill>
        </w:rPr>
        <w:t>负责本工程的全过程造价咨询服务单位审核。</w:t>
      </w:r>
    </w:p>
    <w:p w14:paraId="132709A4">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）工程竣工验收报告经</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认可后</w:t>
      </w:r>
      <w:r>
        <w:rPr>
          <w:rFonts w:hint="eastAsia" w:ascii="宋体" w:hAnsi="宋体" w:eastAsia="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t>天内，</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未能向</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递交竣工结算报告及完整的结算资料，造成工程竣工结算不能正常进行或工程竣工结算价款不能及时支付，</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提不出正当理由延期的，承担违约责任；</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要求交付工程的，</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应当交付；</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不要求交付工程的，</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承担保管责任。</w:t>
      </w:r>
    </w:p>
    <w:p w14:paraId="5CB903C8">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招标人承包人</w:t>
      </w:r>
      <w:r>
        <w:rPr>
          <w:rFonts w:hint="eastAsia" w:ascii="宋体" w:hAnsi="宋体" w:eastAsia="宋体" w:cs="宋体"/>
          <w:color w:val="000000" w:themeColor="text1"/>
          <w:sz w:val="24"/>
          <w:szCs w:val="24"/>
          <w:highlight w:val="none"/>
          <w14:textFill>
            <w14:solidFill>
              <w14:schemeClr w14:val="tx1"/>
            </w14:solidFill>
          </w14:textFill>
        </w:rPr>
        <w:t>对工程竣工结算价款发生争议时，按</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通用条款</w:t>
      </w:r>
      <w:bookmarkStart w:id="75" w:name="_Toc351203593"/>
      <w:r>
        <w:rPr>
          <w:rFonts w:hint="eastAsia" w:ascii="宋体" w:hAnsi="宋体" w:eastAsia="宋体" w:cs="宋体"/>
          <w:color w:val="000000" w:themeColor="text1"/>
          <w:sz w:val="24"/>
          <w:szCs w:val="24"/>
          <w:highlight w:val="none"/>
          <w14:textFill>
            <w14:solidFill>
              <w14:schemeClr w14:val="tx1"/>
            </w14:solidFill>
          </w14:textFill>
        </w:rPr>
        <w:t>14. 竣工结算</w:t>
      </w:r>
      <w:bookmarkEnd w:id="75"/>
      <w:r>
        <w:rPr>
          <w:rFonts w:hint="eastAsia" w:ascii="宋体" w:hAnsi="宋体" w:eastAsia="宋体" w:cs="宋体"/>
          <w:color w:val="000000" w:themeColor="text1"/>
          <w:sz w:val="24"/>
          <w:szCs w:val="24"/>
          <w:highlight w:val="none"/>
          <w14:textFill>
            <w14:solidFill>
              <w14:schemeClr w14:val="tx1"/>
            </w14:solidFill>
          </w14:textFill>
        </w:rPr>
        <w:t>约定处理。</w:t>
      </w:r>
    </w:p>
    <w:p w14:paraId="41DD49E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五</w:t>
      </w:r>
      <w:r>
        <w:rPr>
          <w:rFonts w:hint="eastAsia" w:ascii="宋体" w:hAnsi="宋体" w:eastAsia="宋体" w:cs="宋体"/>
          <w:color w:val="000000" w:themeColor="text1"/>
          <w:kern w:val="0"/>
          <w:sz w:val="24"/>
          <w:szCs w:val="24"/>
          <w:highlight w:val="none"/>
          <w14:textFill>
            <w14:solidFill>
              <w14:schemeClr w14:val="tx1"/>
            </w14:solidFill>
          </w14:textFill>
        </w:rPr>
        <w:t>） 竣工结算文件清单：</w:t>
      </w:r>
    </w:p>
    <w:p w14:paraId="774151F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（1）工程结算书</w:t>
      </w:r>
    </w:p>
    <w:p w14:paraId="0F3C7E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（2）工程量计算书</w:t>
      </w:r>
    </w:p>
    <w:p w14:paraId="6CBACD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（3）钢筋抽料表（如有）</w:t>
      </w:r>
    </w:p>
    <w:p w14:paraId="00066AD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（4）工程承包合同</w:t>
      </w:r>
    </w:p>
    <w:p w14:paraId="3956AB2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（5）工程竣工图（含电子版和相关部门要求的专用软件版本）</w:t>
      </w:r>
    </w:p>
    <w:p w14:paraId="0CCAA50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（6）工程竣工资料（含电子版及相关部门要求的专用软件版本、单位工程开工申请报告、单位工程工程竣工验收报告）</w:t>
      </w:r>
    </w:p>
    <w:p w14:paraId="2F2A102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（7）图纸会审记录</w:t>
      </w:r>
    </w:p>
    <w:p w14:paraId="4C66645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（8）设计变更单</w:t>
      </w:r>
    </w:p>
    <w:p w14:paraId="0D0B40E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（9）工程洽商记录</w:t>
      </w:r>
    </w:p>
    <w:p w14:paraId="0FF0206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（10）监理工程师通知或</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施工指令</w:t>
      </w:r>
    </w:p>
    <w:p w14:paraId="11CAFB8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（11）会议纪要</w:t>
      </w:r>
    </w:p>
    <w:p w14:paraId="76298B4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（12）现场签证单</w:t>
      </w:r>
    </w:p>
    <w:p w14:paraId="133EF2E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（13）材料设备单价呈批审核单</w:t>
      </w:r>
    </w:p>
    <w:p w14:paraId="45BAF9D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（14）综合单价呈批审核单</w:t>
      </w:r>
    </w:p>
    <w:p w14:paraId="6516EE2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（15）协商文件</w:t>
      </w:r>
    </w:p>
    <w:p w14:paraId="107371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（16）响应文件（含经济标软件版）、成交通知书</w:t>
      </w:r>
    </w:p>
    <w:p w14:paraId="58DEEF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（17）</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供应材料收货验收签收单</w:t>
      </w:r>
    </w:p>
    <w:p w14:paraId="2E987AA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（18）其他结算资料</w:t>
      </w:r>
    </w:p>
    <w:p w14:paraId="27595D2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（19）工期履行审核表</w:t>
      </w:r>
    </w:p>
    <w:p w14:paraId="051F6AD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（20）移交资料签收表</w:t>
      </w:r>
    </w:p>
    <w:p w14:paraId="412AEA2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（21）其它</w:t>
      </w:r>
    </w:p>
    <w:p w14:paraId="0173EA1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承包人须配合完成工程项目的决算（如需）。</w:t>
      </w:r>
    </w:p>
    <w:p w14:paraId="4AFCF8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十七、违约</w:t>
      </w:r>
    </w:p>
    <w:p w14:paraId="3FC9EC1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kern w:val="0"/>
          <w:sz w:val="24"/>
          <w:szCs w:val="24"/>
          <w:highlight w:val="none"/>
          <w14:textFill>
            <w14:solidFill>
              <w14:schemeClr w14:val="tx1"/>
            </w14:solidFill>
          </w14:textFill>
        </w:rPr>
        <w:t>承包人违约</w:t>
      </w:r>
    </w:p>
    <w:p w14:paraId="21A103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14:textFill>
            <w14:solidFill>
              <w14:schemeClr w14:val="tx1"/>
            </w14:solidFill>
          </w14:textFill>
        </w:rPr>
        <w:t>17.</w:t>
      </w:r>
      <w:r>
        <w:rPr>
          <w:rFonts w:hint="eastAsia" w:ascii="宋体" w:hAnsi="宋体" w:eastAsia="宋体" w:cs="宋体"/>
          <w:color w:val="000000" w:themeColor="text1"/>
          <w:kern w:val="0"/>
          <w:sz w:val="24"/>
          <w:szCs w:val="24"/>
          <w:highlight w:val="none"/>
          <w14:textFill>
            <w14:solidFill>
              <w14:schemeClr w14:val="tx1"/>
            </w14:solidFill>
          </w14:textFill>
        </w:rPr>
        <w:t>1 承包人违约的情形</w:t>
      </w:r>
    </w:p>
    <w:p w14:paraId="1C154C7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承包人违约除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通用合同条款约定</w:t>
      </w:r>
      <w:r>
        <w:rPr>
          <w:rFonts w:hint="eastAsia" w:ascii="宋体" w:hAnsi="宋体" w:eastAsia="宋体" w:cs="宋体"/>
          <w:color w:val="000000" w:themeColor="text1"/>
          <w:kern w:val="0"/>
          <w:sz w:val="24"/>
          <w:szCs w:val="24"/>
          <w:highlight w:val="none"/>
          <w14:textFill>
            <w14:solidFill>
              <w14:schemeClr w14:val="tx1"/>
            </w14:solidFill>
          </w14:textFill>
        </w:rPr>
        <w:t>外包括但不限于的其他情形：</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工程组织管理方面的违约责任；安全生产方面的违约责任；文明施工、环境保护方面的违约责任；</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工人</w:t>
      </w:r>
      <w:r>
        <w:rPr>
          <w:rFonts w:hint="eastAsia" w:ascii="宋体" w:hAnsi="宋体" w:eastAsia="宋体" w:cs="宋体"/>
          <w:color w:val="000000" w:themeColor="text1"/>
          <w:kern w:val="0"/>
          <w:sz w:val="24"/>
          <w:szCs w:val="24"/>
          <w:highlight w:val="none"/>
          <w:u w:val="single"/>
          <w14:textFill>
            <w14:solidFill>
              <w14:schemeClr w14:val="tx1"/>
            </w14:solidFill>
          </w14:textFill>
        </w:rPr>
        <w:t>工资支付方面的违约责任；逾期未能提交最终的工程结算及相关资料的违约责任；未按照本合同约定提供银行履约保函、履约保证金，或履约保函到期后未能提交新履约保函或原担保方同意原履约保函延期的书面文件的违约责任等。</w:t>
      </w:r>
    </w:p>
    <w:p w14:paraId="146F5F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承包人违约的责任</w:t>
      </w:r>
    </w:p>
    <w:p w14:paraId="00A163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1承包人承担违约责任处罚除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通用合同条款</w:t>
      </w:r>
      <w:r>
        <w:rPr>
          <w:rFonts w:hint="eastAsia" w:ascii="宋体" w:hAnsi="宋体" w:eastAsia="宋体" w:cs="宋体"/>
          <w:color w:val="000000" w:themeColor="text1"/>
          <w:kern w:val="0"/>
          <w:sz w:val="24"/>
          <w:szCs w:val="24"/>
          <w:highlight w:val="none"/>
          <w14:textFill>
            <w14:solidFill>
              <w14:schemeClr w14:val="tx1"/>
            </w14:solidFill>
          </w14:textFill>
        </w:rPr>
        <w:t>外包括但不限于：</w:t>
      </w:r>
    </w:p>
    <w:p w14:paraId="1D673B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）书面警告。承包人未履行或未按时履行或未按质履行合同条款约定及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或发包人（含主管人员）的指示时，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或发包人有权向承包人发出书面警告。</w:t>
      </w:r>
    </w:p>
    <w:p w14:paraId="46A3D7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（2）限期改正。承包人受到书面警告后仍不改正，</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或发包人有权向承包人发出《违约责任通知书》，同时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或发包人视承包人不良行为的严重程度有权直接向承包人发出《违约责任通知书》，要求承包人必须在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或发包人限定的时间内履行义务。同时，承包人应当向发包人支付违约金人民币</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5000</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/次</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69C7A4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（3）一般违约责任。承包人违反本合同的约定须承担一般违约责任时，必须向发包人交纳违约金人民币</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1</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万元/次。</w:t>
      </w:r>
    </w:p>
    <w:p w14:paraId="2639E2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（4）严重违约责任。承包人违反本合同的约定须承担严重违约责任时，必须向发包人交纳违约金人民币</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5  </w:t>
      </w:r>
      <w:r>
        <w:rPr>
          <w:rFonts w:hint="eastAsia" w:ascii="宋体" w:hAnsi="宋体" w:eastAsia="宋体" w:cs="宋体"/>
          <w:color w:val="000000" w:themeColor="text1"/>
          <w:kern w:val="0"/>
          <w:sz w:val="24"/>
          <w:szCs w:val="24"/>
          <w:highlight w:val="none"/>
          <w14:textFill>
            <w14:solidFill>
              <w14:schemeClr w14:val="tx1"/>
            </w14:solidFill>
          </w14:textFill>
        </w:rPr>
        <w:t>万元/次。</w:t>
      </w:r>
    </w:p>
    <w:p w14:paraId="1A85BD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（5）部分解除合同。当承包人违反本合同的约定符合解除部分合同的条件时，发包人有权向承包人发出书面解除部分合同的通知，该通知在送达承包人时部分解除合同即生效。</w:t>
      </w:r>
    </w:p>
    <w:p w14:paraId="3E9554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（6）解除合同。当承包人违反本合同的约定符合解除全部合同的条件时，发包人有权向承包人发出书面解除全部合同的通知，该通知在送达承包人时解除合同即生效。</w:t>
      </w:r>
    </w:p>
    <w:p w14:paraId="1CA78F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（7）赔偿损失。因承包人原因造成发包人经济损失的，承包人应向发包人赔偿因其造成的直接经济损失。</w:t>
      </w:r>
    </w:p>
    <w:p w14:paraId="1B00E4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2承包人违约须向发包人支付违约金或赔偿金，承包人须在发包人规定的时间内交纳，否则，发包人将按履约银行保函实施管理明细的规定，按比例扣除履约保证金。</w:t>
      </w:r>
    </w:p>
    <w:p w14:paraId="085FD7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3工程组织管理方面的违约责任</w:t>
      </w:r>
    </w:p>
    <w:p w14:paraId="201174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（1）承包人违反</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合同</w:t>
      </w:r>
      <w:r>
        <w:rPr>
          <w:rFonts w:hint="eastAsia" w:ascii="宋体" w:hAnsi="宋体" w:eastAsia="宋体" w:cs="宋体"/>
          <w:color w:val="000000" w:themeColor="text1"/>
          <w:kern w:val="0"/>
          <w:sz w:val="24"/>
          <w:szCs w:val="24"/>
          <w:highlight w:val="none"/>
          <w14:textFill>
            <w14:solidFill>
              <w14:schemeClr w14:val="tx1"/>
            </w14:solidFill>
          </w14:textFill>
        </w:rPr>
        <w:t>约定，不服从发包人及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的管理，对发包人、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的指令和书面通知公开或变相拒不执行的，发包人视情节严重程度有权要求其承担1次违约责任，并由承包人承担由此造成的一切经济损失。</w:t>
      </w:r>
    </w:p>
    <w:p w14:paraId="0C6466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（2）承包人不遵守发包人依据</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合同</w:t>
      </w:r>
      <w:r>
        <w:rPr>
          <w:rFonts w:hint="eastAsia" w:ascii="宋体" w:hAnsi="宋体" w:eastAsia="宋体" w:cs="宋体"/>
          <w:color w:val="000000" w:themeColor="text1"/>
          <w:kern w:val="0"/>
          <w:sz w:val="24"/>
          <w:szCs w:val="24"/>
          <w:highlight w:val="none"/>
          <w14:textFill>
            <w14:solidFill>
              <w14:schemeClr w14:val="tx1"/>
            </w14:solidFill>
          </w14:textFill>
        </w:rPr>
        <w:t>约定所制订的各项制度、规定的，由承包人按所触犯制度、规定的有关规定承担违约责任。所触犯制度、规定没有明确规定的，由发包人参照第</w:t>
      </w:r>
      <w:r>
        <w:rPr>
          <w:rFonts w:hint="eastAsia" w:ascii="宋体" w:hAnsi="宋体" w:eastAsia="宋体" w:cs="宋体"/>
          <w:color w:val="000000" w:themeColor="text1"/>
          <w:kern w:val="0"/>
          <w:sz w:val="24"/>
          <w:szCs w:val="24"/>
          <w:highlight w:val="none"/>
          <w:lang w:val="e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1目第</w:t>
      </w: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种</w:t>
      </w:r>
      <w:r>
        <w:rPr>
          <w:rFonts w:hint="eastAsia" w:ascii="宋体" w:hAnsi="宋体" w:eastAsia="宋体" w:cs="宋体"/>
          <w:color w:val="000000" w:themeColor="text1"/>
          <w:kern w:val="0"/>
          <w:sz w:val="24"/>
          <w:szCs w:val="24"/>
          <w:highlight w:val="none"/>
          <w14:textFill>
            <w14:solidFill>
              <w14:schemeClr w14:val="tx1"/>
            </w14:solidFill>
          </w14:textFill>
        </w:rPr>
        <w:t>的约定处理。</w:t>
      </w:r>
    </w:p>
    <w:p w14:paraId="784F9C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（3）承包人不按</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合同</w:t>
      </w:r>
      <w:r>
        <w:rPr>
          <w:rFonts w:hint="eastAsia" w:ascii="宋体" w:hAnsi="宋体" w:eastAsia="宋体" w:cs="宋体"/>
          <w:color w:val="000000" w:themeColor="text1"/>
          <w:kern w:val="0"/>
          <w:sz w:val="24"/>
          <w:szCs w:val="24"/>
          <w:highlight w:val="none"/>
          <w14:textFill>
            <w14:solidFill>
              <w14:schemeClr w14:val="tx1"/>
            </w14:solidFill>
          </w14:textFill>
        </w:rPr>
        <w:t>约定投入技术管理人员、施工作业人员、施工机械设备，或者擅自变更资源投入计划或者擅自对已投入的资源进行调整的，承包人必须按照总监理工程师或者发包人的指令限期改正；承包人拒不限期改正的，发包人视情节严重程度有权要求其承担1次违约责任，并由承包人承担由此造成的一切经济损失。</w:t>
      </w:r>
    </w:p>
    <w:p w14:paraId="1F2693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如承包人违背投标承诺的，除按上述约定承担责任之外，还应同时无条件按下表约定的金额向发包人支付违约金</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6E62A4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（4）如因承包人使用不称职管理人员给工程建设造成损失的，由承包人向发包人承担相应的赔偿责任，虽然征得甲方同意，但在项目部成立后承包人如更换项目经理，发包人有权要求承包人按</w:t>
      </w:r>
      <w:r>
        <w:rPr>
          <w:rFonts w:hint="eastAsia" w:ascii="宋体" w:hAnsi="宋体" w:eastAsia="宋体" w:cs="宋体"/>
          <w:color w:val="000000" w:themeColor="text1"/>
          <w:sz w:val="24"/>
          <w:szCs w:val="24"/>
          <w:highlight w:val="none"/>
          <w:u w:val="single"/>
          <w14:textFill>
            <w14:solidFill>
              <w14:schemeClr w14:val="tx1"/>
            </w14:solidFill>
          </w14:textFill>
        </w:rPr>
        <w:t>合同</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总</w:t>
      </w:r>
      <w:r>
        <w:rPr>
          <w:rFonts w:hint="eastAsia" w:ascii="宋体" w:hAnsi="宋体" w:eastAsia="宋体" w:cs="宋体"/>
          <w:color w:val="000000" w:themeColor="text1"/>
          <w:sz w:val="24"/>
          <w:szCs w:val="24"/>
          <w:highlight w:val="none"/>
          <w:u w:val="single"/>
          <w14:textFill>
            <w14:solidFill>
              <w14:schemeClr w14:val="tx1"/>
            </w14:solidFill>
          </w14:textFill>
        </w:rPr>
        <w:t>价的2‰且不低于1万元/人/次</w:t>
      </w:r>
      <w:r>
        <w:rPr>
          <w:rFonts w:hint="eastAsia" w:ascii="宋体" w:hAnsi="宋体" w:eastAsia="宋体" w:cs="宋体"/>
          <w:color w:val="000000" w:themeColor="text1"/>
          <w:kern w:val="0"/>
          <w:sz w:val="24"/>
          <w:szCs w:val="24"/>
          <w:highlight w:val="none"/>
          <w14:textFill>
            <w14:solidFill>
              <w14:schemeClr w14:val="tx1"/>
            </w14:solidFill>
          </w14:textFill>
        </w:rPr>
        <w:t>承担违约赔偿。</w:t>
      </w:r>
    </w:p>
    <w:p w14:paraId="2A9D4E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（5）承包人的项目经理、技术负责人必须参加</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或发包人主持的工程例会和其他要求的专题会议，除获得</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或发包人批准外，缺席</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第</w:t>
      </w:r>
      <w:r>
        <w:rPr>
          <w:rFonts w:hint="eastAsia" w:ascii="宋体" w:hAnsi="宋体" w:eastAsia="宋体" w:cs="宋体"/>
          <w:color w:val="000000" w:themeColor="text1"/>
          <w:kern w:val="0"/>
          <w:sz w:val="24"/>
          <w:szCs w:val="24"/>
          <w:highlight w:val="none"/>
          <w14:textFill>
            <w14:solidFill>
              <w14:schemeClr w14:val="tx1"/>
            </w14:solidFill>
          </w14:textFill>
        </w:rPr>
        <w:t>1次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给予书面警告，第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给予限期改正，第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次承担1次一般违约责任。</w:t>
      </w:r>
    </w:p>
    <w:p w14:paraId="024B1C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（6）承包人不按本合同及发包人要求做好施工承包管理或配合工作，</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第</w:t>
      </w:r>
      <w:r>
        <w:rPr>
          <w:rFonts w:hint="eastAsia" w:ascii="宋体" w:hAnsi="宋体" w:eastAsia="宋体" w:cs="宋体"/>
          <w:color w:val="000000" w:themeColor="text1"/>
          <w:kern w:val="0"/>
          <w:sz w:val="24"/>
          <w:szCs w:val="24"/>
          <w:highlight w:val="none"/>
          <w14:textFill>
            <w14:solidFill>
              <w14:schemeClr w14:val="tx1"/>
            </w14:solidFill>
          </w14:textFill>
        </w:rPr>
        <w:t>1次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给予书面警告，第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给予限期改正，第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次承担1次一般违约责任。</w:t>
      </w:r>
    </w:p>
    <w:p w14:paraId="566325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（7）承包人在发包人组织的检查中不合格的，承包人不按本合同及发包人要求做好施工承包管理或配合工作，</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第</w:t>
      </w:r>
      <w:r>
        <w:rPr>
          <w:rFonts w:hint="eastAsia" w:ascii="宋体" w:hAnsi="宋体" w:eastAsia="宋体" w:cs="宋体"/>
          <w:color w:val="000000" w:themeColor="text1"/>
          <w:kern w:val="0"/>
          <w:sz w:val="24"/>
          <w:szCs w:val="24"/>
          <w:highlight w:val="none"/>
          <w14:textFill>
            <w14:solidFill>
              <w14:schemeClr w14:val="tx1"/>
            </w14:solidFill>
          </w14:textFill>
        </w:rPr>
        <w:t>1次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给予书面警告，第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给予限期改正，第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次承担1次一般违约责任。</w:t>
      </w:r>
    </w:p>
    <w:p w14:paraId="7F14DD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（8）承包人单方面擅自终止或解除本合同的，应按第</w:t>
      </w:r>
      <w:r>
        <w:rPr>
          <w:rFonts w:hint="eastAsia" w:ascii="宋体" w:hAnsi="宋体" w:eastAsia="宋体" w:cs="宋体"/>
          <w:color w:val="000000" w:themeColor="text1"/>
          <w:kern w:val="0"/>
          <w:sz w:val="24"/>
          <w:szCs w:val="24"/>
          <w:highlight w:val="none"/>
          <w:lang w:val="e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目第</w:t>
      </w:r>
      <w:r>
        <w:rPr>
          <w:rFonts w:hint="eastAsia"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种、第</w:t>
      </w:r>
      <w:r>
        <w:rPr>
          <w:rFonts w:hint="eastAsia" w:ascii="宋体" w:hAnsi="宋体" w:eastAsia="宋体" w:cs="宋体"/>
          <w:color w:val="000000" w:themeColor="text1"/>
          <w:kern w:val="0"/>
          <w:sz w:val="24"/>
          <w:szCs w:val="24"/>
          <w:highlight w:val="none"/>
          <w14:textFill>
            <w14:solidFill>
              <w14:schemeClr w14:val="tx1"/>
            </w14:solidFill>
          </w14:textFill>
        </w:rPr>
        <w:t>(7)</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种</w:t>
      </w:r>
      <w:r>
        <w:rPr>
          <w:rFonts w:hint="eastAsia" w:ascii="宋体" w:hAnsi="宋体" w:eastAsia="宋体" w:cs="宋体"/>
          <w:color w:val="000000" w:themeColor="text1"/>
          <w:kern w:val="0"/>
          <w:sz w:val="24"/>
          <w:szCs w:val="24"/>
          <w:highlight w:val="none"/>
          <w14:textFill>
            <w14:solidFill>
              <w14:schemeClr w14:val="tx1"/>
            </w14:solidFill>
          </w14:textFill>
        </w:rPr>
        <w:t>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第</w:t>
      </w: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目</w:t>
      </w:r>
      <w:r>
        <w:rPr>
          <w:rFonts w:hint="eastAsia" w:ascii="宋体" w:hAnsi="宋体" w:eastAsia="宋体" w:cs="宋体"/>
          <w:color w:val="000000" w:themeColor="text1"/>
          <w:kern w:val="0"/>
          <w:sz w:val="24"/>
          <w:szCs w:val="24"/>
          <w:highlight w:val="none"/>
          <w14:textFill>
            <w14:solidFill>
              <w14:schemeClr w14:val="tx1"/>
            </w14:solidFill>
          </w14:textFill>
        </w:rPr>
        <w:t>的标准向发包人支付违约金及赔偿损失。</w:t>
      </w:r>
    </w:p>
    <w:p w14:paraId="7E26F9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4工期延误方面的违约责任</w:t>
      </w:r>
    </w:p>
    <w:p w14:paraId="74A996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（1）承包人违反</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通用合同条款</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第</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7.3</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款〔</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开工</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〕约定</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造成逾期开工的，</w:t>
      </w:r>
      <w:r>
        <w:rPr>
          <w:rFonts w:hint="eastAsia" w:ascii="宋体" w:hAnsi="宋体" w:eastAsia="宋体" w:cs="宋体"/>
          <w:color w:val="000000" w:themeColor="text1"/>
          <w:kern w:val="0"/>
          <w:sz w:val="24"/>
          <w:szCs w:val="24"/>
          <w:highlight w:val="none"/>
          <w14:textFill>
            <w14:solidFill>
              <w14:schemeClr w14:val="tx1"/>
            </w14:solidFill>
          </w14:textFill>
        </w:rPr>
        <w:t>每</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逾期</w:t>
      </w:r>
      <w:r>
        <w:rPr>
          <w:rFonts w:hint="eastAsia" w:ascii="宋体" w:hAnsi="宋体" w:eastAsia="宋体" w:cs="宋体"/>
          <w:color w:val="000000" w:themeColor="text1"/>
          <w:kern w:val="0"/>
          <w:sz w:val="24"/>
          <w:szCs w:val="24"/>
          <w:highlight w:val="none"/>
          <w14:textFill>
            <w14:solidFill>
              <w14:schemeClr w14:val="tx1"/>
            </w14:solidFill>
          </w14:textFill>
        </w:rPr>
        <w:t>1天，应向发包人支付本</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合同总价</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0.175‰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的违约金</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违约金的上限</w:t>
      </w:r>
      <w:r>
        <w:rPr>
          <w:rFonts w:hint="eastAsia" w:ascii="宋体" w:hAnsi="宋体" w:eastAsia="宋体" w:cs="宋体"/>
          <w:color w:val="000000" w:themeColor="text1"/>
          <w:sz w:val="24"/>
          <w:szCs w:val="24"/>
          <w:highlight w:val="none"/>
          <w:lang w:eastAsia="zh-CN"/>
          <w14:textFill>
            <w14:solidFill>
              <w14:schemeClr w14:val="tx1"/>
            </w14:solidFill>
          </w14:textFill>
        </w:rPr>
        <w:t>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合同总价</w:t>
      </w:r>
      <w:r>
        <w:rPr>
          <w:rFonts w:hint="eastAsia" w:ascii="宋体" w:hAnsi="宋体" w:eastAsia="宋体" w:cs="宋体"/>
          <w:color w:val="000000" w:themeColor="text1"/>
          <w:sz w:val="24"/>
          <w:szCs w:val="24"/>
          <w:highlight w:val="none"/>
          <w:u w:val="single"/>
          <w14:textFill>
            <w14:solidFill>
              <w14:schemeClr w14:val="tx1"/>
            </w14:solidFill>
          </w14:textFill>
        </w:rPr>
        <w:t xml:space="preserve">的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同时承包人还应据实赔偿发包人的实际损失。</w:t>
      </w:r>
    </w:p>
    <w:p w14:paraId="01777A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trike w:val="0"/>
          <w:dstrike w:val="0"/>
          <w:color w:val="000000" w:themeColor="text1"/>
          <w:kern w:val="0"/>
          <w:sz w:val="24"/>
          <w:szCs w:val="24"/>
          <w:highlight w:val="none"/>
          <w14:textFill>
            <w14:solidFill>
              <w14:schemeClr w14:val="tx1"/>
            </w14:solidFill>
          </w14:textFill>
        </w:rPr>
      </w:pP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）承包人违反</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通用合同条款</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第13.2款〔竣工验收〕约定造成本合同工程不能按照合同协议书第二条约定的竣工日期竣工的，每逾期1天，</w:t>
      </w:r>
      <w:r>
        <w:rPr>
          <w:rFonts w:hint="eastAsia" w:ascii="宋体" w:hAnsi="宋体" w:eastAsia="宋体" w:cs="宋体"/>
          <w:color w:val="000000" w:themeColor="text1"/>
          <w:kern w:val="0"/>
          <w:sz w:val="24"/>
          <w:szCs w:val="24"/>
          <w:highlight w:val="none"/>
          <w14:textFill>
            <w14:solidFill>
              <w14:schemeClr w14:val="tx1"/>
            </w14:solidFill>
          </w14:textFill>
        </w:rPr>
        <w:t>应向发包人支付</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本</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合同总价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175</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的</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违约金，</w:t>
      </w:r>
      <w:r>
        <w:rPr>
          <w:rFonts w:hint="eastAsia" w:ascii="宋体" w:hAnsi="宋体" w:eastAsia="宋体" w:cs="宋体"/>
          <w:color w:val="000000" w:themeColor="text1"/>
          <w:sz w:val="24"/>
          <w:szCs w:val="24"/>
          <w:highlight w:val="none"/>
          <w14:textFill>
            <w14:solidFill>
              <w14:schemeClr w14:val="tx1"/>
            </w14:solidFill>
          </w14:textFill>
        </w:rPr>
        <w:t>违约金的上限</w:t>
      </w:r>
      <w:r>
        <w:rPr>
          <w:rFonts w:hint="eastAsia" w:ascii="宋体" w:hAnsi="宋体" w:eastAsia="宋体" w:cs="宋体"/>
          <w:color w:val="000000" w:themeColor="text1"/>
          <w:sz w:val="24"/>
          <w:szCs w:val="24"/>
          <w:highlight w:val="none"/>
          <w:lang w:eastAsia="zh-CN"/>
          <w14:textFill>
            <w14:solidFill>
              <w14:schemeClr w14:val="tx1"/>
            </w14:solidFill>
          </w14:textFill>
        </w:rPr>
        <w:t>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合同总价</w:t>
      </w:r>
      <w:r>
        <w:rPr>
          <w:rFonts w:hint="eastAsia" w:ascii="宋体" w:hAnsi="宋体" w:eastAsia="宋体" w:cs="宋体"/>
          <w:color w:val="000000" w:themeColor="text1"/>
          <w:sz w:val="24"/>
          <w:szCs w:val="24"/>
          <w:highlight w:val="none"/>
          <w:u w:val="single"/>
          <w14:textFill>
            <w14:solidFill>
              <w14:schemeClr w14:val="tx1"/>
            </w14:solidFill>
          </w14:textFill>
        </w:rPr>
        <w:t xml:space="preserve">的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同时承包人还应据实赔偿发包人的实际损失。</w:t>
      </w:r>
    </w:p>
    <w:p w14:paraId="72D0E3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trike w:val="0"/>
          <w:dstrike w:val="0"/>
          <w:color w:val="000000" w:themeColor="text1"/>
          <w:kern w:val="0"/>
          <w:sz w:val="24"/>
          <w:szCs w:val="24"/>
          <w:highlight w:val="none"/>
          <w14:textFill>
            <w14:solidFill>
              <w14:schemeClr w14:val="tx1"/>
            </w14:solidFill>
          </w14:textFill>
        </w:rPr>
      </w:pP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）承包人违反</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通用合同条款</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第13.2款〔竣工验收〕约定</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无正当理由不移交工程的，每逾期1天，</w:t>
      </w:r>
      <w:r>
        <w:rPr>
          <w:rFonts w:hint="eastAsia" w:ascii="宋体" w:hAnsi="宋体" w:eastAsia="宋体" w:cs="宋体"/>
          <w:color w:val="000000" w:themeColor="text1"/>
          <w:kern w:val="0"/>
          <w:sz w:val="24"/>
          <w:szCs w:val="24"/>
          <w:highlight w:val="none"/>
          <w14:textFill>
            <w14:solidFill>
              <w14:schemeClr w14:val="tx1"/>
            </w14:solidFill>
          </w14:textFill>
        </w:rPr>
        <w:t>应向发包人支付</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本</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合同总价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175</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的</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违约金，</w:t>
      </w:r>
      <w:r>
        <w:rPr>
          <w:rFonts w:hint="eastAsia" w:ascii="宋体" w:hAnsi="宋体" w:eastAsia="宋体" w:cs="宋体"/>
          <w:color w:val="000000" w:themeColor="text1"/>
          <w:sz w:val="24"/>
          <w:szCs w:val="24"/>
          <w:highlight w:val="none"/>
          <w14:textFill>
            <w14:solidFill>
              <w14:schemeClr w14:val="tx1"/>
            </w14:solidFill>
          </w14:textFill>
        </w:rPr>
        <w:t>违约金的上限</w:t>
      </w:r>
      <w:r>
        <w:rPr>
          <w:rFonts w:hint="eastAsia" w:ascii="宋体" w:hAnsi="宋体" w:eastAsia="宋体" w:cs="宋体"/>
          <w:color w:val="000000" w:themeColor="text1"/>
          <w:sz w:val="24"/>
          <w:szCs w:val="24"/>
          <w:highlight w:val="none"/>
          <w:lang w:eastAsia="zh-CN"/>
          <w14:textFill>
            <w14:solidFill>
              <w14:schemeClr w14:val="tx1"/>
            </w14:solidFill>
          </w14:textFill>
        </w:rPr>
        <w:t>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合同总价</w:t>
      </w:r>
      <w:r>
        <w:rPr>
          <w:rFonts w:hint="eastAsia" w:ascii="宋体" w:hAnsi="宋体" w:eastAsia="宋体" w:cs="宋体"/>
          <w:color w:val="000000" w:themeColor="text1"/>
          <w:sz w:val="24"/>
          <w:szCs w:val="24"/>
          <w:highlight w:val="none"/>
          <w:u w:val="single"/>
          <w14:textFill>
            <w14:solidFill>
              <w14:schemeClr w14:val="tx1"/>
            </w14:solidFill>
          </w14:textFill>
        </w:rPr>
        <w:t xml:space="preserve">的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同时承包人还应据实赔偿发包人的实际损失。</w:t>
      </w:r>
    </w:p>
    <w:p w14:paraId="491983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5材料设备管理及工程质量方面的违约责任</w:t>
      </w:r>
    </w:p>
    <w:p w14:paraId="5DD404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发包人（包括发包人委托的材料设备检验机构）或总监理工程师抽查承包人的工程材料设备，发现所检查的材料与合同约定标准的任何一项不符合时，承包人必须全部退货、返工，并赔偿发包人由此遭受的实际损失外</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03F7EC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如发生上述情况，承包人必须无条件在发包人限定的时间内全部更换为符合要求的产品，并由承包人按所需更换的符合要求的货物价款的10%向发包人支付违约金，因此给发包人造成损失的，由承包人负责赔偿；如使用材料、设备无法拆除更换，经发包人确认后，按已使用材料、设备的招控价、投标价其中的低值的80%计算价格。</w:t>
      </w:r>
    </w:p>
    <w:p w14:paraId="061B13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（3）承包人不按第8条〔材料与设备〕的约定对用于本合同工程的材料设备进行管理的，视同不服从发包人及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管理，应按第</w:t>
      </w: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2.1目第</w:t>
      </w: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种</w:t>
      </w:r>
      <w:r>
        <w:rPr>
          <w:rFonts w:hint="eastAsia" w:ascii="宋体" w:hAnsi="宋体" w:eastAsia="宋体" w:cs="宋体"/>
          <w:color w:val="000000" w:themeColor="text1"/>
          <w:kern w:val="0"/>
          <w:sz w:val="24"/>
          <w:szCs w:val="24"/>
          <w:highlight w:val="none"/>
          <w14:textFill>
            <w14:solidFill>
              <w14:schemeClr w14:val="tx1"/>
            </w14:solidFill>
          </w14:textFill>
        </w:rPr>
        <w:t>的约定承担违约责任；同时发包人有权暂停支付本合同工程进度款，直到承包人完成相关工作为止。</w:t>
      </w:r>
    </w:p>
    <w:p w14:paraId="47E2FF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（4）承包人必须对各工序报验核查质量控制点。承包人申请报验后，经总监理工程师或发包人检查发现质量不合格</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的</w:t>
      </w:r>
      <w:r>
        <w:rPr>
          <w:rFonts w:hint="eastAsia" w:ascii="宋体" w:hAnsi="宋体" w:eastAsia="宋体" w:cs="宋体"/>
          <w:color w:val="000000" w:themeColor="text1"/>
          <w:kern w:val="0"/>
          <w:sz w:val="24"/>
          <w:szCs w:val="24"/>
          <w:highlight w:val="none"/>
          <w14:textFill>
            <w14:solidFill>
              <w14:schemeClr w14:val="tx1"/>
            </w14:solidFill>
          </w14:textFill>
        </w:rPr>
        <w:t>，承包人必须对不合格部分进行返工，返工后经检查合格才准进入下一工序，工期不予顺延。复检的结果，按每一分项工程计算，1次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不合格给予书面警告，</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不合格给予限期改正，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不合格</w:t>
      </w:r>
      <w:r>
        <w:rPr>
          <w:rFonts w:hint="eastAsia" w:ascii="宋体" w:hAnsi="宋体" w:eastAsia="宋体" w:cs="宋体"/>
          <w:color w:val="000000" w:themeColor="text1"/>
          <w:kern w:val="0"/>
          <w:sz w:val="24"/>
          <w:szCs w:val="24"/>
          <w:highlight w:val="none"/>
          <w14:textFill>
            <w14:solidFill>
              <w14:schemeClr w14:val="tx1"/>
            </w14:solidFill>
          </w14:textFill>
        </w:rPr>
        <w:t>承担1次一般违约责任。承包人采取整改措施后效果仍不明显的，发包人有权部分解除合同，将该分项工程另行发包，且不免除承包人应承担的违约赔偿责任。</w:t>
      </w:r>
    </w:p>
    <w:p w14:paraId="2BE089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工程竣工验收不符合国家强制性标准及规范要求或者未能实现一次验收合格的，承包人除应向发包人支付所在工程总造价1%的违约金并无偿采取补救措施及赔偿发包人的实际损失外，还应承担由此引起的一切责任。</w:t>
      </w:r>
    </w:p>
    <w:p w14:paraId="0A9191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在本合同工程质量保修期内发现有重大质量不合格问题的（该重大质量问题应界定为达不到要求的质量标准，属质量保修的问题除外），承包人必须在规定的期限内返工达到合同约定的质量等级并赔偿由此给发包人造成的损失。工程质量保修期内承包人不履行质保义务，发包人可将质保内容另行发包，费用在质保金中扣除，不足部分由承包人负责。</w:t>
      </w:r>
    </w:p>
    <w:p w14:paraId="5446C3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6安全生产方面的违约责任</w:t>
      </w:r>
    </w:p>
    <w:p w14:paraId="104F3B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（1）承包人在政府行政主管部门组织的安全生产检查中，被发现存在严重的安全隐患，被通报批评，或被新闻媒体曝光造成不良影响的，被通报或被曝光1次，承包人必须承担1次严重违约责任。</w:t>
      </w:r>
    </w:p>
    <w:p w14:paraId="54B8C6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（2）承包人在发包人、总监理工程师进行的日常安全生产检查中，被发现存在安全隐患的，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同样问题发生第</w:t>
      </w:r>
      <w:r>
        <w:rPr>
          <w:rFonts w:hint="eastAsia" w:ascii="宋体" w:hAnsi="宋体" w:eastAsia="宋体" w:cs="宋体"/>
          <w:color w:val="000000" w:themeColor="text1"/>
          <w:kern w:val="0"/>
          <w:sz w:val="24"/>
          <w:szCs w:val="24"/>
          <w:highlight w:val="none"/>
          <w14:textFill>
            <w14:solidFill>
              <w14:schemeClr w14:val="tx1"/>
            </w14:solidFill>
          </w14:textFill>
        </w:rPr>
        <w:t>1次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给予书面警告，第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给予限期改正，第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次承担1次一般违约责任。此类问题的认定，以发包人、总监理工程师书面通知、指令、通报或会议纪要为准。</w:t>
      </w:r>
    </w:p>
    <w:p w14:paraId="19B13B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（3）承包人因自身原因造成安全责任事故（含工程质量事故）的，除按国务院(第493号令)《生产安全事故报告和调查处理条例》及地方相关规定执行处罚外，承包人还必须赔偿由此而造成的发包人的一切损失</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2CCDBD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kern w:val="0"/>
          <w:sz w:val="24"/>
          <w:szCs w:val="24"/>
          <w:highlight w:val="none"/>
          <w14:textFill>
            <w14:solidFill>
              <w14:schemeClr w14:val="tx1"/>
            </w14:solidFill>
          </w14:textFill>
        </w:rPr>
        <w:t>文明施工、环境保护方面的违约责任</w:t>
      </w:r>
    </w:p>
    <w:p w14:paraId="23FE8A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）发包人、总监理工程师按照</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通用合同条款</w:t>
      </w:r>
      <w:r>
        <w:rPr>
          <w:rFonts w:hint="eastAsia" w:ascii="宋体" w:hAnsi="宋体" w:eastAsia="宋体" w:cs="宋体"/>
          <w:color w:val="000000" w:themeColor="text1"/>
          <w:kern w:val="0"/>
          <w:sz w:val="24"/>
          <w:szCs w:val="24"/>
          <w:highlight w:val="none"/>
          <w14:textFill>
            <w14:solidFill>
              <w14:schemeClr w14:val="tx1"/>
            </w14:solidFill>
          </w14:textFill>
        </w:rPr>
        <w:t>第7.1.1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项</w:t>
      </w:r>
      <w:r>
        <w:rPr>
          <w:rFonts w:hint="eastAsia" w:ascii="宋体" w:hAnsi="宋体" w:eastAsia="宋体" w:cs="宋体"/>
          <w:color w:val="000000" w:themeColor="text1"/>
          <w:kern w:val="0"/>
          <w:sz w:val="24"/>
          <w:szCs w:val="24"/>
          <w:highlight w:val="none"/>
          <w14:textFill>
            <w14:solidFill>
              <w14:schemeClr w14:val="tx1"/>
            </w14:solidFill>
          </w14:textFill>
        </w:rPr>
        <w:t>〔施工组织设计的内容〕(7)的约定，对承包人文明施工措施进行对照检查。经检查发现承包人因自身原因未能落实的，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第</w:t>
      </w:r>
      <w:r>
        <w:rPr>
          <w:rFonts w:hint="eastAsia" w:ascii="宋体" w:hAnsi="宋体" w:eastAsia="宋体" w:cs="宋体"/>
          <w:color w:val="000000" w:themeColor="text1"/>
          <w:kern w:val="0"/>
          <w:sz w:val="24"/>
          <w:szCs w:val="24"/>
          <w:highlight w:val="none"/>
          <w14:textFill>
            <w14:solidFill>
              <w14:schemeClr w14:val="tx1"/>
            </w14:solidFill>
          </w14:textFill>
        </w:rPr>
        <w:t>1次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给予书面警告，第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给予限期改正，第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次承担1次一般违约责任。</w:t>
      </w:r>
    </w:p>
    <w:p w14:paraId="5D8234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在行业主管部门或省局的检查中，承包人的施工场地被评为不合格工地或者被通报批评或者被新闻媒体曝光的，承包人必须承担1次严重违约责任，并立即采取切实有效措施予以整改；拒不采取切实有效措施整改的，或整改效果不明显的，发包人有权委托第三方实施整改，相关费用可直接从承包人的银行保函或工程款中支付。</w:t>
      </w:r>
    </w:p>
    <w:p w14:paraId="0A3C2F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（3）承包人在施工过程中因其自身原因造成周围环境卫生状况较差，被其他施工单位或周围居民投诉的，承包人必须在当天内整改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故意拖延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拒不整改或整改后再次发生同类事件</w:t>
      </w:r>
      <w:r>
        <w:rPr>
          <w:rFonts w:hint="eastAsia" w:ascii="宋体" w:hAnsi="宋体" w:eastAsia="宋体" w:cs="宋体"/>
          <w:color w:val="000000" w:themeColor="text1"/>
          <w:kern w:val="0"/>
          <w:sz w:val="24"/>
          <w:szCs w:val="24"/>
          <w:highlight w:val="none"/>
          <w14:textFill>
            <w14:solidFill>
              <w14:schemeClr w14:val="tx1"/>
            </w14:solidFill>
          </w14:textFill>
        </w:rPr>
        <w:t>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第</w:t>
      </w:r>
      <w:r>
        <w:rPr>
          <w:rFonts w:hint="eastAsia" w:ascii="宋体" w:hAnsi="宋体" w:eastAsia="宋体" w:cs="宋体"/>
          <w:color w:val="000000" w:themeColor="text1"/>
          <w:kern w:val="0"/>
          <w:sz w:val="24"/>
          <w:szCs w:val="24"/>
          <w:highlight w:val="none"/>
          <w14:textFill>
            <w14:solidFill>
              <w14:schemeClr w14:val="tx1"/>
            </w14:solidFill>
          </w14:textFill>
        </w:rPr>
        <w:t>1次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给予书面警告，第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给予限期改正，第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次承担1次一般违约责任。</w:t>
      </w:r>
    </w:p>
    <w:p w14:paraId="3C749A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kern w:val="0"/>
          <w:sz w:val="24"/>
          <w:szCs w:val="24"/>
          <w:highlight w:val="none"/>
          <w14:textFill>
            <w14:solidFill>
              <w14:schemeClr w14:val="tx1"/>
            </w14:solidFill>
          </w14:textFill>
        </w:rPr>
        <w:t>工程转包、分包方面的违约责任</w:t>
      </w:r>
    </w:p>
    <w:p w14:paraId="299D0C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（1）承包人不按</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合同</w:t>
      </w:r>
      <w:r>
        <w:rPr>
          <w:rFonts w:hint="eastAsia" w:ascii="宋体" w:hAnsi="宋体" w:eastAsia="宋体" w:cs="宋体"/>
          <w:color w:val="000000" w:themeColor="text1"/>
          <w:kern w:val="0"/>
          <w:sz w:val="24"/>
          <w:szCs w:val="24"/>
          <w:highlight w:val="none"/>
          <w14:textFill>
            <w14:solidFill>
              <w14:schemeClr w14:val="tx1"/>
            </w14:solidFill>
          </w14:textFill>
        </w:rPr>
        <w:t>约定进行分包管理的，视同不服从发包人及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管理，应按第</w:t>
      </w: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2.1目第</w:t>
      </w: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种</w:t>
      </w:r>
      <w:r>
        <w:rPr>
          <w:rFonts w:hint="eastAsia" w:ascii="宋体" w:hAnsi="宋体" w:eastAsia="宋体" w:cs="宋体"/>
          <w:color w:val="000000" w:themeColor="text1"/>
          <w:kern w:val="0"/>
          <w:sz w:val="24"/>
          <w:szCs w:val="24"/>
          <w:highlight w:val="none"/>
          <w14:textFill>
            <w14:solidFill>
              <w14:schemeClr w14:val="tx1"/>
            </w14:solidFill>
          </w14:textFill>
        </w:rPr>
        <w:t>的约定承担违约责任；同时发包人有权暂停支付本合同工程进度款，直到承包人完成相关工作为止。</w:t>
      </w:r>
    </w:p>
    <w:p w14:paraId="32CECA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（2）承包人转包工程或者违反法律法规及本合同约定分包工程的，发包人有权单方面部分解除合同或全部解除合同，并由承包人承担由此产生的一切责任及损失。</w:t>
      </w:r>
    </w:p>
    <w:p w14:paraId="31065F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2.9</w:t>
      </w:r>
      <w:r>
        <w:rPr>
          <w:rFonts w:hint="eastAsia" w:ascii="宋体" w:hAnsi="宋体" w:eastAsia="宋体" w:cs="宋体"/>
          <w:color w:val="000000" w:themeColor="text1"/>
          <w:kern w:val="0"/>
          <w:sz w:val="24"/>
          <w:szCs w:val="24"/>
          <w:highlight w:val="none"/>
          <w14:textFill>
            <w14:solidFill>
              <w14:schemeClr w14:val="tx1"/>
            </w14:solidFill>
          </w14:textFill>
        </w:rPr>
        <w:t>农民工工资支付方面的违约责任</w:t>
      </w:r>
    </w:p>
    <w:p w14:paraId="44D2F2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（1）承包人违反第3.1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款〔承包人的一般义务〕第</w:t>
      </w:r>
      <w:r>
        <w:rPr>
          <w:rFonts w:hint="eastAsia" w:ascii="宋体" w:hAnsi="宋体" w:eastAsia="宋体" w:cs="宋体"/>
          <w:color w:val="000000" w:themeColor="text1"/>
          <w:kern w:val="0"/>
          <w:sz w:val="24"/>
          <w:szCs w:val="24"/>
          <w:highlight w:val="none"/>
          <w14:textFill>
            <w14:solidFill>
              <w14:schemeClr w14:val="tx1"/>
            </w14:solidFill>
          </w14:textFill>
        </w:rPr>
        <w:t>(10) 3)的约定，被农民工投诉属实的，承包人必须在3天内发放拖欠的款项。若继续拖延被投诉2次及以上，经查实，承包人必须承担1次一般违约责任。若仍然不予整改并发放拖欠的款项，使农民工采取停工、集体上访、媒体曝光、聚集围阻发包人办公地点甚至政府办公部门等过激行为，对本项目造成不良社会影响的，承包人必须承担1次严重违约责任，并立即采取切实有效措施予以整改；拒不采取切实有效措施整改的，或整改效果不明显的，发包人有权动用承包人的履约保证金先行垫付。</w:t>
      </w:r>
    </w:p>
    <w:p w14:paraId="01465D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由于承包人或其管理的分包单位（包括施工专业分包、供货分包及劳务分包单位等）拖欠农民工工资致使发包人被投诉或起诉并被判令先行垫付农民工工资的，承包人需承担1次严重违约责任。发包人有权动用承包人的履约保证金先行垫付。</w:t>
      </w:r>
    </w:p>
    <w:p w14:paraId="01FBBB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2.10</w:t>
      </w:r>
      <w:r>
        <w:rPr>
          <w:rFonts w:hint="eastAsia" w:ascii="宋体" w:hAnsi="宋体" w:eastAsia="宋体" w:cs="宋体"/>
          <w:color w:val="000000" w:themeColor="text1"/>
          <w:kern w:val="0"/>
          <w:sz w:val="24"/>
          <w:szCs w:val="24"/>
          <w:highlight w:val="none"/>
          <w14:textFill>
            <w14:solidFill>
              <w14:schemeClr w14:val="tx1"/>
            </w14:solidFill>
          </w14:textFill>
        </w:rPr>
        <w:t>承包人逾期未能提交最终的工程结算及相关资料，发包人可按</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主管部门</w:t>
      </w:r>
      <w:r>
        <w:rPr>
          <w:rFonts w:hint="eastAsia" w:ascii="宋体" w:hAnsi="宋体" w:eastAsia="宋体" w:cs="宋体"/>
          <w:bCs/>
          <w:color w:val="000000" w:themeColor="text1"/>
          <w:sz w:val="24"/>
          <w:szCs w:val="24"/>
          <w:highlight w:val="none"/>
          <w14:textFill>
            <w14:solidFill>
              <w14:schemeClr w14:val="tx1"/>
            </w14:solidFill>
          </w14:textFill>
        </w:rPr>
        <w:t>《广东省属监狱单位基本建设项目工程结算单方定案工作指引（试行）的通知》开展工程结算工作。</w:t>
      </w:r>
    </w:p>
    <w:p w14:paraId="1461A9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 w:eastAsia="zh-CN" w:bidi="ar-SA"/>
          <w14:textFill>
            <w14:solidFill>
              <w14:schemeClr w14:val="tx1"/>
            </w14:solidFill>
          </w14:textFill>
        </w:rPr>
        <w:t>17.</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2.11如承包人没有按照本合同约定提供银行履约保函或履约保证金，或履约保函到期后未能提交新履约保函或原担保方同意原履约保函延期的书面文件，视为乙方违约，对所延天数按每日0.5万元支付违约金，总额不超过合同总价的10%。</w:t>
      </w:r>
    </w:p>
    <w:p w14:paraId="0B4247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2.12</w:t>
      </w:r>
      <w:r>
        <w:rPr>
          <w:rFonts w:hint="eastAsia" w:ascii="宋体" w:hAnsi="宋体" w:eastAsia="宋体" w:cs="宋体"/>
          <w:color w:val="000000" w:themeColor="text1"/>
          <w:kern w:val="0"/>
          <w:sz w:val="24"/>
          <w:szCs w:val="24"/>
          <w:highlight w:val="none"/>
          <w14:textFill>
            <w14:solidFill>
              <w14:schemeClr w14:val="tx1"/>
            </w14:solidFill>
          </w14:textFill>
        </w:rPr>
        <w:t xml:space="preserve"> 除上述约定之外，承包人不履行或不完全履行合同其他义务的，均构成违约，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同类事件</w:t>
      </w:r>
      <w:r>
        <w:rPr>
          <w:rFonts w:hint="eastAsia" w:ascii="宋体" w:hAnsi="宋体" w:eastAsia="宋体" w:cs="宋体"/>
          <w:color w:val="000000" w:themeColor="text1"/>
          <w:kern w:val="0"/>
          <w:sz w:val="24"/>
          <w:szCs w:val="24"/>
          <w:highlight w:val="none"/>
          <w14:textFill>
            <w14:solidFill>
              <w14:schemeClr w14:val="tx1"/>
            </w14:solidFill>
          </w14:textFill>
        </w:rPr>
        <w:t>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发生第</w:t>
      </w:r>
      <w:r>
        <w:rPr>
          <w:rFonts w:hint="eastAsia" w:ascii="宋体" w:hAnsi="宋体" w:eastAsia="宋体" w:cs="宋体"/>
          <w:color w:val="000000" w:themeColor="text1"/>
          <w:kern w:val="0"/>
          <w:sz w:val="24"/>
          <w:szCs w:val="24"/>
          <w:highlight w:val="none"/>
          <w14:textFill>
            <w14:solidFill>
              <w14:schemeClr w14:val="tx1"/>
            </w14:solidFill>
          </w14:textFill>
        </w:rPr>
        <w:t>1次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给予书面警告，第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给予限期改正，第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次承担1次一般违约责任。</w:t>
      </w:r>
    </w:p>
    <w:p w14:paraId="61A9D0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因承包人违约解除合同</w:t>
      </w:r>
    </w:p>
    <w:p w14:paraId="17FFB9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关于承包人违约解除合同的特别约定：除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通用合同条款</w:t>
      </w:r>
      <w:r>
        <w:rPr>
          <w:rFonts w:hint="eastAsia" w:ascii="宋体" w:hAnsi="宋体" w:eastAsia="宋体" w:cs="宋体"/>
          <w:color w:val="000000" w:themeColor="text1"/>
          <w:kern w:val="0"/>
          <w:sz w:val="24"/>
          <w:szCs w:val="24"/>
          <w:highlight w:val="none"/>
          <w14:textFill>
            <w14:solidFill>
              <w14:schemeClr w14:val="tx1"/>
            </w14:solidFill>
          </w14:textFill>
        </w:rPr>
        <w:t>外解除合同后承包人应将已完成的工程的有关资料移交发包人，达到验收条件的办理验收工作。如承包人拒不履行相关工作的，发包人可委托相关机构实施，产生的费用由承包人负责。</w:t>
      </w:r>
    </w:p>
    <w:p w14:paraId="153451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无偿使用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71A6AF5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7.2.14</w:t>
      </w:r>
      <w:r>
        <w:rPr>
          <w:rFonts w:hint="eastAsia" w:ascii="宋体" w:hAnsi="宋体" w:eastAsia="宋体" w:cs="宋体"/>
          <w:color w:val="000000" w:themeColor="text1"/>
          <w:kern w:val="0"/>
          <w:sz w:val="24"/>
          <w:szCs w:val="24"/>
          <w:highlight w:val="none"/>
          <w14:textFill>
            <w14:solidFill>
              <w14:schemeClr w14:val="tx1"/>
            </w14:solidFill>
          </w14:textFill>
        </w:rPr>
        <w:t xml:space="preserve"> 第三人造成的违约</w:t>
      </w:r>
    </w:p>
    <w:p w14:paraId="15DDC84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303997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14:textFill>
            <w14:solidFill>
              <w14:schemeClr w14:val="tx1"/>
            </w14:solidFill>
          </w14:textFill>
        </w:rPr>
        <w:t>17.</w:t>
      </w: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kern w:val="0"/>
          <w:sz w:val="24"/>
          <w:szCs w:val="24"/>
          <w:highlight w:val="none"/>
          <w14:textFill>
            <w14:solidFill>
              <w14:schemeClr w14:val="tx1"/>
            </w14:solidFill>
          </w14:textFill>
        </w:rPr>
        <w:t xml:space="preserve"> 承包人违约责任的认定方式及送达程序：</w:t>
      </w:r>
    </w:p>
    <w:p w14:paraId="68598E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（1）认定方式：以发包人发出的通知、通报、会议纪要等书面文件确定的内容为准。</w:t>
      </w:r>
    </w:p>
    <w:p w14:paraId="1DA8E2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（2）送达程序：发包人以下列方式之一将书面违约处理决定送达承包人：</w:t>
      </w:r>
    </w:p>
    <w:p w14:paraId="249E0E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1）承包人现场管理机构工作人员签收。</w:t>
      </w:r>
    </w:p>
    <w:p w14:paraId="293DFD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2）承包人其他工作人员签收。</w:t>
      </w:r>
    </w:p>
    <w:p w14:paraId="413A22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3）发包人邮寄送达。</w:t>
      </w:r>
    </w:p>
    <w:p w14:paraId="4F3316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天内审核完毕且作出书面决定并通知承包人。</w:t>
      </w:r>
    </w:p>
    <w:p w14:paraId="7F5F3E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十八、缺陷责任与保修</w:t>
      </w:r>
    </w:p>
    <w:p w14:paraId="28408C38">
      <w:pPr>
        <w:pStyle w:val="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color w:val="000000" w:themeColor="text1"/>
          <w:sz w:val="24"/>
          <w:szCs w:val="24"/>
          <w:highlight w:val="none"/>
          <w14:textFill>
            <w14:solidFill>
              <w14:schemeClr w14:val="tx1"/>
            </w14:solidFill>
          </w14:textFill>
        </w:rPr>
      </w:pPr>
      <w:bookmarkStart w:id="76" w:name="_Toc351203599"/>
      <w:bookmarkStart w:id="77" w:name="_Toc337558816"/>
      <w:bookmarkStart w:id="78" w:name="_Toc296346615"/>
      <w:bookmarkStart w:id="79" w:name="_Toc296503114"/>
      <w:r>
        <w:rPr>
          <w:rFonts w:hint="eastAsia" w:ascii="宋体" w:hAnsi="宋体" w:cs="宋体"/>
          <w:b w:val="0"/>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b w:val="0"/>
          <w:color w:val="000000" w:themeColor="text1"/>
          <w:sz w:val="24"/>
          <w:szCs w:val="24"/>
          <w:highlight w:val="none"/>
          <w14:textFill>
            <w14:solidFill>
              <w14:schemeClr w14:val="tx1"/>
            </w14:solidFill>
          </w14:textFill>
        </w:rPr>
        <w:t>.1 工程保修的原则</w:t>
      </w:r>
      <w:bookmarkEnd w:id="76"/>
    </w:p>
    <w:bookmarkEnd w:id="77"/>
    <w:p w14:paraId="357BC6F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14:paraId="435F700C">
      <w:pPr>
        <w:pStyle w:val="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color w:val="000000" w:themeColor="text1"/>
          <w:sz w:val="24"/>
          <w:szCs w:val="24"/>
          <w:highlight w:val="none"/>
          <w14:textFill>
            <w14:solidFill>
              <w14:schemeClr w14:val="tx1"/>
            </w14:solidFill>
          </w14:textFill>
        </w:rPr>
      </w:pPr>
      <w:bookmarkStart w:id="80" w:name="_Toc351203600"/>
      <w:bookmarkStart w:id="81" w:name="_Toc337558817"/>
      <w:r>
        <w:rPr>
          <w:rFonts w:hint="eastAsia" w:ascii="宋体" w:hAnsi="宋体" w:cs="宋体"/>
          <w:b w:val="0"/>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b w:val="0"/>
          <w:color w:val="000000" w:themeColor="text1"/>
          <w:sz w:val="24"/>
          <w:szCs w:val="24"/>
          <w:highlight w:val="none"/>
          <w14:textFill>
            <w14:solidFill>
              <w14:schemeClr w14:val="tx1"/>
            </w14:solidFill>
          </w14:textFill>
        </w:rPr>
        <w:t>.2 缺陷责任期</w:t>
      </w:r>
      <w:bookmarkEnd w:id="78"/>
      <w:bookmarkEnd w:id="79"/>
      <w:bookmarkEnd w:id="80"/>
    </w:p>
    <w:bookmarkEnd w:id="81"/>
    <w:p w14:paraId="1D7D26A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.2.1 缺陷责任期从工程通过竣工验收之日起计算，合同当事人应在专用合同条款约定缺陷责任期的具体期限，该期限</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12个月</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55F5398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通过发包人审核的</w:t>
      </w:r>
      <w:r>
        <w:rPr>
          <w:rFonts w:hint="eastAsia" w:ascii="宋体" w:hAnsi="宋体" w:eastAsia="宋体" w:cs="宋体"/>
          <w:color w:val="000000" w:themeColor="text1"/>
          <w:kern w:val="0"/>
          <w:sz w:val="24"/>
          <w:szCs w:val="24"/>
          <w:highlight w:val="none"/>
          <w14:textFill>
            <w14:solidFill>
              <w14:schemeClr w14:val="tx1"/>
            </w14:solidFill>
          </w14:textFill>
        </w:rPr>
        <w:t>竣工验收报告90天后，工程自动进入缺陷责任期；发包人未经竣工验收擅自使用工程的，缺陷责任期自工程转移占有之日起开始计算。</w:t>
      </w:r>
    </w:p>
    <w:p w14:paraId="0A8F899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eastAsia="宋体" w:cs="宋体"/>
          <w:bCs/>
          <w:color w:val="000000" w:themeColor="text1"/>
          <w:sz w:val="24"/>
          <w:szCs w:val="24"/>
          <w:highlight w:val="none"/>
          <w14:textFill>
            <w14:solidFill>
              <w14:schemeClr w14:val="tx1"/>
            </w14:solidFill>
          </w14:textFill>
        </w:rPr>
        <w:t>包人延长缺陷责任期，</w:t>
      </w:r>
      <w:r>
        <w:rPr>
          <w:rFonts w:hint="eastAsia" w:ascii="宋体" w:hAnsi="宋体" w:eastAsia="宋体" w:cs="宋体"/>
          <w:color w:val="000000" w:themeColor="text1"/>
          <w:kern w:val="0"/>
          <w:sz w:val="24"/>
          <w:szCs w:val="24"/>
          <w:highlight w:val="none"/>
          <w14:textFill>
            <w14:solidFill>
              <w14:schemeClr w14:val="tx1"/>
            </w14:solidFill>
          </w14:textFill>
        </w:rPr>
        <w:t>并应在原缺陷责任期届满前发出延长通知。</w:t>
      </w:r>
      <w:r>
        <w:rPr>
          <w:rFonts w:hint="eastAsia" w:ascii="宋体" w:hAnsi="宋体" w:eastAsia="宋体" w:cs="宋体"/>
          <w:bCs/>
          <w:color w:val="000000" w:themeColor="text1"/>
          <w:sz w:val="24"/>
          <w:szCs w:val="24"/>
          <w:highlight w:val="none"/>
          <w14:textFill>
            <w14:solidFill>
              <w14:schemeClr w14:val="tx1"/>
            </w14:solidFill>
          </w14:textFill>
        </w:rPr>
        <w:t>但缺陷责任期（含延长部分）最长</w:t>
      </w:r>
      <w:r>
        <w:rPr>
          <w:rFonts w:hint="eastAsia" w:ascii="宋体" w:hAnsi="宋体" w:eastAsia="宋体" w:cs="宋体"/>
          <w:color w:val="000000" w:themeColor="text1"/>
          <w:kern w:val="0"/>
          <w:sz w:val="24"/>
          <w:szCs w:val="24"/>
          <w:highlight w:val="none"/>
          <w14:textFill>
            <w14:solidFill>
              <w14:schemeClr w14:val="tx1"/>
            </w14:solidFill>
          </w14:textFill>
        </w:rPr>
        <w:t>不能超过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个月。</w:t>
      </w:r>
    </w:p>
    <w:p w14:paraId="7E10A1E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由他人原因造成的缺陷，发包人负责组织维修，承包人不承担费用，且发包人不得从保证金中扣除费用。</w:t>
      </w:r>
    </w:p>
    <w:p w14:paraId="2BC4DF0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.2.3 任何一项缺陷或损坏修复后，经检查证明其影响了工程或工程设备的使用性能，承包人应重新进行合同约定的试验和试运行，试验和试运行的全部费用应由责任方承担。</w:t>
      </w:r>
    </w:p>
    <w:p w14:paraId="6C9BB6A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73F6157">
      <w:pPr>
        <w:pStyle w:val="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color w:val="000000" w:themeColor="text1"/>
          <w:sz w:val="24"/>
          <w:szCs w:val="24"/>
          <w:highlight w:val="none"/>
          <w14:textFill>
            <w14:solidFill>
              <w14:schemeClr w14:val="tx1"/>
            </w14:solidFill>
          </w14:textFill>
        </w:rPr>
      </w:pPr>
      <w:bookmarkStart w:id="82" w:name="_Toc351203602"/>
      <w:bookmarkStart w:id="83" w:name="_Toc337558819"/>
      <w:bookmarkStart w:id="84" w:name="_Toc296503115"/>
      <w:bookmarkStart w:id="85" w:name="_Toc296346616"/>
      <w:r>
        <w:rPr>
          <w:rFonts w:hint="eastAsia" w:ascii="宋体" w:hAnsi="宋体" w:cs="宋体"/>
          <w:b w:val="0"/>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color w:val="000000" w:themeColor="text1"/>
          <w:sz w:val="24"/>
          <w:szCs w:val="24"/>
          <w:highlight w:val="none"/>
          <w14:textFill>
            <w14:solidFill>
              <w14:schemeClr w14:val="tx1"/>
            </w14:solidFill>
          </w14:textFill>
        </w:rPr>
        <w:t xml:space="preserve"> 保修</w:t>
      </w:r>
      <w:bookmarkEnd w:id="82"/>
    </w:p>
    <w:bookmarkEnd w:id="83"/>
    <w:bookmarkEnd w:id="84"/>
    <w:bookmarkEnd w:id="85"/>
    <w:p w14:paraId="5FCDD7ED">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.1保修责任</w:t>
      </w:r>
    </w:p>
    <w:p w14:paraId="25C3C706">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0E4FC175">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发包人未经竣工验收擅自使用工程的，保修期自</w:t>
      </w:r>
      <w:r>
        <w:rPr>
          <w:rFonts w:hint="eastAsia" w:ascii="宋体" w:hAnsi="宋体" w:eastAsia="宋体" w:cs="宋体"/>
          <w:color w:val="000000" w:themeColor="text1"/>
          <w:kern w:val="0"/>
          <w:sz w:val="24"/>
          <w:szCs w:val="24"/>
          <w:highlight w:val="none"/>
          <w14:textFill>
            <w14:solidFill>
              <w14:schemeClr w14:val="tx1"/>
            </w14:solidFill>
          </w14:textFill>
        </w:rPr>
        <w:t>转移占有之日起算</w:t>
      </w:r>
      <w:r>
        <w:rPr>
          <w:rFonts w:hint="eastAsia" w:ascii="宋体" w:hAnsi="宋体" w:eastAsia="宋体" w:cs="宋体"/>
          <w:color w:val="000000" w:themeColor="text1"/>
          <w:sz w:val="24"/>
          <w:szCs w:val="24"/>
          <w:highlight w:val="none"/>
          <w14:textFill>
            <w14:solidFill>
              <w14:schemeClr w14:val="tx1"/>
            </w14:solidFill>
          </w14:textFill>
        </w:rPr>
        <w:t>。</w:t>
      </w:r>
    </w:p>
    <w:p w14:paraId="5C69CEF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.2 修复费用</w:t>
      </w:r>
    </w:p>
    <w:p w14:paraId="170CB4B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保修期内，修复的费用按照以下约定处理：</w:t>
      </w:r>
    </w:p>
    <w:p w14:paraId="6CF67E8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（1）保修期内，因承包人原因造成工程的缺陷、损坏，承包人应负责修复，并承担修复的费用以及因工程的缺陷、损坏造成的人身伤害和财产损失；</w:t>
      </w:r>
    </w:p>
    <w:p w14:paraId="5D39EDF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（2）保修期内，因发包人使用不当造成工程的缺陷、损坏，可以委托承包人修复，但发包人应承担修复的费用，并支付承包人合理利润；</w:t>
      </w:r>
    </w:p>
    <w:p w14:paraId="0255469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14:paraId="0CA92C47">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.3 修复通知</w:t>
      </w:r>
    </w:p>
    <w:p w14:paraId="779A65F4">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9E941E1">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.4 未能修复</w:t>
      </w:r>
    </w:p>
    <w:p w14:paraId="530DC16F">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7313150A">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.5 承包人出入权</w:t>
      </w:r>
    </w:p>
    <w:p w14:paraId="6DEE9FF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D3CC1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十九</w:t>
      </w:r>
      <w:r>
        <w:rPr>
          <w:rFonts w:hint="eastAsia" w:ascii="宋体" w:hAnsi="宋体" w:eastAsia="宋体" w:cs="宋体"/>
          <w:b/>
          <w:color w:val="000000" w:themeColor="text1"/>
          <w:sz w:val="24"/>
          <w:szCs w:val="24"/>
          <w:highlight w:val="none"/>
          <w:lang w:val="en-US"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其他要求</w:t>
      </w:r>
    </w:p>
    <w:p w14:paraId="5ACFD40A">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★19.1投标人须承诺在承接本工程后具有符合供电局颁发的停送电操作票签发人资格。（须提供承诺函，格式自拟，未提供承诺函的，作无效处理）</w:t>
      </w:r>
    </w:p>
    <w:p w14:paraId="54001E92">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19.2因本项目属于电力工程，考虑安全文明施工问题，投标人应提供针对本项目的安全文明施工方案，包括但不限于工地围挡、安全警示、减噪措施、安全教育、安全防护用具等，施工时承包人应当严格按照所提供的方案执行，否则由此发生的一切安全事故由承包人承担，并且发包人保留向承包人追责的权利。同时，承包人应根据本项目“家属区”的特征，保障居民住户用电正常，如在施工过程中，必须要有保证住户用电的措施。</w:t>
      </w:r>
      <w:r>
        <w:rPr>
          <w:rFonts w:hint="eastAsia" w:ascii="宋体" w:hAnsi="宋体" w:cs="宋体"/>
          <w:b/>
          <w:bCs/>
          <w:color w:val="000000" w:themeColor="text1"/>
          <w:kern w:val="0"/>
          <w:sz w:val="24"/>
          <w:szCs w:val="24"/>
          <w:highlight w:val="none"/>
          <w:lang w:val="en-US" w:eastAsia="zh-CN"/>
          <w14:textFill>
            <w14:solidFill>
              <w14:schemeClr w14:val="tx1"/>
            </w14:solidFill>
          </w14:textFill>
        </w:rPr>
        <w:br w:type="page"/>
      </w:r>
    </w:p>
    <w:p w14:paraId="18D6499D">
      <w:pPr>
        <w:pStyle w:val="3"/>
        <w:ind w:firstLine="2249" w:firstLineChars="800"/>
        <w:rPr>
          <w:color w:val="000000" w:themeColor="text1"/>
          <w:highlight w:val="none"/>
          <w14:textFill>
            <w14:solidFill>
              <w14:schemeClr w14:val="tx1"/>
            </w14:solidFill>
          </w14:textFill>
        </w:rPr>
      </w:pPr>
      <w:r>
        <w:rPr>
          <w:rFonts w:hint="eastAsia" w:ascii="宋体" w:hAnsi="宋体" w:cs="宋体"/>
          <w:b/>
          <w:color w:val="000000" w:themeColor="text1"/>
          <w:spacing w:val="0"/>
          <w:kern w:val="2"/>
          <w:highlight w:val="none"/>
          <w:lang w:val="en-US" w:eastAsia="zh-CN"/>
          <w14:textFill>
            <w14:solidFill>
              <w14:schemeClr w14:val="tx1"/>
            </w14:solidFill>
          </w14:textFill>
        </w:rPr>
        <w:t>二</w:t>
      </w:r>
      <w:r>
        <w:rPr>
          <w:rFonts w:hint="eastAsia" w:ascii="宋体" w:hAnsi="宋体" w:cs="宋体"/>
          <w:b/>
          <w:color w:val="000000" w:themeColor="text1"/>
          <w:spacing w:val="0"/>
          <w:kern w:val="2"/>
          <w:highlight w:val="none"/>
          <w14:textFill>
            <w14:solidFill>
              <w14:schemeClr w14:val="tx1"/>
            </w14:solidFill>
          </w14:textFill>
        </w:rPr>
        <w:t>、主要材料设备品牌推荐表</w:t>
      </w:r>
      <w:bookmarkEnd w:id="74"/>
    </w:p>
    <w:p w14:paraId="1A0C879C">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一、主要材料品牌选用表</w:t>
      </w:r>
    </w:p>
    <w:tbl>
      <w:tblPr>
        <w:tblStyle w:val="3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
        <w:gridCol w:w="1893"/>
        <w:gridCol w:w="4306"/>
        <w:gridCol w:w="1757"/>
      </w:tblGrid>
      <w:tr w14:paraId="2637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 w:hRule="atLeast"/>
          <w:jc w:val="center"/>
        </w:trPr>
        <w:tc>
          <w:tcPr>
            <w:tcW w:w="562" w:type="dxa"/>
            <w:vAlign w:val="center"/>
          </w:tcPr>
          <w:p w14:paraId="4907A84F">
            <w:pPr>
              <w:widowControl/>
              <w:spacing w:line="50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序号</w:t>
            </w:r>
          </w:p>
        </w:tc>
        <w:tc>
          <w:tcPr>
            <w:tcW w:w="1893" w:type="dxa"/>
            <w:vAlign w:val="center"/>
          </w:tcPr>
          <w:p w14:paraId="01475018">
            <w:pPr>
              <w:widowControl/>
              <w:spacing w:line="50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材料名称、规格</w:t>
            </w:r>
          </w:p>
        </w:tc>
        <w:tc>
          <w:tcPr>
            <w:tcW w:w="4306" w:type="dxa"/>
            <w:vAlign w:val="center"/>
          </w:tcPr>
          <w:p w14:paraId="465A5680">
            <w:pPr>
              <w:widowControl/>
              <w:spacing w:line="500" w:lineRule="exact"/>
              <w:jc w:val="center"/>
              <w:rPr>
                <w:rFonts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参考</w:t>
            </w:r>
            <w:r>
              <w:rPr>
                <w:rFonts w:ascii="宋体" w:hAnsi="宋体" w:cs="宋体"/>
                <w:b/>
                <w:bCs/>
                <w:color w:val="000000" w:themeColor="text1"/>
                <w:kern w:val="0"/>
                <w:szCs w:val="21"/>
                <w:highlight w:val="none"/>
                <w:lang w:bidi="ar"/>
                <w14:textFill>
                  <w14:solidFill>
                    <w14:schemeClr w14:val="tx1"/>
                  </w14:solidFill>
                </w14:textFill>
              </w:rPr>
              <w:t>品牌</w:t>
            </w:r>
            <w:r>
              <w:rPr>
                <w:rFonts w:hint="eastAsia" w:ascii="宋体" w:hAnsi="宋体" w:cs="宋体"/>
                <w:b/>
                <w:bCs/>
                <w:color w:val="000000" w:themeColor="text1"/>
                <w:kern w:val="0"/>
                <w:szCs w:val="21"/>
                <w:highlight w:val="none"/>
                <w:lang w:bidi="ar"/>
                <w14:textFill>
                  <w14:solidFill>
                    <w14:schemeClr w14:val="tx1"/>
                  </w14:solidFill>
                </w14:textFill>
              </w:rPr>
              <w:t>或</w:t>
            </w:r>
            <w:r>
              <w:rPr>
                <w:rFonts w:ascii="宋体" w:hAnsi="宋体" w:cs="宋体"/>
                <w:b/>
                <w:bCs/>
                <w:color w:val="000000" w:themeColor="text1"/>
                <w:kern w:val="0"/>
                <w:szCs w:val="21"/>
                <w:highlight w:val="none"/>
                <w:lang w:bidi="ar"/>
                <w14:textFill>
                  <w14:solidFill>
                    <w14:schemeClr w14:val="tx1"/>
                  </w14:solidFill>
                </w14:textFill>
              </w:rPr>
              <w:t>制造</w:t>
            </w:r>
            <w:r>
              <w:rPr>
                <w:rFonts w:hint="eastAsia" w:ascii="宋体" w:hAnsi="宋体" w:cs="宋体"/>
                <w:b/>
                <w:bCs/>
                <w:color w:val="000000" w:themeColor="text1"/>
                <w:kern w:val="0"/>
                <w:szCs w:val="21"/>
                <w:highlight w:val="none"/>
                <w:lang w:bidi="ar"/>
                <w14:textFill>
                  <w14:solidFill>
                    <w14:schemeClr w14:val="tx1"/>
                  </w14:solidFill>
                </w14:textFill>
              </w:rPr>
              <w:t>厂家、型号</w:t>
            </w:r>
          </w:p>
        </w:tc>
        <w:tc>
          <w:tcPr>
            <w:tcW w:w="1757" w:type="dxa"/>
            <w:vAlign w:val="center"/>
          </w:tcPr>
          <w:p w14:paraId="24956DF5">
            <w:pPr>
              <w:widowControl/>
              <w:spacing w:line="500" w:lineRule="exact"/>
              <w:jc w:val="center"/>
              <w:rPr>
                <w:rFonts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投标品牌、型号</w:t>
            </w:r>
          </w:p>
        </w:tc>
      </w:tr>
      <w:tr w14:paraId="4738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 w:hRule="atLeast"/>
          <w:jc w:val="center"/>
        </w:trPr>
        <w:tc>
          <w:tcPr>
            <w:tcW w:w="562" w:type="dxa"/>
            <w:vAlign w:val="center"/>
          </w:tcPr>
          <w:p w14:paraId="6BB560BF">
            <w:pPr>
              <w:widowControl/>
              <w:spacing w:line="500" w:lineRule="exact"/>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1893" w:type="dxa"/>
            <w:shd w:val="clear" w:color="auto" w:fill="auto"/>
            <w:vAlign w:val="center"/>
          </w:tcPr>
          <w:p w14:paraId="20C6A4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干式变压器SCB14系列</w:t>
            </w:r>
          </w:p>
        </w:tc>
        <w:tc>
          <w:tcPr>
            <w:tcW w:w="4306" w:type="dxa"/>
            <w:shd w:val="clear" w:color="auto" w:fill="auto"/>
            <w:vAlign w:val="center"/>
          </w:tcPr>
          <w:p w14:paraId="229984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1.</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顺特电气设备有限公司</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w:t>
            </w:r>
          </w:p>
          <w:p w14:paraId="5BFED7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2.</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广东海鸿变压器有限公司</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w:t>
            </w:r>
          </w:p>
          <w:p w14:paraId="3FA1B7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3.</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广州白云电器设备股份有限公司</w:t>
            </w:r>
          </w:p>
        </w:tc>
        <w:tc>
          <w:tcPr>
            <w:tcW w:w="1757" w:type="dxa"/>
            <w:vAlign w:val="center"/>
          </w:tcPr>
          <w:p w14:paraId="3AEF6A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宋体" w:hAnsi="宋体" w:eastAsia="宋体" w:cs="宋体"/>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参照或相当于</w:t>
            </w:r>
          </w:p>
        </w:tc>
      </w:tr>
      <w:tr w14:paraId="18D6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 w:hRule="atLeast"/>
          <w:jc w:val="center"/>
        </w:trPr>
        <w:tc>
          <w:tcPr>
            <w:tcW w:w="562" w:type="dxa"/>
            <w:vAlign w:val="center"/>
          </w:tcPr>
          <w:p w14:paraId="6D44EF07">
            <w:pPr>
              <w:widowControl/>
              <w:spacing w:line="500" w:lineRule="exact"/>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1893" w:type="dxa"/>
            <w:shd w:val="clear" w:color="auto" w:fill="auto"/>
            <w:vAlign w:val="center"/>
          </w:tcPr>
          <w:p w14:paraId="0BE081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高、低压配电柜</w:t>
            </w:r>
          </w:p>
        </w:tc>
        <w:tc>
          <w:tcPr>
            <w:tcW w:w="4306" w:type="dxa"/>
            <w:shd w:val="clear" w:color="auto" w:fill="auto"/>
            <w:vAlign w:val="center"/>
          </w:tcPr>
          <w:p w14:paraId="071817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1.</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顺特电气设备有限公司</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w:t>
            </w:r>
          </w:p>
          <w:p w14:paraId="676BC9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2.</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广东海鸿变压器有限公司</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w:t>
            </w:r>
          </w:p>
          <w:p w14:paraId="30D6AA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广州白云电器设备股份有限公司</w:t>
            </w:r>
          </w:p>
        </w:tc>
        <w:tc>
          <w:tcPr>
            <w:tcW w:w="1757" w:type="dxa"/>
            <w:vAlign w:val="center"/>
          </w:tcPr>
          <w:p w14:paraId="39F673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宋体" w:hAnsi="宋体" w:eastAsia="宋体" w:cs="宋体"/>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参照或相当于</w:t>
            </w:r>
          </w:p>
        </w:tc>
      </w:tr>
      <w:tr w14:paraId="2D7C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 w:hRule="atLeast"/>
          <w:jc w:val="center"/>
        </w:trPr>
        <w:tc>
          <w:tcPr>
            <w:tcW w:w="562" w:type="dxa"/>
            <w:vAlign w:val="center"/>
          </w:tcPr>
          <w:p w14:paraId="1202116F">
            <w:pPr>
              <w:widowControl/>
              <w:spacing w:line="500" w:lineRule="exact"/>
              <w:jc w:val="center"/>
              <w:rPr>
                <w:rFonts w:hint="eastAsia" w:ascii="宋体" w:hAnsi="宋体" w:eastAsia="宋体" w:cs="宋体"/>
                <w:color w:val="000000" w:themeColor="text1"/>
                <w:kern w:val="0"/>
                <w:sz w:val="24"/>
                <w:szCs w:val="22"/>
                <w:highlight w:val="none"/>
                <w:lang w:val="en-US"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w:t>
            </w:r>
          </w:p>
        </w:tc>
        <w:tc>
          <w:tcPr>
            <w:tcW w:w="1893" w:type="dxa"/>
            <w:shd w:val="clear" w:color="auto" w:fill="auto"/>
            <w:vAlign w:val="center"/>
          </w:tcPr>
          <w:p w14:paraId="3915E3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配电箱、发电车接入箱</w:t>
            </w:r>
          </w:p>
        </w:tc>
        <w:tc>
          <w:tcPr>
            <w:tcW w:w="4306" w:type="dxa"/>
            <w:shd w:val="clear" w:color="auto" w:fill="auto"/>
            <w:vAlign w:val="center"/>
          </w:tcPr>
          <w:p w14:paraId="28D08E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1.</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广州白云电器设备股份有限公司</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w:t>
            </w:r>
          </w:p>
          <w:p w14:paraId="381C69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广东辰信电气有限公司；</w:t>
            </w:r>
          </w:p>
          <w:p w14:paraId="289E45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3</w:t>
            </w: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广东海鸿变压器有限公司</w:t>
            </w:r>
          </w:p>
        </w:tc>
        <w:tc>
          <w:tcPr>
            <w:tcW w:w="1757" w:type="dxa"/>
            <w:vAlign w:val="center"/>
          </w:tcPr>
          <w:p w14:paraId="79245707">
            <w:pPr>
              <w:jc w:val="center"/>
              <w:rPr>
                <w:rFonts w:ascii="仿宋_GB2312" w:hAnsi="仿宋" w:eastAsia="仿宋_GB2312" w:cs="宋体"/>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参照或相当于</w:t>
            </w:r>
          </w:p>
        </w:tc>
      </w:tr>
      <w:tr w14:paraId="615F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 w:hRule="atLeast"/>
          <w:jc w:val="center"/>
        </w:trPr>
        <w:tc>
          <w:tcPr>
            <w:tcW w:w="562" w:type="dxa"/>
            <w:vAlign w:val="center"/>
          </w:tcPr>
          <w:p w14:paraId="317D1A69">
            <w:pPr>
              <w:widowControl/>
              <w:spacing w:line="500" w:lineRule="exact"/>
              <w:jc w:val="center"/>
              <w:rPr>
                <w:rFonts w:hint="eastAsia" w:ascii="宋体" w:hAnsi="宋体" w:eastAsia="宋体" w:cs="宋体"/>
                <w:color w:val="000000" w:themeColor="text1"/>
                <w:kern w:val="0"/>
                <w:sz w:val="24"/>
                <w:szCs w:val="22"/>
                <w:highlight w:val="none"/>
                <w:lang w:val="en-US"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4</w:t>
            </w:r>
          </w:p>
        </w:tc>
        <w:tc>
          <w:tcPr>
            <w:tcW w:w="1893" w:type="dxa"/>
            <w:shd w:val="clear" w:color="auto" w:fill="auto"/>
            <w:vAlign w:val="center"/>
          </w:tcPr>
          <w:p w14:paraId="0F49BD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费控表箱</w:t>
            </w:r>
          </w:p>
        </w:tc>
        <w:tc>
          <w:tcPr>
            <w:tcW w:w="4306" w:type="dxa"/>
            <w:shd w:val="clear" w:color="auto" w:fill="auto"/>
            <w:vAlign w:val="center"/>
          </w:tcPr>
          <w:p w14:paraId="26AC26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1.</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广州白云电器设备股份有限公司</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w:t>
            </w:r>
          </w:p>
          <w:p w14:paraId="1B04F7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广东辰信电气有限公司；</w:t>
            </w:r>
          </w:p>
          <w:p w14:paraId="40B9D9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3</w:t>
            </w: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广东海鸿变压器有限公司</w:t>
            </w:r>
          </w:p>
        </w:tc>
        <w:tc>
          <w:tcPr>
            <w:tcW w:w="1757" w:type="dxa"/>
            <w:vAlign w:val="center"/>
          </w:tcPr>
          <w:p w14:paraId="4162BD3C">
            <w:pPr>
              <w:jc w:val="center"/>
              <w:rPr>
                <w:rFonts w:ascii="仿宋_GB2312" w:hAnsi="仿宋" w:eastAsia="仿宋_GB2312" w:cs="宋体"/>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参照或相当于</w:t>
            </w:r>
          </w:p>
        </w:tc>
      </w:tr>
      <w:tr w14:paraId="70FF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 w:hRule="atLeast"/>
          <w:jc w:val="center"/>
        </w:trPr>
        <w:tc>
          <w:tcPr>
            <w:tcW w:w="562" w:type="dxa"/>
            <w:vAlign w:val="center"/>
          </w:tcPr>
          <w:p w14:paraId="58C00C97">
            <w:pPr>
              <w:widowControl/>
              <w:spacing w:line="500" w:lineRule="exact"/>
              <w:jc w:val="cente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93" w:type="dxa"/>
            <w:shd w:val="clear" w:color="auto" w:fill="auto"/>
            <w:vAlign w:val="center"/>
          </w:tcPr>
          <w:p w14:paraId="0D1E38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电线电缆</w:t>
            </w:r>
          </w:p>
        </w:tc>
        <w:tc>
          <w:tcPr>
            <w:tcW w:w="4306" w:type="dxa"/>
            <w:shd w:val="clear" w:color="auto" w:fill="auto"/>
            <w:vAlign w:val="center"/>
          </w:tcPr>
          <w:p w14:paraId="0249BF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1.</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广东电缆厂有限公司；</w:t>
            </w:r>
          </w:p>
          <w:p w14:paraId="79834F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广州市珠江电缆有限公司；</w:t>
            </w:r>
          </w:p>
          <w:p w14:paraId="7C6540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3</w:t>
            </w: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广州南洋电缆集团股份有限公司</w:t>
            </w:r>
          </w:p>
        </w:tc>
        <w:tc>
          <w:tcPr>
            <w:tcW w:w="1757" w:type="dxa"/>
            <w:vAlign w:val="center"/>
          </w:tcPr>
          <w:p w14:paraId="7FB30D97">
            <w:pPr>
              <w:jc w:val="center"/>
              <w:rPr>
                <w:rFonts w:ascii="仿宋_GB2312" w:hAnsi="仿宋" w:eastAsia="仿宋_GB2312" w:cs="宋体"/>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参照或相当于</w:t>
            </w:r>
          </w:p>
        </w:tc>
      </w:tr>
    </w:tbl>
    <w:p w14:paraId="0039437D">
      <w:pPr>
        <w:widowControl/>
        <w:adjustRightInd w:val="0"/>
        <w:snapToGrid w:val="0"/>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0B2392B6">
      <w:pPr>
        <w:widowControl/>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1、若投标人在报价文件中未有明确选用或填报使用哪个品牌的，发包人有权在项目实施期间选用表格中任一参考品牌、型号材料作为实际供应材料，且成交供应价格不予变化。</w:t>
      </w:r>
    </w:p>
    <w:p w14:paraId="01C76DCB">
      <w:pPr>
        <w:widowControl/>
        <w:spacing w:line="44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2、本工程施工采用的主要材料设备推荐选用“第五章  技术条件（工程建设标准） 《主要材料设备品牌推荐表》”中的品牌（或厂家）或选用相当于该档次（或以上）的产品。本工程涉及所有材料设备，中标人在订购前均须先提供相关品牌（厂家）型号（规格）的技术资料（包括但不限于企业资料、详细技术参数资料、合格证、检验检测报告等）报招标人、设计单位、监理单位审核，经确认符合本项目工程技术条件方能执行采购，未经确认的一律不得用于本工程、</w:t>
      </w:r>
      <w:r>
        <w:rPr>
          <w:rFonts w:hint="eastAsia" w:ascii="宋体" w:hAnsi="宋体" w:cs="宋体"/>
          <w:b w:val="0"/>
          <w:bCs w:val="0"/>
          <w:color w:val="000000" w:themeColor="text1"/>
          <w:sz w:val="24"/>
          <w:highlight w:val="none"/>
          <w14:textFill>
            <w14:solidFill>
              <w14:schemeClr w14:val="tx1"/>
            </w14:solidFill>
          </w14:textFill>
        </w:rPr>
        <w:t>不允许进入工地。具体参照工程量清单及施工图纸。</w:t>
      </w:r>
    </w:p>
    <w:p w14:paraId="206AD9DC">
      <w:pPr>
        <w:spacing w:line="440" w:lineRule="exact"/>
        <w:ind w:firstLine="480" w:firstLineChars="200"/>
        <w:rPr>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3、 上述品牌的规格及型号如市场因供货原因不能满足，则发包人有权在项目实施期间选用表格中任一参考品牌（以产品生产日期为界定，为</w:t>
      </w:r>
      <w:r>
        <w:rPr>
          <w:rFonts w:hint="eastAsia" w:ascii="宋体" w:hAnsi="宋体"/>
          <w:b w:val="0"/>
          <w:bCs w:val="0"/>
          <w:color w:val="000000" w:themeColor="text1"/>
          <w:sz w:val="24"/>
          <w:highlight w:val="none"/>
          <w:lang w:eastAsia="zh-CN"/>
          <w14:textFill>
            <w14:solidFill>
              <w14:schemeClr w14:val="tx1"/>
            </w14:solidFill>
          </w14:textFill>
        </w:rPr>
        <w:t>2023年1月后</w:t>
      </w:r>
      <w:r>
        <w:rPr>
          <w:rFonts w:hint="eastAsia" w:ascii="宋体" w:hAnsi="宋体"/>
          <w:b w:val="0"/>
          <w:bCs w:val="0"/>
          <w:color w:val="000000" w:themeColor="text1"/>
          <w:sz w:val="24"/>
          <w:highlight w:val="none"/>
          <w14:textFill>
            <w14:solidFill>
              <w14:schemeClr w14:val="tx1"/>
            </w14:solidFill>
          </w14:textFill>
        </w:rPr>
        <w:t>上市产品），且成交供应价格不予变化。</w:t>
      </w:r>
    </w:p>
    <w:p w14:paraId="0F04DA1D">
      <w:pPr>
        <w:spacing w:line="440" w:lineRule="exact"/>
        <w:ind w:firstLine="480" w:firstLineChars="200"/>
        <w:rPr>
          <w:rFonts w:ascii="宋体" w:hAnsi="宋体" w:cs="宋体"/>
          <w:b w:val="0"/>
          <w:bCs w:val="0"/>
          <w:color w:val="000000" w:themeColor="text1"/>
          <w:sz w:val="22"/>
          <w:szCs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4、投标人在《主要材料品牌选用表》中“投标品牌、型号”此列禁止出现“或相当于”等类似字眼，否则视为未响应招标文件要求。</w:t>
      </w:r>
    </w:p>
    <w:p w14:paraId="17805C46">
      <w:pPr>
        <w:widowControl/>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79E48AE9">
      <w:pPr>
        <w:pStyle w:val="3"/>
        <w:rPr>
          <w:color w:val="000000" w:themeColor="text1"/>
          <w:highlight w:val="none"/>
          <w14:textFill>
            <w14:solidFill>
              <w14:schemeClr w14:val="tx1"/>
            </w14:solidFill>
          </w14:textFill>
        </w:rPr>
      </w:pPr>
      <w:bookmarkStart w:id="86" w:name="_Toc17535"/>
      <w:bookmarkStart w:id="87" w:name="_Toc26744"/>
      <w:r>
        <w:rPr>
          <w:rFonts w:hint="eastAsia"/>
          <w:color w:val="000000" w:themeColor="text1"/>
          <w:highlight w:val="none"/>
          <w14:textFill>
            <w14:solidFill>
              <w14:schemeClr w14:val="tx1"/>
            </w14:solidFill>
          </w14:textFill>
        </w:rPr>
        <w:t>第六章  图纸及勘察资料</w:t>
      </w:r>
      <w:bookmarkEnd w:id="73"/>
      <w:bookmarkEnd w:id="86"/>
      <w:bookmarkEnd w:id="87"/>
    </w:p>
    <w:p w14:paraId="5E07765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另册。</w:t>
      </w:r>
      <w:bookmarkStart w:id="88" w:name="_Toc6982"/>
      <w:bookmarkStart w:id="89" w:name="_Toc2272571"/>
      <w:r>
        <w:rPr>
          <w:rFonts w:hint="eastAsia"/>
          <w:color w:val="000000" w:themeColor="text1"/>
          <w:highlight w:val="none"/>
          <w14:textFill>
            <w14:solidFill>
              <w14:schemeClr w14:val="tx1"/>
            </w14:solidFill>
          </w14:textFill>
        </w:rPr>
        <w:br w:type="page"/>
      </w:r>
    </w:p>
    <w:p w14:paraId="19F170E8">
      <w:pPr>
        <w:pStyle w:val="3"/>
        <w:rPr>
          <w:color w:val="000000" w:themeColor="text1"/>
          <w:highlight w:val="none"/>
          <w14:textFill>
            <w14:solidFill>
              <w14:schemeClr w14:val="tx1"/>
            </w14:solidFill>
          </w14:textFill>
        </w:rPr>
      </w:pPr>
      <w:bookmarkStart w:id="90" w:name="_Toc30895"/>
      <w:r>
        <w:rPr>
          <w:rFonts w:hint="eastAsia"/>
          <w:color w:val="000000" w:themeColor="text1"/>
          <w:highlight w:val="none"/>
          <w14:textFill>
            <w14:solidFill>
              <w14:schemeClr w14:val="tx1"/>
            </w14:solidFill>
          </w14:textFill>
        </w:rPr>
        <w:t>第七章  工程量清单</w:t>
      </w:r>
      <w:bookmarkEnd w:id="88"/>
      <w:bookmarkEnd w:id="90"/>
    </w:p>
    <w:p w14:paraId="48EEBD92">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另册。</w:t>
      </w:r>
      <w:bookmarkStart w:id="91" w:name="_Toc14443"/>
    </w:p>
    <w:p w14:paraId="2753ACEA">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2B13F63">
      <w:pPr>
        <w:pStyle w:val="46"/>
        <w:rPr>
          <w:color w:val="000000" w:themeColor="text1"/>
          <w:highlight w:val="none"/>
          <w14:textFill>
            <w14:solidFill>
              <w14:schemeClr w14:val="tx1"/>
            </w14:solidFill>
          </w14:textFill>
        </w:rPr>
      </w:pPr>
    </w:p>
    <w:p w14:paraId="29C73AF3">
      <w:pPr>
        <w:pStyle w:val="3"/>
        <w:rPr>
          <w:rFonts w:ascii="宋体"/>
          <w:color w:val="000000" w:themeColor="text1"/>
          <w:highlight w:val="none"/>
          <w14:textFill>
            <w14:solidFill>
              <w14:schemeClr w14:val="tx1"/>
            </w14:solidFill>
          </w14:textFill>
        </w:rPr>
      </w:pPr>
      <w:bookmarkStart w:id="92" w:name="_Toc18032"/>
      <w:r>
        <w:rPr>
          <w:rFonts w:hint="eastAsia"/>
          <w:color w:val="000000" w:themeColor="text1"/>
          <w:highlight w:val="none"/>
          <w14:textFill>
            <w14:solidFill>
              <w14:schemeClr w14:val="tx1"/>
            </w14:solidFill>
          </w14:textFill>
        </w:rPr>
        <w:t>第八章  最高投标限价</w:t>
      </w:r>
      <w:bookmarkEnd w:id="89"/>
      <w:r>
        <w:rPr>
          <w:rFonts w:hint="eastAsia" w:ascii="宋体" w:hAnsi="宋体"/>
          <w:color w:val="000000" w:themeColor="text1"/>
          <w:sz w:val="24"/>
          <w:szCs w:val="24"/>
          <w:highlight w:val="none"/>
          <w14:textFill>
            <w14:solidFill>
              <w14:schemeClr w14:val="tx1"/>
            </w14:solidFill>
          </w14:textFill>
        </w:rPr>
        <w:t>（另册）</w:t>
      </w:r>
      <w:bookmarkEnd w:id="91"/>
      <w:bookmarkEnd w:id="92"/>
    </w:p>
    <w:p w14:paraId="1FF928B8">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招标人应当在发布招标文件时，公布最高投标限价的总价，分部分项工程费、措施项目费、其他项目费、规费和税金，以及绿色施工安全防护措施费、暂列金额等投标人不可竞争的固定报价。</w:t>
      </w:r>
    </w:p>
    <w:p w14:paraId="2612BAEE">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详</w:t>
      </w:r>
      <w:r>
        <w:rPr>
          <w:rFonts w:ascii="宋体" w:hAnsi="宋体" w:cs="宋体"/>
          <w:color w:val="000000" w:themeColor="text1"/>
          <w:kern w:val="0"/>
          <w:sz w:val="24"/>
          <w:szCs w:val="24"/>
          <w:highlight w:val="none"/>
          <w:u w:val="single"/>
          <w14:textFill>
            <w14:solidFill>
              <w14:schemeClr w14:val="tx1"/>
            </w14:solidFill>
          </w14:textFill>
        </w:rPr>
        <w:t>见本项目《</w:t>
      </w:r>
      <w:r>
        <w:rPr>
          <w:rFonts w:hint="eastAsia" w:ascii="宋体" w:hAnsi="宋体" w:cs="宋体"/>
          <w:color w:val="000000" w:themeColor="text1"/>
          <w:kern w:val="0"/>
          <w:sz w:val="24"/>
          <w:szCs w:val="24"/>
          <w:highlight w:val="none"/>
          <w:u w:val="single"/>
          <w14:textFill>
            <w14:solidFill>
              <w14:schemeClr w14:val="tx1"/>
            </w14:solidFill>
          </w14:textFill>
        </w:rPr>
        <w:t>最高投标限价</w:t>
      </w:r>
      <w:r>
        <w:rPr>
          <w:rFonts w:ascii="宋体" w:hAnsi="宋体" w:cs="宋体"/>
          <w:color w:val="000000" w:themeColor="text1"/>
          <w:kern w:val="0"/>
          <w:sz w:val="24"/>
          <w:szCs w:val="24"/>
          <w:highlight w:val="none"/>
          <w:u w:val="single"/>
          <w14:textFill>
            <w14:solidFill>
              <w14:schemeClr w14:val="tx1"/>
            </w14:solidFill>
          </w14:textFill>
        </w:rPr>
        <w:t>公布函》</w:t>
      </w:r>
      <w:r>
        <w:rPr>
          <w:rFonts w:hint="eastAsia" w:ascii="宋体" w:hAnsi="宋体" w:cs="宋体"/>
          <w:color w:val="000000" w:themeColor="text1"/>
          <w:kern w:val="0"/>
          <w:sz w:val="24"/>
          <w:szCs w:val="24"/>
          <w:highlight w:val="none"/>
          <w:u w:val="single"/>
          <w14:textFill>
            <w14:solidFill>
              <w14:schemeClr w14:val="tx1"/>
            </w14:solidFill>
          </w14:textFill>
        </w:rPr>
        <w:t>。</w:t>
      </w:r>
    </w:p>
    <w:p w14:paraId="02B7D76D">
      <w:pPr>
        <w:pStyle w:val="18"/>
        <w:rPr>
          <w:color w:val="000000" w:themeColor="text1"/>
          <w:highlight w:val="none"/>
          <w14:textFill>
            <w14:solidFill>
              <w14:schemeClr w14:val="tx1"/>
            </w14:solidFill>
          </w14:textFill>
        </w:rPr>
      </w:pPr>
    </w:p>
    <w:p w14:paraId="1CBB5EFB">
      <w:pPr>
        <w:rPr>
          <w:color w:val="000000" w:themeColor="text1"/>
          <w:highlight w:val="none"/>
          <w14:textFill>
            <w14:solidFill>
              <w14:schemeClr w14:val="tx1"/>
            </w14:solidFill>
          </w14:textFill>
        </w:rPr>
      </w:pPr>
    </w:p>
    <w:p w14:paraId="0F88ED4A">
      <w:pPr>
        <w:rPr>
          <w:color w:val="000000" w:themeColor="text1"/>
          <w14:textFill>
            <w14:solidFill>
              <w14:schemeClr w14:val="tx1"/>
            </w14:solidFill>
          </w14:textFill>
        </w:rPr>
      </w:pPr>
    </w:p>
    <w:sectPr>
      <w:headerReference r:id="rId8" w:type="default"/>
      <w:footerReference r:id="rId9" w:type="default"/>
      <w:pgSz w:w="11906" w:h="16838"/>
      <w:pgMar w:top="1440" w:right="1803" w:bottom="1440" w:left="1803" w:header="851" w:footer="68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E1E1">
    <w:pPr>
      <w:pStyle w:val="23"/>
      <w:jc w:val="both"/>
      <w:rPr>
        <w:rStyle w:val="4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DE4E0">
    <w:pPr>
      <w:pStyle w:val="23"/>
      <w:jc w:val="both"/>
      <w:rPr>
        <w:rStyle w:val="4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7C93415">
                          <w:pPr>
                            <w:pStyle w:val="23"/>
                            <w:ind w:firstLine="392"/>
                            <w:jc w:val="right"/>
                          </w:pPr>
                          <w:r>
                            <w:rPr>
                              <w:rStyle w:val="41"/>
                            </w:rPr>
                            <w:fldChar w:fldCharType="begin"/>
                          </w:r>
                          <w:r>
                            <w:rPr>
                              <w:rStyle w:val="41"/>
                            </w:rPr>
                            <w:instrText xml:space="preserve">PAGE  </w:instrText>
                          </w:r>
                          <w:r>
                            <w:rPr>
                              <w:rStyle w:val="41"/>
                            </w:rPr>
                            <w:fldChar w:fldCharType="separate"/>
                          </w:r>
                          <w:r>
                            <w:rPr>
                              <w:rStyle w:val="41"/>
                            </w:rPr>
                            <w:t>44</w:t>
                          </w:r>
                          <w:r>
                            <w:rPr>
                              <w:rStyle w:val="41"/>
                            </w:rPr>
                            <w:fldChar w:fldCharType="end"/>
                          </w:r>
                        </w:p>
                      </w:txbxContent>
                    </wps:txbx>
                    <wps:bodyPr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&#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h8wfdUBAAC2AwAADgAAAAAAAAABACAAAAAf&#10;AQAAZHJzL2Uyb0RvYy54bWxQSwUGAAAAAAYABgBZAQAAZgUAAAAA&#10;">
              <v:fill on="f" focussize="0,0"/>
              <v:stroke on="f"/>
              <v:imagedata o:title=""/>
              <o:lock v:ext="edit" aspectratio="f"/>
              <v:textbox inset="0mm,0mm,0mm,0mm" style="mso-fit-shape-to-text:t;">
                <w:txbxContent>
                  <w:p w14:paraId="77C93415">
                    <w:pPr>
                      <w:pStyle w:val="23"/>
                      <w:ind w:firstLine="392"/>
                      <w:jc w:val="right"/>
                    </w:pPr>
                    <w:r>
                      <w:rPr>
                        <w:rStyle w:val="41"/>
                      </w:rPr>
                      <w:fldChar w:fldCharType="begin"/>
                    </w:r>
                    <w:r>
                      <w:rPr>
                        <w:rStyle w:val="41"/>
                      </w:rPr>
                      <w:instrText xml:space="preserve">PAGE  </w:instrText>
                    </w:r>
                    <w:r>
                      <w:rPr>
                        <w:rStyle w:val="41"/>
                      </w:rPr>
                      <w:fldChar w:fldCharType="separate"/>
                    </w:r>
                    <w:r>
                      <w:rPr>
                        <w:rStyle w:val="41"/>
                      </w:rPr>
                      <w:t>44</w:t>
                    </w:r>
                    <w:r>
                      <w:rPr>
                        <w:rStyle w:val="41"/>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EB6B">
    <w:pPr>
      <w:pStyle w:val="23"/>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34C287A">
                          <w:pPr>
                            <w:pStyle w:val="23"/>
                            <w:jc w:val="center"/>
                            <w:rPr>
                              <w:rStyle w:val="41"/>
                            </w:rPr>
                          </w:pPr>
                          <w:r>
                            <w:rPr>
                              <w:rStyle w:val="41"/>
                            </w:rPr>
                            <w:fldChar w:fldCharType="begin"/>
                          </w:r>
                          <w:r>
                            <w:rPr>
                              <w:rStyle w:val="41"/>
                            </w:rPr>
                            <w:instrText xml:space="preserve">PAGE  </w:instrText>
                          </w:r>
                          <w:r>
                            <w:rPr>
                              <w:rStyle w:val="41"/>
                            </w:rPr>
                            <w:fldChar w:fldCharType="separate"/>
                          </w:r>
                          <w:r>
                            <w:rPr>
                              <w:rStyle w:val="41"/>
                            </w:rPr>
                            <w:t>53</w:t>
                          </w:r>
                          <w:r>
                            <w:rPr>
                              <w:rStyle w:val="41"/>
                            </w:rPr>
                            <w:fldChar w:fldCharType="end"/>
                          </w:r>
                        </w:p>
                        <w:p w14:paraId="16B1A3C4">
                          <w:pPr>
                            <w:pStyle w:val="23"/>
                            <w:ind w:left="-4410" w:leftChars="-2100" w:right="-4439" w:rightChars="-2114"/>
                            <w:rPr>
                              <w:rStyle w:val="41"/>
                            </w:rPr>
                          </w:pPr>
                        </w:p>
                      </w:txbxContent>
                    </wps:txbx>
                    <wps:bodyPr wrap="none" lIns="0" tIns="0" rIns="0" bIns="0" anchor="t" anchorCtr="0" upright="1">
                      <a:spAutoFit/>
                    </wps:bodyPr>
                  </wps:wsp>
                </a:graphicData>
              </a:graphic>
            </wp:anchor>
          </w:drawing>
        </mc:Choice>
        <mc:Fallback>
          <w:pict>
            <v:rect id="矩形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LXyjMNIBAACzAwAADgAAAAAAAAABACAAAAAfAQAA&#10;ZHJzL2Uyb0RvYy54bWxQSwUGAAAAAAYABgBZAQAAYwUAAAAA&#10;">
              <v:fill on="f" focussize="0,0"/>
              <v:stroke on="f"/>
              <v:imagedata o:title=""/>
              <o:lock v:ext="edit" aspectratio="f"/>
              <v:textbox inset="0mm,0mm,0mm,0mm" style="mso-fit-shape-to-text:t;">
                <w:txbxContent>
                  <w:p w14:paraId="734C287A">
                    <w:pPr>
                      <w:pStyle w:val="23"/>
                      <w:jc w:val="center"/>
                      <w:rPr>
                        <w:rStyle w:val="41"/>
                      </w:rPr>
                    </w:pPr>
                    <w:r>
                      <w:rPr>
                        <w:rStyle w:val="41"/>
                      </w:rPr>
                      <w:fldChar w:fldCharType="begin"/>
                    </w:r>
                    <w:r>
                      <w:rPr>
                        <w:rStyle w:val="41"/>
                      </w:rPr>
                      <w:instrText xml:space="preserve">PAGE  </w:instrText>
                    </w:r>
                    <w:r>
                      <w:rPr>
                        <w:rStyle w:val="41"/>
                      </w:rPr>
                      <w:fldChar w:fldCharType="separate"/>
                    </w:r>
                    <w:r>
                      <w:rPr>
                        <w:rStyle w:val="41"/>
                      </w:rPr>
                      <w:t>53</w:t>
                    </w:r>
                    <w:r>
                      <w:rPr>
                        <w:rStyle w:val="41"/>
                      </w:rPr>
                      <w:fldChar w:fldCharType="end"/>
                    </w:r>
                  </w:p>
                  <w:p w14:paraId="16B1A3C4">
                    <w:pPr>
                      <w:pStyle w:val="23"/>
                      <w:ind w:left="-4410" w:leftChars="-2100" w:right="-4439" w:rightChars="-2114"/>
                      <w:rPr>
                        <w:rStyle w:val="41"/>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FA551">
    <w:pPr>
      <w:pStyle w:val="2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E5C7BE8">
                          <w:pPr>
                            <w:pStyle w:val="23"/>
                            <w:jc w:val="center"/>
                            <w:rPr>
                              <w:rStyle w:val="41"/>
                            </w:rPr>
                          </w:pPr>
                          <w:r>
                            <w:rPr>
                              <w:rStyle w:val="41"/>
                            </w:rPr>
                            <w:fldChar w:fldCharType="begin"/>
                          </w:r>
                          <w:r>
                            <w:rPr>
                              <w:rStyle w:val="41"/>
                            </w:rPr>
                            <w:instrText xml:space="preserve">PAGE  </w:instrText>
                          </w:r>
                          <w:r>
                            <w:rPr>
                              <w:rStyle w:val="41"/>
                            </w:rPr>
                            <w:fldChar w:fldCharType="separate"/>
                          </w:r>
                          <w:r>
                            <w:rPr>
                              <w:rStyle w:val="41"/>
                            </w:rPr>
                            <w:t>61</w:t>
                          </w:r>
                          <w:r>
                            <w:rPr>
                              <w:rStyle w:val="41"/>
                            </w:rPr>
                            <w:fldChar w:fldCharType="end"/>
                          </w:r>
                        </w:p>
                        <w:p w14:paraId="273A64E4">
                          <w:pPr>
                            <w:pStyle w:val="23"/>
                            <w:ind w:left="-4410" w:leftChars="-2100" w:right="-4439" w:rightChars="-2114"/>
                            <w:rPr>
                              <w:rStyle w:val="41"/>
                            </w:rPr>
                          </w:pPr>
                        </w:p>
                      </w:txbxContent>
                    </wps:txbx>
                    <wps:bodyPr wrap="none" lIns="0" tIns="0" rIns="0" bIns="0" anchor="t" anchorCtr="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&#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pf2k9tUBAAC2AwAADgAAAAAAAAABACAAAAAf&#10;AQAAZHJzL2Uyb0RvYy54bWxQSwUGAAAAAAYABgBZAQAAZgUAAAAA&#10;">
              <v:fill on="f" focussize="0,0"/>
              <v:stroke on="f"/>
              <v:imagedata o:title=""/>
              <o:lock v:ext="edit" aspectratio="f"/>
              <v:textbox inset="0mm,0mm,0mm,0mm" style="mso-fit-shape-to-text:t;">
                <w:txbxContent>
                  <w:p w14:paraId="6E5C7BE8">
                    <w:pPr>
                      <w:pStyle w:val="23"/>
                      <w:jc w:val="center"/>
                      <w:rPr>
                        <w:rStyle w:val="41"/>
                      </w:rPr>
                    </w:pPr>
                    <w:r>
                      <w:rPr>
                        <w:rStyle w:val="41"/>
                      </w:rPr>
                      <w:fldChar w:fldCharType="begin"/>
                    </w:r>
                    <w:r>
                      <w:rPr>
                        <w:rStyle w:val="41"/>
                      </w:rPr>
                      <w:instrText xml:space="preserve">PAGE  </w:instrText>
                    </w:r>
                    <w:r>
                      <w:rPr>
                        <w:rStyle w:val="41"/>
                      </w:rPr>
                      <w:fldChar w:fldCharType="separate"/>
                    </w:r>
                    <w:r>
                      <w:rPr>
                        <w:rStyle w:val="41"/>
                      </w:rPr>
                      <w:t>61</w:t>
                    </w:r>
                    <w:r>
                      <w:rPr>
                        <w:rStyle w:val="41"/>
                      </w:rPr>
                      <w:fldChar w:fldCharType="end"/>
                    </w:r>
                  </w:p>
                  <w:p w14:paraId="273A64E4">
                    <w:pPr>
                      <w:pStyle w:val="23"/>
                      <w:ind w:left="-4410" w:leftChars="-2100" w:right="-4439" w:rightChars="-2114"/>
                      <w:rPr>
                        <w:rStyle w:val="41"/>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55081">
    <w:pPr>
      <w:pStyle w:val="24"/>
      <w:pBdr>
        <w:top w:val="none" w:color="auto" w:sz="0" w:space="1"/>
        <w:left w:val="none" w:color="auto" w:sz="0" w:space="4"/>
        <w:bottom w:val="none" w:color="auto" w:sz="0" w:space="1"/>
        <w:right w:val="none" w:color="auto" w:sz="0" w:space="4"/>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D3EF2">
    <w:pPr>
      <w:pStyle w:val="24"/>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C96EC">
    <w:pPr>
      <w:pStyle w:val="24"/>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FAB9D"/>
    <w:multiLevelType w:val="multilevel"/>
    <w:tmpl w:val="930FAB9D"/>
    <w:lvl w:ilvl="0" w:tentative="0">
      <w:start w:val="1"/>
      <w:numFmt w:val="decimal"/>
      <w:suff w:val="nothing"/>
      <w:lvlText w:val="（%1）"/>
      <w:lvlJc w:val="left"/>
      <w:pPr>
        <w:tabs>
          <w:tab w:val="left" w:pos="420"/>
        </w:tabs>
        <w:ind w:left="1080" w:hanging="720"/>
      </w:pPr>
      <w:rPr>
        <w:rFonts w:hint="default" w:ascii="Times New Roman" w:hAnsi="Times New Roman" w:cs="Times New Roman"/>
        <w:color w:val="000000"/>
      </w:rPr>
    </w:lvl>
    <w:lvl w:ilvl="1" w:tentative="0">
      <w:start w:val="1"/>
      <w:numFmt w:val="lowerLetter"/>
      <w:lvlText w:val="%2)"/>
      <w:lvlJc w:val="left"/>
      <w:pPr>
        <w:ind w:left="1200" w:hanging="420"/>
      </w:pPr>
      <w:rPr>
        <w:rFonts w:hint="default" w:ascii="Times New Roman" w:hAnsi="Times New Roman" w:cs="Times New Roman"/>
      </w:rPr>
    </w:lvl>
    <w:lvl w:ilvl="2" w:tentative="0">
      <w:start w:val="1"/>
      <w:numFmt w:val="lowerRoman"/>
      <w:lvlText w:val="%3."/>
      <w:lvlJc w:val="right"/>
      <w:pPr>
        <w:ind w:left="1620" w:hanging="420"/>
      </w:pPr>
      <w:rPr>
        <w:rFonts w:hint="default" w:ascii="Times New Roman" w:hAnsi="Times New Roman" w:cs="Times New Roman"/>
      </w:rPr>
    </w:lvl>
    <w:lvl w:ilvl="3" w:tentative="0">
      <w:start w:val="1"/>
      <w:numFmt w:val="decimal"/>
      <w:lvlText w:val="%4."/>
      <w:lvlJc w:val="left"/>
      <w:pPr>
        <w:ind w:left="2040" w:hanging="420"/>
      </w:pPr>
      <w:rPr>
        <w:rFonts w:hint="default" w:ascii="Times New Roman" w:hAnsi="Times New Roman" w:cs="Times New Roman"/>
      </w:rPr>
    </w:lvl>
    <w:lvl w:ilvl="4" w:tentative="0">
      <w:start w:val="1"/>
      <w:numFmt w:val="lowerLetter"/>
      <w:lvlText w:val="%5)"/>
      <w:lvlJc w:val="left"/>
      <w:pPr>
        <w:ind w:left="2460" w:hanging="420"/>
      </w:pPr>
      <w:rPr>
        <w:rFonts w:hint="default" w:ascii="Times New Roman" w:hAnsi="Times New Roman" w:cs="Times New Roman"/>
      </w:rPr>
    </w:lvl>
    <w:lvl w:ilvl="5" w:tentative="0">
      <w:start w:val="1"/>
      <w:numFmt w:val="lowerRoman"/>
      <w:lvlText w:val="%6."/>
      <w:lvlJc w:val="right"/>
      <w:pPr>
        <w:ind w:left="2880" w:hanging="420"/>
      </w:pPr>
      <w:rPr>
        <w:rFonts w:hint="default" w:ascii="Times New Roman" w:hAnsi="Times New Roman" w:cs="Times New Roman"/>
      </w:rPr>
    </w:lvl>
    <w:lvl w:ilvl="6" w:tentative="0">
      <w:start w:val="1"/>
      <w:numFmt w:val="decimal"/>
      <w:lvlText w:val="%7."/>
      <w:lvlJc w:val="left"/>
      <w:pPr>
        <w:ind w:left="3300" w:hanging="420"/>
      </w:pPr>
      <w:rPr>
        <w:rFonts w:hint="default" w:ascii="Times New Roman" w:hAnsi="Times New Roman" w:cs="Times New Roman"/>
      </w:rPr>
    </w:lvl>
    <w:lvl w:ilvl="7" w:tentative="0">
      <w:start w:val="1"/>
      <w:numFmt w:val="lowerLetter"/>
      <w:lvlText w:val="%8)"/>
      <w:lvlJc w:val="left"/>
      <w:pPr>
        <w:ind w:left="3720" w:hanging="420"/>
      </w:pPr>
      <w:rPr>
        <w:rFonts w:hint="default" w:ascii="Times New Roman" w:hAnsi="Times New Roman" w:cs="Times New Roman"/>
      </w:rPr>
    </w:lvl>
    <w:lvl w:ilvl="8" w:tentative="0">
      <w:start w:val="1"/>
      <w:numFmt w:val="lowerRoman"/>
      <w:lvlText w:val="%9."/>
      <w:lvlJc w:val="right"/>
      <w:pPr>
        <w:ind w:left="4140" w:hanging="420"/>
      </w:pPr>
      <w:rPr>
        <w:rFonts w:hint="default" w:ascii="Times New Roman" w:hAnsi="Times New Roman" w:cs="Times New Roman"/>
      </w:rPr>
    </w:lvl>
  </w:abstractNum>
  <w:abstractNum w:abstractNumId="1">
    <w:nsid w:val="AB729211"/>
    <w:multiLevelType w:val="singleLevel"/>
    <w:tmpl w:val="AB729211"/>
    <w:lvl w:ilvl="0" w:tentative="0">
      <w:start w:val="6"/>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7"/>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0053208E"/>
    <w:multiLevelType w:val="multilevel"/>
    <w:tmpl w:val="0053208E"/>
    <w:lvl w:ilvl="0" w:tentative="0">
      <w:start w:val="1"/>
      <w:numFmt w:val="chineseCountingThousand"/>
      <w:pStyle w:val="52"/>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5"/>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z w:val="28"/>
      </w:rPr>
    </w:lvl>
    <w:lvl w:ilvl="5" w:tentative="0">
      <w:start w:val="1"/>
      <w:numFmt w:val="decimal"/>
      <w:suff w:val="space"/>
      <w:lvlText w:val="1.1.1.1.1.%6%5"/>
      <w:lvlJc w:val="left"/>
      <w:rPr>
        <w:rFonts w:hint="eastAsia" w:ascii="宋体" w:eastAsia="宋体" w:cs="Times New Roman"/>
        <w:b/>
        <w:i w:val="0"/>
        <w:sz w:val="28"/>
      </w:rPr>
    </w:lvl>
    <w:lvl w:ilvl="6" w:tentative="0">
      <w:start w:val="1"/>
      <w:numFmt w:val="none"/>
      <w:pStyle w:val="8"/>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4">
    <w:nsid w:val="041D9BE4"/>
    <w:multiLevelType w:val="singleLevel"/>
    <w:tmpl w:val="041D9BE4"/>
    <w:lvl w:ilvl="0" w:tentative="0">
      <w:start w:val="6"/>
      <w:numFmt w:val="chineseCounting"/>
      <w:suff w:val="nothing"/>
      <w:lvlText w:val="（%1）"/>
      <w:lvlJc w:val="left"/>
      <w:rPr>
        <w:rFonts w:hint="eastAsia"/>
        <w:sz w:val="24"/>
        <w:szCs w:val="24"/>
      </w:rPr>
    </w:lvl>
  </w:abstractNum>
  <w:abstractNum w:abstractNumId="5">
    <w:nsid w:val="64916458"/>
    <w:multiLevelType w:val="multilevel"/>
    <w:tmpl w:val="64916458"/>
    <w:lvl w:ilvl="0" w:tentative="0">
      <w:start w:val="1"/>
      <w:numFmt w:val="decimal"/>
      <w:suff w:val="nothing"/>
      <w:lvlText w:val="%1、"/>
      <w:lvlJc w:val="left"/>
      <w:pPr>
        <w:tabs>
          <w:tab w:val="left" w:pos="420"/>
        </w:tabs>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420"/>
  <w:displayHorizontalDrawingGridEvery w:val="1"/>
  <w:displayVerticalDrawingGridEvery w:val="1"/>
  <w:noPunctuationKerning w:val="1"/>
  <w:characterSpacingControl w:val="doNotCompress"/>
  <w:endnotePr>
    <w:numFmt w:val="decimal"/>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yNTczMGU5OTZmYjFlZWViM2U4NmU5MDc0ZDU3OWYifQ=="/>
  </w:docVars>
  <w:rsids>
    <w:rsidRoot w:val="00815DF8"/>
    <w:rsid w:val="00032604"/>
    <w:rsid w:val="00090B80"/>
    <w:rsid w:val="00093B5E"/>
    <w:rsid w:val="000D017B"/>
    <w:rsid w:val="000D663B"/>
    <w:rsid w:val="000E743B"/>
    <w:rsid w:val="00112395"/>
    <w:rsid w:val="0011577E"/>
    <w:rsid w:val="00117E08"/>
    <w:rsid w:val="00121915"/>
    <w:rsid w:val="0012230E"/>
    <w:rsid w:val="001509B6"/>
    <w:rsid w:val="0019286B"/>
    <w:rsid w:val="001B11E2"/>
    <w:rsid w:val="001D5AD8"/>
    <w:rsid w:val="002120BB"/>
    <w:rsid w:val="00233977"/>
    <w:rsid w:val="00251922"/>
    <w:rsid w:val="00262184"/>
    <w:rsid w:val="002657E4"/>
    <w:rsid w:val="00287163"/>
    <w:rsid w:val="002B270E"/>
    <w:rsid w:val="002E5F6D"/>
    <w:rsid w:val="002F2BF8"/>
    <w:rsid w:val="00304B50"/>
    <w:rsid w:val="00342C9D"/>
    <w:rsid w:val="00365442"/>
    <w:rsid w:val="003701C5"/>
    <w:rsid w:val="00394845"/>
    <w:rsid w:val="003B7140"/>
    <w:rsid w:val="003F23E0"/>
    <w:rsid w:val="00420AA2"/>
    <w:rsid w:val="00420E7C"/>
    <w:rsid w:val="004A07B5"/>
    <w:rsid w:val="004A2C46"/>
    <w:rsid w:val="004A7E17"/>
    <w:rsid w:val="004B2BCF"/>
    <w:rsid w:val="004C2635"/>
    <w:rsid w:val="004C2D8B"/>
    <w:rsid w:val="005168CE"/>
    <w:rsid w:val="005254F4"/>
    <w:rsid w:val="005321C7"/>
    <w:rsid w:val="00555052"/>
    <w:rsid w:val="005947B9"/>
    <w:rsid w:val="005C5F90"/>
    <w:rsid w:val="005D718E"/>
    <w:rsid w:val="00620B67"/>
    <w:rsid w:val="00621515"/>
    <w:rsid w:val="006B0419"/>
    <w:rsid w:val="00701853"/>
    <w:rsid w:val="007254EB"/>
    <w:rsid w:val="00750608"/>
    <w:rsid w:val="0077115B"/>
    <w:rsid w:val="00802C75"/>
    <w:rsid w:val="00804532"/>
    <w:rsid w:val="00815DF8"/>
    <w:rsid w:val="00823352"/>
    <w:rsid w:val="008351E0"/>
    <w:rsid w:val="008826B4"/>
    <w:rsid w:val="008827D3"/>
    <w:rsid w:val="008B393E"/>
    <w:rsid w:val="008C033B"/>
    <w:rsid w:val="00922203"/>
    <w:rsid w:val="00922583"/>
    <w:rsid w:val="009966CF"/>
    <w:rsid w:val="0099742D"/>
    <w:rsid w:val="009B35F5"/>
    <w:rsid w:val="009D4E31"/>
    <w:rsid w:val="009D7C30"/>
    <w:rsid w:val="00A01C77"/>
    <w:rsid w:val="00A10A3D"/>
    <w:rsid w:val="00A36487"/>
    <w:rsid w:val="00A73B6D"/>
    <w:rsid w:val="00AA36FC"/>
    <w:rsid w:val="00AB751C"/>
    <w:rsid w:val="00AF2C34"/>
    <w:rsid w:val="00AF402C"/>
    <w:rsid w:val="00AF5C72"/>
    <w:rsid w:val="00AF74B8"/>
    <w:rsid w:val="00B17657"/>
    <w:rsid w:val="00B35C23"/>
    <w:rsid w:val="00B36995"/>
    <w:rsid w:val="00B625AF"/>
    <w:rsid w:val="00BE65E4"/>
    <w:rsid w:val="00C3671B"/>
    <w:rsid w:val="00C4723E"/>
    <w:rsid w:val="00C47A24"/>
    <w:rsid w:val="00C635EA"/>
    <w:rsid w:val="00C72903"/>
    <w:rsid w:val="00C7315E"/>
    <w:rsid w:val="00CC10A3"/>
    <w:rsid w:val="00CE7115"/>
    <w:rsid w:val="00D3007C"/>
    <w:rsid w:val="00D353D8"/>
    <w:rsid w:val="00D46D16"/>
    <w:rsid w:val="00D71637"/>
    <w:rsid w:val="00D733BA"/>
    <w:rsid w:val="00D93256"/>
    <w:rsid w:val="00DA0494"/>
    <w:rsid w:val="00DB5F94"/>
    <w:rsid w:val="00DD2DA7"/>
    <w:rsid w:val="00E22F41"/>
    <w:rsid w:val="00E31CC4"/>
    <w:rsid w:val="00E355C2"/>
    <w:rsid w:val="00E375A4"/>
    <w:rsid w:val="00E618DC"/>
    <w:rsid w:val="00EE610C"/>
    <w:rsid w:val="00F25022"/>
    <w:rsid w:val="00F440CD"/>
    <w:rsid w:val="00F4478A"/>
    <w:rsid w:val="00F67CE9"/>
    <w:rsid w:val="00F93D8A"/>
    <w:rsid w:val="00F95428"/>
    <w:rsid w:val="00FB0D5C"/>
    <w:rsid w:val="00FB21C6"/>
    <w:rsid w:val="00FD5B38"/>
    <w:rsid w:val="00FE61A4"/>
    <w:rsid w:val="01211D5D"/>
    <w:rsid w:val="013B024D"/>
    <w:rsid w:val="02123437"/>
    <w:rsid w:val="028C773C"/>
    <w:rsid w:val="02C06E06"/>
    <w:rsid w:val="04352637"/>
    <w:rsid w:val="04FE7B62"/>
    <w:rsid w:val="05095105"/>
    <w:rsid w:val="0550738F"/>
    <w:rsid w:val="058A1D66"/>
    <w:rsid w:val="06036982"/>
    <w:rsid w:val="065737FA"/>
    <w:rsid w:val="0668216A"/>
    <w:rsid w:val="066C6FCD"/>
    <w:rsid w:val="06B33565"/>
    <w:rsid w:val="079051B7"/>
    <w:rsid w:val="08822875"/>
    <w:rsid w:val="095D5564"/>
    <w:rsid w:val="0A157486"/>
    <w:rsid w:val="0A241177"/>
    <w:rsid w:val="0A2548FD"/>
    <w:rsid w:val="0A5926E3"/>
    <w:rsid w:val="0A9A2CF5"/>
    <w:rsid w:val="0AFF7745"/>
    <w:rsid w:val="0B6A173A"/>
    <w:rsid w:val="0BE62A2F"/>
    <w:rsid w:val="0E9C279A"/>
    <w:rsid w:val="0EBC0FF7"/>
    <w:rsid w:val="0EC408A1"/>
    <w:rsid w:val="0FD61908"/>
    <w:rsid w:val="10E75871"/>
    <w:rsid w:val="11211EFD"/>
    <w:rsid w:val="11751D03"/>
    <w:rsid w:val="12B46931"/>
    <w:rsid w:val="12C66CAB"/>
    <w:rsid w:val="16541D04"/>
    <w:rsid w:val="165F72FD"/>
    <w:rsid w:val="17212AC5"/>
    <w:rsid w:val="17623C7F"/>
    <w:rsid w:val="193726FE"/>
    <w:rsid w:val="19C75764"/>
    <w:rsid w:val="1A5A6752"/>
    <w:rsid w:val="1AB32A73"/>
    <w:rsid w:val="1AFE05D6"/>
    <w:rsid w:val="1BD47334"/>
    <w:rsid w:val="1BEE4E10"/>
    <w:rsid w:val="1BFC740E"/>
    <w:rsid w:val="1C787E42"/>
    <w:rsid w:val="1CFC7225"/>
    <w:rsid w:val="1D4A7B7A"/>
    <w:rsid w:val="1D784BCD"/>
    <w:rsid w:val="1D8A0255"/>
    <w:rsid w:val="1E52514A"/>
    <w:rsid w:val="1FFBEC16"/>
    <w:rsid w:val="2040430C"/>
    <w:rsid w:val="225A1C31"/>
    <w:rsid w:val="241500D3"/>
    <w:rsid w:val="24AE2548"/>
    <w:rsid w:val="25515E04"/>
    <w:rsid w:val="255D565D"/>
    <w:rsid w:val="256348FE"/>
    <w:rsid w:val="267C6B2D"/>
    <w:rsid w:val="26876F7C"/>
    <w:rsid w:val="269845FA"/>
    <w:rsid w:val="26A936A7"/>
    <w:rsid w:val="2744079A"/>
    <w:rsid w:val="275E5342"/>
    <w:rsid w:val="28414686"/>
    <w:rsid w:val="28FD22A7"/>
    <w:rsid w:val="297026D4"/>
    <w:rsid w:val="299F0D59"/>
    <w:rsid w:val="2B01621D"/>
    <w:rsid w:val="2BFC3EB7"/>
    <w:rsid w:val="2BFE519F"/>
    <w:rsid w:val="2CD95E24"/>
    <w:rsid w:val="2D4115C7"/>
    <w:rsid w:val="2DA6672A"/>
    <w:rsid w:val="30132520"/>
    <w:rsid w:val="3023147B"/>
    <w:rsid w:val="303E6F50"/>
    <w:rsid w:val="3069553F"/>
    <w:rsid w:val="307F1EDD"/>
    <w:rsid w:val="328024AF"/>
    <w:rsid w:val="33234BF4"/>
    <w:rsid w:val="33435756"/>
    <w:rsid w:val="3376157A"/>
    <w:rsid w:val="33A31678"/>
    <w:rsid w:val="346D29FD"/>
    <w:rsid w:val="34F52A80"/>
    <w:rsid w:val="3532429A"/>
    <w:rsid w:val="35478F88"/>
    <w:rsid w:val="3693EF25"/>
    <w:rsid w:val="378828AA"/>
    <w:rsid w:val="38B94941"/>
    <w:rsid w:val="38EA6FCF"/>
    <w:rsid w:val="393B6679"/>
    <w:rsid w:val="3A582F7D"/>
    <w:rsid w:val="3D7A1121"/>
    <w:rsid w:val="3D942694"/>
    <w:rsid w:val="3DBF734A"/>
    <w:rsid w:val="3F9777FE"/>
    <w:rsid w:val="3FA467A3"/>
    <w:rsid w:val="3FBDECEA"/>
    <w:rsid w:val="41562AF9"/>
    <w:rsid w:val="41C537DA"/>
    <w:rsid w:val="41D71620"/>
    <w:rsid w:val="4233786B"/>
    <w:rsid w:val="423B584A"/>
    <w:rsid w:val="42B2428F"/>
    <w:rsid w:val="433E1A96"/>
    <w:rsid w:val="43467E81"/>
    <w:rsid w:val="43D67D0D"/>
    <w:rsid w:val="43FA784C"/>
    <w:rsid w:val="44917C69"/>
    <w:rsid w:val="44F462AF"/>
    <w:rsid w:val="45824330"/>
    <w:rsid w:val="45B63BF6"/>
    <w:rsid w:val="45DB35CC"/>
    <w:rsid w:val="46DA20C6"/>
    <w:rsid w:val="476D2C13"/>
    <w:rsid w:val="47E10C42"/>
    <w:rsid w:val="47FFBE15"/>
    <w:rsid w:val="48377CAA"/>
    <w:rsid w:val="49F44856"/>
    <w:rsid w:val="4A37709B"/>
    <w:rsid w:val="4AC82401"/>
    <w:rsid w:val="4B676B09"/>
    <w:rsid w:val="4BF13C38"/>
    <w:rsid w:val="4C043EC5"/>
    <w:rsid w:val="4D25749E"/>
    <w:rsid w:val="4DB841F3"/>
    <w:rsid w:val="4E0730E1"/>
    <w:rsid w:val="4E531842"/>
    <w:rsid w:val="4EA6000A"/>
    <w:rsid w:val="4EFF079E"/>
    <w:rsid w:val="4EFF70CF"/>
    <w:rsid w:val="4FAD686B"/>
    <w:rsid w:val="4FBB6A71"/>
    <w:rsid w:val="4FDF90F7"/>
    <w:rsid w:val="514F2B6A"/>
    <w:rsid w:val="51810ACE"/>
    <w:rsid w:val="51C14498"/>
    <w:rsid w:val="533BF97E"/>
    <w:rsid w:val="5356235B"/>
    <w:rsid w:val="53855DED"/>
    <w:rsid w:val="538F4A5D"/>
    <w:rsid w:val="539810EC"/>
    <w:rsid w:val="53EB5322"/>
    <w:rsid w:val="549F21E3"/>
    <w:rsid w:val="559C6109"/>
    <w:rsid w:val="560E36BE"/>
    <w:rsid w:val="56770197"/>
    <w:rsid w:val="57BF018F"/>
    <w:rsid w:val="57C9612B"/>
    <w:rsid w:val="586D0C1F"/>
    <w:rsid w:val="59A90493"/>
    <w:rsid w:val="59A92040"/>
    <w:rsid w:val="59C2766B"/>
    <w:rsid w:val="5A7A28ED"/>
    <w:rsid w:val="5AC22789"/>
    <w:rsid w:val="5B046DA0"/>
    <w:rsid w:val="5C484871"/>
    <w:rsid w:val="5E3DCA75"/>
    <w:rsid w:val="5E835C04"/>
    <w:rsid w:val="5F17145F"/>
    <w:rsid w:val="5FD309DE"/>
    <w:rsid w:val="60ED46EB"/>
    <w:rsid w:val="610C68D8"/>
    <w:rsid w:val="61554209"/>
    <w:rsid w:val="61D06D08"/>
    <w:rsid w:val="627B096C"/>
    <w:rsid w:val="630418BD"/>
    <w:rsid w:val="63416A5B"/>
    <w:rsid w:val="644F7415"/>
    <w:rsid w:val="647C2100"/>
    <w:rsid w:val="64DA1BAE"/>
    <w:rsid w:val="651A53E4"/>
    <w:rsid w:val="65277B07"/>
    <w:rsid w:val="6647478D"/>
    <w:rsid w:val="665E5B82"/>
    <w:rsid w:val="677E2BD3"/>
    <w:rsid w:val="67DF1C2A"/>
    <w:rsid w:val="682D1817"/>
    <w:rsid w:val="683574B1"/>
    <w:rsid w:val="68970E93"/>
    <w:rsid w:val="69C66C5A"/>
    <w:rsid w:val="6A502C67"/>
    <w:rsid w:val="6A9811DC"/>
    <w:rsid w:val="6AA42F83"/>
    <w:rsid w:val="6AD30444"/>
    <w:rsid w:val="6B063CC1"/>
    <w:rsid w:val="6BDA5A5F"/>
    <w:rsid w:val="6BFBF6BC"/>
    <w:rsid w:val="6C135F43"/>
    <w:rsid w:val="6C3167E1"/>
    <w:rsid w:val="6CC175AC"/>
    <w:rsid w:val="6D4114A9"/>
    <w:rsid w:val="6D806684"/>
    <w:rsid w:val="6DBF5CA3"/>
    <w:rsid w:val="6DFF5CDE"/>
    <w:rsid w:val="6E1E26FC"/>
    <w:rsid w:val="6E896269"/>
    <w:rsid w:val="6E8B30C2"/>
    <w:rsid w:val="6F002E86"/>
    <w:rsid w:val="6F68D98B"/>
    <w:rsid w:val="6FFA4E50"/>
    <w:rsid w:val="71492738"/>
    <w:rsid w:val="723712A1"/>
    <w:rsid w:val="72D80D10"/>
    <w:rsid w:val="731068D5"/>
    <w:rsid w:val="75615C16"/>
    <w:rsid w:val="75BE7250"/>
    <w:rsid w:val="76E65C25"/>
    <w:rsid w:val="76F16400"/>
    <w:rsid w:val="77014F28"/>
    <w:rsid w:val="77581658"/>
    <w:rsid w:val="77BE383C"/>
    <w:rsid w:val="77EA3F98"/>
    <w:rsid w:val="77FC00B0"/>
    <w:rsid w:val="784B46B6"/>
    <w:rsid w:val="788D1300"/>
    <w:rsid w:val="78B266C3"/>
    <w:rsid w:val="78D50F9C"/>
    <w:rsid w:val="78FFB284"/>
    <w:rsid w:val="793122E3"/>
    <w:rsid w:val="799579C2"/>
    <w:rsid w:val="79AB62C8"/>
    <w:rsid w:val="79C902CE"/>
    <w:rsid w:val="79FE101D"/>
    <w:rsid w:val="7A2C2373"/>
    <w:rsid w:val="7A9852CC"/>
    <w:rsid w:val="7AB33669"/>
    <w:rsid w:val="7B2335C6"/>
    <w:rsid w:val="7B33D03A"/>
    <w:rsid w:val="7B3CA780"/>
    <w:rsid w:val="7BFF0D67"/>
    <w:rsid w:val="7CF786E3"/>
    <w:rsid w:val="7D0067A0"/>
    <w:rsid w:val="7D0B2A10"/>
    <w:rsid w:val="7D1C7E25"/>
    <w:rsid w:val="7D3B71A2"/>
    <w:rsid w:val="7D7124F6"/>
    <w:rsid w:val="7D7E8474"/>
    <w:rsid w:val="7DC7C1B7"/>
    <w:rsid w:val="7DDF6579"/>
    <w:rsid w:val="7E5931C1"/>
    <w:rsid w:val="7F2EE2FA"/>
    <w:rsid w:val="7F81A644"/>
    <w:rsid w:val="7FB34A90"/>
    <w:rsid w:val="7FFE5923"/>
    <w:rsid w:val="7FFEC436"/>
    <w:rsid w:val="7FFFA09E"/>
    <w:rsid w:val="9CFE25CC"/>
    <w:rsid w:val="A4D950A8"/>
    <w:rsid w:val="A7EA1125"/>
    <w:rsid w:val="AB7F1FC5"/>
    <w:rsid w:val="ABDF548D"/>
    <w:rsid w:val="B3FFCD42"/>
    <w:rsid w:val="B53D52EE"/>
    <w:rsid w:val="BBFF9A4D"/>
    <w:rsid w:val="BCA1C074"/>
    <w:rsid w:val="BDF97122"/>
    <w:rsid w:val="BF75BB37"/>
    <w:rsid w:val="BFFFD33E"/>
    <w:rsid w:val="CFF1ED8D"/>
    <w:rsid w:val="D1FDD423"/>
    <w:rsid w:val="DB67A0BB"/>
    <w:rsid w:val="DDFFEDCA"/>
    <w:rsid w:val="DFBE08DA"/>
    <w:rsid w:val="EA97EF6B"/>
    <w:rsid w:val="EB92039D"/>
    <w:rsid w:val="EEFFD9FF"/>
    <w:rsid w:val="EFFEAAC9"/>
    <w:rsid w:val="F39EED21"/>
    <w:rsid w:val="F5BE2890"/>
    <w:rsid w:val="F5EF42B8"/>
    <w:rsid w:val="F657F0D6"/>
    <w:rsid w:val="F756BB45"/>
    <w:rsid w:val="FB3EBCFD"/>
    <w:rsid w:val="FBFCAB45"/>
    <w:rsid w:val="FBFD8E39"/>
    <w:rsid w:val="FCBE5F61"/>
    <w:rsid w:val="FDF82493"/>
    <w:rsid w:val="FF3D71E3"/>
    <w:rsid w:val="FFEFC4DE"/>
    <w:rsid w:val="FFFF3B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19"/>
    <w:qFormat/>
    <w:uiPriority w:val="0"/>
    <w:pPr>
      <w:keepNext/>
      <w:keepLines/>
      <w:spacing w:after="120" w:line="360" w:lineRule="auto"/>
      <w:outlineLvl w:val="0"/>
    </w:pPr>
    <w:rPr>
      <w:kern w:val="44"/>
      <w:sz w:val="28"/>
      <w:szCs w:val="28"/>
    </w:rPr>
  </w:style>
  <w:style w:type="paragraph" w:styleId="2">
    <w:name w:val="heading 2"/>
    <w:basedOn w:val="1"/>
    <w:next w:val="1"/>
    <w:link w:val="77"/>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4">
    <w:name w:val="heading 3"/>
    <w:basedOn w:val="1"/>
    <w:next w:val="1"/>
    <w:link w:val="71"/>
    <w:qFormat/>
    <w:uiPriority w:val="0"/>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78"/>
    <w:qFormat/>
    <w:uiPriority w:val="0"/>
    <w:pPr>
      <w:keepNext/>
      <w:keepLines/>
      <w:numPr>
        <w:ilvl w:val="3"/>
        <w:numId w:val="1"/>
      </w:numPr>
      <w:spacing w:beforeLines="50" w:afterLines="50" w:line="360" w:lineRule="auto"/>
      <w:outlineLvl w:val="3"/>
    </w:pPr>
    <w:rPr>
      <w:rFonts w:ascii="Arial" w:hAnsi="Arial"/>
      <w:color w:val="000000"/>
      <w:szCs w:val="21"/>
    </w:rPr>
  </w:style>
  <w:style w:type="paragraph" w:styleId="6">
    <w:name w:val="heading 5"/>
    <w:basedOn w:val="1"/>
    <w:next w:val="1"/>
    <w:link w:val="79"/>
    <w:qFormat/>
    <w:uiPriority w:val="0"/>
    <w:pPr>
      <w:numPr>
        <w:ilvl w:val="4"/>
        <w:numId w:val="0"/>
      </w:numPr>
      <w:spacing w:line="240" w:lineRule="exact"/>
      <w:outlineLvl w:val="4"/>
    </w:pPr>
  </w:style>
  <w:style w:type="paragraph" w:styleId="7">
    <w:name w:val="heading 6"/>
    <w:basedOn w:val="1"/>
    <w:next w:val="1"/>
    <w:link w:val="80"/>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8">
    <w:name w:val="heading 7"/>
    <w:basedOn w:val="1"/>
    <w:next w:val="9"/>
    <w:link w:val="81"/>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9"/>
    <w:link w:val="82"/>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9"/>
    <w:link w:val="83"/>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next w:val="1"/>
    <w:qFormat/>
    <w:uiPriority w:val="0"/>
    <w:pPr>
      <w:ind w:firstLine="420"/>
    </w:pPr>
    <w:rPr>
      <w:rFonts w:ascii="Times New Roman" w:hAnsi="Times New Roman"/>
      <w:szCs w:val="20"/>
    </w:rPr>
  </w:style>
  <w:style w:type="paragraph" w:styleId="12">
    <w:name w:val="Document Map"/>
    <w:basedOn w:val="1"/>
    <w:link w:val="95"/>
    <w:qFormat/>
    <w:uiPriority w:val="0"/>
    <w:pPr>
      <w:shd w:val="clear" w:color="auto" w:fill="000080"/>
    </w:pPr>
    <w:rPr>
      <w:rFonts w:ascii="Times New Roman" w:hAnsi="Times New Roman"/>
      <w:szCs w:val="20"/>
    </w:rPr>
  </w:style>
  <w:style w:type="paragraph" w:styleId="13">
    <w:name w:val="annotation text"/>
    <w:basedOn w:val="1"/>
    <w:link w:val="109"/>
    <w:qFormat/>
    <w:uiPriority w:val="99"/>
    <w:pPr>
      <w:spacing w:line="360" w:lineRule="auto"/>
      <w:ind w:firstLine="523" w:firstLineChars="218"/>
      <w:jc w:val="left"/>
      <w:pPrChange w:id="0" w:author="JL 李" w:date="2024-01-24T11:39:00Z">
        <w:pPr>
          <w:widowControl w:val="0"/>
          <w:spacing w:line="360" w:lineRule="auto"/>
          <w:ind w:firstLine="523" w:firstLineChars="218"/>
        </w:pPr>
      </w:pPrChange>
    </w:pPr>
    <w:rPr>
      <w:rFonts w:ascii="宋体" w:hAnsi="宋体"/>
      <w:sz w:val="24"/>
      <w:szCs w:val="24"/>
      <w:rPrChange w:id="1" w:author="JL 李" w:date="2024-01-24T11:39:00Z">
        <w:rPr>
          <w:rFonts w:ascii="宋体" w:hAnsi="宋体" w:eastAsia="宋体"/>
          <w:kern w:val="2"/>
          <w:sz w:val="24"/>
          <w:szCs w:val="24"/>
          <w:lang w:val="en-US" w:eastAsia="zh-CN" w:bidi="ar-SA"/>
        </w:rPr>
      </w:rPrChange>
    </w:rPr>
  </w:style>
  <w:style w:type="paragraph" w:styleId="14">
    <w:name w:val="Body Text"/>
    <w:basedOn w:val="1"/>
    <w:next w:val="1"/>
    <w:link w:val="87"/>
    <w:qFormat/>
    <w:uiPriority w:val="0"/>
    <w:pPr>
      <w:spacing w:after="120"/>
    </w:pPr>
    <w:rPr>
      <w:rFonts w:ascii="Times New Roman" w:hAnsi="Times New Roman"/>
      <w:szCs w:val="20"/>
    </w:rPr>
  </w:style>
  <w:style w:type="paragraph" w:styleId="15">
    <w:name w:val="Body Text Indent"/>
    <w:basedOn w:val="1"/>
    <w:next w:val="16"/>
    <w:link w:val="93"/>
    <w:qFormat/>
    <w:uiPriority w:val="0"/>
    <w:pPr>
      <w:ind w:firstLine="570"/>
    </w:pPr>
    <w:rPr>
      <w:rFonts w:ascii="Times New Roman" w:hAnsi="Times New Roman"/>
      <w:sz w:val="28"/>
      <w:szCs w:val="20"/>
    </w:rPr>
  </w:style>
  <w:style w:type="paragraph" w:styleId="16">
    <w:name w:val="envelope return"/>
    <w:basedOn w:val="1"/>
    <w:qFormat/>
    <w:uiPriority w:val="0"/>
    <w:pPr>
      <w:snapToGrid w:val="0"/>
    </w:pPr>
    <w:rPr>
      <w:rFonts w:ascii="Arial" w:hAnsi="Arial"/>
      <w:szCs w:val="24"/>
    </w:rPr>
  </w:style>
  <w:style w:type="paragraph" w:styleId="17">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8">
    <w:name w:val="Plain Text"/>
    <w:basedOn w:val="1"/>
    <w:next w:val="1"/>
    <w:link w:val="97"/>
    <w:qFormat/>
    <w:uiPriority w:val="0"/>
    <w:rPr>
      <w:rFonts w:ascii="宋体" w:hAnsi="Courier New"/>
      <w:szCs w:val="20"/>
    </w:rPr>
  </w:style>
  <w:style w:type="paragraph" w:styleId="19">
    <w:name w:val="Date"/>
    <w:basedOn w:val="1"/>
    <w:next w:val="1"/>
    <w:link w:val="91"/>
    <w:qFormat/>
    <w:uiPriority w:val="0"/>
    <w:rPr>
      <w:rFonts w:ascii="Times New Roman" w:hAnsi="Times New Roman"/>
      <w:szCs w:val="20"/>
    </w:rPr>
  </w:style>
  <w:style w:type="paragraph" w:styleId="20">
    <w:name w:val="Body Text Indent 2"/>
    <w:basedOn w:val="1"/>
    <w:link w:val="99"/>
    <w:qFormat/>
    <w:uiPriority w:val="0"/>
    <w:pPr>
      <w:spacing w:line="400" w:lineRule="exact"/>
      <w:ind w:left="425"/>
    </w:pPr>
    <w:rPr>
      <w:rFonts w:ascii="Times New Roman" w:hAnsi="Times New Roman"/>
      <w:color w:val="000000"/>
      <w:sz w:val="24"/>
      <w:szCs w:val="20"/>
    </w:rPr>
  </w:style>
  <w:style w:type="paragraph" w:styleId="21">
    <w:name w:val="endnote text"/>
    <w:basedOn w:val="1"/>
    <w:link w:val="105"/>
    <w:qFormat/>
    <w:uiPriority w:val="0"/>
    <w:pPr>
      <w:snapToGrid w:val="0"/>
      <w:jc w:val="left"/>
    </w:pPr>
    <w:rPr>
      <w:rFonts w:ascii="Times New Roman" w:hAnsi="Times New Roman"/>
      <w:szCs w:val="20"/>
    </w:rPr>
  </w:style>
  <w:style w:type="paragraph" w:styleId="22">
    <w:name w:val="Balloon Text"/>
    <w:basedOn w:val="1"/>
    <w:link w:val="107"/>
    <w:qFormat/>
    <w:uiPriority w:val="0"/>
    <w:rPr>
      <w:rFonts w:ascii="Times New Roman" w:hAnsi="Times New Roman"/>
      <w:sz w:val="18"/>
      <w:szCs w:val="18"/>
    </w:rPr>
  </w:style>
  <w:style w:type="paragraph" w:styleId="23">
    <w:name w:val="footer"/>
    <w:basedOn w:val="1"/>
    <w:link w:val="75"/>
    <w:qFormat/>
    <w:uiPriority w:val="0"/>
    <w:pPr>
      <w:tabs>
        <w:tab w:val="center" w:pos="4153"/>
        <w:tab w:val="right" w:pos="8306"/>
      </w:tabs>
      <w:snapToGrid w:val="0"/>
      <w:jc w:val="left"/>
    </w:pPr>
    <w:rPr>
      <w:sz w:val="18"/>
      <w:szCs w:val="18"/>
    </w:rPr>
  </w:style>
  <w:style w:type="paragraph" w:styleId="24">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6">
    <w:name w:val="footnote text"/>
    <w:basedOn w:val="1"/>
    <w:link w:val="111"/>
    <w:qFormat/>
    <w:uiPriority w:val="0"/>
    <w:pPr>
      <w:snapToGrid w:val="0"/>
      <w:spacing w:line="360" w:lineRule="auto"/>
      <w:ind w:firstLine="523" w:firstLineChars="218"/>
      <w:jc w:val="left"/>
    </w:pPr>
    <w:rPr>
      <w:rFonts w:ascii="宋体" w:hAnsi="宋体"/>
      <w:sz w:val="18"/>
      <w:szCs w:val="18"/>
    </w:rPr>
  </w:style>
  <w:style w:type="paragraph" w:styleId="27">
    <w:name w:val="Body Text Indent 3"/>
    <w:basedOn w:val="1"/>
    <w:link w:val="101"/>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8">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9">
    <w:name w:val="Body Text 2"/>
    <w:basedOn w:val="1"/>
    <w:link w:val="103"/>
    <w:qFormat/>
    <w:uiPriority w:val="0"/>
    <w:rPr>
      <w:rFonts w:ascii="宋体" w:hAnsi="宋体"/>
      <w:szCs w:val="24"/>
      <w:u w:val="single"/>
    </w:rPr>
  </w:style>
  <w:style w:type="paragraph" w:styleId="30">
    <w:name w:val="Normal (Web)"/>
    <w:basedOn w:val="1"/>
    <w:qFormat/>
    <w:uiPriority w:val="0"/>
    <w:pPr>
      <w:widowControl/>
      <w:spacing w:before="100" w:beforeAutospacing="1" w:after="100" w:afterAutospacing="1"/>
      <w:jc w:val="left"/>
    </w:pPr>
    <w:rPr>
      <w:rFonts w:ascii="宋体" w:hAnsi="宋体"/>
      <w:kern w:val="0"/>
      <w:sz w:val="24"/>
    </w:rPr>
  </w:style>
  <w:style w:type="paragraph" w:styleId="31">
    <w:name w:val="index 1"/>
    <w:basedOn w:val="1"/>
    <w:next w:val="1"/>
    <w:qFormat/>
    <w:uiPriority w:val="0"/>
    <w:rPr>
      <w:rFonts w:ascii="Times New Roman" w:hAnsi="Times New Roman" w:eastAsia="仿宋_GB2312"/>
      <w:sz w:val="28"/>
      <w:szCs w:val="20"/>
    </w:rPr>
  </w:style>
  <w:style w:type="paragraph" w:styleId="32">
    <w:name w:val="Title"/>
    <w:basedOn w:val="1"/>
    <w:link w:val="85"/>
    <w:qFormat/>
    <w:uiPriority w:val="0"/>
    <w:pPr>
      <w:spacing w:before="120" w:after="60"/>
      <w:jc w:val="center"/>
    </w:pPr>
    <w:rPr>
      <w:rFonts w:ascii="Arial" w:hAnsi="Arial"/>
      <w:b/>
      <w:sz w:val="44"/>
      <w:szCs w:val="20"/>
    </w:rPr>
  </w:style>
  <w:style w:type="paragraph" w:styleId="33">
    <w:name w:val="annotation subject"/>
    <w:basedOn w:val="13"/>
    <w:next w:val="13"/>
    <w:link w:val="113"/>
    <w:qFormat/>
    <w:uiPriority w:val="0"/>
    <w:rPr>
      <w:b/>
      <w:bCs/>
    </w:rPr>
  </w:style>
  <w:style w:type="paragraph" w:styleId="34">
    <w:name w:val="Body Text First Indent"/>
    <w:basedOn w:val="14"/>
    <w:link w:val="89"/>
    <w:qFormat/>
    <w:uiPriority w:val="0"/>
    <w:pPr>
      <w:ind w:firstLine="420"/>
    </w:pPr>
  </w:style>
  <w:style w:type="paragraph" w:styleId="35">
    <w:name w:val="Body Text First Indent 2"/>
    <w:basedOn w:val="15"/>
    <w:qFormat/>
    <w:uiPriority w:val="0"/>
    <w:pPr>
      <w:spacing w:after="120"/>
      <w:ind w:firstLine="0"/>
      <w:pPrChange w:id="2" w:author="JL 李" w:date="2024-01-24T11:42:00Z">
        <w:pPr>
          <w:widowControl w:val="0"/>
          <w:spacing w:after="120"/>
          <w:ind w:left="200" w:leftChars="200" w:firstLine="200" w:firstLineChars="200"/>
          <w:jc w:val="both"/>
        </w:pPr>
      </w:pPrChange>
    </w:pPr>
    <w:rPr>
      <w:rFonts w:ascii="Calibri" w:hAnsi="Calibri"/>
      <w:sz w:val="21"/>
      <w:szCs w:val="24"/>
      <w:rPrChange w:id="3" w:author="JL 李" w:date="2024-01-24T11:42:00Z">
        <w:rPr>
          <w:rFonts w:ascii="Calibri" w:hAnsi="Calibri" w:eastAsia="宋体"/>
          <w:kern w:val="2"/>
          <w:sz w:val="21"/>
          <w:szCs w:val="24"/>
          <w:lang w:val="en-US" w:eastAsia="zh-CN" w:bidi="ar-SA"/>
        </w:rPr>
      </w:rPrChange>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rPr>
  </w:style>
  <w:style w:type="character" w:styleId="40">
    <w:name w:val="endnote reference"/>
    <w:qFormat/>
    <w:uiPriority w:val="0"/>
    <w:rPr>
      <w:vertAlign w:val="superscript"/>
    </w:rPr>
  </w:style>
  <w:style w:type="character" w:styleId="41">
    <w:name w:val="page number"/>
    <w:qFormat/>
    <w:uiPriority w:val="0"/>
    <w:rPr>
      <w:rFonts w:cs="Times New Roman"/>
    </w:rPr>
  </w:style>
  <w:style w:type="character" w:styleId="42">
    <w:name w:val="FollowedHyperlink"/>
    <w:qFormat/>
    <w:uiPriority w:val="99"/>
    <w:rPr>
      <w:color w:val="954F72"/>
      <w:u w:val="single"/>
    </w:rPr>
  </w:style>
  <w:style w:type="character" w:styleId="43">
    <w:name w:val="Hyperlink"/>
    <w:basedOn w:val="38"/>
    <w:qFormat/>
    <w:uiPriority w:val="99"/>
    <w:rPr>
      <w:color w:val="0000FF"/>
      <w:u w:val="single"/>
    </w:rPr>
  </w:style>
  <w:style w:type="character" w:styleId="44">
    <w:name w:val="annotation reference"/>
    <w:qFormat/>
    <w:uiPriority w:val="99"/>
    <w:rPr>
      <w:sz w:val="21"/>
      <w:szCs w:val="21"/>
    </w:rPr>
  </w:style>
  <w:style w:type="character" w:styleId="45">
    <w:name w:val="footnote reference"/>
    <w:qFormat/>
    <w:uiPriority w:val="0"/>
    <w:rPr>
      <w:vertAlign w:val="superscript"/>
    </w:rPr>
  </w:style>
  <w:style w:type="paragraph" w:customStyle="1" w:styleId="46">
    <w:name w:val="正文正"/>
    <w:basedOn w:val="1"/>
    <w:qFormat/>
    <w:uiPriority w:val="0"/>
    <w:pPr>
      <w:spacing w:line="560" w:lineRule="exact"/>
      <w:ind w:firstLine="561"/>
    </w:pPr>
    <w:rPr>
      <w:rFonts w:eastAsia="仿宋_GB2312"/>
      <w:sz w:val="28"/>
    </w:rPr>
  </w:style>
  <w:style w:type="paragraph" w:customStyle="1" w:styleId="47">
    <w:name w:val="PlainText"/>
    <w:basedOn w:val="1"/>
    <w:qFormat/>
    <w:uiPriority w:val="0"/>
    <w:rPr>
      <w:rFonts w:ascii="宋体" w:hAnsi="Courier New"/>
      <w:kern w:val="0"/>
      <w:sz w:val="20"/>
      <w:szCs w:val="20"/>
    </w:rPr>
  </w:style>
  <w:style w:type="paragraph" w:customStyle="1" w:styleId="48">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49">
    <w:name w:val="_Style 69"/>
    <w:qFormat/>
    <w:uiPriority w:val="0"/>
    <w:rPr>
      <w:rFonts w:ascii="等线" w:hAnsi="等线" w:eastAsia="等线" w:cs="Times New Roman"/>
      <w:lang w:val="en-US" w:eastAsia="zh-CN" w:bidi="ar-SA"/>
    </w:rPr>
  </w:style>
  <w:style w:type="paragraph" w:customStyle="1" w:styleId="50">
    <w:name w:val="表头"/>
    <w:basedOn w:val="1"/>
    <w:qFormat/>
    <w:uiPriority w:val="0"/>
    <w:pPr>
      <w:spacing w:line="360" w:lineRule="auto"/>
      <w:jc w:val="center"/>
    </w:pPr>
    <w:rPr>
      <w:rFonts w:ascii="黑体" w:hAnsi="Times New Roman" w:eastAsia="黑体"/>
      <w:kern w:val="0"/>
      <w:sz w:val="24"/>
      <w:szCs w:val="20"/>
    </w:rPr>
  </w:style>
  <w:style w:type="paragraph" w:customStyle="1" w:styleId="51">
    <w:name w:val="Char"/>
    <w:basedOn w:val="1"/>
    <w:qFormat/>
    <w:uiPriority w:val="0"/>
    <w:rPr>
      <w:rFonts w:ascii="Tahoma" w:hAnsi="Tahoma"/>
      <w:sz w:val="24"/>
      <w:szCs w:val="20"/>
    </w:rPr>
  </w:style>
  <w:style w:type="paragraph" w:customStyle="1" w:styleId="52">
    <w:name w:val="Char1"/>
    <w:basedOn w:val="1"/>
    <w:qFormat/>
    <w:uiPriority w:val="0"/>
    <w:pPr>
      <w:numPr>
        <w:ilvl w:val="0"/>
        <w:numId w:val="1"/>
      </w:numPr>
    </w:pPr>
    <w:rPr>
      <w:rFonts w:ascii="Times New Roman" w:hAnsi="Times New Roman"/>
      <w:sz w:val="24"/>
      <w:szCs w:val="24"/>
    </w:rPr>
  </w:style>
  <w:style w:type="paragraph" w:customStyle="1" w:styleId="53">
    <w:name w:val="公文抬头"/>
    <w:basedOn w:val="9"/>
    <w:qFormat/>
    <w:uiPriority w:val="0"/>
    <w:pPr>
      <w:ind w:firstLine="0"/>
    </w:pPr>
    <w:rPr>
      <w:rFonts w:ascii="仿宋_GB2312" w:eastAsia="仿宋_GB2312"/>
      <w:sz w:val="30"/>
      <w:szCs w:val="24"/>
    </w:rPr>
  </w:style>
  <w:style w:type="paragraph" w:customStyle="1" w:styleId="54">
    <w:name w:val="Char Char Char1 Char"/>
    <w:basedOn w:val="12"/>
    <w:qFormat/>
    <w:uiPriority w:val="0"/>
    <w:rPr>
      <w:rFonts w:ascii="Tahoma" w:hAnsi="Tahoma"/>
      <w:sz w:val="24"/>
      <w:szCs w:val="24"/>
    </w:rPr>
  </w:style>
  <w:style w:type="paragraph" w:customStyle="1" w:styleId="5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6">
    <w:name w:val="公文标题"/>
    <w:basedOn w:val="4"/>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57">
    <w:name w:val="发文落款"/>
    <w:basedOn w:val="55"/>
    <w:qFormat/>
    <w:uiPriority w:val="0"/>
    <w:pPr>
      <w:ind w:left="4094" w:right="607" w:firstLine="0"/>
      <w:jc w:val="center"/>
    </w:pPr>
  </w:style>
  <w:style w:type="paragraph" w:customStyle="1" w:styleId="58">
    <w:name w:val="Char Char Char Char"/>
    <w:basedOn w:val="1"/>
    <w:qFormat/>
    <w:uiPriority w:val="0"/>
    <w:rPr>
      <w:rFonts w:ascii="Times New Roman" w:hAnsi="Times New Roman"/>
      <w:sz w:val="30"/>
      <w:szCs w:val="24"/>
    </w:rPr>
  </w:style>
  <w:style w:type="paragraph" w:customStyle="1" w:styleId="59">
    <w:name w:val="TOC 标题1"/>
    <w:basedOn w:val="3"/>
    <w:next w:val="1"/>
    <w:qFormat/>
    <w:uiPriority w:val="39"/>
    <w:pPr>
      <w:widowControl/>
      <w:spacing w:before="480" w:after="0" w:line="276" w:lineRule="auto"/>
      <w:outlineLvl w:val="9"/>
    </w:pPr>
    <w:rPr>
      <w:rFonts w:ascii="Cambria" w:hAnsi="Cambria"/>
      <w:color w:val="365F91"/>
      <w:kern w:val="0"/>
    </w:rPr>
  </w:style>
  <w:style w:type="paragraph" w:customStyle="1" w:styleId="60">
    <w:name w:val="列表段落1"/>
    <w:basedOn w:val="1"/>
    <w:qFormat/>
    <w:uiPriority w:val="34"/>
    <w:pPr>
      <w:ind w:firstLine="420" w:firstLineChars="200"/>
    </w:pPr>
    <w:rPr>
      <w:rFonts w:ascii="Times New Roman" w:hAnsi="Times New Roman"/>
      <w:szCs w:val="20"/>
    </w:rPr>
  </w:style>
  <w:style w:type="paragraph" w:customStyle="1" w:styleId="61">
    <w:name w:val="修订1"/>
    <w:qFormat/>
    <w:uiPriority w:val="99"/>
    <w:rPr>
      <w:rFonts w:ascii="Times New Roman" w:hAnsi="Times New Roman" w:eastAsia="宋体" w:cs="Times New Roman"/>
      <w:kern w:val="2"/>
      <w:sz w:val="21"/>
      <w:lang w:val="en-US" w:eastAsia="zh-CN" w:bidi="ar-SA"/>
    </w:rPr>
  </w:style>
  <w:style w:type="character" w:customStyle="1" w:styleId="62">
    <w:name w:val="标题 1 字符"/>
    <w:qFormat/>
    <w:uiPriority w:val="9"/>
    <w:rPr>
      <w:rFonts w:ascii="Calibri" w:hAnsi="Calibri" w:eastAsia="宋体" w:cs="Times New Roman"/>
      <w:b/>
      <w:bCs/>
      <w:kern w:val="44"/>
      <w:sz w:val="44"/>
      <w:szCs w:val="44"/>
    </w:rPr>
  </w:style>
  <w:style w:type="character" w:customStyle="1" w:styleId="63">
    <w:name w:val="标题 2 字符"/>
    <w:qFormat/>
    <w:uiPriority w:val="9"/>
    <w:rPr>
      <w:rFonts w:ascii="等线 Light" w:hAnsi="等线 Light" w:eastAsia="等线 Light" w:cs="Times New Roman"/>
      <w:b/>
      <w:bCs/>
      <w:sz w:val="32"/>
      <w:szCs w:val="32"/>
    </w:rPr>
  </w:style>
  <w:style w:type="character" w:customStyle="1" w:styleId="64">
    <w:name w:val="标题 3 字符"/>
    <w:qFormat/>
    <w:uiPriority w:val="9"/>
    <w:rPr>
      <w:rFonts w:ascii="Calibri" w:hAnsi="Calibri" w:eastAsia="宋体" w:cs="Times New Roman"/>
      <w:b/>
      <w:bCs/>
      <w:sz w:val="32"/>
      <w:szCs w:val="32"/>
    </w:rPr>
  </w:style>
  <w:style w:type="character" w:customStyle="1" w:styleId="65">
    <w:name w:val="标题 4 字符"/>
    <w:qFormat/>
    <w:uiPriority w:val="9"/>
    <w:rPr>
      <w:rFonts w:ascii="等线 Light" w:hAnsi="等线 Light" w:eastAsia="等线 Light" w:cs="Times New Roman"/>
      <w:b/>
      <w:bCs/>
      <w:sz w:val="28"/>
      <w:szCs w:val="28"/>
    </w:rPr>
  </w:style>
  <w:style w:type="character" w:customStyle="1" w:styleId="66">
    <w:name w:val="标题 5 字符"/>
    <w:qFormat/>
    <w:uiPriority w:val="9"/>
    <w:rPr>
      <w:rFonts w:ascii="Calibri" w:hAnsi="Calibri" w:eastAsia="宋体" w:cs="Times New Roman"/>
      <w:b/>
      <w:bCs/>
      <w:sz w:val="28"/>
      <w:szCs w:val="28"/>
    </w:rPr>
  </w:style>
  <w:style w:type="character" w:customStyle="1" w:styleId="67">
    <w:name w:val="标题 6 字符"/>
    <w:qFormat/>
    <w:uiPriority w:val="9"/>
    <w:rPr>
      <w:rFonts w:ascii="等线 Light" w:hAnsi="等线 Light" w:eastAsia="等线 Light" w:cs="Times New Roman"/>
      <w:b/>
      <w:bCs/>
      <w:sz w:val="24"/>
      <w:szCs w:val="24"/>
    </w:rPr>
  </w:style>
  <w:style w:type="character" w:customStyle="1" w:styleId="68">
    <w:name w:val="标题 7 字符"/>
    <w:qFormat/>
    <w:uiPriority w:val="9"/>
    <w:rPr>
      <w:rFonts w:ascii="Calibri" w:hAnsi="Calibri" w:eastAsia="宋体" w:cs="Times New Roman"/>
      <w:b/>
      <w:bCs/>
      <w:sz w:val="24"/>
      <w:szCs w:val="24"/>
    </w:rPr>
  </w:style>
  <w:style w:type="character" w:customStyle="1" w:styleId="69">
    <w:name w:val="标题 8 字符"/>
    <w:qFormat/>
    <w:uiPriority w:val="9"/>
    <w:rPr>
      <w:rFonts w:ascii="等线 Light" w:hAnsi="等线 Light" w:eastAsia="等线 Light" w:cs="Times New Roman"/>
      <w:sz w:val="24"/>
      <w:szCs w:val="24"/>
    </w:rPr>
  </w:style>
  <w:style w:type="character" w:customStyle="1" w:styleId="70">
    <w:name w:val="标题 9 字符"/>
    <w:qFormat/>
    <w:uiPriority w:val="9"/>
    <w:rPr>
      <w:rFonts w:ascii="等线 Light" w:hAnsi="等线 Light" w:eastAsia="等线 Light" w:cs="Times New Roman"/>
      <w:szCs w:val="21"/>
    </w:rPr>
  </w:style>
  <w:style w:type="character" w:customStyle="1" w:styleId="71">
    <w:name w:val="标题 3 字符1"/>
    <w:link w:val="4"/>
    <w:qFormat/>
    <w:uiPriority w:val="0"/>
    <w:rPr>
      <w:rFonts w:ascii="宋体" w:hAnsi="宋体" w:eastAsia="宋体" w:cs="宋体"/>
      <w:kern w:val="0"/>
      <w:sz w:val="27"/>
      <w:szCs w:val="27"/>
    </w:rPr>
  </w:style>
  <w:style w:type="character" w:customStyle="1" w:styleId="72">
    <w:name w:val="页眉 字符"/>
    <w:qFormat/>
    <w:uiPriority w:val="99"/>
    <w:rPr>
      <w:rFonts w:ascii="Calibri" w:hAnsi="Calibri" w:eastAsia="宋体" w:cs="Times New Roman"/>
      <w:sz w:val="18"/>
      <w:szCs w:val="18"/>
    </w:rPr>
  </w:style>
  <w:style w:type="character" w:customStyle="1" w:styleId="73">
    <w:name w:val="页眉 字符1"/>
    <w:link w:val="24"/>
    <w:qFormat/>
    <w:uiPriority w:val="0"/>
    <w:rPr>
      <w:rFonts w:ascii="Calibri" w:hAnsi="Calibri" w:eastAsia="宋体" w:cs="Times New Roman"/>
      <w:sz w:val="18"/>
      <w:szCs w:val="18"/>
    </w:rPr>
  </w:style>
  <w:style w:type="character" w:customStyle="1" w:styleId="74">
    <w:name w:val="页脚 字符"/>
    <w:qFormat/>
    <w:uiPriority w:val="99"/>
    <w:rPr>
      <w:rFonts w:ascii="Calibri" w:hAnsi="Calibri" w:eastAsia="宋体" w:cs="Times New Roman"/>
      <w:sz w:val="18"/>
      <w:szCs w:val="18"/>
    </w:rPr>
  </w:style>
  <w:style w:type="character" w:customStyle="1" w:styleId="75">
    <w:name w:val="页脚 字符1"/>
    <w:link w:val="23"/>
    <w:qFormat/>
    <w:uiPriority w:val="0"/>
    <w:rPr>
      <w:rFonts w:ascii="Calibri" w:hAnsi="Calibri" w:eastAsia="宋体" w:cs="Times New Roman"/>
      <w:sz w:val="18"/>
      <w:szCs w:val="18"/>
    </w:rPr>
  </w:style>
  <w:style w:type="character" w:customStyle="1" w:styleId="76">
    <w:name w:val="标题 1 字符1"/>
    <w:qFormat/>
    <w:uiPriority w:val="0"/>
    <w:rPr>
      <w:rFonts w:ascii="Arial" w:hAnsi="Arial" w:eastAsia="宋体"/>
      <w:b/>
      <w:kern w:val="44"/>
      <w:sz w:val="28"/>
      <w:szCs w:val="28"/>
    </w:rPr>
  </w:style>
  <w:style w:type="character" w:customStyle="1" w:styleId="77">
    <w:name w:val="标题 2 字符1"/>
    <w:link w:val="2"/>
    <w:qFormat/>
    <w:uiPriority w:val="0"/>
    <w:rPr>
      <w:rFonts w:ascii="Arial" w:hAnsi="Arial" w:eastAsia="宋体" w:cs="Times New Roman"/>
      <w:b/>
      <w:color w:val="000000"/>
      <w:sz w:val="24"/>
      <w:szCs w:val="24"/>
    </w:rPr>
  </w:style>
  <w:style w:type="character" w:customStyle="1" w:styleId="78">
    <w:name w:val="标题 4 字符1"/>
    <w:link w:val="5"/>
    <w:qFormat/>
    <w:uiPriority w:val="0"/>
    <w:rPr>
      <w:rFonts w:ascii="Arial" w:hAnsi="Arial" w:eastAsia="宋体" w:cs="Times New Roman"/>
      <w:color w:val="000000"/>
      <w:szCs w:val="21"/>
    </w:rPr>
  </w:style>
  <w:style w:type="character" w:customStyle="1" w:styleId="79">
    <w:name w:val="标题 5 字符1"/>
    <w:link w:val="6"/>
    <w:qFormat/>
    <w:uiPriority w:val="0"/>
    <w:rPr>
      <w:rFonts w:ascii="Arial" w:hAnsi="Arial" w:eastAsia="宋体" w:cs="Times New Roman"/>
      <w:color w:val="000000"/>
      <w:szCs w:val="21"/>
    </w:rPr>
  </w:style>
  <w:style w:type="character" w:customStyle="1" w:styleId="80">
    <w:name w:val="标题 6 字符1"/>
    <w:link w:val="7"/>
    <w:qFormat/>
    <w:uiPriority w:val="0"/>
    <w:rPr>
      <w:rFonts w:ascii="Arial" w:hAnsi="Arial" w:eastAsia="黑体" w:cs="Times New Roman"/>
      <w:b/>
      <w:bCs/>
      <w:sz w:val="24"/>
      <w:szCs w:val="24"/>
    </w:rPr>
  </w:style>
  <w:style w:type="character" w:customStyle="1" w:styleId="81">
    <w:name w:val="标题 7 字符1"/>
    <w:link w:val="8"/>
    <w:qFormat/>
    <w:uiPriority w:val="0"/>
    <w:rPr>
      <w:rFonts w:ascii="Times New Roman" w:hAnsi="Times New Roman" w:eastAsia="宋体" w:cs="Times New Roman"/>
      <w:b/>
      <w:sz w:val="24"/>
      <w:szCs w:val="20"/>
    </w:rPr>
  </w:style>
  <w:style w:type="character" w:customStyle="1" w:styleId="82">
    <w:name w:val="标题 8 字符1"/>
    <w:link w:val="10"/>
    <w:qFormat/>
    <w:uiPriority w:val="0"/>
    <w:rPr>
      <w:rFonts w:ascii="Arial" w:hAnsi="Arial" w:eastAsia="黑体" w:cs="Times New Roman"/>
      <w:sz w:val="24"/>
      <w:szCs w:val="20"/>
    </w:rPr>
  </w:style>
  <w:style w:type="character" w:customStyle="1" w:styleId="83">
    <w:name w:val="标题 9 字符1"/>
    <w:link w:val="11"/>
    <w:qFormat/>
    <w:uiPriority w:val="0"/>
    <w:rPr>
      <w:rFonts w:ascii="Arial" w:hAnsi="Arial" w:eastAsia="黑体" w:cs="Times New Roman"/>
      <w:szCs w:val="20"/>
    </w:rPr>
  </w:style>
  <w:style w:type="character" w:customStyle="1" w:styleId="84">
    <w:name w:val="标题 字符"/>
    <w:qFormat/>
    <w:uiPriority w:val="10"/>
    <w:rPr>
      <w:rFonts w:ascii="等线 Light" w:hAnsi="等线 Light" w:eastAsia="等线 Light" w:cs="Times New Roman"/>
      <w:b/>
      <w:bCs/>
      <w:sz w:val="32"/>
      <w:szCs w:val="32"/>
    </w:rPr>
  </w:style>
  <w:style w:type="character" w:customStyle="1" w:styleId="85">
    <w:name w:val="标题 字符1"/>
    <w:link w:val="32"/>
    <w:qFormat/>
    <w:uiPriority w:val="0"/>
    <w:rPr>
      <w:rFonts w:ascii="Arial" w:hAnsi="Arial" w:eastAsia="宋体" w:cs="Times New Roman"/>
      <w:b/>
      <w:sz w:val="44"/>
      <w:szCs w:val="20"/>
    </w:rPr>
  </w:style>
  <w:style w:type="character" w:customStyle="1" w:styleId="86">
    <w:name w:val="正文文本 字符"/>
    <w:qFormat/>
    <w:uiPriority w:val="99"/>
    <w:rPr>
      <w:rFonts w:ascii="Calibri" w:hAnsi="Calibri" w:eastAsia="宋体" w:cs="Times New Roman"/>
    </w:rPr>
  </w:style>
  <w:style w:type="character" w:customStyle="1" w:styleId="87">
    <w:name w:val="正文文本 字符1"/>
    <w:link w:val="14"/>
    <w:qFormat/>
    <w:uiPriority w:val="0"/>
    <w:rPr>
      <w:rFonts w:ascii="Times New Roman" w:hAnsi="Times New Roman" w:eastAsia="宋体" w:cs="Times New Roman"/>
      <w:szCs w:val="20"/>
    </w:rPr>
  </w:style>
  <w:style w:type="character" w:customStyle="1" w:styleId="88">
    <w:name w:val="正文首行缩进 字符"/>
    <w:basedOn w:val="86"/>
    <w:qFormat/>
    <w:uiPriority w:val="99"/>
    <w:rPr>
      <w:rFonts w:ascii="Calibri" w:hAnsi="Calibri" w:eastAsia="宋体" w:cs="Times New Roman"/>
    </w:rPr>
  </w:style>
  <w:style w:type="character" w:customStyle="1" w:styleId="89">
    <w:name w:val="正文文本首行缩进 字符"/>
    <w:link w:val="34"/>
    <w:qFormat/>
    <w:uiPriority w:val="0"/>
  </w:style>
  <w:style w:type="character" w:customStyle="1" w:styleId="90">
    <w:name w:val="日期 字符"/>
    <w:qFormat/>
    <w:uiPriority w:val="99"/>
    <w:rPr>
      <w:rFonts w:ascii="Calibri" w:hAnsi="Calibri" w:eastAsia="宋体" w:cs="Times New Roman"/>
    </w:rPr>
  </w:style>
  <w:style w:type="character" w:customStyle="1" w:styleId="91">
    <w:name w:val="日期 字符1"/>
    <w:link w:val="19"/>
    <w:qFormat/>
    <w:uiPriority w:val="0"/>
    <w:rPr>
      <w:rFonts w:ascii="Times New Roman" w:hAnsi="Times New Roman" w:eastAsia="宋体" w:cs="Times New Roman"/>
      <w:szCs w:val="20"/>
    </w:rPr>
  </w:style>
  <w:style w:type="character" w:customStyle="1" w:styleId="92">
    <w:name w:val="正文文本缩进 字符"/>
    <w:qFormat/>
    <w:uiPriority w:val="99"/>
    <w:rPr>
      <w:rFonts w:ascii="Calibri" w:hAnsi="Calibri" w:eastAsia="宋体" w:cs="Times New Roman"/>
    </w:rPr>
  </w:style>
  <w:style w:type="character" w:customStyle="1" w:styleId="93">
    <w:name w:val="正文文本缩进 字符1"/>
    <w:link w:val="15"/>
    <w:qFormat/>
    <w:uiPriority w:val="0"/>
    <w:rPr>
      <w:rFonts w:ascii="Times New Roman" w:hAnsi="Times New Roman" w:eastAsia="宋体" w:cs="Times New Roman"/>
      <w:sz w:val="28"/>
      <w:szCs w:val="20"/>
    </w:rPr>
  </w:style>
  <w:style w:type="character" w:customStyle="1" w:styleId="94">
    <w:name w:val="文档结构图 字符"/>
    <w:qFormat/>
    <w:uiPriority w:val="99"/>
    <w:rPr>
      <w:rFonts w:ascii="Microsoft YaHei UI" w:hAnsi="Calibri" w:eastAsia="Microsoft YaHei UI" w:cs="Times New Roman"/>
      <w:sz w:val="18"/>
      <w:szCs w:val="18"/>
    </w:rPr>
  </w:style>
  <w:style w:type="character" w:customStyle="1" w:styleId="95">
    <w:name w:val="文档结构图 字符1"/>
    <w:link w:val="12"/>
    <w:qFormat/>
    <w:uiPriority w:val="0"/>
    <w:rPr>
      <w:rFonts w:ascii="Times New Roman" w:hAnsi="Times New Roman" w:eastAsia="宋体" w:cs="Times New Roman"/>
      <w:szCs w:val="20"/>
      <w:shd w:val="clear" w:color="auto" w:fill="000080"/>
    </w:rPr>
  </w:style>
  <w:style w:type="character" w:customStyle="1" w:styleId="96">
    <w:name w:val="纯文本 字符"/>
    <w:qFormat/>
    <w:uiPriority w:val="99"/>
    <w:rPr>
      <w:rFonts w:ascii="等线" w:hAnsi="Courier New" w:cs="Courier New"/>
    </w:rPr>
  </w:style>
  <w:style w:type="character" w:customStyle="1" w:styleId="97">
    <w:name w:val="纯文本 字符1"/>
    <w:link w:val="18"/>
    <w:qFormat/>
    <w:uiPriority w:val="0"/>
    <w:rPr>
      <w:rFonts w:ascii="宋体" w:hAnsi="Courier New" w:eastAsia="宋体" w:cs="Times New Roman"/>
      <w:szCs w:val="20"/>
    </w:rPr>
  </w:style>
  <w:style w:type="character" w:customStyle="1" w:styleId="98">
    <w:name w:val="正文文本缩进 2 字符"/>
    <w:qFormat/>
    <w:uiPriority w:val="99"/>
    <w:rPr>
      <w:rFonts w:ascii="Calibri" w:hAnsi="Calibri" w:eastAsia="宋体" w:cs="Times New Roman"/>
    </w:rPr>
  </w:style>
  <w:style w:type="character" w:customStyle="1" w:styleId="99">
    <w:name w:val="正文文本缩进 2 字符1"/>
    <w:link w:val="20"/>
    <w:qFormat/>
    <w:uiPriority w:val="0"/>
    <w:rPr>
      <w:rFonts w:ascii="Times New Roman" w:hAnsi="Times New Roman" w:eastAsia="宋体" w:cs="Times New Roman"/>
      <w:color w:val="000000"/>
      <w:sz w:val="24"/>
      <w:szCs w:val="20"/>
    </w:rPr>
  </w:style>
  <w:style w:type="character" w:customStyle="1" w:styleId="100">
    <w:name w:val="正文文本缩进 3 字符"/>
    <w:qFormat/>
    <w:uiPriority w:val="99"/>
    <w:rPr>
      <w:rFonts w:ascii="Calibri" w:hAnsi="Calibri" w:eastAsia="宋体" w:cs="Times New Roman"/>
      <w:sz w:val="16"/>
      <w:szCs w:val="16"/>
    </w:rPr>
  </w:style>
  <w:style w:type="character" w:customStyle="1" w:styleId="101">
    <w:name w:val="正文文本缩进 3 字符1"/>
    <w:link w:val="27"/>
    <w:qFormat/>
    <w:uiPriority w:val="0"/>
    <w:rPr>
      <w:rFonts w:ascii="Times New Roman" w:hAnsi="Times New Roman" w:eastAsia="宋体" w:cs="Times New Roman"/>
      <w:color w:val="000000"/>
      <w:sz w:val="24"/>
      <w:szCs w:val="20"/>
    </w:rPr>
  </w:style>
  <w:style w:type="character" w:customStyle="1" w:styleId="102">
    <w:name w:val="正文文本 2 字符"/>
    <w:qFormat/>
    <w:uiPriority w:val="99"/>
    <w:rPr>
      <w:rFonts w:ascii="Calibri" w:hAnsi="Calibri" w:eastAsia="宋体" w:cs="Times New Roman"/>
    </w:rPr>
  </w:style>
  <w:style w:type="character" w:customStyle="1" w:styleId="103">
    <w:name w:val="正文文本 2 字符1"/>
    <w:link w:val="29"/>
    <w:qFormat/>
    <w:uiPriority w:val="0"/>
    <w:rPr>
      <w:rFonts w:ascii="宋体" w:hAnsi="宋体" w:eastAsia="宋体" w:cs="Times New Roman"/>
      <w:szCs w:val="24"/>
      <w:u w:val="single"/>
    </w:rPr>
  </w:style>
  <w:style w:type="character" w:customStyle="1" w:styleId="104">
    <w:name w:val="尾注文本 字符"/>
    <w:qFormat/>
    <w:uiPriority w:val="99"/>
    <w:rPr>
      <w:rFonts w:ascii="Calibri" w:hAnsi="Calibri" w:eastAsia="宋体" w:cs="Times New Roman"/>
    </w:rPr>
  </w:style>
  <w:style w:type="character" w:customStyle="1" w:styleId="105">
    <w:name w:val="尾注文本 字符1"/>
    <w:link w:val="21"/>
    <w:qFormat/>
    <w:uiPriority w:val="0"/>
    <w:rPr>
      <w:rFonts w:ascii="Times New Roman" w:hAnsi="Times New Roman" w:eastAsia="宋体" w:cs="Times New Roman"/>
      <w:szCs w:val="20"/>
    </w:rPr>
  </w:style>
  <w:style w:type="character" w:customStyle="1" w:styleId="106">
    <w:name w:val="批注框文本 字符"/>
    <w:qFormat/>
    <w:uiPriority w:val="99"/>
    <w:rPr>
      <w:rFonts w:ascii="Calibri" w:hAnsi="Calibri" w:eastAsia="宋体" w:cs="Times New Roman"/>
      <w:sz w:val="18"/>
      <w:szCs w:val="18"/>
    </w:rPr>
  </w:style>
  <w:style w:type="character" w:customStyle="1" w:styleId="107">
    <w:name w:val="批注框文本 字符1"/>
    <w:link w:val="22"/>
    <w:qFormat/>
    <w:uiPriority w:val="0"/>
    <w:rPr>
      <w:rFonts w:ascii="Times New Roman" w:hAnsi="Times New Roman" w:eastAsia="宋体" w:cs="Times New Roman"/>
      <w:sz w:val="18"/>
      <w:szCs w:val="18"/>
    </w:rPr>
  </w:style>
  <w:style w:type="character" w:customStyle="1" w:styleId="108">
    <w:name w:val="批注文字 字符"/>
    <w:qFormat/>
    <w:uiPriority w:val="99"/>
    <w:rPr>
      <w:rFonts w:ascii="Calibri" w:hAnsi="Calibri" w:eastAsia="宋体" w:cs="Times New Roman"/>
    </w:rPr>
  </w:style>
  <w:style w:type="character" w:customStyle="1" w:styleId="109">
    <w:name w:val="批注文字 字符1"/>
    <w:link w:val="13"/>
    <w:qFormat/>
    <w:uiPriority w:val="99"/>
    <w:rPr>
      <w:rFonts w:ascii="宋体" w:hAnsi="宋体"/>
      <w:kern w:val="2"/>
      <w:sz w:val="24"/>
      <w:szCs w:val="24"/>
    </w:rPr>
  </w:style>
  <w:style w:type="character" w:customStyle="1" w:styleId="110">
    <w:name w:val="脚注文本 字符"/>
    <w:qFormat/>
    <w:uiPriority w:val="99"/>
    <w:rPr>
      <w:rFonts w:ascii="Calibri" w:hAnsi="Calibri" w:eastAsia="宋体" w:cs="Times New Roman"/>
      <w:sz w:val="18"/>
      <w:szCs w:val="18"/>
    </w:rPr>
  </w:style>
  <w:style w:type="character" w:customStyle="1" w:styleId="111">
    <w:name w:val="脚注文本 字符1"/>
    <w:link w:val="26"/>
    <w:qFormat/>
    <w:uiPriority w:val="0"/>
    <w:rPr>
      <w:rFonts w:ascii="宋体" w:hAnsi="宋体" w:eastAsia="宋体" w:cs="Times New Roman"/>
      <w:sz w:val="18"/>
      <w:szCs w:val="18"/>
    </w:rPr>
  </w:style>
  <w:style w:type="character" w:customStyle="1" w:styleId="112">
    <w:name w:val="批注主题 字符"/>
    <w:qFormat/>
    <w:uiPriority w:val="99"/>
    <w:rPr>
      <w:rFonts w:ascii="Calibri" w:hAnsi="Calibri" w:eastAsia="宋体" w:cs="Times New Roman"/>
      <w:b/>
      <w:bCs/>
    </w:rPr>
  </w:style>
  <w:style w:type="character" w:customStyle="1" w:styleId="113">
    <w:name w:val="批注主题 字符1"/>
    <w:link w:val="33"/>
    <w:qFormat/>
    <w:uiPriority w:val="0"/>
    <w:rPr>
      <w:rFonts w:ascii="宋体" w:hAnsi="宋体" w:eastAsia="宋体" w:cs="Times New Roman"/>
      <w:b/>
      <w:bCs/>
      <w:sz w:val="24"/>
      <w:szCs w:val="24"/>
    </w:rPr>
  </w:style>
  <w:style w:type="character" w:customStyle="1" w:styleId="114">
    <w:name w:val="16"/>
    <w:qFormat/>
    <w:uiPriority w:val="0"/>
    <w:rPr>
      <w:rFonts w:hint="eastAsia" w:ascii="仿宋" w:hAnsi="仿宋" w:eastAsia="仿宋" w:cs="仿宋"/>
      <w:color w:val="000000"/>
      <w:sz w:val="28"/>
      <w:szCs w:val="28"/>
    </w:rPr>
  </w:style>
  <w:style w:type="character" w:customStyle="1" w:styleId="115">
    <w:name w:val="15"/>
    <w:qFormat/>
    <w:uiPriority w:val="0"/>
    <w:rPr>
      <w:rFonts w:hint="eastAsia" w:ascii="仿宋" w:hAnsi="仿宋" w:eastAsia="仿宋" w:cs="仿宋"/>
      <w:b/>
      <w:color w:val="000000"/>
      <w:sz w:val="28"/>
      <w:szCs w:val="28"/>
    </w:rPr>
  </w:style>
  <w:style w:type="paragraph" w:customStyle="1" w:styleId="116">
    <w:name w:val="修订2"/>
    <w:hidden/>
    <w:semiHidden/>
    <w:qFormat/>
    <w:uiPriority w:val="99"/>
    <w:rPr>
      <w:rFonts w:ascii="Calibri" w:hAnsi="Calibri" w:eastAsia="宋体" w:cs="Times New Roman"/>
      <w:kern w:val="2"/>
      <w:sz w:val="21"/>
      <w:szCs w:val="22"/>
      <w:lang w:val="en-US" w:eastAsia="zh-CN" w:bidi="ar-SA"/>
    </w:rPr>
  </w:style>
  <w:style w:type="paragraph" w:customStyle="1" w:styleId="117">
    <w:name w:val="修订3"/>
    <w:hidden/>
    <w:semiHidden/>
    <w:qFormat/>
    <w:uiPriority w:val="99"/>
    <w:rPr>
      <w:rFonts w:ascii="Calibri" w:hAnsi="Calibri" w:eastAsia="宋体" w:cs="Times New Roman"/>
      <w:kern w:val="2"/>
      <w:sz w:val="21"/>
      <w:szCs w:val="22"/>
      <w:lang w:val="en-US" w:eastAsia="zh-CN" w:bidi="ar-SA"/>
    </w:rPr>
  </w:style>
  <w:style w:type="character" w:customStyle="1" w:styleId="118">
    <w:name w:val="NormalCharacter"/>
    <w:qFormat/>
    <w:uiPriority w:val="0"/>
  </w:style>
  <w:style w:type="character" w:customStyle="1" w:styleId="119">
    <w:name w:val="标题 1 字符2"/>
    <w:link w:val="3"/>
    <w:qFormat/>
    <w:uiPriority w:val="0"/>
    <w:rPr>
      <w:rFonts w:ascii="Arial" w:hAnsi="Arial" w:eastAsia="宋体"/>
      <w:b/>
      <w:kern w:val="44"/>
      <w:sz w:val="28"/>
      <w:szCs w:val="28"/>
    </w:rPr>
  </w:style>
  <w:style w:type="character" w:customStyle="1" w:styleId="120">
    <w:name w:val="font51"/>
    <w:basedOn w:val="38"/>
    <w:qFormat/>
    <w:uiPriority w:val="0"/>
    <w:rPr>
      <w:rFonts w:hint="default" w:ascii="Times New Roman" w:hAnsi="Times New Roman" w:cs="Times New Roman"/>
      <w:color w:val="000000"/>
      <w:sz w:val="24"/>
      <w:szCs w:val="24"/>
      <w:u w:val="none"/>
    </w:rPr>
  </w:style>
  <w:style w:type="character" w:customStyle="1" w:styleId="121">
    <w:name w:val="font61"/>
    <w:basedOn w:val="38"/>
    <w:qFormat/>
    <w:uiPriority w:val="0"/>
    <w:rPr>
      <w:rFonts w:hint="eastAsia" w:ascii="宋体" w:hAnsi="宋体" w:eastAsia="宋体" w:cs="宋体"/>
      <w:color w:val="000000"/>
      <w:sz w:val="24"/>
      <w:szCs w:val="24"/>
      <w:u w:val="none"/>
    </w:rPr>
  </w:style>
  <w:style w:type="paragraph" w:customStyle="1" w:styleId="122">
    <w:name w:val="Other|1"/>
    <w:basedOn w:val="1"/>
    <w:qFormat/>
    <w:uiPriority w:val="0"/>
    <w:pPr>
      <w:spacing w:line="228" w:lineRule="exact"/>
    </w:pPr>
    <w:rPr>
      <w:rFonts w:ascii="宋体" w:hAnsi="宋体" w:cs="宋体"/>
      <w:sz w:val="17"/>
      <w:szCs w:val="17"/>
      <w:lang w:val="zh-TW" w:eastAsia="zh-TW" w:bidi="zh-TW"/>
    </w:rPr>
  </w:style>
  <w:style w:type="paragraph" w:customStyle="1" w:styleId="123">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BodyText"/>
    <w:basedOn w:val="1"/>
    <w:qFormat/>
    <w:uiPriority w:val="0"/>
    <w:pPr>
      <w:spacing w:after="120"/>
    </w:pPr>
    <w:rPr>
      <w:kern w:val="0"/>
      <w:sz w:val="20"/>
      <w:szCs w:val="20"/>
    </w:rPr>
  </w:style>
  <w:style w:type="paragraph" w:customStyle="1" w:styleId="125">
    <w:name w:val="修订4"/>
    <w:hidden/>
    <w:unhideWhenUsed/>
    <w:qFormat/>
    <w:uiPriority w:val="99"/>
    <w:rPr>
      <w:rFonts w:ascii="Calibri" w:hAnsi="Calibri" w:eastAsia="宋体" w:cs="Times New Roman"/>
      <w:kern w:val="2"/>
      <w:sz w:val="21"/>
      <w:szCs w:val="22"/>
      <w:lang w:val="en-US" w:eastAsia="zh-CN" w:bidi="ar-SA"/>
    </w:rPr>
  </w:style>
  <w:style w:type="paragraph" w:styleId="126">
    <w:name w:val="List Paragraph"/>
    <w:basedOn w:val="1"/>
    <w:unhideWhenUsed/>
    <w:qFormat/>
    <w:uiPriority w:val="99"/>
    <w:pPr>
      <w:ind w:firstLine="420" w:firstLineChars="200"/>
    </w:pPr>
  </w:style>
  <w:style w:type="paragraph" w:customStyle="1" w:styleId="127">
    <w:name w:val="修订5"/>
    <w:hidden/>
    <w:unhideWhenUsed/>
    <w:qFormat/>
    <w:uiPriority w:val="99"/>
    <w:rPr>
      <w:rFonts w:ascii="Calibri" w:hAnsi="Calibri" w:eastAsia="宋体" w:cs="Times New Roman"/>
      <w:kern w:val="2"/>
      <w:sz w:val="21"/>
      <w:szCs w:val="22"/>
      <w:lang w:val="en-US" w:eastAsia="zh-CN" w:bidi="ar-SA"/>
    </w:rPr>
  </w:style>
  <w:style w:type="paragraph" w:customStyle="1" w:styleId="128">
    <w:name w:val="修订6"/>
    <w:hidden/>
    <w:unhideWhenUsed/>
    <w:qFormat/>
    <w:uiPriority w:val="99"/>
    <w:rPr>
      <w:rFonts w:ascii="Calibri" w:hAnsi="Calibri" w:eastAsia="宋体" w:cs="Times New Roman"/>
      <w:kern w:val="2"/>
      <w:sz w:val="21"/>
      <w:szCs w:val="22"/>
      <w:lang w:val="en-US" w:eastAsia="zh-CN" w:bidi="ar-SA"/>
    </w:rPr>
  </w:style>
  <w:style w:type="paragraph" w:customStyle="1" w:styleId="129">
    <w:name w:val="修订7"/>
    <w:hidden/>
    <w:semiHidden/>
    <w:qFormat/>
    <w:uiPriority w:val="99"/>
    <w:rPr>
      <w:rFonts w:ascii="Calibri" w:hAnsi="Calibri" w:eastAsia="宋体" w:cs="Times New Roman"/>
      <w:kern w:val="2"/>
      <w:sz w:val="21"/>
      <w:szCs w:val="22"/>
      <w:lang w:val="en-US" w:eastAsia="zh-CN" w:bidi="ar-SA"/>
    </w:rPr>
  </w:style>
  <w:style w:type="paragraph" w:customStyle="1" w:styleId="130">
    <w:name w:val="Revision"/>
    <w:hidden/>
    <w:unhideWhenUsed/>
    <w:qFormat/>
    <w:uiPriority w:val="99"/>
    <w:rPr>
      <w:rFonts w:ascii="Calibri" w:hAnsi="Calibri" w:eastAsia="宋体" w:cs="Times New Roman"/>
      <w:kern w:val="2"/>
      <w:sz w:val="21"/>
      <w:szCs w:val="22"/>
      <w:lang w:val="en-US" w:eastAsia="zh-CN" w:bidi="ar-SA"/>
    </w:rPr>
  </w:style>
  <w:style w:type="paragraph" w:customStyle="1" w:styleId="131">
    <w:name w:val="正题"/>
    <w:basedOn w:val="132"/>
    <w:next w:val="132"/>
    <w:qFormat/>
    <w:uiPriority w:val="0"/>
    <w:pPr>
      <w:ind w:firstLine="0" w:firstLineChars="0"/>
      <w:jc w:val="center"/>
    </w:pPr>
    <w:rPr>
      <w:rFonts w:eastAsia="黑体"/>
      <w:b/>
      <w:sz w:val="36"/>
      <w:szCs w:val="36"/>
    </w:rPr>
  </w:style>
  <w:style w:type="paragraph" w:customStyle="1" w:styleId="132">
    <w:name w:val="文一"/>
    <w:basedOn w:val="1"/>
    <w:next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133">
    <w:name w:val="文二"/>
    <w:basedOn w:val="1"/>
    <w:qFormat/>
    <w:uiPriority w:val="99"/>
    <w:pPr>
      <w:jc w:val="left"/>
    </w:pPr>
    <w:rPr>
      <w:rFonts w:ascii="宋体" w:hAnsi="宋体"/>
      <w:szCs w:val="21"/>
    </w:rPr>
  </w:style>
  <w:style w:type="paragraph" w:customStyle="1" w:styleId="134">
    <w:name w:val="章节二"/>
    <w:basedOn w:val="1"/>
    <w:next w:val="1"/>
    <w:qFormat/>
    <w:uiPriority w:val="0"/>
    <w:pPr>
      <w:topLinePunct/>
      <w:adjustRightInd w:val="0"/>
      <w:snapToGrid w:val="0"/>
      <w:spacing w:beforeLines="50"/>
      <w:jc w:val="center"/>
      <w:outlineLvl w:val="1"/>
    </w:pPr>
    <w:rPr>
      <w:rFonts w:eastAsia="黑体"/>
      <w:b/>
      <w:spacing w:val="4"/>
      <w:kern w:val="0"/>
      <w:sz w:val="30"/>
      <w:szCs w:val="30"/>
    </w:rPr>
  </w:style>
  <w:style w:type="paragraph" w:customStyle="1" w:styleId="135">
    <w:name w:val="章节三"/>
    <w:basedOn w:val="132"/>
    <w:next w:val="132"/>
    <w:qFormat/>
    <w:uiPriority w:val="0"/>
    <w:pPr>
      <w:spacing w:beforeLines="50" w:afterLines="50" w:line="240" w:lineRule="auto"/>
      <w:ind w:firstLine="0" w:firstLineChars="0"/>
      <w:jc w:val="left"/>
      <w:outlineLvl w:val="2"/>
    </w:pPr>
    <w:rPr>
      <w:rFonts w:ascii="黑体" w:hAnsi="宋体" w:eastAsia="黑体"/>
      <w:b/>
    </w:rPr>
  </w:style>
  <w:style w:type="paragraph" w:customStyle="1" w:styleId="136">
    <w:name w:val="封二"/>
    <w:basedOn w:val="132"/>
    <w:next w:val="132"/>
    <w:qFormat/>
    <w:uiPriority w:val="0"/>
    <w:pPr>
      <w:ind w:firstLine="0" w:firstLineChars="0"/>
      <w:jc w:val="center"/>
    </w:pPr>
    <w:rPr>
      <w:rFonts w:eastAsia="黑体"/>
      <w:b/>
      <w:sz w:val="36"/>
      <w:szCs w:val="36"/>
    </w:rPr>
  </w:style>
  <w:style w:type="paragraph" w:customStyle="1" w:styleId="137">
    <w:name w:val="封一"/>
    <w:basedOn w:val="132"/>
    <w:next w:val="132"/>
    <w:qFormat/>
    <w:uiPriority w:val="0"/>
    <w:pPr>
      <w:ind w:firstLine="0" w:firstLineChars="0"/>
      <w:jc w:val="center"/>
    </w:pPr>
    <w:rPr>
      <w:rFonts w:eastAsia="黑体"/>
      <w:b/>
      <w:sz w:val="84"/>
      <w:szCs w:val="84"/>
    </w:rPr>
  </w:style>
  <w:style w:type="paragraph" w:customStyle="1" w:styleId="138">
    <w:name w:val="封四"/>
    <w:basedOn w:val="132"/>
    <w:next w:val="132"/>
    <w:qFormat/>
    <w:uiPriority w:val="0"/>
    <w:pPr>
      <w:jc w:val="left"/>
    </w:pPr>
    <w:rPr>
      <w:rFonts w:eastAsia="等线"/>
      <w:sz w:val="30"/>
      <w:szCs w:val="30"/>
    </w:rPr>
  </w:style>
  <w:style w:type="paragraph" w:customStyle="1" w:styleId="139">
    <w:name w:val="Heading2"/>
    <w:basedOn w:val="1"/>
    <w:next w:val="1"/>
    <w:qFormat/>
    <w:uiPriority w:val="0"/>
    <w:pPr>
      <w:keepNext/>
      <w:keepLines/>
      <w:spacing w:before="260" w:after="260" w:line="415" w:lineRule="auto"/>
    </w:pPr>
    <w:rPr>
      <w:rFonts w:ascii="Arial" w:hAnsi="Arial" w:eastAsia="黑体"/>
      <w:b/>
      <w:bCs/>
      <w:sz w:val="32"/>
      <w:szCs w:val="32"/>
    </w:rPr>
  </w:style>
  <w:style w:type="character" w:customStyle="1" w:styleId="140">
    <w:name w:val="font21"/>
    <w:qFormat/>
    <w:uiPriority w:val="0"/>
    <w:rPr>
      <w:rFonts w:hint="eastAsia" w:ascii="仿宋" w:hAnsi="仿宋" w:eastAsia="仿宋" w:cs="仿宋"/>
      <w:color w:val="000000"/>
      <w:sz w:val="28"/>
      <w:szCs w:val="28"/>
      <w:u w:val="none"/>
    </w:rPr>
  </w:style>
  <w:style w:type="character" w:customStyle="1" w:styleId="141">
    <w:name w:val="font31"/>
    <w:qFormat/>
    <w:uiPriority w:val="0"/>
    <w:rPr>
      <w:rFonts w:hint="eastAsia" w:ascii="仿宋" w:hAnsi="仿宋" w:eastAsia="仿宋" w:cs="仿宋"/>
      <w:b/>
      <w:color w:val="000000"/>
      <w:sz w:val="28"/>
      <w:szCs w:val="28"/>
      <w:u w:val="none"/>
    </w:rPr>
  </w:style>
  <w:style w:type="character" w:customStyle="1" w:styleId="142">
    <w:name w:val="font11"/>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108</Pages>
  <Words>23905</Words>
  <Characters>25103</Characters>
  <Lines>341</Lines>
  <Paragraphs>96</Paragraphs>
  <TotalTime>0</TotalTime>
  <ScaleCrop>false</ScaleCrop>
  <LinksUpToDate>false</LinksUpToDate>
  <CharactersWithSpaces>25883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2023-07-23T03:06:00Z</dcterms:created>
  <dc:creator>zyys</dc:creator>
  <cp:lastModifiedBy>ZJTX</cp:lastModifiedBy>
  <cp:lastPrinted>2025-01-01T09:44:00Z</cp:lastPrinted>
  <dcterms:modified xsi:type="dcterms:W3CDTF">2025-04-23T09:16:28Z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BEDE41A12F514EB88E316D16112AE1AB_13</vt:lpwstr>
  </property>
  <property fmtid="{D5CDD505-2E9C-101B-9397-08002B2CF9AE}" pid="4" name="KSOTemplateDocerSaveRecord">
    <vt:lpwstr>eyJoZGlkIjoiM2YyNTczMGU5OTZmYjFlZWViM2U4NmU5MDc0ZDU3OWYiLCJ1c2VySWQiOiIxOTgzNzA5MjYifQ==</vt:lpwstr>
  </property>
</Properties>
</file>