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center"/>
        <w:rPr>
          <w:rFonts w:ascii="宋体" w:hAnsi="宋体" w:eastAsia="宋体" w:cs="宋体"/>
          <w:b/>
          <w:color w:val="auto"/>
          <w:sz w:val="48"/>
          <w:szCs w:val="48"/>
          <w:highlight w:val="none"/>
          <w:lang w:bidi="ar"/>
        </w:rPr>
      </w:pPr>
    </w:p>
    <w:p>
      <w:pPr>
        <w:wordWrap w:val="0"/>
        <w:spacing w:line="360" w:lineRule="auto"/>
        <w:jc w:val="center"/>
        <w:rPr>
          <w:rFonts w:ascii="宋体" w:hAnsi="宋体" w:eastAsia="宋体" w:cs="宋体"/>
          <w:b/>
          <w:color w:val="auto"/>
          <w:sz w:val="48"/>
          <w:szCs w:val="48"/>
          <w:highlight w:val="none"/>
          <w:lang w:bidi="ar"/>
        </w:rPr>
      </w:pPr>
    </w:p>
    <w:p>
      <w:pPr>
        <w:wordWrap w:val="0"/>
        <w:spacing w:line="360" w:lineRule="auto"/>
        <w:jc w:val="center"/>
        <w:rPr>
          <w:rFonts w:ascii="宋体" w:hAnsi="宋体" w:eastAsia="宋体" w:cs="宋体"/>
          <w:color w:val="auto"/>
          <w:sz w:val="48"/>
          <w:szCs w:val="48"/>
          <w:highlight w:val="none"/>
        </w:rPr>
      </w:pPr>
      <w:r>
        <w:rPr>
          <w:rFonts w:hint="eastAsia" w:ascii="宋体" w:hAnsi="宋体" w:eastAsia="宋体" w:cs="宋体"/>
          <w:b/>
          <w:color w:val="auto"/>
          <w:sz w:val="48"/>
          <w:szCs w:val="48"/>
          <w:highlight w:val="none"/>
          <w:lang w:eastAsia="zh-CN" w:bidi="ar"/>
        </w:rPr>
        <w:t>规划雅源南路工程</w:t>
      </w:r>
      <w:r>
        <w:rPr>
          <w:rFonts w:hint="eastAsia" w:ascii="宋体" w:hAnsi="宋体" w:eastAsia="宋体" w:cs="宋体"/>
          <w:b/>
          <w:color w:val="auto"/>
          <w:sz w:val="48"/>
          <w:szCs w:val="48"/>
          <w:highlight w:val="none"/>
          <w:lang w:bidi="ar"/>
        </w:rPr>
        <w:t>勘察设计</w:t>
      </w:r>
    </w:p>
    <w:p>
      <w:pPr>
        <w:wordWrap w:val="0"/>
        <w:spacing w:line="360" w:lineRule="auto"/>
        <w:rPr>
          <w:rFonts w:ascii="宋体" w:hAnsi="宋体" w:eastAsia="宋体" w:cs="宋体"/>
          <w:b/>
          <w:color w:val="auto"/>
          <w:spacing w:val="40"/>
          <w:sz w:val="44"/>
          <w:szCs w:val="44"/>
          <w:highlight w:val="none"/>
        </w:rPr>
      </w:pPr>
    </w:p>
    <w:p>
      <w:pPr>
        <w:wordWrap w:val="0"/>
        <w:spacing w:line="360" w:lineRule="auto"/>
        <w:jc w:val="left"/>
        <w:rPr>
          <w:rFonts w:ascii="宋体" w:hAnsi="宋体" w:eastAsia="宋体" w:cs="宋体"/>
          <w:color w:val="auto"/>
          <w:sz w:val="36"/>
          <w:szCs w:val="36"/>
          <w:highlight w:val="none"/>
          <w:u w:val="single"/>
          <w:lang w:bidi="ar"/>
        </w:rPr>
      </w:pPr>
    </w:p>
    <w:p>
      <w:pPr>
        <w:wordWrap w:val="0"/>
        <w:spacing w:line="360" w:lineRule="auto"/>
        <w:jc w:val="left"/>
        <w:rPr>
          <w:rFonts w:ascii="宋体" w:hAnsi="宋体" w:eastAsia="宋体" w:cs="宋体"/>
          <w:color w:val="auto"/>
          <w:sz w:val="36"/>
          <w:szCs w:val="36"/>
          <w:highlight w:val="none"/>
          <w:u w:val="single"/>
          <w:lang w:bidi="ar"/>
        </w:rPr>
      </w:pPr>
    </w:p>
    <w:p>
      <w:pPr>
        <w:wordWrap w:val="0"/>
        <w:spacing w:line="360" w:lineRule="auto"/>
        <w:jc w:val="left"/>
        <w:rPr>
          <w:rFonts w:ascii="宋体" w:hAnsi="宋体" w:eastAsia="宋体" w:cs="宋体"/>
          <w:color w:val="auto"/>
          <w:sz w:val="36"/>
          <w:szCs w:val="36"/>
          <w:highlight w:val="none"/>
          <w:u w:val="single"/>
          <w:lang w:bidi="ar"/>
        </w:rPr>
      </w:pPr>
    </w:p>
    <w:p>
      <w:pPr>
        <w:wordWrap w:val="0"/>
        <w:spacing w:line="360" w:lineRule="auto"/>
        <w:jc w:val="left"/>
        <w:rPr>
          <w:rFonts w:ascii="宋体" w:hAnsi="宋体" w:eastAsia="宋体" w:cs="宋体"/>
          <w:color w:val="auto"/>
          <w:sz w:val="36"/>
          <w:szCs w:val="36"/>
          <w:highlight w:val="none"/>
          <w:u w:val="single"/>
          <w:lang w:bidi="ar"/>
        </w:rPr>
      </w:pPr>
    </w:p>
    <w:p>
      <w:pPr>
        <w:wordWrap w:val="0"/>
        <w:spacing w:line="360" w:lineRule="auto"/>
        <w:jc w:val="left"/>
        <w:rPr>
          <w:rFonts w:ascii="宋体" w:hAnsi="宋体" w:eastAsia="宋体" w:cs="宋体"/>
          <w:color w:val="auto"/>
          <w:sz w:val="36"/>
          <w:szCs w:val="36"/>
          <w:highlight w:val="none"/>
          <w:u w:val="single"/>
        </w:rPr>
      </w:pPr>
    </w:p>
    <w:p>
      <w:pPr>
        <w:wordWrap w:val="0"/>
        <w:spacing w:line="360" w:lineRule="auto"/>
        <w:jc w:val="center"/>
        <w:rPr>
          <w:rFonts w:ascii="宋体" w:hAnsi="宋体" w:eastAsia="宋体" w:cs="宋体"/>
          <w:b/>
          <w:color w:val="auto"/>
          <w:spacing w:val="26"/>
          <w:sz w:val="110"/>
          <w:szCs w:val="110"/>
          <w:highlight w:val="none"/>
        </w:rPr>
      </w:pPr>
      <w:r>
        <w:rPr>
          <w:rFonts w:hint="eastAsia" w:ascii="宋体" w:hAnsi="宋体" w:eastAsia="宋体" w:cs="宋体"/>
          <w:b/>
          <w:color w:val="auto"/>
          <w:spacing w:val="26"/>
          <w:sz w:val="96"/>
          <w:szCs w:val="96"/>
          <w:highlight w:val="none"/>
          <w:lang w:bidi="ar"/>
        </w:rPr>
        <w:t>招标文件</w:t>
      </w:r>
    </w:p>
    <w:p>
      <w:pPr>
        <w:wordWrap w:val="0"/>
        <w:spacing w:line="360" w:lineRule="auto"/>
        <w:rPr>
          <w:rFonts w:ascii="宋体" w:hAnsi="宋体" w:eastAsia="宋体" w:cs="宋体"/>
          <w:color w:val="auto"/>
          <w:sz w:val="32"/>
          <w:szCs w:val="32"/>
          <w:highlight w:val="none"/>
        </w:rPr>
      </w:pPr>
    </w:p>
    <w:p>
      <w:pPr>
        <w:wordWrap w:val="0"/>
        <w:spacing w:line="360" w:lineRule="auto"/>
        <w:rPr>
          <w:rFonts w:ascii="宋体" w:hAnsi="宋体" w:eastAsia="宋体" w:cs="宋体"/>
          <w:color w:val="auto"/>
          <w:sz w:val="52"/>
          <w:szCs w:val="52"/>
          <w:highlight w:val="none"/>
        </w:rPr>
      </w:pPr>
    </w:p>
    <w:p>
      <w:pPr>
        <w:wordWrap w:val="0"/>
        <w:spacing w:line="360" w:lineRule="auto"/>
        <w:rPr>
          <w:rFonts w:ascii="宋体" w:hAnsi="宋体" w:eastAsia="宋体" w:cs="宋体"/>
          <w:color w:val="auto"/>
          <w:sz w:val="52"/>
          <w:szCs w:val="52"/>
          <w:highlight w:val="none"/>
          <w:lang w:bidi="ar"/>
        </w:rPr>
      </w:pPr>
    </w:p>
    <w:p>
      <w:pPr>
        <w:wordWrap w:val="0"/>
        <w:spacing w:line="360" w:lineRule="auto"/>
        <w:rPr>
          <w:rFonts w:ascii="宋体" w:hAnsi="宋体" w:eastAsia="宋体" w:cs="宋体"/>
          <w:color w:val="auto"/>
          <w:sz w:val="52"/>
          <w:szCs w:val="52"/>
          <w:highlight w:val="none"/>
          <w:lang w:bidi="ar"/>
        </w:rPr>
      </w:pPr>
    </w:p>
    <w:p>
      <w:pPr>
        <w:wordWrap w:val="0"/>
        <w:spacing w:line="360" w:lineRule="auto"/>
        <w:rPr>
          <w:rFonts w:ascii="宋体" w:hAnsi="宋体" w:eastAsia="宋体" w:cs="宋体"/>
          <w:color w:val="auto"/>
          <w:sz w:val="21"/>
          <w:szCs w:val="21"/>
          <w:highlight w:val="none"/>
          <w:lang w:bidi="ar"/>
        </w:rPr>
      </w:pPr>
    </w:p>
    <w:p>
      <w:pPr>
        <w:wordWrap w:val="0"/>
        <w:spacing w:line="360" w:lineRule="auto"/>
        <w:rPr>
          <w:rFonts w:ascii="宋体" w:hAnsi="宋体" w:eastAsia="宋体" w:cs="宋体"/>
          <w:color w:val="auto"/>
          <w:sz w:val="52"/>
          <w:szCs w:val="52"/>
          <w:highlight w:val="none"/>
          <w:lang w:bidi="ar"/>
        </w:rPr>
      </w:pPr>
    </w:p>
    <w:p>
      <w:pPr>
        <w:wordWrap w:val="0"/>
        <w:spacing w:line="360" w:lineRule="auto"/>
        <w:ind w:firstLine="992" w:firstLineChars="31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招   标   人：</w:t>
      </w:r>
      <w:r>
        <w:rPr>
          <w:rFonts w:hint="eastAsia" w:ascii="宋体" w:hAnsi="宋体" w:eastAsia="宋体" w:cs="宋体"/>
          <w:color w:val="auto"/>
          <w:sz w:val="32"/>
          <w:szCs w:val="32"/>
          <w:highlight w:val="none"/>
          <w:u w:val="single"/>
          <w:lang w:bidi="ar"/>
        </w:rPr>
        <w:t>广州市花都区交通运输局</w:t>
      </w:r>
    </w:p>
    <w:p>
      <w:pPr>
        <w:wordWrap w:val="0"/>
        <w:spacing w:line="360" w:lineRule="auto"/>
        <w:ind w:firstLine="992" w:firstLineChars="31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bidi="ar"/>
        </w:rPr>
        <w:t>招标代理机构：</w:t>
      </w:r>
      <w:r>
        <w:rPr>
          <w:rFonts w:hint="eastAsia" w:ascii="宋体" w:hAnsi="宋体" w:eastAsia="宋体" w:cs="宋体"/>
          <w:color w:val="auto"/>
          <w:sz w:val="32"/>
          <w:szCs w:val="32"/>
          <w:highlight w:val="none"/>
          <w:u w:val="single"/>
          <w:lang w:eastAsia="zh-CN" w:bidi="ar"/>
        </w:rPr>
        <w:t>广州市交正工程咨询有限公司</w:t>
      </w:r>
    </w:p>
    <w:p>
      <w:pPr>
        <w:wordWrap w:val="0"/>
        <w:spacing w:line="360" w:lineRule="auto"/>
        <w:ind w:firstLine="992" w:firstLineChars="31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bidi="ar"/>
        </w:rPr>
        <w:t>日        期：2025年</w:t>
      </w:r>
      <w:r>
        <w:rPr>
          <w:rFonts w:hint="eastAsia" w:ascii="宋体" w:hAnsi="宋体" w:eastAsia="宋体" w:cs="宋体"/>
          <w:color w:val="auto"/>
          <w:sz w:val="32"/>
          <w:szCs w:val="32"/>
          <w:highlight w:val="none"/>
          <w:u w:val="none"/>
          <w:lang w:val="en-US" w:eastAsia="zh-CN" w:bidi="ar"/>
        </w:rPr>
        <w:t>4</w:t>
      </w:r>
      <w:r>
        <w:rPr>
          <w:rFonts w:hint="eastAsia" w:ascii="宋体" w:hAnsi="宋体" w:eastAsia="宋体" w:cs="宋体"/>
          <w:color w:val="auto"/>
          <w:sz w:val="32"/>
          <w:szCs w:val="32"/>
          <w:highlight w:val="none"/>
          <w:lang w:bidi="ar"/>
        </w:rPr>
        <w:t>月</w:t>
      </w:r>
    </w:p>
    <w:p>
      <w:pPr>
        <w:wordWrap w:val="0"/>
        <w:spacing w:line="360" w:lineRule="auto"/>
        <w:rPr>
          <w:rFonts w:ascii="Calibri" w:hAnsi="Calibri" w:eastAsia="宋体" w:cs="Times New Roman"/>
          <w:b/>
          <w:color w:val="auto"/>
          <w:sz w:val="36"/>
          <w:szCs w:val="36"/>
          <w:highlight w:val="none"/>
        </w:rPr>
        <w:sectPr>
          <w:footerReference r:id="rId3" w:type="default"/>
          <w:type w:val="continuous"/>
          <w:pgSz w:w="11905" w:h="16838"/>
          <w:pgMar w:top="1440" w:right="1800" w:bottom="1440" w:left="1800" w:header="720" w:footer="720" w:gutter="0"/>
          <w:pgNumType w:start="0"/>
          <w:cols w:space="425" w:num="1"/>
          <w:titlePg/>
          <w:docGrid w:type="lines" w:linePitch="312" w:charSpace="0"/>
        </w:sectPr>
      </w:pPr>
    </w:p>
    <w:p>
      <w:pPr>
        <w:widowControl/>
        <w:wordWrap w:val="0"/>
        <w:jc w:val="left"/>
        <w:rPr>
          <w:rFonts w:ascii="Times New Roman" w:hAnsi="Times New Roman" w:eastAsia="宋体" w:cs="Times New Roman"/>
          <w:color w:val="auto"/>
          <w:kern w:val="0"/>
          <w:sz w:val="20"/>
          <w:szCs w:val="20"/>
          <w:highlight w:val="none"/>
        </w:rPr>
      </w:pPr>
      <w:r>
        <w:rPr>
          <w:rFonts w:ascii="Times New Roman" w:hAnsi="Times New Roman" w:eastAsia="宋体" w:cs="Times New Roman"/>
          <w:color w:val="auto"/>
          <w:kern w:val="0"/>
          <w:sz w:val="20"/>
          <w:szCs w:val="20"/>
          <w:highlight w:val="none"/>
        </w:rPr>
        <w:br w:type="page"/>
      </w:r>
    </w:p>
    <w:p>
      <w:pPr>
        <w:wordWrap w:val="0"/>
        <w:spacing w:after="120"/>
        <w:ind w:firstLine="200" w:firstLineChars="100"/>
        <w:rPr>
          <w:rFonts w:ascii="Times New Roman" w:hAnsi="Times New Roman" w:eastAsia="宋体" w:cs="Times New Roman"/>
          <w:color w:val="auto"/>
          <w:kern w:val="0"/>
          <w:sz w:val="20"/>
          <w:szCs w:val="20"/>
          <w:highlight w:val="none"/>
        </w:rPr>
      </w:pPr>
    </w:p>
    <w:p>
      <w:pPr>
        <w:keepNext/>
        <w:keepLines/>
        <w:widowControl/>
        <w:wordWrap w:val="0"/>
        <w:spacing w:before="480" w:line="276"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zh-CN"/>
        </w:rPr>
        <w:t>目 录</w:t>
      </w:r>
    </w:p>
    <w:p>
      <w:pPr>
        <w:pStyle w:val="32"/>
        <w:tabs>
          <w:tab w:val="right" w:leader="dot" w:pos="8289"/>
        </w:tabs>
        <w:wordWrap w:val="0"/>
        <w:rPr>
          <w:rFonts w:asciiTheme="minorHAnsi" w:hAnsiTheme="minorHAnsi" w:eastAsiaTheme="minorEastAsia" w:cstheme="minorBidi"/>
          <w:b w:val="0"/>
          <w:bCs w:val="0"/>
          <w:caps w:val="0"/>
          <w:color w:val="auto"/>
          <w:sz w:val="21"/>
          <w:szCs w:val="22"/>
          <w:highlight w:val="none"/>
        </w:rPr>
      </w:pPr>
      <w:r>
        <w:rPr>
          <w:rFonts w:hint="eastAsia" w:ascii="宋体" w:hAnsi="宋体" w:cs="宋体"/>
          <w:bCs w:val="0"/>
          <w:caps w:val="0"/>
          <w:color w:val="auto"/>
          <w:sz w:val="24"/>
          <w:szCs w:val="24"/>
          <w:highlight w:val="none"/>
        </w:rPr>
        <w:fldChar w:fldCharType="begin"/>
      </w:r>
      <w:r>
        <w:rPr>
          <w:rFonts w:hint="eastAsia" w:ascii="宋体" w:hAnsi="宋体" w:cs="宋体"/>
          <w:bCs w:val="0"/>
          <w:caps w:val="0"/>
          <w:color w:val="auto"/>
          <w:sz w:val="24"/>
          <w:szCs w:val="24"/>
          <w:highlight w:val="none"/>
        </w:rPr>
        <w:instrText xml:space="preserve"> TOC \o "1-3" \h \z \u </w:instrText>
      </w:r>
      <w:r>
        <w:rPr>
          <w:rFonts w:hint="eastAsia" w:ascii="宋体" w:hAnsi="宋体" w:cs="宋体"/>
          <w:bCs w:val="0"/>
          <w:caps w:val="0"/>
          <w:color w:val="auto"/>
          <w:sz w:val="24"/>
          <w:szCs w:val="24"/>
          <w:highlight w:val="none"/>
        </w:rPr>
        <w:fldChar w:fldCharType="separate"/>
      </w:r>
      <w:r>
        <w:rPr>
          <w:color w:val="auto"/>
          <w:highlight w:val="none"/>
        </w:rPr>
        <w:fldChar w:fldCharType="begin"/>
      </w:r>
      <w:r>
        <w:rPr>
          <w:color w:val="auto"/>
          <w:highlight w:val="none"/>
        </w:rPr>
        <w:instrText xml:space="preserve"> HYPERLINK \l "_Toc193357935" </w:instrText>
      </w:r>
      <w:r>
        <w:rPr>
          <w:color w:val="auto"/>
          <w:highlight w:val="none"/>
        </w:rPr>
        <w:fldChar w:fldCharType="separate"/>
      </w:r>
      <w:r>
        <w:rPr>
          <w:rStyle w:val="52"/>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_Toc193357935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32"/>
        <w:tabs>
          <w:tab w:val="right" w:leader="dot" w:pos="8289"/>
        </w:tabs>
        <w:wordWrap w:val="0"/>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"_Toc193357936" </w:instrText>
      </w:r>
      <w:r>
        <w:rPr>
          <w:color w:val="auto"/>
          <w:highlight w:val="none"/>
        </w:rPr>
        <w:fldChar w:fldCharType="separate"/>
      </w:r>
      <w:r>
        <w:rPr>
          <w:rStyle w:val="52"/>
          <w:color w:val="auto"/>
          <w:highlight w:val="none"/>
          <w:lang w:bidi="ar"/>
        </w:rPr>
        <w:t>第一章  招标公告</w:t>
      </w:r>
      <w:r>
        <w:rPr>
          <w:color w:val="auto"/>
          <w:highlight w:val="none"/>
        </w:rPr>
        <w:tab/>
      </w:r>
      <w:r>
        <w:rPr>
          <w:color w:val="auto"/>
          <w:highlight w:val="none"/>
        </w:rPr>
        <w:fldChar w:fldCharType="begin"/>
      </w:r>
      <w:r>
        <w:rPr>
          <w:color w:val="auto"/>
          <w:highlight w:val="none"/>
        </w:rPr>
        <w:instrText xml:space="preserve"> PAGEREF _Toc193357936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32"/>
        <w:tabs>
          <w:tab w:val="right" w:leader="dot" w:pos="8289"/>
        </w:tabs>
        <w:wordWrap w:val="0"/>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"_Toc193357937" </w:instrText>
      </w:r>
      <w:r>
        <w:rPr>
          <w:color w:val="auto"/>
          <w:highlight w:val="none"/>
        </w:rPr>
        <w:fldChar w:fldCharType="separate"/>
      </w:r>
      <w:r>
        <w:rPr>
          <w:rStyle w:val="52"/>
          <w:color w:val="auto"/>
          <w:highlight w:val="none"/>
          <w:lang w:bidi="ar"/>
        </w:rPr>
        <w:t>第二章  投标人须知</w:t>
      </w:r>
      <w:r>
        <w:rPr>
          <w:color w:val="auto"/>
          <w:highlight w:val="none"/>
        </w:rPr>
        <w:tab/>
      </w:r>
      <w:r>
        <w:rPr>
          <w:color w:val="auto"/>
          <w:highlight w:val="none"/>
        </w:rPr>
        <w:fldChar w:fldCharType="begin"/>
      </w:r>
      <w:r>
        <w:rPr>
          <w:color w:val="auto"/>
          <w:highlight w:val="none"/>
        </w:rPr>
        <w:instrText xml:space="preserve"> PAGEREF _Toc193357937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2"/>
        <w:tabs>
          <w:tab w:val="right" w:leader="dot" w:pos="8289"/>
        </w:tabs>
        <w:wordWrap w:val="0"/>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"_Toc193358002" </w:instrText>
      </w:r>
      <w:r>
        <w:rPr>
          <w:color w:val="auto"/>
          <w:highlight w:val="none"/>
        </w:rPr>
        <w:fldChar w:fldCharType="separate"/>
      </w:r>
      <w:r>
        <w:rPr>
          <w:rStyle w:val="52"/>
          <w:color w:val="auto"/>
          <w:highlight w:val="none"/>
        </w:rPr>
        <w:t>第三章  评标办法（综合评估法）</w:t>
      </w:r>
      <w:r>
        <w:rPr>
          <w:color w:val="auto"/>
          <w:highlight w:val="none"/>
        </w:rPr>
        <w:tab/>
      </w:r>
      <w:r>
        <w:rPr>
          <w:color w:val="auto"/>
          <w:highlight w:val="none"/>
        </w:rPr>
        <w:fldChar w:fldCharType="begin"/>
      </w:r>
      <w:r>
        <w:rPr>
          <w:color w:val="auto"/>
          <w:highlight w:val="none"/>
        </w:rPr>
        <w:instrText xml:space="preserve"> PAGEREF _Toc193358002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32"/>
        <w:tabs>
          <w:tab w:val="right" w:leader="dot" w:pos="8289"/>
        </w:tabs>
        <w:wordWrap w:val="0"/>
        <w:rPr>
          <w:rFonts w:hint="default" w:eastAsia="宋体" w:asciiTheme="minorHAnsi" w:hAnsiTheme="minorHAnsi"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"_Toc193358019" </w:instrText>
      </w:r>
      <w:r>
        <w:rPr>
          <w:color w:val="auto"/>
          <w:highlight w:val="none"/>
        </w:rPr>
        <w:fldChar w:fldCharType="separate"/>
      </w:r>
      <w:r>
        <w:rPr>
          <w:rStyle w:val="52"/>
          <w:color w:val="auto"/>
          <w:highlight w:val="none"/>
        </w:rPr>
        <w:t>第四章  合同条款及格式</w:t>
      </w:r>
      <w:r>
        <w:rPr>
          <w:color w:val="auto"/>
          <w:highlight w:val="none"/>
        </w:rPr>
        <w:tab/>
      </w:r>
      <w:r>
        <w:rPr>
          <w:color w:val="auto"/>
          <w:highlight w:val="none"/>
        </w:rPr>
        <w:fldChar w:fldCharType="end"/>
      </w:r>
      <w:r>
        <w:rPr>
          <w:rFonts w:hint="eastAsia"/>
          <w:color w:val="auto"/>
          <w:highlight w:val="none"/>
          <w:lang w:eastAsia="zh-CN"/>
        </w:rPr>
        <w:t>4</w:t>
      </w:r>
      <w:r>
        <w:rPr>
          <w:rFonts w:hint="eastAsia"/>
          <w:color w:val="auto"/>
          <w:highlight w:val="none"/>
          <w:lang w:val="en-US" w:eastAsia="zh-CN"/>
        </w:rPr>
        <w:t>7</w:t>
      </w:r>
    </w:p>
    <w:p>
      <w:pPr>
        <w:pStyle w:val="32"/>
        <w:tabs>
          <w:tab w:val="right" w:leader="dot" w:pos="8289"/>
        </w:tabs>
        <w:wordWrap w:val="0"/>
        <w:rPr>
          <w:rFonts w:hint="default" w:eastAsia="宋体" w:asciiTheme="minorHAnsi" w:hAnsiTheme="minorHAnsi"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"_Toc193358020" </w:instrText>
      </w:r>
      <w:r>
        <w:rPr>
          <w:color w:val="auto"/>
          <w:highlight w:val="none"/>
        </w:rPr>
        <w:fldChar w:fldCharType="separate"/>
      </w:r>
      <w:r>
        <w:rPr>
          <w:rStyle w:val="52"/>
          <w:color w:val="auto"/>
          <w:highlight w:val="none"/>
        </w:rPr>
        <w:t>第二卷</w:t>
      </w:r>
      <w:r>
        <w:rPr>
          <w:color w:val="auto"/>
          <w:highlight w:val="none"/>
        </w:rPr>
        <w:tab/>
      </w:r>
      <w:r>
        <w:rPr>
          <w:color w:val="auto"/>
          <w:highlight w:val="none"/>
        </w:rPr>
        <w:fldChar w:fldCharType="end"/>
      </w:r>
      <w:r>
        <w:rPr>
          <w:rFonts w:hint="eastAsia"/>
          <w:color w:val="auto"/>
          <w:highlight w:val="none"/>
          <w:lang w:eastAsia="zh-CN"/>
        </w:rPr>
        <w:t>4</w:t>
      </w:r>
      <w:r>
        <w:rPr>
          <w:rFonts w:hint="eastAsia"/>
          <w:color w:val="auto"/>
          <w:highlight w:val="none"/>
          <w:lang w:val="en-US" w:eastAsia="zh-CN"/>
        </w:rPr>
        <w:t>8</w:t>
      </w:r>
    </w:p>
    <w:p>
      <w:pPr>
        <w:pStyle w:val="32"/>
        <w:tabs>
          <w:tab w:val="right" w:leader="dot" w:pos="8289"/>
        </w:tabs>
        <w:wordWrap w:val="0"/>
        <w:rPr>
          <w:rFonts w:hint="default" w:eastAsia="宋体" w:asciiTheme="minorHAnsi" w:hAnsiTheme="minorHAnsi"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"_Toc193358021" </w:instrText>
      </w:r>
      <w:r>
        <w:rPr>
          <w:color w:val="auto"/>
          <w:highlight w:val="none"/>
        </w:rPr>
        <w:fldChar w:fldCharType="separate"/>
      </w:r>
      <w:r>
        <w:rPr>
          <w:rStyle w:val="52"/>
          <w:color w:val="auto"/>
          <w:highlight w:val="none"/>
        </w:rPr>
        <w:t>第五章  发包人要求</w:t>
      </w:r>
      <w:r>
        <w:rPr>
          <w:color w:val="auto"/>
          <w:highlight w:val="none"/>
        </w:rPr>
        <w:tab/>
      </w:r>
      <w:r>
        <w:rPr>
          <w:color w:val="auto"/>
          <w:highlight w:val="none"/>
        </w:rPr>
        <w:fldChar w:fldCharType="end"/>
      </w:r>
      <w:r>
        <w:rPr>
          <w:rFonts w:hint="eastAsia"/>
          <w:color w:val="auto"/>
          <w:highlight w:val="none"/>
          <w:lang w:eastAsia="zh-CN"/>
        </w:rPr>
        <w:t>4</w:t>
      </w:r>
      <w:r>
        <w:rPr>
          <w:rFonts w:hint="eastAsia"/>
          <w:color w:val="auto"/>
          <w:highlight w:val="none"/>
          <w:lang w:val="en-US" w:eastAsia="zh-CN"/>
        </w:rPr>
        <w:t>8</w:t>
      </w:r>
    </w:p>
    <w:p>
      <w:pPr>
        <w:pStyle w:val="32"/>
        <w:tabs>
          <w:tab w:val="right" w:leader="dot" w:pos="8289"/>
        </w:tabs>
        <w:wordWrap w:val="0"/>
        <w:rPr>
          <w:rFonts w:hint="default" w:eastAsia="宋体" w:asciiTheme="minorHAnsi" w:hAnsiTheme="minorHAnsi"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"_Toc193358022" </w:instrText>
      </w:r>
      <w:r>
        <w:rPr>
          <w:color w:val="auto"/>
          <w:highlight w:val="none"/>
        </w:rPr>
        <w:fldChar w:fldCharType="separate"/>
      </w:r>
      <w:r>
        <w:rPr>
          <w:rStyle w:val="52"/>
          <w:color w:val="auto"/>
          <w:highlight w:val="none"/>
        </w:rPr>
        <w:t>第三卷</w:t>
      </w:r>
      <w:r>
        <w:rPr>
          <w:color w:val="auto"/>
          <w:highlight w:val="none"/>
        </w:rPr>
        <w:tab/>
      </w:r>
      <w:r>
        <w:rPr>
          <w:color w:val="auto"/>
          <w:highlight w:val="none"/>
        </w:rPr>
        <w:fldChar w:fldCharType="end"/>
      </w:r>
      <w:r>
        <w:rPr>
          <w:rFonts w:hint="eastAsia"/>
          <w:color w:val="auto"/>
          <w:highlight w:val="none"/>
          <w:lang w:eastAsia="zh-CN"/>
        </w:rPr>
        <w:t>4</w:t>
      </w:r>
      <w:r>
        <w:rPr>
          <w:rFonts w:hint="eastAsia"/>
          <w:color w:val="auto"/>
          <w:highlight w:val="none"/>
          <w:lang w:val="en-US" w:eastAsia="zh-CN"/>
        </w:rPr>
        <w:t>9</w:t>
      </w:r>
    </w:p>
    <w:p>
      <w:pPr>
        <w:pStyle w:val="32"/>
        <w:tabs>
          <w:tab w:val="right" w:leader="dot" w:pos="8289"/>
        </w:tabs>
        <w:wordWrap w:val="0"/>
        <w:rPr>
          <w:rFonts w:hint="default" w:eastAsia="宋体" w:asciiTheme="minorHAnsi" w:hAnsiTheme="minorHAnsi"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"_Toc193358023" </w:instrText>
      </w:r>
      <w:r>
        <w:rPr>
          <w:color w:val="auto"/>
          <w:highlight w:val="none"/>
        </w:rPr>
        <w:fldChar w:fldCharType="separate"/>
      </w:r>
      <w:r>
        <w:rPr>
          <w:rStyle w:val="52"/>
          <w:color w:val="auto"/>
          <w:highlight w:val="none"/>
        </w:rPr>
        <w:t>第六章  投标文件格式</w:t>
      </w:r>
      <w:r>
        <w:rPr>
          <w:color w:val="auto"/>
          <w:highlight w:val="none"/>
        </w:rPr>
        <w:tab/>
      </w:r>
      <w:r>
        <w:rPr>
          <w:color w:val="auto"/>
          <w:highlight w:val="none"/>
        </w:rPr>
        <w:fldChar w:fldCharType="end"/>
      </w:r>
      <w:r>
        <w:rPr>
          <w:rFonts w:hint="eastAsia"/>
          <w:color w:val="auto"/>
          <w:highlight w:val="none"/>
          <w:lang w:eastAsia="zh-CN"/>
        </w:rPr>
        <w:t>4</w:t>
      </w:r>
      <w:r>
        <w:rPr>
          <w:rFonts w:hint="eastAsia"/>
          <w:color w:val="auto"/>
          <w:highlight w:val="none"/>
          <w:lang w:val="en-US" w:eastAsia="zh-CN"/>
        </w:rPr>
        <w:t>9</w:t>
      </w:r>
    </w:p>
    <w:p>
      <w:pPr>
        <w:wordWrap w:val="0"/>
        <w:spacing w:line="360" w:lineRule="auto"/>
        <w:rPr>
          <w:rFonts w:ascii="宋体" w:hAnsi="宋体" w:eastAsia="宋体" w:cs="宋体"/>
          <w:color w:val="auto"/>
          <w:kern w:val="0"/>
          <w:szCs w:val="21"/>
          <w:highlight w:val="none"/>
        </w:rPr>
      </w:pPr>
      <w:r>
        <w:rPr>
          <w:rFonts w:hint="eastAsia" w:ascii="宋体" w:hAnsi="宋体" w:eastAsia="宋体" w:cs="宋体"/>
          <w:bCs/>
          <w:color w:val="auto"/>
          <w:sz w:val="24"/>
          <w:szCs w:val="24"/>
          <w:highlight w:val="none"/>
          <w:lang w:val="zh-CN"/>
        </w:rPr>
        <w:fldChar w:fldCharType="end"/>
      </w:r>
    </w:p>
    <w:p>
      <w:pPr>
        <w:wordWrap w:val="0"/>
        <w:autoSpaceDE w:val="0"/>
        <w:autoSpaceDN w:val="0"/>
        <w:spacing w:line="2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page"/>
      </w:r>
    </w:p>
    <w:p>
      <w:pPr>
        <w:pStyle w:val="3"/>
        <w:rPr>
          <w:color w:val="auto"/>
          <w:highlight w:val="none"/>
        </w:rPr>
      </w:pPr>
      <w:bookmarkStart w:id="0" w:name="_Toc111186720"/>
      <w:bookmarkStart w:id="1" w:name="_Toc193357935"/>
      <w:r>
        <w:rPr>
          <w:rFonts w:hint="eastAsia"/>
          <w:color w:val="auto"/>
          <w:highlight w:val="none"/>
        </w:rPr>
        <w:t>第一卷</w:t>
      </w:r>
      <w:bookmarkEnd w:id="0"/>
      <w:bookmarkEnd w:id="1"/>
    </w:p>
    <w:p>
      <w:pPr>
        <w:widowControl/>
        <w:wordWrap w:val="0"/>
        <w:jc w:val="left"/>
        <w:rPr>
          <w:rFonts w:ascii="宋体" w:hAnsi="宋体" w:eastAsia="宋体" w:cs="宋体"/>
          <w:color w:val="auto"/>
          <w:spacing w:val="2"/>
          <w:kern w:val="0"/>
          <w:sz w:val="44"/>
          <w:szCs w:val="44"/>
          <w:highlight w:val="none"/>
        </w:rPr>
        <w:sectPr>
          <w:footerReference r:id="rId4" w:type="default"/>
          <w:type w:val="continuous"/>
          <w:pgSz w:w="11905" w:h="16838"/>
          <w:pgMar w:top="1440" w:right="1803" w:bottom="1440" w:left="1803" w:header="720" w:footer="720" w:gutter="0"/>
          <w:pgNumType w:start="0"/>
          <w:cols w:space="720" w:num="1"/>
          <w:titlePg/>
          <w:docGrid w:linePitch="286" w:charSpace="0"/>
        </w:sectPr>
      </w:pPr>
    </w:p>
    <w:p>
      <w:pPr>
        <w:pStyle w:val="3"/>
        <w:rPr>
          <w:color w:val="auto"/>
          <w:highlight w:val="none"/>
          <w:lang w:bidi="ar"/>
        </w:rPr>
      </w:pPr>
      <w:bookmarkStart w:id="2" w:name="_Toc193357936"/>
      <w:bookmarkStart w:id="3" w:name="_Toc111186721"/>
      <w:r>
        <w:rPr>
          <w:rFonts w:hint="eastAsia"/>
          <w:color w:val="auto"/>
          <w:highlight w:val="none"/>
          <w:lang w:bidi="ar"/>
        </w:rPr>
        <w:t>第一章  招标公告</w:t>
      </w:r>
      <w:bookmarkEnd w:id="2"/>
      <w:bookmarkEnd w:id="3"/>
    </w:p>
    <w:p>
      <w:pPr>
        <w:wordWrap w:val="0"/>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另册</w:t>
      </w:r>
    </w:p>
    <w:p>
      <w:pPr>
        <w:widowControl/>
        <w:wordWrap w:val="0"/>
        <w:jc w:val="left"/>
        <w:rPr>
          <w:rFonts w:ascii="宋体" w:hAnsi="宋体" w:eastAsia="宋体" w:cs="宋体"/>
          <w:color w:val="auto"/>
          <w:spacing w:val="2"/>
          <w:kern w:val="0"/>
          <w:sz w:val="44"/>
          <w:szCs w:val="44"/>
          <w:highlight w:val="none"/>
        </w:rPr>
      </w:pPr>
      <w:r>
        <w:rPr>
          <w:rFonts w:ascii="宋体" w:hAnsi="宋体" w:eastAsia="宋体" w:cs="宋体"/>
          <w:color w:val="auto"/>
          <w:spacing w:val="2"/>
          <w:kern w:val="0"/>
          <w:sz w:val="44"/>
          <w:szCs w:val="44"/>
          <w:highlight w:val="none"/>
        </w:rPr>
        <w:br w:type="page"/>
      </w:r>
    </w:p>
    <w:p>
      <w:pPr>
        <w:widowControl/>
        <w:wordWrap w:val="0"/>
        <w:jc w:val="left"/>
        <w:rPr>
          <w:rFonts w:ascii="宋体" w:hAnsi="宋体" w:eastAsia="宋体" w:cs="宋体"/>
          <w:color w:val="auto"/>
          <w:spacing w:val="2"/>
          <w:kern w:val="0"/>
          <w:sz w:val="44"/>
          <w:szCs w:val="44"/>
          <w:highlight w:val="none"/>
        </w:rPr>
        <w:sectPr>
          <w:type w:val="continuous"/>
          <w:pgSz w:w="11905" w:h="16838"/>
          <w:pgMar w:top="1474" w:right="1701" w:bottom="1474" w:left="1701" w:header="720" w:footer="720" w:gutter="0"/>
          <w:cols w:space="720" w:num="1"/>
        </w:sectPr>
      </w:pPr>
    </w:p>
    <w:p>
      <w:pPr>
        <w:pStyle w:val="3"/>
        <w:rPr>
          <w:color w:val="auto"/>
          <w:highlight w:val="none"/>
          <w:lang w:bidi="ar"/>
        </w:rPr>
      </w:pPr>
      <w:bookmarkStart w:id="4" w:name="_Toc111186722"/>
      <w:bookmarkStart w:id="5" w:name="_Toc193357937"/>
      <w:r>
        <w:rPr>
          <w:rFonts w:hint="eastAsia"/>
          <w:color w:val="auto"/>
          <w:highlight w:val="none"/>
          <w:lang w:bidi="ar"/>
        </w:rPr>
        <w:t>第二章  投标人须知</w:t>
      </w:r>
      <w:bookmarkEnd w:id="4"/>
      <w:bookmarkEnd w:id="5"/>
    </w:p>
    <w:p>
      <w:pPr>
        <w:pStyle w:val="4"/>
        <w:wordWrap w:val="0"/>
        <w:rPr>
          <w:color w:val="auto"/>
          <w:highlight w:val="none"/>
          <w:lang w:bidi="ar"/>
        </w:rPr>
      </w:pPr>
      <w:bookmarkStart w:id="6" w:name="_Toc26350"/>
      <w:bookmarkStart w:id="7" w:name="_Toc111186723"/>
      <w:bookmarkStart w:id="8" w:name="_Toc193357938"/>
      <w:r>
        <w:rPr>
          <w:rFonts w:hint="eastAsia"/>
          <w:color w:val="auto"/>
          <w:highlight w:val="none"/>
          <w:lang w:bidi="ar"/>
        </w:rPr>
        <w:t>投标人须知前附表</w:t>
      </w:r>
      <w:bookmarkEnd w:id="6"/>
      <w:bookmarkEnd w:id="7"/>
      <w:bookmarkEnd w:id="8"/>
    </w:p>
    <w:tbl>
      <w:tblPr>
        <w:tblStyle w:val="45"/>
        <w:tblW w:w="49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809"/>
        <w:gridCol w:w="5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blHeader/>
        </w:trPr>
        <w:tc>
          <w:tcPr>
            <w:tcW w:w="440" w:type="pct"/>
            <w:vAlign w:val="center"/>
          </w:tcPr>
          <w:p>
            <w:pPr>
              <w:wordWrap w:val="0"/>
              <w:autoSpaceDE w:val="0"/>
              <w:autoSpaceDN w:val="0"/>
              <w:spacing w:line="276"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条款号</w:t>
            </w:r>
          </w:p>
        </w:tc>
        <w:tc>
          <w:tcPr>
            <w:tcW w:w="1065" w:type="pct"/>
            <w:vAlign w:val="center"/>
          </w:tcPr>
          <w:p>
            <w:pPr>
              <w:wordWrap w:val="0"/>
              <w:autoSpaceDE w:val="0"/>
              <w:autoSpaceDN w:val="0"/>
              <w:spacing w:line="276"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条款名称</w:t>
            </w:r>
          </w:p>
        </w:tc>
        <w:tc>
          <w:tcPr>
            <w:tcW w:w="3493" w:type="pct"/>
            <w:vAlign w:val="center"/>
          </w:tcPr>
          <w:p>
            <w:pPr>
              <w:wordWrap w:val="0"/>
              <w:autoSpaceDE w:val="0"/>
              <w:autoSpaceDN w:val="0"/>
              <w:spacing w:line="276"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rPr>
              <w:t>广州市花都区交通运输局</w:t>
            </w:r>
          </w:p>
          <w:p>
            <w:pPr>
              <w:wordWrap w:val="0"/>
              <w:spacing w:line="276"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lang w:eastAsia="zh-CN"/>
              </w:rPr>
              <w:t>广州市花都区紫薇路23号</w:t>
            </w:r>
          </w:p>
          <w:p>
            <w:pPr>
              <w:wordWrap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lang w:eastAsia="zh-CN"/>
              </w:rPr>
              <w:t>王工</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w:t>
            </w:r>
            <w:r>
              <w:rPr>
                <w:rFonts w:ascii="宋体" w:hAnsi="宋体" w:eastAsia="宋体" w:cs="宋体"/>
                <w:color w:val="auto"/>
                <w:szCs w:val="21"/>
                <w:highlight w:val="none"/>
                <w:u w:val="single"/>
              </w:rPr>
              <w:t>020-86970157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招标代理机构</w:t>
            </w:r>
          </w:p>
        </w:tc>
        <w:tc>
          <w:tcPr>
            <w:tcW w:w="3493" w:type="pct"/>
            <w:vAlign w:val="center"/>
          </w:tcPr>
          <w:p>
            <w:pPr>
              <w:wordWrap w:val="0"/>
              <w:spacing w:line="276"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single"/>
                <w:lang w:eastAsia="zh-CN"/>
              </w:rPr>
              <w:t>广州市交正工程咨询有限公司</w:t>
            </w:r>
          </w:p>
          <w:p>
            <w:pPr>
              <w:wordWrap w:val="0"/>
              <w:spacing w:line="276"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lang w:eastAsia="zh-CN"/>
              </w:rPr>
              <w:t>广州市番禺区洛浦街道北环路87号2号楼</w:t>
            </w:r>
          </w:p>
          <w:p>
            <w:pPr>
              <w:wordWrap w:val="0"/>
              <w:spacing w:line="276" w:lineRule="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u w:val="single"/>
                <w:lang w:eastAsia="zh-CN"/>
              </w:rPr>
              <w:t>余工</w:t>
            </w:r>
          </w:p>
          <w:p>
            <w:pPr>
              <w:wordWrap w:val="0"/>
              <w:spacing w:line="276"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lang w:eastAsia="zh-CN"/>
              </w:rPr>
              <w:t>020-39185654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招标项目名称</w:t>
            </w:r>
          </w:p>
        </w:tc>
        <w:tc>
          <w:tcPr>
            <w:tcW w:w="3493" w:type="pct"/>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lang w:eastAsia="zh-CN"/>
              </w:rPr>
              <w:t>规划雅源南路工程</w:t>
            </w:r>
            <w:r>
              <w:rPr>
                <w:rFonts w:hint="eastAsia" w:ascii="宋体" w:hAnsi="宋体" w:eastAsia="宋体" w:cs="宋体"/>
                <w:color w:val="auto"/>
                <w:szCs w:val="21"/>
                <w:highlight w:val="none"/>
                <w:u w:val="single"/>
              </w:rPr>
              <w:t>勘察设计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1.1.5</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项目建设地点</w:t>
            </w:r>
          </w:p>
        </w:tc>
        <w:tc>
          <w:tcPr>
            <w:tcW w:w="3493" w:type="pct"/>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1.1.6</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项目建设规模</w:t>
            </w:r>
          </w:p>
        </w:tc>
        <w:tc>
          <w:tcPr>
            <w:tcW w:w="3493" w:type="pct"/>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1.1.7</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项目投资估算</w:t>
            </w:r>
          </w:p>
        </w:tc>
        <w:tc>
          <w:tcPr>
            <w:tcW w:w="3493" w:type="pct"/>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资金来源及比例</w:t>
            </w:r>
          </w:p>
        </w:tc>
        <w:tc>
          <w:tcPr>
            <w:tcW w:w="3493" w:type="pct"/>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3493" w:type="pct"/>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3493" w:type="pct"/>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勘察设计服务期限</w:t>
            </w:r>
          </w:p>
        </w:tc>
        <w:tc>
          <w:tcPr>
            <w:tcW w:w="3493" w:type="pct"/>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3493" w:type="pct"/>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1、勘察质量标准：符合国家、省、市及行业现行相关规定、规范、标准和本项目勘察设计要求。</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2、设计质量标准：符合国家、省、市及行业现行相关规定、规范、标准和本项目设计任务要求。</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注：具体以合同约定为准。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投标人资质条件、能力、信誉</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是否接受联合体投标</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□不接受</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■接受，应满足下列要求：</w:t>
            </w:r>
            <w:r>
              <w:rPr>
                <w:rFonts w:hint="eastAsia" w:ascii="宋体" w:hAnsi="宋体" w:eastAsia="宋体" w:cs="宋体"/>
                <w:color w:val="auto"/>
                <w:szCs w:val="21"/>
                <w:highlight w:val="none"/>
                <w:u w:val="single"/>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1.4.3</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投标人不得存在的其他情形</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1.9.1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■不组织，投标人自行考察。</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补充说明如下：</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（3）由招标人提供的资料和数据，只是为了使投标人能够利用招标人现有的资料。招标人对投标人由此而作出的推论、解释和结论概不负责。</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（4）不论投标结果如何，投标人应承担其投标文件编制与递交所涉及的一切费用，发包人对上述费用不负任何责任。</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sym w:font="Wingdings 2" w:char="00A3"/>
            </w:r>
            <w:r>
              <w:rPr>
                <w:rFonts w:hint="eastAsia" w:ascii="宋体" w:hAnsi="宋体" w:eastAsia="宋体" w:cs="宋体"/>
                <w:color w:val="auto"/>
                <w:szCs w:val="21"/>
                <w:highlight w:val="none"/>
              </w:rPr>
              <w:t>组织，踏勘时间：</w:t>
            </w:r>
            <w:r>
              <w:rPr>
                <w:rFonts w:hint="eastAsia" w:ascii="宋体" w:hAnsi="宋体" w:eastAsia="宋体" w:cs="宋体"/>
                <w:color w:val="auto"/>
                <w:szCs w:val="21"/>
                <w:highlight w:val="none"/>
                <w:u w:val="single"/>
              </w:rPr>
              <w:t>/。</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踏勘集中地点：</w:t>
            </w:r>
            <w:r>
              <w:rPr>
                <w:rFonts w:hint="eastAsia" w:ascii="宋体" w:hAnsi="宋体" w:eastAsia="宋体" w:cs="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1.10.1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■不召开</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□召开，召开时间：</w:t>
            </w:r>
            <w:r>
              <w:rPr>
                <w:rFonts w:hint="eastAsia" w:ascii="宋体" w:hAnsi="宋体" w:eastAsia="宋体" w:cs="宋体"/>
                <w:color w:val="auto"/>
                <w:szCs w:val="21"/>
                <w:highlight w:val="none"/>
                <w:u w:val="single"/>
              </w:rPr>
              <w:t>/。</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召开地点：</w:t>
            </w:r>
            <w:r>
              <w:rPr>
                <w:rFonts w:hint="eastAsia" w:ascii="宋体" w:hAnsi="宋体" w:eastAsia="宋体" w:cs="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Merge w:val="restar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1.10.2</w:t>
            </w:r>
          </w:p>
        </w:tc>
        <w:tc>
          <w:tcPr>
            <w:tcW w:w="1065" w:type="pct"/>
            <w:vMerge w:val="restar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投标人在投标预备会前提出问题</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u w:val="single"/>
                <w:lang w:bidi="ar"/>
              </w:rPr>
              <w:t xml:space="preserve"> / （本项目不召开投标预备会）。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Merge w:val="continue"/>
            <w:vAlign w:val="center"/>
          </w:tcPr>
          <w:p>
            <w:pPr>
              <w:widowControl/>
              <w:wordWrap w:val="0"/>
              <w:spacing w:line="276" w:lineRule="auto"/>
              <w:jc w:val="center"/>
              <w:rPr>
                <w:rFonts w:ascii="宋体" w:hAnsi="宋体" w:eastAsia="宋体" w:cs="宋体"/>
                <w:color w:val="auto"/>
                <w:kern w:val="0"/>
                <w:szCs w:val="21"/>
                <w:highlight w:val="none"/>
              </w:rPr>
            </w:pPr>
          </w:p>
        </w:tc>
        <w:tc>
          <w:tcPr>
            <w:tcW w:w="1065" w:type="pct"/>
            <w:vMerge w:val="continue"/>
            <w:vAlign w:val="center"/>
          </w:tcPr>
          <w:p>
            <w:pPr>
              <w:wordWrap w:val="0"/>
              <w:spacing w:line="276" w:lineRule="auto"/>
              <w:jc w:val="center"/>
              <w:rPr>
                <w:rFonts w:ascii="宋体" w:hAnsi="宋体" w:eastAsia="宋体" w:cs="宋体"/>
                <w:color w:val="auto"/>
                <w:szCs w:val="21"/>
                <w:highlight w:val="none"/>
              </w:rPr>
            </w:pP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形式：</w:t>
            </w:r>
            <w:r>
              <w:rPr>
                <w:rFonts w:hint="eastAsia" w:ascii="宋体" w:hAnsi="宋体" w:eastAsia="宋体" w:cs="宋体"/>
                <w:color w:val="auto"/>
                <w:szCs w:val="21"/>
                <w:highlight w:val="none"/>
                <w:u w:val="single"/>
                <w:lang w:bidi="ar"/>
              </w:rPr>
              <w:t xml:space="preserve"> / （本项目不召开投标预备会）。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1.10.3</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招标文件澄清发出的形式</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lang w:bidi="ar"/>
              </w:rPr>
              <w:t xml:space="preserve">  /  （不召开投标预备会，此为投标预备会的答疑澄清）。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pacing w:val="-7"/>
                <w:kern w:val="0"/>
                <w:szCs w:val="21"/>
                <w:highlight w:val="none"/>
              </w:rPr>
              <w:t>1</w:t>
            </w:r>
            <w:r>
              <w:rPr>
                <w:rFonts w:hint="eastAsia" w:ascii="宋体" w:hAnsi="宋体" w:eastAsia="宋体" w:cs="宋体"/>
                <w:color w:val="auto"/>
                <w:kern w:val="0"/>
                <w:szCs w:val="21"/>
                <w:highlight w:val="none"/>
              </w:rPr>
              <w:t>1.1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■允许，分包内容要求：</w:t>
            </w:r>
            <w:r>
              <w:rPr>
                <w:rFonts w:hint="eastAsia" w:ascii="宋体" w:hAnsi="宋体" w:eastAsia="宋体" w:cs="宋体"/>
                <w:color w:val="auto"/>
                <w:szCs w:val="21"/>
                <w:highlight w:val="none"/>
                <w:u w:val="single"/>
              </w:rPr>
              <w:t>按有关规定。</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分包金额要求：/</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对分包人的资质要求：</w:t>
            </w:r>
            <w:r>
              <w:rPr>
                <w:rFonts w:hint="eastAsia" w:ascii="宋体" w:hAnsi="宋体" w:eastAsia="宋体" w:cs="宋体"/>
                <w:color w:val="auto"/>
                <w:szCs w:val="21"/>
                <w:highlight w:val="none"/>
                <w:u w:val="single"/>
              </w:rPr>
              <w:t>按国家规定。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实质性要求和条件</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1.12.3</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偏差</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□允许，偏差范围：</w:t>
            </w:r>
            <w:r>
              <w:rPr>
                <w:rFonts w:hint="eastAsia" w:ascii="宋体" w:hAnsi="宋体" w:eastAsia="宋体" w:cs="宋体"/>
                <w:color w:val="auto"/>
                <w:szCs w:val="21"/>
                <w:highlight w:val="none"/>
                <w:u w:val="single"/>
              </w:rPr>
              <w:t>/。</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偏差幅度：</w:t>
            </w:r>
            <w:r>
              <w:rPr>
                <w:rFonts w:hint="eastAsia" w:ascii="宋体" w:hAnsi="宋体" w:eastAsia="宋体" w:cs="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构成招标文件的其他资料</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招标文件的答疑</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疑问提交时间：</w:t>
            </w:r>
            <w:r>
              <w:rPr>
                <w:rFonts w:hint="eastAsia" w:ascii="宋体" w:hAnsi="宋体" w:eastAsia="宋体" w:cs="宋体"/>
                <w:color w:val="auto"/>
                <w:szCs w:val="21"/>
                <w:highlight w:val="none"/>
                <w:u w:val="single"/>
              </w:rPr>
              <w:t xml:space="preserve">  年   月   日   时前。（具体时间安排以广州交易集团有限公司（广州公共资源交易中心）网站中“建设工程”→“项目查询（日程安排、答疑纪要）”公布的为准）</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形式：</w:t>
            </w:r>
            <w:r>
              <w:rPr>
                <w:rFonts w:hint="eastAsia" w:ascii="宋体" w:hAnsi="宋体" w:eastAsia="宋体" w:cs="宋体"/>
                <w:color w:val="auto"/>
                <w:szCs w:val="21"/>
                <w:highlight w:val="none"/>
                <w:u w:val="single"/>
              </w:rPr>
              <w:t>投标人的疑问通过广州交易集团有限公司（广州公共资源交易中心）网站提交。</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具体要求：</w:t>
            </w:r>
            <w:r>
              <w:rPr>
                <w:rFonts w:hint="eastAsia" w:ascii="宋体" w:hAnsi="宋体" w:eastAsia="宋体" w:cs="宋体"/>
                <w:color w:val="auto"/>
                <w:szCs w:val="21"/>
                <w:highlight w:val="none"/>
                <w:u w:val="single"/>
              </w:rPr>
              <w:t>按照广州交易集团有限公司（广州公共资源交易中心）网站关于全流程电子化项目的相关指南进行操作，提问一律不得署名。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招标文件的澄清和修改</w:t>
            </w:r>
          </w:p>
        </w:tc>
        <w:tc>
          <w:tcPr>
            <w:tcW w:w="3493" w:type="pct"/>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招标文件的修改期限：</w:t>
            </w:r>
            <w:r>
              <w:rPr>
                <w:rFonts w:hint="eastAsia" w:ascii="宋体" w:hAnsi="宋体" w:eastAsia="宋体" w:cs="宋体"/>
                <w:color w:val="auto"/>
                <w:szCs w:val="21"/>
                <w:highlight w:val="none"/>
                <w:u w:val="single"/>
              </w:rPr>
              <w:t>在投标截止时间 15 天前。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构成投标文件的其他资料</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投标人认为有必要提供的其他资料，格式自定。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增值税税金的计算方法</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投标人的报价为含税报价。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3.2.3</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报价方式</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1、勘察费报价：投标人自行报价。勘察费报价为投标人完成本工程所需的所有勘察工作，包括但不限于岩土勘察、工程测量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管线探测等的实物工作收费、进出场费、技术工作收费等全部成本、利润、税金以及风险等。</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2、设计费报价：投标人自行报价。设计费报价为投标人完成本工程所有专业方案设计、初步设计等工作及履行合同的成本、利润、税金及风险等。</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3、勘察设计费的结算方式按合同约定执行。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3.2.4</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最高投标限价</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□无</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■有，</w:t>
            </w:r>
            <w:bookmarkStart w:id="9" w:name="OLE_LINK1"/>
            <w:r>
              <w:rPr>
                <w:rFonts w:hint="eastAsia" w:ascii="宋体" w:hAnsi="宋体" w:eastAsia="宋体" w:cs="宋体"/>
                <w:color w:val="auto"/>
                <w:szCs w:val="21"/>
                <w:highlight w:val="none"/>
                <w:u w:val="single"/>
                <w:lang w:eastAsia="zh-CN"/>
              </w:rPr>
              <w:t>最高投标限价：644.0460万元，其中：工程勘察费最高投标限价：149.2056万元；工程设计费最高投标限价：494.8404万元</w:t>
            </w:r>
            <w:bookmarkEnd w:id="9"/>
            <w:r>
              <w:rPr>
                <w:rFonts w:hint="eastAsia" w:ascii="宋体" w:hAnsi="宋体" w:eastAsia="宋体" w:cs="宋体"/>
                <w:color w:val="auto"/>
                <w:szCs w:val="21"/>
                <w:highlight w:val="none"/>
                <w:u w:val="single"/>
              </w:rPr>
              <w:t>。</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注：投标报价由投标人根据招标文件要求以及企业自身情况填报。投标人未按要求报价或投标报价（含投标总报价、勘察费报价、设计费报价）超过上述相应最高投标限价的为无效标。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3.2.5</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投标报价的其他要求</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投标人必须详细审阅全部招标文件，充分考虑职责和义务，全面地理解招标文件对投标报价的要求，并按招标人提出的条件及内容进行报价。</w:t>
            </w:r>
            <w:r>
              <w:rPr>
                <w:rFonts w:hint="eastAsia" w:ascii="宋体" w:hAnsi="宋体" w:eastAsia="宋体" w:cs="宋体"/>
                <w:color w:val="auto"/>
                <w:szCs w:val="21"/>
                <w:highlight w:val="none"/>
                <w:lang w:bidi="ar"/>
              </w:rPr>
              <w:t>所有报价均以人民币表示，以元为单位，保留小数点后两位小数，第三位小数四舍五入。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b/>
                <w:bCs/>
                <w:color w:val="auto"/>
                <w:szCs w:val="21"/>
                <w:highlight w:val="none"/>
                <w:u w:val="single"/>
              </w:rPr>
              <w:t>90</w:t>
            </w:r>
            <w:r>
              <w:rPr>
                <w:rFonts w:hint="eastAsia" w:ascii="宋体" w:hAnsi="宋体" w:eastAsia="宋体" w:cs="宋体"/>
                <w:color w:val="auto"/>
                <w:szCs w:val="21"/>
                <w:highlight w:val="none"/>
              </w:rPr>
              <w:t>日历天（从投标截止之日计起）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是否要求投标人递交投标保证金：</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□要求</w:t>
            </w:r>
          </w:p>
          <w:p>
            <w:pPr>
              <w:widowControl/>
              <w:wordWrap w:val="0"/>
              <w:topLinePunct/>
              <w:spacing w:after="120"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缴纳金额：</w:t>
            </w:r>
            <w:r>
              <w:rPr>
                <w:rFonts w:hint="eastAsia" w:ascii="宋体" w:hAnsi="宋体" w:eastAsia="宋体" w:cs="宋体"/>
                <w:color w:val="auto"/>
                <w:kern w:val="0"/>
                <w:szCs w:val="21"/>
                <w:highlight w:val="none"/>
                <w:u w:val="single"/>
                <w:lang w:val="zh-CN"/>
              </w:rPr>
              <w:t>/。</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3.4.4</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其他可以不予退还投标保证金的情形</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资格审查资料的特殊要求</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■无</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3.5.2</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近年财务状况的年份要求</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tblPrEx>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近年完成的类似项目情况的时间要求</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是否允许递交备选投标方案</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■不允许</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投标文件签字或盖章要求</w:t>
            </w:r>
          </w:p>
        </w:tc>
        <w:tc>
          <w:tcPr>
            <w:tcW w:w="3493" w:type="pct"/>
            <w:vAlign w:val="center"/>
          </w:tcPr>
          <w:p>
            <w:pPr>
              <w:wordWrap w:val="0"/>
              <w:spacing w:line="276" w:lineRule="auto"/>
              <w:rPr>
                <w:rFonts w:ascii="宋体" w:hAnsi="宋体" w:eastAsia="宋体"/>
                <w:color w:val="auto"/>
                <w:szCs w:val="24"/>
                <w:highlight w:val="none"/>
                <w:u w:val="single"/>
              </w:rPr>
            </w:pPr>
            <w:r>
              <w:rPr>
                <w:rFonts w:ascii="宋体" w:hAnsi="宋体" w:eastAsia="宋体"/>
                <w:color w:val="auto"/>
                <w:szCs w:val="24"/>
                <w:highlight w:val="none"/>
                <w:u w:val="single"/>
              </w:rPr>
              <w:t>投标文件格式规定需个人签字的，应签字或签章后扫描上传</w:t>
            </w:r>
            <w:r>
              <w:rPr>
                <w:rFonts w:hint="eastAsia"/>
                <w:color w:val="auto"/>
                <w:szCs w:val="21"/>
                <w:highlight w:val="none"/>
                <w:u w:val="single"/>
              </w:rPr>
              <w:t>（</w:t>
            </w:r>
            <w:r>
              <w:rPr>
                <w:rFonts w:ascii="Calibri" w:hAnsi="Calibri" w:eastAsia="宋体" w:cs="Times New Roman"/>
                <w:color w:val="auto"/>
                <w:szCs w:val="24"/>
                <w:highlight w:val="none"/>
                <w:u w:val="single"/>
              </w:rPr>
              <w:t>可靠的电子签名与手写签名或者盖章具有同等的法律效力</w:t>
            </w:r>
            <w:r>
              <w:rPr>
                <w:rFonts w:hint="eastAsia"/>
                <w:color w:val="auto"/>
                <w:szCs w:val="21"/>
                <w:highlight w:val="none"/>
                <w:u w:val="single"/>
              </w:rPr>
              <w:t>）</w:t>
            </w:r>
            <w:r>
              <w:rPr>
                <w:rFonts w:ascii="宋体" w:hAnsi="宋体" w:eastAsia="宋体"/>
                <w:color w:val="auto"/>
                <w:szCs w:val="24"/>
                <w:highlight w:val="none"/>
                <w:u w:val="single"/>
              </w:rPr>
              <w:t>。投标文件格式规定盖单位公章的页面必须盖单位公章</w:t>
            </w:r>
            <w:r>
              <w:rPr>
                <w:rFonts w:hint="eastAsia" w:ascii="宋体" w:hAnsi="宋体" w:eastAsia="宋体"/>
                <w:color w:val="auto"/>
                <w:szCs w:val="24"/>
                <w:highlight w:val="none"/>
                <w:u w:val="single"/>
              </w:rPr>
              <w:t>或电子公章</w:t>
            </w:r>
            <w:r>
              <w:rPr>
                <w:rFonts w:ascii="宋体" w:hAnsi="宋体" w:eastAsia="宋体"/>
                <w:color w:val="auto"/>
                <w:szCs w:val="24"/>
                <w:highlight w:val="none"/>
                <w:u w:val="single"/>
              </w:rPr>
              <w:t>（公章与电子公章具有相同法律效力）</w:t>
            </w:r>
            <w:r>
              <w:rPr>
                <w:rFonts w:hint="eastAsia" w:ascii="宋体" w:hAnsi="宋体" w:eastAsia="宋体"/>
                <w:color w:val="auto"/>
                <w:szCs w:val="24"/>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封套上应载明的信息（适用于提交备用光盘或U盘的情况）</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如有提交投标文件光盘备用，封套上应注明如下信息：</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刻录好的投标文件光盘分别密封在不透明的密封袋并作标记，其中：</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1.“商务文件（含资格审查文件）光盘”应在密封袋上写明（1）招标人名称；（2）“[项目名称] 商务文件（含资格审查文件）光盘”字样；（3）投标人名称；并在封口处加盖投标人单位公章；</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2.“技术文件光盘”、“保密文件光盘”应仅在密封袋上写明“[项目名称][技术文件光盘或保密文件光盘]”字样，并不得盖章或加具其它可以识别投标人身份的标记。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3493" w:type="pct"/>
            <w:vAlign w:val="center"/>
          </w:tcPr>
          <w:p>
            <w:pPr>
              <w:wordWrap w:val="0"/>
              <w:spacing w:line="276" w:lineRule="auto"/>
              <w:rPr>
                <w:rFonts w:ascii="宋体" w:hAnsi="宋体" w:eastAsia="宋体" w:cs="宋体"/>
                <w:color w:val="auto"/>
                <w:szCs w:val="21"/>
                <w:highlight w:val="none"/>
              </w:rPr>
            </w:pPr>
            <w:r>
              <w:rPr>
                <w:rFonts w:ascii="宋体" w:hAnsi="Times New Roman" w:eastAsia="宋体"/>
                <w:color w:val="auto"/>
                <w:szCs w:val="24"/>
                <w:highlight w:val="none"/>
              </w:rPr>
              <w:t>投标截止时间：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分（北京时间），以广州交易集团有限公司（广州公共资源交易中心）网站发布信息为准。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开标时间和地点</w:t>
            </w:r>
          </w:p>
        </w:tc>
        <w:tc>
          <w:tcPr>
            <w:tcW w:w="3493" w:type="pct"/>
            <w:vAlign w:val="center"/>
          </w:tcPr>
          <w:p>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1.开标时间：</w:t>
            </w:r>
            <w:r>
              <w:rPr>
                <w:rFonts w:hint="eastAsia" w:ascii="宋体" w:hAnsi="宋体" w:eastAsia="宋体" w:cs="宋体"/>
                <w:color w:val="auto"/>
                <w:szCs w:val="21"/>
                <w:highlight w:val="none"/>
                <w:u w:val="single"/>
                <w:lang w:bidi="ar"/>
              </w:rPr>
              <w:t>同投标截止时间</w:t>
            </w:r>
          </w:p>
          <w:p>
            <w:pPr>
              <w:wordWrap w:val="0"/>
              <w:spacing w:line="276" w:lineRule="auto"/>
              <w:rPr>
                <w:rFonts w:ascii="宋体" w:hAnsi="宋体" w:eastAsia="宋体" w:cs="宋体"/>
                <w:color w:val="auto"/>
                <w:szCs w:val="21"/>
                <w:highlight w:val="none"/>
                <w:u w:val="single"/>
                <w:lang w:bidi="ar"/>
              </w:rPr>
            </w:pPr>
            <w:r>
              <w:rPr>
                <w:rFonts w:hint="eastAsia" w:ascii="宋体" w:hAnsi="宋体" w:eastAsia="宋体" w:cs="宋体"/>
                <w:color w:val="auto"/>
                <w:szCs w:val="21"/>
                <w:highlight w:val="none"/>
                <w:lang w:bidi="ar"/>
              </w:rPr>
              <w:t>2.开标地点：</w:t>
            </w:r>
            <w:r>
              <w:rPr>
                <w:rFonts w:hint="eastAsia" w:ascii="宋体" w:hAnsi="宋体" w:eastAsia="宋体" w:cs="宋体"/>
                <w:color w:val="auto"/>
                <w:szCs w:val="21"/>
                <w:highlight w:val="none"/>
                <w:u w:val="single"/>
                <w:lang w:bidi="ar"/>
              </w:rPr>
              <w:t>广州交易集团有限公司（广州公共资源交易中心）指定开标室。</w:t>
            </w:r>
          </w:p>
          <w:p>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3.递交投标文件备用光盘时间：____年____月____日____时____分至____年____月____日____时____分；递交地点：</w:t>
            </w:r>
            <w:r>
              <w:rPr>
                <w:rFonts w:hint="eastAsia" w:ascii="宋体" w:hAnsi="宋体" w:eastAsia="宋体" w:cs="宋体"/>
                <w:color w:val="auto"/>
                <w:szCs w:val="21"/>
                <w:highlight w:val="none"/>
                <w:u w:val="single"/>
                <w:lang w:bidi="ar"/>
              </w:rPr>
              <w:t>广州交易集团有限公司（广州公共资源交易中心）指定开标室</w:t>
            </w:r>
            <w:r>
              <w:rPr>
                <w:rFonts w:hint="eastAsia" w:ascii="宋体" w:hAnsi="宋体" w:eastAsia="宋体" w:cs="宋体"/>
                <w:color w:val="auto"/>
                <w:szCs w:val="21"/>
                <w:highlight w:val="none"/>
                <w:lang w:bidi="ar"/>
              </w:rPr>
              <w:t>。(建议安排在投标文件截止时间前 15 分钟至投标文件截止时间）</w:t>
            </w:r>
          </w:p>
          <w:p>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4.提交投标文件光盘备用</w:t>
            </w:r>
          </w:p>
          <w:p>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5.补救方案</w:t>
            </w:r>
          </w:p>
          <w:p>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（2）评标时突发情况的补救方案：若遇不可抗力发生（指网络瘫痪、服务器损坏、交易系统故障短期无法恢复等因素），由评标委员会开启投标人递交的全部投标文件光盘，并按光盘内容进行评审。</w:t>
            </w:r>
          </w:p>
          <w:p>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（3）除发生上述情况外，开标评标均以投标人通过交易平台网上递交的电子投标文件为准。</w:t>
            </w:r>
          </w:p>
          <w:p>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6.开标时，投标人代表有权参加现场开标或在线开标，也可以自主决定不参加开标，投标人选择参加在线开标的，具体按照交易平台相关指南进行操作。</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7.上述时间及地点是否有改变，请密切留意补充公告或招标答疑纪要的相关信息。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3493" w:type="pct"/>
            <w:vAlign w:val="center"/>
          </w:tcPr>
          <w:p>
            <w:pPr>
              <w:wordWrap w:val="0"/>
              <w:spacing w:line="276" w:lineRule="auto"/>
              <w:rPr>
                <w:rFonts w:hint="eastAsia" w:ascii="宋体" w:hAnsi="宋体" w:eastAsia="宋体" w:cs="宋体"/>
                <w:color w:val="auto"/>
                <w:szCs w:val="21"/>
                <w:highlight w:val="none"/>
                <w:u w:val="none"/>
                <w:lang w:bidi="ar"/>
              </w:rPr>
            </w:pPr>
            <w:r>
              <w:rPr>
                <w:rFonts w:hint="eastAsia" w:ascii="宋体" w:hAnsi="宋体" w:eastAsia="宋体" w:cs="宋体"/>
                <w:color w:val="auto"/>
                <w:szCs w:val="21"/>
                <w:highlight w:val="none"/>
                <w:u w:val="none"/>
                <w:lang w:bidi="ar"/>
              </w:rPr>
              <w:t>评标委员会构成：</w:t>
            </w:r>
            <w:r>
              <w:rPr>
                <w:rFonts w:hint="eastAsia" w:ascii="宋体" w:hAnsi="宋体" w:eastAsia="宋体" w:cs="宋体"/>
                <w:color w:val="auto"/>
                <w:szCs w:val="21"/>
                <w:highlight w:val="none"/>
                <w:u w:val="single"/>
                <w:lang w:val="en-US" w:eastAsia="zh-CN" w:bidi="ar"/>
              </w:rPr>
              <w:t>7</w:t>
            </w:r>
            <w:r>
              <w:rPr>
                <w:rFonts w:hint="eastAsia" w:ascii="宋体" w:hAnsi="宋体" w:eastAsia="宋体" w:cs="宋体"/>
                <w:color w:val="auto"/>
                <w:szCs w:val="21"/>
                <w:highlight w:val="none"/>
                <w:u w:val="none"/>
                <w:lang w:bidi="ar"/>
              </w:rPr>
              <w:t>人</w:t>
            </w:r>
          </w:p>
          <w:p>
            <w:pPr>
              <w:wordWrap w:val="0"/>
              <w:spacing w:line="276" w:lineRule="auto"/>
              <w:rPr>
                <w:rFonts w:hint="eastAsia" w:ascii="宋体" w:hAnsi="宋体" w:eastAsia="宋体" w:cs="宋体"/>
                <w:color w:val="auto"/>
                <w:szCs w:val="21"/>
                <w:highlight w:val="none"/>
                <w:u w:val="none"/>
                <w:lang w:bidi="ar"/>
              </w:rPr>
            </w:pPr>
            <w:r>
              <w:rPr>
                <w:rFonts w:hint="eastAsia" w:ascii="宋体" w:hAnsi="宋体" w:eastAsia="宋体" w:cs="宋体"/>
                <w:color w:val="auto"/>
                <w:szCs w:val="21"/>
                <w:highlight w:val="none"/>
                <w:u w:val="none"/>
                <w:lang w:bidi="ar"/>
              </w:rPr>
              <w:t>其中招标人代表</w:t>
            </w:r>
            <w:r>
              <w:rPr>
                <w:rFonts w:hint="eastAsia" w:ascii="宋体" w:hAnsi="宋体" w:eastAsia="宋体" w:cs="宋体"/>
                <w:color w:val="auto"/>
                <w:szCs w:val="21"/>
                <w:highlight w:val="none"/>
                <w:u w:val="single"/>
                <w:lang w:val="en-US" w:eastAsia="zh-CN" w:bidi="ar"/>
              </w:rPr>
              <w:t>2</w:t>
            </w:r>
            <w:r>
              <w:rPr>
                <w:rFonts w:hint="eastAsia" w:ascii="宋体" w:hAnsi="宋体" w:eastAsia="宋体" w:cs="宋体"/>
                <w:color w:val="auto"/>
                <w:szCs w:val="21"/>
                <w:highlight w:val="none"/>
                <w:u w:val="none"/>
                <w:lang w:bidi="ar"/>
              </w:rPr>
              <w:t>人，专家</w:t>
            </w:r>
            <w:r>
              <w:rPr>
                <w:rFonts w:hint="eastAsia" w:ascii="宋体" w:hAnsi="宋体" w:eastAsia="宋体" w:cs="宋体"/>
                <w:color w:val="auto"/>
                <w:szCs w:val="21"/>
                <w:highlight w:val="none"/>
                <w:u w:val="single"/>
                <w:lang w:val="en-US" w:eastAsia="zh-CN" w:bidi="ar"/>
              </w:rPr>
              <w:t>5</w:t>
            </w:r>
            <w:r>
              <w:rPr>
                <w:rFonts w:hint="eastAsia" w:ascii="宋体" w:hAnsi="宋体" w:eastAsia="宋体" w:cs="宋体"/>
                <w:color w:val="auto"/>
                <w:szCs w:val="21"/>
                <w:highlight w:val="none"/>
                <w:u w:val="none"/>
                <w:lang w:bidi="ar"/>
              </w:rPr>
              <w:t>人；</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none"/>
                <w:lang w:bidi="ar"/>
              </w:rPr>
              <w:t>评标专家确定方式：</w:t>
            </w:r>
            <w:r>
              <w:rPr>
                <w:rFonts w:hint="eastAsia" w:ascii="宋体" w:hAnsi="宋体" w:eastAsia="宋体" w:cs="宋体"/>
                <w:color w:val="auto"/>
                <w:szCs w:val="21"/>
                <w:highlight w:val="none"/>
                <w:u w:val="single"/>
                <w:lang w:bidi="ar"/>
              </w:rPr>
              <w:t>由招标人依法</w:t>
            </w:r>
            <w:r>
              <w:rPr>
                <w:rFonts w:hint="eastAsia" w:ascii="宋体" w:hAnsi="宋体" w:eastAsia="宋体" w:cs="宋体"/>
                <w:color w:val="auto"/>
                <w:szCs w:val="21"/>
                <w:highlight w:val="none"/>
                <w:u w:val="single"/>
                <w:lang w:val="en-US" w:eastAsia="zh-CN" w:bidi="ar"/>
              </w:rPr>
              <w:t>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6.2</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定标委员会的组建</w:t>
            </w:r>
          </w:p>
        </w:tc>
        <w:tc>
          <w:tcPr>
            <w:tcW w:w="3493" w:type="pct"/>
            <w:vAlign w:val="center"/>
          </w:tcPr>
          <w:p>
            <w:pPr>
              <w:wordWrap w:val="0"/>
              <w:spacing w:line="276" w:lineRule="auto"/>
              <w:rPr>
                <w:rFonts w:ascii="宋体" w:hAnsi="宋体" w:eastAsia="宋体" w:cs="宋体"/>
                <w:color w:val="auto"/>
                <w:szCs w:val="21"/>
                <w:highlight w:val="none"/>
                <w:u w:val="single"/>
                <w:lang w:bidi="ar"/>
              </w:rPr>
            </w:pPr>
            <w:r>
              <w:rPr>
                <w:rFonts w:hint="eastAsia" w:ascii="宋体" w:hAnsi="宋体" w:eastAsia="宋体" w:cs="宋体"/>
                <w:color w:val="auto"/>
                <w:szCs w:val="21"/>
                <w:highlight w:val="none"/>
                <w:u w:val="single"/>
                <w:lang w:bidi="ar"/>
              </w:rPr>
              <w:t>本项目不适用。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6.3.2</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评标委员会推荐中标候选人的人数</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推荐3名中标候选人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中标候选人公示媒介及期限</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公示媒介：</w:t>
            </w:r>
            <w:r>
              <w:rPr>
                <w:rFonts w:hint="eastAsia" w:ascii="宋体" w:hAnsi="宋体" w:eastAsia="宋体" w:cs="宋体"/>
                <w:color w:val="auto"/>
                <w:szCs w:val="21"/>
                <w:highlight w:val="none"/>
                <w:u w:val="single"/>
                <w:lang w:bidi="ar"/>
              </w:rPr>
              <w:t>广州交易集团有限公司（广州公共资源交易中心）网、广东省招标投标监管网、中国招标投标公共服务平台</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公示期限：</w:t>
            </w:r>
            <w:r>
              <w:rPr>
                <w:rFonts w:hint="eastAsia" w:ascii="宋体" w:hAnsi="宋体" w:eastAsia="宋体" w:cs="宋体"/>
                <w:color w:val="auto"/>
                <w:szCs w:val="21"/>
                <w:highlight w:val="none"/>
                <w:u w:val="single"/>
                <w:lang w:bidi="ar"/>
              </w:rPr>
              <w:t xml:space="preserve"> 3 </w:t>
            </w:r>
            <w:r>
              <w:rPr>
                <w:rFonts w:hint="eastAsia" w:ascii="宋体" w:hAnsi="宋体" w:eastAsia="宋体" w:cs="宋体"/>
                <w:color w:val="auto"/>
                <w:szCs w:val="21"/>
                <w:highlight w:val="none"/>
                <w:lang w:bidi="ar"/>
              </w:rPr>
              <w:t>日（不少于3日，最后一天应为工作日）</w:t>
            </w:r>
          </w:p>
          <w:p>
            <w:pPr>
              <w:wordWrap w:val="0"/>
              <w:spacing w:line="276" w:lineRule="auto"/>
              <w:rPr>
                <w:rFonts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7.4</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是否授权评标委员会确定中标人</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w:t>
            </w:r>
          </w:p>
          <w:p>
            <w:pPr>
              <w:wordWrap w:val="0"/>
              <w:spacing w:line="276"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7.6</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技术成果经济补偿</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■不补偿</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□补偿，补偿标准：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7.7.1</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是否要求中标人提交履约保证金：</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■要求，履约保证金的形式：</w:t>
            </w:r>
            <w:r>
              <w:rPr>
                <w:rFonts w:hint="eastAsia" w:ascii="宋体" w:hAnsi="宋体" w:eastAsia="宋体" w:cs="宋体"/>
                <w:color w:val="auto"/>
                <w:szCs w:val="21"/>
                <w:highlight w:val="none"/>
                <w:u w:val="single"/>
              </w:rPr>
              <w:t>按合同约定。</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履约保证金的金额：</w:t>
            </w:r>
            <w:r>
              <w:rPr>
                <w:rFonts w:hint="eastAsia" w:ascii="宋体" w:hAnsi="宋体" w:eastAsia="宋体" w:cs="宋体"/>
                <w:color w:val="auto"/>
                <w:szCs w:val="21"/>
                <w:highlight w:val="none"/>
                <w:u w:val="single"/>
                <w:lang w:val="en-US" w:eastAsia="zh-CN"/>
              </w:rPr>
              <w:t>中标合同</w:t>
            </w:r>
            <w:r>
              <w:rPr>
                <w:rFonts w:hint="eastAsia" w:ascii="宋体" w:hAnsi="宋体" w:eastAsia="宋体" w:cs="宋体"/>
                <w:color w:val="auto"/>
                <w:szCs w:val="21"/>
                <w:highlight w:val="none"/>
                <w:u w:val="single"/>
              </w:rPr>
              <w:t>价的10%。</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065"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是否采用电子招标投标</w:t>
            </w:r>
          </w:p>
        </w:tc>
        <w:tc>
          <w:tcPr>
            <w:tcW w:w="3493" w:type="pct"/>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□否</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tcBorders>
              <w:bottom w:val="single" w:color="auto" w:sz="4" w:space="0"/>
            </w:tcBorders>
            <w:vAlign w:val="center"/>
          </w:tcPr>
          <w:p>
            <w:pPr>
              <w:wordWrap w:val="0"/>
              <w:autoSpaceDE w:val="0"/>
              <w:autoSpaceDN w:val="0"/>
              <w:spacing w:line="276"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1</w:t>
            </w:r>
          </w:p>
        </w:tc>
        <w:tc>
          <w:tcPr>
            <w:tcW w:w="4559" w:type="pct"/>
            <w:gridSpan w:val="2"/>
            <w:tcBorders>
              <w:bottom w:val="single" w:color="auto" w:sz="4" w:space="0"/>
            </w:tcBorders>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line="276" w:lineRule="auto"/>
              <w:jc w:val="center"/>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1</w:t>
            </w:r>
            <w:r>
              <w:rPr>
                <w:rFonts w:hint="eastAsia" w:ascii="宋体" w:hAnsi="宋体" w:eastAsia="宋体" w:cs="宋体"/>
                <w:color w:val="auto"/>
                <w:kern w:val="0"/>
                <w:szCs w:val="21"/>
                <w:highlight w:val="none"/>
                <w:u w:val="single"/>
                <w:lang w:val="en-US" w:eastAsia="zh-CN"/>
              </w:rPr>
              <w:t>1</w:t>
            </w:r>
            <w:r>
              <w:rPr>
                <w:rFonts w:hint="eastAsia" w:ascii="宋体" w:hAnsi="宋体" w:eastAsia="宋体" w:cs="宋体"/>
                <w:color w:val="auto"/>
                <w:kern w:val="0"/>
                <w:szCs w:val="21"/>
                <w:highlight w:val="none"/>
                <w:u w:val="single"/>
              </w:rPr>
              <w:t>.1</w:t>
            </w:r>
          </w:p>
        </w:tc>
        <w:tc>
          <w:tcPr>
            <w:tcW w:w="1065" w:type="pct"/>
            <w:tcBorders>
              <w:top w:val="single" w:color="auto" w:sz="4" w:space="0"/>
              <w:left w:val="single" w:color="auto" w:sz="4" w:space="0"/>
              <w:bottom w:val="single" w:color="auto" w:sz="4" w:space="0"/>
              <w:right w:val="single" w:color="auto" w:sz="4" w:space="0"/>
            </w:tcBorders>
            <w:vAlign w:val="center"/>
          </w:tcPr>
          <w:p>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特别提示</w:t>
            </w:r>
          </w:p>
        </w:tc>
        <w:tc>
          <w:tcPr>
            <w:tcW w:w="3493" w:type="pct"/>
            <w:tcBorders>
              <w:top w:val="single" w:color="auto" w:sz="4" w:space="0"/>
              <w:left w:val="single" w:color="auto" w:sz="4" w:space="0"/>
              <w:bottom w:val="single" w:color="auto" w:sz="4" w:space="0"/>
              <w:right w:val="single" w:color="auto" w:sz="4" w:space="0"/>
            </w:tcBorders>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投标人在本项目招标人的工程项目中存在下列行为的，将被拒绝一年内参与我单位后续工程投标。（注：拒绝投标时限自招标人发出通知之日起计）：</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1）将中标工程转包或者违法分包的；</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2）在中标工程中不执行质量、安全生产相关规定的，造成质量或安全事故的；</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3）出让投标资格的；</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4）存在围标或串标情形的；</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5）在投标文件中提供虚假材料的；</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6）存在少放、不放业绩、奖项等客观评审资料，减少自身竞争力情形的；</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7）存在行贿情形的；</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8）拖欠农民工工资的；</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w:t>
            </w:r>
            <w:r>
              <w:rPr>
                <w:rFonts w:ascii="宋体" w:hAnsi="宋体" w:eastAsia="宋体" w:cs="宋体"/>
                <w:color w:val="auto"/>
                <w:szCs w:val="21"/>
                <w:highlight w:val="none"/>
                <w:u w:val="single"/>
              </w:rPr>
              <w:t>9）未按照国家、省、市有关建筑施工实名制管理和工人工资支付分账管理的规定执行，被行政监管部门处罚的。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line="276" w:lineRule="auto"/>
              <w:jc w:val="center"/>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u w:val="single"/>
              </w:rPr>
              <w:t>1</w:t>
            </w:r>
            <w:r>
              <w:rPr>
                <w:rFonts w:hint="eastAsia" w:ascii="宋体" w:hAnsi="宋体" w:eastAsia="宋体" w:cs="宋体"/>
                <w:color w:val="auto"/>
                <w:kern w:val="0"/>
                <w:szCs w:val="21"/>
                <w:highlight w:val="none"/>
                <w:u w:val="single"/>
                <w:lang w:val="en-US" w:eastAsia="zh-CN"/>
              </w:rPr>
              <w:t>1</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val="en-US" w:eastAsia="zh-CN"/>
              </w:rPr>
              <w:t>2</w:t>
            </w:r>
          </w:p>
        </w:tc>
        <w:tc>
          <w:tcPr>
            <w:tcW w:w="1065" w:type="pct"/>
            <w:tcBorders>
              <w:top w:val="single" w:color="auto" w:sz="4" w:space="0"/>
              <w:left w:val="single" w:color="auto" w:sz="4" w:space="0"/>
              <w:bottom w:val="single" w:color="auto" w:sz="4" w:space="0"/>
              <w:right w:val="single" w:color="auto" w:sz="4" w:space="0"/>
            </w:tcBorders>
            <w:vAlign w:val="center"/>
          </w:tcPr>
          <w:p>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其他</w:t>
            </w:r>
          </w:p>
        </w:tc>
        <w:tc>
          <w:tcPr>
            <w:tcW w:w="3493" w:type="pct"/>
            <w:tcBorders>
              <w:top w:val="single" w:color="auto" w:sz="4" w:space="0"/>
              <w:left w:val="single" w:color="auto" w:sz="4" w:space="0"/>
              <w:bottom w:val="single" w:color="auto" w:sz="4" w:space="0"/>
              <w:right w:val="single" w:color="auto" w:sz="4" w:space="0"/>
            </w:tcBorders>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1、招标公告、招标文件、答疑纪要等招标资料全部发布在广州交易集团有限公司（广州公共资源交易中心）网站，由投标人自行下载查阅。</w:t>
            </w:r>
          </w:p>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2、投标截止时间、开标时间和地点：发布在广州交易集团有限公司（广州公共资源交易中心）网站（具体在网站主页“建设工程”中“项目查询”输入“项目名称”或“项目编号”进行查询）。</w:t>
            </w:r>
          </w:p>
          <w:p>
            <w:pPr>
              <w:wordWrap w:val="0"/>
              <w:spacing w:line="276" w:lineRule="auto"/>
              <w:rPr>
                <w:rFonts w:ascii="宋体" w:hAnsi="宋体" w:eastAsia="宋体" w:cs="宋体"/>
                <w:color w:val="auto"/>
                <w:szCs w:val="21"/>
                <w:highlight w:val="none"/>
                <w:u w:val="single"/>
                <w:lang w:bidi="ar"/>
              </w:rPr>
            </w:pPr>
            <w:r>
              <w:rPr>
                <w:rFonts w:hint="eastAsia" w:ascii="宋体" w:hAnsi="宋体" w:eastAsia="宋体" w:cs="宋体"/>
                <w:color w:val="auto"/>
                <w:szCs w:val="21"/>
                <w:highlight w:val="none"/>
                <w:u w:val="single"/>
                <w:lang w:bidi="ar"/>
              </w:rPr>
              <w:t>3、中标后，中标单位须提交与网上上传电子投标文件完全一致的纸质投标文件（一式四份，加盖公章）至招标人。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440" w:type="pct"/>
            <w:tcBorders>
              <w:top w:val="single" w:color="auto" w:sz="4" w:space="0"/>
              <w:left w:val="single" w:color="auto" w:sz="4" w:space="0"/>
              <w:bottom w:val="single" w:color="auto" w:sz="4" w:space="0"/>
              <w:right w:val="single" w:color="auto" w:sz="4" w:space="0"/>
            </w:tcBorders>
            <w:vAlign w:val="center"/>
          </w:tcPr>
          <w:p>
            <w:pPr>
              <w:wordWrap w:val="0"/>
              <w:autoSpaceDE w:val="0"/>
              <w:autoSpaceDN w:val="0"/>
              <w:spacing w:line="276" w:lineRule="auto"/>
              <w:jc w:val="center"/>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u w:val="single"/>
              </w:rPr>
              <w:t>1</w:t>
            </w:r>
            <w:r>
              <w:rPr>
                <w:rFonts w:hint="eastAsia" w:ascii="宋体" w:hAnsi="宋体" w:eastAsia="宋体" w:cs="宋体"/>
                <w:color w:val="auto"/>
                <w:kern w:val="0"/>
                <w:szCs w:val="21"/>
                <w:highlight w:val="none"/>
                <w:u w:val="single"/>
                <w:lang w:val="en-US" w:eastAsia="zh-CN"/>
              </w:rPr>
              <w:t>1</w:t>
            </w:r>
            <w:r>
              <w:rPr>
                <w:rFonts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val="en-US" w:eastAsia="zh-CN"/>
              </w:rPr>
              <w:t>3</w:t>
            </w:r>
          </w:p>
        </w:tc>
        <w:tc>
          <w:tcPr>
            <w:tcW w:w="1065" w:type="pct"/>
            <w:tcBorders>
              <w:top w:val="single" w:color="auto" w:sz="4" w:space="0"/>
              <w:left w:val="single" w:color="auto" w:sz="4" w:space="0"/>
              <w:bottom w:val="single" w:color="auto" w:sz="4" w:space="0"/>
              <w:right w:val="single" w:color="auto" w:sz="4" w:space="0"/>
            </w:tcBorders>
            <w:vAlign w:val="center"/>
          </w:tcPr>
          <w:p>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其他费用</w:t>
            </w:r>
          </w:p>
        </w:tc>
        <w:tc>
          <w:tcPr>
            <w:tcW w:w="3493" w:type="pct"/>
            <w:tcBorders>
              <w:top w:val="single" w:color="auto" w:sz="4" w:space="0"/>
              <w:left w:val="single" w:color="auto" w:sz="4" w:space="0"/>
              <w:bottom w:val="single" w:color="auto" w:sz="4" w:space="0"/>
              <w:right w:val="single" w:color="auto" w:sz="4" w:space="0"/>
            </w:tcBorders>
            <w:vAlign w:val="center"/>
          </w:tcPr>
          <w:p>
            <w:pPr>
              <w:wordWrap w:val="0"/>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交易服务费：</w:t>
            </w:r>
            <w:r>
              <w:rPr>
                <w:rFonts w:hint="eastAsia" w:ascii="宋体" w:hAnsi="宋体" w:eastAsia="宋体" w:cs="宋体"/>
                <w:color w:val="auto"/>
                <w:kern w:val="0"/>
                <w:szCs w:val="21"/>
                <w:highlight w:val="none"/>
                <w:u w:val="single"/>
              </w:rPr>
              <w:t>由中标单位支付。</w:t>
            </w:r>
          </w:p>
          <w:p>
            <w:pPr>
              <w:wordWrap w:val="0"/>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招标代理费：</w:t>
            </w:r>
            <w:r>
              <w:rPr>
                <w:rFonts w:hint="eastAsia" w:ascii="宋体" w:hAnsi="宋体" w:eastAsia="宋体" w:cs="宋体"/>
                <w:color w:val="auto"/>
                <w:kern w:val="0"/>
                <w:szCs w:val="21"/>
                <w:highlight w:val="none"/>
                <w:u w:val="single"/>
              </w:rPr>
              <w:t>由中标人支付，金额以招标人与招标代理机构签订的招标代理合同为准。</w:t>
            </w:r>
          </w:p>
        </w:tc>
      </w:tr>
    </w:tbl>
    <w:p>
      <w:pPr>
        <w:wordWrap w:val="0"/>
        <w:ind w:left="420" w:leftChars="200"/>
        <w:rPr>
          <w:rFonts w:ascii="宋体" w:hAnsi="宋体" w:eastAsia="宋体" w:cs="宋体"/>
          <w:color w:val="auto"/>
          <w:szCs w:val="24"/>
          <w:highlight w:val="none"/>
        </w:rPr>
      </w:pPr>
    </w:p>
    <w:p>
      <w:pPr>
        <w:widowControl/>
        <w:jc w:val="left"/>
        <w:rPr>
          <w:rFonts w:ascii="宋体" w:hAnsi="宋体" w:eastAsia="宋体" w:cs="宋体"/>
          <w:color w:val="auto"/>
          <w:szCs w:val="24"/>
          <w:highlight w:val="none"/>
        </w:rPr>
      </w:pPr>
      <w:r>
        <w:rPr>
          <w:rFonts w:hint="eastAsia" w:ascii="宋体" w:hAnsi="宋体" w:eastAsia="宋体" w:cs="宋体"/>
          <w:color w:val="auto"/>
          <w:szCs w:val="24"/>
          <w:highlight w:val="none"/>
        </w:rPr>
        <w:br w:type="page"/>
      </w:r>
    </w:p>
    <w:p>
      <w:pPr>
        <w:pStyle w:val="4"/>
        <w:rPr>
          <w:color w:val="auto"/>
          <w:highlight w:val="none"/>
        </w:rPr>
      </w:pPr>
      <w:r>
        <w:rPr>
          <w:color w:val="auto"/>
          <w:highlight w:val="none"/>
        </w:rPr>
        <w:t>投标须知修改表</w:t>
      </w:r>
    </w:p>
    <w:p>
      <w:pPr>
        <w:pStyle w:val="43"/>
        <w:pBdr>
          <w:bottom w:val="single" w:color="auto" w:sz="6" w:space="1"/>
        </w:pBdr>
        <w:spacing w:after="0" w:line="360" w:lineRule="auto"/>
        <w:ind w:firstLine="0" w:firstLineChars="0"/>
        <w:rPr>
          <w:rFonts w:ascii="宋体" w:hAnsi="宋体"/>
          <w:bCs/>
          <w:color w:val="auto"/>
          <w:sz w:val="24"/>
          <w:szCs w:val="24"/>
          <w:highlight w:val="none"/>
        </w:rPr>
      </w:pPr>
      <w:r>
        <w:rPr>
          <w:rFonts w:ascii="宋体" w:hAnsi="宋体"/>
          <w:b/>
          <w:color w:val="auto"/>
          <w:sz w:val="24"/>
          <w:szCs w:val="24"/>
          <w:highlight w:val="none"/>
        </w:rPr>
        <w:t>本投标须知使用</w:t>
      </w:r>
      <w:r>
        <w:rPr>
          <w:rFonts w:hint="eastAsia" w:ascii="宋体" w:hAnsi="宋体"/>
          <w:b/>
          <w:color w:val="auto"/>
          <w:sz w:val="24"/>
          <w:szCs w:val="24"/>
          <w:highlight w:val="none"/>
        </w:rPr>
        <w:t>GZJTZB2025-1</w:t>
      </w:r>
      <w:r>
        <w:rPr>
          <w:rFonts w:ascii="宋体" w:hAnsi="宋体"/>
          <w:b/>
          <w:color w:val="auto"/>
          <w:sz w:val="24"/>
          <w:szCs w:val="24"/>
          <w:highlight w:val="none"/>
        </w:rPr>
        <w:t>招标文件范本的投标须知通用条款，与该通用条款不同之处，均在本表中列明，并以现文为准，原文不再有效。</w:t>
      </w:r>
    </w:p>
    <w:p>
      <w:pPr>
        <w:spacing w:beforeLines="0" w:afterLines="0" w:line="360" w:lineRule="auto"/>
        <w:ind w:firstLine="482" w:firstLineChars="200"/>
        <w:jc w:val="both"/>
        <w:rPr>
          <w:rFonts w:hint="default" w:ascii="宋体" w:hAnsi="宋体" w:eastAsia="宋体"/>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lang w:val="en-US" w:eastAsia="zh-CN"/>
        </w:rPr>
        <w:t>2.1</w:t>
      </w:r>
      <w:r>
        <w:rPr>
          <w:rFonts w:ascii="宋体" w:hAnsi="宋体" w:eastAsia="宋体"/>
          <w:b/>
          <w:bCs/>
          <w:color w:val="auto"/>
          <w:sz w:val="24"/>
          <w:szCs w:val="24"/>
          <w:highlight w:val="none"/>
        </w:rPr>
        <w:t xml:space="preserve">         修改类型：修改</w:t>
      </w:r>
    </w:p>
    <w:p>
      <w:pPr>
        <w:spacing w:line="360" w:lineRule="auto"/>
        <w:ind w:firstLine="426" w:firstLineChars="177"/>
        <w:rPr>
          <w:rFonts w:hint="eastAsia" w:ascii="宋体" w:hAnsi="宋体" w:eastAsia="宋体"/>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color w:val="auto"/>
          <w:sz w:val="24"/>
          <w:szCs w:val="24"/>
          <w:highlight w:val="none"/>
        </w:rPr>
        <w:t>本招标文件包括：</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（1）招标公告；</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（2）投标人须知；</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（3）评标办法；</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（4）合同条款及格式；</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（5）委托人要求；</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（6）投标文件格式；</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（7）投标人须知前附表规定的其他资料。</w:t>
      </w:r>
    </w:p>
    <w:p>
      <w:pPr>
        <w:spacing w:line="360" w:lineRule="auto"/>
        <w:ind w:firstLine="424" w:firstLineChars="177"/>
        <w:rPr>
          <w:rFonts w:ascii="宋体" w:hAnsi="宋体" w:eastAsia="宋体"/>
          <w:b/>
          <w:bCs/>
          <w:color w:val="auto"/>
          <w:sz w:val="24"/>
          <w:szCs w:val="24"/>
          <w:highlight w:val="none"/>
          <w:u w:val="single"/>
        </w:rPr>
      </w:pPr>
      <w:r>
        <w:rPr>
          <w:rFonts w:hint="eastAsia" w:ascii="宋体" w:hAnsi="宋体" w:eastAsia="宋体"/>
          <w:color w:val="auto"/>
          <w:sz w:val="24"/>
          <w:szCs w:val="24"/>
          <w:highlight w:val="none"/>
        </w:rPr>
        <w:t>根据本章第 1.10 款、第 2.2 款和第 2.3 款对招标文件所作的澄清、修改，构成招标文件的组成部分。</w:t>
      </w:r>
    </w:p>
    <w:p>
      <w:pPr>
        <w:spacing w:line="360" w:lineRule="auto"/>
        <w:ind w:firstLine="426" w:firstLineChars="177"/>
        <w:rPr>
          <w:rFonts w:hint="eastAsia" w:ascii="宋体" w:hAnsi="宋体" w:eastAsia="宋体"/>
          <w:color w:val="auto"/>
          <w:sz w:val="24"/>
          <w:szCs w:val="24"/>
          <w:highlight w:val="none"/>
        </w:rPr>
      </w:pPr>
      <w:r>
        <w:rPr>
          <w:rFonts w:hint="eastAsia" w:ascii="宋体" w:hAnsi="宋体" w:eastAsia="宋体"/>
          <w:b/>
          <w:bCs/>
          <w:color w:val="auto"/>
          <w:sz w:val="24"/>
          <w:szCs w:val="24"/>
          <w:highlight w:val="none"/>
        </w:rPr>
        <w:t>现文：</w:t>
      </w:r>
      <w:r>
        <w:rPr>
          <w:rFonts w:hint="eastAsia" w:ascii="宋体" w:hAnsi="宋体" w:eastAsia="宋体"/>
          <w:color w:val="auto"/>
          <w:sz w:val="24"/>
          <w:szCs w:val="24"/>
          <w:highlight w:val="none"/>
        </w:rPr>
        <w:t>本招标文件包括：</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（1）招标公告；</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（2）投标人须知；</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（3）评标办法；</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（4）合同条款及格式；</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w:t>
      </w:r>
      <w:r>
        <w:rPr>
          <w:rFonts w:hint="eastAsia" w:ascii="宋体" w:hAnsi="宋体" w:eastAsia="宋体"/>
          <w:b/>
          <w:bCs/>
          <w:color w:val="auto"/>
          <w:sz w:val="24"/>
          <w:szCs w:val="24"/>
          <w:highlight w:val="none"/>
          <w:u w:val="single"/>
          <w:lang w:val="en-US" w:eastAsia="zh-CN"/>
        </w:rPr>
        <w:t>发包人</w:t>
      </w:r>
      <w:r>
        <w:rPr>
          <w:rFonts w:hint="eastAsia" w:ascii="宋体" w:hAnsi="宋体" w:eastAsia="宋体"/>
          <w:color w:val="auto"/>
          <w:sz w:val="24"/>
          <w:szCs w:val="24"/>
          <w:highlight w:val="none"/>
        </w:rPr>
        <w:t>要求；</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（6）投标文件格式；</w:t>
      </w:r>
    </w:p>
    <w:p>
      <w:pPr>
        <w:spacing w:line="360" w:lineRule="auto"/>
        <w:ind w:firstLine="424" w:firstLineChars="177"/>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（7）投标人须知前附表规定的其他资料。</w:t>
      </w:r>
    </w:p>
    <w:p>
      <w:pPr>
        <w:pBdr>
          <w:bottom w:val="single" w:color="auto" w:sz="6" w:space="1"/>
        </w:pBdr>
        <w:spacing w:beforeLines="0" w:afterLines="0" w:line="360" w:lineRule="auto"/>
        <w:ind w:firstLine="537" w:firstLineChars="224"/>
        <w:jc w:val="both"/>
        <w:rPr>
          <w:rFonts w:hint="default" w:ascii="宋体" w:hAnsi="宋体" w:eastAsia="宋体"/>
          <w:color w:val="auto"/>
          <w:sz w:val="24"/>
          <w:szCs w:val="24"/>
          <w:highlight w:val="none"/>
        </w:rPr>
      </w:pPr>
      <w:r>
        <w:rPr>
          <w:rFonts w:hint="eastAsia" w:ascii="宋体" w:hAnsi="宋体" w:eastAsia="宋体"/>
          <w:color w:val="auto"/>
          <w:sz w:val="24"/>
          <w:szCs w:val="24"/>
          <w:highlight w:val="none"/>
        </w:rPr>
        <w:t>根据本章第 1.10 款、第 2.2 款和第 2.3 款对招标文件所作的澄清、修改，构成招标文件的组成部分。</w:t>
      </w:r>
    </w:p>
    <w:p>
      <w:pPr>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3.5.1至3.5.4</w:t>
      </w:r>
      <w:r>
        <w:rPr>
          <w:rFonts w:ascii="宋体" w:hAnsi="宋体" w:eastAsia="宋体"/>
          <w:b/>
          <w:bCs/>
          <w:color w:val="auto"/>
          <w:sz w:val="24"/>
          <w:szCs w:val="24"/>
          <w:highlight w:val="none"/>
        </w:rPr>
        <w:t xml:space="preserve">         修改类型：修改</w:t>
      </w:r>
    </w:p>
    <w:p>
      <w:pPr>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color w:val="auto"/>
          <w:sz w:val="24"/>
          <w:szCs w:val="24"/>
          <w:highlight w:val="none"/>
        </w:rPr>
        <w:t>3.5.1 “投标人基本情况表”应附投标人营业执照和组织机构代码证的扫描件（按照“三证合一”或“五证合一”登记制度进行登记的，可仅提供营业执照扫描件）、投标人勘察设计资质证书副本等材料的扫描件。</w:t>
      </w:r>
    </w:p>
    <w:p>
      <w:pPr>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3.5.2 “近年完成的类似勘察设计项目情况表”应附中标通知书和（或）合同协议书、委托人出具的证明文件；具体时间要求见投标人须知前附表，每张表格只填写一个项目，并标明序号。</w:t>
      </w:r>
    </w:p>
    <w:p>
      <w:pPr>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3.5.3 “拟委任的主要人员汇总表”应填报满足本章第1.4.1项规定的项目负责人和其他主要人员的相关信息。“主要人员简历表”中项目负责人应附身份证、学历证、职称证、执业资格证书和社保缴费证明扫描件，管理过的项目业绩须附合同协议书（如有）扫描件；其他主要人员应附身份证、学历证、职称证、有关证书和社保缴费证明扫描件（如有）。（注：以上人员社保要求：具有离投标截止时间最近的至少1个月在本单位缴纳的社保证明文件，由招标人自行确定。）</w:t>
      </w:r>
    </w:p>
    <w:p>
      <w:pPr>
        <w:spacing w:line="360" w:lineRule="auto"/>
        <w:ind w:firstLine="424" w:firstLineChars="177"/>
        <w:rPr>
          <w:rFonts w:ascii="宋体" w:hAnsi="宋体" w:eastAsia="宋体"/>
          <w:b/>
          <w:bCs/>
          <w:color w:val="auto"/>
          <w:sz w:val="24"/>
          <w:szCs w:val="24"/>
          <w:highlight w:val="none"/>
          <w:u w:val="single"/>
        </w:rPr>
      </w:pPr>
      <w:r>
        <w:rPr>
          <w:rFonts w:hint="eastAsia" w:ascii="宋体" w:hAnsi="宋体" w:eastAsia="宋体"/>
          <w:color w:val="auto"/>
          <w:sz w:val="24"/>
          <w:szCs w:val="24"/>
          <w:highlight w:val="none"/>
        </w:rPr>
        <w:t>3.5.4 投标人须知前附表规定接受联合体投标的，本章第3.5.1项至第3.5.3项规定的表格和资料应包括联合体各方相关情况。</w:t>
      </w:r>
    </w:p>
    <w:p>
      <w:pPr>
        <w:pBdr>
          <w:bottom w:val="single" w:color="auto" w:sz="6" w:space="1"/>
        </w:pBdr>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现文：</w:t>
      </w:r>
      <w:r>
        <w:rPr>
          <w:rFonts w:hint="eastAsia" w:ascii="宋体" w:hAnsi="宋体" w:eastAsia="宋体"/>
          <w:color w:val="auto"/>
          <w:sz w:val="24"/>
          <w:szCs w:val="24"/>
          <w:highlight w:val="none"/>
        </w:rPr>
        <w:t xml:space="preserve">3.5.1 </w:t>
      </w:r>
      <w:r>
        <w:rPr>
          <w:rFonts w:hint="eastAsia" w:ascii="宋体" w:hAnsi="宋体" w:eastAsia="宋体"/>
          <w:b/>
          <w:bCs/>
          <w:color w:val="auto"/>
          <w:sz w:val="24"/>
          <w:szCs w:val="24"/>
          <w:highlight w:val="none"/>
          <w:u w:val="single"/>
        </w:rPr>
        <w:t>资格审查资料详见第六章“投标文件格式”。</w:t>
      </w:r>
    </w:p>
    <w:p>
      <w:pPr>
        <w:spacing w:line="360" w:lineRule="auto"/>
        <w:rPr>
          <w:rFonts w:ascii="宋体" w:hAnsi="宋体" w:eastAsia="宋体"/>
          <w:color w:val="auto"/>
          <w:sz w:val="24"/>
          <w:szCs w:val="24"/>
          <w:highlight w:val="none"/>
        </w:rPr>
      </w:pP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注：以上修改，仅限于本范本中有可供选择条款的情形。</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（以下无正文）</w:t>
      </w:r>
    </w:p>
    <w:p>
      <w:pPr>
        <w:wordWrap w:val="0"/>
        <w:spacing w:line="360" w:lineRule="auto"/>
        <w:ind w:left="420" w:left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0" w:name="_Toc3060"/>
      <w:bookmarkStart w:id="11" w:name="_Toc193357939"/>
      <w:bookmarkStart w:id="12" w:name="_Toc111186724"/>
      <w:r>
        <w:rPr>
          <w:rFonts w:hint="eastAsia" w:ascii="宋体" w:hAnsi="宋体" w:eastAsia="宋体" w:cs="宋体"/>
          <w:b/>
          <w:bCs/>
          <w:color w:val="auto"/>
          <w:kern w:val="0"/>
          <w:sz w:val="30"/>
          <w:szCs w:val="30"/>
          <w:highlight w:val="none"/>
          <w:lang w:val="zh-CN"/>
        </w:rPr>
        <w:t>1. 总则</w:t>
      </w:r>
      <w:bookmarkEnd w:id="10"/>
      <w:bookmarkEnd w:id="11"/>
      <w:bookmarkEnd w:id="12"/>
    </w:p>
    <w:p>
      <w:pPr>
        <w:keepNext/>
        <w:keepLines/>
        <w:wordWrap w:val="0"/>
        <w:spacing w:before="260" w:line="416" w:lineRule="auto"/>
        <w:outlineLvl w:val="2"/>
        <w:rPr>
          <w:rFonts w:ascii="宋体" w:hAnsi="宋体" w:eastAsia="宋体" w:cs="宋体"/>
          <w:b/>
          <w:bCs/>
          <w:color w:val="auto"/>
          <w:spacing w:val="-2"/>
          <w:kern w:val="0"/>
          <w:sz w:val="24"/>
          <w:szCs w:val="24"/>
          <w:highlight w:val="none"/>
          <w:lang w:val="zh-CN"/>
        </w:rPr>
      </w:pPr>
      <w:bookmarkStart w:id="13" w:name="_Toc193357940"/>
      <w:bookmarkStart w:id="14" w:name="_Toc7733"/>
      <w:bookmarkStart w:id="15" w:name="_Toc111186725"/>
      <w:r>
        <w:rPr>
          <w:rFonts w:hint="eastAsia" w:ascii="宋体" w:hAnsi="宋体" w:eastAsia="宋体" w:cs="宋体"/>
          <w:b/>
          <w:bCs/>
          <w:color w:val="auto"/>
          <w:spacing w:val="1"/>
          <w:sz w:val="28"/>
          <w:szCs w:val="32"/>
          <w:highlight w:val="none"/>
          <w:lang w:val="zh-CN"/>
        </w:rPr>
        <w:t>1.1 招标项目概况</w:t>
      </w:r>
      <w:bookmarkEnd w:id="13"/>
      <w:bookmarkEnd w:id="14"/>
      <w:bookmarkEnd w:id="15"/>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1.1.1 根据《中华人民共和国招标投标法》、《中华人民共和国招标投标法实施条例》等有关法律、法规和规章的规定，本招标项目已具备招标条件，现对勘察设计进行招标。</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1.1.2 招标人：见投标人须知前附表。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1.1.3 招标代理机构：见投标人须知前附表。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1.1.4 招标项目名称：见投标人须知前附表。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1.1.5 项目建设地点：见投标人须知前附表。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1.1.6 项目建设规模：见投标人须知前附表。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1.1.7 项目投资估算：见投标人须知前附表。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6" w:name="_Toc111186726"/>
      <w:bookmarkStart w:id="17" w:name="_Toc14504"/>
      <w:bookmarkStart w:id="18" w:name="_Toc193357941"/>
      <w:r>
        <w:rPr>
          <w:rFonts w:hint="eastAsia" w:ascii="宋体" w:hAnsi="宋体" w:eastAsia="宋体" w:cs="宋体"/>
          <w:b/>
          <w:bCs/>
          <w:color w:val="auto"/>
          <w:spacing w:val="1"/>
          <w:sz w:val="28"/>
          <w:szCs w:val="32"/>
          <w:highlight w:val="none"/>
          <w:lang w:val="zh-CN"/>
        </w:rPr>
        <w:t>1.2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招标项目</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资</w:t>
      </w:r>
      <w:r>
        <w:rPr>
          <w:rFonts w:hint="eastAsia" w:ascii="宋体" w:hAnsi="宋体" w:eastAsia="宋体" w:cs="宋体"/>
          <w:b/>
          <w:bCs/>
          <w:color w:val="auto"/>
          <w:spacing w:val="-3"/>
          <w:sz w:val="28"/>
          <w:szCs w:val="32"/>
          <w:highlight w:val="none"/>
          <w:lang w:val="zh-CN"/>
        </w:rPr>
        <w:t>金</w:t>
      </w:r>
      <w:r>
        <w:rPr>
          <w:rFonts w:hint="eastAsia" w:ascii="宋体" w:hAnsi="宋体" w:eastAsia="宋体" w:cs="宋体"/>
          <w:b/>
          <w:bCs/>
          <w:color w:val="auto"/>
          <w:spacing w:val="1"/>
          <w:sz w:val="28"/>
          <w:szCs w:val="32"/>
          <w:highlight w:val="none"/>
          <w:lang w:val="zh-CN"/>
        </w:rPr>
        <w:t>来源和</w:t>
      </w:r>
      <w:r>
        <w:rPr>
          <w:rFonts w:hint="eastAsia" w:ascii="宋体" w:hAnsi="宋体" w:eastAsia="宋体" w:cs="宋体"/>
          <w:b/>
          <w:bCs/>
          <w:color w:val="auto"/>
          <w:spacing w:val="-3"/>
          <w:sz w:val="28"/>
          <w:szCs w:val="32"/>
          <w:highlight w:val="none"/>
          <w:lang w:val="zh-CN"/>
        </w:rPr>
        <w:t>落</w:t>
      </w:r>
      <w:r>
        <w:rPr>
          <w:rFonts w:hint="eastAsia" w:ascii="宋体" w:hAnsi="宋体" w:eastAsia="宋体" w:cs="宋体"/>
          <w:b/>
          <w:bCs/>
          <w:color w:val="auto"/>
          <w:spacing w:val="1"/>
          <w:sz w:val="28"/>
          <w:szCs w:val="32"/>
          <w:highlight w:val="none"/>
          <w:lang w:val="zh-CN"/>
        </w:rPr>
        <w:t>实情况</w:t>
      </w:r>
      <w:bookmarkEnd w:id="16"/>
      <w:bookmarkEnd w:id="17"/>
      <w:bookmarkEnd w:id="18"/>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1.2.1 资金来源及比例：见投标人须知前附表。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1.2.2 资金落实情况：见投标人须知前附表。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 w:name="_Toc193357942"/>
      <w:bookmarkStart w:id="20" w:name="_Toc111186727"/>
      <w:bookmarkStart w:id="21" w:name="_Toc13854"/>
      <w:r>
        <w:rPr>
          <w:rFonts w:hint="eastAsia" w:ascii="宋体" w:hAnsi="宋体" w:eastAsia="宋体" w:cs="宋体"/>
          <w:b/>
          <w:bCs/>
          <w:color w:val="auto"/>
          <w:spacing w:val="1"/>
          <w:sz w:val="28"/>
          <w:szCs w:val="32"/>
          <w:highlight w:val="none"/>
          <w:lang w:val="zh-CN"/>
        </w:rPr>
        <w:t>1.3</w:t>
      </w:r>
      <w:r>
        <w:rPr>
          <w:rFonts w:hint="eastAsia"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招标范</w:t>
      </w:r>
      <w:r>
        <w:rPr>
          <w:rFonts w:hint="eastAsia" w:ascii="宋体" w:hAnsi="宋体" w:eastAsia="宋体" w:cs="宋体"/>
          <w:b/>
          <w:bCs/>
          <w:color w:val="auto"/>
          <w:spacing w:val="-3"/>
          <w:sz w:val="28"/>
          <w:szCs w:val="32"/>
          <w:highlight w:val="none"/>
          <w:lang w:val="zh-CN"/>
        </w:rPr>
        <w:t>围</w:t>
      </w:r>
      <w:r>
        <w:rPr>
          <w:rFonts w:hint="eastAsia" w:ascii="宋体" w:hAnsi="宋体" w:eastAsia="宋体" w:cs="宋体"/>
          <w:b/>
          <w:bCs/>
          <w:color w:val="auto"/>
          <w:spacing w:val="1"/>
          <w:sz w:val="28"/>
          <w:szCs w:val="32"/>
          <w:highlight w:val="none"/>
          <w:lang w:val="zh-CN"/>
        </w:rPr>
        <w:t>、勘察设</w:t>
      </w:r>
      <w:r>
        <w:rPr>
          <w:rFonts w:hint="eastAsia" w:ascii="宋体" w:hAnsi="宋体" w:eastAsia="宋体" w:cs="宋体"/>
          <w:b/>
          <w:bCs/>
          <w:color w:val="auto"/>
          <w:spacing w:val="-2"/>
          <w:sz w:val="28"/>
          <w:szCs w:val="32"/>
          <w:highlight w:val="none"/>
          <w:lang w:val="zh-CN"/>
        </w:rPr>
        <w:t>计</w:t>
      </w:r>
      <w:r>
        <w:rPr>
          <w:rFonts w:hint="eastAsia" w:ascii="宋体" w:hAnsi="宋体" w:eastAsia="宋体" w:cs="宋体"/>
          <w:b/>
          <w:bCs/>
          <w:color w:val="auto"/>
          <w:spacing w:val="1"/>
          <w:sz w:val="28"/>
          <w:szCs w:val="32"/>
          <w:highlight w:val="none"/>
          <w:lang w:val="zh-CN"/>
        </w:rPr>
        <w:t>服务期</w:t>
      </w:r>
      <w:r>
        <w:rPr>
          <w:rFonts w:hint="eastAsia" w:ascii="宋体" w:hAnsi="宋体" w:eastAsia="宋体" w:cs="宋体"/>
          <w:b/>
          <w:bCs/>
          <w:color w:val="auto"/>
          <w:spacing w:val="-3"/>
          <w:sz w:val="28"/>
          <w:szCs w:val="32"/>
          <w:highlight w:val="none"/>
          <w:lang w:val="zh-CN"/>
        </w:rPr>
        <w:t>限</w:t>
      </w:r>
      <w:r>
        <w:rPr>
          <w:rFonts w:hint="eastAsia" w:ascii="宋体" w:hAnsi="宋体" w:eastAsia="宋体" w:cs="宋体"/>
          <w:b/>
          <w:bCs/>
          <w:color w:val="auto"/>
          <w:spacing w:val="1"/>
          <w:sz w:val="28"/>
          <w:szCs w:val="32"/>
          <w:highlight w:val="none"/>
          <w:lang w:val="zh-CN"/>
        </w:rPr>
        <w:t>和质</w:t>
      </w:r>
      <w:r>
        <w:rPr>
          <w:rFonts w:hint="eastAsia" w:ascii="宋体" w:hAnsi="宋体" w:eastAsia="宋体" w:cs="宋体"/>
          <w:b/>
          <w:bCs/>
          <w:color w:val="auto"/>
          <w:spacing w:val="-3"/>
          <w:sz w:val="28"/>
          <w:szCs w:val="32"/>
          <w:highlight w:val="none"/>
          <w:lang w:val="zh-CN"/>
        </w:rPr>
        <w:t>量标</w:t>
      </w:r>
      <w:r>
        <w:rPr>
          <w:rFonts w:hint="eastAsia" w:ascii="宋体" w:hAnsi="宋体" w:eastAsia="宋体" w:cs="宋体"/>
          <w:b/>
          <w:bCs/>
          <w:color w:val="auto"/>
          <w:spacing w:val="1"/>
          <w:sz w:val="28"/>
          <w:szCs w:val="32"/>
          <w:highlight w:val="none"/>
          <w:lang w:val="zh-CN"/>
        </w:rPr>
        <w:t>准</w:t>
      </w:r>
      <w:bookmarkEnd w:id="19"/>
      <w:bookmarkEnd w:id="20"/>
      <w:bookmarkEnd w:id="21"/>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1.3.1 招标范围：见投标人须知前附表。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1.3.2 勘察设计服务期限：见投标人须知前附表。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1.3.3 质量标准：见投标人须知前附表。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2" w:name="_Toc111186728"/>
      <w:bookmarkStart w:id="23" w:name="_Toc22012"/>
      <w:bookmarkStart w:id="24" w:name="_Toc193357943"/>
      <w:r>
        <w:rPr>
          <w:rFonts w:hint="eastAsia" w:ascii="宋体" w:hAnsi="宋体" w:eastAsia="宋体" w:cs="宋体"/>
          <w:b/>
          <w:bCs/>
          <w:color w:val="auto"/>
          <w:spacing w:val="1"/>
          <w:sz w:val="28"/>
          <w:szCs w:val="32"/>
          <w:highlight w:val="none"/>
          <w:lang w:val="zh-CN"/>
        </w:rPr>
        <w:t>1.4</w:t>
      </w:r>
      <w:r>
        <w:rPr>
          <w:rFonts w:hint="eastAsia"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投标人</w:t>
      </w:r>
      <w:r>
        <w:rPr>
          <w:rFonts w:hint="eastAsia" w:ascii="宋体" w:hAnsi="宋体" w:eastAsia="宋体" w:cs="宋体"/>
          <w:b/>
          <w:bCs/>
          <w:color w:val="auto"/>
          <w:spacing w:val="-3"/>
          <w:sz w:val="28"/>
          <w:szCs w:val="32"/>
          <w:highlight w:val="none"/>
          <w:lang w:val="zh-CN"/>
        </w:rPr>
        <w:t>资</w:t>
      </w:r>
      <w:r>
        <w:rPr>
          <w:rFonts w:hint="eastAsia" w:ascii="宋体" w:hAnsi="宋体" w:eastAsia="宋体" w:cs="宋体"/>
          <w:b/>
          <w:bCs/>
          <w:color w:val="auto"/>
          <w:spacing w:val="1"/>
          <w:sz w:val="28"/>
          <w:szCs w:val="32"/>
          <w:highlight w:val="none"/>
          <w:lang w:val="zh-CN"/>
        </w:rPr>
        <w:t>格要求</w:t>
      </w:r>
      <w:bookmarkEnd w:id="22"/>
      <w:bookmarkEnd w:id="23"/>
      <w:bookmarkEnd w:id="24"/>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1.4.1 投标人应具备承担本招标项目资质条件、能力和信誉：</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（1）资质要求：见投标人须知前附表；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（2）业绩要求：见投标人须知前附表；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（3）项目负责人的资格要求：应当具备工程设计类注册执业资格（如有），具体要求见投标人须知前附表；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（4）其他主要人员要求：见投标人须知前附表。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（5）其他要求：见投标人须知前附表。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需要提交的相关证明材料见本章第3.5款的规定。</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1.4.2 投标人须知前附表规定接受联合体投标的，联合体除应符合本章第1.4.1项和投标人须知前附表的要求外，还应遵守以下规定：</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（1）联合体各方应按招标文件提供的格式签订联合体协议书，明确联合体牵头人和各方权利义务，并承诺就中标项目向招标人承担连带责任；</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（2）由同一专业的单位组成的联合体，按照资质等级较低的单位确定资质等级；</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（3）联合体各方不得再以自己名义单独或参加其他联合体在本招标项目中投标，否则各相关投标均无效。</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1.4.3 投标人不得存在下列情形之一：</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（1）为招标人不具有独立法人资格的附属机构（单位）；</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（2）与招标人存在利害关系且可能影响招标公正性；</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（3）与本招标项目的其他投标人为同一个单位负责人；</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（4）与本招标项目的其他投标人存在控股、管理关系；</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（5）为本招标项目的代建人或建设管理单位；</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（6）为本招标项目的招标代理机构；</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（7）与本招标项目的代建人或招标代理机构同为一个法定代表人；</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（8）与本招标项目的代建人或招标代理机构存在控股或参股关系；</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9）被依法暂停或者取消投标资格（本项事实应当以根据《中华人民共和国行政处罚法》依法作出并已生效的行政处罚决定为认定依据。行政处罚决定中已明确暂停或取消投标资格的区域范围不包含本标段建设地点的，不受该项规定限制）；</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（10）被责令停产停业、暂扣或者吊销许可证、暂扣或者吊销执照（本项事实应当以根据《中华人民共和国行政处罚法》依法作出并已生效的行政处罚决定为认定依据）；</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（11）进入清算程序，或被宣告破产，或其他丧失履约能力的情形；</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12）在最近三年内发生重大设计质量问题的（以相关行业主管部门的行政处罚决定或司法机关出具的有关法律文书为准。“最近三年”是指从投标截止时间之日起逆推三年，以相关行业主管部门、司法机关、仲裁机构出具的生效文件的落款时间起计算）；</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u w:val="single"/>
        </w:rPr>
      </w:pPr>
      <w:r>
        <w:rPr>
          <w:rFonts w:hint="eastAsia" w:ascii="宋体" w:hAnsi="宋体" w:eastAsia="宋体" w:cs="宋体"/>
          <w:color w:val="auto"/>
          <w:spacing w:val="-2"/>
          <w:kern w:val="0"/>
          <w:sz w:val="24"/>
          <w:szCs w:val="24"/>
          <w:highlight w:val="none"/>
        </w:rPr>
        <w:t>（13）法律法规或投标人须知前附表规定的其他情形。</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5" w:name="_Toc193357944"/>
      <w:bookmarkStart w:id="26" w:name="_Toc111186729"/>
      <w:bookmarkStart w:id="27" w:name="_Toc29074"/>
      <w:r>
        <w:rPr>
          <w:rFonts w:hint="eastAsia" w:ascii="宋体" w:hAnsi="宋体" w:eastAsia="宋体" w:cs="宋体"/>
          <w:b/>
          <w:bCs/>
          <w:color w:val="auto"/>
          <w:spacing w:val="1"/>
          <w:sz w:val="28"/>
          <w:szCs w:val="32"/>
          <w:highlight w:val="none"/>
          <w:lang w:val="zh-CN"/>
        </w:rPr>
        <w:t>1.5</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费用承担</w:t>
      </w:r>
      <w:bookmarkEnd w:id="25"/>
      <w:bookmarkEnd w:id="26"/>
      <w:bookmarkEnd w:id="27"/>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投标人准备和参加投标活动发生的费用自理。</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8" w:name="_Toc8560"/>
      <w:bookmarkStart w:id="29" w:name="_Toc193357945"/>
      <w:bookmarkStart w:id="30" w:name="_Toc111186730"/>
      <w:r>
        <w:rPr>
          <w:rFonts w:hint="eastAsia" w:ascii="宋体" w:hAnsi="宋体" w:eastAsia="宋体" w:cs="宋体"/>
          <w:b/>
          <w:bCs/>
          <w:color w:val="auto"/>
          <w:spacing w:val="1"/>
          <w:sz w:val="28"/>
          <w:szCs w:val="32"/>
          <w:highlight w:val="none"/>
          <w:lang w:val="zh-CN"/>
        </w:rPr>
        <w:t>1.6</w:t>
      </w:r>
      <w:r>
        <w:rPr>
          <w:rFonts w:hint="eastAsia"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保密</w:t>
      </w:r>
      <w:bookmarkEnd w:id="28"/>
      <w:bookmarkEnd w:id="29"/>
      <w:bookmarkEnd w:id="30"/>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参与招标投标活动的各方应对招标文件和投标文件中的商业和技术等秘密保密，否则应承担相应的法律责任。</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1" w:name="_Toc193357946"/>
      <w:bookmarkStart w:id="32" w:name="_Toc28000"/>
      <w:bookmarkStart w:id="33" w:name="_Toc111186731"/>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1"/>
          <w:sz w:val="28"/>
          <w:szCs w:val="32"/>
          <w:highlight w:val="none"/>
          <w:lang w:val="zh-CN"/>
        </w:rPr>
        <w:t>.</w:t>
      </w:r>
      <w:r>
        <w:rPr>
          <w:rFonts w:hint="eastAsia" w:ascii="宋体" w:hAnsi="宋体" w:eastAsia="宋体" w:cs="宋体"/>
          <w:b/>
          <w:bCs/>
          <w:color w:val="auto"/>
          <w:spacing w:val="1"/>
          <w:sz w:val="28"/>
          <w:szCs w:val="32"/>
          <w:highlight w:val="none"/>
          <w:lang w:val="zh-CN"/>
        </w:rPr>
        <w:t>7</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语言文字</w:t>
      </w:r>
      <w:bookmarkEnd w:id="31"/>
      <w:bookmarkEnd w:id="32"/>
      <w:bookmarkEnd w:id="33"/>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招标投标文件使用的语言文字为中文。专用术语使用外文的，应附有中文注释。</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4" w:name="_Toc3237"/>
      <w:bookmarkStart w:id="35" w:name="_Toc111186732"/>
      <w:bookmarkStart w:id="36" w:name="_Toc193357947"/>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1"/>
          <w:sz w:val="28"/>
          <w:szCs w:val="32"/>
          <w:highlight w:val="none"/>
          <w:lang w:val="zh-CN"/>
        </w:rPr>
        <w:t>.</w:t>
      </w:r>
      <w:r>
        <w:rPr>
          <w:rFonts w:hint="eastAsia" w:ascii="宋体" w:hAnsi="宋体" w:eastAsia="宋体" w:cs="宋体"/>
          <w:b/>
          <w:bCs/>
          <w:color w:val="auto"/>
          <w:spacing w:val="1"/>
          <w:sz w:val="28"/>
          <w:szCs w:val="32"/>
          <w:highlight w:val="none"/>
          <w:lang w:val="zh-CN"/>
        </w:rPr>
        <w:t>8</w:t>
      </w:r>
      <w:r>
        <w:rPr>
          <w:rFonts w:hint="eastAsia"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计量单位</w:t>
      </w:r>
      <w:bookmarkEnd w:id="34"/>
      <w:bookmarkEnd w:id="35"/>
      <w:bookmarkEnd w:id="36"/>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所有计量均采用中华人民共和国法定计量单位。</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37" w:name="_Toc9357"/>
      <w:bookmarkStart w:id="38" w:name="_Toc193357948"/>
      <w:bookmarkStart w:id="39" w:name="_Toc111186733"/>
      <w:r>
        <w:rPr>
          <w:rFonts w:hint="eastAsia" w:ascii="宋体" w:hAnsi="宋体" w:eastAsia="宋体" w:cs="宋体"/>
          <w:b/>
          <w:bCs/>
          <w:color w:val="auto"/>
          <w:spacing w:val="1"/>
          <w:sz w:val="28"/>
          <w:szCs w:val="32"/>
          <w:highlight w:val="none"/>
          <w:lang w:val="zh-CN"/>
        </w:rPr>
        <w:t>1.9</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踏勘现场</w:t>
      </w:r>
      <w:bookmarkEnd w:id="37"/>
      <w:bookmarkEnd w:id="38"/>
      <w:bookmarkEnd w:id="39"/>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1.9.2 投标人踏勘现场发生的费用自理。</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1.9.3 除招标人的原因外，投标人自行负责踏勘现场中所发生的人员伤亡和财产损失。</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1.9.4 由于投标人没有对工程现场及周围环境进行踏勘，造成投标失误的，由投标人自行承担责任和损失。</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40" w:name="_Toc111186734"/>
      <w:bookmarkStart w:id="41" w:name="_Toc16096"/>
      <w:bookmarkStart w:id="42" w:name="_Toc193357949"/>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1"/>
          <w:sz w:val="28"/>
          <w:szCs w:val="32"/>
          <w:highlight w:val="none"/>
          <w:lang w:val="zh-CN"/>
        </w:rPr>
        <w:t>0</w:t>
      </w:r>
      <w:r>
        <w:rPr>
          <w:rFonts w:hint="eastAsia" w:ascii="宋体" w:hAnsi="宋体" w:eastAsia="宋体" w:cs="宋体"/>
          <w:b/>
          <w:bCs/>
          <w:color w:val="auto"/>
          <w:spacing w:val="-2"/>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投标预备会</w:t>
      </w:r>
      <w:bookmarkEnd w:id="40"/>
      <w:bookmarkEnd w:id="41"/>
      <w:bookmarkEnd w:id="42"/>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1.10.1 投标人须知前附表规定召开投标预备会的，招标人按投标人须知前附表规定的时间和地点召开投标预备会，澄清投标人提出的问题。</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1.10.2 投标人应按投标人须知前附表规定的时间和形式将提出的问题送达招标人，以便招标人在会议期间澄清。</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1.10.3 投标预备会后，招标人将对投标人所提问题的澄清，以投标人须知前附表规定的形式通知所有购买招标文件的投标人。该澄清内容为招标文件的组成部分。</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43" w:name="_Toc111186735"/>
      <w:bookmarkStart w:id="44" w:name="_Toc16438"/>
      <w:bookmarkStart w:id="45" w:name="_Toc193357950"/>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12"/>
          <w:sz w:val="28"/>
          <w:szCs w:val="32"/>
          <w:highlight w:val="none"/>
          <w:lang w:val="zh-CN"/>
        </w:rPr>
        <w:t>1</w:t>
      </w:r>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分包</w:t>
      </w:r>
      <w:bookmarkEnd w:id="43"/>
      <w:bookmarkEnd w:id="44"/>
      <w:bookmarkEnd w:id="45"/>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1.11.1 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1.11.2 中标人不得向他人转让中标项目，接受分包的人不得再次分包。中标人应当就分包项目向招标人负责，接受分包的人就分包项目承担连带责任。</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46" w:name="_Toc111186736"/>
      <w:bookmarkStart w:id="47" w:name="_Toc10229"/>
      <w:bookmarkStart w:id="48" w:name="_Toc193357951"/>
      <w:r>
        <w:rPr>
          <w:rFonts w:hint="eastAsia" w:ascii="宋体" w:hAnsi="宋体" w:eastAsia="宋体" w:cs="宋体"/>
          <w:b/>
          <w:bCs/>
          <w:color w:val="auto"/>
          <w:spacing w:val="1"/>
          <w:sz w:val="28"/>
          <w:szCs w:val="32"/>
          <w:highlight w:val="none"/>
          <w:lang w:val="zh-CN"/>
        </w:rPr>
        <w:t>1.</w:t>
      </w:r>
      <w:r>
        <w:rPr>
          <w:rFonts w:hint="eastAsia" w:ascii="宋体" w:hAnsi="宋体" w:eastAsia="宋体" w:cs="宋体"/>
          <w:b/>
          <w:bCs/>
          <w:color w:val="auto"/>
          <w:spacing w:val="-2"/>
          <w:sz w:val="28"/>
          <w:szCs w:val="32"/>
          <w:highlight w:val="none"/>
          <w:lang w:val="zh-CN"/>
        </w:rPr>
        <w:t>1</w:t>
      </w:r>
      <w:r>
        <w:rPr>
          <w:rFonts w:hint="eastAsia" w:ascii="宋体" w:hAnsi="宋体" w:eastAsia="宋体" w:cs="宋体"/>
          <w:b/>
          <w:bCs/>
          <w:color w:val="auto"/>
          <w:spacing w:val="1"/>
          <w:sz w:val="28"/>
          <w:szCs w:val="32"/>
          <w:highlight w:val="none"/>
          <w:lang w:val="zh-CN"/>
        </w:rPr>
        <w:t>2</w:t>
      </w:r>
      <w:r>
        <w:rPr>
          <w:rFonts w:hint="eastAsia" w:ascii="宋体" w:hAnsi="宋体" w:eastAsia="宋体" w:cs="宋体"/>
          <w:b/>
          <w:bCs/>
          <w:color w:val="auto"/>
          <w:spacing w:val="-1"/>
          <w:sz w:val="28"/>
          <w:szCs w:val="32"/>
          <w:highlight w:val="none"/>
          <w:lang w:val="zh-CN"/>
        </w:rPr>
        <w:t xml:space="preserve"> </w:t>
      </w:r>
      <w:r>
        <w:rPr>
          <w:rFonts w:hint="eastAsia" w:ascii="宋体" w:hAnsi="宋体" w:eastAsia="宋体" w:cs="宋体"/>
          <w:b/>
          <w:bCs/>
          <w:color w:val="auto"/>
          <w:spacing w:val="1"/>
          <w:sz w:val="28"/>
          <w:szCs w:val="32"/>
          <w:highlight w:val="none"/>
          <w:lang w:val="zh-CN"/>
        </w:rPr>
        <w:t>响应和偏差</w:t>
      </w:r>
      <w:bookmarkEnd w:id="46"/>
      <w:bookmarkEnd w:id="47"/>
      <w:bookmarkEnd w:id="48"/>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1.12.1 投标文件应当对招标文件的实质性要求和条件作出满足性或更有利于招标人的响应，否则，投标人的投标将被否决。实质性要求和条件见投标人须知前附表。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1.12.2 投标人应根据招标文件的要求提供投标设计方案等内容以对招标文件作出响应。</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1.12.3 投标人须知前附表允许投标文件偏离招标文件某些要求的，偏差应当符合招标文件规定的偏差范围和幅度。</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line="360" w:lineRule="auto"/>
        <w:outlineLvl w:val="1"/>
        <w:rPr>
          <w:rFonts w:ascii="宋体" w:hAnsi="宋体" w:eastAsia="宋体" w:cs="宋体"/>
          <w:b/>
          <w:bCs/>
          <w:color w:val="auto"/>
          <w:kern w:val="0"/>
          <w:sz w:val="24"/>
          <w:szCs w:val="30"/>
          <w:highlight w:val="none"/>
          <w:lang w:val="zh-CN"/>
        </w:rPr>
      </w:pPr>
      <w:bookmarkStart w:id="49" w:name="_Toc193357952"/>
      <w:bookmarkStart w:id="50" w:name="_Toc111186737"/>
      <w:bookmarkStart w:id="51" w:name="_Toc22370"/>
      <w:r>
        <w:rPr>
          <w:rFonts w:hint="eastAsia" w:ascii="宋体" w:hAnsi="宋体" w:eastAsia="宋体" w:cs="宋体"/>
          <w:b/>
          <w:bCs/>
          <w:color w:val="auto"/>
          <w:kern w:val="0"/>
          <w:sz w:val="30"/>
          <w:szCs w:val="30"/>
          <w:highlight w:val="none"/>
          <w:lang w:val="zh-CN"/>
        </w:rPr>
        <w:t>2.</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招标文件</w:t>
      </w:r>
      <w:bookmarkEnd w:id="49"/>
      <w:bookmarkEnd w:id="50"/>
      <w:bookmarkEnd w:id="51"/>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52" w:name="_Toc193357953"/>
      <w:bookmarkStart w:id="53" w:name="_Toc111186738"/>
      <w:bookmarkStart w:id="54" w:name="_Toc22346"/>
      <w:r>
        <w:rPr>
          <w:rFonts w:hint="eastAsia" w:ascii="宋体" w:hAnsi="宋体" w:eastAsia="宋体" w:cs="宋体"/>
          <w:b/>
          <w:bCs/>
          <w:color w:val="auto"/>
          <w:spacing w:val="1"/>
          <w:sz w:val="28"/>
          <w:szCs w:val="32"/>
          <w:highlight w:val="none"/>
          <w:lang w:val="zh-CN"/>
        </w:rPr>
        <w:t>2.1</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组成</w:t>
      </w:r>
      <w:bookmarkEnd w:id="52"/>
      <w:bookmarkEnd w:id="53"/>
      <w:bookmarkEnd w:id="54"/>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本招标文件包括：</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（1）招标公告；</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（2）投标人须知；</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（3）评标办法；</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（4）合同条款及格式；</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（5）</w:t>
      </w:r>
      <w:r>
        <w:rPr>
          <w:rFonts w:hint="eastAsia" w:ascii="宋体" w:hAnsi="宋体" w:eastAsia="宋体"/>
          <w:b/>
          <w:bCs/>
          <w:color w:val="auto"/>
          <w:sz w:val="24"/>
          <w:szCs w:val="24"/>
          <w:highlight w:val="none"/>
          <w:u w:val="single"/>
          <w:lang w:val="en-US" w:eastAsia="zh-CN"/>
        </w:rPr>
        <w:t>发包人</w:t>
      </w:r>
      <w:r>
        <w:rPr>
          <w:rFonts w:hint="eastAsia" w:ascii="宋体" w:hAnsi="宋体" w:eastAsia="宋体" w:cs="宋体"/>
          <w:color w:val="auto"/>
          <w:spacing w:val="-2"/>
          <w:kern w:val="0"/>
          <w:sz w:val="24"/>
          <w:szCs w:val="24"/>
          <w:highlight w:val="none"/>
        </w:rPr>
        <w:t>要求；</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（6）投标文件格式；</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（7）投标人须知前附表规定的其他资料。</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根据本章第1.10款、第2.2款和第2.3款对招标文件所作的澄清、修改，构成招标文件的组成部分。</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55" w:name="_Toc193357954"/>
      <w:bookmarkStart w:id="56" w:name="_Toc111186739"/>
      <w:bookmarkStart w:id="57" w:name="_Toc9843"/>
      <w:r>
        <w:rPr>
          <w:rFonts w:hint="eastAsia" w:ascii="宋体" w:hAnsi="宋体" w:eastAsia="宋体" w:cs="宋体"/>
          <w:b/>
          <w:bCs/>
          <w:color w:val="auto"/>
          <w:spacing w:val="1"/>
          <w:sz w:val="28"/>
          <w:szCs w:val="32"/>
          <w:highlight w:val="none"/>
          <w:lang w:val="zh-CN"/>
        </w:rPr>
        <w:t>2.2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bookmarkEnd w:id="55"/>
      <w:bookmarkEnd w:id="56"/>
      <w:bookmarkEnd w:id="57"/>
      <w:r>
        <w:rPr>
          <w:rFonts w:hint="eastAsia" w:ascii="宋体" w:hAnsi="宋体" w:eastAsia="宋体" w:cs="宋体"/>
          <w:b/>
          <w:bCs/>
          <w:color w:val="auto"/>
          <w:spacing w:val="1"/>
          <w:sz w:val="28"/>
          <w:szCs w:val="32"/>
          <w:highlight w:val="none"/>
          <w:lang w:val="zh-CN"/>
        </w:rPr>
        <w:t>答疑</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2.2.1 投标人应仔细阅读和检查招标文件的全部内容。如有疑问，应按投标人须知前附表规定的时间和形式将提出的问题送达招标人，要求招标人对招标文件予以澄清。</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2.2.2 招标答疑采用网上答疑方式进行。投标人若对招标文件有疑问的，通过</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网站提交，应按照</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网站关于全流程电子化项目的相关指南进行操作。提问一律不得署名。</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2.2.3 招标答疑会会议纪要将在提交投标文件截止时间15日前在</w:t>
      </w:r>
      <w:r>
        <w:rPr>
          <w:rFonts w:hint="eastAsia" w:ascii="宋体" w:hAnsi="宋体" w:eastAsia="宋体" w:cs="宋体"/>
          <w:color w:val="auto"/>
          <w:spacing w:val="-2"/>
          <w:kern w:val="0"/>
          <w:sz w:val="24"/>
          <w:szCs w:val="24"/>
          <w:highlight w:val="none"/>
          <w:u w:val="single"/>
        </w:rPr>
        <w:t>广州交易集团有限公司（广州公共资源交易中心）网站“项目答疑纪要”专区公开</w:t>
      </w:r>
      <w:r>
        <w:rPr>
          <w:rFonts w:hint="eastAsia" w:ascii="宋体" w:hAnsi="宋体" w:eastAsia="宋体" w:cs="宋体"/>
          <w:color w:val="auto"/>
          <w:spacing w:val="-2"/>
          <w:kern w:val="0"/>
          <w:sz w:val="24"/>
          <w:szCs w:val="24"/>
          <w:highlight w:val="none"/>
        </w:rPr>
        <w:t>发布。答疑纪要一经在</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网站发布，视作已发放给所有投标人。澄清发出的时间距本章第4.2.1项规定的投标截止时间不足15日的，并且澄清内容可能影响投标文件编制的，将相应延长投标截止时间。</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2.2.4 招标答疑会会议纪要是招标文件的组成部分，对投标人起约束作用。若招标答疑会会议纪要与招标文件有矛盾时，以</w:t>
      </w:r>
      <w:r>
        <w:rPr>
          <w:rFonts w:hint="eastAsia" w:ascii="宋体" w:hAnsi="宋体" w:eastAsia="宋体" w:cs="宋体"/>
          <w:color w:val="auto"/>
          <w:spacing w:val="-2"/>
          <w:kern w:val="0"/>
          <w:sz w:val="24"/>
          <w:szCs w:val="24"/>
          <w:highlight w:val="none"/>
          <w:u w:val="single"/>
        </w:rPr>
        <w:t>广州交易集团有限公司（广州公共资源交易中心）</w:t>
      </w:r>
      <w:r>
        <w:rPr>
          <w:rFonts w:hint="eastAsia" w:ascii="宋体" w:hAnsi="宋体" w:eastAsia="宋体" w:cs="宋体"/>
          <w:color w:val="auto"/>
          <w:spacing w:val="-2"/>
          <w:kern w:val="0"/>
          <w:sz w:val="24"/>
          <w:szCs w:val="24"/>
          <w:highlight w:val="none"/>
        </w:rPr>
        <w:t>网站最后发布的答疑纪要为准。</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2.2.5 除非招标人认为确有必要答复，否则，招标人有权拒绝回复投标人在本章第2.2.1项规定的时间后的任何澄清要求。</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kern w:val="0"/>
          <w:sz w:val="28"/>
          <w:szCs w:val="28"/>
          <w:highlight w:val="none"/>
          <w:lang w:val="zh-CN"/>
        </w:rPr>
      </w:pPr>
      <w:bookmarkStart w:id="58" w:name="_Toc111186740"/>
      <w:bookmarkStart w:id="59" w:name="_Toc8197"/>
      <w:bookmarkStart w:id="60" w:name="_Toc193357955"/>
      <w:r>
        <w:rPr>
          <w:rFonts w:hint="eastAsia" w:ascii="宋体" w:hAnsi="宋体" w:eastAsia="宋体" w:cs="宋体"/>
          <w:b/>
          <w:bCs/>
          <w:color w:val="auto"/>
          <w:spacing w:val="1"/>
          <w:sz w:val="28"/>
          <w:szCs w:val="32"/>
          <w:highlight w:val="none"/>
          <w:lang w:val="zh-CN"/>
        </w:rPr>
        <w:t>2.3 招标文件的澄清与修改</w:t>
      </w:r>
      <w:bookmarkEnd w:id="58"/>
      <w:bookmarkEnd w:id="59"/>
      <w:bookmarkEnd w:id="60"/>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2.3.1 招标文件发出后，在提交投标文件截止时间15日前，招标人可对招标文件进行必要的澄清或修改。</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u w:val="none"/>
        </w:rPr>
      </w:pPr>
      <w:r>
        <w:rPr>
          <w:rFonts w:hint="eastAsia" w:ascii="宋体" w:hAnsi="宋体" w:eastAsia="宋体" w:cs="宋体"/>
          <w:color w:val="auto"/>
          <w:spacing w:val="-2"/>
          <w:kern w:val="0"/>
          <w:sz w:val="24"/>
          <w:szCs w:val="24"/>
          <w:highlight w:val="none"/>
          <w:u w:val="none"/>
        </w:rPr>
        <w:t>2.3.2 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网站发布时间作为送达时间。</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u w:val="none"/>
        </w:rPr>
      </w:pPr>
      <w:r>
        <w:rPr>
          <w:rFonts w:hint="eastAsia" w:ascii="宋体" w:hAnsi="宋体" w:eastAsia="宋体" w:cs="宋体"/>
          <w:color w:val="auto"/>
          <w:spacing w:val="-2"/>
          <w:kern w:val="0"/>
          <w:sz w:val="24"/>
          <w:szCs w:val="24"/>
          <w:highlight w:val="none"/>
          <w:u w:val="none"/>
        </w:rPr>
        <w:t>2.3.3 招标文件的澄清或修改是招标文件的组成部分，对投标人起约束作用。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u w:val="none"/>
        </w:rPr>
      </w:pPr>
      <w:r>
        <w:rPr>
          <w:rFonts w:hint="eastAsia" w:ascii="宋体" w:hAnsi="宋体" w:eastAsia="宋体" w:cs="宋体"/>
          <w:color w:val="auto"/>
          <w:spacing w:val="-2"/>
          <w:kern w:val="0"/>
          <w:sz w:val="24"/>
          <w:szCs w:val="24"/>
          <w:highlight w:val="none"/>
          <w:u w:val="none"/>
        </w:rPr>
        <w:t>2.3.4 招标文件的澄清或修改均以广州交易集团有限公司（广州公共资源交易中心）网站发布的内容为准。当招标文件的澄清、修改、补充等在同一内容的表述不一致时，以广州交易集团有限公司（广州公共资源交易中心）网站最后发布的内容为准。</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2.3.5 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61" w:name="_Toc17179"/>
      <w:bookmarkStart w:id="62" w:name="_Toc111186741"/>
      <w:bookmarkStart w:id="63" w:name="_Toc193357956"/>
      <w:r>
        <w:rPr>
          <w:rFonts w:hint="eastAsia" w:ascii="宋体" w:hAnsi="宋体" w:eastAsia="宋体" w:cs="宋体"/>
          <w:b/>
          <w:bCs/>
          <w:color w:val="auto"/>
          <w:spacing w:val="1"/>
          <w:sz w:val="28"/>
          <w:szCs w:val="32"/>
          <w:highlight w:val="none"/>
          <w:lang w:val="zh-CN"/>
        </w:rPr>
        <w:t>2.4</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招标文件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异议</w:t>
      </w:r>
      <w:bookmarkEnd w:id="61"/>
      <w:bookmarkEnd w:id="62"/>
      <w:bookmarkEnd w:id="63"/>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r>
        <w:rPr>
          <w:rFonts w:hint="eastAsia" w:ascii="宋体" w:hAnsi="宋体" w:eastAsia="宋体" w:cs="宋体"/>
          <w:color w:val="auto"/>
          <w:spacing w:val="-2"/>
          <w:kern w:val="0"/>
          <w:sz w:val="24"/>
          <w:szCs w:val="24"/>
          <w:highlight w:val="none"/>
        </w:rPr>
        <w:t>投标人或者其他利害关系人对招标文件有异议的，应当在投标截止时间10日前以书面形式提出。招标人将在收到异议之日起3日内作出答复；作出答复前，将暂停招标投标活动。</w:t>
      </w:r>
    </w:p>
    <w:p>
      <w:pPr>
        <w:wordWrap w:val="0"/>
        <w:autoSpaceDE w:val="0"/>
        <w:autoSpaceDN w:val="0"/>
        <w:spacing w:line="360" w:lineRule="auto"/>
        <w:ind w:firstLine="472" w:firstLineChars="200"/>
        <w:rPr>
          <w:rFonts w:ascii="宋体" w:hAnsi="宋体" w:eastAsia="宋体" w:cs="宋体"/>
          <w:color w:val="auto"/>
          <w:spacing w:val="-2"/>
          <w:kern w:val="0"/>
          <w:sz w:val="24"/>
          <w:szCs w:val="24"/>
          <w:highlight w:val="none"/>
        </w:rPr>
      </w:pPr>
    </w:p>
    <w:p>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64" w:name="_Toc7081"/>
      <w:bookmarkStart w:id="65" w:name="_Toc111186742"/>
      <w:bookmarkStart w:id="66" w:name="_Toc193357957"/>
      <w:r>
        <w:rPr>
          <w:rFonts w:hint="eastAsia" w:ascii="宋体" w:hAnsi="宋体" w:eastAsia="宋体" w:cs="宋体"/>
          <w:b/>
          <w:bCs/>
          <w:color w:val="auto"/>
          <w:kern w:val="0"/>
          <w:sz w:val="30"/>
          <w:szCs w:val="30"/>
          <w:highlight w:val="none"/>
          <w:lang w:val="zh-CN"/>
        </w:rPr>
        <w:t>3.</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投标文件</w:t>
      </w:r>
      <w:bookmarkEnd w:id="64"/>
      <w:bookmarkEnd w:id="65"/>
      <w:bookmarkEnd w:id="66"/>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67" w:name="_Toc193357958"/>
      <w:bookmarkStart w:id="68" w:name="_Toc111186743"/>
      <w:bookmarkStart w:id="69" w:name="_Toc14590"/>
      <w:r>
        <w:rPr>
          <w:rFonts w:hint="eastAsia" w:ascii="宋体" w:hAnsi="宋体" w:eastAsia="宋体" w:cs="宋体"/>
          <w:b/>
          <w:bCs/>
          <w:color w:val="auto"/>
          <w:spacing w:val="1"/>
          <w:sz w:val="28"/>
          <w:szCs w:val="32"/>
          <w:highlight w:val="none"/>
          <w:lang w:val="zh-CN"/>
        </w:rPr>
        <w:t>3.1</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组成</w:t>
      </w:r>
      <w:bookmarkEnd w:id="67"/>
      <w:bookmarkEnd w:id="68"/>
      <w:bookmarkEnd w:id="69"/>
      <w:r>
        <w:rPr>
          <w:rFonts w:hint="eastAsia" w:ascii="宋体" w:hAnsi="宋体" w:eastAsia="宋体" w:cs="宋体"/>
          <w:b/>
          <w:bCs/>
          <w:color w:val="auto"/>
          <w:spacing w:val="1"/>
          <w:sz w:val="28"/>
          <w:szCs w:val="32"/>
          <w:highlight w:val="none"/>
          <w:lang w:val="zh-CN"/>
        </w:rPr>
        <w:t>（适用于暗标形式）</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3.1.1 商务文件（含资格审查文件）由下列资料组成：</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（2）法定代表人身份证明或附有法定代表人身份证明的授权委托书；</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（3）联合体协议书；</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（4）投标保证金（如有）；</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（5）勘察设计费报价表；</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（6）资格审查资料；</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（7）投标人须知前附表规定的其他资料。</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3.1.2 技术文件</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勘察设计方案（暗标）。</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3.1.3 投标人须知前附表规定不接受联合体投标的，或投标人没有组成联合体的，投标文件不包括本章第3.1.1（3）目所指的联合体协议书。</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3.1.4 投标人须知前附表未要求提交投标保证金的，投标文件不包括本章第3.1.1（4）目所指的投标保证金。</w:t>
      </w:r>
    </w:p>
    <w:p>
      <w:pPr>
        <w:wordWrap w:val="0"/>
        <w:autoSpaceDE w:val="0"/>
        <w:autoSpaceDN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3.1.5 保密要求</w:t>
      </w:r>
    </w:p>
    <w:p>
      <w:pPr>
        <w:wordWrap w:val="0"/>
        <w:autoSpaceDE w:val="0"/>
        <w:autoSpaceDN w:val="0"/>
        <w:spacing w:line="360" w:lineRule="auto"/>
        <w:ind w:firstLine="480" w:firstLineChars="200"/>
        <w:rPr>
          <w:rFonts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勘察设计方案必须隐匿投标人及专业技术人员的名称及投标报价信息，投标人不得在勘察设计方案上标注或做任何可以辨认投标人及专业技术人员身份的名称、印章、商标，也不得显示投标报价信息。</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70" w:name="_Toc193357959"/>
      <w:bookmarkStart w:id="71" w:name="_Toc26290"/>
      <w:bookmarkStart w:id="72" w:name="_Toc111186744"/>
      <w:r>
        <w:rPr>
          <w:rFonts w:hint="eastAsia" w:ascii="宋体" w:hAnsi="宋体" w:eastAsia="宋体" w:cs="宋体"/>
          <w:b/>
          <w:bCs/>
          <w:color w:val="auto"/>
          <w:spacing w:val="1"/>
          <w:sz w:val="28"/>
          <w:szCs w:val="32"/>
          <w:highlight w:val="none"/>
          <w:lang w:val="zh-CN"/>
        </w:rPr>
        <w:t>3.2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投标报价</w:t>
      </w:r>
      <w:bookmarkEnd w:id="70"/>
      <w:bookmarkEnd w:id="71"/>
      <w:bookmarkEnd w:id="72"/>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3.2.1 投标报价应包括国家规定的增值税税金，除投标人须知前附表另有规定外，增值税税金按一般计税方法计算。投标人应按第六章“投标文件格式”的要求在投标函中进行报价并填写勘察设计费用清单。</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3.2.2 投标人应充分了解该项目的总体情况以及影响投标报价的其他要素。</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3.2.3 本项目的报价方式见投标人须知前附表。投标人在投标截止时间前修改投标函中的投标报价总额，应同时修改投标文件“勘察设计费报价表”中的相应报价。此修改须符合本章第4.3款的有关要求。</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3.2.4 招标人设有最高投标限价的，投标人的投标报价不得超过最高投标限价，最高投标限价在投标人须知前附表中载明。</w:t>
      </w:r>
    </w:p>
    <w:p>
      <w:pPr>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olor w:val="auto"/>
          <w:sz w:val="24"/>
          <w:szCs w:val="24"/>
          <w:highlight w:val="none"/>
        </w:rPr>
        <w:t>3.2.5 投标报价的其他要求见投标人须知前附表。</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73" w:name="_Toc7276"/>
      <w:bookmarkStart w:id="74" w:name="_Toc111186745"/>
      <w:bookmarkStart w:id="75" w:name="_Toc193357960"/>
      <w:r>
        <w:rPr>
          <w:rFonts w:hint="eastAsia" w:ascii="宋体" w:hAnsi="宋体" w:eastAsia="宋体" w:cs="宋体"/>
          <w:b/>
          <w:bCs/>
          <w:color w:val="auto"/>
          <w:spacing w:val="1"/>
          <w:sz w:val="28"/>
          <w:szCs w:val="32"/>
          <w:highlight w:val="none"/>
          <w:lang w:val="zh-CN"/>
        </w:rPr>
        <w:t>3.3</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投标有效期</w:t>
      </w:r>
      <w:bookmarkEnd w:id="73"/>
      <w:bookmarkEnd w:id="74"/>
      <w:bookmarkEnd w:id="75"/>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3.3.1 除投标人须知前附表另有规定外，投标有效期不少于90天。</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在投标有效期内，投标人撤销投标文件的，应承担招标文件和法律规定的责任。</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76" w:name="_Toc111186746"/>
      <w:bookmarkStart w:id="77" w:name="_Toc193357961"/>
      <w:bookmarkStart w:id="78" w:name="_Toc3821"/>
      <w:r>
        <w:rPr>
          <w:rFonts w:hint="eastAsia" w:ascii="宋体" w:hAnsi="宋体" w:eastAsia="宋体" w:cs="宋体"/>
          <w:b/>
          <w:bCs/>
          <w:color w:val="auto"/>
          <w:spacing w:val="1"/>
          <w:sz w:val="28"/>
          <w:szCs w:val="32"/>
          <w:highlight w:val="none"/>
          <w:lang w:val="zh-CN"/>
        </w:rPr>
        <w:t>3.4 投标保证金</w:t>
      </w:r>
      <w:bookmarkEnd w:id="76"/>
      <w:bookmarkEnd w:id="77"/>
      <w:bookmarkEnd w:id="78"/>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 投标人应按投标人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 投标人不按本章第3.4.1项要求提交投标保证金的，评标委员会将否决其投标。未按招标文件要求提交符合免予提供投标保证金相关证明材料，且未提交投标保证金的投标人，视为未按要求提供投标保证金。</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 中标候选人以外的投标人的投标保证金将尽快退还，最迟不超过中标通知书发出之日起五日内；中标人和其他中标候选人的投标保证金，在书面合同订立之日起五日内予以退还。投标保证金以现金或者支票形式递交的，还应退还银行同期存款利息。</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3.4.4 在提交投标文件截止时间后到招标文件规定的投标有效期终止之前，投标人不得撤销其投标文件，否则招标人可以不退还投标保证金。</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3.4.5 有下列情形之一的，投标保证金将不予退还：</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（1）投标人在提交投标文件截止时间后到招标文件规定的投标有效期终止之前撤销投标文件；</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（2）中标人在收到中标通知书后，无正当理由不与招标人订立合同，在签订合同时向招标人提出附加条件，或者不按照招标文件要求提交履约保证金；</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（3）发生投标人须知前附表规定的其他可以不予退还投标保证金的情形。</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3.4.6 若采用纸质银行保函的，投标人应将纸质银行保函以扫描件形式作为资格审查文件的组成部分，纸质银行保函原件在中标候选人确定后由招标人收取。若采用电子银行保函的，招标人在资格审查页面查看电子银行保函，投标人申请的电子银行保函时间应确保在截标之前。若采用保证保险的，投标人在投标时提交其与保险公司签订的投标保证金合同或保险单的，应视同已经缴纳投标保证金或提供银行保函。保费必须通过投标人基本账户支付，账户名称应与投标单位名称一致，不得以分支机构等其他名义提交，并且应将基本账户开户许可证或基本存款账户信息表复印件及保费转账凭证编入投标文件中。采用电子保证保险的，招标人在资格审查页面查看电子保证保险。</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79" w:name="_Toc19411"/>
      <w:bookmarkStart w:id="80" w:name="_Toc193357963"/>
      <w:bookmarkStart w:id="81" w:name="_Toc111186747"/>
      <w:r>
        <w:rPr>
          <w:rFonts w:hint="eastAsia" w:ascii="宋体" w:hAnsi="宋体" w:eastAsia="宋体" w:cs="宋体"/>
          <w:b/>
          <w:bCs/>
          <w:color w:val="auto"/>
          <w:spacing w:val="1"/>
          <w:sz w:val="28"/>
          <w:szCs w:val="32"/>
          <w:highlight w:val="none"/>
          <w:lang w:val="zh-CN"/>
        </w:rPr>
        <w:t>3.5</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资格审查</w:t>
      </w:r>
      <w:r>
        <w:rPr>
          <w:rFonts w:hint="eastAsia" w:ascii="宋体" w:hAnsi="宋体" w:eastAsia="宋体" w:cs="宋体"/>
          <w:b/>
          <w:bCs/>
          <w:color w:val="auto"/>
          <w:spacing w:val="-3"/>
          <w:sz w:val="28"/>
          <w:szCs w:val="32"/>
          <w:highlight w:val="none"/>
          <w:lang w:val="zh-CN"/>
        </w:rPr>
        <w:t>资</w:t>
      </w:r>
      <w:r>
        <w:rPr>
          <w:rFonts w:hint="eastAsia" w:ascii="宋体" w:hAnsi="宋体" w:eastAsia="宋体" w:cs="宋体"/>
          <w:b/>
          <w:bCs/>
          <w:color w:val="auto"/>
          <w:spacing w:val="1"/>
          <w:sz w:val="28"/>
          <w:szCs w:val="32"/>
          <w:highlight w:val="none"/>
          <w:lang w:val="zh-CN"/>
        </w:rPr>
        <w:t>料</w:t>
      </w:r>
      <w:r>
        <w:rPr>
          <w:rFonts w:hint="eastAsia" w:ascii="宋体" w:hAnsi="宋体" w:eastAsia="宋体" w:cs="宋体"/>
          <w:b/>
          <w:bCs/>
          <w:color w:val="auto"/>
          <w:spacing w:val="-3"/>
          <w:sz w:val="28"/>
          <w:szCs w:val="32"/>
          <w:highlight w:val="none"/>
          <w:lang w:val="zh-CN"/>
        </w:rPr>
        <w:t>（</w:t>
      </w:r>
      <w:r>
        <w:rPr>
          <w:rFonts w:hint="eastAsia" w:ascii="宋体" w:hAnsi="宋体" w:eastAsia="宋体" w:cs="宋体"/>
          <w:b/>
          <w:bCs/>
          <w:color w:val="auto"/>
          <w:spacing w:val="1"/>
          <w:sz w:val="28"/>
          <w:szCs w:val="32"/>
          <w:highlight w:val="none"/>
          <w:lang w:val="zh-CN"/>
        </w:rPr>
        <w:t>适用于</w:t>
      </w:r>
      <w:r>
        <w:rPr>
          <w:rFonts w:hint="eastAsia" w:ascii="宋体" w:hAnsi="宋体" w:eastAsia="宋体" w:cs="宋体"/>
          <w:b/>
          <w:bCs/>
          <w:color w:val="auto"/>
          <w:spacing w:val="-3"/>
          <w:sz w:val="28"/>
          <w:szCs w:val="32"/>
          <w:highlight w:val="none"/>
          <w:lang w:val="zh-CN"/>
        </w:rPr>
        <w:t>未</w:t>
      </w:r>
      <w:r>
        <w:rPr>
          <w:rFonts w:hint="eastAsia" w:ascii="宋体" w:hAnsi="宋体" w:eastAsia="宋体" w:cs="宋体"/>
          <w:b/>
          <w:bCs/>
          <w:color w:val="auto"/>
          <w:spacing w:val="1"/>
          <w:sz w:val="28"/>
          <w:szCs w:val="32"/>
          <w:highlight w:val="none"/>
          <w:lang w:val="zh-CN"/>
        </w:rPr>
        <w:t>进行</w:t>
      </w:r>
      <w:r>
        <w:rPr>
          <w:rFonts w:hint="eastAsia" w:ascii="宋体" w:hAnsi="宋体" w:eastAsia="宋体" w:cs="宋体"/>
          <w:b/>
          <w:bCs/>
          <w:color w:val="auto"/>
          <w:spacing w:val="-3"/>
          <w:sz w:val="28"/>
          <w:szCs w:val="32"/>
          <w:highlight w:val="none"/>
          <w:lang w:val="zh-CN"/>
        </w:rPr>
        <w:t>资格</w:t>
      </w:r>
      <w:r>
        <w:rPr>
          <w:rFonts w:hint="eastAsia" w:ascii="宋体" w:hAnsi="宋体" w:eastAsia="宋体" w:cs="宋体"/>
          <w:b/>
          <w:bCs/>
          <w:color w:val="auto"/>
          <w:spacing w:val="1"/>
          <w:sz w:val="28"/>
          <w:szCs w:val="32"/>
          <w:highlight w:val="none"/>
          <w:lang w:val="zh-CN"/>
        </w:rPr>
        <w:t>预审的）</w:t>
      </w:r>
      <w:bookmarkEnd w:id="79"/>
      <w:bookmarkEnd w:id="80"/>
      <w:bookmarkEnd w:id="81"/>
    </w:p>
    <w:p>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除投标人须知前附表另有规定外，投标人应按招标公告投标人资格要求及下列规定提供资格审查资料，以证明其满足本章第1.4款规定的资质、业绩等要求。</w:t>
      </w:r>
    </w:p>
    <w:p>
      <w:pPr>
        <w:wordWrap w:val="0"/>
        <w:spacing w:line="360" w:lineRule="auto"/>
        <w:ind w:firstLine="480" w:firstLineChars="200"/>
        <w:rPr>
          <w:rFonts w:ascii="宋体" w:hAnsi="宋体" w:eastAsia="宋体" w:cs="宋体"/>
          <w:b/>
          <w:bCs/>
          <w:color w:val="auto"/>
          <w:sz w:val="24"/>
          <w:szCs w:val="24"/>
          <w:highlight w:val="none"/>
          <w:u w:val="single"/>
        </w:rPr>
      </w:pPr>
      <w:r>
        <w:rPr>
          <w:rFonts w:hint="eastAsia" w:ascii="宋体" w:hAnsi="宋体" w:eastAsia="宋体" w:cs="宋体"/>
          <w:color w:val="auto"/>
          <w:kern w:val="0"/>
          <w:sz w:val="24"/>
          <w:szCs w:val="24"/>
          <w:highlight w:val="none"/>
        </w:rPr>
        <w:t xml:space="preserve">3.5.1 </w:t>
      </w:r>
      <w:r>
        <w:rPr>
          <w:rFonts w:hint="eastAsia" w:ascii="宋体" w:hAnsi="宋体" w:eastAsia="宋体"/>
          <w:b/>
          <w:bCs/>
          <w:color w:val="auto"/>
          <w:sz w:val="24"/>
          <w:szCs w:val="24"/>
          <w:highlight w:val="none"/>
          <w:u w:val="single"/>
        </w:rPr>
        <w:t>资格审查资料详见第六章“投标文件格式”</w:t>
      </w:r>
      <w:r>
        <w:rPr>
          <w:rFonts w:hint="eastAsia" w:ascii="宋体" w:hAnsi="宋体" w:eastAsia="宋体" w:cs="宋体"/>
          <w:b/>
          <w:bCs/>
          <w:color w:val="auto"/>
          <w:kern w:val="0"/>
          <w:sz w:val="24"/>
          <w:szCs w:val="24"/>
          <w:highlight w:val="none"/>
          <w:u w:val="single"/>
        </w:rPr>
        <w:t>。</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82" w:name="_Toc111186748"/>
      <w:bookmarkStart w:id="83" w:name="_Toc193357964"/>
      <w:bookmarkStart w:id="84" w:name="_Toc10646"/>
      <w:r>
        <w:rPr>
          <w:rFonts w:hint="eastAsia" w:ascii="宋体" w:hAnsi="宋体" w:eastAsia="宋体" w:cs="宋体"/>
          <w:b/>
          <w:bCs/>
          <w:color w:val="auto"/>
          <w:spacing w:val="1"/>
          <w:sz w:val="28"/>
          <w:szCs w:val="32"/>
          <w:highlight w:val="none"/>
          <w:lang w:val="zh-CN"/>
        </w:rPr>
        <w:t>3.6 备选投标方案</w:t>
      </w:r>
      <w:bookmarkEnd w:id="82"/>
      <w:bookmarkEnd w:id="83"/>
      <w:bookmarkEnd w:id="84"/>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 除投标人须知前附表规定允许外，投标人不得递交备选投标方案，否则其投标将被否决。</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3.6.3 投标人提供两个或两个以上投标报价，或者在投标文件中提供一个报价，但同时提供两个或两个以上勘察设计方案的，视为提供备选方案。</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85" w:name="_Toc111186749"/>
      <w:bookmarkStart w:id="86" w:name="_Toc7643"/>
      <w:bookmarkStart w:id="87" w:name="_Toc193357965"/>
      <w:r>
        <w:rPr>
          <w:rFonts w:hint="eastAsia" w:ascii="宋体" w:hAnsi="宋体" w:eastAsia="宋体" w:cs="宋体"/>
          <w:b/>
          <w:bCs/>
          <w:color w:val="auto"/>
          <w:spacing w:val="1"/>
          <w:sz w:val="28"/>
          <w:szCs w:val="32"/>
          <w:highlight w:val="none"/>
          <w:lang w:val="zh-CN"/>
        </w:rPr>
        <w:t>3.7</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编制</w:t>
      </w:r>
      <w:bookmarkEnd w:id="85"/>
      <w:bookmarkEnd w:id="86"/>
      <w:bookmarkEnd w:id="87"/>
    </w:p>
    <w:p>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3.7.2 投标文件应当对招标文件有关勘察设计服务期限、投标有效期、发包人要求、招标范围等实质性内容作出响应。</w:t>
      </w:r>
    </w:p>
    <w:p>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3.7.3 投标文件全部采用电子文档，投标文件所附证书证件均为原件扫描件或电子证书，并采用单位数字证书，按招标文件要求在相应位置加盖电子印章。投标文件中需个人签字或盖章的，应加盖个人电子印章或在线下完成后扫描上传（可靠的电子签名与手写签名或者盖章具有同等的法律效力）。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网站关于全流程电子化项目的相关指南进行操作。</w:t>
      </w:r>
    </w:p>
    <w:p>
      <w:pPr>
        <w:wordWrap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3.7.4 联合体投标时，投标人封面及其他内容落款中的“投标人”应填写联合体各方的单位全称【格式为：（主）XXXX公司（成）XXXX公司】。除联合体</w:t>
      </w:r>
      <w:r>
        <w:rPr>
          <w:rFonts w:hint="eastAsia" w:ascii="宋体" w:hAnsi="宋体" w:eastAsia="宋体" w:cs="宋体"/>
          <w:color w:val="auto"/>
          <w:kern w:val="0"/>
          <w:sz w:val="24"/>
          <w:szCs w:val="24"/>
          <w:highlight w:val="none"/>
          <w:lang w:eastAsia="zh-CN"/>
        </w:rPr>
        <w:t>协议书</w:t>
      </w:r>
      <w:r>
        <w:rPr>
          <w:rFonts w:hint="eastAsia" w:ascii="宋体" w:hAnsi="宋体" w:eastAsia="宋体" w:cs="宋体"/>
          <w:color w:val="auto"/>
          <w:kern w:val="0"/>
          <w:sz w:val="24"/>
          <w:szCs w:val="24"/>
          <w:highlight w:val="none"/>
        </w:rPr>
        <w:t>需联合体各方按要求共同盖章签字，其余可由联合体主办方签字、盖章即可，由联合体主办方法人签字的电子投标文件需提供主办方法定代表人身份证明，若由联合体主办方法定代表人授权签字的电子投标文件需提供法定代表人身份证明及其授权委托书、授权委托人身份证扫描件。</w:t>
      </w:r>
    </w:p>
    <w:p>
      <w:pPr>
        <w:wordWrap w:val="0"/>
        <w:spacing w:line="360" w:lineRule="auto"/>
        <w:ind w:firstLine="480" w:firstLineChars="200"/>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none"/>
        </w:rPr>
        <w:t>3.7.5 投标文件应按照广州交易集团有限公司（广州公共资源交易中心）网</w:t>
      </w:r>
      <w:r>
        <w:rPr>
          <w:rFonts w:hint="eastAsia" w:ascii="宋体" w:hAnsi="宋体" w:eastAsia="宋体" w:cs="宋体"/>
          <w:color w:val="auto"/>
          <w:kern w:val="0"/>
          <w:sz w:val="24"/>
          <w:szCs w:val="24"/>
          <w:highlight w:val="none"/>
        </w:rPr>
        <w:t>站关于全流程电子化项目的相关指南进行编制。如因不按上述编排要求编制而所引起系统无法检索、读取相关信息时，其后果将由投标人自行承担。</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88" w:name="_Toc193357966"/>
      <w:bookmarkStart w:id="89" w:name="_Toc111186750"/>
      <w:bookmarkStart w:id="90" w:name="_Toc30610"/>
      <w:r>
        <w:rPr>
          <w:rFonts w:hint="eastAsia" w:ascii="宋体" w:hAnsi="宋体" w:eastAsia="宋体" w:cs="宋体"/>
          <w:b/>
          <w:bCs/>
          <w:color w:val="auto"/>
          <w:spacing w:val="1"/>
          <w:kern w:val="0"/>
          <w:sz w:val="30"/>
          <w:szCs w:val="30"/>
          <w:highlight w:val="none"/>
          <w:lang w:val="zh-CN"/>
        </w:rPr>
        <w:t>4</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投标</w:t>
      </w:r>
      <w:bookmarkEnd w:id="88"/>
      <w:bookmarkEnd w:id="89"/>
      <w:bookmarkEnd w:id="90"/>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91" w:name="_Toc193357967"/>
      <w:bookmarkStart w:id="92" w:name="_Toc26954"/>
      <w:bookmarkStart w:id="93" w:name="_Toc111186751"/>
      <w:r>
        <w:rPr>
          <w:rFonts w:hint="eastAsia" w:ascii="宋体" w:hAnsi="宋体" w:eastAsia="宋体" w:cs="宋体"/>
          <w:b/>
          <w:bCs/>
          <w:color w:val="auto"/>
          <w:spacing w:val="1"/>
          <w:sz w:val="28"/>
          <w:szCs w:val="32"/>
          <w:highlight w:val="none"/>
          <w:lang w:val="zh-CN"/>
        </w:rPr>
        <w:t>4.1</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密</w:t>
      </w:r>
      <w:r>
        <w:rPr>
          <w:rFonts w:hint="eastAsia" w:ascii="宋体" w:hAnsi="宋体" w:eastAsia="宋体" w:cs="宋体"/>
          <w:b/>
          <w:bCs/>
          <w:color w:val="auto"/>
          <w:spacing w:val="-3"/>
          <w:sz w:val="28"/>
          <w:szCs w:val="32"/>
          <w:highlight w:val="none"/>
          <w:lang w:val="zh-CN"/>
        </w:rPr>
        <w:t>封</w:t>
      </w:r>
      <w:r>
        <w:rPr>
          <w:rFonts w:hint="eastAsia" w:ascii="宋体" w:hAnsi="宋体" w:eastAsia="宋体" w:cs="宋体"/>
          <w:b/>
          <w:bCs/>
          <w:color w:val="auto"/>
          <w:spacing w:val="1"/>
          <w:sz w:val="28"/>
          <w:szCs w:val="32"/>
          <w:highlight w:val="none"/>
          <w:lang w:val="zh-CN"/>
        </w:rPr>
        <w:t>和标记</w:t>
      </w:r>
      <w:bookmarkEnd w:id="91"/>
      <w:bookmarkEnd w:id="92"/>
      <w:bookmarkEnd w:id="93"/>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4.1.1 投标人应当按照招标文件和电子招标投标交易平台的要求加密投标文件（不含备用光盘），具体要求见投标人须知前附表。</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4.1.2 （如有）投标文件备用光盘封套上应写明的内容见投标人须知前附表。</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4.1.3 未按本章第4.1.1项要求加密的投标文件，招标人将授权</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网站交易平台予以拒收。</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94" w:name="_Toc193357968"/>
      <w:bookmarkStart w:id="95" w:name="_Toc111186752"/>
      <w:bookmarkStart w:id="96" w:name="_Toc28727"/>
      <w:r>
        <w:rPr>
          <w:rFonts w:hint="eastAsia" w:ascii="宋体" w:hAnsi="宋体" w:eastAsia="宋体" w:cs="宋体"/>
          <w:b/>
          <w:bCs/>
          <w:color w:val="auto"/>
          <w:spacing w:val="1"/>
          <w:sz w:val="28"/>
          <w:szCs w:val="32"/>
          <w:highlight w:val="none"/>
          <w:lang w:val="zh-CN"/>
        </w:rPr>
        <w:t>4.2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递交</w:t>
      </w:r>
      <w:bookmarkEnd w:id="94"/>
      <w:bookmarkEnd w:id="95"/>
      <w:bookmarkEnd w:id="96"/>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4.2.1 投标人应在投标人须知前附表规定的投标截止时间前</w:t>
      </w:r>
      <w:r>
        <w:rPr>
          <w:rFonts w:hint="eastAsia" w:ascii="宋体" w:hAnsi="宋体" w:eastAsia="宋体" w:cs="宋体"/>
          <w:color w:val="auto"/>
          <w:kern w:val="0"/>
          <w:sz w:val="24"/>
          <w:szCs w:val="24"/>
          <w:highlight w:val="none"/>
        </w:rPr>
        <w:t>通过</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网站交易平台递交电子投标文件</w:t>
      </w:r>
      <w:r>
        <w:rPr>
          <w:rFonts w:ascii="宋体" w:hAnsi="宋体" w:eastAsia="宋体" w:cs="宋体"/>
          <w:color w:val="auto"/>
          <w:kern w:val="0"/>
          <w:sz w:val="24"/>
          <w:szCs w:val="24"/>
          <w:highlight w:val="none"/>
        </w:rPr>
        <w:t>。</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4.2.2</w:t>
      </w:r>
      <w:r>
        <w:rPr>
          <w:rFonts w:hint="eastAsia" w:ascii="宋体" w:hAnsi="宋体" w:eastAsia="宋体" w:cs="宋体"/>
          <w:color w:val="auto"/>
          <w:kern w:val="0"/>
          <w:sz w:val="24"/>
          <w:szCs w:val="24"/>
          <w:highlight w:val="none"/>
        </w:rPr>
        <w:t xml:space="preserve"> 投标人完成电子投标文件上传后，</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网站交易平台即时向投标人发出递交回执通知。递交时间以递交回执通知载明的传输完成时间为准</w:t>
      </w:r>
      <w:r>
        <w:rPr>
          <w:rFonts w:ascii="宋体" w:hAnsi="宋体" w:eastAsia="宋体" w:cs="宋体"/>
          <w:color w:val="auto"/>
          <w:kern w:val="0"/>
          <w:sz w:val="24"/>
          <w:szCs w:val="24"/>
          <w:highlight w:val="none"/>
        </w:rPr>
        <w:t>。</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xml:space="preserve">4.2.3 </w:t>
      </w:r>
      <w:r>
        <w:rPr>
          <w:rFonts w:hint="eastAsia" w:ascii="宋体" w:hAnsi="宋体" w:eastAsia="宋体" w:cs="宋体"/>
          <w:color w:val="auto"/>
          <w:kern w:val="0"/>
          <w:sz w:val="24"/>
          <w:szCs w:val="24"/>
          <w:highlight w:val="none"/>
        </w:rPr>
        <w:t>逾期送达的电子投标文件，</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网站交易平台将予以拒收。</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4.2.</w:t>
      </w:r>
      <w:r>
        <w:rPr>
          <w:rFonts w:hint="eastAsia" w:ascii="宋体" w:hAnsi="宋体" w:eastAsia="宋体" w:cs="宋体"/>
          <w:color w:val="auto"/>
          <w:kern w:val="0"/>
          <w:sz w:val="24"/>
          <w:szCs w:val="24"/>
          <w:highlight w:val="none"/>
        </w:rPr>
        <w:t>4 投标截止前，招标人拒绝接收符合条件的投标文件，投标人可向招标监督机构投诉</w:t>
      </w:r>
      <w:r>
        <w:rPr>
          <w:rFonts w:ascii="宋体" w:hAnsi="宋体" w:eastAsia="宋体" w:cs="宋体"/>
          <w:color w:val="auto"/>
          <w:kern w:val="0"/>
          <w:sz w:val="24"/>
          <w:szCs w:val="24"/>
          <w:highlight w:val="none"/>
        </w:rPr>
        <w:t>。</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97" w:name="_Toc111186753"/>
      <w:bookmarkStart w:id="98" w:name="_Toc193357969"/>
      <w:bookmarkStart w:id="99" w:name="_Toc32035"/>
      <w:r>
        <w:rPr>
          <w:rFonts w:hint="eastAsia" w:ascii="宋体" w:hAnsi="宋体" w:eastAsia="宋体" w:cs="宋体"/>
          <w:b/>
          <w:bCs/>
          <w:color w:val="auto"/>
          <w:spacing w:val="1"/>
          <w:sz w:val="28"/>
          <w:szCs w:val="32"/>
          <w:highlight w:val="none"/>
          <w:lang w:val="zh-CN"/>
        </w:rPr>
        <w:t>4.3</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投标文件</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修</w:t>
      </w:r>
      <w:r>
        <w:rPr>
          <w:rFonts w:hint="eastAsia" w:ascii="宋体" w:hAnsi="宋体" w:eastAsia="宋体" w:cs="宋体"/>
          <w:b/>
          <w:bCs/>
          <w:color w:val="auto"/>
          <w:spacing w:val="-3"/>
          <w:sz w:val="28"/>
          <w:szCs w:val="32"/>
          <w:highlight w:val="none"/>
          <w:lang w:val="zh-CN"/>
        </w:rPr>
        <w:t>改</w:t>
      </w:r>
      <w:r>
        <w:rPr>
          <w:rFonts w:hint="eastAsia" w:ascii="宋体" w:hAnsi="宋体" w:eastAsia="宋体" w:cs="宋体"/>
          <w:b/>
          <w:bCs/>
          <w:color w:val="auto"/>
          <w:spacing w:val="1"/>
          <w:sz w:val="28"/>
          <w:szCs w:val="32"/>
          <w:highlight w:val="none"/>
          <w:lang w:val="zh-CN"/>
        </w:rPr>
        <w:t>与撤回</w:t>
      </w:r>
      <w:bookmarkEnd w:id="97"/>
      <w:bookmarkEnd w:id="98"/>
      <w:bookmarkEnd w:id="99"/>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4.3.1 在规定的投标截止时间前，投标人可以修改或撤回已递交的投标文件，但应以书面形式通知招标人。</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4.3.2 投标人修改或撤回已递交投标文件，需在交易平台发出修改或撤回通知，并按要求加盖电子印章。电子招标投标交易平台收到通知后，即时向投标人发出确认回执通知。</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4.3.3 修改后再次递交的，按第4.2项的规定执行。</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4.3.4 在投标截止时间之后，投标人不得补充、修改和更换投标文件。</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4.3.5 投标人撤回投标文件的，招标人自收到投标人书面撤回通知之日起5日内退还已收取的投标保证金。</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00" w:name="_Toc193357970"/>
      <w:bookmarkStart w:id="101" w:name="_Toc111186754"/>
      <w:bookmarkStart w:id="102" w:name="_Toc3959"/>
      <w:r>
        <w:rPr>
          <w:rFonts w:hint="eastAsia" w:ascii="宋体" w:hAnsi="宋体" w:eastAsia="宋体" w:cs="宋体"/>
          <w:b/>
          <w:bCs/>
          <w:color w:val="auto"/>
          <w:spacing w:val="1"/>
          <w:kern w:val="0"/>
          <w:sz w:val="30"/>
          <w:szCs w:val="30"/>
          <w:highlight w:val="none"/>
          <w:lang w:val="zh-CN"/>
        </w:rPr>
        <w:t>5</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spacing w:val="2"/>
          <w:kern w:val="0"/>
          <w:sz w:val="30"/>
          <w:szCs w:val="30"/>
          <w:highlight w:val="none"/>
          <w:lang w:val="zh-CN"/>
        </w:rPr>
        <w:t>开标</w:t>
      </w:r>
      <w:bookmarkEnd w:id="100"/>
      <w:bookmarkEnd w:id="101"/>
      <w:bookmarkEnd w:id="102"/>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03" w:name="_Toc193357972"/>
      <w:bookmarkStart w:id="104" w:name="_Toc25072089"/>
      <w:bookmarkStart w:id="105" w:name="_Toc111186756"/>
      <w:bookmarkStart w:id="106" w:name="_Toc27261"/>
      <w:r>
        <w:rPr>
          <w:rFonts w:hint="eastAsia" w:ascii="宋体" w:hAnsi="宋体" w:eastAsia="宋体" w:cs="宋体"/>
          <w:b/>
          <w:bCs/>
          <w:color w:val="auto"/>
          <w:spacing w:val="1"/>
          <w:sz w:val="28"/>
          <w:szCs w:val="32"/>
          <w:highlight w:val="none"/>
          <w:lang w:val="zh-CN"/>
        </w:rPr>
        <w:t>5.1 开标时间和地点</w:t>
      </w:r>
      <w:bookmarkEnd w:id="103"/>
      <w:bookmarkEnd w:id="104"/>
      <w:bookmarkEnd w:id="105"/>
      <w:bookmarkEnd w:id="106"/>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5.1.1 招标人按投标须知前附表规定的时间和地点公开开标。截标后，开标开始时间因故推迟的，相关评标信息仍以原定的开标开始时间的信息为准。</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5.1.2 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07" w:name="_Toc111186757"/>
      <w:bookmarkStart w:id="108" w:name="_Toc193357973"/>
      <w:bookmarkStart w:id="109" w:name="_Toc20443"/>
      <w:r>
        <w:rPr>
          <w:rFonts w:hint="eastAsia" w:ascii="宋体" w:hAnsi="宋体" w:eastAsia="宋体" w:cs="宋体"/>
          <w:b/>
          <w:bCs/>
          <w:color w:val="auto"/>
          <w:spacing w:val="1"/>
          <w:sz w:val="28"/>
          <w:szCs w:val="32"/>
          <w:highlight w:val="none"/>
          <w:lang w:val="zh-CN"/>
        </w:rPr>
        <w:t>5.2 开标程序</w:t>
      </w:r>
      <w:bookmarkEnd w:id="107"/>
      <w:bookmarkEnd w:id="108"/>
      <w:bookmarkEnd w:id="109"/>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5.2.1 在投标截止时间后一小时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5.2.2 按开标记录表规定的内容进行唱标。</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5.2.3 投标人代表、招标人代表等有关人员在开标记录上签字确认；若有关人员不签字的，不影响开标程序。</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5.2.4 开标结束。</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5.2.6 开标时，两个（含两个）以上的投标人加密打包投标文件的硬件特征码（含MAC地址、硬盘序列号、CPU名称、主板等）一致的，由评标委员会否决其投标。</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10" w:name="_Toc26094"/>
      <w:bookmarkStart w:id="111" w:name="_Toc111186758"/>
      <w:bookmarkStart w:id="112" w:name="_Toc193357974"/>
      <w:r>
        <w:rPr>
          <w:rFonts w:hint="eastAsia" w:ascii="宋体" w:hAnsi="宋体" w:eastAsia="宋体" w:cs="宋体"/>
          <w:b/>
          <w:bCs/>
          <w:color w:val="auto"/>
          <w:spacing w:val="1"/>
          <w:sz w:val="28"/>
          <w:szCs w:val="32"/>
          <w:highlight w:val="none"/>
          <w:lang w:val="zh-CN"/>
        </w:rPr>
        <w:t>5.3 开标异议</w:t>
      </w:r>
      <w:bookmarkEnd w:id="110"/>
      <w:bookmarkEnd w:id="111"/>
      <w:bookmarkEnd w:id="112"/>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5.3.</w:t>
      </w:r>
      <w:r>
        <w:rPr>
          <w:rFonts w:hint="eastAsia" w:ascii="宋体" w:hAnsi="宋体" w:eastAsia="宋体" w:cs="宋体"/>
          <w:color w:val="auto"/>
          <w:kern w:val="0"/>
          <w:sz w:val="24"/>
          <w:szCs w:val="24"/>
          <w:highlight w:val="none"/>
        </w:rPr>
        <w:t>1 参加现场开标的投标人对开标结果有异议的，应当在开标现场提出，该投标人代表须同时出示本人身份证原件，招标人应当当场作出答复，并制作记录。未答复的，开标程序不得结束。</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5.3.</w:t>
      </w:r>
      <w:r>
        <w:rPr>
          <w:rFonts w:hint="eastAsia" w:ascii="宋体" w:hAnsi="宋体" w:eastAsia="宋体" w:cs="宋体"/>
          <w:color w:val="auto"/>
          <w:kern w:val="0"/>
          <w:sz w:val="24"/>
          <w:szCs w:val="24"/>
          <w:highlight w:val="none"/>
        </w:rPr>
        <w:t>2 参加在线开标的投标人对开标结果有异议的，应当在唱标结束后的规定时间内使用单位数字证书登录</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电子招标投标交易平台）后通过电子招标投标交易平台提出。若招标人授权招标代理机构工作人员使用招标代理机构数字证书登录电子招标投标交易平台答复异议，异议答复是招标人真实意思表示。未答复的，开标程序不得结束。</w:t>
      </w:r>
    </w:p>
    <w:p>
      <w:pPr>
        <w:wordWrap w:val="0"/>
        <w:autoSpaceDE w:val="0"/>
        <w:autoSpaceDN w:val="0"/>
        <w:spacing w:line="360" w:lineRule="auto"/>
        <w:ind w:firstLine="480" w:firstLineChars="200"/>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5.3.3 投标人未参加开标或在规定的时间内未提出异议的，视为对开标无异议。</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13" w:name="_Toc111186759"/>
      <w:bookmarkStart w:id="114" w:name="_Toc193357975"/>
      <w:bookmarkStart w:id="115" w:name="_Toc27043"/>
      <w:r>
        <w:rPr>
          <w:rFonts w:hint="eastAsia" w:ascii="宋体" w:hAnsi="宋体" w:eastAsia="宋体" w:cs="宋体"/>
          <w:b/>
          <w:bCs/>
          <w:color w:val="auto"/>
          <w:spacing w:val="1"/>
          <w:kern w:val="0"/>
          <w:sz w:val="30"/>
          <w:szCs w:val="30"/>
          <w:highlight w:val="none"/>
          <w:lang w:val="zh-CN"/>
        </w:rPr>
        <w:t>6</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spacing w:val="2"/>
          <w:kern w:val="0"/>
          <w:sz w:val="30"/>
          <w:szCs w:val="30"/>
          <w:highlight w:val="none"/>
          <w:lang w:val="zh-CN"/>
        </w:rPr>
        <w:t>评标</w:t>
      </w:r>
      <w:bookmarkEnd w:id="113"/>
      <w:bookmarkEnd w:id="114"/>
      <w:bookmarkEnd w:id="115"/>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16" w:name="_Toc193357976"/>
      <w:bookmarkStart w:id="117" w:name="_Toc111186760"/>
      <w:bookmarkStart w:id="118" w:name="_Toc874"/>
      <w:r>
        <w:rPr>
          <w:rFonts w:hint="eastAsia" w:ascii="宋体" w:hAnsi="宋体" w:eastAsia="宋体" w:cs="宋体"/>
          <w:b/>
          <w:bCs/>
          <w:color w:val="auto"/>
          <w:spacing w:val="1"/>
          <w:sz w:val="28"/>
          <w:szCs w:val="32"/>
          <w:highlight w:val="none"/>
          <w:lang w:val="zh-CN"/>
        </w:rPr>
        <w:t>6.1 评标委员会</w:t>
      </w:r>
      <w:bookmarkEnd w:id="116"/>
      <w:bookmarkEnd w:id="117"/>
      <w:bookmarkEnd w:id="118"/>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6.1.1 评标由招标人依法组建的评标委员会负责。</w:t>
      </w:r>
      <w:r>
        <w:rPr>
          <w:rFonts w:hint="eastAsia" w:ascii="宋体" w:hAnsi="宋体" w:eastAsia="宋体" w:cs="宋体"/>
          <w:color w:val="auto"/>
          <w:kern w:val="0"/>
          <w:sz w:val="24"/>
          <w:szCs w:val="24"/>
          <w:highlight w:val="none"/>
        </w:rPr>
        <w:t>评标委员会由有关技术、经济等方面的专家和招标人代表组成，专家从</w:t>
      </w:r>
      <w:r>
        <w:rPr>
          <w:rFonts w:hint="eastAsia" w:ascii="宋体" w:hAnsi="宋体" w:eastAsia="宋体" w:cs="宋体"/>
          <w:color w:val="auto"/>
          <w:kern w:val="0"/>
          <w:sz w:val="24"/>
          <w:szCs w:val="24"/>
          <w:highlight w:val="none"/>
          <w:u w:val="single"/>
        </w:rPr>
        <w:t>广东省综合评标评审专家库</w:t>
      </w:r>
      <w:r>
        <w:rPr>
          <w:rFonts w:hint="eastAsia" w:ascii="宋体" w:hAnsi="宋体" w:eastAsia="宋体" w:cs="宋体"/>
          <w:color w:val="auto"/>
          <w:kern w:val="0"/>
          <w:sz w:val="24"/>
          <w:szCs w:val="24"/>
          <w:highlight w:val="none"/>
        </w:rPr>
        <w:t>中抽取或按远程异地评标专家抽取相关规定组建</w:t>
      </w:r>
      <w:r>
        <w:rPr>
          <w:rFonts w:ascii="宋体" w:hAnsi="宋体" w:eastAsia="宋体" w:cs="宋体"/>
          <w:color w:val="auto"/>
          <w:kern w:val="0"/>
          <w:sz w:val="24"/>
          <w:szCs w:val="24"/>
          <w:highlight w:val="none"/>
        </w:rPr>
        <w:t>。评标委员会成员人数以及技术、经济等方面专家的确定方式见投标人须知前附表。</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6.1.2 评标委员会成员有下列情形之一的，应当回避：</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(1)投标人或投标人主要负责人的近亲属；</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(2)项目主管部门或者行政监督部门的人员；</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招标人或投标人的工作人员、退休或离职未满3年的人员；</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4</w:t>
      </w:r>
      <w:r>
        <w:rPr>
          <w:rFonts w:ascii="宋体" w:hAnsi="宋体" w:eastAsia="宋体" w:cs="宋体"/>
          <w:color w:val="auto"/>
          <w:kern w:val="0"/>
          <w:sz w:val="24"/>
          <w:szCs w:val="24"/>
          <w:highlight w:val="none"/>
        </w:rPr>
        <w:t>)与投标人有经济利益关系，可能影响对投标公正评审的；</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5</w:t>
      </w:r>
      <w:r>
        <w:rPr>
          <w:rFonts w:ascii="宋体" w:hAnsi="宋体" w:eastAsia="宋体" w:cs="宋体"/>
          <w:color w:val="auto"/>
          <w:kern w:val="0"/>
          <w:sz w:val="24"/>
          <w:szCs w:val="24"/>
          <w:highlight w:val="none"/>
        </w:rPr>
        <w:t>)曾因在招标、评标以及其他与招标投标有关活动中从事违法行为而受过行政处罚或刑事处罚的；</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6</w:t>
      </w:r>
      <w:r>
        <w:rPr>
          <w:rFonts w:ascii="宋体" w:hAnsi="宋体" w:eastAsia="宋体" w:cs="宋体"/>
          <w:color w:val="auto"/>
          <w:kern w:val="0"/>
          <w:sz w:val="24"/>
          <w:szCs w:val="24"/>
          <w:highlight w:val="none"/>
        </w:rPr>
        <w:t>)与投标人有其他利害关系。</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19" w:name="_Toc193357977"/>
      <w:bookmarkStart w:id="120" w:name="_Toc111186761"/>
      <w:bookmarkStart w:id="121" w:name="_Toc9043"/>
      <w:r>
        <w:rPr>
          <w:rFonts w:hint="eastAsia" w:ascii="宋体" w:hAnsi="宋体" w:eastAsia="宋体" w:cs="宋体"/>
          <w:b/>
          <w:bCs/>
          <w:color w:val="auto"/>
          <w:spacing w:val="1"/>
          <w:sz w:val="28"/>
          <w:szCs w:val="32"/>
          <w:highlight w:val="none"/>
          <w:lang w:val="zh-CN"/>
        </w:rPr>
        <w:t>6.2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评标原则</w:t>
      </w:r>
      <w:bookmarkEnd w:id="119"/>
      <w:bookmarkEnd w:id="120"/>
      <w:bookmarkEnd w:id="121"/>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评标活动遵循公平、公正、科学和择优的原则。</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22" w:name="_Toc10255"/>
      <w:bookmarkStart w:id="123" w:name="_Toc193357978"/>
      <w:bookmarkStart w:id="124" w:name="_Toc111186762"/>
      <w:r>
        <w:rPr>
          <w:rFonts w:hint="eastAsia" w:ascii="宋体" w:hAnsi="宋体" w:eastAsia="宋体" w:cs="宋体"/>
          <w:b/>
          <w:bCs/>
          <w:color w:val="auto"/>
          <w:spacing w:val="1"/>
          <w:sz w:val="28"/>
          <w:szCs w:val="32"/>
          <w:highlight w:val="none"/>
          <w:lang w:val="zh-CN"/>
        </w:rPr>
        <w:t>6.3</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w:t>
      </w:r>
      <w:bookmarkEnd w:id="122"/>
      <w:bookmarkEnd w:id="123"/>
      <w:bookmarkEnd w:id="124"/>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6.3.1 评标委员会按照第三章“评标办法”规定的方法、评审因素、标准和程序对投标文件进行评审。第三章“评标办法”没有规定的方法、评审因素和标准，不作为评标依据。</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6.3.2 评标完成后，评标委员会应当向招标人提交书面评标报告和中标候选人名单。评标委员会推荐中标候选人的人数见投标人须知前附表。</w:t>
      </w:r>
    </w:p>
    <w:p>
      <w:pPr>
        <w:wordWrap w:val="0"/>
        <w:spacing w:line="360" w:lineRule="auto"/>
        <w:ind w:firstLine="480" w:firstLineChars="200"/>
        <w:rPr>
          <w:rFonts w:ascii="宋体" w:hAnsi="宋体" w:eastAsia="宋体" w:cs="宋体"/>
          <w:color w:val="auto"/>
          <w:sz w:val="24"/>
          <w:szCs w:val="24"/>
          <w:highlight w:val="none"/>
        </w:rPr>
      </w:pPr>
    </w:p>
    <w:p>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25" w:name="_Toc10209"/>
      <w:bookmarkStart w:id="126" w:name="_Toc111186763"/>
      <w:bookmarkStart w:id="127" w:name="_Toc193357979"/>
      <w:r>
        <w:rPr>
          <w:rFonts w:hint="eastAsia" w:ascii="宋体" w:hAnsi="宋体" w:eastAsia="宋体" w:cs="宋体"/>
          <w:b/>
          <w:bCs/>
          <w:color w:val="auto"/>
          <w:spacing w:val="1"/>
          <w:kern w:val="0"/>
          <w:sz w:val="30"/>
          <w:szCs w:val="30"/>
          <w:highlight w:val="none"/>
          <w:lang w:val="zh-CN"/>
        </w:rPr>
        <w:t>7</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合同授予</w:t>
      </w:r>
      <w:bookmarkEnd w:id="125"/>
      <w:bookmarkEnd w:id="126"/>
      <w:bookmarkEnd w:id="127"/>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28" w:name="_Toc111186764"/>
      <w:bookmarkStart w:id="129" w:name="_Toc193357980"/>
      <w:bookmarkStart w:id="130" w:name="_Toc3077"/>
      <w:r>
        <w:rPr>
          <w:rFonts w:hint="eastAsia" w:ascii="宋体" w:hAnsi="宋体" w:eastAsia="宋体" w:cs="宋体"/>
          <w:b/>
          <w:bCs/>
          <w:color w:val="auto"/>
          <w:spacing w:val="1"/>
          <w:sz w:val="28"/>
          <w:szCs w:val="32"/>
          <w:highlight w:val="none"/>
          <w:lang w:val="zh-CN"/>
        </w:rPr>
        <w:t>7.1</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中标候选</w:t>
      </w:r>
      <w:r>
        <w:rPr>
          <w:rFonts w:hint="eastAsia" w:ascii="宋体" w:hAnsi="宋体" w:eastAsia="宋体" w:cs="宋体"/>
          <w:b/>
          <w:bCs/>
          <w:color w:val="auto"/>
          <w:spacing w:val="-3"/>
          <w:sz w:val="28"/>
          <w:szCs w:val="32"/>
          <w:highlight w:val="none"/>
          <w:lang w:val="zh-CN"/>
        </w:rPr>
        <w:t>人</w:t>
      </w:r>
      <w:r>
        <w:rPr>
          <w:rFonts w:hint="eastAsia" w:ascii="宋体" w:hAnsi="宋体" w:eastAsia="宋体" w:cs="宋体"/>
          <w:b/>
          <w:bCs/>
          <w:color w:val="auto"/>
          <w:spacing w:val="1"/>
          <w:sz w:val="28"/>
          <w:szCs w:val="32"/>
          <w:highlight w:val="none"/>
          <w:lang w:val="zh-CN"/>
        </w:rPr>
        <w:t>公示</w:t>
      </w:r>
      <w:bookmarkEnd w:id="128"/>
      <w:bookmarkEnd w:id="129"/>
      <w:bookmarkEnd w:id="130"/>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7.1.1 招标人在收到评标报告之日起3日内，按照投标人须知前附表规定的公示媒介和期限公示中标候选人，公示期不得少于3天，最后一天应为工作日。</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7.1.2 在产生中标候选人后，招标人将中标候选人的投标文件商务部分（包括人员、业绩、奖项等资料）在</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网站和广东省招标投标监管网公开。</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根据《国家发展改革委等部门关于严格执行招标投标法规制度进一步规范招标投标主体行为的若干意见》（发改法规规〔2022〕1117号），招标人应当在中标候选人公示前认真审查评标委员会提交的书面评标报告，发现异常情形的，依照法定程序进行复核，确认存在问题的，依照法定程序予以纠正。</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31" w:name="_Toc193357981"/>
      <w:bookmarkStart w:id="132" w:name="_Toc19391"/>
      <w:bookmarkStart w:id="133" w:name="_Toc111186765"/>
      <w:r>
        <w:rPr>
          <w:rFonts w:hint="eastAsia" w:ascii="宋体" w:hAnsi="宋体" w:eastAsia="宋体" w:cs="宋体"/>
          <w:b/>
          <w:bCs/>
          <w:color w:val="auto"/>
          <w:spacing w:val="1"/>
          <w:sz w:val="28"/>
          <w:szCs w:val="32"/>
          <w:highlight w:val="none"/>
          <w:lang w:val="zh-CN"/>
        </w:rPr>
        <w:t>7.2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评标结果</w:t>
      </w:r>
      <w:r>
        <w:rPr>
          <w:rFonts w:hint="eastAsia" w:ascii="宋体" w:hAnsi="宋体" w:eastAsia="宋体" w:cs="宋体"/>
          <w:b/>
          <w:bCs/>
          <w:color w:val="auto"/>
          <w:spacing w:val="-3"/>
          <w:sz w:val="28"/>
          <w:szCs w:val="32"/>
          <w:highlight w:val="none"/>
          <w:lang w:val="zh-CN"/>
        </w:rPr>
        <w:t>异</w:t>
      </w:r>
      <w:r>
        <w:rPr>
          <w:rFonts w:hint="eastAsia" w:ascii="宋体" w:hAnsi="宋体" w:eastAsia="宋体" w:cs="宋体"/>
          <w:b/>
          <w:bCs/>
          <w:color w:val="auto"/>
          <w:spacing w:val="1"/>
          <w:sz w:val="28"/>
          <w:szCs w:val="32"/>
          <w:highlight w:val="none"/>
          <w:lang w:val="zh-CN"/>
        </w:rPr>
        <w:t>议</w:t>
      </w:r>
      <w:bookmarkEnd w:id="131"/>
      <w:bookmarkEnd w:id="132"/>
      <w:bookmarkEnd w:id="133"/>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投标人或者其他利害关系人对评标结果有异议的，应当在中标候选人公示期间通过电子交易系统提出。招标人将在收到异议之日起3日内在电子交易系统作出答复；作出答复前，将暂停招标投标活动。</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34" w:name="_Toc111186766"/>
      <w:bookmarkStart w:id="135" w:name="_Toc193357982"/>
      <w:bookmarkStart w:id="136" w:name="_Toc17235"/>
      <w:r>
        <w:rPr>
          <w:rFonts w:hint="eastAsia" w:ascii="宋体" w:hAnsi="宋体" w:eastAsia="宋体" w:cs="宋体"/>
          <w:b/>
          <w:bCs/>
          <w:color w:val="auto"/>
          <w:spacing w:val="1"/>
          <w:sz w:val="28"/>
          <w:szCs w:val="32"/>
          <w:highlight w:val="none"/>
          <w:lang w:val="zh-CN"/>
        </w:rPr>
        <w:t>7.3</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中标候选</w:t>
      </w:r>
      <w:r>
        <w:rPr>
          <w:rFonts w:hint="eastAsia" w:ascii="宋体" w:hAnsi="宋体" w:eastAsia="宋体" w:cs="宋体"/>
          <w:b/>
          <w:bCs/>
          <w:color w:val="auto"/>
          <w:spacing w:val="-3"/>
          <w:sz w:val="28"/>
          <w:szCs w:val="32"/>
          <w:highlight w:val="none"/>
          <w:lang w:val="zh-CN"/>
        </w:rPr>
        <w:t>人</w:t>
      </w:r>
      <w:r>
        <w:rPr>
          <w:rFonts w:hint="eastAsia" w:ascii="宋体" w:hAnsi="宋体" w:eastAsia="宋体" w:cs="宋体"/>
          <w:b/>
          <w:bCs/>
          <w:color w:val="auto"/>
          <w:spacing w:val="1"/>
          <w:sz w:val="28"/>
          <w:szCs w:val="32"/>
          <w:highlight w:val="none"/>
          <w:lang w:val="zh-CN"/>
        </w:rPr>
        <w:t>履</w:t>
      </w:r>
      <w:r>
        <w:rPr>
          <w:rFonts w:hint="eastAsia" w:ascii="宋体" w:hAnsi="宋体" w:eastAsia="宋体" w:cs="宋体"/>
          <w:b/>
          <w:bCs/>
          <w:color w:val="auto"/>
          <w:spacing w:val="-3"/>
          <w:sz w:val="28"/>
          <w:szCs w:val="32"/>
          <w:highlight w:val="none"/>
          <w:lang w:val="zh-CN"/>
        </w:rPr>
        <w:t>约</w:t>
      </w:r>
      <w:r>
        <w:rPr>
          <w:rFonts w:hint="eastAsia" w:ascii="宋体" w:hAnsi="宋体" w:eastAsia="宋体" w:cs="宋体"/>
          <w:b/>
          <w:bCs/>
          <w:color w:val="auto"/>
          <w:spacing w:val="1"/>
          <w:sz w:val="28"/>
          <w:szCs w:val="32"/>
          <w:highlight w:val="none"/>
          <w:lang w:val="zh-CN"/>
        </w:rPr>
        <w:t>能力审查</w:t>
      </w:r>
      <w:bookmarkEnd w:id="134"/>
      <w:bookmarkEnd w:id="135"/>
      <w:bookmarkEnd w:id="136"/>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37" w:name="_Toc193357983"/>
      <w:bookmarkStart w:id="138" w:name="_Toc111186767"/>
      <w:bookmarkStart w:id="139" w:name="_Toc1732"/>
      <w:r>
        <w:rPr>
          <w:rFonts w:hint="eastAsia" w:ascii="宋体" w:hAnsi="宋体" w:eastAsia="宋体" w:cs="宋体"/>
          <w:b/>
          <w:bCs/>
          <w:color w:val="auto"/>
          <w:spacing w:val="1"/>
          <w:sz w:val="28"/>
          <w:szCs w:val="32"/>
          <w:highlight w:val="none"/>
          <w:lang w:val="zh-CN"/>
        </w:rPr>
        <w:t>7.4</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定标</w:t>
      </w:r>
      <w:bookmarkEnd w:id="137"/>
      <w:bookmarkEnd w:id="138"/>
      <w:bookmarkEnd w:id="139"/>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按照投标人须知前附表的规定，招标人或招标人授权的评标委员会依法确定中标人。</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40" w:name="_Toc193357984"/>
      <w:bookmarkStart w:id="141" w:name="_Toc111186768"/>
      <w:bookmarkStart w:id="142" w:name="_Toc4759"/>
      <w:r>
        <w:rPr>
          <w:rFonts w:hint="eastAsia" w:ascii="宋体" w:hAnsi="宋体" w:eastAsia="宋体" w:cs="宋体"/>
          <w:b/>
          <w:bCs/>
          <w:color w:val="auto"/>
          <w:spacing w:val="1"/>
          <w:sz w:val="28"/>
          <w:szCs w:val="32"/>
          <w:highlight w:val="none"/>
          <w:lang w:val="zh-CN"/>
        </w:rPr>
        <w:t>7.5</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中标通知</w:t>
      </w:r>
      <w:bookmarkEnd w:id="140"/>
      <w:bookmarkEnd w:id="141"/>
      <w:bookmarkEnd w:id="142"/>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7.5.1 在法规规定的时间内，招标人向中标人发出中标通知书。在广东省招标投标监管网和</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网站发布中标信息，视同将中标结果通知未中标的投标人。</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7.5.2 政府投资项目，中标通知书发出前，中标人应未被纳入失信惩戒名单，否则招标人将取消其中标资格。失信联合惩戒名单以“信用广州”网站公布的为准。</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43" w:name="_Toc193357985"/>
      <w:bookmarkStart w:id="144" w:name="_Toc11927"/>
      <w:bookmarkStart w:id="145" w:name="_Toc111186769"/>
      <w:r>
        <w:rPr>
          <w:rFonts w:hint="eastAsia" w:ascii="宋体" w:hAnsi="宋体" w:eastAsia="宋体" w:cs="宋体"/>
          <w:b/>
          <w:bCs/>
          <w:color w:val="auto"/>
          <w:spacing w:val="1"/>
          <w:sz w:val="28"/>
          <w:szCs w:val="32"/>
          <w:highlight w:val="none"/>
          <w:lang w:val="zh-CN"/>
        </w:rPr>
        <w:t>7.6</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技术成果</w:t>
      </w:r>
      <w:r>
        <w:rPr>
          <w:rFonts w:hint="eastAsia" w:ascii="宋体" w:hAnsi="宋体" w:eastAsia="宋体" w:cs="宋体"/>
          <w:b/>
          <w:bCs/>
          <w:color w:val="auto"/>
          <w:spacing w:val="-3"/>
          <w:sz w:val="28"/>
          <w:szCs w:val="32"/>
          <w:highlight w:val="none"/>
          <w:lang w:val="zh-CN"/>
        </w:rPr>
        <w:t>经</w:t>
      </w:r>
      <w:r>
        <w:rPr>
          <w:rFonts w:hint="eastAsia" w:ascii="宋体" w:hAnsi="宋体" w:eastAsia="宋体" w:cs="宋体"/>
          <w:b/>
          <w:bCs/>
          <w:color w:val="auto"/>
          <w:spacing w:val="1"/>
          <w:sz w:val="28"/>
          <w:szCs w:val="32"/>
          <w:highlight w:val="none"/>
          <w:lang w:val="zh-CN"/>
        </w:rPr>
        <w:t>济</w:t>
      </w:r>
      <w:r>
        <w:rPr>
          <w:rFonts w:hint="eastAsia" w:ascii="宋体" w:hAnsi="宋体" w:eastAsia="宋体" w:cs="宋体"/>
          <w:b/>
          <w:bCs/>
          <w:color w:val="auto"/>
          <w:spacing w:val="-3"/>
          <w:sz w:val="28"/>
          <w:szCs w:val="32"/>
          <w:highlight w:val="none"/>
          <w:lang w:val="zh-CN"/>
        </w:rPr>
        <w:t>补</w:t>
      </w:r>
      <w:r>
        <w:rPr>
          <w:rFonts w:hint="eastAsia" w:ascii="宋体" w:hAnsi="宋体" w:eastAsia="宋体" w:cs="宋体"/>
          <w:b/>
          <w:bCs/>
          <w:color w:val="auto"/>
          <w:spacing w:val="1"/>
          <w:sz w:val="28"/>
          <w:szCs w:val="32"/>
          <w:highlight w:val="none"/>
          <w:lang w:val="zh-CN"/>
        </w:rPr>
        <w:t>偿</w:t>
      </w:r>
      <w:bookmarkEnd w:id="143"/>
      <w:bookmarkEnd w:id="144"/>
      <w:bookmarkEnd w:id="145"/>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招标人对符合招标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w:t>
      </w:r>
      <w:r>
        <w:rPr>
          <w:rFonts w:hint="eastAsia" w:ascii="宋体" w:hAnsi="宋体" w:eastAsia="宋体" w:cs="宋体"/>
          <w:color w:val="auto"/>
          <w:spacing w:val="-2"/>
          <w:kern w:val="0"/>
          <w:sz w:val="24"/>
          <w:szCs w:val="24"/>
          <w:highlight w:val="none"/>
        </w:rPr>
        <w:t>规</w:t>
      </w:r>
      <w:r>
        <w:rPr>
          <w:rFonts w:hint="eastAsia" w:ascii="宋体" w:hAnsi="宋体" w:eastAsia="宋体" w:cs="宋体"/>
          <w:color w:val="auto"/>
          <w:kern w:val="0"/>
          <w:sz w:val="24"/>
          <w:szCs w:val="24"/>
          <w:highlight w:val="none"/>
        </w:rPr>
        <w:t>定的未中标人的技</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成</w:t>
      </w:r>
      <w:r>
        <w:rPr>
          <w:rFonts w:hint="eastAsia" w:ascii="宋体" w:hAnsi="宋体" w:eastAsia="宋体" w:cs="宋体"/>
          <w:color w:val="auto"/>
          <w:spacing w:val="-2"/>
          <w:kern w:val="0"/>
          <w:sz w:val="24"/>
          <w:szCs w:val="24"/>
          <w:highlight w:val="none"/>
        </w:rPr>
        <w:t>果</w:t>
      </w:r>
      <w:r>
        <w:rPr>
          <w:rFonts w:hint="eastAsia" w:ascii="宋体" w:hAnsi="宋体" w:eastAsia="宋体" w:cs="宋体"/>
          <w:color w:val="auto"/>
          <w:kern w:val="0"/>
          <w:sz w:val="24"/>
          <w:szCs w:val="24"/>
          <w:highlight w:val="none"/>
        </w:rPr>
        <w:t>进行补偿的，招标</w:t>
      </w:r>
      <w:r>
        <w:rPr>
          <w:rFonts w:hint="eastAsia" w:ascii="宋体" w:hAnsi="宋体" w:eastAsia="宋体" w:cs="宋体"/>
          <w:color w:val="auto"/>
          <w:spacing w:val="-2"/>
          <w:kern w:val="0"/>
          <w:sz w:val="24"/>
          <w:szCs w:val="24"/>
          <w:highlight w:val="none"/>
        </w:rPr>
        <w:t>人</w:t>
      </w:r>
      <w:r>
        <w:rPr>
          <w:rFonts w:hint="eastAsia" w:ascii="宋体" w:hAnsi="宋体" w:eastAsia="宋体" w:cs="宋体"/>
          <w:color w:val="auto"/>
          <w:kern w:val="0"/>
          <w:sz w:val="24"/>
          <w:szCs w:val="24"/>
          <w:highlight w:val="none"/>
        </w:rPr>
        <w:t>将</w:t>
      </w:r>
      <w:r>
        <w:rPr>
          <w:rFonts w:hint="eastAsia" w:ascii="宋体" w:hAnsi="宋体" w:eastAsia="宋体" w:cs="宋体"/>
          <w:color w:val="auto"/>
          <w:spacing w:val="-2"/>
          <w:kern w:val="0"/>
          <w:sz w:val="24"/>
          <w:szCs w:val="24"/>
          <w:highlight w:val="none"/>
        </w:rPr>
        <w:t>按</w:t>
      </w:r>
      <w:r>
        <w:rPr>
          <w:rFonts w:hint="eastAsia" w:ascii="宋体" w:hAnsi="宋体" w:eastAsia="宋体" w:cs="宋体"/>
          <w:color w:val="auto"/>
          <w:kern w:val="0"/>
          <w:sz w:val="24"/>
          <w:szCs w:val="24"/>
          <w:highlight w:val="none"/>
        </w:rPr>
        <w:t>投标人须知前附表规定的标准</w:t>
      </w:r>
      <w:r>
        <w:rPr>
          <w:rFonts w:hint="eastAsia" w:ascii="宋体" w:hAnsi="宋体" w:eastAsia="宋体" w:cs="宋体"/>
          <w:color w:val="auto"/>
          <w:spacing w:val="-2"/>
          <w:kern w:val="0"/>
          <w:sz w:val="24"/>
          <w:szCs w:val="24"/>
          <w:highlight w:val="none"/>
        </w:rPr>
        <w:t>给</w:t>
      </w:r>
      <w:r>
        <w:rPr>
          <w:rFonts w:hint="eastAsia" w:ascii="宋体" w:hAnsi="宋体" w:eastAsia="宋体" w:cs="宋体"/>
          <w:color w:val="auto"/>
          <w:kern w:val="0"/>
          <w:sz w:val="24"/>
          <w:szCs w:val="24"/>
          <w:highlight w:val="none"/>
        </w:rPr>
        <w:t>予经</w:t>
      </w:r>
      <w:r>
        <w:rPr>
          <w:rFonts w:hint="eastAsia" w:ascii="宋体" w:hAnsi="宋体" w:eastAsia="宋体" w:cs="宋体"/>
          <w:color w:val="auto"/>
          <w:spacing w:val="-2"/>
          <w:kern w:val="0"/>
          <w:sz w:val="24"/>
          <w:szCs w:val="24"/>
          <w:highlight w:val="none"/>
        </w:rPr>
        <w:t>济</w:t>
      </w:r>
      <w:r>
        <w:rPr>
          <w:rFonts w:hint="eastAsia" w:ascii="宋体" w:hAnsi="宋体" w:eastAsia="宋体" w:cs="宋体"/>
          <w:color w:val="auto"/>
          <w:kern w:val="0"/>
          <w:sz w:val="24"/>
          <w:szCs w:val="24"/>
          <w:highlight w:val="none"/>
        </w:rPr>
        <w:t>补偿，未中标人</w:t>
      </w:r>
      <w:r>
        <w:rPr>
          <w:rFonts w:hint="eastAsia" w:ascii="宋体" w:hAnsi="宋体" w:eastAsia="宋体" w:cs="宋体"/>
          <w:color w:val="auto"/>
          <w:spacing w:val="-2"/>
          <w:kern w:val="0"/>
          <w:sz w:val="24"/>
          <w:szCs w:val="24"/>
          <w:highlight w:val="none"/>
        </w:rPr>
        <w:t>在</w:t>
      </w:r>
      <w:r>
        <w:rPr>
          <w:rFonts w:hint="eastAsia" w:ascii="宋体" w:hAnsi="宋体" w:eastAsia="宋体" w:cs="宋体"/>
          <w:color w:val="auto"/>
          <w:kern w:val="0"/>
          <w:sz w:val="24"/>
          <w:szCs w:val="24"/>
          <w:highlight w:val="none"/>
        </w:rPr>
        <w:t>投标</w:t>
      </w:r>
      <w:r>
        <w:rPr>
          <w:rFonts w:hint="eastAsia" w:ascii="宋体" w:hAnsi="宋体" w:eastAsia="宋体" w:cs="宋体"/>
          <w:color w:val="auto"/>
          <w:spacing w:val="-2"/>
          <w:kern w:val="0"/>
          <w:sz w:val="24"/>
          <w:szCs w:val="24"/>
          <w:highlight w:val="none"/>
        </w:rPr>
        <w:t>文</w:t>
      </w:r>
      <w:r>
        <w:rPr>
          <w:rFonts w:hint="eastAsia" w:ascii="宋体" w:hAnsi="宋体" w:eastAsia="宋体" w:cs="宋体"/>
          <w:color w:val="auto"/>
          <w:kern w:val="0"/>
          <w:sz w:val="24"/>
          <w:szCs w:val="24"/>
          <w:highlight w:val="none"/>
        </w:rPr>
        <w:t>件中声明放弃技</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成果</w:t>
      </w:r>
      <w:r>
        <w:rPr>
          <w:rFonts w:hint="eastAsia" w:ascii="宋体" w:hAnsi="宋体" w:eastAsia="宋体" w:cs="宋体"/>
          <w:color w:val="auto"/>
          <w:spacing w:val="-2"/>
          <w:kern w:val="0"/>
          <w:sz w:val="24"/>
          <w:szCs w:val="24"/>
          <w:highlight w:val="none"/>
        </w:rPr>
        <w:t>经</w:t>
      </w:r>
      <w:r>
        <w:rPr>
          <w:rFonts w:hint="eastAsia" w:ascii="宋体" w:hAnsi="宋体" w:eastAsia="宋体" w:cs="宋体"/>
          <w:color w:val="auto"/>
          <w:kern w:val="0"/>
          <w:sz w:val="24"/>
          <w:szCs w:val="24"/>
          <w:highlight w:val="none"/>
        </w:rPr>
        <w:t>济补偿费</w:t>
      </w:r>
      <w:r>
        <w:rPr>
          <w:rFonts w:hint="eastAsia" w:ascii="宋体" w:hAnsi="宋体" w:eastAsia="宋体" w:cs="宋体"/>
          <w:color w:val="auto"/>
          <w:spacing w:val="1"/>
          <w:kern w:val="0"/>
          <w:sz w:val="24"/>
          <w:szCs w:val="24"/>
          <w:highlight w:val="none"/>
        </w:rPr>
        <w:t>的</w:t>
      </w:r>
      <w:r>
        <w:rPr>
          <w:rFonts w:hint="eastAsia" w:ascii="宋体" w:hAnsi="宋体" w:eastAsia="宋体" w:cs="宋体"/>
          <w:color w:val="auto"/>
          <w:kern w:val="0"/>
          <w:sz w:val="24"/>
          <w:szCs w:val="24"/>
          <w:highlight w:val="none"/>
        </w:rPr>
        <w:t>除</w:t>
      </w:r>
      <w:r>
        <w:rPr>
          <w:rFonts w:hint="eastAsia" w:ascii="宋体" w:hAnsi="宋体" w:eastAsia="宋体" w:cs="宋体"/>
          <w:color w:val="auto"/>
          <w:spacing w:val="-2"/>
          <w:kern w:val="0"/>
          <w:sz w:val="24"/>
          <w:szCs w:val="24"/>
          <w:highlight w:val="none"/>
        </w:rPr>
        <w:t>外</w:t>
      </w:r>
      <w:r>
        <w:rPr>
          <w:rFonts w:hint="eastAsia" w:ascii="宋体" w:hAnsi="宋体" w:eastAsia="宋体" w:cs="宋体"/>
          <w:color w:val="auto"/>
          <w:kern w:val="0"/>
          <w:sz w:val="24"/>
          <w:szCs w:val="24"/>
          <w:highlight w:val="none"/>
        </w:rPr>
        <w:t>。招标</w:t>
      </w:r>
      <w:r>
        <w:rPr>
          <w:rFonts w:hint="eastAsia" w:ascii="宋体" w:hAnsi="宋体" w:eastAsia="宋体" w:cs="宋体"/>
          <w:color w:val="auto"/>
          <w:spacing w:val="-2"/>
          <w:kern w:val="0"/>
          <w:sz w:val="24"/>
          <w:szCs w:val="24"/>
          <w:highlight w:val="none"/>
        </w:rPr>
        <w:t>人</w:t>
      </w:r>
      <w:r>
        <w:rPr>
          <w:rFonts w:hint="eastAsia" w:ascii="宋体" w:hAnsi="宋体" w:eastAsia="宋体" w:cs="宋体"/>
          <w:color w:val="auto"/>
          <w:kern w:val="0"/>
          <w:sz w:val="24"/>
          <w:szCs w:val="24"/>
          <w:highlight w:val="none"/>
        </w:rPr>
        <w:t>将</w:t>
      </w:r>
      <w:r>
        <w:rPr>
          <w:rFonts w:hint="eastAsia" w:ascii="宋体" w:hAnsi="宋体" w:eastAsia="宋体" w:cs="宋体"/>
          <w:color w:val="auto"/>
          <w:spacing w:val="-2"/>
          <w:kern w:val="0"/>
          <w:sz w:val="24"/>
          <w:szCs w:val="24"/>
          <w:highlight w:val="none"/>
        </w:rPr>
        <w:t>于</w:t>
      </w:r>
      <w:r>
        <w:rPr>
          <w:rFonts w:hint="eastAsia" w:ascii="宋体" w:hAnsi="宋体" w:eastAsia="宋体" w:cs="宋体"/>
          <w:color w:val="auto"/>
          <w:kern w:val="0"/>
          <w:sz w:val="24"/>
          <w:szCs w:val="24"/>
          <w:highlight w:val="none"/>
        </w:rPr>
        <w:t>中</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通</w:t>
      </w:r>
      <w:r>
        <w:rPr>
          <w:rFonts w:hint="eastAsia" w:ascii="宋体" w:hAnsi="宋体" w:eastAsia="宋体" w:cs="宋体"/>
          <w:color w:val="auto"/>
          <w:spacing w:val="-2"/>
          <w:kern w:val="0"/>
          <w:sz w:val="24"/>
          <w:szCs w:val="24"/>
          <w:highlight w:val="none"/>
        </w:rPr>
        <w:t>知</w:t>
      </w:r>
      <w:r>
        <w:rPr>
          <w:rFonts w:hint="eastAsia" w:ascii="宋体" w:hAnsi="宋体" w:eastAsia="宋体" w:cs="宋体"/>
          <w:color w:val="auto"/>
          <w:kern w:val="0"/>
          <w:sz w:val="24"/>
          <w:szCs w:val="24"/>
          <w:highlight w:val="none"/>
        </w:rPr>
        <w:t>书</w:t>
      </w:r>
      <w:r>
        <w:rPr>
          <w:rFonts w:hint="eastAsia" w:ascii="宋体" w:hAnsi="宋体" w:eastAsia="宋体" w:cs="宋体"/>
          <w:color w:val="auto"/>
          <w:spacing w:val="-2"/>
          <w:kern w:val="0"/>
          <w:sz w:val="24"/>
          <w:szCs w:val="24"/>
          <w:highlight w:val="none"/>
        </w:rPr>
        <w:t>发</w:t>
      </w:r>
      <w:r>
        <w:rPr>
          <w:rFonts w:hint="eastAsia" w:ascii="宋体" w:hAnsi="宋体" w:eastAsia="宋体" w:cs="宋体"/>
          <w:color w:val="auto"/>
          <w:kern w:val="0"/>
          <w:sz w:val="24"/>
          <w:szCs w:val="24"/>
          <w:highlight w:val="none"/>
        </w:rPr>
        <w:t>出后</w:t>
      </w:r>
      <w:r>
        <w:rPr>
          <w:rFonts w:hint="eastAsia" w:ascii="宋体" w:hAnsi="宋体" w:eastAsia="宋体" w:cs="宋体"/>
          <w:color w:val="auto"/>
          <w:spacing w:val="-2"/>
          <w:kern w:val="0"/>
          <w:sz w:val="24"/>
          <w:szCs w:val="24"/>
          <w:highlight w:val="none"/>
        </w:rPr>
        <w:t>3</w:t>
      </w:r>
      <w:r>
        <w:rPr>
          <w:rFonts w:hint="eastAsia" w:ascii="宋体" w:hAnsi="宋体" w:eastAsia="宋体" w:cs="宋体"/>
          <w:color w:val="auto"/>
          <w:kern w:val="0"/>
          <w:sz w:val="24"/>
          <w:szCs w:val="24"/>
          <w:highlight w:val="none"/>
        </w:rPr>
        <w:t>0</w:t>
      </w:r>
      <w:r>
        <w:rPr>
          <w:rFonts w:hint="eastAsia" w:ascii="宋体" w:hAnsi="宋体" w:eastAsia="宋体" w:cs="宋体"/>
          <w:color w:val="auto"/>
          <w:spacing w:val="-2"/>
          <w:kern w:val="0"/>
          <w:sz w:val="24"/>
          <w:szCs w:val="24"/>
          <w:highlight w:val="none"/>
        </w:rPr>
        <w:t>日</w:t>
      </w:r>
      <w:r>
        <w:rPr>
          <w:rFonts w:hint="eastAsia" w:ascii="宋体" w:hAnsi="宋体" w:eastAsia="宋体" w:cs="宋体"/>
          <w:color w:val="auto"/>
          <w:kern w:val="0"/>
          <w:sz w:val="24"/>
          <w:szCs w:val="24"/>
          <w:highlight w:val="none"/>
        </w:rPr>
        <w:t>内</w:t>
      </w:r>
      <w:r>
        <w:rPr>
          <w:rFonts w:hint="eastAsia" w:ascii="宋体" w:hAnsi="宋体" w:eastAsia="宋体" w:cs="宋体"/>
          <w:color w:val="auto"/>
          <w:spacing w:val="-2"/>
          <w:kern w:val="0"/>
          <w:sz w:val="24"/>
          <w:szCs w:val="24"/>
          <w:highlight w:val="none"/>
        </w:rPr>
        <w:t>向</w:t>
      </w:r>
      <w:r>
        <w:rPr>
          <w:rFonts w:hint="eastAsia" w:ascii="宋体" w:hAnsi="宋体" w:eastAsia="宋体" w:cs="宋体"/>
          <w:color w:val="auto"/>
          <w:kern w:val="0"/>
          <w:sz w:val="24"/>
          <w:szCs w:val="24"/>
          <w:highlight w:val="none"/>
        </w:rPr>
        <w:t>未</w:t>
      </w:r>
      <w:r>
        <w:rPr>
          <w:rFonts w:hint="eastAsia" w:ascii="宋体" w:hAnsi="宋体" w:eastAsia="宋体" w:cs="宋体"/>
          <w:color w:val="auto"/>
          <w:spacing w:val="-2"/>
          <w:kern w:val="0"/>
          <w:sz w:val="24"/>
          <w:szCs w:val="24"/>
          <w:highlight w:val="none"/>
        </w:rPr>
        <w:t>中</w:t>
      </w:r>
      <w:r>
        <w:rPr>
          <w:rFonts w:hint="eastAsia" w:ascii="宋体" w:hAnsi="宋体" w:eastAsia="宋体" w:cs="宋体"/>
          <w:color w:val="auto"/>
          <w:kern w:val="0"/>
          <w:sz w:val="24"/>
          <w:szCs w:val="24"/>
          <w:highlight w:val="none"/>
        </w:rPr>
        <w:t>标</w:t>
      </w:r>
      <w:r>
        <w:rPr>
          <w:rFonts w:hint="eastAsia" w:ascii="宋体" w:hAnsi="宋体" w:eastAsia="宋体" w:cs="宋体"/>
          <w:color w:val="auto"/>
          <w:spacing w:val="-2"/>
          <w:kern w:val="0"/>
          <w:sz w:val="24"/>
          <w:szCs w:val="24"/>
          <w:highlight w:val="none"/>
        </w:rPr>
        <w:t>人支</w:t>
      </w:r>
      <w:r>
        <w:rPr>
          <w:rFonts w:hint="eastAsia" w:ascii="宋体" w:hAnsi="宋体" w:eastAsia="宋体" w:cs="宋体"/>
          <w:color w:val="auto"/>
          <w:kern w:val="0"/>
          <w:sz w:val="24"/>
          <w:szCs w:val="24"/>
          <w:highlight w:val="none"/>
        </w:rPr>
        <w:t>付技</w:t>
      </w:r>
      <w:r>
        <w:rPr>
          <w:rFonts w:hint="eastAsia" w:ascii="宋体" w:hAnsi="宋体" w:eastAsia="宋体" w:cs="宋体"/>
          <w:color w:val="auto"/>
          <w:spacing w:val="-2"/>
          <w:kern w:val="0"/>
          <w:sz w:val="24"/>
          <w:szCs w:val="24"/>
          <w:highlight w:val="none"/>
        </w:rPr>
        <w:t>术</w:t>
      </w:r>
      <w:r>
        <w:rPr>
          <w:rFonts w:hint="eastAsia" w:ascii="宋体" w:hAnsi="宋体" w:eastAsia="宋体" w:cs="宋体"/>
          <w:color w:val="auto"/>
          <w:kern w:val="0"/>
          <w:sz w:val="24"/>
          <w:szCs w:val="24"/>
          <w:highlight w:val="none"/>
        </w:rPr>
        <w:t>成</w:t>
      </w:r>
      <w:r>
        <w:rPr>
          <w:rFonts w:hint="eastAsia" w:ascii="宋体" w:hAnsi="宋体" w:eastAsia="宋体" w:cs="宋体"/>
          <w:color w:val="auto"/>
          <w:spacing w:val="-2"/>
          <w:kern w:val="0"/>
          <w:sz w:val="24"/>
          <w:szCs w:val="24"/>
          <w:highlight w:val="none"/>
        </w:rPr>
        <w:t>果</w:t>
      </w:r>
      <w:r>
        <w:rPr>
          <w:rFonts w:hint="eastAsia" w:ascii="宋体" w:hAnsi="宋体" w:eastAsia="宋体" w:cs="宋体"/>
          <w:color w:val="auto"/>
          <w:kern w:val="0"/>
          <w:sz w:val="24"/>
          <w:szCs w:val="24"/>
          <w:highlight w:val="none"/>
        </w:rPr>
        <w:t>经</w:t>
      </w:r>
      <w:r>
        <w:rPr>
          <w:rFonts w:hint="eastAsia" w:ascii="宋体" w:hAnsi="宋体" w:eastAsia="宋体" w:cs="宋体"/>
          <w:color w:val="auto"/>
          <w:spacing w:val="-2"/>
          <w:kern w:val="0"/>
          <w:sz w:val="24"/>
          <w:szCs w:val="24"/>
          <w:highlight w:val="none"/>
        </w:rPr>
        <w:t>济</w:t>
      </w:r>
      <w:r>
        <w:rPr>
          <w:rFonts w:hint="eastAsia" w:ascii="宋体" w:hAnsi="宋体" w:eastAsia="宋体" w:cs="宋体"/>
          <w:color w:val="auto"/>
          <w:kern w:val="0"/>
          <w:sz w:val="24"/>
          <w:szCs w:val="24"/>
          <w:highlight w:val="none"/>
        </w:rPr>
        <w:t>补</w:t>
      </w:r>
      <w:r>
        <w:rPr>
          <w:rFonts w:hint="eastAsia" w:ascii="宋体" w:hAnsi="宋体" w:eastAsia="宋体" w:cs="宋体"/>
          <w:color w:val="auto"/>
          <w:spacing w:val="-2"/>
          <w:kern w:val="0"/>
          <w:sz w:val="24"/>
          <w:szCs w:val="24"/>
          <w:highlight w:val="none"/>
        </w:rPr>
        <w:t>偿</w:t>
      </w:r>
      <w:r>
        <w:rPr>
          <w:rFonts w:hint="eastAsia" w:ascii="宋体" w:hAnsi="宋体" w:eastAsia="宋体" w:cs="宋体"/>
          <w:color w:val="auto"/>
          <w:kern w:val="0"/>
          <w:sz w:val="24"/>
          <w:szCs w:val="24"/>
          <w:highlight w:val="none"/>
        </w:rPr>
        <w:t>费。</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46" w:name="_Toc111186770"/>
      <w:bookmarkStart w:id="147" w:name="_Toc5726"/>
      <w:bookmarkStart w:id="148" w:name="_Toc193357986"/>
      <w:r>
        <w:rPr>
          <w:rFonts w:hint="eastAsia" w:ascii="宋体" w:hAnsi="宋体" w:eastAsia="宋体" w:cs="宋体"/>
          <w:b/>
          <w:bCs/>
          <w:color w:val="auto"/>
          <w:spacing w:val="1"/>
          <w:sz w:val="28"/>
          <w:szCs w:val="32"/>
          <w:highlight w:val="none"/>
          <w:lang w:val="zh-CN"/>
        </w:rPr>
        <w:t>7</w:t>
      </w:r>
      <w:r>
        <w:rPr>
          <w:rFonts w:hint="eastAsia" w:ascii="宋体" w:hAnsi="宋体" w:eastAsia="宋体" w:cs="宋体"/>
          <w:b/>
          <w:bCs/>
          <w:color w:val="auto"/>
          <w:spacing w:val="-1"/>
          <w:sz w:val="28"/>
          <w:szCs w:val="32"/>
          <w:highlight w:val="none"/>
          <w:lang w:val="zh-CN"/>
        </w:rPr>
        <w:t>.</w:t>
      </w:r>
      <w:r>
        <w:rPr>
          <w:rFonts w:hint="eastAsia" w:ascii="宋体" w:hAnsi="宋体" w:eastAsia="宋体" w:cs="宋体"/>
          <w:b/>
          <w:bCs/>
          <w:color w:val="auto"/>
          <w:spacing w:val="1"/>
          <w:sz w:val="28"/>
          <w:szCs w:val="32"/>
          <w:highlight w:val="none"/>
          <w:lang w:val="zh-CN"/>
        </w:rPr>
        <w:t>7</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履约保证金</w:t>
      </w:r>
      <w:bookmarkEnd w:id="146"/>
      <w:bookmarkEnd w:id="147"/>
      <w:bookmarkEnd w:id="148"/>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wordWrap w:val="0"/>
        <w:autoSpaceDE w:val="0"/>
        <w:autoSpaceDN w:val="0"/>
        <w:spacing w:line="360" w:lineRule="auto"/>
        <w:ind w:firstLine="480" w:firstLineChars="200"/>
        <w:rPr>
          <w:rFonts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7.7.2 中标人不能按本章第7.7.1项要求提交履约保证金的，视为放弃中标，其投标保证金不予退还，给招标人造成的损失超过投标保证金数额的，中标人还应当对超过部分予以赔偿。</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49" w:name="_Toc111186771"/>
      <w:bookmarkStart w:id="150" w:name="_Toc32040"/>
      <w:bookmarkStart w:id="151" w:name="_Toc193357987"/>
      <w:r>
        <w:rPr>
          <w:rFonts w:hint="eastAsia" w:ascii="宋体" w:hAnsi="宋体" w:eastAsia="宋体" w:cs="宋体"/>
          <w:b/>
          <w:bCs/>
          <w:color w:val="auto"/>
          <w:spacing w:val="1"/>
          <w:sz w:val="28"/>
          <w:szCs w:val="32"/>
          <w:highlight w:val="none"/>
          <w:lang w:val="zh-CN"/>
        </w:rPr>
        <w:t>7</w:t>
      </w:r>
      <w:r>
        <w:rPr>
          <w:rFonts w:hint="eastAsia" w:ascii="宋体" w:hAnsi="宋体" w:eastAsia="宋体" w:cs="宋体"/>
          <w:b/>
          <w:bCs/>
          <w:color w:val="auto"/>
          <w:spacing w:val="-1"/>
          <w:sz w:val="28"/>
          <w:szCs w:val="32"/>
          <w:highlight w:val="none"/>
          <w:lang w:val="zh-CN"/>
        </w:rPr>
        <w:t>.</w:t>
      </w:r>
      <w:r>
        <w:rPr>
          <w:rFonts w:hint="eastAsia" w:ascii="宋体" w:hAnsi="宋体" w:eastAsia="宋体" w:cs="宋体"/>
          <w:b/>
          <w:bCs/>
          <w:color w:val="auto"/>
          <w:spacing w:val="1"/>
          <w:sz w:val="28"/>
          <w:szCs w:val="32"/>
          <w:highlight w:val="none"/>
          <w:lang w:val="zh-CN"/>
        </w:rPr>
        <w:t>8</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签订合同</w:t>
      </w:r>
      <w:bookmarkEnd w:id="149"/>
      <w:bookmarkEnd w:id="150"/>
      <w:bookmarkEnd w:id="151"/>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7.8.1 招标人和中标人应当在中标通知书发出之日起30日内，根据招标文件和中标人的投标文件订立书面合同，并通过电子交易系统与中标人在线签订合同，并在广东省招标投标监管网和</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公示合同主要信息。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7.8.2 发出中标通知书后，招标人无正当理由拒签合同，或者在签订合同时向中标人提出附加条件的，招标人向中标人退还投标保证金；给中标人造成损失的，还应当赔偿损失。</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7.8.3 联合体中标的，联合体各方应当共同与招标人签订合同，就中标项目向招标人承担连带责任。</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52" w:name="_Toc14874"/>
      <w:bookmarkStart w:id="153" w:name="_Toc111186772"/>
      <w:bookmarkStart w:id="154" w:name="_Toc193357988"/>
      <w:r>
        <w:rPr>
          <w:rFonts w:hint="eastAsia" w:ascii="宋体" w:hAnsi="宋体" w:eastAsia="宋体" w:cs="宋体"/>
          <w:b/>
          <w:bCs/>
          <w:color w:val="auto"/>
          <w:spacing w:val="1"/>
          <w:kern w:val="0"/>
          <w:sz w:val="30"/>
          <w:szCs w:val="30"/>
          <w:highlight w:val="none"/>
          <w:lang w:val="zh-CN"/>
        </w:rPr>
        <w:t>8</w:t>
      </w:r>
      <w:r>
        <w:rPr>
          <w:rFonts w:hint="eastAsia" w:ascii="宋体" w:hAnsi="宋体" w:eastAsia="宋体" w:cs="宋体"/>
          <w:b/>
          <w:bCs/>
          <w:color w:val="auto"/>
          <w:spacing w:val="-1"/>
          <w:kern w:val="0"/>
          <w:sz w:val="30"/>
          <w:szCs w:val="30"/>
          <w:highlight w:val="none"/>
          <w:lang w:val="zh-CN"/>
        </w:rPr>
        <w:t>.</w:t>
      </w:r>
      <w:r>
        <w:rPr>
          <w:rFonts w:hint="eastAsia" w:ascii="宋体" w:hAnsi="宋体" w:eastAsia="宋体" w:cs="宋体"/>
          <w:b/>
          <w:bCs/>
          <w:color w:val="auto"/>
          <w:kern w:val="0"/>
          <w:sz w:val="30"/>
          <w:szCs w:val="30"/>
          <w:highlight w:val="none"/>
          <w:lang w:val="zh-CN"/>
        </w:rPr>
        <w:t>纪律和监督</w:t>
      </w:r>
      <w:bookmarkEnd w:id="152"/>
      <w:bookmarkEnd w:id="153"/>
      <w:bookmarkEnd w:id="154"/>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55" w:name="_Toc111186773"/>
      <w:bookmarkStart w:id="156" w:name="_Toc3133"/>
      <w:bookmarkStart w:id="157" w:name="_Toc193357989"/>
      <w:r>
        <w:rPr>
          <w:rFonts w:hint="eastAsia" w:ascii="宋体" w:hAnsi="宋体" w:eastAsia="宋体" w:cs="宋体"/>
          <w:b/>
          <w:bCs/>
          <w:color w:val="auto"/>
          <w:spacing w:val="1"/>
          <w:sz w:val="28"/>
          <w:szCs w:val="32"/>
          <w:highlight w:val="none"/>
          <w:lang w:val="zh-CN"/>
        </w:rPr>
        <w:t>8.1</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对招标人</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155"/>
      <w:bookmarkEnd w:id="156"/>
      <w:bookmarkEnd w:id="157"/>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招标人不得泄露招标投标活动中应当保密的情况和资料，不得与招标代理、投标人串通损害国家利益、社会公共利益或者他人合法权益。</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58" w:name="_Toc111186774"/>
      <w:bookmarkStart w:id="159" w:name="_Toc9243"/>
      <w:bookmarkStart w:id="160" w:name="_Toc193357990"/>
      <w:r>
        <w:rPr>
          <w:rFonts w:hint="eastAsia" w:ascii="宋体" w:hAnsi="宋体" w:eastAsia="宋体" w:cs="宋体"/>
          <w:b/>
          <w:bCs/>
          <w:color w:val="auto"/>
          <w:spacing w:val="1"/>
          <w:sz w:val="28"/>
          <w:szCs w:val="32"/>
          <w:highlight w:val="none"/>
          <w:lang w:val="zh-CN"/>
        </w:rPr>
        <w:t>8.2</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对投标人</w:t>
      </w:r>
      <w:r>
        <w:rPr>
          <w:rFonts w:hint="eastAsia" w:ascii="宋体" w:hAnsi="宋体" w:eastAsia="宋体" w:cs="宋体"/>
          <w:b/>
          <w:bCs/>
          <w:color w:val="auto"/>
          <w:spacing w:val="-3"/>
          <w:sz w:val="28"/>
          <w:szCs w:val="32"/>
          <w:highlight w:val="none"/>
          <w:lang w:val="zh-CN"/>
        </w:rPr>
        <w:t>的</w:t>
      </w:r>
      <w:r>
        <w:rPr>
          <w:rFonts w:hint="eastAsia" w:ascii="宋体" w:hAnsi="宋体" w:eastAsia="宋体" w:cs="宋体"/>
          <w:b/>
          <w:bCs/>
          <w:color w:val="auto"/>
          <w:spacing w:val="1"/>
          <w:sz w:val="28"/>
          <w:szCs w:val="32"/>
          <w:highlight w:val="none"/>
          <w:lang w:val="zh-CN"/>
        </w:rPr>
        <w:t>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158"/>
      <w:bookmarkEnd w:id="159"/>
      <w:bookmarkEnd w:id="160"/>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不得相互串通投标或者与招标人（招标代理）串通投标，不得向招标人或者评标委员会成员行贿谋取中标，不得以他人名义投标或者以其他方式弄虚作假骗取中标；投标人不得以任何方式干扰、影响评标工作。</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61" w:name="_Toc30238"/>
      <w:bookmarkStart w:id="162" w:name="_Toc111186775"/>
      <w:bookmarkStart w:id="163" w:name="_Toc193357991"/>
      <w:r>
        <w:rPr>
          <w:rFonts w:hint="eastAsia" w:ascii="宋体" w:hAnsi="宋体" w:eastAsia="宋体" w:cs="宋体"/>
          <w:b/>
          <w:bCs/>
          <w:color w:val="auto"/>
          <w:spacing w:val="1"/>
          <w:sz w:val="28"/>
          <w:szCs w:val="32"/>
          <w:highlight w:val="none"/>
          <w:lang w:val="zh-CN"/>
        </w:rPr>
        <w:t>8.3</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对评标委</w:t>
      </w:r>
      <w:r>
        <w:rPr>
          <w:rFonts w:hint="eastAsia" w:ascii="宋体" w:hAnsi="宋体" w:eastAsia="宋体" w:cs="宋体"/>
          <w:b/>
          <w:bCs/>
          <w:color w:val="auto"/>
          <w:spacing w:val="-3"/>
          <w:sz w:val="28"/>
          <w:szCs w:val="32"/>
          <w:highlight w:val="none"/>
          <w:lang w:val="zh-CN"/>
        </w:rPr>
        <w:t>员</w:t>
      </w:r>
      <w:r>
        <w:rPr>
          <w:rFonts w:hint="eastAsia" w:ascii="宋体" w:hAnsi="宋体" w:eastAsia="宋体" w:cs="宋体"/>
          <w:b/>
          <w:bCs/>
          <w:color w:val="auto"/>
          <w:spacing w:val="1"/>
          <w:sz w:val="28"/>
          <w:szCs w:val="32"/>
          <w:highlight w:val="none"/>
          <w:lang w:val="zh-CN"/>
        </w:rPr>
        <w:t>会</w:t>
      </w:r>
      <w:r>
        <w:rPr>
          <w:rFonts w:hint="eastAsia" w:ascii="宋体" w:hAnsi="宋体" w:eastAsia="宋体" w:cs="宋体"/>
          <w:b/>
          <w:bCs/>
          <w:color w:val="auto"/>
          <w:spacing w:val="-3"/>
          <w:sz w:val="28"/>
          <w:szCs w:val="32"/>
          <w:highlight w:val="none"/>
          <w:lang w:val="zh-CN"/>
        </w:rPr>
        <w:t>成</w:t>
      </w:r>
      <w:r>
        <w:rPr>
          <w:rFonts w:hint="eastAsia" w:ascii="宋体" w:hAnsi="宋体" w:eastAsia="宋体" w:cs="宋体"/>
          <w:b/>
          <w:bCs/>
          <w:color w:val="auto"/>
          <w:spacing w:val="1"/>
          <w:sz w:val="28"/>
          <w:szCs w:val="32"/>
          <w:highlight w:val="none"/>
          <w:lang w:val="zh-CN"/>
        </w:rPr>
        <w:t>员的纪</w:t>
      </w:r>
      <w:r>
        <w:rPr>
          <w:rFonts w:hint="eastAsia" w:ascii="宋体" w:hAnsi="宋体" w:eastAsia="宋体" w:cs="宋体"/>
          <w:b/>
          <w:bCs/>
          <w:color w:val="auto"/>
          <w:spacing w:val="-3"/>
          <w:sz w:val="28"/>
          <w:szCs w:val="32"/>
          <w:highlight w:val="none"/>
          <w:lang w:val="zh-CN"/>
        </w:rPr>
        <w:t>律</w:t>
      </w:r>
      <w:r>
        <w:rPr>
          <w:rFonts w:hint="eastAsia" w:ascii="宋体" w:hAnsi="宋体" w:eastAsia="宋体" w:cs="宋体"/>
          <w:b/>
          <w:bCs/>
          <w:color w:val="auto"/>
          <w:spacing w:val="1"/>
          <w:sz w:val="28"/>
          <w:szCs w:val="32"/>
          <w:highlight w:val="none"/>
          <w:lang w:val="zh-CN"/>
        </w:rPr>
        <w:t>要求</w:t>
      </w:r>
      <w:bookmarkEnd w:id="161"/>
      <w:bookmarkEnd w:id="162"/>
      <w:bookmarkEnd w:id="163"/>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评标活动中，评标委员会成员应当客观、公正地履行职责，遵守职业道德，不得擅离职守，影响评标程序正常进行，不得使用第三章“评标办法”没有规定的评审因素和标准进行评标。评标专家应当认真、公正、诚实、廉洁、勤勉地履行专家职责，按时参加评标，严格遵守评标纪律。评标专家与投标人有利害关系的，应当主动提出回避；不得对其他评标委员会成员的独立评审施加不当影响；不得私下接触投标人，不得收受投标人、中介人、其他利害关系人的财物或者其他好处，不得接受任何单位或者个人明示或者暗示提出的倾向或者排斥特定投标人的要求；不得透露评标委员会成员身份和评标项目；不得透露对投标文件的评审和比较、中标候选人的推荐情况、在评标过程中知悉的国家秘密和商业秘密以及与评标有关的其他情况；不得故意拖延评标时间，或者敷衍塞责随意评标；不得在合法的评标劳务费之外额外索取、接受报酬或者其他好处；严禁组建或者加入可能影响公正评标的微信群、QQ群等网络通讯群组。</w:t>
      </w: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64" w:name="_Toc111186776"/>
      <w:bookmarkStart w:id="165" w:name="_Toc9711"/>
      <w:bookmarkStart w:id="166" w:name="_Toc193357992"/>
      <w:r>
        <w:rPr>
          <w:rFonts w:hint="eastAsia" w:ascii="宋体" w:hAnsi="宋体" w:eastAsia="宋体" w:cs="宋体"/>
          <w:b/>
          <w:bCs/>
          <w:color w:val="auto"/>
          <w:spacing w:val="1"/>
          <w:sz w:val="28"/>
          <w:szCs w:val="32"/>
          <w:highlight w:val="none"/>
          <w:lang w:val="zh-CN"/>
        </w:rPr>
        <w:t>8.4</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对与评标</w:t>
      </w:r>
      <w:r>
        <w:rPr>
          <w:rFonts w:hint="eastAsia" w:ascii="宋体" w:hAnsi="宋体" w:eastAsia="宋体" w:cs="宋体"/>
          <w:b/>
          <w:bCs/>
          <w:color w:val="auto"/>
          <w:spacing w:val="-3"/>
          <w:sz w:val="28"/>
          <w:szCs w:val="32"/>
          <w:highlight w:val="none"/>
          <w:lang w:val="zh-CN"/>
        </w:rPr>
        <w:t>活</w:t>
      </w:r>
      <w:r>
        <w:rPr>
          <w:rFonts w:hint="eastAsia" w:ascii="宋体" w:hAnsi="宋体" w:eastAsia="宋体" w:cs="宋体"/>
          <w:b/>
          <w:bCs/>
          <w:color w:val="auto"/>
          <w:spacing w:val="1"/>
          <w:sz w:val="28"/>
          <w:szCs w:val="32"/>
          <w:highlight w:val="none"/>
          <w:lang w:val="zh-CN"/>
        </w:rPr>
        <w:t>动</w:t>
      </w:r>
      <w:r>
        <w:rPr>
          <w:rFonts w:hint="eastAsia" w:ascii="宋体" w:hAnsi="宋体" w:eastAsia="宋体" w:cs="宋体"/>
          <w:b/>
          <w:bCs/>
          <w:color w:val="auto"/>
          <w:spacing w:val="-3"/>
          <w:sz w:val="28"/>
          <w:szCs w:val="32"/>
          <w:highlight w:val="none"/>
          <w:lang w:val="zh-CN"/>
        </w:rPr>
        <w:t>有</w:t>
      </w:r>
      <w:r>
        <w:rPr>
          <w:rFonts w:hint="eastAsia" w:ascii="宋体" w:hAnsi="宋体" w:eastAsia="宋体" w:cs="宋体"/>
          <w:b/>
          <w:bCs/>
          <w:color w:val="auto"/>
          <w:spacing w:val="1"/>
          <w:sz w:val="28"/>
          <w:szCs w:val="32"/>
          <w:highlight w:val="none"/>
          <w:lang w:val="zh-CN"/>
        </w:rPr>
        <w:t>关的工</w:t>
      </w:r>
      <w:r>
        <w:rPr>
          <w:rFonts w:hint="eastAsia" w:ascii="宋体" w:hAnsi="宋体" w:eastAsia="宋体" w:cs="宋体"/>
          <w:b/>
          <w:bCs/>
          <w:color w:val="auto"/>
          <w:spacing w:val="-3"/>
          <w:sz w:val="28"/>
          <w:szCs w:val="32"/>
          <w:highlight w:val="none"/>
          <w:lang w:val="zh-CN"/>
        </w:rPr>
        <w:t>作</w:t>
      </w:r>
      <w:r>
        <w:rPr>
          <w:rFonts w:hint="eastAsia" w:ascii="宋体" w:hAnsi="宋体" w:eastAsia="宋体" w:cs="宋体"/>
          <w:b/>
          <w:bCs/>
          <w:color w:val="auto"/>
          <w:spacing w:val="1"/>
          <w:sz w:val="28"/>
          <w:szCs w:val="32"/>
          <w:highlight w:val="none"/>
          <w:lang w:val="zh-CN"/>
        </w:rPr>
        <w:t>人员</w:t>
      </w:r>
      <w:r>
        <w:rPr>
          <w:rFonts w:hint="eastAsia" w:ascii="宋体" w:hAnsi="宋体" w:eastAsia="宋体" w:cs="宋体"/>
          <w:b/>
          <w:bCs/>
          <w:color w:val="auto"/>
          <w:spacing w:val="-3"/>
          <w:sz w:val="28"/>
          <w:szCs w:val="32"/>
          <w:highlight w:val="none"/>
          <w:lang w:val="zh-CN"/>
        </w:rPr>
        <w:t>的纪</w:t>
      </w:r>
      <w:r>
        <w:rPr>
          <w:rFonts w:hint="eastAsia" w:ascii="宋体" w:hAnsi="宋体" w:eastAsia="宋体" w:cs="宋体"/>
          <w:b/>
          <w:bCs/>
          <w:color w:val="auto"/>
          <w:spacing w:val="1"/>
          <w:sz w:val="28"/>
          <w:szCs w:val="32"/>
          <w:highlight w:val="none"/>
          <w:lang w:val="zh-CN"/>
        </w:rPr>
        <w:t>律要求</w:t>
      </w:r>
      <w:bookmarkEnd w:id="164"/>
      <w:bookmarkEnd w:id="165"/>
      <w:bookmarkEnd w:id="166"/>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67" w:name="_Toc3297"/>
      <w:bookmarkStart w:id="168" w:name="_Toc193357993"/>
      <w:bookmarkStart w:id="169" w:name="_Toc111186777"/>
      <w:r>
        <w:rPr>
          <w:rFonts w:hint="eastAsia" w:ascii="宋体" w:hAnsi="宋体" w:eastAsia="宋体" w:cs="宋体"/>
          <w:b/>
          <w:bCs/>
          <w:color w:val="auto"/>
          <w:spacing w:val="1"/>
          <w:sz w:val="28"/>
          <w:szCs w:val="32"/>
          <w:highlight w:val="none"/>
          <w:lang w:val="zh-CN"/>
        </w:rPr>
        <w:t>8.5</w:t>
      </w:r>
      <w:r>
        <w:rPr>
          <w:rFonts w:hint="eastAsia" w:ascii="宋体" w:hAnsi="宋体" w:eastAsia="宋体" w:cs="宋体"/>
          <w:b/>
          <w:bCs/>
          <w:color w:val="auto"/>
          <w:spacing w:val="68"/>
          <w:sz w:val="28"/>
          <w:szCs w:val="32"/>
          <w:highlight w:val="none"/>
          <w:lang w:val="zh-CN"/>
        </w:rPr>
        <w:t xml:space="preserve"> </w:t>
      </w:r>
      <w:r>
        <w:rPr>
          <w:rFonts w:hint="eastAsia" w:ascii="宋体" w:hAnsi="宋体" w:eastAsia="宋体" w:cs="宋体"/>
          <w:b/>
          <w:bCs/>
          <w:color w:val="auto"/>
          <w:spacing w:val="1"/>
          <w:sz w:val="28"/>
          <w:szCs w:val="32"/>
          <w:highlight w:val="none"/>
          <w:lang w:val="zh-CN"/>
        </w:rPr>
        <w:t>投诉</w:t>
      </w:r>
      <w:bookmarkEnd w:id="167"/>
      <w:bookmarkEnd w:id="168"/>
      <w:bookmarkEnd w:id="169"/>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8.5.2 投标人或者其他利害关系人对招标文件、开标和评标结果提出投诉的，应当按照投标人须知第2.4款、第5.3款和第7.2款的规定先向招标人提出异议。异议答复期间不计算在第8.5.1项规定的期限内。</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70" w:name="_Toc32014"/>
      <w:bookmarkStart w:id="171" w:name="_Toc193357994"/>
      <w:bookmarkStart w:id="172" w:name="_Toc111186778"/>
      <w:r>
        <w:rPr>
          <w:rFonts w:hint="eastAsia" w:ascii="宋体" w:hAnsi="宋体" w:eastAsia="宋体" w:cs="宋体"/>
          <w:b/>
          <w:bCs/>
          <w:color w:val="auto"/>
          <w:spacing w:val="1"/>
          <w:kern w:val="0"/>
          <w:sz w:val="30"/>
          <w:szCs w:val="30"/>
          <w:highlight w:val="none"/>
          <w:lang w:val="zh-CN"/>
        </w:rPr>
        <w:t>9</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8"/>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是否采用电子招标投标</w:t>
      </w:r>
      <w:bookmarkEnd w:id="170"/>
      <w:bookmarkEnd w:id="171"/>
      <w:bookmarkEnd w:id="172"/>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本招标项目采用电子招标投标方式，按照</w:t>
      </w:r>
      <w:r>
        <w:rPr>
          <w:rFonts w:hint="eastAsia" w:ascii="宋体" w:hAnsi="宋体" w:eastAsia="宋体" w:cs="宋体"/>
          <w:color w:val="auto"/>
          <w:kern w:val="0"/>
          <w:sz w:val="24"/>
          <w:szCs w:val="24"/>
          <w:highlight w:val="none"/>
          <w:u w:val="single"/>
        </w:rPr>
        <w:t>广州交易集团有限公司（广州公共资源交易中心）</w:t>
      </w:r>
      <w:r>
        <w:rPr>
          <w:rFonts w:hint="eastAsia" w:ascii="宋体" w:hAnsi="宋体" w:eastAsia="宋体" w:cs="宋体"/>
          <w:color w:val="auto"/>
          <w:kern w:val="0"/>
          <w:sz w:val="24"/>
          <w:szCs w:val="24"/>
          <w:highlight w:val="none"/>
        </w:rPr>
        <w:t>网站关于全流程电子化项目的相关指南进行操作。</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line="360" w:lineRule="auto"/>
        <w:outlineLvl w:val="1"/>
        <w:rPr>
          <w:rFonts w:ascii="宋体" w:hAnsi="宋体" w:eastAsia="宋体" w:cs="宋体"/>
          <w:b/>
          <w:bCs/>
          <w:color w:val="auto"/>
          <w:kern w:val="0"/>
          <w:sz w:val="30"/>
          <w:szCs w:val="30"/>
          <w:highlight w:val="none"/>
          <w:lang w:val="zh-CN"/>
        </w:rPr>
      </w:pPr>
      <w:bookmarkStart w:id="173" w:name="_Toc25836"/>
      <w:bookmarkStart w:id="174" w:name="_Toc193357995"/>
      <w:bookmarkStart w:id="175" w:name="_Toc111186779"/>
      <w:r>
        <w:rPr>
          <w:rFonts w:hint="eastAsia" w:ascii="宋体" w:hAnsi="宋体" w:eastAsia="宋体" w:cs="宋体"/>
          <w:b/>
          <w:bCs/>
          <w:color w:val="auto"/>
          <w:spacing w:val="1"/>
          <w:kern w:val="0"/>
          <w:sz w:val="30"/>
          <w:szCs w:val="30"/>
          <w:highlight w:val="none"/>
          <w:lang w:val="zh-CN"/>
        </w:rPr>
        <w:t>10</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4"/>
          <w:kern w:val="0"/>
          <w:sz w:val="30"/>
          <w:szCs w:val="30"/>
          <w:highlight w:val="none"/>
          <w:lang w:val="zh-CN"/>
        </w:rPr>
        <w:t xml:space="preserve"> </w:t>
      </w:r>
      <w:bookmarkEnd w:id="173"/>
      <w:bookmarkEnd w:id="174"/>
      <w:bookmarkEnd w:id="175"/>
      <w:r>
        <w:rPr>
          <w:rFonts w:hint="eastAsia" w:ascii="宋体" w:hAnsi="宋体" w:eastAsia="宋体" w:cs="宋体"/>
          <w:b/>
          <w:bCs/>
          <w:color w:val="auto"/>
          <w:kern w:val="0"/>
          <w:sz w:val="30"/>
          <w:szCs w:val="30"/>
          <w:highlight w:val="none"/>
          <w:lang w:val="zh-CN"/>
        </w:rPr>
        <w:t>重新招标情形</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在下列情况下，依法必须招标项目的招标人在分析招标失败的原因并采取相应措施后，应当依照本办法重新招标：</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（一）资格审查合格的投标人不足三个的；</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（二）在投标截止时间前提交投标文件的投标人少于三个的；</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（三）所有投标均被否决的；</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（四）评标委员会否决不合格投标后，因有效投标不足三个使得投标明显缺乏竞争，评标委员会决定否决全部投标的；</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（五）根据《工程建设项目勘察设计招标投标办法》第四十六条规定，同意延长投标有效期的投标人少于三个的；</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（六）符合法律法规需重新招标的其他情形。</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p>
    <w:p>
      <w:pPr>
        <w:keepNext/>
        <w:keepLines/>
        <w:wordWrap w:val="0"/>
        <w:spacing w:line="360" w:lineRule="auto"/>
        <w:outlineLvl w:val="1"/>
        <w:rPr>
          <w:rFonts w:ascii="宋体" w:hAnsi="宋体" w:eastAsia="宋体" w:cs="宋体"/>
          <w:b/>
          <w:bCs/>
          <w:color w:val="auto"/>
          <w:kern w:val="0"/>
          <w:sz w:val="30"/>
          <w:szCs w:val="30"/>
          <w:highlight w:val="none"/>
          <w:lang w:val="zh-CN"/>
        </w:rPr>
      </w:pPr>
      <w:r>
        <w:rPr>
          <w:rFonts w:hint="eastAsia" w:ascii="宋体" w:hAnsi="宋体" w:eastAsia="宋体" w:cs="宋体"/>
          <w:b/>
          <w:bCs/>
          <w:color w:val="auto"/>
          <w:spacing w:val="1"/>
          <w:kern w:val="0"/>
          <w:sz w:val="30"/>
          <w:szCs w:val="30"/>
          <w:highlight w:val="none"/>
          <w:lang w:val="zh-CN"/>
        </w:rPr>
        <w:t>11</w:t>
      </w:r>
      <w:r>
        <w:rPr>
          <w:rFonts w:hint="eastAsia" w:ascii="宋体" w:hAnsi="宋体" w:eastAsia="宋体" w:cs="宋体"/>
          <w:b/>
          <w:bCs/>
          <w:color w:val="auto"/>
          <w:kern w:val="0"/>
          <w:sz w:val="30"/>
          <w:szCs w:val="30"/>
          <w:highlight w:val="none"/>
          <w:lang w:val="zh-CN"/>
        </w:rPr>
        <w:t>.</w:t>
      </w:r>
      <w:r>
        <w:rPr>
          <w:rFonts w:hint="eastAsia" w:ascii="宋体" w:hAnsi="宋体" w:eastAsia="宋体" w:cs="宋体"/>
          <w:b/>
          <w:bCs/>
          <w:color w:val="auto"/>
          <w:spacing w:val="74"/>
          <w:kern w:val="0"/>
          <w:sz w:val="30"/>
          <w:szCs w:val="30"/>
          <w:highlight w:val="none"/>
          <w:lang w:val="zh-CN"/>
        </w:rPr>
        <w:t xml:space="preserve"> </w:t>
      </w:r>
      <w:r>
        <w:rPr>
          <w:rFonts w:hint="eastAsia" w:ascii="宋体" w:hAnsi="宋体" w:eastAsia="宋体" w:cs="宋体"/>
          <w:b/>
          <w:bCs/>
          <w:color w:val="auto"/>
          <w:kern w:val="0"/>
          <w:sz w:val="30"/>
          <w:szCs w:val="30"/>
          <w:highlight w:val="none"/>
          <w:lang w:val="zh-CN"/>
        </w:rPr>
        <w:t>需要补充的其他内容</w:t>
      </w:r>
    </w:p>
    <w:p>
      <w:pPr>
        <w:wordWrap w:val="0"/>
        <w:autoSpaceDE w:val="0"/>
        <w:autoSpaceDN w:val="0"/>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需要补充的其他内容：见投标人须知前附表。</w:t>
      </w: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r>
        <w:rPr>
          <w:rFonts w:hint="eastAsia" w:ascii="宋体" w:hAnsi="宋体" w:eastAsia="宋体" w:cs="宋体"/>
          <w:b/>
          <w:bCs/>
          <w:color w:val="auto"/>
          <w:spacing w:val="1"/>
          <w:kern w:val="0"/>
          <w:sz w:val="28"/>
          <w:szCs w:val="32"/>
          <w:highlight w:val="none"/>
          <w:lang w:val="zh-CN"/>
        </w:rPr>
        <w:br w:type="page"/>
      </w:r>
      <w:bookmarkStart w:id="176" w:name="_Toc111186781"/>
      <w:bookmarkStart w:id="177" w:name="_Toc5282"/>
      <w:bookmarkStart w:id="178" w:name="_Toc193357997"/>
    </w:p>
    <w:bookmarkEnd w:id="176"/>
    <w:bookmarkEnd w:id="177"/>
    <w:bookmarkEnd w:id="178"/>
    <w:p>
      <w:pPr>
        <w:pStyle w:val="3"/>
        <w:rPr>
          <w:color w:val="auto"/>
          <w:highlight w:val="none"/>
        </w:rPr>
      </w:pPr>
      <w:bookmarkStart w:id="179" w:name="_Toc193358002"/>
      <w:bookmarkStart w:id="180" w:name="_Toc111186786"/>
      <w:r>
        <w:rPr>
          <w:rFonts w:hint="eastAsia"/>
          <w:color w:val="auto"/>
          <w:highlight w:val="none"/>
        </w:rPr>
        <w:t>第三章  评标办法（综合评估法）</w:t>
      </w:r>
      <w:bookmarkEnd w:id="179"/>
      <w:bookmarkEnd w:id="180"/>
    </w:p>
    <w:p>
      <w:pPr>
        <w:pStyle w:val="4"/>
        <w:wordWrap w:val="0"/>
        <w:rPr>
          <w:color w:val="auto"/>
          <w:highlight w:val="none"/>
        </w:rPr>
      </w:pPr>
      <w:bookmarkStart w:id="181" w:name="_Toc111186787"/>
      <w:bookmarkStart w:id="182" w:name="_Toc193358003"/>
      <w:bookmarkStart w:id="183" w:name="_Toc32538"/>
      <w:r>
        <w:rPr>
          <w:rFonts w:hint="eastAsia"/>
          <w:color w:val="auto"/>
          <w:highlight w:val="none"/>
        </w:rPr>
        <w:t>（适用于技术文件为暗标形式）</w:t>
      </w:r>
    </w:p>
    <w:p>
      <w:pPr>
        <w:pStyle w:val="4"/>
        <w:wordWrap w:val="0"/>
        <w:rPr>
          <w:color w:val="auto"/>
          <w:highlight w:val="none"/>
        </w:rPr>
      </w:pPr>
      <w:r>
        <w:rPr>
          <w:rFonts w:hint="eastAsia"/>
          <w:color w:val="auto"/>
          <w:highlight w:val="none"/>
        </w:rPr>
        <w:t>评标办法前附表</w:t>
      </w:r>
      <w:bookmarkEnd w:id="181"/>
      <w:bookmarkEnd w:id="182"/>
      <w:bookmarkEnd w:id="183"/>
    </w:p>
    <w:tbl>
      <w:tblPr>
        <w:tblStyle w:val="45"/>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850"/>
        <w:gridCol w:w="1643"/>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643" w:type="dxa"/>
            <w:vAlign w:val="center"/>
          </w:tcPr>
          <w:p>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5976" w:type="dxa"/>
            <w:vAlign w:val="center"/>
          </w:tcPr>
          <w:p>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评标方法</w:t>
            </w: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中标候选人排序方法</w:t>
            </w:r>
          </w:p>
        </w:tc>
        <w:tc>
          <w:tcPr>
            <w:tcW w:w="5976" w:type="dxa"/>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综合评分（即总得分）相等时中标候选人顺序：</w:t>
            </w:r>
            <w:r>
              <w:rPr>
                <w:rFonts w:hint="eastAsia" w:ascii="宋体" w:hAnsi="宋体" w:eastAsia="宋体" w:cs="宋体"/>
                <w:color w:val="auto"/>
                <w:szCs w:val="21"/>
                <w:highlight w:val="none"/>
                <w:u w:val="single"/>
              </w:rPr>
              <w:t>以技术文件得分高的排前；技术文件得分也相同的，以商务文件得分高的排前；若商务文件得分仍相同的，以投标报价较低的排前；如仍存在相同情况，则对具有相同情况的投标人，由评标委员会采用记名投票方式，确定投标人最终名次的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restar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850" w:type="dxa"/>
            <w:vMerge w:val="restar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商务文件形式评审标准</w:t>
            </w: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5976" w:type="dxa"/>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与营业执照或事业单位登记机构核发的事业单位法人证书、资质证书一致。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投标人参加投标的意思表达清楚，投标人代表被授权有效</w:t>
            </w:r>
          </w:p>
        </w:tc>
        <w:tc>
          <w:tcPr>
            <w:tcW w:w="5976" w:type="dxa"/>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投标人声明、廉洁承诺书、法定代表人身份证明；委托投标的还应提供法人授权委托证明书。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投标函及投标函附录签字盖章</w:t>
            </w:r>
          </w:p>
        </w:tc>
        <w:tc>
          <w:tcPr>
            <w:tcW w:w="5976" w:type="dxa"/>
            <w:vAlign w:val="center"/>
          </w:tcPr>
          <w:p>
            <w:pPr>
              <w:wordWrap w:val="0"/>
              <w:spacing w:line="276" w:lineRule="auto"/>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有法定代表人或其委托代理人签字和加盖单位章。由法定代表人签字的，应附法定代表人身份证明；由代理人签字的，应附法定代表人身份证明及授权委托书，身份证明或授权委托书参考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投标文件格式</w:t>
            </w:r>
          </w:p>
        </w:tc>
        <w:tc>
          <w:tcPr>
            <w:tcW w:w="5976" w:type="dxa"/>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Times New Roman"/>
                <w:color w:val="auto"/>
                <w:szCs w:val="21"/>
                <w:highlight w:val="none"/>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联合体投标人</w:t>
            </w:r>
          </w:p>
        </w:tc>
        <w:tc>
          <w:tcPr>
            <w:tcW w:w="5976" w:type="dxa"/>
            <w:vAlign w:val="center"/>
          </w:tcPr>
          <w:p>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提交符合招标文件要求的联合体协议书，明确各方职责分工、权利义务，并承诺就中标项目向招标人承担连带责任。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备选投标方案</w:t>
            </w:r>
          </w:p>
        </w:tc>
        <w:tc>
          <w:tcPr>
            <w:tcW w:w="5976" w:type="dxa"/>
            <w:vAlign w:val="center"/>
          </w:tcPr>
          <w:p>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kern w:val="0"/>
                <w:szCs w:val="21"/>
                <w:highlight w:val="none"/>
              </w:rPr>
              <w:t>投标人硬件特征码</w:t>
            </w:r>
          </w:p>
        </w:tc>
        <w:tc>
          <w:tcPr>
            <w:tcW w:w="5976" w:type="dxa"/>
            <w:vAlign w:val="center"/>
          </w:tcPr>
          <w:p>
            <w:pPr>
              <w:wordWrap w:val="0"/>
              <w:autoSpaceDE w:val="0"/>
              <w:autoSpaceDN w:val="0"/>
              <w:spacing w:line="276" w:lineRule="auto"/>
              <w:jc w:val="left"/>
              <w:rPr>
                <w:rFonts w:ascii="宋体" w:hAnsi="宋体" w:eastAsia="宋体" w:cs="宋体"/>
                <w:color w:val="auto"/>
                <w:spacing w:val="1"/>
                <w:kern w:val="0"/>
                <w:szCs w:val="21"/>
                <w:highlight w:val="none"/>
              </w:rPr>
            </w:pPr>
            <w:r>
              <w:rPr>
                <w:rFonts w:hint="eastAsia" w:ascii="宋体" w:hAnsi="宋体" w:eastAsia="宋体" w:cs="宋体"/>
                <w:color w:val="auto"/>
                <w:kern w:val="0"/>
                <w:szCs w:val="21"/>
                <w:highlight w:val="none"/>
              </w:rPr>
              <w:t>投标人与其他投标人加密打包投标文件硬件特征码不一致，以</w:t>
            </w:r>
            <w:r>
              <w:rPr>
                <w:rFonts w:hint="eastAsia" w:ascii="宋体" w:hAnsi="宋体" w:eastAsia="宋体" w:cs="宋体"/>
                <w:color w:val="auto"/>
                <w:kern w:val="0"/>
                <w:szCs w:val="21"/>
                <w:highlight w:val="none"/>
                <w:u w:val="single"/>
              </w:rPr>
              <w:t>广州交易集团有限公司（广州公共资源交易中心）</w:t>
            </w:r>
            <w:r>
              <w:rPr>
                <w:rFonts w:hint="eastAsia" w:ascii="宋体" w:hAnsi="宋体" w:eastAsia="宋体" w:cs="宋体"/>
                <w:color w:val="auto"/>
                <w:kern w:val="0"/>
                <w:szCs w:val="21"/>
                <w:highlight w:val="none"/>
              </w:rPr>
              <w:t>交易平台开标系统的检索信息为准。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restart"/>
            <w:vAlign w:val="center"/>
          </w:tcPr>
          <w:p>
            <w:pPr>
              <w:widowControl/>
              <w:wordWrap w:val="0"/>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2.1.2</w:t>
            </w:r>
          </w:p>
        </w:tc>
        <w:tc>
          <w:tcPr>
            <w:tcW w:w="850" w:type="dxa"/>
            <w:vMerge w:val="restart"/>
            <w:vAlign w:val="center"/>
          </w:tcPr>
          <w:p>
            <w:pPr>
              <w:widowControl/>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资格评审标准</w:t>
            </w:r>
          </w:p>
        </w:tc>
        <w:tc>
          <w:tcPr>
            <w:tcW w:w="1643" w:type="dxa"/>
            <w:vAlign w:val="center"/>
          </w:tcPr>
          <w:p>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营业执照</w:t>
            </w:r>
            <w:r>
              <w:rPr>
                <w:rFonts w:hint="eastAsia" w:ascii="宋体" w:hAnsi="宋体" w:eastAsia="宋体" w:cs="宋体"/>
                <w:color w:val="auto"/>
                <w:spacing w:val="-1"/>
                <w:kern w:val="0"/>
                <w:szCs w:val="21"/>
                <w:highlight w:val="none"/>
                <w:lang w:val="en-US" w:eastAsia="zh-CN"/>
              </w:rPr>
              <w:t>或事业单位法人证书</w:t>
            </w:r>
          </w:p>
        </w:tc>
        <w:tc>
          <w:tcPr>
            <w:tcW w:w="5976" w:type="dxa"/>
            <w:vAlign w:val="center"/>
          </w:tcPr>
          <w:p>
            <w:pPr>
              <w:wordWrap w:val="0"/>
              <w:autoSpaceDE w:val="0"/>
              <w:autoSpaceDN w:val="0"/>
              <w:spacing w:line="276" w:lineRule="auto"/>
              <w:jc w:val="left"/>
              <w:rPr>
                <w:rFonts w:ascii="宋体" w:hAnsi="宋体" w:eastAsia="宋体" w:cs="宋体"/>
                <w:color w:val="auto"/>
                <w:spacing w:val="1"/>
                <w:kern w:val="0"/>
                <w:szCs w:val="21"/>
                <w:highlight w:val="none"/>
              </w:rPr>
            </w:pPr>
            <w:r>
              <w:rPr>
                <w:rFonts w:hint="eastAsia" w:ascii="宋体" w:hAnsi="宋体" w:eastAsia="宋体" w:cs="宋体"/>
                <w:color w:val="auto"/>
                <w:kern w:val="0"/>
                <w:szCs w:val="21"/>
                <w:highlight w:val="none"/>
              </w:rPr>
              <w:t>符合第二章“投标人须知”第3.5.1项规定，具备有效的营业执照</w:t>
            </w:r>
            <w:r>
              <w:rPr>
                <w:rFonts w:hint="eastAsia" w:ascii="宋体" w:hAnsi="宋体" w:eastAsia="宋体" w:cs="宋体"/>
                <w:color w:val="auto"/>
                <w:kern w:val="0"/>
                <w:szCs w:val="21"/>
                <w:highlight w:val="none"/>
                <w:lang w:val="en-US" w:eastAsia="zh-CN"/>
              </w:rPr>
              <w:t>或事业单位法人证书</w:t>
            </w: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资质要求</w:t>
            </w:r>
          </w:p>
        </w:tc>
        <w:tc>
          <w:tcPr>
            <w:tcW w:w="5976" w:type="dxa"/>
            <w:vAlign w:val="center"/>
          </w:tcPr>
          <w:p>
            <w:pPr>
              <w:wordWrap w:val="0"/>
              <w:autoSpaceDE w:val="0"/>
              <w:autoSpaceDN w:val="0"/>
              <w:spacing w:line="276" w:lineRule="auto"/>
              <w:jc w:val="left"/>
              <w:rPr>
                <w:rFonts w:ascii="宋体" w:hAnsi="宋体" w:eastAsia="宋体" w:cs="宋体"/>
                <w:color w:val="auto"/>
                <w:spacing w:val="1"/>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业绩要求</w:t>
            </w:r>
          </w:p>
        </w:tc>
        <w:tc>
          <w:tcPr>
            <w:tcW w:w="5976" w:type="dxa"/>
            <w:vAlign w:val="center"/>
          </w:tcPr>
          <w:p>
            <w:pPr>
              <w:wordWrap w:val="0"/>
              <w:autoSpaceDE w:val="0"/>
              <w:autoSpaceDN w:val="0"/>
              <w:spacing w:line="276" w:lineRule="auto"/>
              <w:jc w:val="left"/>
              <w:rPr>
                <w:rFonts w:ascii="宋体" w:hAnsi="宋体" w:eastAsia="宋体" w:cs="宋体"/>
                <w:color w:val="auto"/>
                <w:spacing w:val="1"/>
                <w:kern w:val="0"/>
                <w:szCs w:val="21"/>
                <w:highlight w:val="none"/>
              </w:rPr>
            </w:pPr>
            <w:r>
              <w:rPr>
                <w:rFonts w:hint="eastAsia" w:ascii="宋体" w:hAnsi="宋体" w:eastAsia="宋体" w:cs="宋体"/>
                <w:color w:val="auto"/>
                <w:szCs w:val="21"/>
                <w:highlight w:val="none"/>
                <w:u w:val="singl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项目负责人</w:t>
            </w:r>
          </w:p>
        </w:tc>
        <w:tc>
          <w:tcPr>
            <w:tcW w:w="5976" w:type="dxa"/>
            <w:vAlign w:val="center"/>
          </w:tcPr>
          <w:p>
            <w:pPr>
              <w:wordWrap w:val="0"/>
              <w:autoSpaceDE w:val="0"/>
              <w:autoSpaceDN w:val="0"/>
              <w:spacing w:line="276" w:lineRule="auto"/>
              <w:jc w:val="left"/>
              <w:rPr>
                <w:rFonts w:ascii="宋体" w:hAnsi="宋体" w:eastAsia="宋体" w:cs="宋体"/>
                <w:color w:val="auto"/>
                <w:spacing w:val="1"/>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其他要求</w:t>
            </w:r>
          </w:p>
        </w:tc>
        <w:tc>
          <w:tcPr>
            <w:tcW w:w="5976" w:type="dxa"/>
            <w:vAlign w:val="center"/>
          </w:tcPr>
          <w:p>
            <w:pPr>
              <w:wordWrap w:val="0"/>
              <w:autoSpaceDE w:val="0"/>
              <w:autoSpaceDN w:val="0"/>
              <w:spacing w:line="276" w:lineRule="auto"/>
              <w:jc w:val="left"/>
              <w:rPr>
                <w:rFonts w:ascii="宋体" w:hAnsi="宋体" w:eastAsia="宋体" w:cs="宋体"/>
                <w:color w:val="auto"/>
                <w:spacing w:val="1"/>
                <w:kern w:val="0"/>
                <w:szCs w:val="21"/>
                <w:highlight w:val="none"/>
              </w:rPr>
            </w:pPr>
            <w:r>
              <w:rPr>
                <w:rFonts w:hint="eastAsia" w:ascii="宋体" w:hAnsi="宋体" w:eastAsia="宋体" w:cs="宋体"/>
                <w:color w:val="auto"/>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联合体投标人</w:t>
            </w:r>
          </w:p>
        </w:tc>
        <w:tc>
          <w:tcPr>
            <w:tcW w:w="5976" w:type="dxa"/>
            <w:vAlign w:val="center"/>
          </w:tcPr>
          <w:p>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不存在禁止投标的情形</w:t>
            </w:r>
          </w:p>
        </w:tc>
        <w:tc>
          <w:tcPr>
            <w:tcW w:w="5976" w:type="dxa"/>
            <w:vAlign w:val="center"/>
          </w:tcPr>
          <w:p>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不存在第二章“投标人须知”第1.4.3项规定的任何一种情形（按投标人提供的《投标人声明》内容进行评审）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投标人未被列入拖欠农民工工资失信联合惩戒对象名单</w:t>
            </w:r>
          </w:p>
        </w:tc>
        <w:tc>
          <w:tcPr>
            <w:tcW w:w="5976" w:type="dxa"/>
            <w:vAlign w:val="center"/>
          </w:tcPr>
          <w:p>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投标人无需提供资料，按交易系统比对的结果进行评审。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autoSpaceDE w:val="0"/>
              <w:autoSpaceDN w:val="0"/>
              <w:spacing w:line="276" w:lineRule="auto"/>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政府投资项目，在投标截止时间前，投标人未被列入“失信被执行人”名单</w:t>
            </w:r>
          </w:p>
        </w:tc>
        <w:tc>
          <w:tcPr>
            <w:tcW w:w="5976" w:type="dxa"/>
            <w:vAlign w:val="center"/>
          </w:tcPr>
          <w:p>
            <w:pPr>
              <w:wordWrap w:val="0"/>
              <w:autoSpaceDE w:val="0"/>
              <w:autoSpaceDN w:val="0"/>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投标人无需提供资料，按交易系统比对的结果进行评审。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restar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2.1.3（1）</w:t>
            </w:r>
          </w:p>
        </w:tc>
        <w:tc>
          <w:tcPr>
            <w:tcW w:w="850" w:type="dxa"/>
            <w:vMerge w:val="restar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商务文件响应性评审标准</w:t>
            </w: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5976" w:type="dxa"/>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ordWrap w:val="0"/>
              <w:spacing w:line="276" w:lineRule="auto"/>
              <w:jc w:val="center"/>
              <w:rPr>
                <w:rFonts w:ascii="宋体" w:hAnsi="宋体" w:eastAsia="宋体" w:cs="宋体"/>
                <w:color w:val="auto"/>
                <w:szCs w:val="21"/>
                <w:highlight w:val="none"/>
              </w:rPr>
            </w:pPr>
          </w:p>
        </w:tc>
        <w:tc>
          <w:tcPr>
            <w:tcW w:w="850" w:type="dxa"/>
            <w:vMerge w:val="continue"/>
            <w:vAlign w:val="center"/>
          </w:tcPr>
          <w:p>
            <w:pPr>
              <w:wordWrap w:val="0"/>
              <w:spacing w:line="276" w:lineRule="auto"/>
              <w:jc w:val="center"/>
              <w:rPr>
                <w:rFonts w:ascii="宋体" w:hAnsi="宋体" w:eastAsia="宋体" w:cs="宋体"/>
                <w:color w:val="auto"/>
                <w:szCs w:val="21"/>
                <w:highlight w:val="none"/>
              </w:rPr>
            </w:pP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投标内容</w:t>
            </w:r>
          </w:p>
        </w:tc>
        <w:tc>
          <w:tcPr>
            <w:tcW w:w="5976" w:type="dxa"/>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勘察设计服务期限</w:t>
            </w:r>
          </w:p>
        </w:tc>
        <w:tc>
          <w:tcPr>
            <w:tcW w:w="5976" w:type="dxa"/>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5976" w:type="dxa"/>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5976" w:type="dxa"/>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串通投标情形</w:t>
            </w:r>
          </w:p>
        </w:tc>
        <w:tc>
          <w:tcPr>
            <w:tcW w:w="5976" w:type="dxa"/>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不存在串通投标情形（串通投标情形以《广东省实施〈中华人民共和国招标投标法〉办法》第十六条规定的为准）。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7619" w:type="dxa"/>
            <w:gridSpan w:val="2"/>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商务文件响应性评审标准中“投标内容”、“勘察设计服务期限”、“质量标准”、“投标有效期”，以投标人在</w:t>
            </w:r>
            <w:r>
              <w:rPr>
                <w:rFonts w:hint="eastAsia" w:ascii="宋体" w:hAnsi="宋体" w:eastAsia="宋体" w:cs="宋体"/>
                <w:color w:val="auto"/>
                <w:szCs w:val="21"/>
                <w:highlight w:val="none"/>
                <w:u w:val="single"/>
                <w:lang w:val="en-US" w:eastAsia="zh-CN"/>
              </w:rPr>
              <w:t>投标函附录</w:t>
            </w:r>
            <w:r>
              <w:rPr>
                <w:rFonts w:hint="eastAsia" w:ascii="宋体" w:hAnsi="宋体" w:eastAsia="宋体" w:cs="宋体"/>
                <w:color w:val="auto"/>
                <w:szCs w:val="21"/>
                <w:highlight w:val="none"/>
                <w:u w:val="single"/>
              </w:rPr>
              <w:t>中的承诺为准。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87" w:type="dxa"/>
            <w:vMerge w:val="restar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2.1.3（2）</w:t>
            </w:r>
          </w:p>
        </w:tc>
        <w:tc>
          <w:tcPr>
            <w:tcW w:w="850" w:type="dxa"/>
            <w:vMerge w:val="restar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技术文件初步评审标准</w:t>
            </w:r>
          </w:p>
        </w:tc>
        <w:tc>
          <w:tcPr>
            <w:tcW w:w="1643" w:type="dxa"/>
            <w:vAlign w:val="center"/>
          </w:tcPr>
          <w:p>
            <w:pPr>
              <w:spacing w:line="276" w:lineRule="auto"/>
              <w:jc w:val="center"/>
              <w:rPr>
                <w:rFonts w:ascii="宋体" w:hAnsi="宋体" w:eastAsia="宋体" w:cs="宋体"/>
                <w:color w:val="auto"/>
                <w:szCs w:val="21"/>
                <w:highlight w:val="none"/>
                <w:u w:val="single"/>
              </w:rPr>
            </w:pPr>
            <w:r>
              <w:rPr>
                <w:rFonts w:hint="eastAsia" w:ascii="宋体" w:hAnsi="宋体" w:eastAsia="宋体" w:cs="Times New Roman"/>
                <w:color w:val="auto"/>
                <w:szCs w:val="20"/>
                <w:highlight w:val="none"/>
              </w:rPr>
              <w:t>编制要求</w:t>
            </w:r>
          </w:p>
        </w:tc>
        <w:tc>
          <w:tcPr>
            <w:tcW w:w="5976" w:type="dxa"/>
            <w:vAlign w:val="center"/>
          </w:tcPr>
          <w:p>
            <w:pPr>
              <w:wordWrap w:val="0"/>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未发现投标人在勘察设计方案内标注名称、印章、商标、图形等记认符号，使人辨认出投标人或其专业技术人员的身份。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未发现互相雷同和串通投标</w:t>
            </w:r>
          </w:p>
        </w:tc>
        <w:tc>
          <w:tcPr>
            <w:tcW w:w="5976" w:type="dxa"/>
            <w:vAlign w:val="center"/>
          </w:tcPr>
          <w:p>
            <w:pPr>
              <w:wordWrap w:val="0"/>
              <w:spacing w:line="276" w:lineRule="auto"/>
              <w:jc w:val="left"/>
              <w:rPr>
                <w:rFonts w:ascii="宋体" w:hAnsi="宋体" w:eastAsia="宋体" w:cs="宋体"/>
                <w:color w:val="auto"/>
                <w:szCs w:val="21"/>
                <w:highlight w:val="none"/>
                <w:u w:val="single"/>
              </w:rPr>
            </w:pPr>
            <w:r>
              <w:rPr>
                <w:rFonts w:hint="eastAsia" w:ascii="宋体" w:hAnsi="宋体" w:eastAsia="宋体" w:cs="Times New Roman"/>
                <w:color w:val="auto"/>
                <w:highlight w:val="none"/>
              </w:rPr>
              <w:t>满足左述要求。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未发现明显抄袭行为</w:t>
            </w:r>
          </w:p>
        </w:tc>
        <w:tc>
          <w:tcPr>
            <w:tcW w:w="5976" w:type="dxa"/>
            <w:vAlign w:val="center"/>
          </w:tcPr>
          <w:p>
            <w:pPr>
              <w:wordWrap w:val="0"/>
              <w:spacing w:line="276" w:lineRule="auto"/>
              <w:jc w:val="left"/>
              <w:rPr>
                <w:rFonts w:ascii="宋体" w:hAnsi="宋体" w:eastAsia="宋体" w:cs="宋体"/>
                <w:color w:val="auto"/>
                <w:szCs w:val="21"/>
                <w:highlight w:val="none"/>
                <w:u w:val="single"/>
              </w:rPr>
            </w:pPr>
            <w:r>
              <w:rPr>
                <w:rFonts w:hint="eastAsia" w:ascii="宋体" w:hAnsi="宋体" w:eastAsia="宋体" w:cs="Times New Roman"/>
                <w:color w:val="auto"/>
                <w:highlight w:val="none"/>
              </w:rPr>
              <w:t>满足左述要求。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87"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850" w:type="dxa"/>
            <w:vMerge w:val="continue"/>
            <w:vAlign w:val="center"/>
          </w:tcPr>
          <w:p>
            <w:pPr>
              <w:widowControl/>
              <w:wordWrap w:val="0"/>
              <w:spacing w:line="276" w:lineRule="auto"/>
              <w:jc w:val="left"/>
              <w:rPr>
                <w:rFonts w:ascii="宋体" w:hAnsi="宋体" w:eastAsia="宋体" w:cs="宋体"/>
                <w:color w:val="auto"/>
                <w:szCs w:val="21"/>
                <w:highlight w:val="none"/>
              </w:rPr>
            </w:pP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未发现侵犯他人著作权和特许权</w:t>
            </w:r>
          </w:p>
        </w:tc>
        <w:tc>
          <w:tcPr>
            <w:tcW w:w="5976" w:type="dxa"/>
            <w:vAlign w:val="center"/>
          </w:tcPr>
          <w:p>
            <w:pPr>
              <w:wordWrap w:val="0"/>
              <w:spacing w:line="276" w:lineRule="auto"/>
              <w:jc w:val="left"/>
              <w:rPr>
                <w:rFonts w:ascii="宋体" w:hAnsi="宋体" w:eastAsia="宋体" w:cs="宋体"/>
                <w:color w:val="auto"/>
                <w:szCs w:val="21"/>
                <w:highlight w:val="none"/>
                <w:u w:val="single"/>
              </w:rPr>
            </w:pPr>
            <w:r>
              <w:rPr>
                <w:rFonts w:hint="eastAsia" w:ascii="宋体" w:hAnsi="宋体" w:eastAsia="宋体" w:cs="Times New Roman"/>
                <w:color w:val="auto"/>
                <w:highlight w:val="none"/>
              </w:rPr>
              <w:t>满足左述要求。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条款号</w:t>
            </w:r>
          </w:p>
        </w:tc>
        <w:tc>
          <w:tcPr>
            <w:tcW w:w="1643" w:type="dxa"/>
            <w:vAlign w:val="center"/>
          </w:tcPr>
          <w:p>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条款内容</w:t>
            </w:r>
          </w:p>
        </w:tc>
        <w:tc>
          <w:tcPr>
            <w:tcW w:w="5976" w:type="dxa"/>
            <w:vAlign w:val="center"/>
          </w:tcPr>
          <w:p>
            <w:pPr>
              <w:wordWrap w:val="0"/>
              <w:spacing w:line="276"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分值构成</w:t>
            </w:r>
          </w:p>
        </w:tc>
        <w:tc>
          <w:tcPr>
            <w:tcW w:w="5976" w:type="dxa"/>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商务文件部分A：</w:t>
            </w:r>
            <w:r>
              <w:rPr>
                <w:rFonts w:hint="eastAsia" w:ascii="宋体" w:hAnsi="宋体" w:eastAsia="宋体" w:cs="宋体"/>
                <w:color w:val="auto"/>
                <w:szCs w:val="21"/>
                <w:highlight w:val="none"/>
                <w:u w:val="single"/>
              </w:rPr>
              <w:t>100</w:t>
            </w:r>
            <w:r>
              <w:rPr>
                <w:rFonts w:hint="eastAsia" w:ascii="宋体" w:hAnsi="宋体" w:eastAsia="宋体" w:cs="宋体"/>
                <w:color w:val="auto"/>
                <w:szCs w:val="21"/>
                <w:highlight w:val="none"/>
              </w:rPr>
              <w:t>分（权重30%）</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pacing w:val="-2"/>
                <w:szCs w:val="21"/>
                <w:highlight w:val="none"/>
              </w:rPr>
              <w:t>技术文件</w:t>
            </w:r>
            <w:r>
              <w:rPr>
                <w:rFonts w:hint="eastAsia" w:ascii="宋体" w:hAnsi="宋体" w:eastAsia="宋体" w:cs="宋体"/>
                <w:color w:val="auto"/>
                <w:szCs w:val="21"/>
                <w:highlight w:val="none"/>
              </w:rPr>
              <w:t>部分B：</w:t>
            </w:r>
            <w:r>
              <w:rPr>
                <w:rFonts w:hint="eastAsia" w:ascii="宋体" w:hAnsi="宋体" w:eastAsia="宋体" w:cs="宋体"/>
                <w:color w:val="auto"/>
                <w:szCs w:val="21"/>
                <w:highlight w:val="none"/>
                <w:u w:val="single"/>
              </w:rPr>
              <w:t>100</w:t>
            </w:r>
            <w:r>
              <w:rPr>
                <w:rFonts w:hint="eastAsia" w:ascii="宋体" w:hAnsi="宋体" w:eastAsia="宋体" w:cs="宋体"/>
                <w:color w:val="auto"/>
                <w:szCs w:val="21"/>
                <w:highlight w:val="none"/>
              </w:rPr>
              <w:t>分（权重60%）</w:t>
            </w:r>
          </w:p>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投标报价C：</w:t>
            </w:r>
            <w:r>
              <w:rPr>
                <w:rFonts w:hint="eastAsia" w:ascii="宋体" w:hAnsi="宋体" w:eastAsia="宋体" w:cs="宋体"/>
                <w:color w:val="auto"/>
                <w:szCs w:val="21"/>
                <w:highlight w:val="none"/>
                <w:u w:val="single"/>
              </w:rPr>
              <w:t>100</w:t>
            </w:r>
            <w:r>
              <w:rPr>
                <w:rFonts w:hint="eastAsia" w:ascii="宋体" w:hAnsi="宋体" w:eastAsia="宋体" w:cs="宋体"/>
                <w:color w:val="auto"/>
                <w:szCs w:val="21"/>
                <w:highlight w:val="none"/>
              </w:rPr>
              <w:t>分（权重10%）</w:t>
            </w:r>
          </w:p>
          <w:p>
            <w:pPr>
              <w:wordWrap w:val="0"/>
              <w:spacing w:line="276" w:lineRule="auto"/>
              <w:rPr>
                <w:rFonts w:ascii="宋体" w:hAnsi="宋体" w:eastAsia="宋体" w:cs="Times New Roman"/>
                <w:b/>
                <w:color w:val="auto"/>
                <w:szCs w:val="21"/>
                <w:highlight w:val="none"/>
                <w:u w:val="single"/>
              </w:rPr>
            </w:pPr>
            <w:r>
              <w:rPr>
                <w:rFonts w:hint="eastAsia" w:ascii="宋体" w:hAnsi="宋体" w:eastAsia="宋体" w:cs="Times New Roman"/>
                <w:bCs/>
                <w:color w:val="auto"/>
                <w:szCs w:val="21"/>
                <w:highlight w:val="none"/>
              </w:rPr>
              <w:t>其他评分因素（信用评价得分）D：</w:t>
            </w:r>
            <w:r>
              <w:rPr>
                <w:rFonts w:hint="eastAsia" w:ascii="宋体" w:hAnsi="宋体" w:eastAsia="宋体" w:cs="Times New Roman"/>
                <w:bCs/>
                <w:color w:val="auto"/>
                <w:szCs w:val="21"/>
                <w:highlight w:val="none"/>
                <w:u w:val="single"/>
              </w:rPr>
              <w:t>/</w:t>
            </w:r>
          </w:p>
          <w:p>
            <w:pPr>
              <w:wordWrap w:val="0"/>
              <w:spacing w:line="276" w:lineRule="auto"/>
              <w:rPr>
                <w:rFonts w:ascii="宋体" w:hAnsi="宋体" w:eastAsia="宋体" w:cs="Times New Roman"/>
                <w:b/>
                <w:color w:val="auto"/>
                <w:szCs w:val="21"/>
                <w:highlight w:val="none"/>
                <w:u w:val="single"/>
              </w:rPr>
            </w:pPr>
            <w:r>
              <w:rPr>
                <w:rFonts w:hint="eastAsia" w:ascii="宋体" w:hAnsi="宋体" w:eastAsia="宋体" w:cs="Times New Roman"/>
                <w:b/>
                <w:color w:val="auto"/>
                <w:szCs w:val="21"/>
                <w:highlight w:val="none"/>
                <w:u w:val="single"/>
              </w:rPr>
              <w:t>投标人总得分</w:t>
            </w:r>
            <w:r>
              <w:rPr>
                <w:rFonts w:ascii="宋体" w:hAnsi="宋体" w:eastAsia="宋体" w:cs="Times New Roman"/>
                <w:b/>
                <w:color w:val="auto"/>
                <w:szCs w:val="21"/>
                <w:highlight w:val="none"/>
                <w:u w:val="single"/>
              </w:rPr>
              <w:t>=A×30%+B×60%+C×10%。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评标基准价计算方法</w:t>
            </w:r>
          </w:p>
        </w:tc>
        <w:tc>
          <w:tcPr>
            <w:tcW w:w="5976" w:type="dxa"/>
            <w:vAlign w:val="center"/>
          </w:tcPr>
          <w:p>
            <w:pPr>
              <w:wordWrap w:val="0"/>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当位于最高投标限价的[90%，100%]的有效投标人大于或等于5名时，去掉该区间内一个最高价和一个最低价，取该区间内余下投标价的算术平均值作为评标基准价。当位于最高投标限价的[90%，100%]的有效投标人小于5名时，取所有该区间内的有效投标价的算术平均值作为评标基准价；若无报价位于该区间内，则以最高投标限价的90%作为评标基准价。（有效投标人为通过本章第2.1款初步评审的投标人）</w:t>
            </w:r>
            <w:r>
              <w:rPr>
                <w:rFonts w:hint="eastAsia" w:ascii="宋体" w:hAnsi="宋体" w:eastAsia="宋体" w:cs="宋体"/>
                <w:color w:val="auto"/>
                <w:szCs w:val="21"/>
                <w:highlight w:val="none"/>
                <w:u w:val="single"/>
              </w:rPr>
              <w:t>评标基准价保留</w:t>
            </w:r>
            <w:r>
              <w:rPr>
                <w:rFonts w:hint="eastAsia" w:ascii="宋体" w:hAnsi="宋体" w:eastAsia="宋体" w:cs="宋体"/>
                <w:color w:val="auto"/>
                <w:szCs w:val="21"/>
                <w:highlight w:val="none"/>
                <w:u w:val="single"/>
                <w:lang w:val="en-US" w:eastAsia="zh-CN"/>
              </w:rPr>
              <w:t>至</w:t>
            </w:r>
            <w:r>
              <w:rPr>
                <w:rFonts w:hint="eastAsia" w:ascii="宋体" w:hAnsi="宋体" w:eastAsia="宋体" w:cs="宋体"/>
                <w:color w:val="auto"/>
                <w:szCs w:val="21"/>
                <w:highlight w:val="none"/>
                <w:u w:val="single"/>
              </w:rPr>
              <w:t>小数点后二位，第三位小数四舍五入。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2.2.3</w:t>
            </w: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投标报价的偏差率</w:t>
            </w:r>
          </w:p>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计算公式</w:t>
            </w:r>
          </w:p>
        </w:tc>
        <w:tc>
          <w:tcPr>
            <w:tcW w:w="5976" w:type="dxa"/>
            <w:vAlign w:val="center"/>
          </w:tcPr>
          <w:p>
            <w:pPr>
              <w:wordWrap w:val="0"/>
              <w:spacing w:line="276" w:lineRule="auto"/>
              <w:rPr>
                <w:rFonts w:ascii="宋体" w:hAnsi="宋体" w:eastAsia="宋体" w:cs="宋体"/>
                <w:b/>
                <w:bCs/>
                <w:color w:val="auto"/>
                <w:szCs w:val="21"/>
                <w:highlight w:val="none"/>
                <w:u w:val="single"/>
              </w:rPr>
            </w:pPr>
            <w:r>
              <w:rPr>
                <w:rFonts w:hint="eastAsia" w:ascii="宋体" w:hAnsi="宋体" w:eastAsia="宋体" w:cs="宋体"/>
                <w:color w:val="auto"/>
                <w:szCs w:val="21"/>
                <w:highlight w:val="none"/>
              </w:rPr>
              <w:t>投标报价偏差率=（投标报价-评标基准价）/评标基准价×100%。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2.2.4（1）</w:t>
            </w: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商务文件评分标准</w:t>
            </w:r>
          </w:p>
        </w:tc>
        <w:tc>
          <w:tcPr>
            <w:tcW w:w="5976" w:type="dxa"/>
            <w:vAlign w:val="center"/>
          </w:tcPr>
          <w:p>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2.2.4（2）</w:t>
            </w:r>
          </w:p>
        </w:tc>
        <w:tc>
          <w:tcPr>
            <w:tcW w:w="1643" w:type="dxa"/>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技术文件评分标准</w:t>
            </w:r>
          </w:p>
        </w:tc>
        <w:tc>
          <w:tcPr>
            <w:tcW w:w="5976" w:type="dxa"/>
            <w:vAlign w:val="center"/>
          </w:tcPr>
          <w:p>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rPr>
              <w:t>详见附件二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37" w:type="dxa"/>
            <w:gridSpan w:val="2"/>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2.2.4（3）</w:t>
            </w:r>
          </w:p>
        </w:tc>
        <w:tc>
          <w:tcPr>
            <w:tcW w:w="1643" w:type="dxa"/>
            <w:vAlign w:val="center"/>
          </w:tcPr>
          <w:p>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rPr>
              <w:t>投标报价评分标准</w:t>
            </w:r>
          </w:p>
        </w:tc>
        <w:tc>
          <w:tcPr>
            <w:tcW w:w="5976" w:type="dxa"/>
            <w:vAlign w:val="center"/>
          </w:tcPr>
          <w:p>
            <w:pPr>
              <w:wordWrap w:val="0"/>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以评标基准价作为计算各有效投标人报价得分的基础，当投标报价等于评标基准价时得100分，投标报价与评标基准价之差，每上偏1%扣0.</w:t>
            </w:r>
            <w:r>
              <w:rPr>
                <w:rFonts w:ascii="宋体" w:hAnsi="宋体" w:eastAsia="宋体" w:cs="宋体"/>
                <w:color w:val="auto"/>
                <w:szCs w:val="21"/>
                <w:highlight w:val="none"/>
                <w:u w:val="single"/>
              </w:rPr>
              <w:t>5</w:t>
            </w:r>
            <w:r>
              <w:rPr>
                <w:rFonts w:hint="eastAsia" w:ascii="宋体" w:hAnsi="宋体" w:eastAsia="宋体" w:cs="宋体"/>
                <w:color w:val="auto"/>
                <w:szCs w:val="21"/>
                <w:highlight w:val="none"/>
                <w:u w:val="single"/>
              </w:rPr>
              <w:t>分，下偏1%扣0.</w:t>
            </w:r>
            <w:r>
              <w:rPr>
                <w:rFonts w:ascii="宋体" w:hAnsi="宋体" w:eastAsia="宋体" w:cs="宋体"/>
                <w:color w:val="auto"/>
                <w:szCs w:val="21"/>
                <w:highlight w:val="none"/>
                <w:u w:val="single"/>
              </w:rPr>
              <w:t>3</w:t>
            </w:r>
            <w:r>
              <w:rPr>
                <w:rFonts w:hint="eastAsia" w:ascii="宋体" w:hAnsi="宋体" w:eastAsia="宋体" w:cs="宋体"/>
                <w:color w:val="auto"/>
                <w:szCs w:val="21"/>
                <w:highlight w:val="none"/>
                <w:u w:val="single"/>
              </w:rPr>
              <w:t>分，扣至</w:t>
            </w:r>
            <w:r>
              <w:rPr>
                <w:rFonts w:ascii="宋体" w:hAnsi="宋体" w:eastAsia="宋体" w:cs="宋体"/>
                <w:color w:val="auto"/>
                <w:szCs w:val="21"/>
                <w:highlight w:val="none"/>
                <w:u w:val="single"/>
              </w:rPr>
              <w:t>0分为止。</w:t>
            </w:r>
          </w:p>
        </w:tc>
      </w:tr>
    </w:tbl>
    <w:p>
      <w:pPr>
        <w:wordWrap w:val="0"/>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 </w:t>
      </w: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sectPr>
          <w:type w:val="continuous"/>
          <w:pgSz w:w="11905" w:h="16838"/>
          <w:pgMar w:top="1474" w:right="1701" w:bottom="1474" w:left="1701" w:header="720" w:footer="720" w:gutter="0"/>
          <w:cols w:space="720" w:num="1"/>
        </w:sectPr>
      </w:pPr>
    </w:p>
    <w:p>
      <w:pPr>
        <w:wordWrap w:val="0"/>
        <w:autoSpaceDE w:val="0"/>
        <w:autoSpaceDN w:val="0"/>
        <w:spacing w:line="276" w:lineRule="auto"/>
        <w:jc w:val="left"/>
        <w:outlineLvl w:val="3"/>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附件一：</w:t>
      </w: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商务文件综合评分表</w:t>
      </w:r>
    </w:p>
    <w:p>
      <w:pPr>
        <w:pStyle w:val="2"/>
        <w:spacing w:line="360" w:lineRule="auto"/>
        <w:rPr>
          <w:rFonts w:hint="eastAsia" w:hAnsi="宋体" w:cs="宋体"/>
          <w:color w:val="auto"/>
          <w:highlight w:val="none"/>
        </w:rPr>
      </w:pPr>
    </w:p>
    <w:tbl>
      <w:tblPr>
        <w:tblStyle w:val="45"/>
        <w:tblW w:w="1373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8"/>
        <w:gridCol w:w="1077"/>
        <w:gridCol w:w="647"/>
        <w:gridCol w:w="113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9" w:hRule="atLeast"/>
          <w:jc w:val="center"/>
        </w:trPr>
        <w:tc>
          <w:tcPr>
            <w:tcW w:w="638" w:type="dxa"/>
            <w:vMerge w:val="restart"/>
            <w:vAlign w:val="center"/>
          </w:tcPr>
          <w:p>
            <w:pPr>
              <w:pStyle w:val="158"/>
              <w:keepNext w:val="0"/>
              <w:keepLines w:val="0"/>
              <w:pageBreakBefore w:val="0"/>
              <w:widowControl w:val="0"/>
              <w:kinsoku/>
              <w:wordWrap/>
              <w:overflowPunct/>
              <w:topLinePunct w:val="0"/>
              <w:bidi w:val="0"/>
              <w:adjustRightInd/>
              <w:snapToGrid w:val="0"/>
              <w:spacing w:line="360" w:lineRule="auto"/>
              <w:ind w:left="-2" w:leftChars="-1"/>
              <w:jc w:val="center"/>
              <w:textAlignment w:val="auto"/>
              <w:rPr>
                <w:rFonts w:hint="eastAsia" w:ascii="宋体" w:hAnsi="宋体" w:eastAsia="宋体" w:cs="宋体"/>
                <w:color w:val="auto"/>
                <w:sz w:val="20"/>
                <w:highlight w:val="none"/>
              </w:rPr>
            </w:pPr>
            <w:r>
              <w:rPr>
                <w:rFonts w:hint="eastAsia" w:ascii="宋体" w:hAnsi="宋体" w:eastAsia="宋体" w:cs="宋体"/>
                <w:color w:val="auto"/>
                <w:sz w:val="20"/>
                <w:highlight w:val="none"/>
              </w:rPr>
              <w:t>序号</w:t>
            </w:r>
          </w:p>
        </w:tc>
        <w:tc>
          <w:tcPr>
            <w:tcW w:w="1077" w:type="dxa"/>
            <w:vMerge w:val="restart"/>
            <w:vAlign w:val="center"/>
          </w:tcPr>
          <w:p>
            <w:pPr>
              <w:pStyle w:val="158"/>
              <w:keepNext w:val="0"/>
              <w:keepLines w:val="0"/>
              <w:pageBreakBefore w:val="0"/>
              <w:widowControl w:val="0"/>
              <w:kinsoku/>
              <w:wordWrap/>
              <w:overflowPunct/>
              <w:topLinePunct w:val="0"/>
              <w:bidi w:val="0"/>
              <w:adjustRightInd/>
              <w:snapToGrid w:val="0"/>
              <w:spacing w:line="360" w:lineRule="auto"/>
              <w:ind w:left="-2" w:leftChars="-1"/>
              <w:jc w:val="center"/>
              <w:textAlignment w:val="auto"/>
              <w:rPr>
                <w:rFonts w:hint="eastAsia" w:ascii="宋体" w:hAnsi="宋体" w:eastAsia="宋体" w:cs="宋体"/>
                <w:color w:val="auto"/>
                <w:sz w:val="20"/>
                <w:highlight w:val="none"/>
              </w:rPr>
            </w:pPr>
            <w:r>
              <w:rPr>
                <w:rFonts w:hint="eastAsia" w:ascii="宋体" w:hAnsi="宋体" w:eastAsia="宋体" w:cs="宋体"/>
                <w:color w:val="auto"/>
                <w:sz w:val="20"/>
                <w:highlight w:val="none"/>
              </w:rPr>
              <w:t>项目</w:t>
            </w:r>
          </w:p>
        </w:tc>
        <w:tc>
          <w:tcPr>
            <w:tcW w:w="647" w:type="dxa"/>
            <w:vMerge w:val="restart"/>
            <w:vAlign w:val="center"/>
          </w:tcPr>
          <w:p>
            <w:pPr>
              <w:pStyle w:val="158"/>
              <w:keepNext w:val="0"/>
              <w:keepLines w:val="0"/>
              <w:pageBreakBefore w:val="0"/>
              <w:widowControl w:val="0"/>
              <w:kinsoku/>
              <w:wordWrap/>
              <w:overflowPunct/>
              <w:topLinePunct w:val="0"/>
              <w:bidi w:val="0"/>
              <w:adjustRightInd/>
              <w:snapToGrid w:val="0"/>
              <w:spacing w:line="360" w:lineRule="auto"/>
              <w:ind w:left="-2" w:leftChars="-1"/>
              <w:jc w:val="center"/>
              <w:textAlignment w:val="auto"/>
              <w:rPr>
                <w:rFonts w:hint="eastAsia" w:ascii="宋体" w:hAnsi="宋体" w:eastAsia="宋体" w:cs="宋体"/>
                <w:color w:val="auto"/>
                <w:sz w:val="20"/>
                <w:highlight w:val="none"/>
              </w:rPr>
            </w:pPr>
            <w:r>
              <w:rPr>
                <w:rFonts w:hint="eastAsia" w:ascii="宋体" w:hAnsi="宋体" w:eastAsia="宋体" w:cs="宋体"/>
                <w:color w:val="auto"/>
                <w:sz w:val="20"/>
                <w:highlight w:val="none"/>
              </w:rPr>
              <w:t>分数</w:t>
            </w:r>
          </w:p>
        </w:tc>
        <w:tc>
          <w:tcPr>
            <w:tcW w:w="11374" w:type="dxa"/>
            <w:vMerge w:val="restart"/>
            <w:vAlign w:val="center"/>
          </w:tcPr>
          <w:p>
            <w:pPr>
              <w:pStyle w:val="158"/>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highlight w:val="none"/>
              </w:rPr>
            </w:pPr>
            <w:r>
              <w:rPr>
                <w:rFonts w:hint="eastAsia" w:ascii="宋体" w:hAnsi="宋体" w:eastAsia="宋体" w:cs="宋体"/>
                <w:color w:val="auto"/>
                <w:sz w:val="20"/>
                <w:highlight w:val="none"/>
              </w:rPr>
              <w:t>评 分 说 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638" w:type="dxa"/>
            <w:vMerge w:val="continue"/>
            <w:vAlign w:val="center"/>
          </w:tcPr>
          <w:p>
            <w:pPr>
              <w:pStyle w:val="158"/>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highlight w:val="none"/>
              </w:rPr>
            </w:pPr>
          </w:p>
        </w:tc>
        <w:tc>
          <w:tcPr>
            <w:tcW w:w="1077" w:type="dxa"/>
            <w:vMerge w:val="continue"/>
            <w:vAlign w:val="center"/>
          </w:tcPr>
          <w:p>
            <w:pPr>
              <w:pStyle w:val="158"/>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highlight w:val="none"/>
              </w:rPr>
            </w:pPr>
          </w:p>
        </w:tc>
        <w:tc>
          <w:tcPr>
            <w:tcW w:w="647" w:type="dxa"/>
            <w:vMerge w:val="continue"/>
            <w:vAlign w:val="center"/>
          </w:tcPr>
          <w:p>
            <w:pPr>
              <w:pStyle w:val="158"/>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highlight w:val="none"/>
              </w:rPr>
            </w:pPr>
          </w:p>
        </w:tc>
        <w:tc>
          <w:tcPr>
            <w:tcW w:w="11374" w:type="dxa"/>
            <w:vMerge w:val="continue"/>
            <w:vAlign w:val="center"/>
          </w:tcPr>
          <w:p>
            <w:pPr>
              <w:pStyle w:val="158"/>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38" w:type="dxa"/>
            <w:vAlign w:val="center"/>
          </w:tcPr>
          <w:p>
            <w:pPr>
              <w:pStyle w:val="158"/>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highlight w:val="none"/>
              </w:rPr>
            </w:pPr>
            <w:r>
              <w:rPr>
                <w:rFonts w:hint="eastAsia" w:ascii="宋体" w:hAnsi="宋体" w:eastAsia="宋体" w:cs="宋体"/>
                <w:color w:val="auto"/>
                <w:sz w:val="20"/>
                <w:highlight w:val="none"/>
              </w:rPr>
              <w:t>一</w:t>
            </w:r>
          </w:p>
        </w:tc>
        <w:tc>
          <w:tcPr>
            <w:tcW w:w="1077" w:type="dxa"/>
            <w:vAlign w:val="center"/>
          </w:tcPr>
          <w:p>
            <w:pPr>
              <w:pStyle w:val="156"/>
              <w:keepNext w:val="0"/>
              <w:keepLines w:val="0"/>
              <w:pageBreakBefore w:val="0"/>
              <w:widowControl w:val="0"/>
              <w:kinsoku/>
              <w:wordWrap/>
              <w:overflowPunct/>
              <w:topLinePunct w:val="0"/>
              <w:bidi w:val="0"/>
              <w:adjustRightInd/>
              <w:spacing w:line="360" w:lineRule="auto"/>
              <w:jc w:val="center"/>
              <w:textAlignment w:val="auto"/>
              <w:rPr>
                <w:rFonts w:hint="eastAsia" w:ascii="宋体" w:hAnsi="宋体" w:cs="宋体"/>
                <w:color w:val="auto"/>
                <w:sz w:val="20"/>
                <w:highlight w:val="none"/>
              </w:rPr>
            </w:pPr>
            <w:r>
              <w:rPr>
                <w:rFonts w:hint="eastAsia" w:ascii="宋体" w:hAnsi="宋体" w:cs="宋体"/>
                <w:color w:val="auto"/>
                <w:szCs w:val="21"/>
                <w:highlight w:val="none"/>
                <w:lang w:val="zh-CN"/>
              </w:rPr>
              <w:t>企业类似业绩</w:t>
            </w:r>
          </w:p>
        </w:tc>
        <w:tc>
          <w:tcPr>
            <w:tcW w:w="647" w:type="dxa"/>
            <w:vAlign w:val="center"/>
          </w:tcPr>
          <w:p>
            <w:pPr>
              <w:pStyle w:val="156"/>
              <w:keepNext w:val="0"/>
              <w:keepLines w:val="0"/>
              <w:pageBreakBefore w:val="0"/>
              <w:widowControl w:val="0"/>
              <w:kinsoku/>
              <w:wordWrap/>
              <w:overflowPunct/>
              <w:topLinePunct w:val="0"/>
              <w:bidi w:val="0"/>
              <w:adjustRightInd/>
              <w:spacing w:line="360" w:lineRule="auto"/>
              <w:jc w:val="center"/>
              <w:textAlignment w:val="auto"/>
              <w:rPr>
                <w:rFonts w:hint="eastAsia" w:ascii="宋体" w:hAnsi="宋体" w:cs="宋体"/>
                <w:color w:val="auto"/>
                <w:sz w:val="20"/>
                <w:highlight w:val="none"/>
              </w:rPr>
            </w:pPr>
            <w:r>
              <w:rPr>
                <w:rFonts w:hint="eastAsia" w:ascii="宋体" w:hAnsi="宋体" w:cs="宋体"/>
                <w:color w:val="auto"/>
                <w:szCs w:val="21"/>
                <w:highlight w:val="none"/>
              </w:rPr>
              <w:t>30</w:t>
            </w:r>
          </w:p>
        </w:tc>
        <w:tc>
          <w:tcPr>
            <w:tcW w:w="11374" w:type="dxa"/>
            <w:vAlign w:val="center"/>
          </w:tcPr>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投标人自2022年1月1日至投标截止时间止，完成过建安工程费大于或等于1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val="zh-CN"/>
              </w:rPr>
              <w:t>000万元的市政公用工程项目</w:t>
            </w:r>
            <w:r>
              <w:rPr>
                <w:rFonts w:hint="eastAsia" w:ascii="宋体" w:hAnsi="宋体" w:eastAsia="宋体" w:cs="宋体"/>
                <w:color w:val="auto"/>
                <w:szCs w:val="21"/>
                <w:highlight w:val="none"/>
                <w:lang w:val="en-US" w:eastAsia="zh-CN"/>
              </w:rPr>
              <w:t>勘察</w:t>
            </w:r>
            <w:r>
              <w:rPr>
                <w:rFonts w:hint="eastAsia" w:ascii="宋体" w:hAnsi="宋体" w:eastAsia="宋体" w:cs="宋体"/>
                <w:color w:val="auto"/>
                <w:szCs w:val="21"/>
                <w:highlight w:val="none"/>
                <w:lang w:val="zh-CN"/>
              </w:rPr>
              <w:t>业绩，每项得</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lang w:val="zh-CN"/>
              </w:rPr>
              <w:t>分。本项最多得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分。</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投标人自2022年1月1日至</w:t>
            </w:r>
            <w:r>
              <w:rPr>
                <w:rFonts w:hint="eastAsia" w:ascii="宋体" w:hAnsi="宋体" w:eastAsia="宋体" w:cs="宋体"/>
                <w:color w:val="auto"/>
                <w:szCs w:val="21"/>
                <w:highlight w:val="none"/>
                <w:lang w:val="zh-CN"/>
              </w:rPr>
              <w:t>投标截止时间止</w:t>
            </w:r>
            <w:r>
              <w:rPr>
                <w:rFonts w:hint="eastAsia" w:ascii="宋体" w:hAnsi="宋体" w:eastAsia="宋体" w:cs="宋体"/>
                <w:color w:val="auto"/>
                <w:szCs w:val="21"/>
                <w:highlight w:val="none"/>
                <w:lang w:val="zh-CN"/>
              </w:rPr>
              <w:t>，完成过建安工程费大于或等于1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val="zh-CN"/>
              </w:rPr>
              <w:t>000万元的</w:t>
            </w:r>
            <w:r>
              <w:rPr>
                <w:rFonts w:hint="eastAsia" w:ascii="宋体" w:hAnsi="宋体" w:eastAsia="宋体" w:cs="宋体"/>
                <w:color w:val="auto"/>
                <w:szCs w:val="21"/>
                <w:highlight w:val="none"/>
                <w:lang w:val="zh-CN"/>
              </w:rPr>
              <w:t>市政公用工程</w:t>
            </w:r>
            <w:r>
              <w:rPr>
                <w:rFonts w:hint="eastAsia" w:ascii="宋体" w:hAnsi="宋体" w:eastAsia="宋体" w:cs="宋体"/>
                <w:color w:val="auto"/>
                <w:szCs w:val="21"/>
                <w:highlight w:val="none"/>
                <w:lang w:val="zh-CN"/>
              </w:rPr>
              <w:t>项目设计业绩，每项得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分。本项最多得</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lang w:val="zh-CN"/>
              </w:rPr>
              <w:t>分。</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注：</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勘察业绩需同时提供</w:t>
            </w:r>
            <w:r>
              <w:rPr>
                <w:rFonts w:hint="eastAsia" w:ascii="宋体" w:hAnsi="宋体" w:eastAsia="宋体" w:cs="宋体"/>
                <w:color w:val="auto"/>
                <w:szCs w:val="21"/>
                <w:highlight w:val="none"/>
                <w:lang w:val="zh-CN"/>
              </w:rPr>
              <w:t>①合同文本关键页、②中标通知书（或免招标证明文件）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时间以合同签订时间为准，如合同无法体现时间则以中标通知书为准。</w:t>
            </w:r>
            <w:r>
              <w:rPr>
                <w:rFonts w:hint="eastAsia" w:ascii="宋体" w:hAnsi="宋体" w:eastAsia="宋体" w:cs="宋体"/>
                <w:color w:val="auto"/>
                <w:szCs w:val="21"/>
                <w:highlight w:val="none"/>
              </w:rPr>
              <w:t>如以上资料不能证明业绩规模或技术指标的，须另提供业主盖章的业绩证明或可证明业绩规模或技术指标的其他资料扫描件。</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（同一项目含设计和勘察的按分别满足上述要求各计算一次类似设计业绩和类似勘察业绩）。</w:t>
            </w:r>
          </w:p>
          <w:p>
            <w:pPr>
              <w:keepNext w:val="0"/>
              <w:keepLines w:val="0"/>
              <w:pageBreakBefore w:val="0"/>
              <w:widowControl w:val="0"/>
              <w:numPr>
                <w:ilvl w:val="0"/>
                <w:numId w:val="0"/>
              </w:numPr>
              <w:kinsoku/>
              <w:wordWrap/>
              <w:overflowPunct/>
              <w:topLinePunct w:val="0"/>
              <w:autoSpaceDE w:val="0"/>
              <w:autoSpaceDN w:val="0"/>
              <w:bidi w:val="0"/>
              <w:adjustRightInd/>
              <w:spacing w:line="360" w:lineRule="auto"/>
              <w:textAlignment w:val="auto"/>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zh-CN" w:eastAsia="zh-CN" w:bidi="ar-SA"/>
              </w:rPr>
              <w:t>2、</w:t>
            </w:r>
            <w:r>
              <w:rPr>
                <w:rFonts w:hint="eastAsia" w:ascii="宋体" w:hAnsi="宋体" w:eastAsia="宋体" w:cs="宋体"/>
                <w:color w:val="auto"/>
                <w:szCs w:val="21"/>
                <w:highlight w:val="none"/>
                <w:lang w:val="en-US" w:eastAsia="zh-CN"/>
              </w:rPr>
              <w:t>设计</w:t>
            </w:r>
            <w:r>
              <w:rPr>
                <w:rFonts w:hint="eastAsia" w:ascii="宋体" w:hAnsi="宋体" w:eastAsia="宋体" w:cs="宋体"/>
                <w:color w:val="auto"/>
                <w:szCs w:val="21"/>
                <w:highlight w:val="none"/>
                <w:lang w:val="zh-CN"/>
              </w:rPr>
              <w:t>业绩须同时提供①合同文本关键页、②中标通知书（或免招标证明文件）和③初步设计批复（或审查证明）或施工图审查合格书（或备案证明）扫描件。时间以合同签订时间为准，如合同无法体现时间则以中标通知书为准。如以上资料不能证明业绩规模或技术指标的，须另提供业主盖章的业绩证明或可证明业绩规模或技术指标的其他资料扫描件。</w:t>
            </w:r>
          </w:p>
          <w:p>
            <w:pPr>
              <w:keepNext w:val="0"/>
              <w:keepLines w:val="0"/>
              <w:pageBreakBefore w:val="0"/>
              <w:widowControl w:val="0"/>
              <w:numPr>
                <w:ilvl w:val="0"/>
                <w:numId w:val="0"/>
              </w:numPr>
              <w:kinsoku/>
              <w:wordWrap/>
              <w:overflowPunct/>
              <w:topLinePunct w:val="0"/>
              <w:autoSpaceDE w:val="0"/>
              <w:autoSpaceDN w:val="0"/>
              <w:bidi w:val="0"/>
              <w:adjustRightInd/>
              <w:spacing w:line="360" w:lineRule="auto"/>
              <w:textAlignment w:val="auto"/>
              <w:rPr>
                <w:rFonts w:hint="eastAsia" w:ascii="宋体" w:hAnsi="宋体" w:eastAsia="宋体" w:cs="宋体"/>
                <w:strike/>
                <w:color w:val="auto"/>
                <w:sz w:val="20"/>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同一项目</w:t>
            </w:r>
            <w:r>
              <w:rPr>
                <w:rFonts w:hint="eastAsia" w:ascii="宋体" w:hAnsi="宋体" w:eastAsia="宋体" w:cs="宋体"/>
                <w:color w:val="auto"/>
                <w:szCs w:val="21"/>
                <w:highlight w:val="none"/>
                <w:lang w:val="en-US" w:eastAsia="zh-CN"/>
              </w:rPr>
              <w:t>同时</w:t>
            </w:r>
            <w:r>
              <w:rPr>
                <w:rFonts w:hint="eastAsia" w:ascii="宋体" w:hAnsi="宋体" w:eastAsia="宋体" w:cs="宋体"/>
                <w:color w:val="auto"/>
                <w:szCs w:val="21"/>
                <w:highlight w:val="none"/>
              </w:rPr>
              <w:t>含设计和勘察的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分别按满足上述要求各计算一次类似勘察业绩和类似设计业绩。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638" w:type="dxa"/>
            <w:vAlign w:val="center"/>
          </w:tcPr>
          <w:p>
            <w:pPr>
              <w:pStyle w:val="158"/>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highlight w:val="none"/>
              </w:rPr>
            </w:pPr>
            <w:r>
              <w:rPr>
                <w:rFonts w:hint="eastAsia" w:ascii="宋体" w:hAnsi="宋体" w:eastAsia="宋体" w:cs="宋体"/>
                <w:color w:val="auto"/>
                <w:sz w:val="20"/>
                <w:highlight w:val="none"/>
              </w:rPr>
              <w:t>二</w:t>
            </w:r>
          </w:p>
        </w:tc>
        <w:tc>
          <w:tcPr>
            <w:tcW w:w="1077" w:type="dxa"/>
            <w:vAlign w:val="center"/>
          </w:tcPr>
          <w:p>
            <w:pPr>
              <w:pStyle w:val="2"/>
              <w:keepNext w:val="0"/>
              <w:keepLines w:val="0"/>
              <w:pageBreakBefore w:val="0"/>
              <w:widowControl w:val="0"/>
              <w:kinsoku/>
              <w:wordWrap/>
              <w:overflowPunct/>
              <w:topLinePunct w:val="0"/>
              <w:bidi w:val="0"/>
              <w:adjustRightInd/>
              <w:spacing w:line="360" w:lineRule="auto"/>
              <w:jc w:val="center"/>
              <w:textAlignment w:val="auto"/>
              <w:rPr>
                <w:rFonts w:hint="eastAsia" w:hAnsi="宋体" w:cs="宋体"/>
                <w:color w:val="auto"/>
                <w:sz w:val="21"/>
                <w:szCs w:val="21"/>
                <w:highlight w:val="none"/>
                <w:lang w:val="zh-CN"/>
              </w:rPr>
            </w:pPr>
            <w:r>
              <w:rPr>
                <w:rFonts w:hint="eastAsia" w:hAnsi="宋体" w:cs="宋体"/>
                <w:color w:val="auto"/>
                <w:sz w:val="21"/>
                <w:szCs w:val="21"/>
                <w:highlight w:val="none"/>
                <w:lang w:val="zh-CN"/>
              </w:rPr>
              <w:t>企业业绩获奖</w:t>
            </w:r>
          </w:p>
        </w:tc>
        <w:tc>
          <w:tcPr>
            <w:tcW w:w="647" w:type="dxa"/>
            <w:vAlign w:val="center"/>
          </w:tcPr>
          <w:p>
            <w:pPr>
              <w:pStyle w:val="2"/>
              <w:keepNext w:val="0"/>
              <w:keepLines w:val="0"/>
              <w:pageBreakBefore w:val="0"/>
              <w:widowControl w:val="0"/>
              <w:kinsoku/>
              <w:wordWrap/>
              <w:overflowPunct/>
              <w:topLinePunct w:val="0"/>
              <w:bidi w:val="0"/>
              <w:adjustRightInd/>
              <w:spacing w:line="360" w:lineRule="auto"/>
              <w:jc w:val="center"/>
              <w:textAlignment w:val="auto"/>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25</w:t>
            </w:r>
          </w:p>
        </w:tc>
        <w:tc>
          <w:tcPr>
            <w:tcW w:w="11374" w:type="dxa"/>
            <w:tcBorders>
              <w:bottom w:val="single" w:color="auto" w:sz="4" w:space="0"/>
            </w:tcBorders>
            <w:vAlign w:val="center"/>
          </w:tcPr>
          <w:p>
            <w:pPr>
              <w:pStyle w:val="8"/>
              <w:keepNext w:val="0"/>
              <w:keepLines w:val="0"/>
              <w:pageBreakBefore w:val="0"/>
              <w:widowControl w:val="0"/>
              <w:numPr>
                <w:ilvl w:val="-1"/>
                <w:numId w:val="0"/>
              </w:numPr>
              <w:kinsoku/>
              <w:wordWrap/>
              <w:overflowPunct/>
              <w:topLinePunct w:val="0"/>
              <w:bidi w:val="0"/>
              <w:adjustRightInd/>
              <w:spacing w:line="360" w:lineRule="auto"/>
              <w:ind w:left="-2" w:leftChars="-1" w:firstLine="0" w:firstLineChars="0"/>
              <w:textAlignment w:val="auto"/>
              <w:rPr>
                <w:rFonts w:hint="eastAsia" w:ascii="宋体" w:hAnsi="宋体" w:cs="宋体"/>
                <w:color w:val="auto"/>
                <w:kern w:val="1"/>
                <w:szCs w:val="21"/>
                <w:highlight w:val="none"/>
                <w:u w:val="none"/>
              </w:rPr>
            </w:pPr>
            <w:r>
              <w:rPr>
                <w:rFonts w:hint="eastAsia" w:ascii="宋体" w:hAnsi="宋体" w:cs="宋体"/>
                <w:color w:val="auto"/>
                <w:kern w:val="1"/>
                <w:szCs w:val="21"/>
                <w:highlight w:val="none"/>
                <w:u w:val="none"/>
              </w:rPr>
              <w:t>投标人自2022年1月1日</w:t>
            </w:r>
            <w:r>
              <w:rPr>
                <w:rFonts w:hint="eastAsia" w:ascii="宋体" w:hAnsi="宋体" w:cs="宋体"/>
                <w:color w:val="auto"/>
                <w:kern w:val="1"/>
                <w:szCs w:val="21"/>
                <w:highlight w:val="none"/>
                <w:u w:val="none"/>
                <w:lang w:eastAsia="zh-CN"/>
              </w:rPr>
              <w:t>至投标截止时间止</w:t>
            </w:r>
            <w:r>
              <w:rPr>
                <w:rFonts w:hint="eastAsia" w:ascii="宋体" w:hAnsi="宋体" w:cs="宋体"/>
                <w:color w:val="auto"/>
                <w:kern w:val="1"/>
                <w:szCs w:val="21"/>
                <w:highlight w:val="none"/>
                <w:u w:val="none"/>
              </w:rPr>
              <w:t>，承接的</w:t>
            </w:r>
            <w:r>
              <w:rPr>
                <w:rFonts w:hint="eastAsia" w:ascii="宋体" w:hAnsi="宋体" w:cs="宋体"/>
                <w:color w:val="auto"/>
                <w:kern w:val="1"/>
                <w:szCs w:val="21"/>
                <w:highlight w:val="none"/>
                <w:u w:val="none"/>
                <w:lang w:eastAsia="zh-CN"/>
              </w:rPr>
              <w:t>市政公用工程</w:t>
            </w:r>
            <w:r>
              <w:rPr>
                <w:rFonts w:hint="eastAsia" w:ascii="宋体" w:hAnsi="宋体" w:cs="宋体"/>
                <w:color w:val="auto"/>
                <w:kern w:val="1"/>
                <w:szCs w:val="21"/>
                <w:highlight w:val="none"/>
                <w:u w:val="none"/>
                <w:lang w:val="en-US" w:eastAsia="zh-CN"/>
              </w:rPr>
              <w:t>勘察或</w:t>
            </w:r>
            <w:r>
              <w:rPr>
                <w:rFonts w:hint="eastAsia" w:ascii="宋体" w:hAnsi="宋体" w:cs="宋体"/>
                <w:color w:val="auto"/>
                <w:kern w:val="1"/>
                <w:szCs w:val="21"/>
                <w:highlight w:val="none"/>
                <w:u w:val="none"/>
              </w:rPr>
              <w:t>设计项目获国家级奖项的，每项得6分；省级（含直辖市、自治区）奖项的，每项得4分；市级奖（含副省级）的，每项得2分。本项最</w:t>
            </w:r>
            <w:r>
              <w:rPr>
                <w:rFonts w:hint="eastAsia" w:ascii="宋体" w:hAnsi="宋体" w:cs="宋体"/>
                <w:color w:val="auto"/>
                <w:kern w:val="1"/>
                <w:szCs w:val="21"/>
                <w:highlight w:val="none"/>
                <w:u w:val="none"/>
                <w:lang w:val="en-US" w:eastAsia="zh-CN"/>
              </w:rPr>
              <w:t>多</w:t>
            </w:r>
            <w:r>
              <w:rPr>
                <w:rFonts w:hint="eastAsia" w:ascii="宋体" w:hAnsi="宋体" w:cs="宋体"/>
                <w:color w:val="auto"/>
                <w:kern w:val="1"/>
                <w:szCs w:val="21"/>
                <w:highlight w:val="none"/>
                <w:u w:val="none"/>
              </w:rPr>
              <w:t>得25分。</w:t>
            </w:r>
          </w:p>
          <w:p>
            <w:pPr>
              <w:pStyle w:val="2"/>
              <w:keepNext w:val="0"/>
              <w:keepLines w:val="0"/>
              <w:pageBreakBefore w:val="0"/>
              <w:widowControl w:val="0"/>
              <w:kinsoku/>
              <w:wordWrap/>
              <w:overflowPunct/>
              <w:topLinePunct w:val="0"/>
              <w:bidi w:val="0"/>
              <w:adjustRightInd/>
              <w:spacing w:line="360" w:lineRule="auto"/>
              <w:textAlignment w:val="auto"/>
              <w:rPr>
                <w:rFonts w:hint="eastAsia" w:ascii="宋体" w:hAnsi="宋体" w:cs="宋体"/>
                <w:color w:val="auto"/>
                <w:kern w:val="1"/>
                <w:szCs w:val="21"/>
                <w:highlight w:val="none"/>
                <w:u w:val="none"/>
              </w:rPr>
            </w:pPr>
            <w:r>
              <w:rPr>
                <w:rFonts w:hint="eastAsia" w:ascii="宋体" w:hAnsi="宋体" w:cs="宋体"/>
                <w:color w:val="auto"/>
                <w:kern w:val="1"/>
                <w:szCs w:val="21"/>
                <w:highlight w:val="none"/>
                <w:u w:val="none"/>
              </w:rPr>
              <w:t>注：</w:t>
            </w:r>
            <w:r>
              <w:rPr>
                <w:rFonts w:hint="eastAsia" w:hAnsi="宋体" w:cs="宋体"/>
                <w:color w:val="auto"/>
                <w:kern w:val="1"/>
                <w:szCs w:val="21"/>
                <w:highlight w:val="none"/>
                <w:u w:val="none"/>
                <w:lang w:val="en-US" w:eastAsia="zh-CN"/>
              </w:rPr>
              <w:t>1、</w:t>
            </w:r>
            <w:r>
              <w:rPr>
                <w:rFonts w:hint="eastAsia" w:ascii="宋体" w:hAnsi="宋体" w:cs="宋体"/>
                <w:color w:val="auto"/>
                <w:kern w:val="1"/>
                <w:szCs w:val="21"/>
                <w:highlight w:val="none"/>
                <w:u w:val="none"/>
              </w:rPr>
              <w:t>获奖奖项是</w:t>
            </w:r>
            <w:r>
              <w:rPr>
                <w:rFonts w:hint="eastAsia" w:hAnsi="宋体" w:cs="宋体"/>
                <w:color w:val="auto"/>
                <w:kern w:val="1"/>
                <w:szCs w:val="21"/>
                <w:highlight w:val="none"/>
                <w:u w:val="none"/>
                <w:lang w:val="en-US" w:eastAsia="zh-CN"/>
              </w:rPr>
              <w:t>指</w:t>
            </w:r>
            <w:r>
              <w:rPr>
                <w:rFonts w:hint="eastAsia" w:ascii="宋体" w:hAnsi="宋体" w:cs="宋体"/>
                <w:color w:val="auto"/>
                <w:kern w:val="1"/>
                <w:szCs w:val="21"/>
                <w:highlight w:val="none"/>
                <w:u w:val="none"/>
              </w:rPr>
              <w:t>由住建部颁发的全国优秀工程勘察设计奖、中国勘察设计协会颁发的全国优秀工程勘察设计行业奖、省级建设行政主管部门或省级工程勘察设计行业协会颁发的省级优秀勘察或设计奖、市级建设行政主管部门或市级工程勘察设计行业协会颁发的市级优秀勘察或设计奖；由国务院颁发的国家科学技术奖、住建部的华夏建设科学技术奖励委员会颁发的华夏建设科学技术奖、省级人民政府颁发的省级科学技术奖、市级人民政府颁发的市级科学技术奖。</w:t>
            </w:r>
          </w:p>
          <w:p>
            <w:pPr>
              <w:pStyle w:val="2"/>
              <w:keepNext w:val="0"/>
              <w:keepLines w:val="0"/>
              <w:pageBreakBefore w:val="0"/>
              <w:widowControl w:val="0"/>
              <w:kinsoku/>
              <w:wordWrap/>
              <w:overflowPunct/>
              <w:topLinePunct w:val="0"/>
              <w:bidi w:val="0"/>
              <w:adjustRightInd/>
              <w:spacing w:line="360" w:lineRule="auto"/>
              <w:textAlignment w:val="auto"/>
              <w:rPr>
                <w:rFonts w:hint="eastAsia" w:hAnsi="宋体" w:cs="宋体"/>
                <w:color w:val="auto"/>
                <w:kern w:val="1"/>
                <w:szCs w:val="21"/>
                <w:highlight w:val="none"/>
                <w:u w:val="none"/>
              </w:rPr>
            </w:pPr>
            <w:r>
              <w:rPr>
                <w:rFonts w:hint="eastAsia" w:hAnsi="宋体" w:cs="宋体"/>
                <w:color w:val="auto"/>
                <w:kern w:val="1"/>
                <w:szCs w:val="21"/>
                <w:highlight w:val="none"/>
                <w:u w:val="none"/>
                <w:lang w:val="en-US" w:eastAsia="zh-CN"/>
              </w:rPr>
              <w:t>2、</w:t>
            </w:r>
            <w:r>
              <w:rPr>
                <w:rFonts w:hint="eastAsia" w:hAnsi="宋体" w:cs="宋体"/>
                <w:color w:val="auto"/>
                <w:kern w:val="1"/>
                <w:szCs w:val="21"/>
                <w:highlight w:val="none"/>
                <w:u w:val="none"/>
              </w:rPr>
              <w:t>投标人应提供获奖证书或获奖证明文件扫描件，获奖认定时间以获奖证书或获奖证明文件载明的时间为准。</w:t>
            </w:r>
          </w:p>
          <w:p>
            <w:pPr>
              <w:pStyle w:val="2"/>
              <w:keepNext w:val="0"/>
              <w:keepLines w:val="0"/>
              <w:pageBreakBefore w:val="0"/>
              <w:widowControl w:val="0"/>
              <w:kinsoku/>
              <w:wordWrap/>
              <w:overflowPunct/>
              <w:topLinePunct w:val="0"/>
              <w:bidi w:val="0"/>
              <w:adjustRightInd/>
              <w:spacing w:line="360" w:lineRule="auto"/>
              <w:textAlignment w:val="auto"/>
              <w:rPr>
                <w:rFonts w:hint="eastAsia" w:hAnsi="宋体" w:cs="宋体"/>
                <w:color w:val="auto"/>
                <w:kern w:val="1"/>
                <w:szCs w:val="21"/>
                <w:highlight w:val="none"/>
                <w:u w:val="none"/>
              </w:rPr>
            </w:pPr>
            <w:r>
              <w:rPr>
                <w:rFonts w:hint="eastAsia" w:hAnsi="宋体" w:cs="宋体"/>
                <w:color w:val="auto"/>
                <w:kern w:val="1"/>
                <w:szCs w:val="21"/>
                <w:highlight w:val="none"/>
                <w:u w:val="none"/>
                <w:lang w:val="en-US" w:eastAsia="zh-CN"/>
              </w:rPr>
              <w:t>3、</w:t>
            </w:r>
            <w:r>
              <w:rPr>
                <w:rFonts w:hint="eastAsia" w:hAnsi="宋体" w:cs="宋体"/>
                <w:color w:val="auto"/>
                <w:kern w:val="1"/>
                <w:szCs w:val="21"/>
                <w:highlight w:val="none"/>
                <w:u w:val="none"/>
              </w:rPr>
              <w:t>如颁发单位为行业协会的，还须提供该协会在中国社会组织政务服务平台（全国社会组织信用信息公示平台）(网址:https://xxgs.chinanpo.mca.gov.cn/gsxt/newList)己登记备案的查询信息截图，查询结果“状态”栏必须为“正常”。</w:t>
            </w:r>
          </w:p>
          <w:p>
            <w:pPr>
              <w:pStyle w:val="2"/>
              <w:keepNext w:val="0"/>
              <w:keepLines w:val="0"/>
              <w:pageBreakBefore w:val="0"/>
              <w:widowControl w:val="0"/>
              <w:kinsoku/>
              <w:wordWrap/>
              <w:overflowPunct/>
              <w:topLinePunct w:val="0"/>
              <w:bidi w:val="0"/>
              <w:adjustRightInd/>
              <w:spacing w:line="360" w:lineRule="auto"/>
              <w:textAlignment w:val="auto"/>
              <w:rPr>
                <w:rFonts w:hint="eastAsia" w:hAnsi="宋体" w:cs="宋体"/>
                <w:color w:val="auto"/>
                <w:sz w:val="21"/>
                <w:szCs w:val="21"/>
                <w:highlight w:val="none"/>
                <w:lang w:val="zh-CN"/>
              </w:rPr>
            </w:pPr>
            <w:r>
              <w:rPr>
                <w:rFonts w:hint="eastAsia" w:hAnsi="宋体" w:cs="宋体"/>
                <w:color w:val="auto"/>
                <w:kern w:val="1"/>
                <w:szCs w:val="21"/>
                <w:highlight w:val="none"/>
                <w:u w:val="none"/>
                <w:lang w:val="en-US" w:eastAsia="zh-CN"/>
              </w:rPr>
              <w:t>4、</w:t>
            </w:r>
            <w:r>
              <w:rPr>
                <w:rFonts w:hint="eastAsia" w:hAnsi="宋体" w:cs="宋体"/>
                <w:color w:val="auto"/>
                <w:kern w:val="1"/>
                <w:szCs w:val="21"/>
                <w:highlight w:val="none"/>
                <w:u w:val="none"/>
              </w:rPr>
              <w:t>同一项目获奖按项目最高获奖只计算一次得分。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38" w:type="dxa"/>
            <w:vMerge w:val="restart"/>
            <w:vAlign w:val="center"/>
          </w:tcPr>
          <w:p>
            <w:pPr>
              <w:pStyle w:val="158"/>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highlight w:val="none"/>
              </w:rPr>
            </w:pPr>
            <w:r>
              <w:rPr>
                <w:rFonts w:hint="eastAsia" w:ascii="宋体" w:hAnsi="宋体" w:eastAsia="宋体" w:cs="宋体"/>
                <w:color w:val="auto"/>
                <w:sz w:val="20"/>
                <w:highlight w:val="none"/>
              </w:rPr>
              <w:t>三</w:t>
            </w:r>
          </w:p>
        </w:tc>
        <w:tc>
          <w:tcPr>
            <w:tcW w:w="1077" w:type="dxa"/>
            <w:vMerge w:val="restart"/>
            <w:vAlign w:val="center"/>
          </w:tcPr>
          <w:p>
            <w:pPr>
              <w:pStyle w:val="2"/>
              <w:keepNext w:val="0"/>
              <w:keepLines w:val="0"/>
              <w:pageBreakBefore w:val="0"/>
              <w:widowControl w:val="0"/>
              <w:kinsoku/>
              <w:wordWrap/>
              <w:overflowPunct/>
              <w:topLinePunct w:val="0"/>
              <w:bidi w:val="0"/>
              <w:adjustRightInd/>
              <w:spacing w:line="360" w:lineRule="auto"/>
              <w:jc w:val="center"/>
              <w:textAlignment w:val="auto"/>
              <w:rPr>
                <w:rFonts w:hint="eastAsia" w:hAnsi="宋体" w:cs="宋体"/>
                <w:color w:val="auto"/>
                <w:sz w:val="21"/>
                <w:szCs w:val="21"/>
                <w:highlight w:val="none"/>
                <w:lang w:val="zh-CN"/>
              </w:rPr>
            </w:pPr>
            <w:r>
              <w:rPr>
                <w:rFonts w:hint="eastAsia" w:hAnsi="宋体" w:cs="宋体"/>
                <w:color w:val="auto"/>
                <w:sz w:val="21"/>
                <w:szCs w:val="21"/>
                <w:highlight w:val="none"/>
                <w:lang w:val="zh-CN"/>
              </w:rPr>
              <w:t>人员配备及技术水平</w:t>
            </w:r>
          </w:p>
        </w:tc>
        <w:tc>
          <w:tcPr>
            <w:tcW w:w="647" w:type="dxa"/>
            <w:vMerge w:val="restart"/>
            <w:vAlign w:val="center"/>
          </w:tcPr>
          <w:p>
            <w:pPr>
              <w:pStyle w:val="2"/>
              <w:keepNext w:val="0"/>
              <w:keepLines w:val="0"/>
              <w:pageBreakBefore w:val="0"/>
              <w:widowControl w:val="0"/>
              <w:kinsoku/>
              <w:wordWrap/>
              <w:overflowPunct/>
              <w:topLinePunct w:val="0"/>
              <w:bidi w:val="0"/>
              <w:adjustRightInd/>
              <w:spacing w:line="360" w:lineRule="auto"/>
              <w:jc w:val="center"/>
              <w:textAlignment w:val="auto"/>
              <w:rPr>
                <w:rFonts w:hint="eastAsia" w:hAnsi="宋体" w:cs="宋体"/>
                <w:color w:val="auto"/>
                <w:sz w:val="21"/>
                <w:szCs w:val="21"/>
                <w:highlight w:val="none"/>
                <w:lang w:val="en-US"/>
              </w:rPr>
            </w:pPr>
            <w:r>
              <w:rPr>
                <w:rFonts w:hint="eastAsia" w:hAnsi="宋体" w:cs="宋体"/>
                <w:color w:val="auto"/>
                <w:sz w:val="21"/>
                <w:szCs w:val="21"/>
                <w:highlight w:val="none"/>
                <w:lang w:val="en-US" w:eastAsia="zh-CN"/>
              </w:rPr>
              <w:t>30</w:t>
            </w:r>
          </w:p>
        </w:tc>
        <w:tc>
          <w:tcPr>
            <w:tcW w:w="11374" w:type="dxa"/>
            <w:vAlign w:val="center"/>
          </w:tcPr>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1、项目负责人设计经历及业务能力：</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（1）设计经历在20年或以上的（以学历证书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大专或以上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颁发时间</w:t>
            </w:r>
            <w:r>
              <w:rPr>
                <w:rFonts w:hint="eastAsia" w:ascii="宋体" w:hAnsi="宋体" w:eastAsia="宋体" w:cs="宋体"/>
                <w:color w:val="auto"/>
                <w:szCs w:val="21"/>
                <w:highlight w:val="none"/>
                <w:lang w:val="en-US" w:eastAsia="zh-CN"/>
              </w:rPr>
              <w:t>起计</w:t>
            </w:r>
            <w:r>
              <w:rPr>
                <w:rFonts w:hint="eastAsia" w:ascii="宋体" w:hAnsi="宋体" w:eastAsia="宋体" w:cs="宋体"/>
                <w:color w:val="auto"/>
                <w:szCs w:val="21"/>
                <w:highlight w:val="none"/>
              </w:rPr>
              <w:t>），得2分；设计经历在15（含）-20（不含）年的，得1分；设计经历在15（不含）年以下的，得0.5分。其它不得分。本小项最多得2分。</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（2）自2022年1月1日</w:t>
            </w:r>
            <w:r>
              <w:rPr>
                <w:rFonts w:hint="eastAsia" w:ascii="宋体" w:hAnsi="宋体" w:eastAsia="宋体" w:cs="宋体"/>
                <w:color w:val="auto"/>
                <w:szCs w:val="21"/>
                <w:highlight w:val="none"/>
                <w:lang w:eastAsia="zh-CN"/>
              </w:rPr>
              <w:t>至投标截止时间止</w:t>
            </w:r>
            <w:r>
              <w:rPr>
                <w:rFonts w:hint="eastAsia" w:ascii="宋体" w:hAnsi="宋体" w:eastAsia="宋体" w:cs="宋体"/>
                <w:color w:val="auto"/>
                <w:szCs w:val="21"/>
                <w:highlight w:val="none"/>
              </w:rPr>
              <w:t>参与的</w:t>
            </w:r>
            <w:r>
              <w:rPr>
                <w:rFonts w:hint="eastAsia" w:ascii="宋体" w:hAnsi="宋体" w:eastAsia="宋体" w:cs="宋体"/>
                <w:color w:val="auto"/>
                <w:szCs w:val="21"/>
                <w:highlight w:val="none"/>
                <w:lang w:eastAsia="zh-CN"/>
              </w:rPr>
              <w:t>市政公用工程</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设计业绩：获得省级（或以上，含直辖市、自治区，不含副省级）奖项的，每项得2分；市级奖（含副省级）的，每项得1分。本小项最多得7分。</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（3）自2022年1月1日</w:t>
            </w:r>
            <w:r>
              <w:rPr>
                <w:rFonts w:hint="eastAsia" w:ascii="宋体" w:hAnsi="宋体" w:eastAsia="宋体" w:cs="宋体"/>
                <w:color w:val="auto"/>
                <w:szCs w:val="21"/>
                <w:highlight w:val="none"/>
                <w:lang w:eastAsia="zh-CN"/>
              </w:rPr>
              <w:t>至投标截止时间止</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参与</w:t>
            </w:r>
            <w:r>
              <w:rPr>
                <w:rFonts w:hint="eastAsia" w:ascii="宋体" w:hAnsi="宋体" w:eastAsia="宋体" w:cs="宋体"/>
                <w:color w:val="auto"/>
                <w:szCs w:val="21"/>
                <w:highlight w:val="none"/>
              </w:rPr>
              <w:t>过</w:t>
            </w:r>
            <w:r>
              <w:rPr>
                <w:rFonts w:hint="eastAsia" w:ascii="宋体" w:hAnsi="宋体" w:eastAsia="宋体" w:cs="宋体"/>
                <w:color w:val="auto"/>
                <w:szCs w:val="21"/>
                <w:highlight w:val="none"/>
                <w:lang w:eastAsia="zh-CN"/>
              </w:rPr>
              <w:t>市政公用工程</w:t>
            </w:r>
            <w:r>
              <w:rPr>
                <w:rFonts w:hint="eastAsia" w:ascii="宋体" w:hAnsi="宋体" w:eastAsia="宋体" w:cs="宋体"/>
                <w:color w:val="auto"/>
                <w:szCs w:val="21"/>
                <w:highlight w:val="none"/>
              </w:rPr>
              <w:t>项目设计业绩，每项得2分。本小项最多得6分</w:t>
            </w:r>
            <w:r>
              <w:rPr>
                <w:rFonts w:hint="eastAsia" w:ascii="宋体" w:hAnsi="宋体" w:eastAsia="宋体" w:cs="宋体"/>
                <w:color w:val="auto"/>
                <w:szCs w:val="21"/>
                <w:highlight w:val="none"/>
                <w:lang w:val="en-US" w:eastAsia="zh-CN"/>
              </w:rPr>
              <w:t>。</w:t>
            </w:r>
          </w:p>
          <w:p>
            <w:pPr>
              <w:pStyle w:val="2"/>
              <w:keepNext w:val="0"/>
              <w:keepLines w:val="0"/>
              <w:pageBreakBefore w:val="0"/>
              <w:widowControl w:val="0"/>
              <w:kinsoku/>
              <w:wordWrap/>
              <w:overflowPunct/>
              <w:topLinePunct w:val="0"/>
              <w:bidi w:val="0"/>
              <w:adjustRightInd/>
              <w:spacing w:line="360" w:lineRule="auto"/>
              <w:textAlignment w:val="auto"/>
              <w:rPr>
                <w:rFonts w:hint="eastAsia" w:hAnsi="宋体" w:cs="宋体"/>
                <w:color w:val="auto"/>
                <w:sz w:val="21"/>
                <w:szCs w:val="21"/>
                <w:highlight w:val="none"/>
                <w:lang w:val="zh-CN"/>
              </w:rPr>
            </w:pPr>
            <w:r>
              <w:rPr>
                <w:rFonts w:hint="eastAsia" w:hAnsi="宋体" w:cs="宋体"/>
                <w:b w:val="0"/>
                <w:bCs w:val="0"/>
                <w:color w:val="auto"/>
                <w:kern w:val="2"/>
                <w:sz w:val="21"/>
                <w:szCs w:val="21"/>
                <w:highlight w:val="none"/>
                <w:lang w:val="en-US" w:eastAsia="zh-CN"/>
              </w:rPr>
              <w:t>注：本项</w:t>
            </w:r>
            <w:r>
              <w:rPr>
                <w:rFonts w:hint="eastAsia" w:hAnsi="宋体" w:cs="宋体"/>
                <w:b w:val="0"/>
                <w:bCs w:val="0"/>
                <w:color w:val="auto"/>
                <w:kern w:val="2"/>
                <w:sz w:val="21"/>
                <w:szCs w:val="21"/>
                <w:highlight w:val="none"/>
                <w:lang w:val="zh-CN"/>
              </w:rPr>
              <w:t>最多得</w:t>
            </w:r>
            <w:r>
              <w:rPr>
                <w:rFonts w:hint="eastAsia" w:hAnsi="宋体" w:cs="宋体"/>
                <w:b w:val="0"/>
                <w:bCs w:val="0"/>
                <w:color w:val="auto"/>
                <w:kern w:val="2"/>
                <w:sz w:val="21"/>
                <w:szCs w:val="21"/>
                <w:highlight w:val="none"/>
                <w:lang w:val="en-US" w:eastAsia="zh-CN"/>
              </w:rPr>
              <w:t>15</w:t>
            </w:r>
            <w:r>
              <w:rPr>
                <w:rFonts w:hint="eastAsia" w:hAnsi="宋体" w:cs="宋体"/>
                <w:b w:val="0"/>
                <w:bCs w:val="0"/>
                <w:color w:val="auto"/>
                <w:kern w:val="2"/>
                <w:sz w:val="21"/>
                <w:szCs w:val="21"/>
                <w:highlight w:val="none"/>
                <w:lang w:val="zh-CN"/>
              </w:rPr>
              <w:t>分。</w:t>
            </w:r>
            <w:r>
              <w:rPr>
                <w:rFonts w:hint="eastAsia" w:hAnsi="宋体" w:cs="宋体"/>
                <w:b w:val="0"/>
                <w:bCs w:val="0"/>
                <w:color w:val="auto"/>
                <w:kern w:val="2"/>
                <w:sz w:val="21"/>
                <w:szCs w:val="21"/>
                <w:highlight w:val="none"/>
                <w:lang w:val="zh-CN"/>
              </w:rPr>
              <w:t>提供相关</w:t>
            </w:r>
            <w:r>
              <w:rPr>
                <w:rFonts w:hint="eastAsia" w:hAnsi="宋体" w:cs="宋体"/>
                <w:color w:val="auto"/>
                <w:kern w:val="1"/>
                <w:szCs w:val="21"/>
                <w:highlight w:val="none"/>
                <w:u w:val="none"/>
              </w:rPr>
              <w:t>获奖证书或获奖证明文件扫描件</w:t>
            </w:r>
            <w:r>
              <w:rPr>
                <w:rFonts w:hint="eastAsia" w:hAnsi="宋体" w:cs="宋体"/>
                <w:b w:val="0"/>
                <w:bCs w:val="0"/>
                <w:color w:val="auto"/>
                <w:kern w:val="2"/>
                <w:sz w:val="21"/>
                <w:szCs w:val="21"/>
                <w:highlight w:val="none"/>
                <w:lang w:val="zh-CN"/>
              </w:rPr>
              <w:t>，</w:t>
            </w:r>
            <w:r>
              <w:rPr>
                <w:rFonts w:hint="eastAsia" w:hAnsi="宋体" w:cs="宋体"/>
                <w:color w:val="auto"/>
                <w:szCs w:val="21"/>
                <w:highlight w:val="none"/>
              </w:rPr>
              <w:t>获奖奖项是指由住建部颁发的全国优秀工程勘察设计奖、中国勘察设计协会颁发的全国优秀工程勘察设计行业奖、省级建设行政主管部门或省级工程勘察设计行业协会颁发的省级优秀勘察或设计奖、市级建设行政主管部门或市级工程勘察设计行业协会颁发的市级优秀勘察或设计奖；由国务院颁发的国家科学技术奖、住建部的华夏建设科学技术奖励委员会颁发的华夏建设科学技术奖、省级人民政府颁发的省级科学技术奖、市级人民政府颁发的市级科学技术奖。</w:t>
            </w:r>
            <w:r>
              <w:rPr>
                <w:rFonts w:hint="eastAsia" w:hAnsi="宋体" w:cs="宋体"/>
                <w:b w:val="0"/>
                <w:bCs w:val="0"/>
                <w:color w:val="auto"/>
                <w:kern w:val="2"/>
                <w:sz w:val="21"/>
                <w:szCs w:val="21"/>
                <w:highlight w:val="none"/>
                <w:lang w:val="zh-CN"/>
              </w:rPr>
              <w:t>项目负责人业绩</w:t>
            </w:r>
            <w:r>
              <w:rPr>
                <w:rFonts w:hint="eastAsia" w:ascii="宋体" w:hAnsi="宋体" w:eastAsia="宋体" w:cs="宋体"/>
                <w:color w:val="auto"/>
                <w:szCs w:val="21"/>
                <w:highlight w:val="none"/>
                <w:lang w:val="zh-CN"/>
              </w:rPr>
              <w:t>须同时提供①合同文本关键页</w:t>
            </w:r>
            <w:r>
              <w:rPr>
                <w:rFonts w:hint="eastAsia" w:hAnsi="宋体" w:cs="宋体"/>
                <w:color w:val="auto"/>
                <w:szCs w:val="21"/>
                <w:highlight w:val="none"/>
                <w:lang w:val="zh-CN"/>
              </w:rPr>
              <w:t>、</w:t>
            </w:r>
            <w:r>
              <w:rPr>
                <w:rFonts w:hint="eastAsia" w:ascii="宋体" w:hAnsi="宋体" w:eastAsia="宋体" w:cs="宋体"/>
                <w:color w:val="auto"/>
                <w:szCs w:val="21"/>
                <w:highlight w:val="none"/>
                <w:lang w:val="zh-CN"/>
              </w:rPr>
              <w:t>②中标通知书（或免招标证明文件）和③初步设计批复（或审查证明）或施工图审查合格书（或备案证明）扫描件。时间以合同签订时间为准，如合同无法体现时间则以中标通知书为准。如以上资料不能证明业绩规模或技术指标</w:t>
            </w:r>
            <w:r>
              <w:rPr>
                <w:rFonts w:hint="eastAsia" w:hAnsi="宋体" w:cs="宋体"/>
                <w:color w:val="auto"/>
                <w:szCs w:val="21"/>
                <w:highlight w:val="none"/>
                <w:lang w:val="en-US" w:eastAsia="zh-CN"/>
              </w:rPr>
              <w:t>或人员信息</w:t>
            </w:r>
            <w:r>
              <w:rPr>
                <w:rFonts w:hint="eastAsia" w:ascii="宋体" w:hAnsi="宋体" w:eastAsia="宋体" w:cs="宋体"/>
                <w:color w:val="auto"/>
                <w:szCs w:val="21"/>
                <w:highlight w:val="none"/>
                <w:lang w:val="zh-CN"/>
              </w:rPr>
              <w:t>的，须另提供业主盖章的业绩证明或可证明业绩规模或技术指标</w:t>
            </w:r>
            <w:r>
              <w:rPr>
                <w:rFonts w:hint="eastAsia" w:hAnsi="宋体" w:cs="宋体"/>
                <w:color w:val="auto"/>
                <w:szCs w:val="21"/>
                <w:highlight w:val="none"/>
                <w:lang w:val="en-US" w:eastAsia="zh-CN"/>
              </w:rPr>
              <w:t>或人员信息</w:t>
            </w:r>
            <w:r>
              <w:rPr>
                <w:rFonts w:hint="eastAsia" w:ascii="宋体" w:hAnsi="宋体" w:eastAsia="宋体" w:cs="宋体"/>
                <w:color w:val="auto"/>
                <w:szCs w:val="21"/>
                <w:highlight w:val="none"/>
                <w:lang w:val="zh-CN"/>
              </w:rPr>
              <w:t>的其他资料扫描件。</w:t>
            </w:r>
            <w:r>
              <w:rPr>
                <w:rFonts w:hint="eastAsia" w:hAnsi="宋体" w:cs="宋体"/>
                <w:b w:val="0"/>
                <w:bCs w:val="0"/>
                <w:color w:val="auto"/>
                <w:kern w:val="2"/>
                <w:sz w:val="21"/>
                <w:szCs w:val="21"/>
                <w:highlight w:val="none"/>
                <w:lang w:val="zh-CN"/>
              </w:rPr>
              <w:t>（所提供的投入人员必须为投标单位人员，</w:t>
            </w:r>
            <w:r>
              <w:rPr>
                <w:rFonts w:hint="eastAsia" w:ascii="宋体" w:hAnsi="宋体" w:cs="宋体"/>
                <w:b w:val="0"/>
                <w:bCs w:val="0"/>
                <w:color w:val="auto"/>
                <w:highlight w:val="none"/>
                <w:u w:val="none"/>
                <w:lang w:val="en-US" w:eastAsia="zh-CN"/>
              </w:rPr>
              <w:t>同时提供</w:t>
            </w:r>
            <w:r>
              <w:rPr>
                <w:rFonts w:hint="eastAsia" w:hAnsi="宋体" w:cs="宋体"/>
                <w:color w:val="auto"/>
                <w:highlight w:val="none"/>
                <w:u w:val="none"/>
                <w:lang w:val="en-US"/>
              </w:rPr>
              <w:t>本项目投标截止日前三个月内任意一个月在本单位缴纳的社保证明文件</w:t>
            </w:r>
            <w:r>
              <w:rPr>
                <w:rFonts w:hint="eastAsia" w:ascii="宋体" w:hAnsi="宋体" w:cs="宋体"/>
                <w:b w:val="0"/>
                <w:bCs w:val="0"/>
                <w:color w:val="auto"/>
                <w:highlight w:val="none"/>
                <w:u w:val="none"/>
                <w:lang w:val="en-US" w:eastAsia="zh-CN"/>
              </w:rPr>
              <w:t>，</w:t>
            </w:r>
            <w:r>
              <w:rPr>
                <w:rFonts w:hint="eastAsia" w:hAnsi="宋体" w:cs="宋体"/>
                <w:color w:val="auto"/>
                <w:highlight w:val="none"/>
                <w:u w:val="none"/>
                <w:lang w:val="en-US"/>
              </w:rPr>
              <w:t>含非独立法人的分公司或分支机构社保缴纳记录</w:t>
            </w:r>
            <w:r>
              <w:rPr>
                <w:rFonts w:hint="eastAsia" w:hAnsi="宋体" w:cs="宋体"/>
                <w:color w:val="auto"/>
                <w:highlight w:val="none"/>
                <w:u w:val="none"/>
                <w:lang w:val="en-US" w:eastAsia="zh-CN"/>
              </w:rPr>
              <w:t>，</w:t>
            </w:r>
            <w:r>
              <w:rPr>
                <w:rFonts w:hint="eastAsia" w:ascii="宋体" w:hAnsi="宋体" w:cs="宋体"/>
                <w:b w:val="0"/>
                <w:bCs w:val="0"/>
                <w:color w:val="auto"/>
                <w:highlight w:val="none"/>
                <w:u w:val="none"/>
                <w:lang w:val="en-US" w:eastAsia="zh-CN"/>
              </w:rPr>
              <w:t>不提供不得分。</w:t>
            </w:r>
            <w:r>
              <w:rPr>
                <w:rFonts w:hint="eastAsia" w:hAnsi="宋体" w:cs="宋体"/>
                <w:b w:val="0"/>
                <w:bCs w:val="0"/>
                <w:color w:val="auto"/>
                <w:kern w:val="2"/>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638" w:type="dxa"/>
            <w:vMerge w:val="continue"/>
            <w:vAlign w:val="center"/>
          </w:tcPr>
          <w:p>
            <w:pPr>
              <w:pStyle w:val="158"/>
              <w:keepNext w:val="0"/>
              <w:keepLines w:val="0"/>
              <w:pageBreakBefore w:val="0"/>
              <w:widowControl w:val="0"/>
              <w:kinsoku/>
              <w:wordWrap/>
              <w:overflowPunct/>
              <w:topLinePunct w:val="0"/>
              <w:bidi w:val="0"/>
              <w:adjustRightInd/>
              <w:snapToGrid w:val="0"/>
              <w:spacing w:line="360" w:lineRule="auto"/>
              <w:jc w:val="center"/>
              <w:textAlignment w:val="auto"/>
              <w:rPr>
                <w:rFonts w:hint="eastAsia" w:ascii="宋体" w:hAnsi="宋体" w:eastAsia="宋体" w:cs="宋体"/>
                <w:color w:val="auto"/>
                <w:sz w:val="20"/>
                <w:highlight w:val="none"/>
              </w:rPr>
            </w:pPr>
          </w:p>
        </w:tc>
        <w:tc>
          <w:tcPr>
            <w:tcW w:w="1077" w:type="dxa"/>
            <w:vMerge w:val="continue"/>
            <w:vAlign w:val="center"/>
          </w:tcPr>
          <w:p>
            <w:pPr>
              <w:pStyle w:val="2"/>
              <w:keepNext w:val="0"/>
              <w:keepLines w:val="0"/>
              <w:pageBreakBefore w:val="0"/>
              <w:widowControl w:val="0"/>
              <w:kinsoku/>
              <w:wordWrap/>
              <w:overflowPunct/>
              <w:topLinePunct w:val="0"/>
              <w:bidi w:val="0"/>
              <w:adjustRightInd/>
              <w:spacing w:line="360" w:lineRule="auto"/>
              <w:jc w:val="center"/>
              <w:textAlignment w:val="auto"/>
              <w:rPr>
                <w:rFonts w:hint="eastAsia" w:hAnsi="宋体" w:cs="宋体"/>
                <w:color w:val="auto"/>
                <w:sz w:val="21"/>
                <w:szCs w:val="21"/>
                <w:highlight w:val="none"/>
                <w:lang w:val="zh-CN"/>
              </w:rPr>
            </w:pPr>
          </w:p>
        </w:tc>
        <w:tc>
          <w:tcPr>
            <w:tcW w:w="647" w:type="dxa"/>
            <w:vMerge w:val="continue"/>
            <w:vAlign w:val="center"/>
          </w:tcPr>
          <w:p>
            <w:pPr>
              <w:pStyle w:val="2"/>
              <w:keepNext w:val="0"/>
              <w:keepLines w:val="0"/>
              <w:pageBreakBefore w:val="0"/>
              <w:widowControl w:val="0"/>
              <w:kinsoku/>
              <w:wordWrap/>
              <w:overflowPunct/>
              <w:topLinePunct w:val="0"/>
              <w:bidi w:val="0"/>
              <w:adjustRightInd/>
              <w:spacing w:line="360" w:lineRule="auto"/>
              <w:jc w:val="center"/>
              <w:textAlignment w:val="auto"/>
              <w:rPr>
                <w:rFonts w:hint="eastAsia" w:hAnsi="宋体" w:cs="宋体"/>
                <w:color w:val="auto"/>
                <w:sz w:val="21"/>
                <w:szCs w:val="21"/>
                <w:highlight w:val="none"/>
                <w:lang w:val="zh-CN"/>
              </w:rPr>
            </w:pPr>
          </w:p>
        </w:tc>
        <w:tc>
          <w:tcPr>
            <w:tcW w:w="11374" w:type="dxa"/>
            <w:vAlign w:val="center"/>
          </w:tcPr>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、各专业负责人设计经历及业务能力：</w:t>
            </w:r>
          </w:p>
          <w:p>
            <w:pPr>
              <w:pStyle w:val="2"/>
              <w:spacing w:line="360" w:lineRule="auto"/>
              <w:rPr>
                <w:rFonts w:hint="eastAsia"/>
                <w:color w:val="auto"/>
                <w:highlight w:val="none"/>
              </w:rPr>
            </w:pPr>
            <w:r>
              <w:rPr>
                <w:rFonts w:hint="eastAsia"/>
                <w:color w:val="auto"/>
                <w:highlight w:val="none"/>
              </w:rPr>
              <w:t>（1）道路专业负责人具备注册土木工程师（道路工程）资格或相关专业高级或以上职称的</w:t>
            </w:r>
            <w:r>
              <w:rPr>
                <w:rFonts w:hint="eastAsia"/>
                <w:color w:val="auto"/>
                <w:highlight w:val="none"/>
                <w:lang w:eastAsia="zh-CN"/>
              </w:rPr>
              <w:t>，</w:t>
            </w:r>
            <w:r>
              <w:rPr>
                <w:rFonts w:hint="eastAsia"/>
                <w:color w:val="auto"/>
                <w:highlight w:val="none"/>
                <w:lang w:val="en-US" w:eastAsia="zh-CN"/>
              </w:rPr>
              <w:t>得3分</w:t>
            </w:r>
            <w:r>
              <w:rPr>
                <w:rFonts w:hint="eastAsia"/>
                <w:color w:val="auto"/>
                <w:highlight w:val="none"/>
              </w:rPr>
              <w:t>。</w:t>
            </w:r>
          </w:p>
          <w:p>
            <w:pPr>
              <w:pStyle w:val="2"/>
              <w:spacing w:line="360" w:lineRule="auto"/>
              <w:rPr>
                <w:rFonts w:hint="eastAsia"/>
                <w:color w:val="auto"/>
                <w:highlight w:val="none"/>
              </w:rPr>
            </w:pPr>
            <w:r>
              <w:rPr>
                <w:rFonts w:hint="eastAsia"/>
                <w:color w:val="auto"/>
                <w:highlight w:val="none"/>
              </w:rPr>
              <w:t>（2）给排水专业负责人具备注册公用设备工程师（给水排水）资格或相关专业高级或以上职称的</w:t>
            </w:r>
            <w:r>
              <w:rPr>
                <w:rFonts w:hint="eastAsia"/>
                <w:color w:val="auto"/>
                <w:highlight w:val="none"/>
                <w:lang w:eastAsia="zh-CN"/>
              </w:rPr>
              <w:t>，</w:t>
            </w:r>
            <w:r>
              <w:rPr>
                <w:rFonts w:hint="eastAsia"/>
                <w:color w:val="auto"/>
                <w:highlight w:val="none"/>
                <w:lang w:val="en-US" w:eastAsia="zh-CN"/>
              </w:rPr>
              <w:t>得3分</w:t>
            </w:r>
            <w:r>
              <w:rPr>
                <w:rFonts w:hint="eastAsia"/>
                <w:color w:val="auto"/>
                <w:highlight w:val="none"/>
              </w:rPr>
              <w:t>。</w:t>
            </w:r>
          </w:p>
          <w:p>
            <w:pPr>
              <w:pStyle w:val="2"/>
              <w:spacing w:line="360" w:lineRule="auto"/>
              <w:rPr>
                <w:rFonts w:hint="eastAsia"/>
                <w:color w:val="auto"/>
                <w:highlight w:val="none"/>
              </w:rPr>
            </w:pPr>
            <w:r>
              <w:rPr>
                <w:rFonts w:hint="eastAsia"/>
                <w:color w:val="auto"/>
                <w:highlight w:val="none"/>
              </w:rPr>
              <w:t>（3）造价专业负责人具备一级造价工程师资格或相关专业高级或以上职称的</w:t>
            </w:r>
            <w:r>
              <w:rPr>
                <w:rFonts w:hint="eastAsia"/>
                <w:color w:val="auto"/>
                <w:highlight w:val="none"/>
                <w:lang w:eastAsia="zh-CN"/>
              </w:rPr>
              <w:t>，</w:t>
            </w:r>
            <w:r>
              <w:rPr>
                <w:rFonts w:hint="eastAsia"/>
                <w:color w:val="auto"/>
                <w:highlight w:val="none"/>
                <w:lang w:val="en-US" w:eastAsia="zh-CN"/>
              </w:rPr>
              <w:t>得3分</w:t>
            </w:r>
            <w:r>
              <w:rPr>
                <w:rFonts w:hint="eastAsia"/>
                <w:color w:val="auto"/>
                <w:highlight w:val="none"/>
              </w:rPr>
              <w:t>。</w:t>
            </w:r>
          </w:p>
          <w:p>
            <w:pPr>
              <w:pStyle w:val="2"/>
              <w:spacing w:line="360" w:lineRule="auto"/>
              <w:rPr>
                <w:rFonts w:hint="eastAsia"/>
                <w:color w:val="auto"/>
                <w:highlight w:val="none"/>
              </w:rPr>
            </w:pPr>
            <w:r>
              <w:rPr>
                <w:rFonts w:hint="eastAsia"/>
                <w:color w:val="auto"/>
                <w:highlight w:val="none"/>
              </w:rPr>
              <w:t>（4）电气专业负责人具备注册电气工程师（供配电）资格或相关专业高级或以上职称的</w:t>
            </w:r>
            <w:r>
              <w:rPr>
                <w:rFonts w:hint="eastAsia"/>
                <w:color w:val="auto"/>
                <w:highlight w:val="none"/>
                <w:lang w:eastAsia="zh-CN"/>
              </w:rPr>
              <w:t>，</w:t>
            </w:r>
            <w:r>
              <w:rPr>
                <w:rFonts w:hint="eastAsia"/>
                <w:color w:val="auto"/>
                <w:highlight w:val="none"/>
                <w:lang w:val="en-US" w:eastAsia="zh-CN"/>
              </w:rPr>
              <w:t>得3分</w:t>
            </w:r>
            <w:r>
              <w:rPr>
                <w:rFonts w:hint="eastAsia"/>
                <w:color w:val="auto"/>
                <w:highlight w:val="none"/>
              </w:rPr>
              <w:t>。</w:t>
            </w:r>
          </w:p>
          <w:p>
            <w:pPr>
              <w:pStyle w:val="2"/>
              <w:spacing w:line="360" w:lineRule="auto"/>
              <w:rPr>
                <w:rFonts w:hint="eastAsia"/>
                <w:color w:val="auto"/>
                <w:highlight w:val="none"/>
                <w:lang w:val="zh-CN"/>
              </w:rPr>
            </w:pPr>
            <w:r>
              <w:rPr>
                <w:rFonts w:hint="eastAsia"/>
                <w:color w:val="auto"/>
                <w:highlight w:val="none"/>
              </w:rPr>
              <w:t>（5）勘察专业负责人具有注册土木工程师（岩土）资格或相关专业高级或以上职称的</w:t>
            </w:r>
            <w:r>
              <w:rPr>
                <w:rFonts w:hint="eastAsia"/>
                <w:color w:val="auto"/>
                <w:highlight w:val="none"/>
                <w:lang w:eastAsia="zh-CN"/>
              </w:rPr>
              <w:t>，</w:t>
            </w:r>
            <w:r>
              <w:rPr>
                <w:rFonts w:hint="eastAsia"/>
                <w:color w:val="auto"/>
                <w:highlight w:val="none"/>
                <w:lang w:val="en-US" w:eastAsia="zh-CN"/>
              </w:rPr>
              <w:t>得3分</w:t>
            </w:r>
            <w:r>
              <w:rPr>
                <w:rFonts w:hint="eastAsia"/>
                <w:color w:val="auto"/>
                <w:highlight w:val="none"/>
              </w:rPr>
              <w:t>。</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color w:val="auto"/>
                <w:sz w:val="21"/>
                <w:szCs w:val="21"/>
                <w:highlight w:val="none"/>
                <w:lang w:val="zh-CN"/>
              </w:rPr>
            </w:pPr>
            <w:r>
              <w:rPr>
                <w:rFonts w:hint="eastAsia" w:ascii="宋体" w:hAnsi="宋体" w:eastAsia="宋体" w:cs="宋体"/>
                <w:b w:val="0"/>
                <w:bCs w:val="0"/>
                <w:color w:val="auto"/>
                <w:szCs w:val="21"/>
                <w:highlight w:val="none"/>
                <w:lang w:val="en-US" w:eastAsia="zh-CN"/>
              </w:rPr>
              <w:t>注：本项</w:t>
            </w:r>
            <w:r>
              <w:rPr>
                <w:rFonts w:hint="eastAsia" w:ascii="宋体" w:hAnsi="宋体" w:eastAsia="宋体" w:cs="宋体"/>
                <w:b w:val="0"/>
                <w:bCs w:val="0"/>
                <w:color w:val="auto"/>
                <w:szCs w:val="21"/>
                <w:highlight w:val="none"/>
                <w:lang w:val="zh-CN"/>
              </w:rPr>
              <w:t>最多</w:t>
            </w:r>
            <w:r>
              <w:rPr>
                <w:rFonts w:hint="eastAsia" w:ascii="宋体" w:hAnsi="宋体" w:eastAsia="宋体" w:cs="宋体"/>
                <w:b w:val="0"/>
                <w:bCs w:val="0"/>
                <w:color w:val="auto"/>
                <w:kern w:val="2"/>
                <w:sz w:val="21"/>
                <w:szCs w:val="21"/>
                <w:highlight w:val="none"/>
                <w:lang w:val="zh-CN"/>
              </w:rPr>
              <w:t>得</w:t>
            </w:r>
            <w:r>
              <w:rPr>
                <w:rFonts w:hint="eastAsia" w:ascii="宋体" w:hAnsi="宋体" w:eastAsia="宋体" w:cs="宋体"/>
                <w:b w:val="0"/>
                <w:bCs w:val="0"/>
                <w:color w:val="auto"/>
                <w:kern w:val="2"/>
                <w:sz w:val="21"/>
                <w:szCs w:val="21"/>
                <w:highlight w:val="none"/>
                <w:lang w:val="en-US" w:eastAsia="zh-CN"/>
              </w:rPr>
              <w:t>15</w:t>
            </w:r>
            <w:r>
              <w:rPr>
                <w:rFonts w:hint="eastAsia" w:ascii="宋体" w:hAnsi="宋体" w:eastAsia="宋体" w:cs="宋体"/>
                <w:b w:val="0"/>
                <w:bCs w:val="0"/>
                <w:color w:val="auto"/>
                <w:kern w:val="2"/>
                <w:sz w:val="21"/>
                <w:szCs w:val="21"/>
                <w:highlight w:val="none"/>
                <w:lang w:val="zh-CN"/>
              </w:rPr>
              <w:t>分。</w:t>
            </w:r>
            <w:r>
              <w:rPr>
                <w:rFonts w:hint="eastAsia" w:ascii="宋体" w:hAnsi="宋体" w:eastAsia="宋体" w:cs="宋体"/>
                <w:b w:val="0"/>
                <w:bCs w:val="0"/>
                <w:color w:val="auto"/>
                <w:highlight w:val="none"/>
                <w:u w:val="none"/>
                <w:lang w:eastAsia="zh-CN"/>
              </w:rPr>
              <w:t>须</w:t>
            </w:r>
            <w:r>
              <w:rPr>
                <w:rFonts w:hint="eastAsia" w:ascii="宋体" w:hAnsi="宋体" w:eastAsia="宋体" w:cs="宋体"/>
                <w:b w:val="0"/>
                <w:bCs w:val="0"/>
                <w:color w:val="auto"/>
                <w:highlight w:val="none"/>
                <w:u w:val="none"/>
                <w:lang w:val="en-US" w:eastAsia="zh-CN"/>
              </w:rPr>
              <w:t>提供各专业负责</w:t>
            </w:r>
            <w:r>
              <w:rPr>
                <w:rFonts w:hint="eastAsia" w:ascii="宋体" w:hAnsi="宋体" w:eastAsia="宋体" w:cs="宋体"/>
                <w:b w:val="0"/>
                <w:bCs w:val="0"/>
                <w:color w:val="auto"/>
                <w:szCs w:val="20"/>
                <w:highlight w:val="none"/>
                <w:u w:val="none"/>
                <w:lang w:val="en-US" w:eastAsia="zh-CN"/>
              </w:rPr>
              <w:t>人的职称证书或注册证书等证明材料扫描件，同时提供</w:t>
            </w:r>
            <w:r>
              <w:rPr>
                <w:rFonts w:hint="eastAsia" w:ascii="宋体" w:hAnsi="宋体" w:eastAsia="宋体" w:cs="宋体"/>
                <w:color w:val="auto"/>
                <w:szCs w:val="20"/>
                <w:highlight w:val="none"/>
                <w:u w:val="none"/>
              </w:rPr>
              <w:t>本项目投标截止日前三个月内任意一个月在本单位缴纳的社保证明文件</w:t>
            </w:r>
            <w:r>
              <w:rPr>
                <w:rFonts w:hint="eastAsia" w:ascii="宋体" w:hAnsi="宋体" w:eastAsia="宋体" w:cs="宋体"/>
                <w:color w:val="auto"/>
                <w:szCs w:val="20"/>
                <w:highlight w:val="none"/>
                <w:u w:val="none"/>
                <w:lang w:eastAsia="zh-CN"/>
              </w:rPr>
              <w:t>，</w:t>
            </w:r>
            <w:r>
              <w:rPr>
                <w:rFonts w:hint="eastAsia" w:ascii="宋体" w:hAnsi="宋体" w:eastAsia="宋体" w:cs="宋体"/>
                <w:color w:val="auto"/>
                <w:szCs w:val="20"/>
                <w:highlight w:val="none"/>
                <w:u w:val="none"/>
                <w:lang w:val="en-US"/>
              </w:rPr>
              <w:t>含非独立法人的分公司或分支机构社保缴纳记录</w:t>
            </w:r>
            <w:r>
              <w:rPr>
                <w:rFonts w:hint="eastAsia" w:ascii="宋体" w:hAnsi="宋体" w:eastAsia="宋体" w:cs="宋体"/>
                <w:color w:val="auto"/>
                <w:szCs w:val="20"/>
                <w:highlight w:val="none"/>
                <w:u w:val="none"/>
                <w:lang w:val="en-US" w:eastAsia="zh-CN"/>
              </w:rPr>
              <w:t>，</w:t>
            </w:r>
            <w:r>
              <w:rPr>
                <w:rFonts w:hint="eastAsia" w:ascii="宋体" w:hAnsi="宋体" w:eastAsia="宋体" w:cs="宋体"/>
                <w:b w:val="0"/>
                <w:bCs w:val="0"/>
                <w:color w:val="auto"/>
                <w:szCs w:val="20"/>
                <w:highlight w:val="none"/>
                <w:u w:val="none"/>
                <w:lang w:val="en-US" w:eastAsia="zh-CN"/>
              </w:rPr>
              <w:t>不</w:t>
            </w:r>
            <w:r>
              <w:rPr>
                <w:rFonts w:hint="eastAsia" w:ascii="宋体" w:hAnsi="宋体" w:eastAsia="宋体" w:cs="宋体"/>
                <w:b w:val="0"/>
                <w:bCs w:val="0"/>
                <w:color w:val="auto"/>
                <w:highlight w:val="none"/>
                <w:u w:val="none"/>
                <w:lang w:val="en-US" w:eastAsia="zh-CN"/>
              </w:rPr>
              <w:t>提供不得分。上述各专业人员不可兼任，每专业仅计算一人得分，一个专业配置多人仅计算第一人得分。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2" w:hRule="atLeast"/>
          <w:jc w:val="center"/>
        </w:trPr>
        <w:tc>
          <w:tcPr>
            <w:tcW w:w="638" w:type="dxa"/>
            <w:vMerge w:val="restart"/>
            <w:vAlign w:val="center"/>
          </w:tcPr>
          <w:p>
            <w:pPr>
              <w:pStyle w:val="158"/>
              <w:snapToGrid w:val="0"/>
              <w:spacing w:line="360" w:lineRule="auto"/>
              <w:jc w:val="center"/>
              <w:rPr>
                <w:rFonts w:hint="eastAsia" w:ascii="宋体" w:hAnsi="宋体" w:eastAsia="宋体" w:cs="宋体"/>
                <w:color w:val="auto"/>
                <w:sz w:val="20"/>
                <w:highlight w:val="none"/>
                <w:lang w:eastAsia="zh-CN"/>
              </w:rPr>
            </w:pPr>
            <w:r>
              <w:rPr>
                <w:rFonts w:hint="eastAsia" w:ascii="宋体" w:hAnsi="宋体" w:eastAsia="宋体" w:cs="宋体"/>
                <w:color w:val="auto"/>
                <w:sz w:val="20"/>
                <w:highlight w:val="none"/>
                <w:lang w:eastAsia="zh-CN"/>
              </w:rPr>
              <w:t>四</w:t>
            </w:r>
          </w:p>
        </w:tc>
        <w:tc>
          <w:tcPr>
            <w:tcW w:w="1077" w:type="dxa"/>
            <w:vMerge w:val="restart"/>
            <w:vAlign w:val="center"/>
          </w:tcPr>
          <w:p>
            <w:pPr>
              <w:pStyle w:val="158"/>
              <w:snapToGrid w:val="0"/>
              <w:spacing w:line="360" w:lineRule="auto"/>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信誉</w:t>
            </w:r>
          </w:p>
        </w:tc>
        <w:tc>
          <w:tcPr>
            <w:tcW w:w="647" w:type="dxa"/>
            <w:vMerge w:val="restart"/>
            <w:vAlign w:val="center"/>
          </w:tcPr>
          <w:p>
            <w:pPr>
              <w:pStyle w:val="156"/>
              <w:wordWrap w:val="0"/>
              <w:topLinePunct/>
              <w:adjustRightInd w:val="0"/>
              <w:spacing w:line="360" w:lineRule="auto"/>
              <w:jc w:val="center"/>
              <w:rPr>
                <w:rFonts w:hint="eastAsia" w:ascii="宋体" w:hAnsi="宋体" w:eastAsia="宋体" w:cs="宋体"/>
                <w:color w:val="auto"/>
                <w:sz w:val="20"/>
                <w:highlight w:val="none"/>
                <w:lang w:eastAsia="zh-CN"/>
              </w:rPr>
            </w:pPr>
            <w:r>
              <w:rPr>
                <w:rFonts w:hint="eastAsia" w:ascii="宋体" w:hAnsi="宋体" w:cs="宋体"/>
                <w:color w:val="auto"/>
                <w:szCs w:val="21"/>
                <w:highlight w:val="none"/>
                <w:lang w:val="en-US" w:eastAsia="zh-CN"/>
              </w:rPr>
              <w:t>15</w:t>
            </w:r>
          </w:p>
        </w:tc>
        <w:tc>
          <w:tcPr>
            <w:tcW w:w="11374" w:type="dxa"/>
            <w:vAlign w:val="center"/>
          </w:tcPr>
          <w:p>
            <w:pPr>
              <w:autoSpaceDE w:val="0"/>
              <w:autoSpaceDN w:val="0"/>
              <w:adjustRightIn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1"/>
                <w:highlight w:val="none"/>
                <w:lang w:val="zh-CN"/>
              </w:rPr>
              <w:t>（若为联合体，指联合体主办方）</w:t>
            </w:r>
            <w:r>
              <w:rPr>
                <w:rFonts w:hint="eastAsia" w:ascii="宋体" w:hAnsi="宋体" w:eastAsia="宋体" w:cs="宋体"/>
                <w:color w:val="auto"/>
                <w:szCs w:val="21"/>
                <w:highlight w:val="none"/>
                <w:lang w:val="zh-CN"/>
              </w:rPr>
              <w:t>具备质量管理体系认证、职业健康安全管理体系认证、环境管理体系认证且在有效期内的，每项得2分，本项最多得6分。</w:t>
            </w:r>
          </w:p>
          <w:p>
            <w:pPr>
              <w:pStyle w:val="156"/>
              <w:keepNext w:val="0"/>
              <w:keepLines w:val="0"/>
              <w:pageBreakBefore w:val="0"/>
              <w:widowControl w:val="0"/>
              <w:numPr>
                <w:ilvl w:val="0"/>
                <w:numId w:val="0"/>
              </w:numPr>
              <w:kinsoku/>
              <w:wordWrap/>
              <w:overflowPunct/>
              <w:topLinePunct w:val="0"/>
              <w:bidi w:val="0"/>
              <w:adjustRightInd w:val="0"/>
              <w:snapToGrid/>
              <w:spacing w:line="360" w:lineRule="auto"/>
              <w:textAlignment w:val="auto"/>
              <w:rPr>
                <w:rFonts w:hint="eastAsia" w:ascii="宋体" w:hAnsi="宋体" w:cs="宋体"/>
                <w:color w:val="auto"/>
                <w:sz w:val="20"/>
                <w:highlight w:val="none"/>
              </w:rPr>
            </w:pPr>
            <w:r>
              <w:rPr>
                <w:rFonts w:hint="eastAsia" w:ascii="宋体" w:hAnsi="宋体" w:cs="宋体"/>
                <w:color w:val="auto"/>
                <w:szCs w:val="21"/>
                <w:highlight w:val="none"/>
                <w:lang w:val="zh-CN"/>
              </w:rPr>
              <w:t>注：需提供证书扫描件及全国认证认可信息公共服务平台（http://cx.cnca.cn/）查询结果截图。</w:t>
            </w:r>
            <w:r>
              <w:rPr>
                <w:rFonts w:hint="eastAsia" w:ascii="宋体" w:hAnsi="宋体" w:cs="宋体"/>
                <w:b/>
                <w:color w:val="auto"/>
                <w:highlight w:val="none"/>
                <w:u w:val="single"/>
              </w:rPr>
              <w:br w:type="page"/>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52" w:hRule="atLeast"/>
          <w:jc w:val="center"/>
        </w:trPr>
        <w:tc>
          <w:tcPr>
            <w:tcW w:w="638" w:type="dxa"/>
            <w:vMerge w:val="continue"/>
            <w:vAlign w:val="center"/>
          </w:tcPr>
          <w:p>
            <w:pPr>
              <w:pStyle w:val="156"/>
              <w:spacing w:line="360" w:lineRule="auto"/>
              <w:rPr>
                <w:rFonts w:hint="eastAsia" w:ascii="宋体" w:hAnsi="宋体" w:cs="宋体"/>
                <w:color w:val="auto"/>
                <w:highlight w:val="none"/>
              </w:rPr>
            </w:pPr>
          </w:p>
        </w:tc>
        <w:tc>
          <w:tcPr>
            <w:tcW w:w="1077" w:type="dxa"/>
            <w:vMerge w:val="continue"/>
            <w:vAlign w:val="center"/>
          </w:tcPr>
          <w:p>
            <w:pPr>
              <w:pStyle w:val="156"/>
              <w:spacing w:line="360" w:lineRule="auto"/>
              <w:rPr>
                <w:rFonts w:hint="eastAsia" w:ascii="宋体" w:hAnsi="宋体" w:cs="宋体"/>
                <w:color w:val="auto"/>
                <w:highlight w:val="none"/>
              </w:rPr>
            </w:pPr>
          </w:p>
        </w:tc>
        <w:tc>
          <w:tcPr>
            <w:tcW w:w="647" w:type="dxa"/>
            <w:vMerge w:val="continue"/>
            <w:vAlign w:val="center"/>
          </w:tcPr>
          <w:p>
            <w:pPr>
              <w:pStyle w:val="156"/>
              <w:spacing w:line="360" w:lineRule="auto"/>
              <w:rPr>
                <w:rFonts w:hint="eastAsia" w:ascii="宋体" w:hAnsi="宋体" w:cs="宋体"/>
                <w:color w:val="auto"/>
                <w:highlight w:val="none"/>
              </w:rPr>
            </w:pPr>
          </w:p>
        </w:tc>
        <w:tc>
          <w:tcPr>
            <w:tcW w:w="11374" w:type="dxa"/>
            <w:vAlign w:val="center"/>
          </w:tcPr>
          <w:p>
            <w:pPr>
              <w:pStyle w:val="8"/>
              <w:spacing w:line="360" w:lineRule="auto"/>
              <w:ind w:firstLine="0" w:firstLineChars="0"/>
              <w:rPr>
                <w:rFonts w:hint="eastAsia" w:ascii="宋体" w:hAnsi="宋体" w:cs="宋体"/>
                <w:bCs/>
                <w:color w:val="auto"/>
                <w:szCs w:val="21"/>
                <w:highlight w:val="none"/>
                <w:u w:val="none"/>
              </w:rPr>
            </w:pPr>
            <w:r>
              <w:rPr>
                <w:rFonts w:hint="eastAsia" w:ascii="宋体" w:hAnsi="宋体" w:cs="宋体"/>
                <w:bCs/>
                <w:color w:val="auto"/>
                <w:szCs w:val="21"/>
                <w:highlight w:val="none"/>
                <w:u w:val="none"/>
              </w:rPr>
              <w:t>投标人</w:t>
            </w:r>
            <w:r>
              <w:rPr>
                <w:rFonts w:hint="eastAsia" w:ascii="宋体" w:hAnsi="宋体" w:cs="宋体"/>
                <w:bCs/>
                <w:color w:val="auto"/>
                <w:szCs w:val="21"/>
                <w:highlight w:val="none"/>
                <w:u w:val="none"/>
              </w:rPr>
              <w:t>（若为联合体，指联合体主办方）</w:t>
            </w:r>
            <w:r>
              <w:rPr>
                <w:rFonts w:hint="eastAsia" w:ascii="宋体" w:hAnsi="宋体" w:cs="宋体"/>
                <w:bCs/>
                <w:color w:val="auto"/>
                <w:szCs w:val="21"/>
                <w:highlight w:val="none"/>
                <w:u w:val="none"/>
              </w:rPr>
              <w:t>获得</w:t>
            </w:r>
            <w:r>
              <w:rPr>
                <w:rFonts w:hint="eastAsia" w:ascii="宋体" w:hAnsi="宋体" w:cs="宋体"/>
                <w:bCs/>
                <w:color w:val="auto"/>
                <w:szCs w:val="21"/>
                <w:highlight w:val="none"/>
                <w:u w:val="none"/>
                <w:lang w:val="en-US" w:eastAsia="zh-CN"/>
              </w:rPr>
              <w:t>市级（或以上）</w:t>
            </w:r>
            <w:r>
              <w:rPr>
                <w:rFonts w:hint="eastAsia" w:ascii="宋体" w:hAnsi="宋体" w:cs="宋体"/>
                <w:bCs/>
                <w:color w:val="auto"/>
                <w:szCs w:val="21"/>
                <w:highlight w:val="none"/>
                <w:u w:val="none"/>
              </w:rPr>
              <w:t>建设行政主管部门或</w:t>
            </w:r>
            <w:r>
              <w:rPr>
                <w:rFonts w:hint="eastAsia" w:ascii="宋体" w:hAnsi="宋体" w:cs="宋体"/>
                <w:bCs/>
                <w:color w:val="auto"/>
                <w:szCs w:val="21"/>
                <w:highlight w:val="none"/>
                <w:u w:val="none"/>
              </w:rPr>
              <w:t>行业协会颁发的企业信用等级证书且在有效期内，AAA级或以上的得</w:t>
            </w:r>
            <w:r>
              <w:rPr>
                <w:rFonts w:hint="eastAsia" w:ascii="宋体" w:hAnsi="宋体" w:cs="宋体"/>
                <w:bCs/>
                <w:color w:val="auto"/>
                <w:szCs w:val="21"/>
                <w:highlight w:val="none"/>
                <w:u w:val="none"/>
                <w:lang w:val="en-US" w:eastAsia="zh-CN"/>
              </w:rPr>
              <w:t>9</w:t>
            </w:r>
            <w:r>
              <w:rPr>
                <w:rFonts w:hint="eastAsia" w:ascii="宋体" w:hAnsi="宋体" w:cs="宋体"/>
                <w:bCs/>
                <w:color w:val="auto"/>
                <w:szCs w:val="21"/>
                <w:highlight w:val="none"/>
                <w:u w:val="none"/>
              </w:rPr>
              <w:t>分；AA级得5分；A级得1分；不符合上述要求的则不得分，本项最高得</w:t>
            </w:r>
            <w:r>
              <w:rPr>
                <w:rFonts w:hint="eastAsia" w:ascii="宋体" w:hAnsi="宋体" w:cs="宋体"/>
                <w:bCs/>
                <w:color w:val="auto"/>
                <w:szCs w:val="21"/>
                <w:highlight w:val="none"/>
                <w:u w:val="none"/>
                <w:lang w:val="en-US" w:eastAsia="zh-CN"/>
              </w:rPr>
              <w:t>9</w:t>
            </w:r>
            <w:r>
              <w:rPr>
                <w:rFonts w:hint="eastAsia" w:ascii="宋体" w:hAnsi="宋体" w:cs="宋体"/>
                <w:bCs/>
                <w:color w:val="auto"/>
                <w:szCs w:val="21"/>
                <w:highlight w:val="none"/>
                <w:u w:val="none"/>
              </w:rPr>
              <w:t>分。</w:t>
            </w:r>
          </w:p>
          <w:p>
            <w:pPr>
              <w:pStyle w:val="8"/>
              <w:spacing w:line="360" w:lineRule="auto"/>
              <w:ind w:firstLine="0" w:firstLineChars="0"/>
              <w:rPr>
                <w:rFonts w:hint="eastAsia" w:ascii="宋体" w:hAnsi="宋体" w:cs="宋体"/>
                <w:color w:val="auto"/>
                <w:sz w:val="20"/>
                <w:highlight w:val="none"/>
              </w:rPr>
            </w:pPr>
            <w:r>
              <w:rPr>
                <w:rFonts w:hint="eastAsia" w:ascii="宋体" w:hAnsi="宋体" w:cs="宋体"/>
                <w:bCs/>
                <w:color w:val="auto"/>
                <w:szCs w:val="21"/>
                <w:highlight w:val="none"/>
                <w:u w:val="none"/>
              </w:rPr>
              <w:t>注：提供有效期内的相关证书扫描件。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 w:hRule="atLeast"/>
          <w:jc w:val="center"/>
        </w:trPr>
        <w:tc>
          <w:tcPr>
            <w:tcW w:w="638" w:type="dxa"/>
            <w:vAlign w:val="center"/>
          </w:tcPr>
          <w:p>
            <w:pPr>
              <w:pStyle w:val="158"/>
              <w:snapToGrid w:val="0"/>
              <w:spacing w:line="360" w:lineRule="auto"/>
              <w:jc w:val="center"/>
              <w:rPr>
                <w:rFonts w:hint="eastAsia" w:ascii="宋体" w:hAnsi="宋体" w:eastAsia="宋体" w:cs="宋体"/>
                <w:color w:val="auto"/>
                <w:sz w:val="20"/>
                <w:highlight w:val="none"/>
              </w:rPr>
            </w:pPr>
          </w:p>
        </w:tc>
        <w:tc>
          <w:tcPr>
            <w:tcW w:w="1077" w:type="dxa"/>
            <w:vAlign w:val="center"/>
          </w:tcPr>
          <w:p>
            <w:pPr>
              <w:pStyle w:val="158"/>
              <w:snapToGrid w:val="0"/>
              <w:spacing w:line="360" w:lineRule="auto"/>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总计</w:t>
            </w:r>
          </w:p>
        </w:tc>
        <w:tc>
          <w:tcPr>
            <w:tcW w:w="647" w:type="dxa"/>
            <w:vAlign w:val="center"/>
          </w:tcPr>
          <w:p>
            <w:pPr>
              <w:pStyle w:val="158"/>
              <w:snapToGrid w:val="0"/>
              <w:spacing w:line="360" w:lineRule="auto"/>
              <w:jc w:val="center"/>
              <w:rPr>
                <w:rFonts w:hint="eastAsia" w:ascii="宋体" w:hAnsi="宋体" w:eastAsia="宋体" w:cs="宋体"/>
                <w:color w:val="auto"/>
                <w:sz w:val="20"/>
                <w:highlight w:val="none"/>
              </w:rPr>
            </w:pPr>
            <w:r>
              <w:rPr>
                <w:rFonts w:hint="eastAsia" w:ascii="宋体" w:hAnsi="宋体" w:eastAsia="宋体" w:cs="宋体"/>
                <w:color w:val="auto"/>
                <w:sz w:val="20"/>
                <w:highlight w:val="none"/>
              </w:rPr>
              <w:t>100</w:t>
            </w:r>
          </w:p>
        </w:tc>
        <w:tc>
          <w:tcPr>
            <w:tcW w:w="11374" w:type="dxa"/>
            <w:vAlign w:val="center"/>
          </w:tcPr>
          <w:p>
            <w:pPr>
              <w:pStyle w:val="158"/>
              <w:snapToGrid w:val="0"/>
              <w:spacing w:line="360" w:lineRule="auto"/>
              <w:jc w:val="center"/>
              <w:rPr>
                <w:rFonts w:hint="eastAsia" w:ascii="宋体" w:hAnsi="宋体" w:eastAsia="宋体" w:cs="宋体"/>
                <w:color w:val="auto"/>
                <w:sz w:val="20"/>
                <w:highlight w:val="none"/>
              </w:rPr>
            </w:pPr>
          </w:p>
        </w:tc>
      </w:tr>
    </w:tbl>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1、业绩获奖的按最高奖项只计算一次，不重复计算。</w:t>
      </w:r>
    </w:p>
    <w:p>
      <w:pPr>
        <w:wordWrap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rPr>
        <w:t>如联合体投标的，勘察</w:t>
      </w:r>
      <w:r>
        <w:rPr>
          <w:rFonts w:hint="eastAsia" w:ascii="宋体" w:hAnsi="宋体" w:eastAsia="宋体" w:cs="宋体"/>
          <w:color w:val="auto"/>
          <w:szCs w:val="21"/>
          <w:highlight w:val="none"/>
          <w:lang w:val="en-US" w:eastAsia="zh-CN"/>
        </w:rPr>
        <w:t>类似</w:t>
      </w:r>
      <w:r>
        <w:rPr>
          <w:rFonts w:hint="eastAsia" w:ascii="宋体" w:hAnsi="宋体" w:eastAsia="宋体" w:cs="宋体"/>
          <w:color w:val="auto"/>
          <w:szCs w:val="21"/>
          <w:highlight w:val="none"/>
        </w:rPr>
        <w:t>业绩、勘察项目获奖及勘察专业负责人以联合体协议书书中承担勘察工作的联合体成员的资料为准，如有两家或以上单位负责勘察工作，以提供勘察专业负责人的一方的评分资料为准；设计类似业绩、设计项目获奖、项目负责人设计经历及业务能力均以联合体主办方（或牵头方）的资料为准</w:t>
      </w:r>
      <w:r>
        <w:rPr>
          <w:rFonts w:hint="eastAsia" w:ascii="宋体" w:hAnsi="宋体" w:eastAsia="宋体" w:cs="宋体"/>
          <w:color w:val="auto"/>
          <w:szCs w:val="21"/>
          <w:highlight w:val="none"/>
        </w:rPr>
        <w:t>。</w:t>
      </w:r>
    </w:p>
    <w:p>
      <w:pPr>
        <w:wordWrap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3、评标委员会专家评出各投标人</w:t>
      </w:r>
      <w:bookmarkStart w:id="234" w:name="_GoBack"/>
      <w:bookmarkEnd w:id="234"/>
      <w:r>
        <w:rPr>
          <w:rFonts w:hint="eastAsia" w:ascii="宋体" w:hAnsi="宋体" w:eastAsia="宋体" w:cs="宋体"/>
          <w:color w:val="auto"/>
          <w:szCs w:val="21"/>
          <w:highlight w:val="none"/>
        </w:rPr>
        <w:t>商务文件的分数，计取算术平均分，得出每个投标人商务文件的得分，分数出现小数点，保留小数点后二位，第三位小数四舍五入。</w:t>
      </w:r>
    </w:p>
    <w:p>
      <w:pPr>
        <w:pStyle w:val="2"/>
        <w:rPr>
          <w:color w:val="auto"/>
          <w:highlight w:val="none"/>
        </w:rPr>
      </w:pPr>
    </w:p>
    <w:p>
      <w:pPr>
        <w:wordWrap w:val="0"/>
        <w:ind w:firstLine="420" w:firstLineChars="200"/>
        <w:rPr>
          <w:rFonts w:ascii="宋体" w:hAnsi="宋体" w:eastAsia="宋体" w:cs="宋体"/>
          <w:color w:val="auto"/>
          <w:szCs w:val="21"/>
          <w:highlight w:val="none"/>
        </w:rPr>
        <w:sectPr>
          <w:pgSz w:w="16838" w:h="11905" w:orient="landscape"/>
          <w:pgMar w:top="1701" w:right="1474" w:bottom="1701" w:left="1474" w:header="720" w:footer="720" w:gutter="0"/>
          <w:cols w:space="720" w:num="1"/>
        </w:sectPr>
      </w:pPr>
    </w:p>
    <w:p>
      <w:pPr>
        <w:wordWrap w:val="0"/>
        <w:autoSpaceDE w:val="0"/>
        <w:autoSpaceDN w:val="0"/>
        <w:spacing w:line="276" w:lineRule="auto"/>
        <w:jc w:val="left"/>
        <w:outlineLvl w:val="3"/>
        <w:rPr>
          <w:rFonts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附件二：</w:t>
      </w: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技术文件（勘察设计方案）综合评分表</w:t>
      </w:r>
    </w:p>
    <w:p>
      <w:pPr>
        <w:spacing w:line="360" w:lineRule="auto"/>
        <w:rPr>
          <w:rFonts w:hint="eastAsia" w:ascii="宋体" w:hAnsi="宋体" w:eastAsia="宋体" w:cs="宋体"/>
          <w:color w:val="auto"/>
          <w:highlight w:val="none"/>
          <w:u w:val="single"/>
        </w:rPr>
      </w:pPr>
    </w:p>
    <w:tbl>
      <w:tblPr>
        <w:tblStyle w:val="4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4"/>
        <w:gridCol w:w="1028"/>
        <w:gridCol w:w="1476"/>
        <w:gridCol w:w="8898"/>
        <w:gridCol w:w="10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jc w:val="center"/>
        </w:trPr>
        <w:tc>
          <w:tcPr>
            <w:tcW w:w="684" w:type="dxa"/>
            <w:noWrap w:val="0"/>
            <w:textDirection w:val="tbRlV"/>
            <w:vAlign w:val="center"/>
          </w:tcPr>
          <w:p>
            <w:pPr>
              <w:autoSpaceDE w:val="0"/>
              <w:autoSpaceDN w:val="0"/>
              <w:adjustRightInd w:val="0"/>
              <w:spacing w:line="360" w:lineRule="auto"/>
              <w:ind w:left="113" w:right="113"/>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序号</w:t>
            </w:r>
          </w:p>
        </w:tc>
        <w:tc>
          <w:tcPr>
            <w:tcW w:w="1028" w:type="dxa"/>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目</w:t>
            </w:r>
          </w:p>
        </w:tc>
        <w:tc>
          <w:tcPr>
            <w:tcW w:w="1476" w:type="dxa"/>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分值分配</w:t>
            </w:r>
          </w:p>
        </w:tc>
        <w:tc>
          <w:tcPr>
            <w:tcW w:w="8898" w:type="dxa"/>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内</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容</w:t>
            </w:r>
          </w:p>
        </w:tc>
        <w:tc>
          <w:tcPr>
            <w:tcW w:w="1022" w:type="dxa"/>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684" w:type="dxa"/>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一</w:t>
            </w:r>
          </w:p>
        </w:tc>
        <w:tc>
          <w:tcPr>
            <w:tcW w:w="1028" w:type="dxa"/>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投标文件的符合性</w:t>
            </w:r>
          </w:p>
        </w:tc>
        <w:tc>
          <w:tcPr>
            <w:tcW w:w="1476" w:type="dxa"/>
            <w:noWrap w:val="0"/>
            <w:vAlign w:val="center"/>
          </w:tcPr>
          <w:p>
            <w:pPr>
              <w:autoSpaceDE w:val="0"/>
              <w:autoSpaceDN w:val="0"/>
              <w:adjustRightInd w:val="0"/>
              <w:spacing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8898" w:type="dxa"/>
            <w:noWrap w:val="0"/>
            <w:vAlign w:val="center"/>
          </w:tcPr>
          <w:p>
            <w:pPr>
              <w:wordWrap w:val="0"/>
              <w:topLinePunct/>
              <w:adjustRightIn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整个设计内容符合招标文件要求，内容全面，设计总说明书文字表达清楚、思路清晰、重点和难点突出、图纸及文卷质量高。</w:t>
            </w:r>
          </w:p>
          <w:p>
            <w:pPr>
              <w:topLinePunct/>
              <w:adjustRightIn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优得10分，良得</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lang w:val="en-US" w:eastAsia="zh-CN"/>
              </w:rPr>
              <w:t>中得8分，差</w:t>
            </w:r>
            <w:r>
              <w:rPr>
                <w:rFonts w:hint="eastAsia" w:ascii="宋体" w:hAnsi="宋体" w:eastAsia="宋体" w:cs="宋体"/>
                <w:color w:val="auto"/>
                <w:szCs w:val="21"/>
                <w:highlight w:val="none"/>
                <w:lang w:val="zh-CN"/>
              </w:rPr>
              <w:t>得</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分,无得0分。</w:t>
            </w:r>
          </w:p>
        </w:tc>
        <w:tc>
          <w:tcPr>
            <w:tcW w:w="1022" w:type="dxa"/>
            <w:noWrap w:val="0"/>
            <w:vAlign w:val="center"/>
          </w:tcPr>
          <w:p>
            <w:pPr>
              <w:wordWrap w:val="0"/>
              <w:topLinePunct/>
              <w:adjustRightInd w:val="0"/>
              <w:spacing w:line="360" w:lineRule="auto"/>
              <w:jc w:val="center"/>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84" w:type="dxa"/>
            <w:vMerge w:val="restart"/>
            <w:noWrap w:val="0"/>
            <w:vAlign w:val="center"/>
          </w:tcPr>
          <w:p>
            <w:pPr>
              <w:autoSpaceDE w:val="0"/>
              <w:autoSpaceDN w:val="0"/>
              <w:adjustRightInd w:val="0"/>
              <w:spacing w:line="360" w:lineRule="auto"/>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二</w:t>
            </w:r>
          </w:p>
        </w:tc>
        <w:tc>
          <w:tcPr>
            <w:tcW w:w="1028" w:type="dxa"/>
            <w:vMerge w:val="restart"/>
            <w:noWrap w:val="0"/>
            <w:vAlign w:val="center"/>
          </w:tcPr>
          <w:p>
            <w:pPr>
              <w:autoSpaceDE w:val="0"/>
              <w:autoSpaceDN w:val="0"/>
              <w:adjustRightInd w:val="0"/>
              <w:spacing w:line="360" w:lineRule="auto"/>
              <w:jc w:val="center"/>
              <w:rPr>
                <w:rFonts w:hint="eastAsia" w:ascii="宋体" w:hAnsi="宋体" w:eastAsia="宋体" w:cs="宋体"/>
                <w:color w:val="auto"/>
                <w:kern w:val="0"/>
                <w:highlight w:val="none"/>
                <w:lang w:val="zh-CN"/>
              </w:rPr>
            </w:pPr>
            <w:r>
              <w:rPr>
                <w:rFonts w:hint="eastAsia" w:ascii="宋体" w:hAnsi="宋体" w:eastAsia="宋体" w:cs="宋体"/>
                <w:color w:val="auto"/>
                <w:highlight w:val="none"/>
                <w:lang w:val="zh-CN"/>
              </w:rPr>
              <w:t>设计方案及勘察大纲</w:t>
            </w:r>
          </w:p>
        </w:tc>
        <w:tc>
          <w:tcPr>
            <w:tcW w:w="1476" w:type="dxa"/>
            <w:vMerge w:val="restart"/>
            <w:noWrap w:val="0"/>
            <w:vAlign w:val="center"/>
          </w:tcPr>
          <w:p>
            <w:pPr>
              <w:autoSpaceDE w:val="0"/>
              <w:autoSpaceDN w:val="0"/>
              <w:adjustRightInd w:val="0"/>
              <w:spacing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80</w:t>
            </w:r>
          </w:p>
        </w:tc>
        <w:tc>
          <w:tcPr>
            <w:tcW w:w="8898" w:type="dxa"/>
            <w:noWrap w:val="0"/>
            <w:vAlign w:val="center"/>
          </w:tcPr>
          <w:p>
            <w:pPr>
              <w:numPr>
                <w:ilvl w:val="0"/>
                <w:numId w:val="1"/>
              </w:numPr>
              <w:wordWrap w:val="0"/>
              <w:topLinePunct/>
              <w:adjustRightIn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正确理解并执行规划建设意图，与周边路网、管网规划协调一致；区域内路网的交通组织完善</w:t>
            </w:r>
            <w:r>
              <w:rPr>
                <w:rFonts w:hint="eastAsia" w:ascii="宋体" w:hAnsi="宋体" w:eastAsia="宋体" w:cs="宋体"/>
                <w:color w:val="auto"/>
                <w:szCs w:val="21"/>
                <w:highlight w:val="none"/>
                <w:lang w:val="en-US" w:eastAsia="zh-CN"/>
              </w:rPr>
              <w:t>合理</w:t>
            </w:r>
            <w:r>
              <w:rPr>
                <w:rFonts w:hint="eastAsia" w:ascii="宋体" w:hAnsi="宋体" w:eastAsia="宋体" w:cs="宋体"/>
                <w:color w:val="auto"/>
                <w:szCs w:val="21"/>
                <w:highlight w:val="none"/>
                <w:lang w:val="zh-CN"/>
              </w:rPr>
              <w:t>，总体思路清晰；</w:t>
            </w:r>
            <w:r>
              <w:rPr>
                <w:rFonts w:hint="eastAsia" w:ascii="宋体" w:hAnsi="宋体" w:eastAsia="宋体" w:cs="宋体"/>
                <w:color w:val="auto"/>
                <w:szCs w:val="21"/>
                <w:highlight w:val="none"/>
                <w:lang w:val="en-US" w:eastAsia="zh-CN"/>
              </w:rPr>
              <w:t>各专业之间</w:t>
            </w:r>
            <w:r>
              <w:rPr>
                <w:rFonts w:hint="eastAsia" w:ascii="宋体" w:hAnsi="宋体" w:eastAsia="宋体" w:cs="宋体"/>
                <w:color w:val="auto"/>
                <w:szCs w:val="21"/>
                <w:highlight w:val="none"/>
                <w:lang w:val="zh-CN"/>
              </w:rPr>
              <w:t>关系处理得当；工程建设和使用的重点、难点分析透彻，解决措施合理。</w:t>
            </w:r>
          </w:p>
          <w:p>
            <w:pPr>
              <w:wordWrap w:val="0"/>
              <w:topLinePunct/>
              <w:adjustRightIn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优得10分，良得</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lang w:val="en-US" w:eastAsia="zh-CN"/>
              </w:rPr>
              <w:t>中得8分，差</w:t>
            </w:r>
            <w:r>
              <w:rPr>
                <w:rFonts w:hint="eastAsia" w:ascii="宋体" w:hAnsi="宋体" w:eastAsia="宋体" w:cs="宋体"/>
                <w:color w:val="auto"/>
                <w:szCs w:val="21"/>
                <w:highlight w:val="none"/>
                <w:lang w:val="zh-CN"/>
              </w:rPr>
              <w:t>得</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分,无得0分。</w:t>
            </w:r>
          </w:p>
        </w:tc>
        <w:tc>
          <w:tcPr>
            <w:tcW w:w="1022" w:type="dxa"/>
            <w:noWrap w:val="0"/>
            <w:vAlign w:val="center"/>
          </w:tcPr>
          <w:p>
            <w:pPr>
              <w:wordWrap w:val="0"/>
              <w:topLinePunct/>
              <w:adjustRightInd w:val="0"/>
              <w:spacing w:line="360" w:lineRule="auto"/>
              <w:jc w:val="center"/>
              <w:rPr>
                <w:rFonts w:hint="eastAsia" w:ascii="宋体" w:hAnsi="宋体" w:eastAsia="宋体" w:cs="宋体"/>
                <w:color w:val="auto"/>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0" w:hRule="atLeast"/>
          <w:jc w:val="center"/>
        </w:trPr>
        <w:tc>
          <w:tcPr>
            <w:tcW w:w="684"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highlight w:val="none"/>
                <w:lang w:val="zh-CN"/>
              </w:rPr>
            </w:pPr>
          </w:p>
        </w:tc>
        <w:tc>
          <w:tcPr>
            <w:tcW w:w="1028" w:type="dxa"/>
            <w:vMerge w:val="continue"/>
            <w:noWrap w:val="0"/>
            <w:textDirection w:val="tbRlV"/>
            <w:vAlign w:val="center"/>
          </w:tcPr>
          <w:p>
            <w:pPr>
              <w:autoSpaceDE w:val="0"/>
              <w:autoSpaceDN w:val="0"/>
              <w:adjustRightInd w:val="0"/>
              <w:spacing w:line="360" w:lineRule="auto"/>
              <w:ind w:left="113" w:right="113"/>
              <w:jc w:val="center"/>
              <w:rPr>
                <w:rFonts w:hint="eastAsia" w:ascii="宋体" w:hAnsi="宋体" w:eastAsia="宋体" w:cs="宋体"/>
                <w:color w:val="auto"/>
                <w:kern w:val="0"/>
                <w:highlight w:val="none"/>
                <w:lang w:val="zh-CN"/>
              </w:rPr>
            </w:pPr>
          </w:p>
        </w:tc>
        <w:tc>
          <w:tcPr>
            <w:tcW w:w="1476"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8898" w:type="dxa"/>
            <w:noWrap w:val="0"/>
            <w:vAlign w:val="center"/>
          </w:tcPr>
          <w:p>
            <w:pPr>
              <w:numPr>
                <w:ilvl w:val="0"/>
                <w:numId w:val="1"/>
              </w:numPr>
              <w:wordWrap w:val="0"/>
              <w:topLinePunct/>
              <w:adjustRightIn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交叉节点功能定位</w:t>
            </w:r>
            <w:r>
              <w:rPr>
                <w:rFonts w:hint="eastAsia" w:ascii="宋体" w:hAnsi="宋体" w:eastAsia="宋体" w:cs="宋体"/>
                <w:color w:val="auto"/>
                <w:szCs w:val="21"/>
                <w:highlight w:val="none"/>
                <w:lang w:val="en-US" w:eastAsia="zh-CN"/>
              </w:rPr>
              <w:t>科学</w:t>
            </w:r>
            <w:r>
              <w:rPr>
                <w:rFonts w:hint="eastAsia" w:ascii="宋体" w:hAnsi="宋体" w:eastAsia="宋体" w:cs="宋体"/>
                <w:color w:val="auto"/>
                <w:szCs w:val="21"/>
                <w:highlight w:val="none"/>
                <w:lang w:val="zh-CN"/>
              </w:rPr>
              <w:t>合理，平、纵、横等设计指标符合规范且标准较高，技术措施优良。</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优得10分，良得9分，中得8分，差得7分,无得0分。</w:t>
            </w:r>
          </w:p>
        </w:tc>
        <w:tc>
          <w:tcPr>
            <w:tcW w:w="1022" w:type="dxa"/>
            <w:noWrap w:val="0"/>
            <w:vAlign w:val="center"/>
          </w:tcPr>
          <w:p>
            <w:pPr>
              <w:wordWrap w:val="0"/>
              <w:topLinePunct/>
              <w:adjustRightInd w:val="0"/>
              <w:spacing w:line="360" w:lineRule="auto"/>
              <w:jc w:val="center"/>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684"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highlight w:val="none"/>
                <w:lang w:val="zh-CN"/>
              </w:rPr>
            </w:pPr>
          </w:p>
        </w:tc>
        <w:tc>
          <w:tcPr>
            <w:tcW w:w="1028" w:type="dxa"/>
            <w:vMerge w:val="continue"/>
            <w:noWrap w:val="0"/>
            <w:textDirection w:val="tbRlV"/>
            <w:vAlign w:val="center"/>
          </w:tcPr>
          <w:p>
            <w:pPr>
              <w:autoSpaceDE w:val="0"/>
              <w:autoSpaceDN w:val="0"/>
              <w:adjustRightInd w:val="0"/>
              <w:spacing w:line="360" w:lineRule="auto"/>
              <w:ind w:left="113" w:right="113"/>
              <w:jc w:val="center"/>
              <w:rPr>
                <w:rFonts w:hint="eastAsia" w:ascii="宋体" w:hAnsi="宋体" w:eastAsia="宋体" w:cs="宋体"/>
                <w:color w:val="auto"/>
                <w:kern w:val="0"/>
                <w:highlight w:val="none"/>
                <w:lang w:val="zh-CN"/>
              </w:rPr>
            </w:pPr>
          </w:p>
        </w:tc>
        <w:tc>
          <w:tcPr>
            <w:tcW w:w="1476"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8898" w:type="dxa"/>
            <w:noWrap w:val="0"/>
            <w:vAlign w:val="center"/>
          </w:tcPr>
          <w:p>
            <w:pPr>
              <w:wordWrap w:val="0"/>
              <w:topLinePunct/>
              <w:adjustRightIn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桥涵设计</w:t>
            </w:r>
            <w:r>
              <w:rPr>
                <w:rFonts w:hint="eastAsia" w:ascii="宋体" w:hAnsi="宋体" w:eastAsia="宋体" w:cs="宋体"/>
                <w:color w:val="auto"/>
                <w:szCs w:val="21"/>
                <w:highlight w:val="none"/>
                <w:lang w:val="zh-CN"/>
              </w:rPr>
              <w:t>方案合理，满足安全性、经济性、工艺可行，</w:t>
            </w:r>
            <w:r>
              <w:rPr>
                <w:rFonts w:hint="eastAsia" w:ascii="宋体" w:hAnsi="宋体" w:eastAsia="宋体" w:cs="宋体"/>
                <w:color w:val="auto"/>
                <w:szCs w:val="21"/>
                <w:highlight w:val="none"/>
                <w:lang w:val="en-US" w:eastAsia="zh-CN"/>
              </w:rPr>
              <w:t>并注重景</w:t>
            </w:r>
            <w:r>
              <w:rPr>
                <w:rFonts w:hint="eastAsia" w:ascii="宋体" w:hAnsi="宋体" w:eastAsia="宋体" w:cs="宋体"/>
                <w:color w:val="auto"/>
                <w:szCs w:val="21"/>
                <w:highlight w:val="none"/>
                <w:lang w:val="zh-CN"/>
              </w:rPr>
              <w:t>观与功能</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lang w:val="zh-CN"/>
              </w:rPr>
              <w:t>协调统一；基坑方案可行，设计理念先进。</w:t>
            </w:r>
          </w:p>
          <w:p>
            <w:pPr>
              <w:wordWrap w:val="0"/>
              <w:topLinePunct/>
              <w:adjustRightIn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优得10分，良得9分，中得8分，差得7分,无得0分。</w:t>
            </w:r>
          </w:p>
        </w:tc>
        <w:tc>
          <w:tcPr>
            <w:tcW w:w="1022" w:type="dxa"/>
            <w:noWrap w:val="0"/>
            <w:vAlign w:val="center"/>
          </w:tcPr>
          <w:p>
            <w:pPr>
              <w:wordWrap w:val="0"/>
              <w:topLinePunct/>
              <w:adjustRightInd w:val="0"/>
              <w:spacing w:line="360" w:lineRule="auto"/>
              <w:jc w:val="center"/>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684"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1028" w:type="dxa"/>
            <w:vMerge w:val="continue"/>
            <w:noWrap w:val="0"/>
            <w:textDirection w:val="tbRlV"/>
            <w:vAlign w:val="center"/>
          </w:tcPr>
          <w:p>
            <w:pPr>
              <w:autoSpaceDE w:val="0"/>
              <w:autoSpaceDN w:val="0"/>
              <w:adjustRightInd w:val="0"/>
              <w:spacing w:line="360" w:lineRule="auto"/>
              <w:ind w:left="113" w:right="113"/>
              <w:jc w:val="center"/>
              <w:rPr>
                <w:rFonts w:hint="eastAsia" w:ascii="宋体" w:hAnsi="宋体" w:eastAsia="宋体" w:cs="宋体"/>
                <w:color w:val="auto"/>
                <w:highlight w:val="none"/>
              </w:rPr>
            </w:pPr>
          </w:p>
        </w:tc>
        <w:tc>
          <w:tcPr>
            <w:tcW w:w="1476"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8898" w:type="dxa"/>
            <w:noWrap w:val="0"/>
            <w:vAlign w:val="center"/>
          </w:tcPr>
          <w:p>
            <w:pPr>
              <w:topLinePunct/>
              <w:adjustRightIn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、路基路面、不良地基处理、护坡等基础工程的设计安全、合理、经济且能满足工期的要求。</w:t>
            </w:r>
          </w:p>
          <w:p>
            <w:pPr>
              <w:topLinePunct/>
              <w:adjustRightIn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优得10分，良得9分，中得8分，差得7分,无得0分。</w:t>
            </w:r>
          </w:p>
        </w:tc>
        <w:tc>
          <w:tcPr>
            <w:tcW w:w="1022" w:type="dxa"/>
            <w:noWrap w:val="0"/>
            <w:vAlign w:val="center"/>
          </w:tcPr>
          <w:p>
            <w:pPr>
              <w:wordWrap w:val="0"/>
              <w:topLinePunct/>
              <w:adjustRightInd w:val="0"/>
              <w:spacing w:line="360" w:lineRule="auto"/>
              <w:jc w:val="center"/>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684"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1028"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1476"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8898" w:type="dxa"/>
            <w:noWrap w:val="0"/>
            <w:vAlign w:val="center"/>
          </w:tcPr>
          <w:p>
            <w:pPr>
              <w:wordWrap w:val="0"/>
              <w:topLinePunct/>
              <w:adjustRightIn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、道路公用设施（公共交通站点布置、绿化照明、行人设施、道路元素等）设计科学合理、处理得当、特点鲜明。</w:t>
            </w:r>
          </w:p>
          <w:p>
            <w:pPr>
              <w:wordWrap w:val="0"/>
              <w:topLinePunct/>
              <w:adjustRightIn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优得10分，良得9分，中得8分，差得7分,无得0分。</w:t>
            </w:r>
          </w:p>
        </w:tc>
        <w:tc>
          <w:tcPr>
            <w:tcW w:w="1022" w:type="dxa"/>
            <w:noWrap w:val="0"/>
            <w:vAlign w:val="center"/>
          </w:tcPr>
          <w:p>
            <w:pPr>
              <w:wordWrap w:val="0"/>
              <w:topLinePunct/>
              <w:adjustRightInd w:val="0"/>
              <w:spacing w:line="360" w:lineRule="auto"/>
              <w:jc w:val="center"/>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3" w:hRule="atLeast"/>
          <w:jc w:val="center"/>
        </w:trPr>
        <w:tc>
          <w:tcPr>
            <w:tcW w:w="684"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1028"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1476"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8898" w:type="dxa"/>
            <w:vMerge w:val="restart"/>
            <w:noWrap w:val="0"/>
            <w:vAlign w:val="center"/>
          </w:tcPr>
          <w:p>
            <w:pPr>
              <w:wordWrap w:val="0"/>
              <w:topLinePunct/>
              <w:adjustRightIn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r>
              <w:rPr>
                <w:rFonts w:hint="eastAsia" w:ascii="宋体" w:hAnsi="宋体" w:eastAsia="宋体" w:cs="宋体"/>
                <w:color w:val="auto"/>
                <w:szCs w:val="21"/>
                <w:highlight w:val="none"/>
                <w:lang w:val="zh-CN"/>
              </w:rPr>
              <w:t>综合管线的布置形式系统、合理、经济、实用；</w:t>
            </w:r>
            <w:r>
              <w:rPr>
                <w:rFonts w:hint="eastAsia" w:ascii="宋体" w:hAnsi="宋体" w:eastAsia="宋体" w:cs="宋体"/>
                <w:color w:val="auto"/>
                <w:highlight w:val="none"/>
                <w:lang w:val="en-US" w:eastAsia="zh-CN"/>
              </w:rPr>
              <w:t>各管线方案充分结合</w:t>
            </w:r>
            <w:r>
              <w:rPr>
                <w:rFonts w:hint="eastAsia" w:ascii="宋体" w:hAnsi="宋体" w:eastAsia="宋体" w:cs="宋体"/>
                <w:color w:val="auto"/>
                <w:szCs w:val="21"/>
                <w:highlight w:val="none"/>
                <w:lang w:val="en-US" w:eastAsia="zh-CN"/>
              </w:rPr>
              <w:t>周边地下建构筑物</w:t>
            </w:r>
            <w:r>
              <w:rPr>
                <w:rFonts w:hint="eastAsia" w:ascii="宋体" w:hAnsi="宋体" w:eastAsia="宋体" w:cs="宋体"/>
                <w:color w:val="auto"/>
                <w:szCs w:val="21"/>
                <w:highlight w:val="none"/>
                <w:lang w:val="zh-CN"/>
              </w:rPr>
              <w:t>、用地等控制条件，提出合理、可行的技术方案</w:t>
            </w:r>
            <w:r>
              <w:rPr>
                <w:rFonts w:hint="eastAsia" w:ascii="宋体" w:hAnsi="宋体" w:eastAsia="宋体" w:cs="宋体"/>
                <w:color w:val="auto"/>
                <w:szCs w:val="21"/>
                <w:highlight w:val="none"/>
                <w:lang w:val="en-US" w:eastAsia="zh-CN"/>
              </w:rPr>
              <w:t>；</w:t>
            </w:r>
            <w:r>
              <w:rPr>
                <w:rFonts w:hint="eastAsia" w:ascii="宋体" w:hAnsi="宋体" w:eastAsia="宋体" w:cs="宋体"/>
                <w:color w:val="auto"/>
                <w:highlight w:val="none"/>
              </w:rPr>
              <w:t>排水管道系统布局充分利用地形，尽量采用自流</w:t>
            </w:r>
            <w:r>
              <w:rPr>
                <w:rFonts w:hint="eastAsia" w:ascii="宋体" w:hAnsi="宋体" w:eastAsia="宋体" w:cs="宋体"/>
                <w:color w:val="auto"/>
                <w:highlight w:val="none"/>
                <w:lang w:val="en-US" w:eastAsia="zh-CN"/>
              </w:rPr>
              <w:t>和</w:t>
            </w:r>
            <w:r>
              <w:rPr>
                <w:rFonts w:hint="eastAsia" w:ascii="宋体" w:hAnsi="宋体" w:eastAsia="宋体" w:cs="宋体"/>
                <w:color w:val="auto"/>
                <w:highlight w:val="none"/>
              </w:rPr>
              <w:t>避免穿越河道，缩短管线长度，减小主干管管径，充分考虑其可实施性和可操作性。</w:t>
            </w:r>
          </w:p>
          <w:p>
            <w:pPr>
              <w:wordWrap w:val="0"/>
              <w:topLinePunct/>
              <w:adjustRightIn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优得10分，良得9分，中得8分，差得7分,无得0分。</w:t>
            </w:r>
          </w:p>
        </w:tc>
        <w:tc>
          <w:tcPr>
            <w:tcW w:w="1022" w:type="dxa"/>
            <w:noWrap w:val="0"/>
            <w:vAlign w:val="center"/>
          </w:tcPr>
          <w:p>
            <w:pPr>
              <w:wordWrap w:val="0"/>
              <w:topLinePunct/>
              <w:adjustRightInd w:val="0"/>
              <w:spacing w:line="360" w:lineRule="auto"/>
              <w:jc w:val="center"/>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684"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1028"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1476"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8898" w:type="dxa"/>
            <w:noWrap w:val="0"/>
            <w:vAlign w:val="center"/>
          </w:tcPr>
          <w:p>
            <w:pPr>
              <w:wordWrap w:val="0"/>
              <w:topLinePunct/>
              <w:adjustRightIn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、施工期</w:t>
            </w:r>
            <w:r>
              <w:rPr>
                <w:rFonts w:hint="eastAsia" w:ascii="宋体" w:hAnsi="宋体" w:eastAsia="宋体" w:cs="宋体"/>
                <w:color w:val="auto"/>
                <w:szCs w:val="21"/>
                <w:highlight w:val="none"/>
                <w:lang w:val="zh-CN"/>
              </w:rPr>
              <w:t>间交通组织、施工实施方案切合实际。</w:t>
            </w:r>
          </w:p>
          <w:p>
            <w:pPr>
              <w:wordWrap w:val="0"/>
              <w:topLinePunct/>
              <w:adjustRightIn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优得10分，良得</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lang w:val="en-US" w:eastAsia="zh-CN"/>
              </w:rPr>
              <w:t>中得8分，差</w:t>
            </w:r>
            <w:r>
              <w:rPr>
                <w:rFonts w:hint="eastAsia" w:ascii="宋体" w:hAnsi="宋体" w:eastAsia="宋体" w:cs="宋体"/>
                <w:color w:val="auto"/>
                <w:szCs w:val="21"/>
                <w:highlight w:val="none"/>
                <w:lang w:val="zh-CN"/>
              </w:rPr>
              <w:t>得</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分,无得0分。</w:t>
            </w:r>
          </w:p>
        </w:tc>
        <w:tc>
          <w:tcPr>
            <w:tcW w:w="1022" w:type="dxa"/>
            <w:noWrap w:val="0"/>
            <w:vAlign w:val="center"/>
          </w:tcPr>
          <w:p>
            <w:pPr>
              <w:wordWrap w:val="0"/>
              <w:topLinePunct/>
              <w:adjustRightInd w:val="0"/>
              <w:spacing w:line="360" w:lineRule="auto"/>
              <w:jc w:val="center"/>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684"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1028"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1476" w:type="dxa"/>
            <w:vMerge w:val="continue"/>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8898" w:type="dxa"/>
            <w:noWrap w:val="0"/>
            <w:vAlign w:val="center"/>
          </w:tcPr>
          <w:p>
            <w:pPr>
              <w:autoSpaceDE w:val="0"/>
              <w:autoSpaceDN w:val="0"/>
              <w:adjustRightInd w:val="0"/>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w:t>
            </w:r>
            <w:r>
              <w:rPr>
                <w:rFonts w:hint="eastAsia" w:ascii="宋体" w:hAnsi="宋体" w:eastAsia="宋体" w:cs="宋体"/>
                <w:color w:val="auto"/>
                <w:highlight w:val="none"/>
              </w:rPr>
              <w:t xml:space="preserve">勘察方案合理可行，勘察的重点、难点理解准确，建议合理可行；勘察工作流程规范，工期进度计划合理可行。  </w:t>
            </w:r>
          </w:p>
          <w:p>
            <w:pPr>
              <w:autoSpaceDE w:val="0"/>
              <w:autoSpaceDN w:val="0"/>
              <w:adjustRightIn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优得10分，良得</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lang w:val="en-US" w:eastAsia="zh-CN"/>
              </w:rPr>
              <w:t>中得8分，差</w:t>
            </w:r>
            <w:r>
              <w:rPr>
                <w:rFonts w:hint="eastAsia" w:ascii="宋体" w:hAnsi="宋体" w:eastAsia="宋体" w:cs="宋体"/>
                <w:color w:val="auto"/>
                <w:szCs w:val="21"/>
                <w:highlight w:val="none"/>
                <w:lang w:val="zh-CN"/>
              </w:rPr>
              <w:t>得</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分,无得0分</w:t>
            </w:r>
            <w:r>
              <w:rPr>
                <w:rFonts w:hint="eastAsia" w:ascii="宋体" w:hAnsi="宋体" w:eastAsia="宋体" w:cs="宋体"/>
                <w:color w:val="auto"/>
                <w:szCs w:val="21"/>
                <w:highlight w:val="none"/>
                <w:lang w:eastAsia="zh-CN"/>
              </w:rPr>
              <w:t>。</w:t>
            </w:r>
          </w:p>
        </w:tc>
        <w:tc>
          <w:tcPr>
            <w:tcW w:w="1022" w:type="dxa"/>
            <w:noWrap w:val="0"/>
            <w:vAlign w:val="center"/>
          </w:tcPr>
          <w:p>
            <w:pPr>
              <w:wordWrap w:val="0"/>
              <w:topLinePunct/>
              <w:adjustRightInd w:val="0"/>
              <w:spacing w:line="360" w:lineRule="auto"/>
              <w:jc w:val="center"/>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1" w:hRule="atLeast"/>
          <w:jc w:val="center"/>
        </w:trPr>
        <w:tc>
          <w:tcPr>
            <w:tcW w:w="684" w:type="dxa"/>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三</w:t>
            </w:r>
          </w:p>
        </w:tc>
        <w:tc>
          <w:tcPr>
            <w:tcW w:w="1028" w:type="dxa"/>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投资控制</w:t>
            </w:r>
          </w:p>
        </w:tc>
        <w:tc>
          <w:tcPr>
            <w:tcW w:w="1476" w:type="dxa"/>
            <w:noWrap w:val="0"/>
            <w:vAlign w:val="center"/>
          </w:tcPr>
          <w:p>
            <w:pPr>
              <w:autoSpaceDE w:val="0"/>
              <w:autoSpaceDN w:val="0"/>
              <w:adjustRightInd w:val="0"/>
              <w:spacing w:line="360" w:lineRule="auto"/>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8898" w:type="dxa"/>
            <w:noWrap w:val="0"/>
            <w:vAlign w:val="center"/>
          </w:tcPr>
          <w:p>
            <w:pPr>
              <w:tabs>
                <w:tab w:val="left" w:pos="315"/>
              </w:tabs>
              <w:wordWrap w:val="0"/>
              <w:topLinePunct/>
              <w:adjustRightInd w:val="0"/>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工程总投资合理，节约工程总投资的措施及理由合理、可信、可行；投资估算编制依据正确，达到相应的深度要求，编制质量高。</w:t>
            </w:r>
          </w:p>
          <w:p>
            <w:pPr>
              <w:wordWrap w:val="0"/>
              <w:topLinePunct/>
              <w:adjustRightIn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优得10分，良得9分，中得8分，差得7分,无得0分。</w:t>
            </w:r>
          </w:p>
        </w:tc>
        <w:tc>
          <w:tcPr>
            <w:tcW w:w="1022" w:type="dxa"/>
            <w:noWrap w:val="0"/>
            <w:vAlign w:val="center"/>
          </w:tcPr>
          <w:p>
            <w:pPr>
              <w:wordWrap w:val="0"/>
              <w:topLinePunct/>
              <w:adjustRightInd w:val="0"/>
              <w:spacing w:line="360" w:lineRule="auto"/>
              <w:jc w:val="center"/>
              <w:rPr>
                <w:rFonts w:hint="eastAsia" w:ascii="宋体" w:hAnsi="宋体" w:eastAsia="宋体" w:cs="宋体"/>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712" w:type="dxa"/>
            <w:gridSpan w:val="2"/>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总计</w:t>
            </w:r>
          </w:p>
        </w:tc>
        <w:tc>
          <w:tcPr>
            <w:tcW w:w="1476" w:type="dxa"/>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c>
          <w:tcPr>
            <w:tcW w:w="8898" w:type="dxa"/>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p>
        </w:tc>
        <w:tc>
          <w:tcPr>
            <w:tcW w:w="1022" w:type="dxa"/>
            <w:noWrap w:val="0"/>
            <w:vAlign w:val="center"/>
          </w:tcPr>
          <w:p>
            <w:pPr>
              <w:autoSpaceDE w:val="0"/>
              <w:autoSpaceDN w:val="0"/>
              <w:adjustRightInd w:val="0"/>
              <w:spacing w:line="360" w:lineRule="auto"/>
              <w:jc w:val="center"/>
              <w:rPr>
                <w:rFonts w:hint="eastAsia" w:ascii="宋体" w:hAnsi="宋体" w:eastAsia="宋体" w:cs="宋体"/>
                <w:color w:val="auto"/>
                <w:highlight w:val="none"/>
              </w:rPr>
            </w:pPr>
          </w:p>
        </w:tc>
      </w:tr>
    </w:tbl>
    <w:p>
      <w:pPr>
        <w:spacing w:line="360" w:lineRule="auto"/>
        <w:rPr>
          <w:rFonts w:hint="eastAsia" w:ascii="宋体" w:hAnsi="宋体" w:eastAsia="宋体" w:cs="宋体"/>
          <w:color w:val="auto"/>
          <w:highlight w:val="none"/>
        </w:rPr>
      </w:pPr>
    </w:p>
    <w:p>
      <w:pPr>
        <w:widowControl/>
        <w:wordWrap w:val="0"/>
        <w:spacing w:line="360" w:lineRule="auto"/>
        <w:ind w:firstLine="420" w:firstLineChars="200"/>
        <w:jc w:val="left"/>
        <w:rPr>
          <w:rFonts w:ascii="宋体" w:hAnsi="宋体" w:eastAsia="宋体" w:cs="宋体"/>
          <w:color w:val="auto"/>
          <w:szCs w:val="24"/>
          <w:highlight w:val="none"/>
        </w:rPr>
      </w:pPr>
      <w:r>
        <w:rPr>
          <w:rFonts w:hint="eastAsia" w:ascii="宋体" w:hAnsi="宋体" w:eastAsia="宋体" w:cs="宋体"/>
          <w:color w:val="auto"/>
          <w:highlight w:val="none"/>
        </w:rPr>
        <w:t>注：本表按百分制评分，所有评委分数汇总后的算术平均值为投标人的得分。分数出现小数点，保留小数点后</w:t>
      </w:r>
      <w:r>
        <w:rPr>
          <w:rFonts w:hint="eastAsia" w:ascii="宋体" w:hAnsi="宋体" w:eastAsia="宋体" w:cs="宋体"/>
          <w:color w:val="auto"/>
          <w:highlight w:val="none"/>
          <w:lang w:eastAsia="zh-CN"/>
        </w:rPr>
        <w:t>两位</w:t>
      </w:r>
      <w:r>
        <w:rPr>
          <w:rFonts w:hint="eastAsia" w:ascii="宋体" w:hAnsi="宋体" w:eastAsia="宋体" w:cs="宋体"/>
          <w:color w:val="auto"/>
          <w:highlight w:val="none"/>
        </w:rPr>
        <w:t>小数，第三位小数四舍五入</w:t>
      </w:r>
      <w:r>
        <w:rPr>
          <w:rFonts w:hint="eastAsia" w:ascii="宋体" w:hAnsi="宋体" w:eastAsia="宋体" w:cs="宋体"/>
          <w:color w:val="auto"/>
          <w:highlight w:val="none"/>
          <w:lang w:eastAsia="zh-CN"/>
        </w:rPr>
        <w:t>。</w:t>
      </w:r>
    </w:p>
    <w:p>
      <w:pPr>
        <w:widowControl/>
        <w:jc w:val="left"/>
        <w:rPr>
          <w:rFonts w:ascii="宋体" w:hAnsi="宋体" w:eastAsia="宋体" w:cs="宋体"/>
          <w:color w:val="auto"/>
          <w:szCs w:val="24"/>
          <w:highlight w:val="none"/>
        </w:rPr>
      </w:pPr>
      <w:r>
        <w:rPr>
          <w:rFonts w:hint="eastAsia" w:ascii="宋体" w:hAnsi="宋体" w:eastAsia="宋体" w:cs="宋体"/>
          <w:color w:val="auto"/>
          <w:szCs w:val="24"/>
          <w:highlight w:val="none"/>
        </w:rPr>
        <w:br w:type="page"/>
      </w:r>
    </w:p>
    <w:p>
      <w:pPr>
        <w:pStyle w:val="4"/>
        <w:rPr>
          <w:rFonts w:hint="eastAsia"/>
          <w:color w:val="auto"/>
          <w:highlight w:val="none"/>
        </w:rPr>
        <w:sectPr>
          <w:pgSz w:w="16838" w:h="11905" w:orient="landscape"/>
          <w:pgMar w:top="1701" w:right="1474" w:bottom="1701" w:left="1474" w:header="720" w:footer="720" w:gutter="0"/>
          <w:cols w:space="720" w:num="1"/>
        </w:sectPr>
      </w:pPr>
      <w:bookmarkStart w:id="184" w:name="_Toc26447"/>
    </w:p>
    <w:p>
      <w:pPr>
        <w:pStyle w:val="4"/>
        <w:rPr>
          <w:color w:val="auto"/>
          <w:sz w:val="32"/>
          <w:szCs w:val="24"/>
          <w:highlight w:val="none"/>
        </w:rPr>
      </w:pPr>
      <w:r>
        <w:rPr>
          <w:rFonts w:hint="eastAsia"/>
          <w:color w:val="auto"/>
          <w:highlight w:val="none"/>
        </w:rPr>
        <w:t>评标办法</w:t>
      </w:r>
      <w:r>
        <w:rPr>
          <w:color w:val="auto"/>
          <w:highlight w:val="none"/>
        </w:rPr>
        <w:t>修改表</w:t>
      </w:r>
      <w:bookmarkEnd w:id="184"/>
    </w:p>
    <w:p>
      <w:pPr>
        <w:pStyle w:val="43"/>
        <w:pBdr>
          <w:bottom w:val="single" w:color="auto" w:sz="6" w:space="1"/>
        </w:pBdr>
        <w:wordWrap w:val="0"/>
        <w:spacing w:after="0" w:line="360" w:lineRule="auto"/>
        <w:ind w:firstLine="0" w:firstLineChars="0"/>
        <w:rPr>
          <w:rFonts w:ascii="宋体" w:hAnsi="宋体"/>
          <w:b/>
          <w:color w:val="auto"/>
          <w:sz w:val="24"/>
          <w:szCs w:val="24"/>
          <w:highlight w:val="none"/>
        </w:rPr>
      </w:pPr>
      <w:r>
        <w:rPr>
          <w:rFonts w:ascii="宋体" w:hAnsi="宋体"/>
          <w:b/>
          <w:color w:val="auto"/>
          <w:sz w:val="24"/>
          <w:szCs w:val="24"/>
          <w:highlight w:val="none"/>
        </w:rPr>
        <w:t>本投标须知使用</w:t>
      </w:r>
      <w:r>
        <w:rPr>
          <w:rFonts w:hint="eastAsia" w:ascii="宋体" w:hAnsi="宋体"/>
          <w:b/>
          <w:color w:val="auto"/>
          <w:sz w:val="24"/>
          <w:szCs w:val="24"/>
          <w:highlight w:val="none"/>
        </w:rPr>
        <w:t>GZJTZB2025-1</w:t>
      </w:r>
      <w:r>
        <w:rPr>
          <w:rFonts w:ascii="宋体" w:hAnsi="宋体"/>
          <w:b/>
          <w:color w:val="auto"/>
          <w:sz w:val="24"/>
          <w:szCs w:val="24"/>
          <w:highlight w:val="none"/>
        </w:rPr>
        <w:t>招标文件范本的</w:t>
      </w:r>
      <w:r>
        <w:rPr>
          <w:rFonts w:hint="eastAsia" w:ascii="宋体" w:hAnsi="宋体"/>
          <w:b/>
          <w:color w:val="auto"/>
          <w:sz w:val="24"/>
          <w:szCs w:val="24"/>
          <w:highlight w:val="none"/>
        </w:rPr>
        <w:t>评标办法</w:t>
      </w:r>
      <w:r>
        <w:rPr>
          <w:rFonts w:ascii="宋体" w:hAnsi="宋体"/>
          <w:b/>
          <w:color w:val="auto"/>
          <w:sz w:val="24"/>
          <w:szCs w:val="24"/>
          <w:highlight w:val="none"/>
        </w:rPr>
        <w:t>条款，与该条款不同之处，均在本表中列明，并以现文为准，原文不再有效。</w:t>
      </w:r>
    </w:p>
    <w:p>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3.</w:t>
      </w:r>
      <w:r>
        <w:rPr>
          <w:rFonts w:ascii="宋体" w:hAnsi="宋体" w:eastAsia="宋体"/>
          <w:b/>
          <w:bCs/>
          <w:color w:val="auto"/>
          <w:sz w:val="24"/>
          <w:szCs w:val="24"/>
          <w:highlight w:val="none"/>
        </w:rPr>
        <w:t xml:space="preserve">           修改类型：修改</w:t>
      </w:r>
    </w:p>
    <w:p>
      <w:pPr>
        <w:wordWrap w:val="0"/>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b/>
          <w:bCs/>
          <w:color w:val="auto"/>
          <w:sz w:val="24"/>
          <w:szCs w:val="24"/>
          <w:highlight w:val="none"/>
        </w:rPr>
        <w:t>3. 评标程序</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评标活动按以下六个步骤进行：</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（1）商务文件初步评审（含商务文件形式评审、商务文件响应性评审）及资格评审；</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（2）商务文件详细评审；</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（3）技术文件初步评审；</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（4）技术文件详细评审；</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（5）揭晓技术文件评审结果；</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（6）汇总投标人总得分；</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（7）推荐中标候选人，提交评标报告。</w:t>
      </w:r>
    </w:p>
    <w:p>
      <w:pPr>
        <w:wordWrap w:val="0"/>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现文：</w:t>
      </w:r>
      <w:r>
        <w:rPr>
          <w:rFonts w:hint="eastAsia" w:ascii="宋体" w:hAnsi="宋体" w:eastAsia="宋体"/>
          <w:b/>
          <w:bCs/>
          <w:color w:val="auto"/>
          <w:sz w:val="24"/>
          <w:szCs w:val="24"/>
          <w:highlight w:val="none"/>
        </w:rPr>
        <w:t>3. 评标程序</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评标活动按以下</w:t>
      </w:r>
      <w:r>
        <w:rPr>
          <w:rFonts w:hint="eastAsia" w:ascii="宋体" w:hAnsi="宋体" w:eastAsia="宋体"/>
          <w:strike/>
          <w:color w:val="auto"/>
          <w:sz w:val="24"/>
          <w:szCs w:val="24"/>
          <w:highlight w:val="none"/>
        </w:rPr>
        <w:t>六个</w:t>
      </w:r>
      <w:r>
        <w:rPr>
          <w:rFonts w:hint="eastAsia" w:ascii="宋体" w:hAnsi="宋体" w:eastAsia="宋体"/>
          <w:color w:val="auto"/>
          <w:sz w:val="24"/>
          <w:szCs w:val="24"/>
          <w:highlight w:val="none"/>
        </w:rPr>
        <w:t>步骤进行：</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b/>
          <w:bCs/>
          <w:color w:val="auto"/>
          <w:sz w:val="24"/>
          <w:szCs w:val="24"/>
          <w:highlight w:val="none"/>
          <w:u w:val="single"/>
        </w:rPr>
        <w:t>商务文件形式评审、资格评审、商务文件响应性评审</w:t>
      </w:r>
      <w:r>
        <w:rPr>
          <w:rFonts w:hint="eastAsia" w:ascii="宋体" w:hAnsi="宋体" w:eastAsia="宋体"/>
          <w:color w:val="auto"/>
          <w:sz w:val="24"/>
          <w:szCs w:val="24"/>
          <w:highlight w:val="none"/>
        </w:rPr>
        <w:t>；</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（2）商务文件详细评审；</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（3）技术文件初步评审；</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（4）技术文件详细评审；</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（5）揭晓技术文件评审结果；</w:t>
      </w:r>
    </w:p>
    <w:p>
      <w:pPr>
        <w:wordWrap w:val="0"/>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u w:val="single"/>
        </w:rPr>
        <w:t>（6）报价评审；</w:t>
      </w:r>
    </w:p>
    <w:p>
      <w:pPr>
        <w:wordWrap w:val="0"/>
        <w:spacing w:line="360" w:lineRule="auto"/>
        <w:ind w:firstLine="426" w:firstLineChars="177"/>
        <w:rPr>
          <w:rFonts w:ascii="宋体" w:hAnsi="宋体" w:eastAsia="宋体"/>
          <w:color w:val="auto"/>
          <w:sz w:val="24"/>
          <w:szCs w:val="24"/>
          <w:highlight w:val="none"/>
        </w:rPr>
      </w:pPr>
      <w:r>
        <w:rPr>
          <w:rFonts w:hint="eastAsia" w:ascii="宋体" w:hAnsi="宋体" w:eastAsia="宋体"/>
          <w:b/>
          <w:bCs/>
          <w:color w:val="auto"/>
          <w:sz w:val="24"/>
          <w:szCs w:val="24"/>
          <w:highlight w:val="none"/>
          <w:u w:val="single"/>
        </w:rPr>
        <w:t>（7）</w:t>
      </w:r>
      <w:r>
        <w:rPr>
          <w:rFonts w:hint="eastAsia" w:ascii="宋体" w:hAnsi="宋体" w:eastAsia="宋体"/>
          <w:color w:val="auto"/>
          <w:sz w:val="24"/>
          <w:szCs w:val="24"/>
          <w:highlight w:val="none"/>
        </w:rPr>
        <w:t>汇总投标人总得分；</w:t>
      </w:r>
    </w:p>
    <w:p>
      <w:pPr>
        <w:pBdr>
          <w:bottom w:val="single" w:color="auto" w:sz="6" w:space="1"/>
        </w:pBdr>
        <w:wordWrap w:val="0"/>
        <w:spacing w:line="360" w:lineRule="auto"/>
        <w:ind w:firstLine="426" w:firstLineChars="177"/>
        <w:rPr>
          <w:rFonts w:ascii="宋体" w:hAnsi="宋体" w:eastAsia="宋体"/>
          <w:color w:val="auto"/>
          <w:sz w:val="24"/>
          <w:szCs w:val="24"/>
          <w:highlight w:val="none"/>
        </w:rPr>
      </w:pPr>
      <w:r>
        <w:rPr>
          <w:rFonts w:hint="eastAsia" w:ascii="宋体" w:hAnsi="宋体" w:eastAsia="宋体"/>
          <w:b/>
          <w:bCs/>
          <w:color w:val="auto"/>
          <w:sz w:val="24"/>
          <w:szCs w:val="24"/>
          <w:highlight w:val="none"/>
          <w:u w:val="single"/>
        </w:rPr>
        <w:t>（8）</w:t>
      </w:r>
      <w:r>
        <w:rPr>
          <w:rFonts w:hint="eastAsia" w:ascii="宋体" w:hAnsi="宋体" w:eastAsia="宋体"/>
          <w:color w:val="auto"/>
          <w:sz w:val="24"/>
          <w:szCs w:val="24"/>
          <w:highlight w:val="none"/>
        </w:rPr>
        <w:t>推荐中标候选人，提交评标报告。</w:t>
      </w:r>
    </w:p>
    <w:p>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3.1</w:t>
      </w:r>
      <w:r>
        <w:rPr>
          <w:rFonts w:ascii="宋体" w:hAnsi="宋体" w:eastAsia="宋体"/>
          <w:b/>
          <w:bCs/>
          <w:color w:val="auto"/>
          <w:sz w:val="24"/>
          <w:szCs w:val="24"/>
          <w:highlight w:val="none"/>
        </w:rPr>
        <w:t xml:space="preserve">          修改类型：修改</w:t>
      </w:r>
    </w:p>
    <w:p>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b/>
          <w:bCs/>
          <w:color w:val="auto"/>
          <w:sz w:val="24"/>
          <w:szCs w:val="24"/>
          <w:highlight w:val="none"/>
        </w:rPr>
        <w:t>3.1 商务文件初步评审及资格评审</w:t>
      </w:r>
    </w:p>
    <w:p>
      <w:pPr>
        <w:pBdr>
          <w:bottom w:val="single" w:color="auto" w:sz="6" w:space="1"/>
        </w:pBdr>
        <w:wordWrap w:val="0"/>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现文：</w:t>
      </w:r>
      <w:r>
        <w:rPr>
          <w:rFonts w:hint="eastAsia" w:ascii="宋体" w:hAnsi="宋体" w:eastAsia="宋体"/>
          <w:b/>
          <w:bCs/>
          <w:color w:val="auto"/>
          <w:sz w:val="24"/>
          <w:szCs w:val="24"/>
          <w:highlight w:val="none"/>
        </w:rPr>
        <w:t xml:space="preserve">3.1 </w:t>
      </w:r>
      <w:r>
        <w:rPr>
          <w:rFonts w:hint="eastAsia" w:ascii="宋体" w:hAnsi="宋体" w:eastAsia="宋体"/>
          <w:b/>
          <w:bCs/>
          <w:color w:val="auto"/>
          <w:sz w:val="24"/>
          <w:szCs w:val="24"/>
          <w:highlight w:val="none"/>
          <w:u w:val="single"/>
        </w:rPr>
        <w:t>商务文件形式评审、资格评审、商务文件响应性评审</w:t>
      </w:r>
    </w:p>
    <w:p>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3.1.1</w:t>
      </w:r>
      <w:r>
        <w:rPr>
          <w:rFonts w:ascii="宋体" w:hAnsi="宋体" w:eastAsia="宋体"/>
          <w:b/>
          <w:bCs/>
          <w:color w:val="auto"/>
          <w:sz w:val="24"/>
          <w:szCs w:val="24"/>
          <w:highlight w:val="none"/>
        </w:rPr>
        <w:t xml:space="preserve">        修改类型：修改</w:t>
      </w:r>
    </w:p>
    <w:p>
      <w:pPr>
        <w:wordWrap w:val="0"/>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cs="宋体"/>
          <w:color w:val="auto"/>
          <w:sz w:val="24"/>
          <w:szCs w:val="24"/>
          <w:highlight w:val="none"/>
        </w:rPr>
        <w:t>3.1.1 评标委员会如认为有必要，可以要求投标人提交第二章“投标人须知”规定的有关证明和证件的原件，以便核验。评标委员会依据本章第2.1款规定的标准对投标文件进行商务文件、资格审查文件初步评审。有一项不符合评审标准的，评标委员会应当否决其投标，未能通过初步评审的投标人，其投标不再参与后续的评审程序。如果有否决投标提议，则评标委员会成员共同表决，按照少数服从多数的原则决定是否否决其投标。若有效投标不足3个的，或当N个标段同时招标且不允许兼中时，有效投标人不足N+2家的，应当对投标是否明显缺乏竞争和是否需要否决全部投标进行充分论证，并在评标报告中记载论证过程和结果。如评标委员会成员的评审意见不一致时，以评标委员会过半数成员的意见作为评标委员会对该情形的认定结论。</w:t>
      </w:r>
    </w:p>
    <w:p>
      <w:pPr>
        <w:pBdr>
          <w:bottom w:val="single" w:color="auto" w:sz="6" w:space="1"/>
        </w:pBdr>
        <w:wordWrap w:val="0"/>
        <w:spacing w:line="360" w:lineRule="auto"/>
        <w:ind w:firstLine="426" w:firstLineChars="177"/>
        <w:rPr>
          <w:rFonts w:hint="eastAsia" w:ascii="宋体" w:hAnsi="宋体" w:eastAsia="宋体" w:cs="宋体"/>
          <w:color w:val="auto"/>
          <w:sz w:val="24"/>
          <w:szCs w:val="24"/>
          <w:highlight w:val="none"/>
        </w:rPr>
      </w:pPr>
      <w:r>
        <w:rPr>
          <w:rFonts w:ascii="宋体" w:hAnsi="宋体" w:eastAsia="宋体"/>
          <w:b/>
          <w:bCs/>
          <w:color w:val="auto"/>
          <w:sz w:val="24"/>
          <w:szCs w:val="24"/>
          <w:highlight w:val="none"/>
        </w:rPr>
        <w:t>现文：</w:t>
      </w:r>
      <w:r>
        <w:rPr>
          <w:rFonts w:hint="eastAsia" w:ascii="宋体" w:hAnsi="宋体" w:eastAsia="宋体" w:cs="宋体"/>
          <w:color w:val="auto"/>
          <w:sz w:val="24"/>
          <w:szCs w:val="24"/>
          <w:highlight w:val="none"/>
        </w:rPr>
        <w:t>3.1.1 评标委员会如认为有必要，可以要求投标人提交第二章“投标人须知”规定的有关证明和证件的原件，以便核验。评标委员会依据本章第2.1款规定的标准对投标文件进行</w:t>
      </w:r>
      <w:r>
        <w:rPr>
          <w:rFonts w:hint="eastAsia" w:ascii="宋体" w:hAnsi="宋体" w:eastAsia="宋体"/>
          <w:b/>
          <w:bCs/>
          <w:color w:val="auto"/>
          <w:sz w:val="24"/>
          <w:szCs w:val="24"/>
          <w:highlight w:val="none"/>
          <w:u w:val="single"/>
        </w:rPr>
        <w:t>商务文件形式评审、资格评审、商务文件响应性评审</w:t>
      </w:r>
      <w:r>
        <w:rPr>
          <w:rFonts w:hint="eastAsia" w:ascii="宋体" w:hAnsi="宋体" w:eastAsia="宋体" w:cs="宋体"/>
          <w:color w:val="auto"/>
          <w:sz w:val="24"/>
          <w:szCs w:val="24"/>
          <w:highlight w:val="none"/>
        </w:rPr>
        <w:t>。有一项不符合评审标准的，评标委员会应当否决其投标，未能通过</w:t>
      </w:r>
      <w:r>
        <w:rPr>
          <w:rFonts w:hint="eastAsia" w:ascii="宋体" w:hAnsi="宋体" w:eastAsia="宋体"/>
          <w:b/>
          <w:bCs/>
          <w:color w:val="auto"/>
          <w:sz w:val="24"/>
          <w:szCs w:val="24"/>
          <w:highlight w:val="none"/>
          <w:u w:val="single"/>
        </w:rPr>
        <w:t>商务文件形式评审、资格评审、商务文件响应性评审</w:t>
      </w:r>
      <w:r>
        <w:rPr>
          <w:rFonts w:hint="eastAsia" w:ascii="宋体" w:hAnsi="宋体" w:eastAsia="宋体" w:cs="宋体"/>
          <w:color w:val="auto"/>
          <w:sz w:val="24"/>
          <w:szCs w:val="24"/>
          <w:highlight w:val="none"/>
        </w:rPr>
        <w:t>的投标人，其投标不再参与后续的评审程序。如果有否决投标提议，则评标委员会成员共同表决，按照少数服从多数的原则决定是否否决其投标。若有效投标不足3个的，或当N个标段同时招标且不允许兼中时，有效投标人不足N+2家的，应当对投标是否明显缺乏竞争和是否需要否决全部投标进行充分论证，并在评标报告中记载论证过程和结果。如评标委员会成员的评审意见不一致时，以评标委员会过半数成员的意见作为评标委员会对该情形的认定结论。</w:t>
      </w:r>
    </w:p>
    <w:p>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3.1.</w:t>
      </w:r>
      <w:r>
        <w:rPr>
          <w:rFonts w:hint="eastAsia" w:ascii="宋体" w:hAnsi="宋体" w:eastAsia="宋体"/>
          <w:b/>
          <w:bCs/>
          <w:color w:val="auto"/>
          <w:sz w:val="24"/>
          <w:szCs w:val="24"/>
          <w:highlight w:val="none"/>
          <w:lang w:val="en-US" w:eastAsia="zh-CN"/>
        </w:rPr>
        <w:t>3</w:t>
      </w:r>
      <w:r>
        <w:rPr>
          <w:rFonts w:ascii="宋体" w:hAnsi="宋体" w:eastAsia="宋体"/>
          <w:b/>
          <w:bCs/>
          <w:color w:val="auto"/>
          <w:sz w:val="24"/>
          <w:szCs w:val="24"/>
          <w:highlight w:val="none"/>
        </w:rPr>
        <w:t xml:space="preserve">        修改类型：修改</w:t>
      </w:r>
    </w:p>
    <w:p>
      <w:pPr>
        <w:wordWrap w:val="0"/>
        <w:spacing w:line="360" w:lineRule="auto"/>
        <w:ind w:firstLine="426" w:firstLineChars="177"/>
        <w:rPr>
          <w:rFonts w:hint="eastAsia" w:ascii="宋体" w:hAnsi="宋体" w:eastAsia="宋体" w:cs="宋体"/>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cs="宋体"/>
          <w:color w:val="auto"/>
          <w:sz w:val="24"/>
          <w:szCs w:val="24"/>
          <w:highlight w:val="none"/>
        </w:rPr>
        <w:t>3.1.3 投标报价有算术错误及其他错误的，评标委员会按以下原则要求投标人对投标报价进行修正，并要求投标人书面澄清确认。投标人拒不澄清确认的，投标人拒不接受的，评标委员会应当否决其投标：</w:t>
      </w:r>
    </w:p>
    <w:p>
      <w:pPr>
        <w:wordWrap w:val="0"/>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（1）投标文件中的大写金额与小写金额不一致的，以大写金额为准；</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s="宋体"/>
          <w:color w:val="auto"/>
          <w:sz w:val="24"/>
          <w:szCs w:val="24"/>
          <w:highlight w:val="none"/>
        </w:rPr>
        <w:t>（2）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pBdr>
          <w:bottom w:val="single" w:color="auto" w:sz="6" w:space="1"/>
        </w:pBdr>
        <w:wordWrap w:val="0"/>
        <w:spacing w:line="360" w:lineRule="auto"/>
        <w:ind w:firstLine="426" w:firstLineChars="177"/>
        <w:rPr>
          <w:rFonts w:hint="eastAsia" w:ascii="宋体" w:hAnsi="宋体" w:eastAsia="宋体" w:cs="宋体"/>
          <w:color w:val="auto"/>
          <w:sz w:val="24"/>
          <w:szCs w:val="24"/>
          <w:highlight w:val="none"/>
        </w:rPr>
      </w:pPr>
      <w:r>
        <w:rPr>
          <w:rFonts w:ascii="宋体" w:hAnsi="宋体" w:eastAsia="宋体"/>
          <w:b/>
          <w:bCs/>
          <w:color w:val="auto"/>
          <w:sz w:val="24"/>
          <w:szCs w:val="24"/>
          <w:highlight w:val="none"/>
        </w:rPr>
        <w:t>现文：</w:t>
      </w:r>
      <w:r>
        <w:rPr>
          <w:rFonts w:hint="eastAsia" w:ascii="宋体" w:hAnsi="宋体" w:eastAsia="宋体" w:cs="宋体"/>
          <w:color w:val="auto"/>
          <w:sz w:val="24"/>
          <w:szCs w:val="24"/>
          <w:highlight w:val="none"/>
        </w:rPr>
        <w:t>3.1.3 投标报价有算术错误及其他错误的，评标委员会按以下原则要求投标人对投标报价进行修正，并要求投标人书面澄清确认。投标人拒不澄清确认的，投标人拒不接受的，评标委员会应当否决其投标：</w:t>
      </w:r>
    </w:p>
    <w:p>
      <w:pPr>
        <w:pBdr>
          <w:bottom w:val="single" w:color="auto" w:sz="6" w:space="1"/>
        </w:pBdr>
        <w:wordWrap w:val="0"/>
        <w:spacing w:line="360" w:lineRule="auto"/>
        <w:ind w:firstLine="426" w:firstLineChars="177"/>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（1）投标报价与投标下浮率不符时，以投标下浮率为准修正投标报价；</w:t>
      </w:r>
    </w:p>
    <w:p>
      <w:pPr>
        <w:pBdr>
          <w:bottom w:val="single" w:color="auto" w:sz="6" w:space="1"/>
        </w:pBdr>
        <w:wordWrap w:val="0"/>
        <w:spacing w:line="360" w:lineRule="auto"/>
        <w:ind w:firstLine="426" w:firstLineChars="177"/>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（2）投标总报价与勘察费</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设计费投标报价</w:t>
      </w:r>
      <w:r>
        <w:rPr>
          <w:rFonts w:hint="eastAsia" w:ascii="宋体" w:hAnsi="宋体" w:eastAsia="宋体" w:cs="宋体"/>
          <w:b/>
          <w:bCs/>
          <w:color w:val="auto"/>
          <w:sz w:val="24"/>
          <w:szCs w:val="24"/>
          <w:highlight w:val="none"/>
          <w:u w:val="single"/>
          <w:lang w:val="en-US" w:eastAsia="zh-CN"/>
        </w:rPr>
        <w:t>相加</w:t>
      </w:r>
      <w:r>
        <w:rPr>
          <w:rFonts w:hint="eastAsia" w:ascii="宋体" w:hAnsi="宋体" w:eastAsia="宋体" w:cs="宋体"/>
          <w:b/>
          <w:bCs/>
          <w:color w:val="auto"/>
          <w:sz w:val="24"/>
          <w:szCs w:val="24"/>
          <w:highlight w:val="none"/>
          <w:u w:val="single"/>
        </w:rPr>
        <w:t>不符时，以勘察费</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设计费投标报价</w:t>
      </w:r>
      <w:r>
        <w:rPr>
          <w:rFonts w:hint="eastAsia" w:ascii="宋体" w:hAnsi="宋体" w:eastAsia="宋体" w:cs="宋体"/>
          <w:b/>
          <w:bCs/>
          <w:color w:val="auto"/>
          <w:sz w:val="24"/>
          <w:szCs w:val="24"/>
          <w:highlight w:val="none"/>
          <w:u w:val="single"/>
          <w:lang w:val="en-US" w:eastAsia="zh-CN"/>
        </w:rPr>
        <w:t>相加</w:t>
      </w:r>
      <w:r>
        <w:rPr>
          <w:rFonts w:hint="eastAsia" w:ascii="宋体" w:hAnsi="宋体" w:eastAsia="宋体" w:cs="宋体"/>
          <w:b/>
          <w:bCs/>
          <w:color w:val="auto"/>
          <w:sz w:val="24"/>
          <w:szCs w:val="24"/>
          <w:highlight w:val="none"/>
          <w:u w:val="single"/>
        </w:rPr>
        <w:t>为准修正投标总报价</w:t>
      </w:r>
      <w:r>
        <w:rPr>
          <w:rFonts w:hint="eastAsia" w:ascii="宋体" w:hAnsi="宋体" w:eastAsia="宋体" w:cs="宋体"/>
          <w:b/>
          <w:bCs/>
          <w:color w:val="auto"/>
          <w:sz w:val="24"/>
          <w:szCs w:val="24"/>
          <w:highlight w:val="none"/>
          <w:u w:val="single"/>
          <w:lang w:eastAsia="zh-CN"/>
        </w:rPr>
        <w:t>，除非评标委员会认为</w:t>
      </w:r>
      <w:r>
        <w:rPr>
          <w:rFonts w:hint="eastAsia" w:ascii="宋体" w:hAnsi="宋体" w:eastAsia="宋体" w:cs="宋体"/>
          <w:b/>
          <w:bCs/>
          <w:color w:val="auto"/>
          <w:sz w:val="24"/>
          <w:szCs w:val="24"/>
          <w:highlight w:val="none"/>
          <w:u w:val="single"/>
        </w:rPr>
        <w:t>勘察费</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设计费投标报价</w:t>
      </w:r>
      <w:r>
        <w:rPr>
          <w:rFonts w:hint="eastAsia" w:ascii="宋体" w:hAnsi="宋体" w:eastAsia="宋体" w:cs="宋体"/>
          <w:b/>
          <w:bCs/>
          <w:color w:val="auto"/>
          <w:sz w:val="24"/>
          <w:szCs w:val="24"/>
          <w:highlight w:val="none"/>
          <w:u w:val="single"/>
          <w:lang w:eastAsia="zh-CN"/>
        </w:rPr>
        <w:t>有明显的小数点错误</w:t>
      </w:r>
      <w:r>
        <w:rPr>
          <w:rFonts w:hint="eastAsia" w:ascii="宋体" w:hAnsi="宋体" w:eastAsia="宋体" w:cs="宋体"/>
          <w:b/>
          <w:bCs/>
          <w:color w:val="auto"/>
          <w:sz w:val="24"/>
          <w:szCs w:val="24"/>
          <w:highlight w:val="none"/>
          <w:u w:val="single"/>
        </w:rPr>
        <w:t>。</w:t>
      </w:r>
    </w:p>
    <w:p>
      <w:pPr>
        <w:pStyle w:val="2"/>
        <w:rPr>
          <w:color w:val="auto"/>
          <w:highlight w:val="none"/>
        </w:rPr>
      </w:pPr>
    </w:p>
    <w:p>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3.2.2</w:t>
      </w:r>
      <w:r>
        <w:rPr>
          <w:rFonts w:ascii="宋体" w:hAnsi="宋体" w:eastAsia="宋体"/>
          <w:b/>
          <w:bCs/>
          <w:color w:val="auto"/>
          <w:sz w:val="24"/>
          <w:szCs w:val="24"/>
          <w:highlight w:val="none"/>
        </w:rPr>
        <w:t xml:space="preserve">        修改类型：修改</w:t>
      </w:r>
    </w:p>
    <w:p>
      <w:pPr>
        <w:wordWrap w:val="0"/>
        <w:spacing w:line="360" w:lineRule="auto"/>
        <w:ind w:firstLine="426" w:firstLineChars="177"/>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cs="宋体"/>
          <w:color w:val="auto"/>
          <w:sz w:val="24"/>
          <w:szCs w:val="24"/>
          <w:highlight w:val="none"/>
        </w:rPr>
        <w:t>3.2.2 评标委员会按本章第2.2.4（1）款规定的评审因素和分值计算各投标人商务文件的得分A，商务文件的评审得分A为各评标专家打分的算术平均值（由招标人自行设置），分数出现小数点，保留小数点后二位，第三位小数四舍五入。</w:t>
      </w:r>
    </w:p>
    <w:p>
      <w:pPr>
        <w:wordWrap w:val="0"/>
        <w:spacing w:line="360" w:lineRule="auto"/>
        <w:ind w:firstLine="426" w:firstLineChars="177"/>
        <w:rPr>
          <w:rFonts w:ascii="宋体" w:hAnsi="宋体" w:eastAsia="宋体"/>
          <w:b/>
          <w:bCs/>
          <w:color w:val="auto"/>
          <w:sz w:val="24"/>
          <w:szCs w:val="24"/>
          <w:highlight w:val="none"/>
          <w:u w:val="single"/>
        </w:rPr>
      </w:pPr>
      <w:r>
        <w:rPr>
          <w:rFonts w:ascii="宋体" w:hAnsi="宋体" w:eastAsia="宋体"/>
          <w:b/>
          <w:bCs/>
          <w:color w:val="auto"/>
          <w:sz w:val="24"/>
          <w:szCs w:val="24"/>
          <w:highlight w:val="none"/>
        </w:rPr>
        <w:t>现文：</w:t>
      </w:r>
      <w:r>
        <w:rPr>
          <w:rFonts w:hint="eastAsia" w:ascii="宋体" w:hAnsi="宋体" w:eastAsia="宋体" w:cs="宋体"/>
          <w:color w:val="auto"/>
          <w:sz w:val="24"/>
          <w:szCs w:val="24"/>
          <w:highlight w:val="none"/>
        </w:rPr>
        <w:t>3.2.2 评标委员会按本章第2.2.4（1）款规定的评审因素和分值计算各投标人商务文件的得分A，商务文件的评审得分A为各评标专家打分的</w:t>
      </w:r>
      <w:r>
        <w:rPr>
          <w:rFonts w:hint="eastAsia" w:ascii="宋体" w:hAnsi="宋体" w:eastAsia="宋体" w:cs="宋体"/>
          <w:b/>
          <w:bCs/>
          <w:color w:val="auto"/>
          <w:sz w:val="24"/>
          <w:szCs w:val="24"/>
          <w:highlight w:val="none"/>
          <w:u w:val="single"/>
        </w:rPr>
        <w:t>算术平均值</w:t>
      </w:r>
      <w:r>
        <w:rPr>
          <w:rFonts w:hint="eastAsia" w:ascii="宋体" w:hAnsi="宋体" w:eastAsia="宋体" w:cs="宋体"/>
          <w:color w:val="auto"/>
          <w:sz w:val="24"/>
          <w:szCs w:val="24"/>
          <w:highlight w:val="none"/>
        </w:rPr>
        <w:t>，分数出现小数点，保留小数点后二位，第三位小数四舍五入。</w:t>
      </w:r>
    </w:p>
    <w:p>
      <w:pPr>
        <w:pBdr>
          <w:top w:val="single" w:color="auto" w:sz="6" w:space="1"/>
          <w:bottom w:val="single" w:color="auto" w:sz="6" w:space="1"/>
        </w:pBdr>
        <w:wordWrap w:val="0"/>
        <w:spacing w:line="360" w:lineRule="auto"/>
        <w:ind w:firstLine="426" w:firstLineChars="177"/>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条款号：3.4.2        修改类型：修改</w:t>
      </w:r>
    </w:p>
    <w:p>
      <w:pPr>
        <w:pBdr>
          <w:top w:val="single" w:color="auto" w:sz="6" w:space="1"/>
          <w:bottom w:val="single" w:color="auto" w:sz="6" w:space="1"/>
        </w:pBdr>
        <w:wordWrap w:val="0"/>
        <w:spacing w:line="360" w:lineRule="auto"/>
        <w:ind w:firstLine="426" w:firstLineChars="177"/>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color w:val="auto"/>
          <w:sz w:val="24"/>
          <w:szCs w:val="24"/>
          <w:highlight w:val="none"/>
        </w:rPr>
        <w:t>3.4.2 评标委员会按本章第2.2款规定的评审因素计算各投标人技术文件的得分B，（以下两种方法招标人自行选择）①技术文件评审得分B为从各评标专家打分中去掉一个最高分和去掉一个最低分后的剩余评标专家打分的算术平均值；②技术文件评审得分B为各评标专家打分的算术平均值，分数出现小数点，保留小数点后二位，第三位小数四舍五入。</w:t>
      </w:r>
    </w:p>
    <w:p>
      <w:pPr>
        <w:pBdr>
          <w:top w:val="single" w:color="auto" w:sz="6" w:space="1"/>
          <w:bottom w:val="single" w:color="auto" w:sz="6" w:space="1"/>
        </w:pBdr>
        <w:wordWrap w:val="0"/>
        <w:spacing w:line="360" w:lineRule="auto"/>
        <w:ind w:firstLine="426" w:firstLineChars="177"/>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现文：</w:t>
      </w:r>
      <w:r>
        <w:rPr>
          <w:rFonts w:hint="eastAsia" w:ascii="宋体" w:hAnsi="宋体" w:eastAsia="宋体" w:cs="宋体"/>
          <w:color w:val="auto"/>
          <w:sz w:val="24"/>
          <w:szCs w:val="24"/>
          <w:highlight w:val="none"/>
        </w:rPr>
        <w:t>3.4.2 评标委员会按本章第2.2款规定的评审因素计算各投标人技术文件的得分B，</w:t>
      </w:r>
      <w:r>
        <w:rPr>
          <w:rFonts w:hint="eastAsia" w:ascii="宋体" w:hAnsi="宋体" w:eastAsia="宋体" w:cs="宋体"/>
          <w:strike/>
          <w:color w:val="auto"/>
          <w:sz w:val="24"/>
          <w:szCs w:val="24"/>
          <w:highlight w:val="none"/>
        </w:rPr>
        <w:t>（以下两种方法招标人自行选择）①技术文件评审得分B为从各评标专家打分中去掉一个最高分和去掉一个最低分后的剩余评标专家打分的算术平均值；②</w:t>
      </w:r>
      <w:r>
        <w:rPr>
          <w:rFonts w:hint="eastAsia" w:ascii="宋体" w:hAnsi="宋体" w:eastAsia="宋体" w:cs="宋体"/>
          <w:color w:val="auto"/>
          <w:sz w:val="24"/>
          <w:szCs w:val="24"/>
          <w:highlight w:val="none"/>
        </w:rPr>
        <w:t>技术文件评审得分B为各评标专家打分的算术平均值，分数出现小数点，保留小数点后二位，第三位小数四舍五入。</w:t>
      </w:r>
    </w:p>
    <w:p>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hint="eastAsia" w:ascii="宋体" w:hAnsi="宋体" w:eastAsia="宋体"/>
          <w:b/>
          <w:bCs/>
          <w:color w:val="auto"/>
          <w:sz w:val="24"/>
          <w:szCs w:val="24"/>
          <w:highlight w:val="none"/>
        </w:rPr>
        <w:t>3.6</w:t>
      </w:r>
      <w:r>
        <w:rPr>
          <w:rFonts w:ascii="宋体" w:hAnsi="宋体" w:eastAsia="宋体"/>
          <w:b/>
          <w:bCs/>
          <w:color w:val="auto"/>
          <w:sz w:val="24"/>
          <w:szCs w:val="24"/>
          <w:highlight w:val="none"/>
        </w:rPr>
        <w:t xml:space="preserve">        修改类型：修改</w:t>
      </w:r>
    </w:p>
    <w:p>
      <w:pP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b/>
          <w:bCs/>
          <w:color w:val="auto"/>
          <w:sz w:val="24"/>
          <w:szCs w:val="24"/>
          <w:highlight w:val="none"/>
        </w:rPr>
        <w:t>3.6 汇总投标人总得分</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3.6.1 评标委员会按本章第2.2款规定的量化因素和分值进行打分，并计算出综合得分。</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（1）按本章第2.2.4（1）目规定的评审因素和分值对商务文件部分计算出得分A；</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（2）按本章第2.2.4（2）目规定的评审因素和分值对技术文件部分计算出得分B；</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（3）按本章第2.2.4（3）目规定的评审因素和分值对投标报价计算出得分C；</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（4）按本章第2.2.4（4）目规定的评审因素和分值对其他部分计算出得分D。</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3.6.2 评分分值计算保留小数点后两位，小数点后第三位“四舍五入”。</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3.6.3 投标人得分=A+B+C+D。</w:t>
      </w:r>
    </w:p>
    <w:p>
      <w:pPr>
        <w:pBdr>
          <w:bottom w:val="single" w:color="auto" w:sz="6" w:space="1"/>
        </w:pBdr>
        <w:wordWrap w:val="0"/>
        <w:spacing w:line="360" w:lineRule="auto"/>
        <w:ind w:firstLine="426" w:firstLineChars="177"/>
        <w:rPr>
          <w:rFonts w:ascii="宋体" w:hAnsi="宋体" w:eastAsia="宋体"/>
          <w:b/>
          <w:bCs/>
          <w:color w:val="auto"/>
          <w:sz w:val="24"/>
          <w:szCs w:val="24"/>
          <w:highlight w:val="none"/>
        </w:rPr>
      </w:pPr>
      <w:r>
        <w:rPr>
          <w:rFonts w:ascii="宋体" w:hAnsi="宋体" w:eastAsia="宋体"/>
          <w:b/>
          <w:bCs/>
          <w:color w:val="auto"/>
          <w:sz w:val="24"/>
          <w:szCs w:val="24"/>
          <w:highlight w:val="none"/>
        </w:rPr>
        <w:t>现文：</w:t>
      </w:r>
      <w:r>
        <w:rPr>
          <w:rFonts w:hint="eastAsia" w:ascii="宋体" w:hAnsi="宋体" w:eastAsia="宋体"/>
          <w:b/>
          <w:bCs/>
          <w:color w:val="auto"/>
          <w:sz w:val="24"/>
          <w:szCs w:val="24"/>
          <w:highlight w:val="none"/>
        </w:rPr>
        <w:t xml:space="preserve">3.6 </w:t>
      </w:r>
      <w:r>
        <w:rPr>
          <w:rFonts w:hint="eastAsia" w:ascii="宋体" w:hAnsi="宋体" w:eastAsia="宋体"/>
          <w:b/>
          <w:bCs/>
          <w:color w:val="auto"/>
          <w:sz w:val="24"/>
          <w:szCs w:val="24"/>
          <w:highlight w:val="none"/>
          <w:u w:val="single"/>
        </w:rPr>
        <w:t>报价评审及</w:t>
      </w:r>
      <w:r>
        <w:rPr>
          <w:rFonts w:hint="eastAsia" w:ascii="宋体" w:hAnsi="宋体" w:eastAsia="宋体"/>
          <w:b/>
          <w:bCs/>
          <w:color w:val="auto"/>
          <w:sz w:val="24"/>
          <w:szCs w:val="24"/>
          <w:highlight w:val="none"/>
        </w:rPr>
        <w:t>汇总投标人总得分</w:t>
      </w:r>
    </w:p>
    <w:p>
      <w:pPr>
        <w:pBdr>
          <w:bottom w:val="single" w:color="auto" w:sz="6" w:space="1"/>
        </w:pBdr>
        <w:wordWrap w:val="0"/>
        <w:spacing w:line="360" w:lineRule="auto"/>
        <w:ind w:firstLine="424" w:firstLineChars="177"/>
        <w:rPr>
          <w:rFonts w:ascii="宋体" w:hAnsi="宋体" w:eastAsia="宋体"/>
          <w:b/>
          <w:bCs/>
          <w:color w:val="auto"/>
          <w:sz w:val="24"/>
          <w:szCs w:val="24"/>
          <w:highlight w:val="none"/>
          <w:u w:val="single"/>
        </w:rPr>
      </w:pPr>
      <w:r>
        <w:rPr>
          <w:rFonts w:hint="eastAsia" w:ascii="宋体" w:hAnsi="宋体" w:eastAsia="宋体"/>
          <w:color w:val="auto"/>
          <w:sz w:val="24"/>
          <w:szCs w:val="24"/>
          <w:highlight w:val="none"/>
        </w:rPr>
        <w:t xml:space="preserve">3.6.1 </w:t>
      </w:r>
      <w:r>
        <w:rPr>
          <w:rFonts w:hint="eastAsia" w:ascii="宋体" w:hAnsi="宋体" w:eastAsia="宋体"/>
          <w:b/>
          <w:bCs/>
          <w:color w:val="auto"/>
          <w:sz w:val="24"/>
          <w:szCs w:val="24"/>
          <w:highlight w:val="none"/>
          <w:u w:val="single"/>
        </w:rPr>
        <w:t>报价评审，评标委员会按本章第2.2款规定的评审因素计算各投标人投标报价的得分C，分数出现小数点，保留小数点后二位，第三位小数四舍五入。</w:t>
      </w:r>
    </w:p>
    <w:p>
      <w:pPr>
        <w:pBdr>
          <w:bottom w:val="single" w:color="auto" w:sz="6" w:space="1"/>
        </w:pBd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3.6.2 </w:t>
      </w:r>
      <w:r>
        <w:rPr>
          <w:rFonts w:hint="eastAsia" w:ascii="宋体" w:hAnsi="宋体" w:eastAsia="宋体" w:cs="宋体"/>
          <w:b/>
          <w:bCs/>
          <w:color w:val="auto"/>
          <w:sz w:val="24"/>
          <w:szCs w:val="24"/>
          <w:highlight w:val="none"/>
          <w:u w:val="single"/>
        </w:rPr>
        <w:t>评标委员会按本章第</w:t>
      </w:r>
      <w:r>
        <w:rPr>
          <w:rFonts w:ascii="宋体" w:hAnsi="宋体" w:eastAsia="宋体" w:cs="宋体"/>
          <w:b/>
          <w:bCs/>
          <w:color w:val="auto"/>
          <w:sz w:val="24"/>
          <w:szCs w:val="24"/>
          <w:highlight w:val="none"/>
          <w:u w:val="single"/>
        </w:rPr>
        <w:t>2.2.1款的规定汇总各</w:t>
      </w:r>
      <w:r>
        <w:rPr>
          <w:rFonts w:hint="eastAsia" w:ascii="宋体" w:hAnsi="宋体" w:eastAsia="宋体" w:cs="宋体"/>
          <w:b/>
          <w:bCs/>
          <w:color w:val="auto"/>
          <w:sz w:val="24"/>
          <w:szCs w:val="24"/>
          <w:highlight w:val="none"/>
          <w:u w:val="single"/>
        </w:rPr>
        <w:t>投标人</w:t>
      </w:r>
      <w:r>
        <w:rPr>
          <w:rFonts w:ascii="宋体" w:hAnsi="宋体" w:eastAsia="宋体" w:cs="宋体"/>
          <w:b/>
          <w:bCs/>
          <w:color w:val="auto"/>
          <w:sz w:val="24"/>
          <w:szCs w:val="24"/>
          <w:highlight w:val="none"/>
          <w:u w:val="single"/>
        </w:rPr>
        <w:t>的总得分。</w:t>
      </w:r>
    </w:p>
    <w:p>
      <w:pPr>
        <w:wordWrap w:val="0"/>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注：以上修改，仅限于本范本中有可供选择条款的情形。</w:t>
      </w:r>
    </w:p>
    <w:p>
      <w:pPr>
        <w:widowControl/>
        <w:wordWrap w:val="0"/>
        <w:spacing w:line="360" w:lineRule="auto"/>
        <w:jc w:val="left"/>
        <w:rPr>
          <w:rFonts w:ascii="宋体" w:hAnsi="宋体" w:eastAsia="宋体" w:cs="宋体"/>
          <w:color w:val="auto"/>
          <w:szCs w:val="24"/>
          <w:highlight w:val="none"/>
        </w:rPr>
      </w:pPr>
      <w:r>
        <w:rPr>
          <w:rFonts w:ascii="宋体" w:hAnsi="宋体" w:eastAsia="宋体"/>
          <w:color w:val="auto"/>
          <w:sz w:val="24"/>
          <w:szCs w:val="24"/>
          <w:highlight w:val="none"/>
        </w:rPr>
        <w:t>（以下无正文）</w:t>
      </w:r>
      <w:r>
        <w:rPr>
          <w:rFonts w:ascii="宋体" w:hAnsi="宋体" w:eastAsia="宋体" w:cs="宋体"/>
          <w:color w:val="auto"/>
          <w:szCs w:val="24"/>
          <w:highlight w:val="none"/>
        </w:rPr>
        <w:br w:type="page"/>
      </w: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sectPr>
          <w:type w:val="continuous"/>
          <w:pgSz w:w="11905" w:h="16838"/>
          <w:pgMar w:top="1474" w:right="1701" w:bottom="1474" w:left="1701" w:header="720" w:footer="720" w:gutter="0"/>
          <w:cols w:space="720" w:num="1"/>
        </w:sectPr>
      </w:pPr>
    </w:p>
    <w:p>
      <w:pPr>
        <w:keepNext/>
        <w:keepLines/>
        <w:wordWrap w:val="0"/>
        <w:spacing w:line="360" w:lineRule="auto"/>
        <w:jc w:val="left"/>
        <w:outlineLvl w:val="1"/>
        <w:rPr>
          <w:rFonts w:ascii="宋体" w:hAnsi="宋体" w:eastAsia="宋体" w:cs="宋体"/>
          <w:b/>
          <w:bCs/>
          <w:color w:val="auto"/>
          <w:kern w:val="0"/>
          <w:sz w:val="30"/>
          <w:szCs w:val="30"/>
          <w:highlight w:val="none"/>
          <w:lang w:val="zh-CN"/>
        </w:rPr>
      </w:pPr>
      <w:bookmarkStart w:id="185" w:name="_Toc193358004"/>
      <w:bookmarkStart w:id="186" w:name="_Toc2009"/>
      <w:bookmarkStart w:id="187" w:name="_Toc111186788"/>
      <w:r>
        <w:rPr>
          <w:rFonts w:hint="eastAsia" w:ascii="宋体" w:hAnsi="宋体" w:eastAsia="宋体" w:cs="宋体"/>
          <w:b/>
          <w:bCs/>
          <w:color w:val="auto"/>
          <w:kern w:val="0"/>
          <w:sz w:val="30"/>
          <w:szCs w:val="30"/>
          <w:highlight w:val="none"/>
          <w:lang w:val="zh-CN"/>
        </w:rPr>
        <w:t>1. 评标方法</w:t>
      </w:r>
      <w:bookmarkEnd w:id="185"/>
      <w:bookmarkEnd w:id="186"/>
      <w:bookmarkEnd w:id="187"/>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按照评标办法前附表的规定确定中标候选人顺序。</w:t>
      </w:r>
    </w:p>
    <w:p>
      <w:pPr>
        <w:wordWrap w:val="0"/>
        <w:spacing w:line="360" w:lineRule="auto"/>
        <w:ind w:firstLine="480" w:firstLineChars="200"/>
        <w:rPr>
          <w:rFonts w:ascii="宋体" w:hAnsi="宋体" w:eastAsia="宋体" w:cs="宋体"/>
          <w:color w:val="auto"/>
          <w:sz w:val="24"/>
          <w:szCs w:val="24"/>
          <w:highlight w:val="none"/>
        </w:rPr>
      </w:pPr>
    </w:p>
    <w:p>
      <w:pPr>
        <w:keepNext/>
        <w:keepLines/>
        <w:wordWrap w:val="0"/>
        <w:spacing w:line="360" w:lineRule="auto"/>
        <w:jc w:val="left"/>
        <w:outlineLvl w:val="1"/>
        <w:rPr>
          <w:rFonts w:ascii="宋体" w:hAnsi="宋体" w:eastAsia="宋体" w:cs="宋体"/>
          <w:b/>
          <w:bCs/>
          <w:color w:val="auto"/>
          <w:spacing w:val="1"/>
          <w:kern w:val="0"/>
          <w:sz w:val="30"/>
          <w:szCs w:val="30"/>
          <w:highlight w:val="none"/>
          <w:lang w:val="zh-CN"/>
        </w:rPr>
      </w:pPr>
      <w:bookmarkStart w:id="188" w:name="_Toc193358005"/>
      <w:bookmarkStart w:id="189" w:name="_Toc111186789"/>
      <w:bookmarkStart w:id="190" w:name="_Toc16715"/>
      <w:r>
        <w:rPr>
          <w:rFonts w:hint="eastAsia" w:ascii="宋体" w:hAnsi="宋体" w:eastAsia="宋体" w:cs="宋体"/>
          <w:b/>
          <w:bCs/>
          <w:color w:val="auto"/>
          <w:spacing w:val="1"/>
          <w:kern w:val="0"/>
          <w:sz w:val="30"/>
          <w:szCs w:val="30"/>
          <w:highlight w:val="none"/>
          <w:lang w:val="zh-CN"/>
        </w:rPr>
        <w:t>2. 评审标准</w:t>
      </w:r>
      <w:bookmarkEnd w:id="188"/>
      <w:bookmarkEnd w:id="189"/>
      <w:bookmarkEnd w:id="190"/>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1" w:name="_Toc193358006"/>
      <w:r>
        <w:rPr>
          <w:rFonts w:hint="eastAsia" w:ascii="宋体" w:hAnsi="宋体" w:eastAsia="宋体" w:cs="宋体"/>
          <w:b/>
          <w:bCs/>
          <w:color w:val="auto"/>
          <w:spacing w:val="1"/>
          <w:sz w:val="28"/>
          <w:szCs w:val="32"/>
          <w:highlight w:val="none"/>
          <w:lang w:val="zh-CN"/>
        </w:rPr>
        <w:t>2.1 初步评审标准</w:t>
      </w:r>
      <w:bookmarkEnd w:id="191"/>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 商务文件形式评审标准：见评标办法前附表。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 资格评审标准：见评标办法前附表。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2.1.3（1）商务文件响应性评审标准：见评标办法前附表。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2.1.3（2）技术文件初步评审标准：见评标办法前附表。</w:t>
      </w:r>
    </w:p>
    <w:p>
      <w:pPr>
        <w:wordWrap w:val="0"/>
        <w:spacing w:line="360" w:lineRule="auto"/>
        <w:ind w:firstLine="480" w:firstLineChars="200"/>
        <w:rPr>
          <w:rFonts w:ascii="宋体" w:hAnsi="宋体" w:eastAsia="宋体" w:cs="宋体"/>
          <w:color w:val="auto"/>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2" w:name="_Toc193358007"/>
      <w:r>
        <w:rPr>
          <w:rFonts w:hint="eastAsia" w:ascii="宋体" w:hAnsi="宋体" w:eastAsia="宋体" w:cs="宋体"/>
          <w:b/>
          <w:bCs/>
          <w:color w:val="auto"/>
          <w:spacing w:val="1"/>
          <w:sz w:val="28"/>
          <w:szCs w:val="32"/>
          <w:highlight w:val="none"/>
          <w:lang w:val="zh-CN"/>
        </w:rPr>
        <w:t>2.2 分值构成与评分标准</w:t>
      </w:r>
      <w:bookmarkEnd w:id="192"/>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2.2.1 分值构成</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（1）商务文件部分：见评标办法前附表；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（2）技术文件部分：见评标办法前附表；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（3）投标报价：见评标办法前附表；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（4）其他评分因素：见评标办法前附表。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2.2.2 评标基准价计算</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评标基准价计算方法：见评标办法前附表。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 投标报价的偏差率计算</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投标报价的偏差率计算公式：见评标办法前附表。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2.2.4 评分标准</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（1）商务文件评分标准：见评标办法前附表；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（2）技术文件评分标准：见评标办法前附表；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（3）投标报价评分标准：见评标办法前附表；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（4）其他因素评分标准：见评标办法前附表。</w:t>
      </w:r>
    </w:p>
    <w:p>
      <w:pPr>
        <w:wordWrap w:val="0"/>
        <w:spacing w:line="360" w:lineRule="auto"/>
        <w:ind w:firstLine="480" w:firstLineChars="200"/>
        <w:rPr>
          <w:rFonts w:ascii="宋体" w:hAnsi="宋体" w:eastAsia="宋体" w:cs="宋体"/>
          <w:strike/>
          <w:color w:val="auto"/>
          <w:sz w:val="24"/>
          <w:szCs w:val="24"/>
          <w:highlight w:val="none"/>
        </w:rPr>
      </w:pPr>
    </w:p>
    <w:p>
      <w:pPr>
        <w:keepNext/>
        <w:keepLines/>
        <w:wordWrap w:val="0"/>
        <w:spacing w:line="360" w:lineRule="auto"/>
        <w:jc w:val="left"/>
        <w:outlineLvl w:val="1"/>
        <w:rPr>
          <w:rFonts w:ascii="宋体" w:hAnsi="宋体" w:eastAsia="宋体" w:cs="宋体"/>
          <w:b/>
          <w:bCs/>
          <w:color w:val="auto"/>
          <w:spacing w:val="1"/>
          <w:kern w:val="0"/>
          <w:sz w:val="30"/>
          <w:szCs w:val="30"/>
          <w:highlight w:val="none"/>
          <w:lang w:val="zh-CN"/>
        </w:rPr>
      </w:pPr>
      <w:bookmarkStart w:id="193" w:name="_Toc111186790"/>
      <w:bookmarkStart w:id="194" w:name="_Toc24342"/>
      <w:bookmarkStart w:id="195" w:name="_Toc193358008"/>
      <w:r>
        <w:rPr>
          <w:rFonts w:hint="eastAsia" w:ascii="宋体" w:hAnsi="宋体" w:eastAsia="宋体" w:cs="宋体"/>
          <w:b/>
          <w:bCs/>
          <w:color w:val="auto"/>
          <w:spacing w:val="1"/>
          <w:kern w:val="0"/>
          <w:sz w:val="30"/>
          <w:szCs w:val="30"/>
          <w:highlight w:val="none"/>
          <w:lang w:val="zh-CN"/>
        </w:rPr>
        <w:t>3. 评标程序</w:t>
      </w:r>
      <w:bookmarkEnd w:id="193"/>
      <w:bookmarkEnd w:id="194"/>
      <w:bookmarkEnd w:id="195"/>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评标活动按以下</w:t>
      </w:r>
      <w:r>
        <w:rPr>
          <w:rFonts w:hint="eastAsia" w:ascii="宋体" w:hAnsi="宋体" w:eastAsia="宋体"/>
          <w:strike/>
          <w:color w:val="auto"/>
          <w:sz w:val="24"/>
          <w:szCs w:val="24"/>
          <w:highlight w:val="none"/>
        </w:rPr>
        <w:t>六个</w:t>
      </w:r>
      <w:r>
        <w:rPr>
          <w:rFonts w:hint="eastAsia" w:ascii="宋体" w:hAnsi="宋体" w:eastAsia="宋体"/>
          <w:color w:val="auto"/>
          <w:sz w:val="24"/>
          <w:szCs w:val="24"/>
          <w:highlight w:val="none"/>
        </w:rPr>
        <w:t>步骤进行：</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b/>
          <w:bCs/>
          <w:color w:val="auto"/>
          <w:sz w:val="24"/>
          <w:szCs w:val="24"/>
          <w:highlight w:val="none"/>
          <w:u w:val="single"/>
        </w:rPr>
        <w:t>商务文件形式评审、资格评审、商务文件响应性评审</w:t>
      </w:r>
      <w:r>
        <w:rPr>
          <w:rFonts w:hint="eastAsia" w:ascii="宋体" w:hAnsi="宋体" w:eastAsia="宋体"/>
          <w:color w:val="auto"/>
          <w:sz w:val="24"/>
          <w:szCs w:val="24"/>
          <w:highlight w:val="none"/>
        </w:rPr>
        <w:t>；</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（2）商务文件详细评审；</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（3）技术文件初步评审；</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（4）技术文件详细评审；</w:t>
      </w:r>
    </w:p>
    <w:p>
      <w:pPr>
        <w:wordWrap w:val="0"/>
        <w:spacing w:line="360" w:lineRule="auto"/>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（5）揭晓技术文件评审结果；</w:t>
      </w:r>
    </w:p>
    <w:p>
      <w:pPr>
        <w:wordWrap w:val="0"/>
        <w:spacing w:line="360" w:lineRule="auto"/>
        <w:ind w:firstLine="426" w:firstLineChars="177"/>
        <w:rPr>
          <w:rFonts w:ascii="宋体" w:hAnsi="宋体" w:eastAsia="宋体"/>
          <w:b/>
          <w:bCs/>
          <w:color w:val="auto"/>
          <w:sz w:val="24"/>
          <w:szCs w:val="24"/>
          <w:highlight w:val="none"/>
          <w:u w:val="single"/>
        </w:rPr>
      </w:pPr>
      <w:r>
        <w:rPr>
          <w:rFonts w:hint="eastAsia" w:ascii="宋体" w:hAnsi="宋体" w:eastAsia="宋体"/>
          <w:b/>
          <w:bCs/>
          <w:color w:val="auto"/>
          <w:sz w:val="24"/>
          <w:szCs w:val="24"/>
          <w:highlight w:val="none"/>
          <w:u w:val="single"/>
        </w:rPr>
        <w:t>（6）报价评审；</w:t>
      </w:r>
    </w:p>
    <w:p>
      <w:pPr>
        <w:wordWrap w:val="0"/>
        <w:spacing w:line="360" w:lineRule="auto"/>
        <w:ind w:firstLine="426" w:firstLineChars="177"/>
        <w:rPr>
          <w:rFonts w:ascii="宋体" w:hAnsi="宋体" w:eastAsia="宋体"/>
          <w:color w:val="auto"/>
          <w:sz w:val="24"/>
          <w:szCs w:val="24"/>
          <w:highlight w:val="none"/>
        </w:rPr>
      </w:pPr>
      <w:r>
        <w:rPr>
          <w:rFonts w:hint="eastAsia" w:ascii="宋体" w:hAnsi="宋体" w:eastAsia="宋体"/>
          <w:b/>
          <w:bCs/>
          <w:color w:val="auto"/>
          <w:sz w:val="24"/>
          <w:szCs w:val="24"/>
          <w:highlight w:val="none"/>
          <w:u w:val="single"/>
        </w:rPr>
        <w:t>（7）</w:t>
      </w:r>
      <w:r>
        <w:rPr>
          <w:rFonts w:hint="eastAsia" w:ascii="宋体" w:hAnsi="宋体" w:eastAsia="宋体"/>
          <w:color w:val="auto"/>
          <w:sz w:val="24"/>
          <w:szCs w:val="24"/>
          <w:highlight w:val="none"/>
        </w:rPr>
        <w:t>汇总投标人总得分；</w:t>
      </w:r>
    </w:p>
    <w:p>
      <w:pPr>
        <w:wordWrap w:val="0"/>
        <w:spacing w:line="360" w:lineRule="auto"/>
        <w:ind w:firstLine="482" w:firstLineChars="200"/>
        <w:rPr>
          <w:rFonts w:ascii="宋体" w:hAnsi="宋体" w:eastAsia="宋体" w:cs="宋体"/>
          <w:color w:val="auto"/>
          <w:sz w:val="24"/>
          <w:szCs w:val="24"/>
          <w:highlight w:val="none"/>
        </w:rPr>
      </w:pPr>
      <w:r>
        <w:rPr>
          <w:rFonts w:hint="eastAsia" w:ascii="宋体" w:hAnsi="宋体" w:eastAsia="宋体"/>
          <w:b/>
          <w:bCs/>
          <w:color w:val="auto"/>
          <w:sz w:val="24"/>
          <w:szCs w:val="24"/>
          <w:highlight w:val="none"/>
          <w:u w:val="single"/>
        </w:rPr>
        <w:t>（8）</w:t>
      </w:r>
      <w:r>
        <w:rPr>
          <w:rFonts w:hint="eastAsia" w:ascii="宋体" w:hAnsi="宋体" w:eastAsia="宋体"/>
          <w:color w:val="auto"/>
          <w:sz w:val="24"/>
          <w:szCs w:val="24"/>
          <w:highlight w:val="none"/>
        </w:rPr>
        <w:t>推荐中标候选人，提交评标报告</w:t>
      </w:r>
      <w:r>
        <w:rPr>
          <w:rFonts w:hint="eastAsia" w:ascii="宋体" w:hAnsi="宋体" w:eastAsia="宋体" w:cs="宋体"/>
          <w:color w:val="auto"/>
          <w:sz w:val="24"/>
          <w:szCs w:val="24"/>
          <w:highlight w:val="none"/>
        </w:rPr>
        <w:t>。</w:t>
      </w:r>
    </w:p>
    <w:p>
      <w:pPr>
        <w:wordWrap w:val="0"/>
        <w:spacing w:line="360" w:lineRule="auto"/>
        <w:ind w:firstLine="480" w:firstLineChars="200"/>
        <w:rPr>
          <w:rFonts w:ascii="宋体" w:hAnsi="宋体" w:eastAsia="宋体" w:cs="宋体"/>
          <w:color w:val="auto"/>
          <w:sz w:val="24"/>
          <w:szCs w:val="24"/>
          <w:highlight w:val="none"/>
        </w:rPr>
      </w:pPr>
      <w:bookmarkStart w:id="196" w:name="_Toc6080"/>
      <w:bookmarkStart w:id="197" w:name="_Toc111186791"/>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8" w:name="_Toc193358010"/>
      <w:r>
        <w:rPr>
          <w:rFonts w:hint="eastAsia" w:ascii="宋体" w:hAnsi="宋体" w:eastAsia="宋体" w:cs="宋体"/>
          <w:b/>
          <w:bCs/>
          <w:color w:val="auto"/>
          <w:spacing w:val="1"/>
          <w:sz w:val="28"/>
          <w:szCs w:val="32"/>
          <w:highlight w:val="none"/>
          <w:lang w:val="zh-CN"/>
        </w:rPr>
        <w:t xml:space="preserve">3.1 </w:t>
      </w:r>
      <w:bookmarkEnd w:id="198"/>
      <w:r>
        <w:rPr>
          <w:rFonts w:hint="eastAsia" w:ascii="宋体" w:hAnsi="宋体" w:eastAsia="宋体"/>
          <w:b/>
          <w:bCs/>
          <w:color w:val="auto"/>
          <w:sz w:val="28"/>
          <w:szCs w:val="28"/>
          <w:highlight w:val="none"/>
          <w:u w:val="single"/>
        </w:rPr>
        <w:t>商务文件形式评审、资格评审、商务文件响应性评审</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3.1.1 评标委员会如认为有必要，可以要求投标人提交第二章“投标人须知”规定的有关证明和证件的原件，以便核验。评标委员会依据本章第2.1款规定的标准对投标文件进行</w:t>
      </w:r>
      <w:r>
        <w:rPr>
          <w:rFonts w:hint="eastAsia" w:ascii="宋体" w:hAnsi="宋体" w:eastAsia="宋体"/>
          <w:b/>
          <w:bCs/>
          <w:color w:val="auto"/>
          <w:sz w:val="24"/>
          <w:szCs w:val="24"/>
          <w:highlight w:val="none"/>
          <w:u w:val="single"/>
        </w:rPr>
        <w:t>商务文件形式评审、资格评审、商务文件响应性评审</w:t>
      </w:r>
      <w:r>
        <w:rPr>
          <w:rFonts w:hint="eastAsia" w:ascii="宋体" w:hAnsi="宋体" w:eastAsia="宋体" w:cs="宋体"/>
          <w:color w:val="auto"/>
          <w:sz w:val="24"/>
          <w:szCs w:val="24"/>
          <w:highlight w:val="none"/>
        </w:rPr>
        <w:t>。有一项不符合评审标准的，评标委员会应当否决其投标，未能通过</w:t>
      </w:r>
      <w:r>
        <w:rPr>
          <w:rFonts w:hint="eastAsia" w:ascii="宋体" w:hAnsi="宋体" w:eastAsia="宋体"/>
          <w:b/>
          <w:bCs/>
          <w:color w:val="auto"/>
          <w:sz w:val="24"/>
          <w:szCs w:val="24"/>
          <w:highlight w:val="none"/>
          <w:u w:val="single"/>
        </w:rPr>
        <w:t>商务文件形式评审、资格评审、商务文件响应性评审</w:t>
      </w:r>
      <w:r>
        <w:rPr>
          <w:rFonts w:hint="eastAsia" w:ascii="宋体" w:hAnsi="宋体" w:eastAsia="宋体" w:cs="宋体"/>
          <w:color w:val="auto"/>
          <w:sz w:val="24"/>
          <w:szCs w:val="24"/>
          <w:highlight w:val="none"/>
        </w:rPr>
        <w:t>的投标人，其投标不再参与后续的评审程序。如果有否决投标提议，则评标委员会成员共同表决，按照少数服从多数的原则决定是否否决其投标。若有效投标不足3个的，或当N个标段同时招标且不允许兼中时，有效投标人不足N+2家的，应当对投标是否明显缺乏竞争和是否需要否决全部投标进行充分论证，并在评标报告中记载论证过程和结果。如评标委员会成员的评审意见不一致时，以评标委员会过半数成员的意见作为评标委员会对该情形的认定结论。</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3.1.1.1 商务文件形式评审：</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评标委员会根据评标办法前附表中规定的评审因素和评审标准，对投标人的商务文件进行形式评审。通过商务文件形式评审的投标文件方可参加下一阶段评审程序。</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3.1.1.2 资格评审：</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评标委员会根据评标办法前附表中的规定的评审因素和评审标准，对投标人的资格审查文件进行资格评审。通过资格评审的投标文件方可参加下一阶段评审程序。</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3.1.1.3 商务文件响应性评审：</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评标委员会根据评标办法前附表中规定的评审因素和评审标准，对投标人的商务文件进行响应性评审。通过商务文件响应性评审的投标文件方可参加下一阶段评审程序。</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3.1.2 投标人有以下情形之一的，评标委员会应当否决其投标：</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（1）投标文件没有对招标文件的实质性要求和条件作出响应，或者对招标文件的偏差超出招标文件规定的偏差范围或最高项数；</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（2）有串通投标、弄虚作假、行贿等违法行为。</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招标人设置了成本警示价的，对于低于成本警示价的投标报价，投标人必须提供详细的单价、措施等分析供评标委员会评审，由评标委员会判定其是否低于企业自身成本。在评标过程中，评标委员会发现投标人的报价明显低于其他投标报价或者低于成本警示价，使得其投标报价可能低于个别成本的，应当要求该投标人作出书面说明并提供相关证明材料。投标人不能合理说明或者不能提供相关说明材料的，由评标委员会认定该投标人以低于成本报价竞标，应当否决其投标。</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（4）评标办法规定的其他应当否决其投标的情形。</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3.1.3 投标报价有算术错误及其他错误的，评标委员会按以下原则要求投标人对投标报价进行修正，并要求投标人书面澄清确认。投标人拒不澄清确认的，投标人拒不接受的，评标委员会应当否决其投标：</w:t>
      </w:r>
    </w:p>
    <w:p>
      <w:pPr>
        <w:wordWrap w:val="0"/>
        <w:spacing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（1）投标报价与投标下浮率不符时，以投标下浮率为准修正投标报价；</w:t>
      </w:r>
    </w:p>
    <w:p>
      <w:pPr>
        <w:wordWrap w:val="0"/>
        <w:spacing w:line="360" w:lineRule="auto"/>
        <w:ind w:firstLine="482" w:firstLineChars="200"/>
        <w:rPr>
          <w:rFonts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（2）投标总报价与勘察费、设计费投标报价相加不符时，以勘察费、设计费投标报价相加为准修正投标总报价，除非评标委员会认为勘察费、设计费投标报价有明显的小数点错误。</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3.1.4 评标委员会不得将文件顺序、明显文字错误等列为否决投标的情形，评标委员会发现投标文件含义不明确、对同类问题表述不一致、有明显格式或文字、计算错误、投标报价可能低于成本影响履约的，应当要求投标人作必要的澄清、说明或补正后再判定投标人是否通过审查，不得直接否决投标。评标委员会不接受投标人主动提出的澄清、说明或补正。</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3.1.5 有效投标不足三个的，评标委员会应当对投标是否明显缺乏竞争和是否需要否决全部投标进行充分论证，并在评标报告中记载论证过程和结果。</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3.1.6 若评标委员会各成员对否决投标意见不一致时，则按少数服从多数的原则作出评审结论。持有不同意见的评标委员会成员应书面记录本人意见后上传至评标系统，招标人应对评标委员会的意见合法、合理性进行确认。</w:t>
      </w:r>
    </w:p>
    <w:p>
      <w:pPr>
        <w:wordWrap w:val="0"/>
        <w:spacing w:line="360" w:lineRule="auto"/>
        <w:ind w:firstLine="480" w:firstLineChars="200"/>
        <w:rPr>
          <w:rFonts w:ascii="宋体" w:hAnsi="宋体" w:eastAsia="宋体" w:cs="宋体"/>
          <w:color w:val="auto"/>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199" w:name="_Toc193358011"/>
      <w:r>
        <w:rPr>
          <w:rFonts w:hint="eastAsia" w:ascii="宋体" w:hAnsi="宋体" w:eastAsia="宋体" w:cs="宋体"/>
          <w:b/>
          <w:bCs/>
          <w:color w:val="auto"/>
          <w:spacing w:val="1"/>
          <w:sz w:val="28"/>
          <w:szCs w:val="32"/>
          <w:highlight w:val="none"/>
          <w:lang w:val="zh-CN"/>
        </w:rPr>
        <w:t xml:space="preserve">3.2 </w:t>
      </w:r>
      <w:bookmarkEnd w:id="199"/>
      <w:r>
        <w:rPr>
          <w:rFonts w:hint="eastAsia" w:ascii="宋体" w:hAnsi="宋体" w:eastAsia="宋体" w:cs="宋体"/>
          <w:b/>
          <w:bCs/>
          <w:color w:val="auto"/>
          <w:spacing w:val="1"/>
          <w:sz w:val="28"/>
          <w:szCs w:val="32"/>
          <w:highlight w:val="none"/>
          <w:lang w:val="zh-CN"/>
        </w:rPr>
        <w:t>商务文件详细评审</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3.2.1 评标委员会按本章第2.2款规定的量化因素和分值进行打分，并计算出综合得分。</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3.2.2 评标委员会按本章第2.2.4（1）款规定的评审因素和分值计算各投标人商务文件的得分A，商务文件的评审得分A为各评标专家打分的</w:t>
      </w:r>
      <w:r>
        <w:rPr>
          <w:rFonts w:hint="eastAsia" w:ascii="宋体" w:hAnsi="宋体" w:eastAsia="宋体" w:cs="宋体"/>
          <w:b/>
          <w:bCs/>
          <w:color w:val="auto"/>
          <w:sz w:val="24"/>
          <w:szCs w:val="24"/>
          <w:highlight w:val="none"/>
          <w:u w:val="single"/>
        </w:rPr>
        <w:t>算术平均值</w:t>
      </w:r>
      <w:r>
        <w:rPr>
          <w:rFonts w:hint="eastAsia" w:ascii="宋体" w:hAnsi="宋体" w:eastAsia="宋体" w:cs="宋体"/>
          <w:color w:val="auto"/>
          <w:sz w:val="24"/>
          <w:szCs w:val="24"/>
          <w:highlight w:val="none"/>
        </w:rPr>
        <w:t>，分数出现小数点，保留小数点后二位，第三位小数四舍五入。</w:t>
      </w:r>
    </w:p>
    <w:p>
      <w:pPr>
        <w:wordWrap w:val="0"/>
        <w:spacing w:line="360" w:lineRule="auto"/>
        <w:ind w:firstLine="480" w:firstLineChars="200"/>
        <w:rPr>
          <w:rFonts w:ascii="宋体" w:hAnsi="宋体" w:eastAsia="宋体" w:cs="宋体"/>
          <w:color w:val="auto"/>
          <w:sz w:val="24"/>
          <w:szCs w:val="24"/>
          <w:highlight w:val="none"/>
          <w:u w:val="singl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00" w:name="_Toc193358012"/>
      <w:r>
        <w:rPr>
          <w:rFonts w:hint="eastAsia" w:ascii="宋体" w:hAnsi="宋体" w:eastAsia="宋体" w:cs="宋体"/>
          <w:b/>
          <w:bCs/>
          <w:color w:val="auto"/>
          <w:spacing w:val="1"/>
          <w:sz w:val="28"/>
          <w:szCs w:val="32"/>
          <w:highlight w:val="none"/>
        </w:rPr>
        <w:t>3.3</w:t>
      </w:r>
      <w:r>
        <w:rPr>
          <w:rFonts w:ascii="宋体" w:hAnsi="宋体" w:eastAsia="宋体" w:cs="宋体"/>
          <w:b/>
          <w:bCs/>
          <w:color w:val="auto"/>
          <w:spacing w:val="1"/>
          <w:sz w:val="28"/>
          <w:szCs w:val="32"/>
          <w:highlight w:val="none"/>
        </w:rPr>
        <w:t xml:space="preserve"> </w:t>
      </w:r>
      <w:bookmarkEnd w:id="200"/>
      <w:r>
        <w:rPr>
          <w:rFonts w:hint="eastAsia" w:ascii="宋体" w:hAnsi="宋体" w:eastAsia="宋体" w:cs="宋体"/>
          <w:b/>
          <w:bCs/>
          <w:color w:val="auto"/>
          <w:spacing w:val="1"/>
          <w:sz w:val="28"/>
          <w:szCs w:val="32"/>
          <w:highlight w:val="none"/>
          <w:lang w:val="zh-CN"/>
        </w:rPr>
        <w:t>技术文件初步评审</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3.3.1 评标委员会依据本章第2.1.3（2）款规定的标准对投标文件进行技术文件初步评审。有一项不符合评审标准的，评标委员会应当否决其投标，未能通过技术文件初步评审的投标文件不能参加下一阶段评审程序。</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3.3.2 评标时若遇不可抗力发生（如：网络瘫痪、服务器损坏、交易系统故障短期无法恢复等因素），由评标委员会开启现场递交的全部备用投标文件光盘，并按备用光盘内容进行评审。</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3.3.3 技术文件光盘、保密文件光盘接收时不得启封，当符合上款条件需要对技术文件进行评审时，由交易服务机构见证人对技术文件光盘启封密封袋并编号，参与开标、评标的其他人员应当回避，完成编号后送交评标委员会进行评审。评标结果揭晓前，负责编号的工作人员不得向他人透露投标文件编号的情况。在完成技术文件评审后，由交易服务机构见证人和评标委员会共同开启保密文件光盘密封袋揭晓投标人身份。</w:t>
      </w:r>
    </w:p>
    <w:p>
      <w:pPr>
        <w:wordWrap w:val="0"/>
        <w:spacing w:line="360" w:lineRule="auto"/>
        <w:ind w:firstLine="480" w:firstLineChars="200"/>
        <w:rPr>
          <w:rFonts w:ascii="宋体" w:hAnsi="宋体" w:eastAsia="宋体" w:cs="宋体"/>
          <w:color w:val="auto"/>
          <w:sz w:val="24"/>
          <w:szCs w:val="24"/>
          <w:highlight w:val="none"/>
          <w:u w:val="single"/>
        </w:rPr>
      </w:pPr>
    </w:p>
    <w:p>
      <w:pPr>
        <w:keepNext/>
        <w:keepLines/>
        <w:wordWrap w:val="0"/>
        <w:spacing w:before="260" w:line="416" w:lineRule="auto"/>
        <w:outlineLvl w:val="2"/>
        <w:rPr>
          <w:rFonts w:ascii="宋体" w:hAnsi="宋体" w:eastAsia="宋体" w:cs="宋体"/>
          <w:b/>
          <w:bCs/>
          <w:color w:val="auto"/>
          <w:spacing w:val="1"/>
          <w:sz w:val="28"/>
          <w:szCs w:val="32"/>
          <w:highlight w:val="none"/>
        </w:rPr>
      </w:pPr>
      <w:bookmarkStart w:id="201" w:name="_Toc193358013"/>
      <w:r>
        <w:rPr>
          <w:rFonts w:hint="eastAsia" w:ascii="宋体" w:hAnsi="宋体" w:eastAsia="宋体" w:cs="宋体"/>
          <w:b/>
          <w:bCs/>
          <w:color w:val="auto"/>
          <w:spacing w:val="1"/>
          <w:sz w:val="28"/>
          <w:szCs w:val="32"/>
          <w:highlight w:val="none"/>
        </w:rPr>
        <w:t xml:space="preserve">3.4 </w:t>
      </w:r>
      <w:bookmarkEnd w:id="201"/>
      <w:r>
        <w:rPr>
          <w:rFonts w:hint="eastAsia" w:ascii="宋体" w:hAnsi="宋体" w:eastAsia="宋体" w:cs="宋体"/>
          <w:b/>
          <w:bCs/>
          <w:color w:val="auto"/>
          <w:spacing w:val="1"/>
          <w:sz w:val="28"/>
          <w:szCs w:val="32"/>
          <w:highlight w:val="none"/>
        </w:rPr>
        <w:t>技术文件详细评审</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3.4.1 评标委员会按本章第2.2款规定的量化因素和分值进行打分，并计算出综合得分。</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3.4.2 评标委员会按本章第2.2款规定的评审因素计算各投标人技术文件的得分B，</w:t>
      </w:r>
      <w:r>
        <w:rPr>
          <w:rFonts w:hint="eastAsia" w:ascii="宋体" w:hAnsi="宋体" w:eastAsia="宋体" w:cs="宋体"/>
          <w:strike/>
          <w:color w:val="auto"/>
          <w:sz w:val="24"/>
          <w:szCs w:val="24"/>
          <w:highlight w:val="none"/>
        </w:rPr>
        <w:t>（以下两种方法招标人自行选择）①技术文件评审得分B为从各评标专家打分中去掉一个最高分和去掉一个最低分后的剩余评标专家打分的算术平均值；②</w:t>
      </w:r>
      <w:r>
        <w:rPr>
          <w:rFonts w:hint="eastAsia" w:ascii="宋体" w:hAnsi="宋体" w:eastAsia="宋体" w:cs="宋体"/>
          <w:color w:val="auto"/>
          <w:sz w:val="24"/>
          <w:szCs w:val="24"/>
          <w:highlight w:val="none"/>
        </w:rPr>
        <w:t>技术文件评审得分B为各评标专家打分的算术平均值，分数出现小数点，保留小数点后二位，第三位小数四舍五入。</w:t>
      </w:r>
    </w:p>
    <w:p>
      <w:pPr>
        <w:wordWrap w:val="0"/>
        <w:spacing w:line="360" w:lineRule="auto"/>
        <w:ind w:firstLine="480" w:firstLineChars="200"/>
        <w:rPr>
          <w:rFonts w:ascii="宋体" w:hAnsi="宋体" w:eastAsia="宋体" w:cs="宋体"/>
          <w:color w:val="auto"/>
          <w:sz w:val="24"/>
          <w:szCs w:val="24"/>
          <w:highlight w:val="none"/>
          <w:u w:val="single"/>
        </w:rPr>
      </w:pPr>
    </w:p>
    <w:p>
      <w:pPr>
        <w:keepNext/>
        <w:keepLines/>
        <w:wordWrap w:val="0"/>
        <w:spacing w:before="260" w:line="416" w:lineRule="auto"/>
        <w:outlineLvl w:val="2"/>
        <w:rPr>
          <w:rFonts w:ascii="宋体" w:hAnsi="宋体" w:eastAsia="宋体" w:cs="宋体"/>
          <w:b/>
          <w:bCs/>
          <w:color w:val="auto"/>
          <w:spacing w:val="1"/>
          <w:sz w:val="28"/>
          <w:szCs w:val="32"/>
          <w:highlight w:val="none"/>
        </w:rPr>
      </w:pPr>
      <w:bookmarkStart w:id="202" w:name="_Toc193358014"/>
      <w:r>
        <w:rPr>
          <w:rFonts w:hint="eastAsia" w:ascii="宋体" w:hAnsi="宋体" w:eastAsia="宋体" w:cs="宋体"/>
          <w:b/>
          <w:bCs/>
          <w:color w:val="auto"/>
          <w:spacing w:val="1"/>
          <w:sz w:val="28"/>
          <w:szCs w:val="32"/>
          <w:highlight w:val="none"/>
        </w:rPr>
        <w:t xml:space="preserve">3.5 </w:t>
      </w:r>
      <w:bookmarkEnd w:id="202"/>
      <w:r>
        <w:rPr>
          <w:rFonts w:hint="eastAsia" w:ascii="宋体" w:hAnsi="宋体" w:eastAsia="宋体" w:cs="宋体"/>
          <w:b/>
          <w:bCs/>
          <w:color w:val="auto"/>
          <w:spacing w:val="1"/>
          <w:sz w:val="28"/>
          <w:szCs w:val="32"/>
          <w:highlight w:val="none"/>
        </w:rPr>
        <w:t>揭晓技术文件评审结果</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3.5.1 由评标委员会在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电子交易系统揭晓，系统自动形成暗标编码表显示各投标单位对应的编码，并由评标委员会确认投标人技术文件的评审得分。</w:t>
      </w:r>
    </w:p>
    <w:p>
      <w:pPr>
        <w:keepNext/>
        <w:keepLines/>
        <w:wordWrap w:val="0"/>
        <w:spacing w:before="260" w:line="416" w:lineRule="auto"/>
        <w:outlineLvl w:val="2"/>
        <w:rPr>
          <w:rFonts w:ascii="宋体" w:hAnsi="宋体" w:eastAsia="宋体" w:cs="宋体"/>
          <w:b/>
          <w:bCs/>
          <w:color w:val="auto"/>
          <w:spacing w:val="1"/>
          <w:sz w:val="28"/>
          <w:szCs w:val="32"/>
          <w:highlight w:val="none"/>
        </w:rPr>
      </w:pPr>
      <w:bookmarkStart w:id="203" w:name="_Toc193358015"/>
      <w:r>
        <w:rPr>
          <w:rFonts w:hint="eastAsia" w:ascii="宋体" w:hAnsi="宋体" w:eastAsia="宋体" w:cs="宋体"/>
          <w:b/>
          <w:bCs/>
          <w:color w:val="auto"/>
          <w:spacing w:val="1"/>
          <w:sz w:val="28"/>
          <w:szCs w:val="32"/>
          <w:highlight w:val="none"/>
        </w:rPr>
        <w:t>3.</w:t>
      </w:r>
      <w:r>
        <w:rPr>
          <w:rFonts w:ascii="宋体" w:hAnsi="宋体" w:eastAsia="宋体" w:cs="宋体"/>
          <w:b/>
          <w:bCs/>
          <w:color w:val="auto"/>
          <w:spacing w:val="1"/>
          <w:sz w:val="28"/>
          <w:szCs w:val="32"/>
          <w:highlight w:val="none"/>
        </w:rPr>
        <w:t>6</w:t>
      </w:r>
      <w:r>
        <w:rPr>
          <w:rFonts w:hint="eastAsia" w:ascii="宋体" w:hAnsi="宋体" w:eastAsia="宋体" w:cs="宋体"/>
          <w:b/>
          <w:bCs/>
          <w:color w:val="auto"/>
          <w:spacing w:val="1"/>
          <w:sz w:val="28"/>
          <w:szCs w:val="32"/>
          <w:highlight w:val="none"/>
        </w:rPr>
        <w:t xml:space="preserve"> </w:t>
      </w:r>
      <w:bookmarkEnd w:id="203"/>
      <w:r>
        <w:rPr>
          <w:rFonts w:hint="eastAsia" w:ascii="宋体" w:hAnsi="宋体" w:eastAsia="宋体"/>
          <w:b/>
          <w:bCs/>
          <w:color w:val="auto"/>
          <w:sz w:val="28"/>
          <w:szCs w:val="28"/>
          <w:highlight w:val="none"/>
          <w:u w:val="single"/>
        </w:rPr>
        <w:t>报价评审及</w:t>
      </w:r>
      <w:r>
        <w:rPr>
          <w:rFonts w:hint="eastAsia" w:ascii="宋体" w:hAnsi="宋体" w:eastAsia="宋体"/>
          <w:b/>
          <w:bCs/>
          <w:color w:val="auto"/>
          <w:sz w:val="28"/>
          <w:szCs w:val="28"/>
          <w:highlight w:val="none"/>
        </w:rPr>
        <w:t>汇总投标人总得分</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3.6.1 </w:t>
      </w:r>
      <w:r>
        <w:rPr>
          <w:rFonts w:hint="eastAsia" w:ascii="宋体" w:hAnsi="宋体" w:eastAsia="宋体" w:cs="宋体"/>
          <w:b/>
          <w:bCs/>
          <w:color w:val="auto"/>
          <w:sz w:val="24"/>
          <w:szCs w:val="24"/>
          <w:highlight w:val="none"/>
          <w:u w:val="single"/>
        </w:rPr>
        <w:t>报价评审，评标委员会按本章第2.2款规定的评审因素计算各投标人投标报价的得分C，分数出现小数点，保留小数点后二位，第三位小数四舍五入。</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3.6.2 </w:t>
      </w:r>
      <w:r>
        <w:rPr>
          <w:rFonts w:hint="eastAsia" w:ascii="宋体" w:hAnsi="宋体" w:eastAsia="宋体" w:cs="宋体"/>
          <w:b/>
          <w:bCs/>
          <w:color w:val="auto"/>
          <w:sz w:val="24"/>
          <w:szCs w:val="24"/>
          <w:highlight w:val="none"/>
          <w:u w:val="single"/>
        </w:rPr>
        <w:t>评标委员会按本章第2.2.1款的规定汇总各投标人的总得分。</w:t>
      </w:r>
    </w:p>
    <w:p>
      <w:pPr>
        <w:wordWrap w:val="0"/>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strike/>
          <w:color w:val="auto"/>
          <w:sz w:val="24"/>
          <w:szCs w:val="24"/>
          <w:highlight w:val="none"/>
        </w:rPr>
        <w:t>3.6.3 投标人得分=A+B+C+D。</w:t>
      </w:r>
    </w:p>
    <w:p>
      <w:pPr>
        <w:keepNext/>
        <w:keepLines/>
        <w:wordWrap w:val="0"/>
        <w:spacing w:before="260" w:line="416" w:lineRule="auto"/>
        <w:outlineLvl w:val="2"/>
        <w:rPr>
          <w:rFonts w:ascii="宋体" w:hAnsi="宋体" w:eastAsia="宋体" w:cs="宋体"/>
          <w:b/>
          <w:bCs/>
          <w:color w:val="auto"/>
          <w:spacing w:val="1"/>
          <w:sz w:val="28"/>
          <w:szCs w:val="32"/>
          <w:highlight w:val="none"/>
        </w:rPr>
      </w:pPr>
      <w:bookmarkStart w:id="204" w:name="_Toc193358016"/>
      <w:r>
        <w:rPr>
          <w:rFonts w:hint="eastAsia" w:ascii="宋体" w:hAnsi="宋体" w:eastAsia="宋体" w:cs="宋体"/>
          <w:b/>
          <w:bCs/>
          <w:color w:val="auto"/>
          <w:spacing w:val="1"/>
          <w:sz w:val="28"/>
          <w:szCs w:val="32"/>
          <w:highlight w:val="none"/>
        </w:rPr>
        <w:t>3.</w:t>
      </w:r>
      <w:r>
        <w:rPr>
          <w:rFonts w:ascii="宋体" w:hAnsi="宋体" w:eastAsia="宋体" w:cs="宋体"/>
          <w:b/>
          <w:bCs/>
          <w:color w:val="auto"/>
          <w:spacing w:val="1"/>
          <w:sz w:val="28"/>
          <w:szCs w:val="32"/>
          <w:highlight w:val="none"/>
        </w:rPr>
        <w:t>7</w:t>
      </w:r>
      <w:r>
        <w:rPr>
          <w:rFonts w:hint="eastAsia" w:ascii="宋体" w:hAnsi="宋体" w:eastAsia="宋体" w:cs="宋体"/>
          <w:b/>
          <w:bCs/>
          <w:color w:val="auto"/>
          <w:spacing w:val="1"/>
          <w:sz w:val="28"/>
          <w:szCs w:val="32"/>
          <w:highlight w:val="none"/>
        </w:rPr>
        <w:t xml:space="preserve"> </w:t>
      </w:r>
      <w:bookmarkEnd w:id="204"/>
      <w:r>
        <w:rPr>
          <w:rFonts w:hint="eastAsia" w:ascii="宋体" w:hAnsi="宋体" w:eastAsia="宋体" w:cs="宋体"/>
          <w:b/>
          <w:bCs/>
          <w:color w:val="auto"/>
          <w:spacing w:val="1"/>
          <w:sz w:val="28"/>
          <w:szCs w:val="32"/>
          <w:highlight w:val="none"/>
        </w:rPr>
        <w:t>投标文件的澄清</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3.7.1 在评标过程中，经评标委员会中两人以上（含两人）以书面形式提出动议，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3.7.2 澄清、说明或补正不得超出投标文件的范围且不得改变投标文件实质性内容，并构成投标文件的组成部分。</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3.7.3 评标委员会对投标人提交的澄清、说明或补正有疑问的，可以要求投标人进一步澄清、说明或补正，直到满足评标委员会的要求。</w:t>
      </w:r>
    </w:p>
    <w:p>
      <w:pPr>
        <w:wordWrap w:val="0"/>
        <w:spacing w:line="36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3.7.4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wordWrap w:val="0"/>
        <w:spacing w:line="360" w:lineRule="auto"/>
        <w:ind w:firstLine="480" w:firstLineChars="200"/>
        <w:rPr>
          <w:rFonts w:ascii="宋体" w:hAnsi="宋体" w:eastAsia="宋体" w:cs="宋体"/>
          <w:color w:val="auto"/>
          <w:sz w:val="24"/>
          <w:szCs w:val="24"/>
          <w:highlight w:val="none"/>
        </w:rPr>
      </w:pPr>
    </w:p>
    <w:p>
      <w:pPr>
        <w:keepNext/>
        <w:keepLines/>
        <w:wordWrap w:val="0"/>
        <w:spacing w:before="260" w:line="416" w:lineRule="auto"/>
        <w:outlineLvl w:val="2"/>
        <w:rPr>
          <w:rFonts w:ascii="宋体" w:hAnsi="宋体" w:eastAsia="宋体" w:cs="宋体"/>
          <w:b/>
          <w:bCs/>
          <w:color w:val="auto"/>
          <w:spacing w:val="1"/>
          <w:sz w:val="28"/>
          <w:szCs w:val="32"/>
          <w:highlight w:val="none"/>
          <w:lang w:val="zh-CN"/>
        </w:rPr>
      </w:pPr>
      <w:bookmarkStart w:id="205" w:name="_Toc193358018"/>
      <w:r>
        <w:rPr>
          <w:rFonts w:hint="eastAsia" w:ascii="宋体" w:hAnsi="宋体" w:eastAsia="宋体" w:cs="宋体"/>
          <w:b/>
          <w:bCs/>
          <w:color w:val="auto"/>
          <w:spacing w:val="1"/>
          <w:sz w:val="28"/>
          <w:szCs w:val="32"/>
          <w:highlight w:val="none"/>
          <w:lang w:val="zh-CN"/>
        </w:rPr>
        <w:t>3.</w:t>
      </w:r>
      <w:r>
        <w:rPr>
          <w:rFonts w:hint="eastAsia" w:ascii="宋体" w:hAnsi="宋体" w:eastAsia="宋体" w:cs="宋体"/>
          <w:b/>
          <w:bCs/>
          <w:color w:val="auto"/>
          <w:spacing w:val="1"/>
          <w:sz w:val="28"/>
          <w:szCs w:val="32"/>
          <w:highlight w:val="none"/>
        </w:rPr>
        <w:t>8</w:t>
      </w:r>
      <w:r>
        <w:rPr>
          <w:rFonts w:hint="eastAsia" w:ascii="宋体" w:hAnsi="宋体" w:eastAsia="宋体" w:cs="宋体"/>
          <w:b/>
          <w:bCs/>
          <w:color w:val="auto"/>
          <w:spacing w:val="1"/>
          <w:sz w:val="28"/>
          <w:szCs w:val="32"/>
          <w:highlight w:val="none"/>
          <w:lang w:val="zh-CN"/>
        </w:rPr>
        <w:t xml:space="preserve"> 评标结果</w:t>
      </w:r>
      <w:bookmarkEnd w:id="205"/>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3.8.1 除第二章“投标人须知”前附表授权直接确定中标人外，评标委员会按照得分由高到低的顺序推荐中标候选人，并标明排序。</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3.8.2 评标委员会完成评标后，应当向招标人提交书面评标报告和中标候选人名单。</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3.8.3 如采用评标定标分离方法的，按相关规定执行。</w:t>
      </w:r>
    </w:p>
    <w:bookmarkEnd w:id="196"/>
    <w:bookmarkEnd w:id="197"/>
    <w:p>
      <w:pPr>
        <w:widowControl/>
        <w:wordWrap w:val="0"/>
        <w:jc w:val="left"/>
        <w:rPr>
          <w:rFonts w:ascii="宋体" w:hAnsi="宋体" w:eastAsia="宋体" w:cs="宋体"/>
          <w:b/>
          <w:bCs/>
          <w:color w:val="auto"/>
          <w:kern w:val="0"/>
          <w:sz w:val="24"/>
          <w:szCs w:val="24"/>
          <w:highlight w:val="none"/>
          <w:lang w:val="zh-CN"/>
        </w:rPr>
      </w:pPr>
      <w:r>
        <w:rPr>
          <w:rFonts w:ascii="宋体" w:hAnsi="宋体" w:eastAsia="宋体" w:cs="宋体"/>
          <w:b/>
          <w:bCs/>
          <w:color w:val="auto"/>
          <w:kern w:val="0"/>
          <w:sz w:val="24"/>
          <w:szCs w:val="24"/>
          <w:highlight w:val="none"/>
          <w:lang w:val="zh-CN"/>
        </w:rPr>
        <w:br w:type="page"/>
      </w:r>
    </w:p>
    <w:p>
      <w:pPr>
        <w:keepNext/>
        <w:keepLines/>
        <w:wordWrap w:val="0"/>
        <w:spacing w:line="360" w:lineRule="auto"/>
        <w:ind w:firstLine="482" w:firstLineChars="200"/>
        <w:jc w:val="center"/>
        <w:outlineLvl w:val="1"/>
        <w:rPr>
          <w:rFonts w:ascii="宋体" w:hAnsi="宋体" w:eastAsia="宋体" w:cs="宋体"/>
          <w:b/>
          <w:bCs/>
          <w:color w:val="auto"/>
          <w:kern w:val="0"/>
          <w:sz w:val="24"/>
          <w:szCs w:val="24"/>
          <w:highlight w:val="none"/>
          <w:lang w:val="zh-CN"/>
        </w:rPr>
        <w:sectPr>
          <w:type w:val="continuous"/>
          <w:pgSz w:w="11905" w:h="16838"/>
          <w:pgMar w:top="1474" w:right="1701" w:bottom="1474" w:left="1701" w:header="720" w:footer="720" w:gutter="0"/>
          <w:cols w:space="720" w:num="1"/>
        </w:sectPr>
      </w:pPr>
    </w:p>
    <w:p>
      <w:pPr>
        <w:pStyle w:val="3"/>
        <w:rPr>
          <w:color w:val="auto"/>
          <w:highlight w:val="none"/>
        </w:rPr>
      </w:pPr>
      <w:bookmarkStart w:id="206" w:name="_Toc111186799"/>
      <w:bookmarkStart w:id="207" w:name="_Toc193358019"/>
      <w:r>
        <w:rPr>
          <w:rFonts w:hint="eastAsia"/>
          <w:color w:val="auto"/>
          <w:highlight w:val="none"/>
        </w:rPr>
        <w:t>第四章  合同条款及格式</w:t>
      </w:r>
      <w:bookmarkEnd w:id="206"/>
      <w:bookmarkEnd w:id="207"/>
    </w:p>
    <w:p>
      <w:pPr>
        <w:wordWrap w:val="0"/>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另册</w:t>
      </w:r>
    </w:p>
    <w:p>
      <w:pPr>
        <w:widowControl/>
        <w:wordWrap w:val="0"/>
        <w:jc w:val="left"/>
        <w:rPr>
          <w:rFonts w:ascii="宋体" w:hAnsi="宋体" w:eastAsia="宋体" w:cs="宋体"/>
          <w:color w:val="auto"/>
          <w:szCs w:val="24"/>
          <w:highlight w:val="none"/>
        </w:rPr>
      </w:pPr>
      <w:r>
        <w:rPr>
          <w:rFonts w:ascii="宋体" w:hAnsi="宋体" w:eastAsia="宋体" w:cs="宋体"/>
          <w:color w:val="auto"/>
          <w:szCs w:val="24"/>
          <w:highlight w:val="none"/>
        </w:rPr>
        <w:br w:type="page"/>
      </w:r>
    </w:p>
    <w:p>
      <w:pPr>
        <w:wordWrap w:val="0"/>
        <w:autoSpaceDE w:val="0"/>
        <w:autoSpaceDN w:val="0"/>
        <w:spacing w:line="200" w:lineRule="exact"/>
        <w:jc w:val="left"/>
        <w:rPr>
          <w:rFonts w:ascii="宋体" w:hAnsi="宋体" w:eastAsia="宋体" w:cs="宋体"/>
          <w:color w:val="auto"/>
          <w:kern w:val="0"/>
          <w:sz w:val="20"/>
          <w:szCs w:val="20"/>
          <w:highlight w:val="none"/>
        </w:rPr>
        <w:sectPr>
          <w:type w:val="continuous"/>
          <w:pgSz w:w="11905" w:h="16838"/>
          <w:pgMar w:top="1474" w:right="1701" w:bottom="1474" w:left="1701" w:header="720" w:footer="720" w:gutter="0"/>
          <w:cols w:space="720" w:num="1"/>
          <w:docGrid w:linePitch="286" w:charSpace="0"/>
        </w:sectPr>
      </w:pPr>
    </w:p>
    <w:p>
      <w:pPr>
        <w:pStyle w:val="3"/>
        <w:rPr>
          <w:color w:val="auto"/>
          <w:highlight w:val="none"/>
        </w:rPr>
      </w:pPr>
      <w:bookmarkStart w:id="208" w:name="_Toc193358020"/>
      <w:bookmarkStart w:id="209" w:name="_Toc82786981"/>
      <w:bookmarkStart w:id="210" w:name="_Toc111186800"/>
      <w:r>
        <w:rPr>
          <w:rFonts w:hint="eastAsia"/>
          <w:color w:val="auto"/>
          <w:highlight w:val="none"/>
        </w:rPr>
        <w:t>第二卷</w:t>
      </w:r>
      <w:bookmarkEnd w:id="208"/>
      <w:bookmarkEnd w:id="209"/>
      <w:bookmarkEnd w:id="210"/>
    </w:p>
    <w:p>
      <w:pPr>
        <w:widowControl/>
        <w:wordWrap w:val="0"/>
        <w:jc w:val="left"/>
        <w:rPr>
          <w:rFonts w:ascii="宋体" w:hAnsi="宋体" w:eastAsia="宋体" w:cs="宋体"/>
          <w:color w:val="auto"/>
          <w:kern w:val="0"/>
          <w:sz w:val="14"/>
          <w:szCs w:val="14"/>
          <w:highlight w:val="none"/>
        </w:rPr>
        <w:sectPr>
          <w:type w:val="continuous"/>
          <w:pgSz w:w="11905" w:h="16838"/>
          <w:pgMar w:top="1474" w:right="1701" w:bottom="1474" w:left="1701" w:header="720" w:footer="720" w:gutter="0"/>
          <w:cols w:space="720" w:num="1"/>
        </w:sectPr>
      </w:pPr>
    </w:p>
    <w:p>
      <w:pPr>
        <w:pStyle w:val="3"/>
        <w:rPr>
          <w:color w:val="auto"/>
          <w:highlight w:val="none"/>
        </w:rPr>
      </w:pPr>
      <w:bookmarkStart w:id="211" w:name="_Toc193358021"/>
      <w:r>
        <w:rPr>
          <w:rFonts w:hint="eastAsia"/>
          <w:color w:val="auto"/>
          <w:highlight w:val="none"/>
        </w:rPr>
        <w:t xml:space="preserve">第五章 </w:t>
      </w:r>
      <w:r>
        <w:rPr>
          <w:color w:val="auto"/>
          <w:highlight w:val="none"/>
        </w:rPr>
        <w:t xml:space="preserve"> </w:t>
      </w:r>
      <w:r>
        <w:rPr>
          <w:rFonts w:hint="eastAsia"/>
          <w:color w:val="auto"/>
          <w:highlight w:val="none"/>
        </w:rPr>
        <w:t>发包人要求</w:t>
      </w:r>
      <w:bookmarkEnd w:id="211"/>
    </w:p>
    <w:p>
      <w:pPr>
        <w:wordWrap w:val="0"/>
        <w:spacing w:line="360" w:lineRule="auto"/>
        <w:jc w:val="center"/>
        <w:rPr>
          <w:rFonts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详见</w:t>
      </w:r>
      <w:r>
        <w:rPr>
          <w:rFonts w:hint="eastAsia" w:ascii="宋体" w:hAnsi="宋体" w:eastAsia="宋体" w:cs="宋体"/>
          <w:bCs/>
          <w:color w:val="auto"/>
          <w:sz w:val="24"/>
          <w:szCs w:val="24"/>
          <w:highlight w:val="none"/>
          <w:u w:val="single"/>
          <w:lang w:val="en-US" w:eastAsia="zh-CN"/>
        </w:rPr>
        <w:t>勘察</w:t>
      </w:r>
      <w:r>
        <w:rPr>
          <w:rFonts w:hint="eastAsia" w:ascii="宋体" w:hAnsi="宋体" w:eastAsia="宋体" w:cs="宋体"/>
          <w:bCs/>
          <w:color w:val="auto"/>
          <w:sz w:val="24"/>
          <w:szCs w:val="24"/>
          <w:highlight w:val="none"/>
          <w:u w:val="single"/>
        </w:rPr>
        <w:t>设计任务书。</w:t>
      </w:r>
    </w:p>
    <w:p>
      <w:pPr>
        <w:wordWrap w:val="0"/>
        <w:rPr>
          <w:rFonts w:ascii="宋体" w:hAnsi="宋体" w:eastAsia="宋体" w:cs="宋体"/>
          <w:b/>
          <w:bCs/>
          <w:color w:val="auto"/>
          <w:sz w:val="30"/>
          <w:szCs w:val="30"/>
          <w:highlight w:val="none"/>
        </w:rPr>
      </w:pPr>
    </w:p>
    <w:p>
      <w:pPr>
        <w:wordWrap w:val="0"/>
        <w:rPr>
          <w:rFonts w:ascii="宋体" w:hAnsi="宋体" w:eastAsia="宋体" w:cs="宋体"/>
          <w:color w:val="auto"/>
          <w:szCs w:val="24"/>
          <w:highlight w:val="none"/>
        </w:rPr>
      </w:pPr>
      <w:bookmarkStart w:id="212" w:name="_Toc82786986"/>
      <w:bookmarkStart w:id="213" w:name="_Toc111186802"/>
      <w:r>
        <w:rPr>
          <w:rFonts w:hint="eastAsia" w:ascii="宋体" w:hAnsi="宋体" w:eastAsia="宋体" w:cs="宋体"/>
          <w:color w:val="auto"/>
          <w:szCs w:val="24"/>
          <w:highlight w:val="none"/>
        </w:rPr>
        <w:br w:type="page"/>
      </w:r>
    </w:p>
    <w:p>
      <w:pPr>
        <w:pStyle w:val="3"/>
        <w:rPr>
          <w:color w:val="auto"/>
          <w:highlight w:val="none"/>
        </w:rPr>
      </w:pPr>
      <w:bookmarkStart w:id="214" w:name="_Toc193358022"/>
      <w:r>
        <w:rPr>
          <w:rFonts w:hint="eastAsia"/>
          <w:color w:val="auto"/>
          <w:highlight w:val="none"/>
        </w:rPr>
        <w:t>第三卷</w:t>
      </w:r>
      <w:bookmarkEnd w:id="212"/>
      <w:bookmarkEnd w:id="213"/>
      <w:bookmarkEnd w:id="214"/>
    </w:p>
    <w:p>
      <w:pPr>
        <w:widowControl/>
        <w:wordWrap w:val="0"/>
        <w:jc w:val="left"/>
        <w:rPr>
          <w:rFonts w:ascii="宋体" w:hAnsi="宋体" w:eastAsia="宋体" w:cs="宋体"/>
          <w:color w:val="auto"/>
          <w:spacing w:val="2"/>
          <w:kern w:val="0"/>
          <w:sz w:val="44"/>
          <w:szCs w:val="44"/>
          <w:highlight w:val="none"/>
        </w:rPr>
        <w:sectPr>
          <w:type w:val="continuous"/>
          <w:pgSz w:w="11905" w:h="16838"/>
          <w:pgMar w:top="1474" w:right="1701" w:bottom="1474" w:left="1701" w:header="720" w:footer="720" w:gutter="0"/>
          <w:cols w:space="720" w:num="1"/>
        </w:sectPr>
      </w:pPr>
    </w:p>
    <w:p>
      <w:pPr>
        <w:pStyle w:val="3"/>
        <w:rPr>
          <w:color w:val="auto"/>
          <w:highlight w:val="none"/>
        </w:rPr>
        <w:sectPr>
          <w:type w:val="continuous"/>
          <w:pgSz w:w="11905" w:h="16838"/>
          <w:pgMar w:top="1474" w:right="1701" w:bottom="1474" w:left="1701" w:header="720" w:footer="720" w:gutter="0"/>
          <w:cols w:space="720" w:num="1"/>
        </w:sectPr>
      </w:pPr>
      <w:bookmarkStart w:id="215" w:name="_Toc193358023"/>
      <w:bookmarkStart w:id="216" w:name="_Toc111186803"/>
      <w:r>
        <w:rPr>
          <w:rFonts w:hint="eastAsia"/>
          <w:color w:val="auto"/>
          <w:highlight w:val="none"/>
        </w:rPr>
        <w:t>第六章  投标文件格式</w:t>
      </w:r>
      <w:bookmarkEnd w:id="215"/>
      <w:bookmarkEnd w:id="216"/>
    </w:p>
    <w:p>
      <w:pPr>
        <w:pStyle w:val="5"/>
        <w:wordWrap w:val="0"/>
        <w:rPr>
          <w:color w:val="auto"/>
          <w:highlight w:val="none"/>
        </w:rPr>
      </w:pPr>
      <w:bookmarkStart w:id="217" w:name="_Toc193358024"/>
      <w:bookmarkStart w:id="218" w:name="_Toc18166"/>
      <w:bookmarkStart w:id="219" w:name="_Toc111186804"/>
      <w:r>
        <w:rPr>
          <w:rFonts w:hint="eastAsia"/>
          <w:color w:val="auto"/>
          <w:highlight w:val="none"/>
        </w:rPr>
        <w:t>1.</w:t>
      </w:r>
      <w:bookmarkEnd w:id="217"/>
      <w:bookmarkEnd w:id="218"/>
      <w:bookmarkEnd w:id="219"/>
      <w:r>
        <w:rPr>
          <w:rFonts w:hint="eastAsia"/>
          <w:color w:val="auto"/>
          <w:highlight w:val="none"/>
        </w:rPr>
        <w:t xml:space="preserve"> 商务文件（含资格审查文件）包括以下资料：</w:t>
      </w:r>
    </w:p>
    <w:p>
      <w:pPr>
        <w:wordWrap w:val="0"/>
        <w:rPr>
          <w:rFonts w:ascii="宋体" w:hAnsi="宋体" w:eastAsia="宋体" w:cs="宋体"/>
          <w:color w:val="auto"/>
          <w:szCs w:val="24"/>
          <w:highlight w:val="none"/>
        </w:rPr>
        <w:sectPr>
          <w:type w:val="continuous"/>
          <w:pgSz w:w="11905" w:h="16838"/>
          <w:pgMar w:top="1474" w:right="1701" w:bottom="1474" w:left="1701" w:header="720" w:footer="720" w:gutter="0"/>
          <w:cols w:space="720" w:num="1"/>
        </w:sectPr>
      </w:pPr>
    </w:p>
    <w:p>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（2）法定代表人身份证明或附有法定代表人身份证明的授权委托书；</w:t>
      </w:r>
    </w:p>
    <w:p>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（3）联合体协议书；</w:t>
      </w:r>
    </w:p>
    <w:p>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（4）投标保证金（如有）；</w:t>
      </w:r>
    </w:p>
    <w:p>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（5）勘察设计费报价表；</w:t>
      </w:r>
    </w:p>
    <w:p>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（6）资格审查资料；</w:t>
      </w:r>
    </w:p>
    <w:p>
      <w:pPr>
        <w:wordWrap w:val="0"/>
        <w:autoSpaceDE w:val="0"/>
        <w:autoSpaceDN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（7）投标人须知前附表规定的其他资料。</w:t>
      </w:r>
    </w:p>
    <w:p>
      <w:pPr>
        <w:widowControl/>
        <w:wordWrap w:val="0"/>
        <w:jc w:val="left"/>
        <w:rPr>
          <w:rFonts w:ascii="宋体" w:hAnsi="宋体" w:eastAsia="宋体" w:cs="宋体"/>
          <w:b/>
          <w:bCs/>
          <w:color w:val="auto"/>
          <w:szCs w:val="21"/>
          <w:highlight w:val="none"/>
        </w:rPr>
      </w:pPr>
      <w:r>
        <w:rPr>
          <w:rFonts w:ascii="宋体" w:hAnsi="宋体" w:eastAsia="宋体" w:cs="宋体"/>
          <w:b/>
          <w:bCs/>
          <w:color w:val="auto"/>
          <w:szCs w:val="21"/>
          <w:highlight w:val="none"/>
        </w:rPr>
        <w:br w:type="page"/>
      </w:r>
    </w:p>
    <w:p>
      <w:pPr>
        <w:wordWrap w:val="0"/>
        <w:rPr>
          <w:rFonts w:ascii="宋体" w:hAnsi="宋体" w:eastAsia="宋体" w:cs="宋体"/>
          <w:b/>
          <w:bCs/>
          <w:color w:val="auto"/>
          <w:szCs w:val="21"/>
          <w:highlight w:val="none"/>
        </w:rPr>
        <w:sectPr>
          <w:type w:val="continuous"/>
          <w:pgSz w:w="11905" w:h="16838"/>
          <w:pgMar w:top="1474" w:right="1701" w:bottom="1474" w:left="1701" w:header="720" w:footer="720" w:gutter="0"/>
          <w:cols w:space="720" w:num="1"/>
        </w:sectPr>
      </w:pPr>
    </w:p>
    <w:p>
      <w:pPr>
        <w:pStyle w:val="6"/>
        <w:wordWrap w:val="0"/>
        <w:rPr>
          <w:color w:val="auto"/>
          <w:highlight w:val="none"/>
        </w:rPr>
      </w:pPr>
      <w:bookmarkStart w:id="220" w:name="_Toc111186813"/>
      <w:bookmarkStart w:id="221" w:name="_Toc20296"/>
      <w:bookmarkStart w:id="222" w:name="_Toc111186812"/>
      <w:bookmarkStart w:id="223" w:name="_Toc16936"/>
      <w:r>
        <w:rPr>
          <w:rFonts w:hint="eastAsia"/>
          <w:color w:val="auto"/>
          <w:highlight w:val="none"/>
        </w:rPr>
        <w:t>一</w:t>
      </w:r>
      <w:bookmarkEnd w:id="220"/>
      <w:bookmarkEnd w:id="221"/>
      <w:r>
        <w:rPr>
          <w:rFonts w:hint="eastAsia"/>
          <w:color w:val="auto"/>
          <w:highlight w:val="none"/>
        </w:rPr>
        <w:t>、投标函及投标函附录</w:t>
      </w:r>
    </w:p>
    <w:p>
      <w:pPr>
        <w:spacing w:line="360" w:lineRule="auto"/>
        <w:jc w:val="center"/>
        <w:rPr>
          <w:rFonts w:ascii="宋体" w:hAnsi="宋体" w:eastAsia="宋体" w:cs="宋体"/>
          <w:color w:val="auto"/>
          <w:sz w:val="24"/>
          <w:szCs w:val="24"/>
          <w:highlight w:val="none"/>
        </w:rPr>
      </w:pPr>
      <w:r>
        <w:rPr>
          <w:rFonts w:hint="eastAsia" w:ascii="宋体" w:hAnsi="宋体" w:eastAsia="宋体" w:cs="宋体"/>
          <w:b/>
          <w:color w:val="auto"/>
          <w:sz w:val="28"/>
          <w:szCs w:val="28"/>
          <w:highlight w:val="none"/>
        </w:rPr>
        <w:t>投标函</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（招标人名称）：</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1.我方已仔细研究了</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招标项目招标文件全部内容及其补充文件和技术规范等文件，愿意以人民币（大写）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）的投标总报价，按合同约定完成勘察设计工作。我方项目负责人是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2.我方的投标文件包括下列内容：</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（2）法定代表人身份证明或附有法定代表人身份证明的授权委托书；</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（3）联合体协议书(如有)；</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（4）投标人声明</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（5）投标保证金(如有)；</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（6）勘察设计费报价表；</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（7）资格审查资料；</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（8）商务文件；</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（9）技术文件（勘察设计方案）；</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（10）投标文件光盘（备用）。注：投标人也可不提交投标文件光盘（备用）</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投标文件的上述组成部分如存在内容不一致的，以投标函为准。</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3.我方承诺在招标文件规定的投标有效期内不撤销投标文件。</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4.如我方中标，我方承诺：</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（1）在收到中标通知书后，在法律法规规定的期限内与你方签订合同；</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（2）在签订合同时不向你方提出附加条件；</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（3）按照招标文件要求提交履约保证金；</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（4）在合同约定的期限内完成合同规定的全部义务；</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（5）承诺本项目拟投入的人员为本单位人员，并已按规定购买社保。</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5.如我方成为本项目的中标候选人，我方同意并授权招标人将我司投标文件商务部分的人员、业绩、奖项等资料进行公示。</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我方遵守本投标书直至投标有效期满，在投标有效期满前，本投标书对我方一直具有约束力，随时可接受中标。我方承认所附投标文件资料为本投标书的一部分。如果我方投标书含有不符合招标文件规定的内容，我方同意按招标文件规定予以修正。</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7.我方认同招标文件规定的评审规则，遵守评标委员会的裁决结果，并且不会采取妨碍项目进展的行为。我方理解你方没有必须接受你方可能收到的最低标或任何投标的义务。</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8.如果我方中标，我方将提供规定的履约担保，将在合同规定的日期开工，并在竣工时间内，按照上述文件完成项目。</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9.除非制定正式合同协议书并生效，本投标书以及你方中标通知书，应构成你我双方间具有约束力的合同。</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我方在此声明，所递交的投标文件及有关资料内容完整、真实和准确，且不存在第二章“投标人须知”第1.4.3项规定的任何一种情形。若与事实不符，经查实，我方愿意接受公开通报，承担由此带来的法律的后果，并自愿停止参加你方组织的在广州市行政辖区内的招标投标活动3个月。</w:t>
      </w:r>
    </w:p>
    <w:p>
      <w:pPr>
        <w:wordWrap w:val="0"/>
        <w:spacing w:line="360" w:lineRule="auto"/>
        <w:ind w:firstLine="566" w:firstLineChars="23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11.（其他补充说明）。</w:t>
      </w:r>
    </w:p>
    <w:p>
      <w:pPr>
        <w:wordWrap w:val="0"/>
        <w:spacing w:line="360" w:lineRule="auto"/>
        <w:rPr>
          <w:rFonts w:ascii="宋体" w:hAnsi="宋体" w:eastAsia="宋体" w:cs="宋体"/>
          <w:color w:val="auto"/>
          <w:sz w:val="24"/>
          <w:szCs w:val="24"/>
          <w:highlight w:val="none"/>
        </w:rPr>
      </w:pP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u w:val="single"/>
        </w:rPr>
        <w:t xml:space="preserve">                          </w:t>
      </w: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pPr>
        <w:wordWrap w:val="0"/>
        <w:spacing w:line="360" w:lineRule="auto"/>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日</w:t>
      </w:r>
    </w:p>
    <w:p>
      <w:pPr>
        <w:wordWrap w:val="0"/>
        <w:spacing w:line="360" w:lineRule="auto"/>
        <w:ind w:right="1200"/>
        <w:jc w:val="center"/>
        <w:rPr>
          <w:rFonts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u w:val="single"/>
        </w:rPr>
        <w:t>（注：如联合体投标人，由投标主办方盖章即可。）</w:t>
      </w:r>
    </w:p>
    <w:p>
      <w:pPr>
        <w:wordWrap w:val="0"/>
        <w:jc w:val="center"/>
        <w:rPr>
          <w:rFonts w:ascii="宋体" w:hAnsi="宋体" w:eastAsia="宋体" w:cs="宋体"/>
          <w:b/>
          <w:color w:val="auto"/>
          <w:sz w:val="28"/>
          <w:szCs w:val="28"/>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28"/>
          <w:szCs w:val="28"/>
          <w:highlight w:val="none"/>
        </w:rPr>
        <w:t>投标函附录</w:t>
      </w:r>
    </w:p>
    <w:p>
      <w:pPr>
        <w:wordWrap w:val="0"/>
        <w:jc w:val="center"/>
        <w:rPr>
          <w:rFonts w:ascii="宋体" w:hAnsi="宋体" w:eastAsia="宋体" w:cs="宋体"/>
          <w:b/>
          <w:bCs/>
          <w:color w:val="auto"/>
          <w:sz w:val="32"/>
          <w:szCs w:val="32"/>
          <w:highlight w:val="none"/>
        </w:rPr>
      </w:pPr>
    </w:p>
    <w:tbl>
      <w:tblPr>
        <w:tblStyle w:val="4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30"/>
        <w:gridCol w:w="2785"/>
        <w:gridCol w:w="2698"/>
        <w:gridCol w:w="1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723" w:type="pct"/>
            <w:vAlign w:val="center"/>
          </w:tcPr>
          <w:p>
            <w:pPr>
              <w:wordWrap w:val="0"/>
              <w:autoSpaceDE w:val="0"/>
              <w:autoSpaceDN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636" w:type="pct"/>
            <w:vAlign w:val="center"/>
          </w:tcPr>
          <w:p>
            <w:pPr>
              <w:wordWrap w:val="0"/>
              <w:autoSpaceDE w:val="0"/>
              <w:autoSpaceDN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1585" w:type="pct"/>
            <w:vAlign w:val="center"/>
          </w:tcPr>
          <w:p>
            <w:pPr>
              <w:wordWrap w:val="0"/>
              <w:autoSpaceDE w:val="0"/>
              <w:autoSpaceDN w:val="0"/>
              <w:spacing w:line="276"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约定内容</w:t>
            </w:r>
          </w:p>
        </w:tc>
        <w:tc>
          <w:tcPr>
            <w:tcW w:w="1056" w:type="pct"/>
            <w:vAlign w:val="center"/>
          </w:tcPr>
          <w:p>
            <w:pPr>
              <w:wordWrap w:val="0"/>
              <w:autoSpaceDE w:val="0"/>
              <w:autoSpaceDN w:val="0"/>
              <w:spacing w:line="276" w:lineRule="auto"/>
              <w:ind w:right="3"/>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636" w:type="pct"/>
            <w:vAlign w:val="center"/>
          </w:tcPr>
          <w:p>
            <w:pPr>
              <w:wordWrap w:val="0"/>
              <w:autoSpaceDE w:val="0"/>
              <w:autoSpaceDN w:val="0"/>
              <w:spacing w:line="276" w:lineRule="auto"/>
              <w:ind w:left="-4" w:leftChars="-2"/>
              <w:jc w:val="center"/>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项目负责人</w:t>
            </w:r>
          </w:p>
        </w:tc>
        <w:tc>
          <w:tcPr>
            <w:tcW w:w="1585" w:type="pct"/>
            <w:vAlign w:val="center"/>
          </w:tcPr>
          <w:p>
            <w:pPr>
              <w:wordWrap w:val="0"/>
              <w:autoSpaceDE w:val="0"/>
              <w:autoSpaceDN w:val="0"/>
              <w:spacing w:line="276" w:lineRule="auto"/>
              <w:ind w:left="102"/>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姓名：</w:t>
            </w:r>
            <w:r>
              <w:rPr>
                <w:rFonts w:hint="eastAsia" w:ascii="宋体" w:hAnsi="宋体" w:eastAsia="宋体" w:cs="宋体"/>
                <w:color w:val="auto"/>
                <w:kern w:val="0"/>
                <w:szCs w:val="21"/>
                <w:highlight w:val="none"/>
                <w:u w:val="single"/>
              </w:rPr>
              <w:t xml:space="preserve">        </w:t>
            </w:r>
          </w:p>
        </w:tc>
        <w:tc>
          <w:tcPr>
            <w:tcW w:w="1056" w:type="pct"/>
            <w:vAlign w:val="center"/>
          </w:tcPr>
          <w:p>
            <w:pPr>
              <w:wordWrap w:val="0"/>
              <w:spacing w:line="276" w:lineRule="auto"/>
              <w:jc w:val="center"/>
              <w:rPr>
                <w:rFonts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636" w:type="pct"/>
            <w:vAlign w:val="center"/>
          </w:tcPr>
          <w:p>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勘察设计服务期限</w:t>
            </w:r>
          </w:p>
        </w:tc>
        <w:tc>
          <w:tcPr>
            <w:tcW w:w="1585" w:type="pct"/>
            <w:vAlign w:val="center"/>
          </w:tcPr>
          <w:p>
            <w:pPr>
              <w:wordWrap w:val="0"/>
              <w:autoSpaceDE w:val="0"/>
              <w:autoSpaceDN w:val="0"/>
              <w:spacing w:line="276" w:lineRule="auto"/>
              <w:ind w:left="102"/>
              <w:jc w:val="left"/>
              <w:rPr>
                <w:rFonts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pPr>
              <w:wordWrap w:val="0"/>
              <w:spacing w:line="276" w:lineRule="auto"/>
              <w:jc w:val="center"/>
              <w:rPr>
                <w:rFonts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23"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636" w:type="pct"/>
            <w:vAlign w:val="center"/>
          </w:tcPr>
          <w:p>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zCs w:val="21"/>
                <w:highlight w:val="none"/>
              </w:rPr>
              <w:t>合同</w:t>
            </w:r>
            <w:r>
              <w:rPr>
                <w:rFonts w:hint="eastAsia" w:ascii="宋体" w:hAnsi="宋体" w:eastAsia="宋体" w:cs="宋体"/>
                <w:color w:val="auto"/>
                <w:spacing w:val="-3"/>
                <w:szCs w:val="21"/>
                <w:highlight w:val="none"/>
              </w:rPr>
              <w:t>价</w:t>
            </w:r>
            <w:r>
              <w:rPr>
                <w:rFonts w:hint="eastAsia" w:ascii="宋体" w:hAnsi="宋体" w:eastAsia="宋体" w:cs="宋体"/>
                <w:color w:val="auto"/>
                <w:szCs w:val="21"/>
                <w:highlight w:val="none"/>
              </w:rPr>
              <w:t>款</w:t>
            </w:r>
            <w:r>
              <w:rPr>
                <w:rFonts w:hint="eastAsia" w:ascii="宋体" w:hAnsi="宋体" w:eastAsia="宋体" w:cs="宋体"/>
                <w:color w:val="auto"/>
                <w:spacing w:val="-3"/>
                <w:szCs w:val="21"/>
                <w:highlight w:val="none"/>
              </w:rPr>
              <w:t>确</w:t>
            </w:r>
            <w:r>
              <w:rPr>
                <w:rFonts w:hint="eastAsia" w:ascii="宋体" w:hAnsi="宋体" w:eastAsia="宋体" w:cs="宋体"/>
                <w:color w:val="auto"/>
                <w:szCs w:val="21"/>
                <w:highlight w:val="none"/>
              </w:rPr>
              <w:t>定</w:t>
            </w:r>
            <w:r>
              <w:rPr>
                <w:rFonts w:hint="eastAsia" w:ascii="宋体" w:hAnsi="宋体" w:eastAsia="宋体" w:cs="宋体"/>
                <w:color w:val="auto"/>
                <w:spacing w:val="-3"/>
                <w:szCs w:val="21"/>
                <w:highlight w:val="none"/>
              </w:rPr>
              <w:t>方式</w:t>
            </w:r>
          </w:p>
        </w:tc>
        <w:tc>
          <w:tcPr>
            <w:tcW w:w="1585" w:type="pct"/>
            <w:vAlign w:val="center"/>
          </w:tcPr>
          <w:p>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pPr>
              <w:wordWrap w:val="0"/>
              <w:spacing w:line="276" w:lineRule="auto"/>
              <w:jc w:val="center"/>
              <w:rPr>
                <w:rFonts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636" w:type="pct"/>
            <w:vAlign w:val="center"/>
          </w:tcPr>
          <w:p>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zCs w:val="21"/>
                <w:highlight w:val="none"/>
              </w:rPr>
              <w:t>投标内容</w:t>
            </w:r>
          </w:p>
        </w:tc>
        <w:tc>
          <w:tcPr>
            <w:tcW w:w="1585" w:type="pct"/>
            <w:vAlign w:val="center"/>
          </w:tcPr>
          <w:p>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pPr>
              <w:wordWrap w:val="0"/>
              <w:spacing w:line="276" w:lineRule="auto"/>
              <w:jc w:val="center"/>
              <w:rPr>
                <w:rFonts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23"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636" w:type="pct"/>
            <w:vAlign w:val="center"/>
          </w:tcPr>
          <w:p>
            <w:pPr>
              <w:wordWrap w:val="0"/>
              <w:autoSpaceDE w:val="0"/>
              <w:autoSpaceDN w:val="0"/>
              <w:spacing w:line="276" w:lineRule="auto"/>
              <w:ind w:left="-4" w:leftChars="-3" w:hanging="2"/>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质量标准</w:t>
            </w:r>
          </w:p>
        </w:tc>
        <w:tc>
          <w:tcPr>
            <w:tcW w:w="1585" w:type="pct"/>
            <w:vAlign w:val="center"/>
          </w:tcPr>
          <w:p>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pPr>
              <w:wordWrap w:val="0"/>
              <w:spacing w:line="276" w:lineRule="auto"/>
              <w:jc w:val="center"/>
              <w:rPr>
                <w:rFonts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23" w:type="pct"/>
            <w:vAlign w:val="center"/>
          </w:tcPr>
          <w:p>
            <w:pPr>
              <w:wordWrap w:val="0"/>
              <w:autoSpaceDE w:val="0"/>
              <w:autoSpaceDN w:val="0"/>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636" w:type="pct"/>
            <w:vAlign w:val="center"/>
          </w:tcPr>
          <w:p>
            <w:pPr>
              <w:wordWrap w:val="0"/>
              <w:autoSpaceDE w:val="0"/>
              <w:autoSpaceDN w:val="0"/>
              <w:spacing w:line="276" w:lineRule="auto"/>
              <w:ind w:left="-4" w:leftChars="-2"/>
              <w:jc w:val="center"/>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投标有效期</w:t>
            </w:r>
          </w:p>
        </w:tc>
        <w:tc>
          <w:tcPr>
            <w:tcW w:w="1585" w:type="pct"/>
            <w:vAlign w:val="center"/>
          </w:tcPr>
          <w:p>
            <w:pPr>
              <w:wordWrap w:val="0"/>
              <w:autoSpaceDE w:val="0"/>
              <w:autoSpaceDN w:val="0"/>
              <w:spacing w:line="276" w:lineRule="auto"/>
              <w:ind w:left="102"/>
              <w:jc w:val="left"/>
              <w:rPr>
                <w:rFonts w:ascii="宋体" w:hAnsi="宋体" w:eastAsia="宋体" w:cs="宋体"/>
                <w:color w:val="auto"/>
                <w:spacing w:val="-1"/>
                <w:kern w:val="0"/>
                <w:szCs w:val="21"/>
                <w:highlight w:val="none"/>
              </w:rPr>
            </w:pPr>
            <w:r>
              <w:rPr>
                <w:rFonts w:hint="eastAsia" w:ascii="宋体" w:hAnsi="宋体" w:eastAsia="宋体" w:cs="宋体"/>
                <w:color w:val="auto"/>
                <w:spacing w:val="-1"/>
                <w:kern w:val="0"/>
                <w:szCs w:val="21"/>
                <w:highlight w:val="none"/>
              </w:rPr>
              <w:t>按招标文件要求</w:t>
            </w:r>
          </w:p>
        </w:tc>
        <w:tc>
          <w:tcPr>
            <w:tcW w:w="1056" w:type="pct"/>
            <w:vAlign w:val="center"/>
          </w:tcPr>
          <w:p>
            <w:pPr>
              <w:wordWrap w:val="0"/>
              <w:spacing w:line="276" w:lineRule="auto"/>
              <w:jc w:val="center"/>
              <w:rPr>
                <w:rFonts w:ascii="宋体" w:hAnsi="宋体" w:eastAsia="宋体" w:cs="宋体"/>
                <w:color w:val="auto"/>
                <w:szCs w:val="21"/>
                <w:highlight w:val="none"/>
              </w:rPr>
            </w:pPr>
          </w:p>
        </w:tc>
      </w:tr>
    </w:tbl>
    <w:p>
      <w:pPr>
        <w:pBdr>
          <w:top w:val="single" w:color="auto" w:sz="4" w:space="1"/>
        </w:pBdr>
        <w:wordWrap w:val="0"/>
        <w:spacing w:line="360" w:lineRule="auto"/>
        <w:rPr>
          <w:rFonts w:ascii="宋体" w:hAnsi="宋体" w:eastAsia="宋体" w:cs="宋体"/>
          <w:bCs/>
          <w:color w:val="auto"/>
          <w:sz w:val="24"/>
          <w:szCs w:val="24"/>
          <w:highlight w:val="none"/>
        </w:rPr>
      </w:pPr>
    </w:p>
    <w:p>
      <w:pPr>
        <w:pBdr>
          <w:top w:val="single" w:color="auto" w:sz="4" w:space="1"/>
        </w:pBdr>
        <w:wordWrap w:val="0"/>
        <w:spacing w:line="360" w:lineRule="auto"/>
        <w:jc w:val="righ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w:t>
      </w:r>
      <w:r>
        <w:rPr>
          <w:rFonts w:hint="eastAsia" w:ascii="宋体" w:hAnsi="宋体" w:eastAsia="宋体" w:cs="宋体"/>
          <w:bCs/>
          <w:color w:val="auto"/>
          <w:spacing w:val="-2"/>
          <w:sz w:val="24"/>
          <w:szCs w:val="24"/>
          <w:highlight w:val="none"/>
        </w:rPr>
        <w:t>人：</w:t>
      </w:r>
      <w:r>
        <w:rPr>
          <w:rFonts w:hint="eastAsia" w:ascii="宋体" w:hAnsi="宋体" w:eastAsia="宋体" w:cs="宋体"/>
          <w:bCs/>
          <w:color w:val="auto"/>
          <w:spacing w:val="-2"/>
          <w:sz w:val="24"/>
          <w:szCs w:val="24"/>
          <w:highlight w:val="none"/>
          <w:u w:val="single"/>
        </w:rPr>
        <w:t xml:space="preserve">    </w:t>
      </w:r>
      <w:r>
        <w:rPr>
          <w:rFonts w:hint="eastAsia" w:ascii="宋体" w:hAnsi="宋体" w:eastAsia="宋体" w:cs="宋体"/>
          <w:bCs/>
          <w:color w:val="auto"/>
          <w:spacing w:val="-1"/>
          <w:sz w:val="24"/>
          <w:szCs w:val="24"/>
          <w:highlight w:val="none"/>
        </w:rPr>
        <w:t>（盖章）</w:t>
      </w:r>
    </w:p>
    <w:p>
      <w:pPr>
        <w:wordWrap w:val="0"/>
        <w:spacing w:line="360" w:lineRule="auto"/>
        <w:jc w:val="right"/>
        <w:rPr>
          <w:rFonts w:ascii="宋体" w:hAnsi="宋体" w:eastAsia="宋体" w:cs="宋体"/>
          <w:bCs/>
          <w:color w:val="auto"/>
          <w:sz w:val="24"/>
          <w:szCs w:val="24"/>
          <w:highlight w:val="none"/>
        </w:rPr>
      </w:pP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日</w:t>
      </w:r>
    </w:p>
    <w:p>
      <w:pPr>
        <w:wordWrap w:val="0"/>
        <w:spacing w:line="360" w:lineRule="auto"/>
        <w:ind w:firstLine="240" w:firstLineChars="100"/>
        <w:rPr>
          <w:rFonts w:ascii="宋体" w:hAnsi="宋体" w:eastAsia="宋体" w:cs="宋体"/>
          <w:color w:val="auto"/>
          <w:sz w:val="24"/>
          <w:szCs w:val="24"/>
          <w:highlight w:val="none"/>
        </w:rPr>
      </w:pPr>
    </w:p>
    <w:p>
      <w:pPr>
        <w:wordWrap w:val="0"/>
        <w:spacing w:line="36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pPr>
        <w:pStyle w:val="6"/>
        <w:wordWrap w:val="0"/>
        <w:rPr>
          <w:color w:val="auto"/>
          <w:highlight w:val="none"/>
        </w:rPr>
      </w:pPr>
      <w:r>
        <w:rPr>
          <w:rFonts w:hint="eastAsia"/>
          <w:color w:val="auto"/>
          <w:highlight w:val="none"/>
        </w:rPr>
        <w:br w:type="page"/>
      </w:r>
      <w:r>
        <w:rPr>
          <w:rFonts w:hint="eastAsia"/>
          <w:color w:val="auto"/>
          <w:highlight w:val="none"/>
        </w:rPr>
        <w:t>二、法定代表人身份证明及授权委托书</w:t>
      </w:r>
      <w:bookmarkEnd w:id="222"/>
      <w:bookmarkEnd w:id="223"/>
    </w:p>
    <w:p>
      <w:pPr>
        <w:wordWrap w:val="0"/>
        <w:jc w:val="center"/>
        <w:rPr>
          <w:rFonts w:ascii="宋体" w:hAnsi="宋体" w:eastAsia="宋体" w:cs="宋体"/>
          <w:b/>
          <w:color w:val="auto"/>
          <w:sz w:val="28"/>
          <w:szCs w:val="28"/>
          <w:highlight w:val="none"/>
        </w:rPr>
      </w:pPr>
      <w:bookmarkStart w:id="224" w:name="_Toc82786997"/>
      <w:bookmarkStart w:id="225" w:name="_Toc35513540"/>
      <w:r>
        <w:rPr>
          <w:rFonts w:hint="eastAsia" w:ascii="宋体" w:hAnsi="宋体" w:eastAsia="宋体" w:cs="宋体"/>
          <w:b/>
          <w:color w:val="auto"/>
          <w:sz w:val="28"/>
          <w:szCs w:val="28"/>
          <w:highlight w:val="none"/>
        </w:rPr>
        <w:t>法定代表人身份证明</w:t>
      </w:r>
      <w:bookmarkEnd w:id="224"/>
      <w:bookmarkEnd w:id="225"/>
    </w:p>
    <w:p>
      <w:pPr>
        <w:wordWrap w:val="0"/>
        <w:spacing w:line="360" w:lineRule="auto"/>
        <w:ind w:firstLine="480"/>
        <w:rPr>
          <w:rFonts w:ascii="宋体" w:hAnsi="宋体" w:eastAsia="宋体" w:cs="宋体"/>
          <w:color w:val="auto"/>
          <w:sz w:val="24"/>
          <w:szCs w:val="24"/>
          <w:highlight w:val="none"/>
        </w:rPr>
      </w:pP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pPr>
        <w:wordWrap w:val="0"/>
        <w:spacing w:line="360" w:lineRule="auto"/>
        <w:ind w:firstLine="480"/>
        <w:rPr>
          <w:rFonts w:ascii="宋体" w:hAnsi="宋体" w:eastAsia="宋体" w:cs="宋体"/>
          <w:color w:val="auto"/>
          <w:sz w:val="24"/>
          <w:szCs w:val="24"/>
          <w:highlight w:val="none"/>
        </w:rPr>
      </w:pP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wordWrap w:val="0"/>
        <w:spacing w:line="360" w:lineRule="auto"/>
        <w:ind w:firstLine="480"/>
        <w:rPr>
          <w:rFonts w:ascii="宋体" w:hAnsi="宋体" w:eastAsia="宋体" w:cs="宋体"/>
          <w:color w:val="auto"/>
          <w:sz w:val="24"/>
          <w:szCs w:val="24"/>
          <w:highlight w:val="none"/>
        </w:rPr>
      </w:pP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w:t>
      </w:r>
    </w:p>
    <w:p>
      <w:pPr>
        <w:wordWrap w:val="0"/>
        <w:spacing w:line="360" w:lineRule="auto"/>
        <w:ind w:firstLine="480"/>
        <w:rPr>
          <w:rFonts w:ascii="宋体" w:hAnsi="宋体" w:eastAsia="宋体" w:cs="宋体"/>
          <w:color w:val="auto"/>
          <w:sz w:val="24"/>
          <w:szCs w:val="24"/>
          <w:highlight w:val="none"/>
        </w:rPr>
      </w:pPr>
    </w:p>
    <w:p>
      <w:pPr>
        <w:wordWrap w:val="0"/>
        <w:spacing w:line="360" w:lineRule="auto"/>
        <w:ind w:firstLine="480"/>
        <w:rPr>
          <w:rFonts w:ascii="宋体" w:hAnsi="宋体" w:eastAsia="宋体" w:cs="宋体"/>
          <w:color w:val="auto"/>
          <w:sz w:val="24"/>
          <w:szCs w:val="24"/>
          <w:highlight w:val="none"/>
        </w:rPr>
      </w:pPr>
    </w:p>
    <w:p>
      <w:pPr>
        <w:wordWrap w:val="0"/>
        <w:spacing w:line="360" w:lineRule="auto"/>
        <w:ind w:firstLine="480"/>
        <w:rPr>
          <w:rFonts w:ascii="宋体" w:hAnsi="宋体" w:eastAsia="宋体" w:cs="宋体"/>
          <w:color w:val="auto"/>
          <w:sz w:val="24"/>
          <w:szCs w:val="24"/>
          <w:highlight w:val="none"/>
        </w:rPr>
      </w:pPr>
    </w:p>
    <w:p>
      <w:pPr>
        <w:wordWrap w:val="0"/>
        <w:spacing w:line="360" w:lineRule="auto"/>
        <w:ind w:firstLine="480"/>
        <w:rPr>
          <w:rFonts w:ascii="宋体" w:hAnsi="宋体" w:eastAsia="宋体" w:cs="宋体"/>
          <w:color w:val="auto"/>
          <w:sz w:val="24"/>
          <w:szCs w:val="24"/>
          <w:highlight w:val="none"/>
        </w:rPr>
      </w:pPr>
    </w:p>
    <w:p>
      <w:pPr>
        <w:wordWrap w:val="0"/>
        <w:spacing w:line="360" w:lineRule="auto"/>
        <w:ind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w:t>
      </w:r>
      <w:r>
        <w:rPr>
          <w:rFonts w:hint="eastAsia" w:ascii="宋体" w:hAnsi="宋体" w:eastAsia="宋体" w:cs="宋体"/>
          <w:color w:val="auto"/>
          <w:sz w:val="24"/>
          <w:szCs w:val="24"/>
          <w:highlight w:val="none"/>
          <w:u w:val="single"/>
        </w:rPr>
        <w:t xml:space="preserve">          </w:t>
      </w:r>
      <w:bookmarkStart w:id="226" w:name="page82"/>
      <w:bookmarkEnd w:id="226"/>
      <w:r>
        <w:rPr>
          <w:rFonts w:hint="eastAsia" w:ascii="宋体" w:hAnsi="宋体" w:eastAsia="宋体" w:cs="宋体"/>
          <w:color w:val="auto"/>
          <w:sz w:val="24"/>
          <w:szCs w:val="24"/>
          <w:highlight w:val="none"/>
        </w:rPr>
        <w:t>（</w:t>
      </w:r>
      <w:bookmarkStart w:id="227" w:name="_Toc14709396"/>
      <w:r>
        <w:rPr>
          <w:rFonts w:hint="eastAsia" w:ascii="宋体" w:hAnsi="宋体" w:eastAsia="宋体" w:cs="宋体"/>
          <w:color w:val="auto"/>
          <w:sz w:val="24"/>
          <w:szCs w:val="24"/>
          <w:highlight w:val="none"/>
        </w:rPr>
        <w:t>盖单位章）</w:t>
      </w:r>
    </w:p>
    <w:bookmarkEnd w:id="227"/>
    <w:p>
      <w:pPr>
        <w:wordWrap w:val="0"/>
        <w:spacing w:line="360" w:lineRule="auto"/>
        <w:ind w:firstLine="5280" w:firstLineChars="22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wordWrap w:val="0"/>
        <w:spacing w:line="360" w:lineRule="auto"/>
        <w:ind w:firstLine="480"/>
        <w:rPr>
          <w:rFonts w:ascii="宋体" w:hAnsi="宋体" w:eastAsia="宋体" w:cs="宋体"/>
          <w:color w:val="auto"/>
          <w:sz w:val="24"/>
          <w:szCs w:val="24"/>
          <w:highlight w:val="none"/>
        </w:rPr>
      </w:pPr>
    </w:p>
    <w:p>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u w:val="single"/>
        </w:rPr>
        <w:t>联合体投标的，仅须提供联合体主办方出具的法定代表人身份证明</w:t>
      </w:r>
      <w:r>
        <w:rPr>
          <w:rFonts w:hint="eastAsia" w:ascii="宋体" w:hAnsi="宋体" w:eastAsia="宋体" w:cs="宋体"/>
          <w:color w:val="auto"/>
          <w:sz w:val="24"/>
          <w:szCs w:val="24"/>
          <w:highlight w:val="none"/>
        </w:rPr>
        <w:t>。</w:t>
      </w:r>
      <w:bookmarkStart w:id="228" w:name="_Toc35513541"/>
    </w:p>
    <w:p>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32"/>
          <w:szCs w:val="24"/>
          <w:highlight w:val="none"/>
        </w:rPr>
        <w:br w:type="page"/>
      </w:r>
      <w:bookmarkStart w:id="229" w:name="_Toc82786998"/>
      <w:r>
        <w:rPr>
          <w:rFonts w:hint="eastAsia" w:ascii="宋体" w:hAnsi="宋体" w:eastAsia="宋体" w:cs="宋体"/>
          <w:b/>
          <w:color w:val="auto"/>
          <w:sz w:val="28"/>
          <w:szCs w:val="28"/>
          <w:highlight w:val="none"/>
        </w:rPr>
        <w:t>授权委托书</w:t>
      </w:r>
      <w:bookmarkEnd w:id="228"/>
      <w:bookmarkEnd w:id="229"/>
    </w:p>
    <w:p>
      <w:pPr>
        <w:wordWrap w:val="0"/>
        <w:spacing w:line="360" w:lineRule="auto"/>
        <w:ind w:firstLine="480"/>
        <w:rPr>
          <w:rFonts w:ascii="宋体" w:hAnsi="宋体" w:eastAsia="宋体" w:cs="宋体"/>
          <w:color w:val="auto"/>
          <w:sz w:val="24"/>
          <w:szCs w:val="24"/>
          <w:highlight w:val="none"/>
        </w:rPr>
      </w:pPr>
    </w:p>
    <w:p>
      <w:pPr>
        <w:wordWrap w:val="0"/>
        <w:topLinePunct/>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（姓名）为我方代理人。代理人根据授权，以我方名义签署、澄清确认、递交、撤回、修改</w:t>
      </w:r>
      <w:r>
        <w:rPr>
          <w:rFonts w:hint="eastAsia" w:ascii="宋体" w:hAnsi="宋体" w:eastAsia="宋体" w:cs="宋体"/>
          <w:color w:val="auto"/>
          <w:sz w:val="24"/>
          <w:szCs w:val="24"/>
          <w:highlight w:val="none"/>
          <w:u w:val="single"/>
        </w:rPr>
        <w:t xml:space="preserve">       勘察设计</w:t>
      </w:r>
      <w:r>
        <w:rPr>
          <w:rFonts w:hint="eastAsia" w:ascii="宋体" w:hAnsi="宋体" w:eastAsia="宋体" w:cs="宋体"/>
          <w:color w:val="auto"/>
          <w:sz w:val="24"/>
          <w:szCs w:val="24"/>
          <w:highlight w:val="none"/>
        </w:rPr>
        <w:t>招标项目投标文件、签订合同和处理有关事宜，其法律后果由我方承担。</w:t>
      </w:r>
    </w:p>
    <w:p>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pPr>
        <w:wordWrap w:val="0"/>
        <w:spacing w:line="360" w:lineRule="auto"/>
        <w:ind w:firstLine="480"/>
        <w:rPr>
          <w:rFonts w:ascii="宋体" w:hAnsi="宋体" w:eastAsia="宋体" w:cs="宋体"/>
          <w:color w:val="auto"/>
          <w:sz w:val="24"/>
          <w:szCs w:val="24"/>
          <w:highlight w:val="none"/>
        </w:rPr>
      </w:pP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附：法定代表人身份证及委托代理人身份证</w:t>
      </w:r>
    </w:p>
    <w:p>
      <w:pPr>
        <w:wordWrap w:val="0"/>
        <w:spacing w:line="360" w:lineRule="auto"/>
        <w:ind w:firstLine="480"/>
        <w:rPr>
          <w:rFonts w:ascii="宋体" w:hAnsi="宋体" w:eastAsia="宋体" w:cs="宋体"/>
          <w:color w:val="auto"/>
          <w:sz w:val="24"/>
          <w:szCs w:val="24"/>
          <w:highlight w:val="none"/>
        </w:rPr>
      </w:pP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注：本授权委托书需由投标人加盖单位公章并由其法定代表人和委托代理人签字。</w:t>
      </w:r>
    </w:p>
    <w:p>
      <w:pPr>
        <w:wordWrap w:val="0"/>
        <w:spacing w:line="360" w:lineRule="auto"/>
        <w:ind w:firstLine="480"/>
        <w:rPr>
          <w:rFonts w:ascii="宋体" w:hAnsi="宋体" w:eastAsia="宋体" w:cs="宋体"/>
          <w:color w:val="auto"/>
          <w:sz w:val="24"/>
          <w:szCs w:val="24"/>
          <w:highlight w:val="none"/>
        </w:rPr>
      </w:pPr>
    </w:p>
    <w:p>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p>
    <w:p>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wordWrap w:val="0"/>
        <w:spacing w:line="360" w:lineRule="auto"/>
        <w:ind w:firstLine="4108" w:firstLineChars="171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wordWrap w:val="0"/>
        <w:spacing w:line="360" w:lineRule="auto"/>
        <w:ind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wordWrap w:val="0"/>
        <w:spacing w:line="360" w:lineRule="auto"/>
        <w:ind w:firstLine="480"/>
        <w:rPr>
          <w:rFonts w:ascii="宋体" w:hAnsi="宋体" w:eastAsia="宋体" w:cs="宋体"/>
          <w:color w:val="auto"/>
          <w:sz w:val="24"/>
          <w:szCs w:val="24"/>
          <w:highlight w:val="none"/>
        </w:rPr>
      </w:pPr>
    </w:p>
    <w:p>
      <w:pPr>
        <w:wordWrap w:val="0"/>
        <w:spacing w:line="360" w:lineRule="auto"/>
        <w:ind w:firstLine="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u w:val="single"/>
        </w:rPr>
        <w:t>联合体投标的，仅须提供联合体主办方出具的授权委托书</w:t>
      </w:r>
      <w:r>
        <w:rPr>
          <w:rFonts w:hint="eastAsia" w:ascii="宋体" w:hAnsi="宋体" w:eastAsia="宋体" w:cs="宋体"/>
          <w:color w:val="auto"/>
          <w:sz w:val="24"/>
          <w:szCs w:val="24"/>
          <w:highlight w:val="none"/>
        </w:rPr>
        <w:t>。</w:t>
      </w:r>
    </w:p>
    <w:p>
      <w:pPr>
        <w:pStyle w:val="6"/>
        <w:wordWrap w:val="0"/>
        <w:rPr>
          <w:color w:val="auto"/>
          <w:highlight w:val="none"/>
        </w:rPr>
      </w:pPr>
      <w:r>
        <w:rPr>
          <w:rFonts w:hint="eastAsia"/>
          <w:color w:val="auto"/>
          <w:highlight w:val="none"/>
        </w:rPr>
        <w:br w:type="page"/>
      </w:r>
      <w:bookmarkStart w:id="230" w:name="_Toc17883"/>
      <w:bookmarkStart w:id="231" w:name="_Toc111186814"/>
    </w:p>
    <w:p>
      <w:pPr>
        <w:pStyle w:val="6"/>
        <w:wordWrap w:val="0"/>
        <w:rPr>
          <w:color w:val="auto"/>
          <w:highlight w:val="none"/>
        </w:rPr>
      </w:pPr>
      <w:r>
        <w:rPr>
          <w:rFonts w:hint="eastAsia"/>
          <w:color w:val="auto"/>
          <w:highlight w:val="none"/>
        </w:rPr>
        <w:t>三</w:t>
      </w:r>
      <w:bookmarkEnd w:id="230"/>
      <w:bookmarkEnd w:id="231"/>
      <w:r>
        <w:rPr>
          <w:rFonts w:hint="eastAsia"/>
          <w:color w:val="auto"/>
          <w:highlight w:val="none"/>
        </w:rPr>
        <w:t>、联合体协议书</w:t>
      </w:r>
    </w:p>
    <w:p>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联合体协议书</w:t>
      </w:r>
    </w:p>
    <w:p>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（参考格式）</w:t>
      </w:r>
    </w:p>
    <w:p>
      <w:pPr>
        <w:wordWrap w:val="0"/>
        <w:spacing w:line="360" w:lineRule="auto"/>
        <w:jc w:val="center"/>
        <w:rPr>
          <w:rFonts w:ascii="宋体" w:hAnsi="宋体" w:eastAsia="宋体" w:cs="宋体"/>
          <w:color w:val="auto"/>
          <w:sz w:val="24"/>
          <w:szCs w:val="24"/>
          <w:highlight w:val="none"/>
        </w:rPr>
      </w:pPr>
    </w:p>
    <w:p>
      <w:pPr>
        <w:wordWrap w:val="0"/>
        <w:adjustRightInd w:val="0"/>
        <w:snapToGrid w:val="0"/>
        <w:spacing w:line="312"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wordWrap w:val="0"/>
        <w:adjustRightInd w:val="0"/>
        <w:snapToGrid w:val="0"/>
        <w:spacing w:line="312"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（招标人）</w:t>
      </w:r>
    </w:p>
    <w:p>
      <w:pPr>
        <w:wordWrap w:val="0"/>
        <w:adjustRightInd w:val="0"/>
        <w:snapToGrid w:val="0"/>
        <w:spacing w:line="312"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方决定组成联合体共同参加以上项目的投标，若中标，联合体各成员向招标人承担连带责任。我方授权委托本协议主办方，代表所有联合体成员参加投标、提交投标文件，以及与招标人签订合同，负责整个合同实施阶段的协调工作。</w:t>
      </w:r>
    </w:p>
    <w:p>
      <w:pPr>
        <w:wordWrap w:val="0"/>
        <w:adjustRightInd w:val="0"/>
        <w:snapToGrid w:val="0"/>
        <w:spacing w:line="312" w:lineRule="auto"/>
        <w:ind w:firstLine="480" w:firstLineChars="200"/>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pPr>
        <w:wordWrap w:val="0"/>
        <w:adjustRightInd w:val="0"/>
        <w:snapToGrid w:val="0"/>
        <w:spacing w:line="312" w:lineRule="auto"/>
        <w:rPr>
          <w:rFonts w:ascii="宋体" w:hAnsi="宋体" w:eastAsia="宋体" w:cs="宋体"/>
          <w:color w:val="auto"/>
          <w:sz w:val="24"/>
          <w:szCs w:val="24"/>
          <w:highlight w:val="none"/>
          <w:lang w:val="zh-CN"/>
        </w:rPr>
      </w:pPr>
    </w:p>
    <w:p>
      <w:pPr>
        <w:wordWrap w:val="0"/>
        <w:adjustRightInd w:val="0"/>
        <w:snapToGrid w:val="0"/>
        <w:spacing w:line="312"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投标主办方：（盖章）</w:t>
      </w:r>
      <w:r>
        <w:rPr>
          <w:rFonts w:hint="eastAsia" w:ascii="宋体" w:hAnsi="宋体" w:eastAsia="宋体" w:cs="宋体"/>
          <w:color w:val="auto"/>
          <w:sz w:val="24"/>
          <w:szCs w:val="24"/>
          <w:highlight w:val="none"/>
          <w:u w:val="single"/>
          <w:lang w:val="zh-CN"/>
        </w:rPr>
        <w:t xml:space="preserve">                                         </w:t>
      </w:r>
    </w:p>
    <w:p>
      <w:pPr>
        <w:wordWrap w:val="0"/>
        <w:adjustRightInd w:val="0"/>
        <w:snapToGrid w:val="0"/>
        <w:spacing w:line="312"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r>
        <w:rPr>
          <w:rFonts w:hint="eastAsia" w:ascii="宋体" w:hAnsi="宋体" w:eastAsia="宋体" w:cs="宋体"/>
          <w:color w:val="auto"/>
          <w:sz w:val="24"/>
          <w:szCs w:val="24"/>
          <w:highlight w:val="none"/>
          <w:u w:val="single"/>
          <w:lang w:val="zh-CN"/>
        </w:rPr>
        <w:t xml:space="preserve">                                                      </w:t>
      </w:r>
    </w:p>
    <w:p>
      <w:pPr>
        <w:wordWrap w:val="0"/>
        <w:adjustRightInd w:val="0"/>
        <w:snapToGrid w:val="0"/>
        <w:spacing w:line="312"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电话/传真：</w:t>
      </w:r>
      <w:r>
        <w:rPr>
          <w:rFonts w:hint="eastAsia" w:ascii="宋体" w:hAnsi="宋体" w:eastAsia="宋体" w:cs="宋体"/>
          <w:color w:val="auto"/>
          <w:sz w:val="24"/>
          <w:szCs w:val="24"/>
          <w:highlight w:val="none"/>
          <w:u w:val="single"/>
          <w:lang w:val="zh-CN"/>
        </w:rPr>
        <w:t xml:space="preserve">                             </w:t>
      </w:r>
    </w:p>
    <w:p>
      <w:pPr>
        <w:wordWrap w:val="0"/>
        <w:adjustRightInd w:val="0"/>
        <w:snapToGrid w:val="0"/>
        <w:spacing w:line="312"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分工内容：</w:t>
      </w:r>
      <w:r>
        <w:rPr>
          <w:rFonts w:hint="eastAsia" w:ascii="宋体" w:hAnsi="宋体" w:eastAsia="宋体" w:cs="宋体"/>
          <w:color w:val="auto"/>
          <w:sz w:val="24"/>
          <w:szCs w:val="24"/>
          <w:highlight w:val="none"/>
          <w:u w:val="single"/>
          <w:lang w:val="zh-CN"/>
        </w:rPr>
        <w:t xml:space="preserve">                                                  </w:t>
      </w:r>
    </w:p>
    <w:p>
      <w:pPr>
        <w:wordWrap w:val="0"/>
        <w:adjustRightInd w:val="0"/>
        <w:snapToGrid w:val="0"/>
        <w:spacing w:line="312" w:lineRule="auto"/>
        <w:rPr>
          <w:rFonts w:ascii="宋体" w:hAnsi="宋体" w:eastAsia="宋体" w:cs="宋体"/>
          <w:color w:val="auto"/>
          <w:sz w:val="24"/>
          <w:szCs w:val="24"/>
          <w:highlight w:val="none"/>
          <w:lang w:val="zh-CN"/>
        </w:rPr>
      </w:pPr>
    </w:p>
    <w:p>
      <w:pPr>
        <w:wordWrap w:val="0"/>
        <w:adjustRightInd w:val="0"/>
        <w:snapToGrid w:val="0"/>
        <w:spacing w:line="312"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联合体成员：（盖章）</w:t>
      </w:r>
      <w:r>
        <w:rPr>
          <w:rFonts w:hint="eastAsia" w:ascii="宋体" w:hAnsi="宋体" w:eastAsia="宋体" w:cs="宋体"/>
          <w:color w:val="auto"/>
          <w:sz w:val="24"/>
          <w:szCs w:val="24"/>
          <w:highlight w:val="none"/>
          <w:u w:val="single"/>
          <w:lang w:val="zh-CN"/>
        </w:rPr>
        <w:t xml:space="preserve">                                         </w:t>
      </w:r>
    </w:p>
    <w:p>
      <w:pPr>
        <w:wordWrap w:val="0"/>
        <w:adjustRightInd w:val="0"/>
        <w:snapToGrid w:val="0"/>
        <w:spacing w:line="312"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r>
        <w:rPr>
          <w:rFonts w:hint="eastAsia" w:ascii="宋体" w:hAnsi="宋体" w:eastAsia="宋体" w:cs="宋体"/>
          <w:color w:val="auto"/>
          <w:sz w:val="24"/>
          <w:szCs w:val="24"/>
          <w:highlight w:val="none"/>
          <w:u w:val="single"/>
          <w:lang w:val="zh-CN"/>
        </w:rPr>
        <w:t xml:space="preserve">                                                      </w:t>
      </w:r>
    </w:p>
    <w:p>
      <w:pPr>
        <w:wordWrap w:val="0"/>
        <w:adjustRightInd w:val="0"/>
        <w:snapToGrid w:val="0"/>
        <w:spacing w:line="312"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电话/传真：</w:t>
      </w:r>
      <w:r>
        <w:rPr>
          <w:rFonts w:hint="eastAsia" w:ascii="宋体" w:hAnsi="宋体" w:eastAsia="宋体" w:cs="宋体"/>
          <w:color w:val="auto"/>
          <w:sz w:val="24"/>
          <w:szCs w:val="24"/>
          <w:highlight w:val="none"/>
          <w:u w:val="single"/>
          <w:lang w:val="zh-CN"/>
        </w:rPr>
        <w:t xml:space="preserve">                             </w:t>
      </w:r>
    </w:p>
    <w:p>
      <w:pPr>
        <w:wordWrap w:val="0"/>
        <w:adjustRightInd w:val="0"/>
        <w:snapToGrid w:val="0"/>
        <w:spacing w:line="312" w:lineRule="auto"/>
        <w:rPr>
          <w:rFonts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分工内容：</w:t>
      </w:r>
      <w:r>
        <w:rPr>
          <w:rFonts w:hint="eastAsia" w:ascii="宋体" w:hAnsi="宋体" w:eastAsia="宋体" w:cs="宋体"/>
          <w:color w:val="auto"/>
          <w:sz w:val="24"/>
          <w:szCs w:val="24"/>
          <w:highlight w:val="none"/>
          <w:u w:val="single"/>
          <w:lang w:val="zh-CN"/>
        </w:rPr>
        <w:t xml:space="preserve">                                                  </w:t>
      </w:r>
    </w:p>
    <w:p>
      <w:pPr>
        <w:wordWrap w:val="0"/>
        <w:adjustRightInd w:val="0"/>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wordWrap w:val="0"/>
        <w:adjustRightInd w:val="0"/>
        <w:snapToGrid w:val="0"/>
        <w:spacing w:line="312" w:lineRule="auto"/>
        <w:rPr>
          <w:rFonts w:hint="eastAsia" w:ascii="宋体" w:hAnsi="宋体" w:eastAsia="宋体" w:cs="宋体"/>
          <w:color w:val="auto"/>
          <w:sz w:val="24"/>
          <w:szCs w:val="24"/>
          <w:highlight w:val="none"/>
        </w:rPr>
      </w:pPr>
    </w:p>
    <w:p>
      <w:pPr>
        <w:wordWrap w:val="0"/>
        <w:adjustRightInd w:val="0"/>
        <w:snapToGrid w:val="0"/>
        <w:spacing w:line="312" w:lineRule="auto"/>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签订日期：       年    月    日</w:t>
      </w:r>
    </w:p>
    <w:p>
      <w:pPr>
        <w:wordWrap w:val="0"/>
        <w:adjustRightInd w:val="0"/>
        <w:snapToGrid w:val="0"/>
        <w:spacing w:line="312" w:lineRule="auto"/>
        <w:jc w:val="left"/>
        <w:rPr>
          <w:rFonts w:hint="eastAsia" w:ascii="宋体" w:hAnsi="宋体" w:eastAsia="宋体" w:cs="宋体"/>
          <w:color w:val="auto"/>
          <w:sz w:val="24"/>
          <w:szCs w:val="24"/>
          <w:highlight w:val="none"/>
        </w:rPr>
      </w:pPr>
    </w:p>
    <w:p>
      <w:pPr>
        <w:widowControl/>
        <w:wordWrap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注：非联合体投标的，无需提交本协议书。本联合体协议书可根据联合体成员数量自行调整相关内容。</w:t>
      </w:r>
    </w:p>
    <w:p>
      <w:pPr>
        <w:pStyle w:val="6"/>
        <w:wordWrap w:val="0"/>
        <w:rPr>
          <w:color w:val="auto"/>
          <w:highlight w:val="none"/>
          <w:u w:val="single"/>
        </w:rPr>
      </w:pPr>
      <w:r>
        <w:rPr>
          <w:rFonts w:hint="eastAsia"/>
          <w:color w:val="auto"/>
          <w:highlight w:val="none"/>
        </w:rPr>
        <w:br w:type="page"/>
      </w:r>
      <w:bookmarkStart w:id="232" w:name="_Toc111186815"/>
      <w:bookmarkStart w:id="233" w:name="_Toc23229"/>
    </w:p>
    <w:p>
      <w:pPr>
        <w:pStyle w:val="6"/>
        <w:wordWrap w:val="0"/>
        <w:rPr>
          <w:color w:val="auto"/>
          <w:highlight w:val="none"/>
        </w:rPr>
      </w:pPr>
      <w:r>
        <w:rPr>
          <w:rFonts w:hint="eastAsia"/>
          <w:color w:val="auto"/>
          <w:highlight w:val="none"/>
        </w:rPr>
        <w:t>四、投标保证金</w:t>
      </w:r>
    </w:p>
    <w:p>
      <w:pPr>
        <w:rPr>
          <w:rFonts w:ascii="宋体" w:hAnsi="宋体" w:eastAsia="宋体"/>
          <w:color w:val="auto"/>
          <w:sz w:val="24"/>
          <w:szCs w:val="24"/>
          <w:highlight w:val="none"/>
          <w:u w:val="single"/>
          <w:lang w:val="zh-CN"/>
        </w:rPr>
      </w:pPr>
      <w:r>
        <w:rPr>
          <w:rFonts w:hint="eastAsia" w:ascii="宋体" w:hAnsi="宋体" w:eastAsia="宋体"/>
          <w:color w:val="auto"/>
          <w:sz w:val="24"/>
          <w:szCs w:val="24"/>
          <w:highlight w:val="none"/>
          <w:u w:val="single"/>
          <w:lang w:val="zh-CN"/>
        </w:rPr>
        <w:t>本项目不要求。</w:t>
      </w:r>
    </w:p>
    <w:p>
      <w:pPr>
        <w:widowControl/>
        <w:jc w:val="left"/>
        <w:rPr>
          <w:rFonts w:ascii="宋体" w:hAnsi="宋体" w:eastAsia="宋体" w:cs="Times New Roman"/>
          <w:b/>
          <w:color w:val="auto"/>
          <w:kern w:val="0"/>
          <w:sz w:val="24"/>
          <w:szCs w:val="24"/>
          <w:highlight w:val="none"/>
          <w:lang w:val="zh-CN"/>
        </w:rPr>
      </w:pPr>
      <w:r>
        <w:rPr>
          <w:rFonts w:hint="eastAsia"/>
          <w:color w:val="auto"/>
          <w:highlight w:val="none"/>
        </w:rPr>
        <w:br w:type="page"/>
      </w:r>
    </w:p>
    <w:p>
      <w:pPr>
        <w:pStyle w:val="6"/>
        <w:wordWrap w:val="0"/>
        <w:rPr>
          <w:color w:val="auto"/>
          <w:highlight w:val="none"/>
        </w:rPr>
      </w:pPr>
      <w:r>
        <w:rPr>
          <w:rFonts w:hint="eastAsia"/>
          <w:color w:val="auto"/>
          <w:highlight w:val="none"/>
        </w:rPr>
        <w:t>五、勘察设计费报价表</w:t>
      </w:r>
    </w:p>
    <w:p>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勘察设计费报价表</w:t>
      </w:r>
    </w:p>
    <w:p>
      <w:pPr>
        <w:wordWrap w:val="0"/>
        <w:jc w:val="center"/>
        <w:rPr>
          <w:rFonts w:ascii="宋体" w:hAnsi="宋体" w:eastAsia="宋体" w:cs="宋体"/>
          <w:b/>
          <w:color w:val="auto"/>
          <w:sz w:val="32"/>
          <w:szCs w:val="24"/>
          <w:highlight w:val="none"/>
        </w:rPr>
      </w:pP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896"/>
        <w:gridCol w:w="1031"/>
        <w:gridCol w:w="2107"/>
        <w:gridCol w:w="4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80" w:type="pct"/>
            <w:vAlign w:val="center"/>
          </w:tcPr>
          <w:p>
            <w:pPr>
              <w:wordWrap w:val="0"/>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14" w:type="pct"/>
            <w:vAlign w:val="center"/>
          </w:tcPr>
          <w:p>
            <w:pPr>
              <w:wordWrap w:val="0"/>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591" w:type="pct"/>
            <w:vAlign w:val="center"/>
          </w:tcPr>
          <w:p>
            <w:pPr>
              <w:wordWrap w:val="0"/>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下浮率</w:t>
            </w:r>
          </w:p>
        </w:tc>
        <w:tc>
          <w:tcPr>
            <w:tcW w:w="1208" w:type="pct"/>
            <w:vAlign w:val="center"/>
          </w:tcPr>
          <w:p>
            <w:pPr>
              <w:wordWrap w:val="0"/>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投标报价</w:t>
            </w:r>
          </w:p>
        </w:tc>
        <w:tc>
          <w:tcPr>
            <w:tcW w:w="2307" w:type="pct"/>
            <w:vAlign w:val="center"/>
          </w:tcPr>
          <w:p>
            <w:pPr>
              <w:wordWrap w:val="0"/>
              <w:spacing w:line="276"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80"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514"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勘察费</w:t>
            </w:r>
          </w:p>
        </w:tc>
        <w:tc>
          <w:tcPr>
            <w:tcW w:w="591" w:type="pct"/>
            <w:vAlign w:val="center"/>
          </w:tcPr>
          <w:p>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tc>
        <w:tc>
          <w:tcPr>
            <w:tcW w:w="1208"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2307"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下浮率</w:t>
            </w:r>
            <w:r>
              <w:rPr>
                <w:rFonts w:ascii="宋体" w:hAnsi="宋体" w:eastAsia="宋体" w:cs="宋体"/>
                <w:color w:val="auto"/>
                <w:szCs w:val="21"/>
                <w:highlight w:val="none"/>
              </w:rPr>
              <w:t>=【1-（勘察费投标报价/勘察费最高投标限价）】*100%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80"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514"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设计费</w:t>
            </w:r>
          </w:p>
        </w:tc>
        <w:tc>
          <w:tcPr>
            <w:tcW w:w="591" w:type="pct"/>
            <w:vAlign w:val="center"/>
          </w:tcPr>
          <w:p>
            <w:pPr>
              <w:wordWrap w:val="0"/>
              <w:spacing w:line="276" w:lineRule="auto"/>
              <w:jc w:val="center"/>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tc>
        <w:tc>
          <w:tcPr>
            <w:tcW w:w="1208"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2307"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下浮率</w:t>
            </w:r>
            <w:r>
              <w:rPr>
                <w:rFonts w:ascii="宋体" w:hAnsi="宋体" w:eastAsia="宋体" w:cs="宋体"/>
                <w:color w:val="auto"/>
                <w:szCs w:val="21"/>
                <w:highlight w:val="none"/>
              </w:rPr>
              <w:t>=【1-（设计费投标报价/设计费最高投标限价）】*100%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94" w:type="pct"/>
            <w:gridSpan w:val="2"/>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591"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08" w:type="pct"/>
            <w:vAlign w:val="center"/>
          </w:tcPr>
          <w:p>
            <w:pPr>
              <w:wordWrap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投标总报价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c>
          <w:tcPr>
            <w:tcW w:w="2307" w:type="pct"/>
            <w:vAlign w:val="center"/>
          </w:tcPr>
          <w:p>
            <w:pPr>
              <w:wordWrap w:val="0"/>
              <w:spacing w:line="276" w:lineRule="auto"/>
              <w:jc w:val="center"/>
              <w:rPr>
                <w:rFonts w:ascii="宋体" w:hAnsi="宋体" w:eastAsia="宋体" w:cs="宋体"/>
                <w:color w:val="auto"/>
                <w:szCs w:val="24"/>
                <w:highlight w:val="none"/>
              </w:rPr>
            </w:pPr>
            <w:r>
              <w:rPr>
                <w:rFonts w:hint="eastAsia" w:ascii="宋体" w:hAnsi="宋体" w:eastAsia="宋体" w:cs="宋体"/>
                <w:color w:val="auto"/>
                <w:szCs w:val="21"/>
                <w:highlight w:val="none"/>
              </w:rPr>
              <w:t>投标总报价=勘察费投标报价+设计费投标报价</w:t>
            </w:r>
          </w:p>
        </w:tc>
      </w:tr>
    </w:tbl>
    <w:p>
      <w:pPr>
        <w:wordWrap w:val="0"/>
        <w:spacing w:line="360" w:lineRule="auto"/>
        <w:rPr>
          <w:rFonts w:ascii="宋体" w:hAnsi="宋体" w:eastAsia="宋体"/>
          <w:color w:val="auto"/>
          <w:sz w:val="24"/>
          <w:szCs w:val="24"/>
          <w:highlight w:val="none"/>
        </w:rPr>
      </w:pPr>
    </w:p>
    <w:p>
      <w:pPr>
        <w:wordWrap w:val="0"/>
        <w:spacing w:line="360" w:lineRule="auto"/>
        <w:jc w:val="right"/>
        <w:rPr>
          <w:rFonts w:ascii="宋体" w:hAnsi="宋体" w:eastAsia="宋体"/>
          <w:color w:val="auto"/>
          <w:sz w:val="24"/>
          <w:szCs w:val="24"/>
          <w:highlight w:val="none"/>
        </w:rPr>
      </w:pPr>
      <w:r>
        <w:rPr>
          <w:rFonts w:hint="eastAsia" w:ascii="宋体" w:hAnsi="宋体" w:eastAsia="宋体"/>
          <w:color w:val="auto"/>
          <w:sz w:val="24"/>
          <w:szCs w:val="24"/>
          <w:highlight w:val="none"/>
        </w:rPr>
        <w:t>投标人：</w:t>
      </w:r>
      <w:r>
        <w:rPr>
          <w:rFonts w:hint="eastAsia" w:ascii="宋体" w:hAnsi="宋体" w:eastAsia="宋体"/>
          <w:color w:val="auto"/>
          <w:sz w:val="24"/>
          <w:szCs w:val="24"/>
          <w:highlight w:val="none"/>
          <w:u w:val="single"/>
        </w:rPr>
        <w:t xml:space="preserve">    </w:t>
      </w:r>
      <w:r>
        <w:rPr>
          <w:rFonts w:hint="eastAsia" w:ascii="宋体" w:hAnsi="宋体" w:eastAsia="宋体"/>
          <w:color w:val="auto"/>
          <w:spacing w:val="-1"/>
          <w:sz w:val="24"/>
          <w:szCs w:val="24"/>
          <w:highlight w:val="none"/>
        </w:rPr>
        <w:t>（盖章）</w:t>
      </w:r>
    </w:p>
    <w:p>
      <w:pPr>
        <w:wordWrap w:val="0"/>
        <w:spacing w:line="360" w:lineRule="auto"/>
        <w:jc w:val="right"/>
        <w:rPr>
          <w:rFonts w:ascii="宋体" w:hAnsi="宋体" w:eastAsia="宋体" w:cs="宋体"/>
          <w:bCs/>
          <w:color w:val="auto"/>
          <w:sz w:val="24"/>
          <w:szCs w:val="24"/>
          <w:highlight w:val="none"/>
        </w:rPr>
      </w:pP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bCs/>
          <w:color w:val="auto"/>
          <w:sz w:val="24"/>
          <w:szCs w:val="24"/>
          <w:highlight w:val="none"/>
        </w:rPr>
        <w:t>日</w:t>
      </w:r>
    </w:p>
    <w:p>
      <w:pPr>
        <w:wordWrap w:val="0"/>
        <w:spacing w:line="360" w:lineRule="auto"/>
        <w:rPr>
          <w:rFonts w:ascii="宋体" w:hAnsi="宋体" w:eastAsia="宋体" w:cs="宋体"/>
          <w:b/>
          <w:bCs/>
          <w:color w:val="auto"/>
          <w:sz w:val="24"/>
          <w:szCs w:val="24"/>
          <w:highlight w:val="none"/>
          <w:u w:val="single"/>
        </w:rPr>
      </w:pPr>
    </w:p>
    <w:p>
      <w:pPr>
        <w:wordWrap w:val="0"/>
        <w:spacing w:line="360" w:lineRule="auto"/>
        <w:jc w:val="both"/>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注：</w:t>
      </w:r>
      <w:r>
        <w:rPr>
          <w:rFonts w:hint="eastAsia" w:ascii="宋体" w:hAnsi="宋体" w:eastAsia="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rPr>
        <w:t>如联合体投标人，由投标主办方盖章即可。</w:t>
      </w:r>
    </w:p>
    <w:p>
      <w:pPr>
        <w:wordWrap w:val="0"/>
        <w:spacing w:line="360" w:lineRule="auto"/>
        <w:jc w:val="both"/>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、投标报价填报保留到小数点后</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位。</w:t>
      </w:r>
    </w:p>
    <w:p>
      <w:pPr>
        <w:wordWrap w:val="0"/>
        <w:spacing w:line="360" w:lineRule="auto"/>
        <w:jc w:val="both"/>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、投标下浮率以百分比为单位，保留到小数点后</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位。</w:t>
      </w:r>
    </w:p>
    <w:p>
      <w:pPr>
        <w:wordWrap w:val="0"/>
        <w:rPr>
          <w:rFonts w:ascii="宋体" w:hAnsi="宋体" w:eastAsia="宋体" w:cs="宋体"/>
          <w:color w:val="auto"/>
          <w:szCs w:val="24"/>
          <w:highlight w:val="none"/>
        </w:rPr>
      </w:pPr>
      <w:r>
        <w:rPr>
          <w:rFonts w:hint="eastAsia" w:ascii="宋体" w:hAnsi="宋体" w:eastAsia="宋体" w:cs="宋体"/>
          <w:color w:val="auto"/>
          <w:szCs w:val="24"/>
          <w:highlight w:val="none"/>
        </w:rPr>
        <w:br w:type="page"/>
      </w:r>
    </w:p>
    <w:bookmarkEnd w:id="232"/>
    <w:bookmarkEnd w:id="233"/>
    <w:p>
      <w:pPr>
        <w:pStyle w:val="6"/>
        <w:wordWrap w:val="0"/>
        <w:rPr>
          <w:color w:val="auto"/>
          <w:highlight w:val="none"/>
        </w:rPr>
      </w:pPr>
      <w:r>
        <w:rPr>
          <w:rFonts w:hint="eastAsia"/>
          <w:color w:val="auto"/>
          <w:highlight w:val="none"/>
        </w:rPr>
        <w:t>六、</w:t>
      </w:r>
      <w:r>
        <w:rPr>
          <w:rFonts w:hint="eastAsia" w:cs="宋体"/>
          <w:color w:val="auto"/>
          <w:highlight w:val="none"/>
        </w:rPr>
        <w:t>资格审查资料</w:t>
      </w:r>
    </w:p>
    <w:p>
      <w:pPr>
        <w:widowControl/>
        <w:spacing w:line="360" w:lineRule="auto"/>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（1）营业执照或事业单位登记机构核发的事业单位法人证书、资质证书；</w:t>
      </w:r>
    </w:p>
    <w:p>
      <w:pPr>
        <w:widowControl/>
        <w:spacing w:line="360" w:lineRule="auto"/>
        <w:jc w:val="left"/>
        <w:rPr>
          <w:rFonts w:ascii="宋体" w:hAnsi="宋体" w:eastAsia="宋体"/>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olor w:val="auto"/>
          <w:sz w:val="24"/>
          <w:szCs w:val="24"/>
          <w:highlight w:val="none"/>
        </w:rPr>
        <w:t>项目负责人资格证明资料；</w:t>
      </w:r>
    </w:p>
    <w:p>
      <w:pPr>
        <w:widowControl/>
        <w:spacing w:line="360" w:lineRule="auto"/>
        <w:jc w:val="left"/>
        <w:rPr>
          <w:rFonts w:ascii="宋体" w:hAnsi="宋体" w:eastAsia="宋体" w:cs="宋体"/>
          <w:bCs/>
          <w:color w:val="auto"/>
          <w:sz w:val="24"/>
          <w:szCs w:val="24"/>
          <w:highlight w:val="none"/>
        </w:rPr>
      </w:pPr>
      <w:r>
        <w:rPr>
          <w:rFonts w:hint="eastAsia" w:ascii="宋体" w:hAnsi="宋体" w:eastAsia="宋体"/>
          <w:color w:val="auto"/>
          <w:sz w:val="24"/>
          <w:szCs w:val="24"/>
          <w:highlight w:val="none"/>
        </w:rPr>
        <w:t>（3）</w:t>
      </w:r>
      <w:r>
        <w:rPr>
          <w:rFonts w:hint="eastAsia" w:ascii="宋体" w:hAnsi="宋体" w:eastAsia="宋体" w:cs="宋体"/>
          <w:bCs/>
          <w:color w:val="auto"/>
          <w:sz w:val="24"/>
          <w:szCs w:val="24"/>
          <w:highlight w:val="none"/>
        </w:rPr>
        <w:t>投标人声明、廉洁承诺书。</w:t>
      </w:r>
    </w:p>
    <w:p>
      <w:pPr>
        <w:widowControl/>
        <w:spacing w:line="360" w:lineRule="auto"/>
        <w:jc w:val="left"/>
        <w:rPr>
          <w:rFonts w:ascii="宋体" w:hAnsi="宋体" w:eastAsia="宋体" w:cs="宋体"/>
          <w:bCs/>
          <w:color w:val="auto"/>
          <w:sz w:val="24"/>
          <w:szCs w:val="24"/>
          <w:highlight w:val="none"/>
        </w:rPr>
      </w:pPr>
    </w:p>
    <w:p>
      <w:pPr>
        <w:widowControl/>
        <w:jc w:val="lef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投标人声明</w:t>
      </w:r>
    </w:p>
    <w:p>
      <w:pPr>
        <w:wordWrap w:val="0"/>
        <w:spacing w:line="360" w:lineRule="auto"/>
        <w:ind w:firstLine="629"/>
        <w:rPr>
          <w:rFonts w:ascii="宋体" w:hAnsi="宋体" w:eastAsia="宋体" w:cs="宋体"/>
          <w:color w:val="auto"/>
          <w:kern w:val="0"/>
          <w:sz w:val="24"/>
          <w:szCs w:val="24"/>
          <w:highlight w:val="none"/>
        </w:rPr>
      </w:pPr>
    </w:p>
    <w:p>
      <w:pPr>
        <w:wordWrap w:val="0"/>
        <w:spacing w:line="360" w:lineRule="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广州市花都区住房和城乡建设局</w:t>
      </w:r>
      <w:r>
        <w:rPr>
          <w:rFonts w:hint="eastAsia" w:ascii="宋体" w:hAnsi="宋体" w:eastAsia="宋体" w:cs="宋体"/>
          <w:color w:val="auto"/>
          <w:kern w:val="0"/>
          <w:sz w:val="24"/>
          <w:szCs w:val="24"/>
          <w:highlight w:val="none"/>
        </w:rPr>
        <w:t>、本招标项目招标人及招标监管机构：</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本公司就参加</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项目投标工作，作出郑重声明：</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一、本公司保证投标登记材料及其后提供的一切材料都是真实的。如我司成为本项目中标候选人，我司同意并授权招标人将我司投标文件的人员、业绩、奖项等资料进行公开。</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公司承诺遵循公平公正、公开、诚实信用原则，如实投标，真实反映企业实力，公平竞争，不弄虚作假，不以低于企业成本价竞标而降低设计服务质量，不与任何建设单位订立违背企业成本取费标准及相关规定的“阴阳合同”进行恶性竞争，扰乱市场秩序，不与其他单位串通投标或以行贿手段谋取中标，不出借资质、转让勘察设计业务。</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三、本公司不存在招标文件第二章投标人须知第1.4.3项所规定的任何一种情形。具体如下：</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（一）为招标人不具有独立法人资格的附属机构（单位）；</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（二）与招标人存在利害关系且可能影响招标公正性；</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（三）与本招标项目的其他投标人为同一个单位负责人；</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（四）与本招标项目的其他投标人存在控股、管理关系；</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（五）为本招标项目的代建人或建设管理单位；</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（六）为本招标项目的招标代理机构；</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（七）与本招标项目的代建人或招标代理机构同为一个法定代表人；</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（八）与本招标项目的代建人或招标代理机构存在控股或参股关系；</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被依法暂停或者取消投标资格（本项事实应当以根据《中华人民共和国行政处罚法》依法作出并已生效的行政处罚决定为认定依据。行政处罚决定中已明确暂停或取消投标资格的区域范围不包含本标段建设地点的，不受该项规定限制）；</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（十）被责令停产停业、暂扣或者吊销许可证、暂扣或者吊销执照（本项事实应当以根据《中华人民共和国行政处罚法》依法作出并已生效的行政处罚决定为认定依据。）；</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（十一）进入清算程序，或被宣告破产，或其他丧失履约能力的情形；</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二）在最近三年内发生重大设计质量问题（以相关行业主管部门的行政处罚决定或司法机关出具的有关法律文书为准。“最近三年”是指从投标截止时间之日起逆推三年，以相关行业主管部门、司法机关、仲裁机构出具的生效文件的落款时间起计算。）；</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（十三）法律法规或投标人须知前附表规定的其他情形。</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四、本公司及其有隶属关系的机构，没有参加本项目招标文件的编写工作；本公司与本次招标的招标代理机构没有隶属关系或其他利害关系 。</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五、本公司承诺，愿以承诺的投标报价方式承包本次招标所包含的工作，并承担勘察设计质量缺陷责任，中标后严格执行相关法律法规、设计规范等。</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六、与本公司单位负责人为同一人或者与本公司存在控股、管理关系的其他单位包括：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。（注：本条由投标人如实填写，如有，应列出全部满足招标公告资质要求的相关单位的名称；如无，则填写“无”</w:t>
      </w:r>
      <w:r>
        <w:rPr>
          <w:rFonts w:hint="eastAsia" w:ascii="宋体" w:hAnsi="宋体" w:eastAsia="宋体" w:cs="宋体"/>
          <w:color w:val="auto"/>
          <w:kern w:val="0"/>
          <w:sz w:val="24"/>
          <w:szCs w:val="24"/>
          <w:highlight w:val="none"/>
          <w:u w:val="single"/>
        </w:rPr>
        <w:t>；如联合体投标，联合体各成员需单独列明</w:t>
      </w:r>
      <w:r>
        <w:rPr>
          <w:rFonts w:hint="eastAsia" w:ascii="宋体" w:hAnsi="宋体" w:eastAsia="宋体" w:cs="宋体"/>
          <w:color w:val="auto"/>
          <w:kern w:val="0"/>
          <w:sz w:val="24"/>
          <w:szCs w:val="24"/>
          <w:highlight w:val="none"/>
        </w:rPr>
        <w:t>。）</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七、本公司承诺所提供的银行保函、保证保险、专业工程担保公司担保（如有）真实、有效。</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八、本公司积极响应广州市关于投身“百千万工程”的号召，主动参与政府投资类建设工程施工项目的建筑业结对帮扶等活动（市属国有企业投资项目参照执行）。</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九、本公司违反上述承诺，或本声明陈述与事实不符，经查实，本公司愿意接受公开通报，愿意按照广州市交通运输局有关信用评价管理有关规定，被记录为“不良交易行为信息”，承担由此带来的法律后果。</w:t>
      </w:r>
    </w:p>
    <w:p>
      <w:pPr>
        <w:wordWrap w:val="0"/>
        <w:spacing w:line="360" w:lineRule="auto"/>
        <w:ind w:firstLine="566" w:firstLineChars="236"/>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pPr>
        <w:wordWrap w:val="0"/>
        <w:spacing w:line="360" w:lineRule="auto"/>
        <w:ind w:firstLine="4080" w:firstLineChars="1700"/>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投标人（盖章）：</w:t>
      </w:r>
    </w:p>
    <w:p>
      <w:pPr>
        <w:wordWrap w:val="0"/>
        <w:spacing w:line="360" w:lineRule="auto"/>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   月   日</w:t>
      </w:r>
    </w:p>
    <w:p>
      <w:pPr>
        <w:wordWrap w:val="0"/>
        <w:spacing w:line="36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pPr>
        <w:widowControl/>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wordWrap w:val="0"/>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廉洁承诺书</w:t>
      </w:r>
    </w:p>
    <w:p>
      <w:pPr>
        <w:wordWrap w:val="0"/>
        <w:spacing w:line="360" w:lineRule="auto"/>
        <w:ind w:firstLine="629"/>
        <w:rPr>
          <w:rFonts w:ascii="宋体" w:hAnsi="宋体" w:eastAsia="宋体" w:cs="宋体"/>
          <w:color w:val="auto"/>
          <w:kern w:val="0"/>
          <w:sz w:val="24"/>
          <w:szCs w:val="24"/>
          <w:highlight w:val="none"/>
        </w:rPr>
      </w:pPr>
    </w:p>
    <w:p>
      <w:pPr>
        <w:wordWrap w:val="0"/>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本招标项目招标人及招标监管机构：</w:t>
      </w:r>
    </w:p>
    <w:p>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本公司参加了</w:t>
      </w:r>
      <w:r>
        <w:rPr>
          <w:rFonts w:hint="eastAsia" w:ascii="宋体" w:hAnsi="宋体" w:eastAsia="宋体" w:cs="宋体"/>
          <w:color w:val="auto"/>
          <w:kern w:val="0"/>
          <w:sz w:val="24"/>
          <w:szCs w:val="24"/>
          <w:highlight w:val="none"/>
          <w:u w:val="single"/>
        </w:rPr>
        <w:t xml:space="preserve">      （项目名称）</w:t>
      </w:r>
      <w:r>
        <w:rPr>
          <w:rFonts w:hint="eastAsia" w:ascii="宋体" w:hAnsi="宋体" w:eastAsia="宋体" w:cs="宋体"/>
          <w:color w:val="auto"/>
          <w:kern w:val="0"/>
          <w:sz w:val="24"/>
          <w:szCs w:val="24"/>
          <w:highlight w:val="none"/>
        </w:rPr>
        <w:t>投标，为确保招标工作的公平、公正、公开、有序进行，我们保证遵守《中华人民共和国招标投标法》、《中华人民共和国招标投标法实施条例》、《广东省实施&lt;中华人民共和国招标投标法&gt;办法》等法律法规，特承诺如下事项：</w:t>
      </w:r>
    </w:p>
    <w:p>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一、自觉遵守国家有关法律法规及廉洁规定。</w:t>
      </w:r>
    </w:p>
    <w:p>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二、不与招标单位工作人员串通投标，损害国家利益、企业利益以及他人的合法利益；</w:t>
      </w:r>
    </w:p>
    <w:p>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三、不与其他单位围标、串标，不出让投标资格，不向招标人或评标委员会成员行贿。</w:t>
      </w:r>
    </w:p>
    <w:p>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四、不以任何名义向参与招标、评标工作的有关人员提供高消费宴请及娱乐活动和赠送回扣、红包、礼金、购物卡、有价证券、贵重物品和好处费、感谢费等； </w:t>
      </w:r>
    </w:p>
    <w:p>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五、不以任何名义为参与招标、评标工作的有关人员装修住房、婚丧嫁娶、配偶子女的工作安排以及境内外旅游等提供方便；</w:t>
      </w:r>
    </w:p>
    <w:p>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六、不以谋取非正当利益为目的，擅自与参与招标、评标工作的有关人员就业务问题进行私下商谈或者达成利益默契。</w:t>
      </w:r>
    </w:p>
    <w:p>
      <w:pPr>
        <w:wordWrap w:val="0"/>
        <w:spacing w:line="360" w:lineRule="auto"/>
        <w:ind w:firstLine="566" w:firstLineChars="236"/>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本公司违反上述承诺，或本承诺陈述与事实不符，经查实，本公司愿意接受公开通报，被招标监管部门信用评价记录不良行为并扣分，并承担由此带来的法律后果。</w:t>
      </w:r>
    </w:p>
    <w:p>
      <w:pPr>
        <w:wordWrap w:val="0"/>
        <w:spacing w:line="360" w:lineRule="auto"/>
        <w:jc w:val="left"/>
        <w:rPr>
          <w:rFonts w:ascii="宋体" w:hAnsi="宋体" w:eastAsia="宋体" w:cs="宋体"/>
          <w:color w:val="auto"/>
          <w:kern w:val="0"/>
          <w:sz w:val="24"/>
          <w:szCs w:val="24"/>
          <w:highlight w:val="none"/>
        </w:rPr>
      </w:pPr>
    </w:p>
    <w:p>
      <w:pPr>
        <w:wordWrap w:val="0"/>
        <w:spacing w:line="360" w:lineRule="auto"/>
        <w:jc w:val="left"/>
        <w:rPr>
          <w:rFonts w:ascii="宋体" w:hAnsi="宋体" w:eastAsia="宋体" w:cs="宋体"/>
          <w:color w:val="auto"/>
          <w:kern w:val="0"/>
          <w:sz w:val="24"/>
          <w:szCs w:val="24"/>
          <w:highlight w:val="none"/>
        </w:rPr>
      </w:pPr>
    </w:p>
    <w:p>
      <w:pPr>
        <w:wordWrap w:val="0"/>
        <w:spacing w:line="360" w:lineRule="auto"/>
        <w:ind w:firstLine="4080" w:firstLineChars="1700"/>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投标人（盖章）：</w:t>
      </w:r>
    </w:p>
    <w:p>
      <w:pPr>
        <w:wordWrap w:val="0"/>
        <w:spacing w:line="360" w:lineRule="auto"/>
        <w:jc w:val="righ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   月   日</w:t>
      </w:r>
    </w:p>
    <w:p>
      <w:pPr>
        <w:wordWrap w:val="0"/>
        <w:spacing w:line="36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rPr>
        <w:t>（注：如联合体投标人，由投标主办方盖章即可。）</w:t>
      </w:r>
    </w:p>
    <w:p>
      <w:pPr>
        <w:widowControl/>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6"/>
        <w:wordWrap w:val="0"/>
        <w:rPr>
          <w:rFonts w:cs="宋体"/>
          <w:color w:val="auto"/>
          <w:highlight w:val="none"/>
        </w:rPr>
      </w:pPr>
      <w:r>
        <w:rPr>
          <w:rFonts w:hint="eastAsia"/>
          <w:color w:val="auto"/>
          <w:highlight w:val="none"/>
        </w:rPr>
        <w:t>七、投标人须知前附表规定的其他资料</w:t>
      </w:r>
    </w:p>
    <w:p>
      <w:pPr>
        <w:wordWrap w:val="0"/>
        <w:spacing w:line="360" w:lineRule="auto"/>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投标人认为有必要提供的其他资料，格式自定。</w:t>
      </w:r>
    </w:p>
    <w:p>
      <w:pPr>
        <w:pStyle w:val="6"/>
        <w:wordWrap w:val="0"/>
        <w:rPr>
          <w:rFonts w:cs="宋体"/>
          <w:color w:val="auto"/>
          <w:highlight w:val="none"/>
        </w:rPr>
      </w:pPr>
      <w:r>
        <w:rPr>
          <w:rFonts w:hint="eastAsia"/>
          <w:color w:val="auto"/>
          <w:highlight w:val="none"/>
        </w:rPr>
        <w:br w:type="page"/>
      </w:r>
    </w:p>
    <w:p>
      <w:pPr>
        <w:pStyle w:val="5"/>
        <w:wordWrap w:val="0"/>
        <w:rPr>
          <w:color w:val="auto"/>
          <w:highlight w:val="none"/>
        </w:rPr>
      </w:pPr>
      <w:r>
        <w:rPr>
          <w:rFonts w:hint="eastAsia"/>
          <w:color w:val="auto"/>
          <w:highlight w:val="none"/>
        </w:rPr>
        <w:t>2. 技术文件（勘察设计方案）编制</w:t>
      </w:r>
    </w:p>
    <w:p>
      <w:pPr>
        <w:wordWrap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2.1技术文件（勘察设计方案）暗标，由下列资料组成：（总页码不超过300页）</w:t>
      </w:r>
    </w:p>
    <w:p>
      <w:pPr>
        <w:wordWrap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（1）设计方案文本文件：</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(a) 首页：写明项目名称、设计作品主题（不宜超过20个字）、编制年月； </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(b) 目录。</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(c) 设计说明书（含本项目的难点、建议和工程创新）。</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(d) 设计文本。</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(e) 《工期计划表》（方案修改、初步设计、施工图设计的总工时和工期）。</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(f) 投标人认为有必要提供的其他资料。</w:t>
      </w:r>
    </w:p>
    <w:p>
      <w:pPr>
        <w:wordWrap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zh-CN"/>
        </w:rPr>
        <w:t>勘察方案文本文件</w:t>
      </w:r>
      <w:r>
        <w:rPr>
          <w:rFonts w:hint="eastAsia" w:ascii="宋体" w:hAnsi="宋体" w:eastAsia="宋体" w:cs="宋体"/>
          <w:b/>
          <w:color w:val="auto"/>
          <w:sz w:val="24"/>
          <w:szCs w:val="24"/>
          <w:highlight w:val="none"/>
        </w:rPr>
        <w:t>：</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 针对项目场地及工程性质采用的勘察方案及建议，本次勘察的重点、难点及建议。</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(b) 勘察工作流程和相应的工期进度计划。</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(c) 勘察报告综合评价深度，勘察成果文件内容目录。</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(d) 投标人掌握的勘察工作有关的法律法规、标准、规范一览表。</w:t>
      </w:r>
    </w:p>
    <w:p>
      <w:pPr>
        <w:wordWrap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(e) 需要建设单位配合的事项。</w:t>
      </w:r>
    </w:p>
    <w:p>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 投标人参与施工验槽，解决工程设计和施工中与勘察工作有关问题的服务承诺、响应时间。</w:t>
      </w:r>
    </w:p>
    <w:p>
      <w:pPr>
        <w:wordWrap w:val="0"/>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投标人认为有必要提供的其他资料。</w:t>
      </w:r>
    </w:p>
    <w:p>
      <w:pPr>
        <w:wordWrap w:val="0"/>
        <w:spacing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保密要求</w:t>
      </w:r>
    </w:p>
    <w:p>
      <w:pPr>
        <w:wordWrap w:val="0"/>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勘察设计方案必须隐匿投标人及专业技术人员的名称及投标报价信息，投标人不得在勘察设计方案上标注或做任何可以辨认投标人及专业技术人员身份的名称、印章、商标，也不得显示投标报价信息。</w:t>
      </w:r>
      <w:r>
        <w:rPr>
          <w:rFonts w:hint="eastAsia" w:ascii="宋体" w:hAnsi="宋体" w:eastAsia="宋体" w:cs="宋体"/>
          <w:b/>
          <w:color w:val="auto"/>
          <w:sz w:val="24"/>
          <w:szCs w:val="24"/>
          <w:highlight w:val="none"/>
        </w:rPr>
        <w:t>不得显示投标报价信息</w:t>
      </w:r>
      <w:r>
        <w:rPr>
          <w:rFonts w:hint="eastAsia" w:ascii="宋体" w:hAnsi="宋体" w:eastAsia="宋体" w:cs="宋体"/>
          <w:color w:val="auto"/>
          <w:sz w:val="24"/>
          <w:szCs w:val="24"/>
          <w:highlight w:val="none"/>
        </w:rPr>
        <w:t>。</w:t>
      </w:r>
    </w:p>
    <w:p>
      <w:pPr>
        <w:wordWrap w:val="0"/>
        <w:rPr>
          <w:color w:val="auto"/>
          <w:highlight w:val="none"/>
        </w:rPr>
      </w:pPr>
    </w:p>
    <w:sectPr>
      <w:footerReference r:id="rId5" w:type="default"/>
      <w:footerReference r:id="rId6" w:type="even"/>
      <w:pgSz w:w="11905" w:h="16838"/>
      <w:pgMar w:top="1474" w:right="1701" w:bottom="1474"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7210166"/>
      <w:docPartObj>
        <w:docPartGallery w:val="autotext"/>
      </w:docPartObj>
    </w:sdtPr>
    <w:sdtContent>
      <w:p>
        <w:pPr>
          <w:pStyle w:val="30"/>
          <w:jc w:val="center"/>
        </w:pPr>
        <w:r>
          <w:fldChar w:fldCharType="begin"/>
        </w:r>
        <w:r>
          <w:instrText xml:space="preserve">PAGE   \* MERGEFORMAT</w:instrText>
        </w:r>
        <w:r>
          <w:fldChar w:fldCharType="separate"/>
        </w:r>
        <w:r>
          <w:rPr>
            <w:lang w:val="zh-CN"/>
          </w:rPr>
          <w:t>1</w:t>
        </w:r>
        <w:r>
          <w:fldChar w:fldCharType="end"/>
        </w:r>
      </w:p>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44</w: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8745838"/>
      <w:docPartObj>
        <w:docPartGallery w:val="autotext"/>
      </w:docPartObj>
    </w:sdtPr>
    <w:sdtContent>
      <w:p>
        <w:pPr>
          <w:pStyle w:val="30"/>
          <w:jc w:val="center"/>
        </w:pPr>
        <w:r>
          <w:fldChar w:fldCharType="begin"/>
        </w:r>
        <w:r>
          <w:instrText xml:space="preserve">PAGE   \* MERGEFORMAT</w:instrText>
        </w:r>
        <w:r>
          <w:fldChar w:fldCharType="separate"/>
        </w:r>
        <w:r>
          <w:rPr>
            <w:lang w:val="zh-CN"/>
          </w:rPr>
          <w:t>45</w:t>
        </w:r>
        <w:r>
          <w:fldChar w:fldCharType="end"/>
        </w:r>
      </w:p>
    </w:sdtContent>
  </w:sdt>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9"/>
      </w:rPr>
    </w:pPr>
    <w:r>
      <w:fldChar w:fldCharType="begin"/>
    </w:r>
    <w:r>
      <w:rPr>
        <w:rStyle w:val="49"/>
      </w:rPr>
      <w:instrText xml:space="preserve">PAGE  </w:instrText>
    </w:r>
    <w:r>
      <w:fldChar w:fldCharType="end"/>
    </w:r>
  </w:p>
  <w:p>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315"/>
        </w:tabs>
        <w:ind w:left="315" w:hanging="31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xZGMyYzFmOWRlOWUyNTMyYzYwZjM4YzJlNDQ4NTMifQ=="/>
  </w:docVars>
  <w:rsids>
    <w:rsidRoot w:val="00237017"/>
    <w:rsid w:val="000179C6"/>
    <w:rsid w:val="00033F07"/>
    <w:rsid w:val="0003797C"/>
    <w:rsid w:val="00065327"/>
    <w:rsid w:val="000723FD"/>
    <w:rsid w:val="0009472D"/>
    <w:rsid w:val="000B3F7A"/>
    <w:rsid w:val="000D3491"/>
    <w:rsid w:val="000E3E93"/>
    <w:rsid w:val="000E3F61"/>
    <w:rsid w:val="000E4830"/>
    <w:rsid w:val="000F777B"/>
    <w:rsid w:val="00111695"/>
    <w:rsid w:val="001133F7"/>
    <w:rsid w:val="00117D81"/>
    <w:rsid w:val="00125CC6"/>
    <w:rsid w:val="00136C66"/>
    <w:rsid w:val="00144AF1"/>
    <w:rsid w:val="00150776"/>
    <w:rsid w:val="0015125E"/>
    <w:rsid w:val="00151A27"/>
    <w:rsid w:val="00165682"/>
    <w:rsid w:val="00173865"/>
    <w:rsid w:val="00173CF7"/>
    <w:rsid w:val="00181DEC"/>
    <w:rsid w:val="00192AF9"/>
    <w:rsid w:val="00194AD4"/>
    <w:rsid w:val="001950BF"/>
    <w:rsid w:val="0019544D"/>
    <w:rsid w:val="001A0D43"/>
    <w:rsid w:val="001B068D"/>
    <w:rsid w:val="001B6471"/>
    <w:rsid w:val="001C245A"/>
    <w:rsid w:val="001C2CA6"/>
    <w:rsid w:val="001E5C63"/>
    <w:rsid w:val="001E5FCA"/>
    <w:rsid w:val="001F6132"/>
    <w:rsid w:val="00202FBA"/>
    <w:rsid w:val="002155F9"/>
    <w:rsid w:val="00220ED3"/>
    <w:rsid w:val="00222217"/>
    <w:rsid w:val="00224046"/>
    <w:rsid w:val="00232C1B"/>
    <w:rsid w:val="00237017"/>
    <w:rsid w:val="00240083"/>
    <w:rsid w:val="00244564"/>
    <w:rsid w:val="002507A7"/>
    <w:rsid w:val="002605C9"/>
    <w:rsid w:val="002610AA"/>
    <w:rsid w:val="00263AEA"/>
    <w:rsid w:val="0028421B"/>
    <w:rsid w:val="002B2FBE"/>
    <w:rsid w:val="002C555B"/>
    <w:rsid w:val="002F1C20"/>
    <w:rsid w:val="002F34C1"/>
    <w:rsid w:val="00306782"/>
    <w:rsid w:val="003141EC"/>
    <w:rsid w:val="00317808"/>
    <w:rsid w:val="003217D3"/>
    <w:rsid w:val="00322D37"/>
    <w:rsid w:val="0032790E"/>
    <w:rsid w:val="00331AE1"/>
    <w:rsid w:val="003476D9"/>
    <w:rsid w:val="003578AF"/>
    <w:rsid w:val="00357EEF"/>
    <w:rsid w:val="00362F4F"/>
    <w:rsid w:val="00363A04"/>
    <w:rsid w:val="00372A70"/>
    <w:rsid w:val="0037316F"/>
    <w:rsid w:val="003739FC"/>
    <w:rsid w:val="00375D70"/>
    <w:rsid w:val="00377872"/>
    <w:rsid w:val="00380B83"/>
    <w:rsid w:val="003906DC"/>
    <w:rsid w:val="00393CDC"/>
    <w:rsid w:val="003A03A3"/>
    <w:rsid w:val="003B0260"/>
    <w:rsid w:val="003B6D0C"/>
    <w:rsid w:val="003C543B"/>
    <w:rsid w:val="003D1752"/>
    <w:rsid w:val="003D33BC"/>
    <w:rsid w:val="003F3DDC"/>
    <w:rsid w:val="003F702A"/>
    <w:rsid w:val="004026ED"/>
    <w:rsid w:val="00416A5A"/>
    <w:rsid w:val="00420F62"/>
    <w:rsid w:val="00421F68"/>
    <w:rsid w:val="0042261D"/>
    <w:rsid w:val="00430F9E"/>
    <w:rsid w:val="004339A3"/>
    <w:rsid w:val="004549E3"/>
    <w:rsid w:val="00455814"/>
    <w:rsid w:val="004741C6"/>
    <w:rsid w:val="004765E6"/>
    <w:rsid w:val="00491344"/>
    <w:rsid w:val="004A2D6A"/>
    <w:rsid w:val="004A40C2"/>
    <w:rsid w:val="004A428F"/>
    <w:rsid w:val="004A45B4"/>
    <w:rsid w:val="004B3655"/>
    <w:rsid w:val="004B4FAE"/>
    <w:rsid w:val="004C3DF6"/>
    <w:rsid w:val="004D3BC4"/>
    <w:rsid w:val="004E167F"/>
    <w:rsid w:val="004E3382"/>
    <w:rsid w:val="004E4967"/>
    <w:rsid w:val="004F5E90"/>
    <w:rsid w:val="004F6AB2"/>
    <w:rsid w:val="00510996"/>
    <w:rsid w:val="005137AC"/>
    <w:rsid w:val="005310CF"/>
    <w:rsid w:val="00544656"/>
    <w:rsid w:val="00547C26"/>
    <w:rsid w:val="00547D15"/>
    <w:rsid w:val="00557AD7"/>
    <w:rsid w:val="005600C0"/>
    <w:rsid w:val="005817EE"/>
    <w:rsid w:val="00587C9A"/>
    <w:rsid w:val="00590D2E"/>
    <w:rsid w:val="005969A5"/>
    <w:rsid w:val="00597D19"/>
    <w:rsid w:val="005A1186"/>
    <w:rsid w:val="005A3666"/>
    <w:rsid w:val="005B48EF"/>
    <w:rsid w:val="005D3FA6"/>
    <w:rsid w:val="005D5FB7"/>
    <w:rsid w:val="005E0B4F"/>
    <w:rsid w:val="005E50CE"/>
    <w:rsid w:val="005E58CF"/>
    <w:rsid w:val="005F247C"/>
    <w:rsid w:val="005F4280"/>
    <w:rsid w:val="00601528"/>
    <w:rsid w:val="006071A5"/>
    <w:rsid w:val="0061085A"/>
    <w:rsid w:val="00617F31"/>
    <w:rsid w:val="0062205C"/>
    <w:rsid w:val="006255D7"/>
    <w:rsid w:val="00634E70"/>
    <w:rsid w:val="00644CDC"/>
    <w:rsid w:val="006626A3"/>
    <w:rsid w:val="00663D15"/>
    <w:rsid w:val="00673877"/>
    <w:rsid w:val="00682A9F"/>
    <w:rsid w:val="00684BA3"/>
    <w:rsid w:val="006864E5"/>
    <w:rsid w:val="006870A2"/>
    <w:rsid w:val="0068713D"/>
    <w:rsid w:val="00694C28"/>
    <w:rsid w:val="006A0291"/>
    <w:rsid w:val="006A0935"/>
    <w:rsid w:val="006C5CF8"/>
    <w:rsid w:val="006C5D28"/>
    <w:rsid w:val="006C6AF0"/>
    <w:rsid w:val="006D0A15"/>
    <w:rsid w:val="006D27BE"/>
    <w:rsid w:val="006E749F"/>
    <w:rsid w:val="007065FB"/>
    <w:rsid w:val="00716D38"/>
    <w:rsid w:val="0072138A"/>
    <w:rsid w:val="00746064"/>
    <w:rsid w:val="0076314A"/>
    <w:rsid w:val="007669D8"/>
    <w:rsid w:val="00770D94"/>
    <w:rsid w:val="0078062C"/>
    <w:rsid w:val="00787542"/>
    <w:rsid w:val="007911A5"/>
    <w:rsid w:val="0079675A"/>
    <w:rsid w:val="007A562A"/>
    <w:rsid w:val="007A72B1"/>
    <w:rsid w:val="007B22AF"/>
    <w:rsid w:val="007B32F7"/>
    <w:rsid w:val="007B77EB"/>
    <w:rsid w:val="007C2EFE"/>
    <w:rsid w:val="007C3A39"/>
    <w:rsid w:val="007C7DF1"/>
    <w:rsid w:val="007D399A"/>
    <w:rsid w:val="007E308A"/>
    <w:rsid w:val="007E7B1B"/>
    <w:rsid w:val="007F2D90"/>
    <w:rsid w:val="00805D7F"/>
    <w:rsid w:val="008102E0"/>
    <w:rsid w:val="00810609"/>
    <w:rsid w:val="00811613"/>
    <w:rsid w:val="008219DE"/>
    <w:rsid w:val="008248F5"/>
    <w:rsid w:val="00831A33"/>
    <w:rsid w:val="00831B1A"/>
    <w:rsid w:val="0083550A"/>
    <w:rsid w:val="00837D56"/>
    <w:rsid w:val="00852281"/>
    <w:rsid w:val="0088305A"/>
    <w:rsid w:val="008B340E"/>
    <w:rsid w:val="008B4A25"/>
    <w:rsid w:val="008B4C9B"/>
    <w:rsid w:val="008C7BCD"/>
    <w:rsid w:val="008D3190"/>
    <w:rsid w:val="008F40AC"/>
    <w:rsid w:val="008F5BC7"/>
    <w:rsid w:val="009018AB"/>
    <w:rsid w:val="00902A11"/>
    <w:rsid w:val="00905DBE"/>
    <w:rsid w:val="009139E3"/>
    <w:rsid w:val="00922DD8"/>
    <w:rsid w:val="0093248A"/>
    <w:rsid w:val="0094680B"/>
    <w:rsid w:val="00947739"/>
    <w:rsid w:val="00951015"/>
    <w:rsid w:val="00957F45"/>
    <w:rsid w:val="00961919"/>
    <w:rsid w:val="00973485"/>
    <w:rsid w:val="00973C00"/>
    <w:rsid w:val="00977B04"/>
    <w:rsid w:val="00983169"/>
    <w:rsid w:val="00985B09"/>
    <w:rsid w:val="009979FD"/>
    <w:rsid w:val="009B5946"/>
    <w:rsid w:val="009B64F5"/>
    <w:rsid w:val="009C30E8"/>
    <w:rsid w:val="009C5AC5"/>
    <w:rsid w:val="009D2D2F"/>
    <w:rsid w:val="00A105A5"/>
    <w:rsid w:val="00A13532"/>
    <w:rsid w:val="00A26EBD"/>
    <w:rsid w:val="00A3621E"/>
    <w:rsid w:val="00A364B9"/>
    <w:rsid w:val="00A45D31"/>
    <w:rsid w:val="00A461F0"/>
    <w:rsid w:val="00A63E1B"/>
    <w:rsid w:val="00A66FDB"/>
    <w:rsid w:val="00A73C47"/>
    <w:rsid w:val="00A752F6"/>
    <w:rsid w:val="00A81AC4"/>
    <w:rsid w:val="00A947D3"/>
    <w:rsid w:val="00A956B2"/>
    <w:rsid w:val="00A964FE"/>
    <w:rsid w:val="00A97CF9"/>
    <w:rsid w:val="00AA1E93"/>
    <w:rsid w:val="00AA72C4"/>
    <w:rsid w:val="00AB4E0C"/>
    <w:rsid w:val="00AD67A9"/>
    <w:rsid w:val="00AE57CA"/>
    <w:rsid w:val="00B141EE"/>
    <w:rsid w:val="00B2042F"/>
    <w:rsid w:val="00B41C87"/>
    <w:rsid w:val="00B46DA9"/>
    <w:rsid w:val="00B63632"/>
    <w:rsid w:val="00B72A5C"/>
    <w:rsid w:val="00B82D9C"/>
    <w:rsid w:val="00B8387F"/>
    <w:rsid w:val="00B86BEF"/>
    <w:rsid w:val="00B95C84"/>
    <w:rsid w:val="00BA21DC"/>
    <w:rsid w:val="00BA2A31"/>
    <w:rsid w:val="00BA2BBE"/>
    <w:rsid w:val="00BA35C2"/>
    <w:rsid w:val="00BE1068"/>
    <w:rsid w:val="00BF477D"/>
    <w:rsid w:val="00BF62B1"/>
    <w:rsid w:val="00C078A6"/>
    <w:rsid w:val="00C15C17"/>
    <w:rsid w:val="00C1700E"/>
    <w:rsid w:val="00C53534"/>
    <w:rsid w:val="00C623A3"/>
    <w:rsid w:val="00C7352B"/>
    <w:rsid w:val="00C73B12"/>
    <w:rsid w:val="00C82445"/>
    <w:rsid w:val="00C84F8B"/>
    <w:rsid w:val="00CA5AC4"/>
    <w:rsid w:val="00CB1724"/>
    <w:rsid w:val="00CB1B6A"/>
    <w:rsid w:val="00CB3E72"/>
    <w:rsid w:val="00CB7485"/>
    <w:rsid w:val="00CC1634"/>
    <w:rsid w:val="00CF76B9"/>
    <w:rsid w:val="00D07AF2"/>
    <w:rsid w:val="00D111FE"/>
    <w:rsid w:val="00D13D82"/>
    <w:rsid w:val="00D27AED"/>
    <w:rsid w:val="00D731B9"/>
    <w:rsid w:val="00D77D70"/>
    <w:rsid w:val="00D82277"/>
    <w:rsid w:val="00D8355E"/>
    <w:rsid w:val="00DA0AC1"/>
    <w:rsid w:val="00DB118E"/>
    <w:rsid w:val="00DB4051"/>
    <w:rsid w:val="00DB49A9"/>
    <w:rsid w:val="00DC15E9"/>
    <w:rsid w:val="00DC52D0"/>
    <w:rsid w:val="00DC6556"/>
    <w:rsid w:val="00DD0F1E"/>
    <w:rsid w:val="00DE0151"/>
    <w:rsid w:val="00DE4712"/>
    <w:rsid w:val="00DE6C93"/>
    <w:rsid w:val="00DF249B"/>
    <w:rsid w:val="00E02C60"/>
    <w:rsid w:val="00E16421"/>
    <w:rsid w:val="00E41BA1"/>
    <w:rsid w:val="00E46AD2"/>
    <w:rsid w:val="00E56EEB"/>
    <w:rsid w:val="00E64D9C"/>
    <w:rsid w:val="00E94537"/>
    <w:rsid w:val="00EA2124"/>
    <w:rsid w:val="00EA5A13"/>
    <w:rsid w:val="00EA6AE2"/>
    <w:rsid w:val="00EB7358"/>
    <w:rsid w:val="00ED28E5"/>
    <w:rsid w:val="00ED7EEA"/>
    <w:rsid w:val="00EE22C4"/>
    <w:rsid w:val="00EF4C70"/>
    <w:rsid w:val="00F067AF"/>
    <w:rsid w:val="00F27633"/>
    <w:rsid w:val="00F5006D"/>
    <w:rsid w:val="00F52892"/>
    <w:rsid w:val="00F6097F"/>
    <w:rsid w:val="00F6138F"/>
    <w:rsid w:val="00F616E7"/>
    <w:rsid w:val="00F630D0"/>
    <w:rsid w:val="00F65C01"/>
    <w:rsid w:val="00F72222"/>
    <w:rsid w:val="00F7313A"/>
    <w:rsid w:val="00F750FF"/>
    <w:rsid w:val="00F76B60"/>
    <w:rsid w:val="00F8369D"/>
    <w:rsid w:val="00FB1615"/>
    <w:rsid w:val="00FB78FA"/>
    <w:rsid w:val="00FC546C"/>
    <w:rsid w:val="00FD72CC"/>
    <w:rsid w:val="00FE0890"/>
    <w:rsid w:val="00FE4FAE"/>
    <w:rsid w:val="00FF54C4"/>
    <w:rsid w:val="00FF7286"/>
    <w:rsid w:val="01115B19"/>
    <w:rsid w:val="01670C47"/>
    <w:rsid w:val="01C84669"/>
    <w:rsid w:val="04B8015B"/>
    <w:rsid w:val="05B66C8F"/>
    <w:rsid w:val="09AF4D3B"/>
    <w:rsid w:val="09D75426"/>
    <w:rsid w:val="0A624E06"/>
    <w:rsid w:val="0B7720EF"/>
    <w:rsid w:val="0C6C2BF0"/>
    <w:rsid w:val="0D8E5F16"/>
    <w:rsid w:val="0DB8556E"/>
    <w:rsid w:val="11886E35"/>
    <w:rsid w:val="11B85B3D"/>
    <w:rsid w:val="11E903EC"/>
    <w:rsid w:val="128679E9"/>
    <w:rsid w:val="133E1561"/>
    <w:rsid w:val="13B87202"/>
    <w:rsid w:val="15781D56"/>
    <w:rsid w:val="158156D6"/>
    <w:rsid w:val="17F83F41"/>
    <w:rsid w:val="18C00F11"/>
    <w:rsid w:val="195645B9"/>
    <w:rsid w:val="1B06091F"/>
    <w:rsid w:val="1B72270C"/>
    <w:rsid w:val="1C526663"/>
    <w:rsid w:val="1CC47A8B"/>
    <w:rsid w:val="1D497F91"/>
    <w:rsid w:val="1E1174A8"/>
    <w:rsid w:val="1F0E1956"/>
    <w:rsid w:val="1FE30229"/>
    <w:rsid w:val="211B39F2"/>
    <w:rsid w:val="21240AF9"/>
    <w:rsid w:val="229E2B2D"/>
    <w:rsid w:val="234C4337"/>
    <w:rsid w:val="2443573A"/>
    <w:rsid w:val="27CE7A10"/>
    <w:rsid w:val="28CF3A40"/>
    <w:rsid w:val="29690A10"/>
    <w:rsid w:val="2A9036A3"/>
    <w:rsid w:val="2ADE7F6A"/>
    <w:rsid w:val="2B074529"/>
    <w:rsid w:val="2C8E761A"/>
    <w:rsid w:val="2D063DFF"/>
    <w:rsid w:val="2F511653"/>
    <w:rsid w:val="2F912ACC"/>
    <w:rsid w:val="3069477A"/>
    <w:rsid w:val="309C0569"/>
    <w:rsid w:val="32650F71"/>
    <w:rsid w:val="32C263C3"/>
    <w:rsid w:val="344622E0"/>
    <w:rsid w:val="34AB111B"/>
    <w:rsid w:val="3751494E"/>
    <w:rsid w:val="37971BCD"/>
    <w:rsid w:val="3948460F"/>
    <w:rsid w:val="394E6A33"/>
    <w:rsid w:val="3A156948"/>
    <w:rsid w:val="3C54700A"/>
    <w:rsid w:val="3C8A3B4D"/>
    <w:rsid w:val="3DCE3E6E"/>
    <w:rsid w:val="443C3292"/>
    <w:rsid w:val="44AA232C"/>
    <w:rsid w:val="451D1671"/>
    <w:rsid w:val="455E1F7C"/>
    <w:rsid w:val="46456C98"/>
    <w:rsid w:val="48981928"/>
    <w:rsid w:val="4A0B41AC"/>
    <w:rsid w:val="4AB83EDC"/>
    <w:rsid w:val="4B6057DD"/>
    <w:rsid w:val="4C612351"/>
    <w:rsid w:val="4DF33933"/>
    <w:rsid w:val="4EE71234"/>
    <w:rsid w:val="53A37099"/>
    <w:rsid w:val="53C90F08"/>
    <w:rsid w:val="54330A77"/>
    <w:rsid w:val="55384597"/>
    <w:rsid w:val="55EC0FA4"/>
    <w:rsid w:val="56405192"/>
    <w:rsid w:val="56B45E9F"/>
    <w:rsid w:val="58801E3E"/>
    <w:rsid w:val="59121B94"/>
    <w:rsid w:val="59CB2C96"/>
    <w:rsid w:val="5A04713E"/>
    <w:rsid w:val="5A8C0EE1"/>
    <w:rsid w:val="5BDE5DF5"/>
    <w:rsid w:val="5DB93D9B"/>
    <w:rsid w:val="60695F4D"/>
    <w:rsid w:val="638701A5"/>
    <w:rsid w:val="644F5459"/>
    <w:rsid w:val="658843D4"/>
    <w:rsid w:val="6651429E"/>
    <w:rsid w:val="66DE2AC5"/>
    <w:rsid w:val="676A6106"/>
    <w:rsid w:val="676C1E7F"/>
    <w:rsid w:val="68E65C61"/>
    <w:rsid w:val="69842EAC"/>
    <w:rsid w:val="69DF447F"/>
    <w:rsid w:val="6A975464"/>
    <w:rsid w:val="6AFB4C9B"/>
    <w:rsid w:val="6BA6321D"/>
    <w:rsid w:val="6CF643E5"/>
    <w:rsid w:val="6DE02450"/>
    <w:rsid w:val="6DFF3A4C"/>
    <w:rsid w:val="716E1728"/>
    <w:rsid w:val="743C16BA"/>
    <w:rsid w:val="752C3307"/>
    <w:rsid w:val="76D05FFC"/>
    <w:rsid w:val="779F3BAA"/>
    <w:rsid w:val="77EF4B32"/>
    <w:rsid w:val="7B9542DA"/>
    <w:rsid w:val="7EC565EC"/>
    <w:rsid w:val="7F005876"/>
    <w:rsid w:val="7F17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9"/>
    <w:autoRedefine/>
    <w:qFormat/>
    <w:uiPriority w:val="0"/>
    <w:pPr>
      <w:keepNext/>
      <w:keepLines/>
      <w:wordWrap w:val="0"/>
      <w:spacing w:line="360" w:lineRule="auto"/>
      <w:jc w:val="center"/>
      <w:outlineLvl w:val="0"/>
    </w:pPr>
    <w:rPr>
      <w:rFonts w:ascii="Times New Roman" w:hAnsi="Times New Roman" w:eastAsia="宋体" w:cs="Times New Roman"/>
      <w:b/>
      <w:bCs/>
      <w:kern w:val="44"/>
      <w:sz w:val="32"/>
      <w:szCs w:val="32"/>
      <w:lang w:val="zh-CN"/>
    </w:rPr>
  </w:style>
  <w:style w:type="paragraph" w:styleId="4">
    <w:name w:val="heading 2"/>
    <w:basedOn w:val="1"/>
    <w:next w:val="1"/>
    <w:link w:val="60"/>
    <w:autoRedefine/>
    <w:qFormat/>
    <w:uiPriority w:val="0"/>
    <w:pPr>
      <w:keepNext/>
      <w:keepLines/>
      <w:spacing w:line="360" w:lineRule="auto"/>
      <w:jc w:val="center"/>
      <w:outlineLvl w:val="1"/>
    </w:pPr>
    <w:rPr>
      <w:rFonts w:ascii="Cambria" w:hAnsi="Cambria" w:eastAsia="宋体" w:cs="Times New Roman"/>
      <w:b/>
      <w:bCs/>
      <w:kern w:val="0"/>
      <w:sz w:val="30"/>
      <w:szCs w:val="30"/>
      <w:lang w:val="zh-CN"/>
    </w:rPr>
  </w:style>
  <w:style w:type="paragraph" w:styleId="5">
    <w:name w:val="heading 3"/>
    <w:basedOn w:val="1"/>
    <w:next w:val="1"/>
    <w:link w:val="68"/>
    <w:autoRedefine/>
    <w:unhideWhenUsed/>
    <w:qFormat/>
    <w:uiPriority w:val="0"/>
    <w:pPr>
      <w:keepNext/>
      <w:keepLines/>
      <w:spacing w:line="360" w:lineRule="auto"/>
      <w:outlineLvl w:val="2"/>
    </w:pPr>
    <w:rPr>
      <w:rFonts w:ascii="宋体" w:hAnsi="宋体" w:eastAsia="宋体"/>
      <w:b/>
      <w:bCs/>
      <w:spacing w:val="1"/>
      <w:sz w:val="28"/>
      <w:szCs w:val="32"/>
      <w:lang w:val="zh-CN"/>
    </w:rPr>
  </w:style>
  <w:style w:type="paragraph" w:styleId="6">
    <w:name w:val="heading 4"/>
    <w:basedOn w:val="1"/>
    <w:next w:val="1"/>
    <w:link w:val="62"/>
    <w:autoRedefine/>
    <w:qFormat/>
    <w:uiPriority w:val="0"/>
    <w:pPr>
      <w:autoSpaceDE w:val="0"/>
      <w:autoSpaceDN w:val="0"/>
      <w:adjustRightInd w:val="0"/>
      <w:spacing w:line="360" w:lineRule="auto"/>
      <w:jc w:val="left"/>
      <w:outlineLvl w:val="3"/>
    </w:pPr>
    <w:rPr>
      <w:rFonts w:ascii="宋体" w:hAnsi="宋体" w:eastAsia="宋体" w:cs="Times New Roman"/>
      <w:b/>
      <w:kern w:val="0"/>
      <w:sz w:val="24"/>
      <w:szCs w:val="24"/>
      <w:lang w:val="zh-CN"/>
    </w:rPr>
  </w:style>
  <w:style w:type="paragraph" w:styleId="7">
    <w:name w:val="heading 5"/>
    <w:basedOn w:val="6"/>
    <w:next w:val="8"/>
    <w:link w:val="63"/>
    <w:autoRedefine/>
    <w:qFormat/>
    <w:uiPriority w:val="0"/>
    <w:pPr>
      <w:spacing w:line="240" w:lineRule="exact"/>
      <w:ind w:left="284" w:hanging="284"/>
      <w:outlineLvl w:val="4"/>
    </w:pPr>
    <w:rPr>
      <w:rFonts w:ascii="Arial" w:hAnsi="Arial"/>
      <w:kern w:val="2"/>
      <w:lang w:val="en-US"/>
    </w:rPr>
  </w:style>
  <w:style w:type="paragraph" w:styleId="9">
    <w:name w:val="heading 6"/>
    <w:basedOn w:val="1"/>
    <w:next w:val="1"/>
    <w:link w:val="64"/>
    <w:autoRedefine/>
    <w:qFormat/>
    <w:uiPriority w:val="0"/>
    <w:pPr>
      <w:keepNext/>
      <w:keepLines/>
      <w:spacing w:before="240" w:after="64" w:line="320" w:lineRule="auto"/>
      <w:outlineLvl w:val="5"/>
    </w:pPr>
    <w:rPr>
      <w:rFonts w:ascii="Arial" w:hAnsi="Arial" w:eastAsia="黑体" w:cs="Times New Roman"/>
      <w:b/>
      <w:bCs/>
      <w:sz w:val="24"/>
      <w:szCs w:val="24"/>
    </w:rPr>
  </w:style>
  <w:style w:type="paragraph" w:styleId="10">
    <w:name w:val="heading 7"/>
    <w:basedOn w:val="1"/>
    <w:next w:val="8"/>
    <w:link w:val="65"/>
    <w:autoRedefine/>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1">
    <w:name w:val="heading 8"/>
    <w:basedOn w:val="1"/>
    <w:next w:val="8"/>
    <w:link w:val="66"/>
    <w:autoRedefine/>
    <w:qFormat/>
    <w:uiPriority w:val="0"/>
    <w:pPr>
      <w:keepNext/>
      <w:keepLines/>
      <w:spacing w:before="240" w:after="64" w:line="320" w:lineRule="auto"/>
      <w:outlineLvl w:val="7"/>
    </w:pPr>
    <w:rPr>
      <w:rFonts w:ascii="Arial" w:hAnsi="Arial" w:eastAsia="黑体" w:cs="Times New Roman"/>
      <w:sz w:val="24"/>
      <w:szCs w:val="20"/>
    </w:rPr>
  </w:style>
  <w:style w:type="paragraph" w:styleId="12">
    <w:name w:val="heading 9"/>
    <w:basedOn w:val="1"/>
    <w:next w:val="8"/>
    <w:link w:val="67"/>
    <w:autoRedefine/>
    <w:qFormat/>
    <w:uiPriority w:val="0"/>
    <w:pPr>
      <w:keepNext/>
      <w:keepLines/>
      <w:spacing w:before="240" w:after="64" w:line="320" w:lineRule="auto"/>
      <w:outlineLvl w:val="8"/>
    </w:pPr>
    <w:rPr>
      <w:rFonts w:ascii="Arial" w:hAnsi="Arial" w:eastAsia="黑体" w:cs="Times New Roman"/>
      <w:szCs w:val="20"/>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75"/>
    <w:autoRedefine/>
    <w:qFormat/>
    <w:uiPriority w:val="0"/>
    <w:rPr>
      <w:rFonts w:ascii="宋体" w:hAnsi="Courier New" w:eastAsia="宋体" w:cs="Times New Roman"/>
      <w:szCs w:val="20"/>
      <w:lang w:val="zh-CN"/>
    </w:rPr>
  </w:style>
  <w:style w:type="paragraph" w:styleId="8">
    <w:name w:val="Normal Indent"/>
    <w:basedOn w:val="1"/>
    <w:next w:val="1"/>
    <w:link w:val="87"/>
    <w:autoRedefine/>
    <w:unhideWhenUsed/>
    <w:qFormat/>
    <w:uiPriority w:val="0"/>
    <w:pPr>
      <w:ind w:firstLine="420" w:firstLineChars="200"/>
    </w:pPr>
    <w:rPr>
      <w:rFonts w:ascii="Times New Roman" w:hAnsi="Times New Roman" w:eastAsia="宋体" w:cs="Times New Roman"/>
      <w:szCs w:val="24"/>
    </w:rPr>
  </w:style>
  <w:style w:type="paragraph" w:styleId="13">
    <w:name w:val="List 3"/>
    <w:basedOn w:val="1"/>
    <w:autoRedefine/>
    <w:qFormat/>
    <w:uiPriority w:val="0"/>
    <w:pPr>
      <w:ind w:left="100" w:leftChars="400" w:hanging="200" w:hangingChars="200"/>
    </w:pPr>
    <w:rPr>
      <w:rFonts w:ascii="Times New Roman" w:hAnsi="Times New Roman" w:eastAsia="宋体" w:cs="Times New Roman"/>
      <w:szCs w:val="24"/>
    </w:rPr>
  </w:style>
  <w:style w:type="paragraph" w:styleId="14">
    <w:name w:val="toc 7"/>
    <w:basedOn w:val="1"/>
    <w:next w:val="1"/>
    <w:autoRedefine/>
    <w:qFormat/>
    <w:uiPriority w:val="39"/>
    <w:pPr>
      <w:ind w:left="1260"/>
      <w:jc w:val="left"/>
    </w:pPr>
    <w:rPr>
      <w:rFonts w:ascii="Calibri" w:hAnsi="Calibri" w:eastAsia="宋体" w:cs="Calibri"/>
      <w:sz w:val="18"/>
      <w:szCs w:val="18"/>
    </w:rPr>
  </w:style>
  <w:style w:type="paragraph" w:styleId="15">
    <w:name w:val="caption"/>
    <w:basedOn w:val="1"/>
    <w:next w:val="1"/>
    <w:autoRedefine/>
    <w:qFormat/>
    <w:uiPriority w:val="0"/>
    <w:rPr>
      <w:rFonts w:ascii="Arial" w:hAnsi="Arial" w:eastAsia="黑体" w:cs="Arial"/>
      <w:sz w:val="20"/>
      <w:szCs w:val="20"/>
    </w:rPr>
  </w:style>
  <w:style w:type="paragraph" w:styleId="16">
    <w:name w:val="Document Map"/>
    <w:basedOn w:val="1"/>
    <w:link w:val="69"/>
    <w:autoRedefine/>
    <w:qFormat/>
    <w:uiPriority w:val="0"/>
    <w:rPr>
      <w:rFonts w:ascii="宋体" w:hAnsi="Times New Roman" w:eastAsia="宋体" w:cs="Times New Roman"/>
      <w:kern w:val="0"/>
      <w:sz w:val="18"/>
      <w:szCs w:val="18"/>
      <w:lang w:val="zh-CN"/>
    </w:rPr>
  </w:style>
  <w:style w:type="paragraph" w:styleId="17">
    <w:name w:val="annotation text"/>
    <w:basedOn w:val="1"/>
    <w:link w:val="70"/>
    <w:autoRedefine/>
    <w:qFormat/>
    <w:uiPriority w:val="0"/>
    <w:pPr>
      <w:jc w:val="left"/>
    </w:pPr>
    <w:rPr>
      <w:rFonts w:ascii="Times New Roman" w:hAnsi="Times New Roman" w:eastAsia="宋体" w:cs="Times New Roman"/>
      <w:szCs w:val="24"/>
      <w:lang w:val="zh-CN"/>
    </w:rPr>
  </w:style>
  <w:style w:type="paragraph" w:styleId="18">
    <w:name w:val="Salutation"/>
    <w:basedOn w:val="1"/>
    <w:next w:val="1"/>
    <w:link w:val="71"/>
    <w:autoRedefine/>
    <w:qFormat/>
    <w:uiPriority w:val="0"/>
    <w:rPr>
      <w:rFonts w:ascii="Calibri" w:hAnsi="Calibri" w:eastAsia="宋体" w:cs="Times New Roman"/>
      <w:kern w:val="0"/>
      <w:sz w:val="32"/>
      <w:szCs w:val="24"/>
    </w:rPr>
  </w:style>
  <w:style w:type="paragraph" w:styleId="19">
    <w:name w:val="Body Text 3"/>
    <w:basedOn w:val="1"/>
    <w:link w:val="72"/>
    <w:autoRedefine/>
    <w:qFormat/>
    <w:uiPriority w:val="0"/>
    <w:pPr>
      <w:spacing w:after="120"/>
    </w:pPr>
    <w:rPr>
      <w:rFonts w:ascii="Times New Roman" w:hAnsi="Times New Roman" w:eastAsia="宋体" w:cs="Times New Roman"/>
      <w:kern w:val="0"/>
      <w:sz w:val="16"/>
      <w:szCs w:val="16"/>
      <w:lang w:val="zh-CN"/>
    </w:rPr>
  </w:style>
  <w:style w:type="paragraph" w:styleId="20">
    <w:name w:val="Body Text"/>
    <w:basedOn w:val="1"/>
    <w:next w:val="1"/>
    <w:link w:val="73"/>
    <w:autoRedefine/>
    <w:qFormat/>
    <w:uiPriority w:val="99"/>
    <w:pPr>
      <w:pBdr>
        <w:top w:val="single" w:color="auto" w:sz="4" w:space="1"/>
      </w:pBdr>
    </w:pPr>
    <w:rPr>
      <w:rFonts w:ascii="Times New Roman" w:hAnsi="Times New Roman" w:eastAsia="宋体" w:cs="Times New Roman"/>
      <w:b/>
      <w:bCs/>
      <w:szCs w:val="24"/>
    </w:rPr>
  </w:style>
  <w:style w:type="paragraph" w:styleId="21">
    <w:name w:val="Body Text Indent"/>
    <w:basedOn w:val="1"/>
    <w:next w:val="22"/>
    <w:link w:val="74"/>
    <w:autoRedefine/>
    <w:qFormat/>
    <w:uiPriority w:val="0"/>
    <w:pPr>
      <w:ind w:firstLine="600" w:firstLineChars="200"/>
    </w:pPr>
    <w:rPr>
      <w:rFonts w:ascii="宋体" w:hAnsi="Times New Roman" w:eastAsia="宋体" w:cs="Times New Roman"/>
      <w:sz w:val="30"/>
      <w:szCs w:val="20"/>
      <w:lang w:val="zh-CN"/>
    </w:rPr>
  </w:style>
  <w:style w:type="paragraph" w:styleId="22">
    <w:name w:val="envelope return"/>
    <w:basedOn w:val="1"/>
    <w:autoRedefine/>
    <w:qFormat/>
    <w:uiPriority w:val="0"/>
    <w:pPr>
      <w:snapToGrid w:val="0"/>
    </w:pPr>
    <w:rPr>
      <w:rFonts w:ascii="Arial" w:hAnsi="Arial" w:eastAsia="宋体" w:cs="Times New Roman"/>
      <w:szCs w:val="24"/>
    </w:rPr>
  </w:style>
  <w:style w:type="paragraph" w:styleId="23">
    <w:name w:val="index 4"/>
    <w:basedOn w:val="1"/>
    <w:next w:val="1"/>
    <w:autoRedefine/>
    <w:unhideWhenUsed/>
    <w:qFormat/>
    <w:uiPriority w:val="99"/>
    <w:pPr>
      <w:ind w:left="600" w:leftChars="600"/>
    </w:pPr>
    <w:rPr>
      <w:rFonts w:ascii="Times New Roman" w:hAnsi="Times New Roman" w:eastAsia="宋体" w:cs="Times New Roman"/>
      <w:szCs w:val="24"/>
    </w:rPr>
  </w:style>
  <w:style w:type="paragraph" w:styleId="24">
    <w:name w:val="toc 5"/>
    <w:basedOn w:val="1"/>
    <w:next w:val="1"/>
    <w:autoRedefine/>
    <w:qFormat/>
    <w:uiPriority w:val="39"/>
    <w:pPr>
      <w:ind w:left="840"/>
      <w:jc w:val="left"/>
    </w:pPr>
    <w:rPr>
      <w:rFonts w:ascii="Calibri" w:hAnsi="Calibri" w:eastAsia="宋体" w:cs="Calibri"/>
      <w:sz w:val="18"/>
      <w:szCs w:val="18"/>
    </w:rPr>
  </w:style>
  <w:style w:type="paragraph" w:styleId="25">
    <w:name w:val="toc 3"/>
    <w:basedOn w:val="1"/>
    <w:next w:val="1"/>
    <w:autoRedefine/>
    <w:qFormat/>
    <w:uiPriority w:val="39"/>
    <w:pPr>
      <w:ind w:left="840" w:leftChars="400"/>
    </w:pPr>
    <w:rPr>
      <w:rFonts w:ascii="Times New Roman" w:hAnsi="Times New Roman" w:eastAsia="宋体" w:cs="Times New Roman"/>
      <w:szCs w:val="24"/>
    </w:rPr>
  </w:style>
  <w:style w:type="paragraph" w:styleId="26">
    <w:name w:val="toc 8"/>
    <w:basedOn w:val="1"/>
    <w:next w:val="1"/>
    <w:autoRedefine/>
    <w:qFormat/>
    <w:uiPriority w:val="39"/>
    <w:pPr>
      <w:ind w:left="1470"/>
      <w:jc w:val="left"/>
    </w:pPr>
    <w:rPr>
      <w:rFonts w:ascii="Calibri" w:hAnsi="Calibri" w:eastAsia="宋体" w:cs="Calibri"/>
      <w:sz w:val="18"/>
      <w:szCs w:val="18"/>
    </w:rPr>
  </w:style>
  <w:style w:type="paragraph" w:styleId="27">
    <w:name w:val="Date"/>
    <w:basedOn w:val="1"/>
    <w:next w:val="1"/>
    <w:link w:val="76"/>
    <w:autoRedefine/>
    <w:qFormat/>
    <w:uiPriority w:val="0"/>
    <w:pPr>
      <w:ind w:left="100" w:leftChars="2500"/>
    </w:pPr>
    <w:rPr>
      <w:rFonts w:ascii="Calibri" w:hAnsi="Calibri" w:eastAsia="宋体" w:cs="Times New Roman"/>
      <w:kern w:val="0"/>
      <w:sz w:val="20"/>
      <w:szCs w:val="24"/>
    </w:rPr>
  </w:style>
  <w:style w:type="paragraph" w:styleId="28">
    <w:name w:val="Body Text Indent 2"/>
    <w:basedOn w:val="1"/>
    <w:link w:val="77"/>
    <w:autoRedefine/>
    <w:qFormat/>
    <w:uiPriority w:val="0"/>
    <w:pPr>
      <w:spacing w:after="120" w:line="480" w:lineRule="auto"/>
      <w:ind w:left="420" w:leftChars="200"/>
    </w:pPr>
    <w:rPr>
      <w:rFonts w:ascii="Times New Roman" w:hAnsi="Times New Roman" w:eastAsia="Courier New" w:cs="Times New Roman"/>
      <w:kern w:val="0"/>
      <w:sz w:val="20"/>
      <w:szCs w:val="20"/>
      <w:lang w:val="zh-CN"/>
    </w:rPr>
  </w:style>
  <w:style w:type="paragraph" w:styleId="29">
    <w:name w:val="Balloon Text"/>
    <w:basedOn w:val="1"/>
    <w:link w:val="78"/>
    <w:autoRedefine/>
    <w:qFormat/>
    <w:uiPriority w:val="0"/>
    <w:rPr>
      <w:rFonts w:ascii="Times New Roman" w:hAnsi="Times New Roman" w:eastAsia="宋体" w:cs="Times New Roman"/>
      <w:sz w:val="18"/>
      <w:szCs w:val="18"/>
      <w:lang w:val="zh-CN"/>
    </w:rPr>
  </w:style>
  <w:style w:type="paragraph" w:styleId="30">
    <w:name w:val="footer"/>
    <w:basedOn w:val="1"/>
    <w:link w:val="58"/>
    <w:autoRedefine/>
    <w:unhideWhenUsed/>
    <w:qFormat/>
    <w:uiPriority w:val="99"/>
    <w:pPr>
      <w:tabs>
        <w:tab w:val="center" w:pos="4153"/>
        <w:tab w:val="right" w:pos="8306"/>
      </w:tabs>
      <w:snapToGrid w:val="0"/>
      <w:jc w:val="left"/>
    </w:pPr>
    <w:rPr>
      <w:sz w:val="18"/>
      <w:szCs w:val="18"/>
    </w:rPr>
  </w:style>
  <w:style w:type="paragraph" w:styleId="31">
    <w:name w:val="header"/>
    <w:basedOn w:val="1"/>
    <w:link w:val="5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spacing w:before="120" w:after="120"/>
      <w:jc w:val="left"/>
    </w:pPr>
    <w:rPr>
      <w:rFonts w:ascii="Calibri" w:hAnsi="Calibri" w:eastAsia="宋体" w:cs="Calibri"/>
      <w:b/>
      <w:bCs/>
      <w:caps/>
      <w:sz w:val="20"/>
      <w:szCs w:val="20"/>
    </w:rPr>
  </w:style>
  <w:style w:type="paragraph" w:styleId="33">
    <w:name w:val="toc 4"/>
    <w:basedOn w:val="1"/>
    <w:next w:val="1"/>
    <w:autoRedefine/>
    <w:qFormat/>
    <w:uiPriority w:val="39"/>
    <w:pPr>
      <w:ind w:left="630"/>
      <w:jc w:val="left"/>
    </w:pPr>
    <w:rPr>
      <w:rFonts w:ascii="Calibri" w:hAnsi="Calibri" w:eastAsia="宋体" w:cs="Calibri"/>
      <w:sz w:val="18"/>
      <w:szCs w:val="18"/>
    </w:rPr>
  </w:style>
  <w:style w:type="paragraph" w:styleId="34">
    <w:name w:val="toc 6"/>
    <w:basedOn w:val="1"/>
    <w:next w:val="1"/>
    <w:autoRedefine/>
    <w:qFormat/>
    <w:uiPriority w:val="39"/>
    <w:pPr>
      <w:ind w:left="1050"/>
      <w:jc w:val="left"/>
    </w:pPr>
    <w:rPr>
      <w:rFonts w:ascii="Calibri" w:hAnsi="Calibri" w:eastAsia="宋体" w:cs="Calibri"/>
      <w:sz w:val="18"/>
      <w:szCs w:val="18"/>
    </w:rPr>
  </w:style>
  <w:style w:type="paragraph" w:styleId="35">
    <w:name w:val="Body Text Indent 3"/>
    <w:basedOn w:val="1"/>
    <w:link w:val="79"/>
    <w:autoRedefine/>
    <w:qFormat/>
    <w:uiPriority w:val="0"/>
    <w:pPr>
      <w:spacing w:after="120"/>
      <w:ind w:left="420" w:leftChars="200"/>
    </w:pPr>
    <w:rPr>
      <w:rFonts w:ascii="Calibri" w:hAnsi="Calibri" w:eastAsia="宋体" w:cs="Times New Roman"/>
      <w:kern w:val="0"/>
      <w:sz w:val="16"/>
      <w:szCs w:val="20"/>
    </w:rPr>
  </w:style>
  <w:style w:type="paragraph" w:styleId="36">
    <w:name w:val="toc 2"/>
    <w:basedOn w:val="1"/>
    <w:next w:val="1"/>
    <w:autoRedefine/>
    <w:unhideWhenUsed/>
    <w:qFormat/>
    <w:uiPriority w:val="39"/>
    <w:pPr>
      <w:ind w:left="420" w:leftChars="200"/>
    </w:pPr>
    <w:rPr>
      <w:rFonts w:ascii="Times New Roman" w:hAnsi="Times New Roman" w:eastAsia="宋体" w:cs="Times New Roman"/>
      <w:szCs w:val="24"/>
    </w:rPr>
  </w:style>
  <w:style w:type="paragraph" w:styleId="37">
    <w:name w:val="toc 9"/>
    <w:basedOn w:val="1"/>
    <w:next w:val="1"/>
    <w:autoRedefine/>
    <w:qFormat/>
    <w:uiPriority w:val="39"/>
    <w:pPr>
      <w:ind w:left="1680"/>
      <w:jc w:val="left"/>
    </w:pPr>
    <w:rPr>
      <w:rFonts w:ascii="Calibri" w:hAnsi="Calibri" w:eastAsia="宋体" w:cs="Calibri"/>
      <w:sz w:val="18"/>
      <w:szCs w:val="18"/>
    </w:rPr>
  </w:style>
  <w:style w:type="paragraph" w:styleId="38">
    <w:name w:val="Body Text 2"/>
    <w:basedOn w:val="1"/>
    <w:link w:val="80"/>
    <w:autoRedefine/>
    <w:qFormat/>
    <w:uiPriority w:val="0"/>
    <w:pPr>
      <w:spacing w:after="120" w:line="480" w:lineRule="auto"/>
    </w:pPr>
    <w:rPr>
      <w:rFonts w:ascii="Times New Roman" w:hAnsi="Times New Roman" w:eastAsia="宋体" w:cs="Times New Roman"/>
      <w:kern w:val="0"/>
      <w:sz w:val="20"/>
      <w:szCs w:val="24"/>
      <w:lang w:val="zh-CN"/>
    </w:rPr>
  </w:style>
  <w:style w:type="paragraph" w:styleId="39">
    <w:name w:val="HTML Preformatted"/>
    <w:basedOn w:val="1"/>
    <w:link w:val="8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Calibri" w:hAnsi="Calibri" w:eastAsia="宋体" w:cs="Times New Roman"/>
      <w:kern w:val="0"/>
      <w:sz w:val="20"/>
      <w:szCs w:val="21"/>
    </w:rPr>
  </w:style>
  <w:style w:type="paragraph" w:styleId="40">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41">
    <w:name w:val="Title"/>
    <w:basedOn w:val="1"/>
    <w:link w:val="82"/>
    <w:autoRedefine/>
    <w:qFormat/>
    <w:uiPriority w:val="0"/>
    <w:pPr>
      <w:spacing w:before="240" w:after="60"/>
      <w:jc w:val="center"/>
      <w:outlineLvl w:val="0"/>
    </w:pPr>
    <w:rPr>
      <w:rFonts w:ascii="Arial" w:hAnsi="Arial" w:eastAsia="宋体" w:cs="Times New Roman"/>
      <w:b/>
      <w:bCs/>
      <w:kern w:val="0"/>
      <w:sz w:val="32"/>
      <w:szCs w:val="32"/>
      <w:lang w:val="zh-CN"/>
    </w:rPr>
  </w:style>
  <w:style w:type="paragraph" w:styleId="42">
    <w:name w:val="annotation subject"/>
    <w:basedOn w:val="17"/>
    <w:next w:val="17"/>
    <w:link w:val="83"/>
    <w:autoRedefine/>
    <w:qFormat/>
    <w:uiPriority w:val="0"/>
    <w:rPr>
      <w:b/>
      <w:bCs/>
    </w:rPr>
  </w:style>
  <w:style w:type="paragraph" w:styleId="43">
    <w:name w:val="Body Text First Indent"/>
    <w:basedOn w:val="20"/>
    <w:link w:val="84"/>
    <w:autoRedefine/>
    <w:qFormat/>
    <w:uiPriority w:val="0"/>
    <w:pPr>
      <w:pBdr>
        <w:top w:val="none" w:color="auto" w:sz="0" w:space="0"/>
      </w:pBdr>
      <w:spacing w:after="120"/>
      <w:ind w:firstLine="420" w:firstLineChars="100"/>
    </w:pPr>
    <w:rPr>
      <w:b w:val="0"/>
      <w:bCs w:val="0"/>
      <w:kern w:val="0"/>
      <w:sz w:val="20"/>
      <w:szCs w:val="20"/>
    </w:rPr>
  </w:style>
  <w:style w:type="paragraph" w:styleId="44">
    <w:name w:val="Body Text First Indent 2"/>
    <w:basedOn w:val="21"/>
    <w:link w:val="85"/>
    <w:autoRedefine/>
    <w:qFormat/>
    <w:uiPriority w:val="0"/>
    <w:pPr>
      <w:spacing w:after="120"/>
      <w:ind w:left="420" w:leftChars="200" w:firstLine="420"/>
    </w:pPr>
    <w:rPr>
      <w:rFonts w:ascii="Times New Roman"/>
      <w:kern w:val="0"/>
      <w:sz w:val="20"/>
      <w:szCs w:val="24"/>
    </w:rPr>
  </w:style>
  <w:style w:type="table" w:styleId="46">
    <w:name w:val="Table Grid"/>
    <w:basedOn w:val="45"/>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autoRedefine/>
    <w:qFormat/>
    <w:uiPriority w:val="22"/>
    <w:rPr>
      <w:b/>
      <w:bCs/>
    </w:rPr>
  </w:style>
  <w:style w:type="character" w:styleId="49">
    <w:name w:val="page number"/>
    <w:autoRedefine/>
    <w:qFormat/>
    <w:uiPriority w:val="0"/>
  </w:style>
  <w:style w:type="character" w:styleId="50">
    <w:name w:val="FollowedHyperlink"/>
    <w:basedOn w:val="47"/>
    <w:autoRedefine/>
    <w:semiHidden/>
    <w:unhideWhenUsed/>
    <w:qFormat/>
    <w:uiPriority w:val="99"/>
    <w:rPr>
      <w:color w:val="954F72" w:themeColor="followedHyperlink"/>
      <w:u w:val="single"/>
      <w14:textFill>
        <w14:solidFill>
          <w14:schemeClr w14:val="folHlink"/>
        </w14:solidFill>
      </w14:textFill>
    </w:rPr>
  </w:style>
  <w:style w:type="character" w:styleId="51">
    <w:name w:val="HTML Definition"/>
    <w:basedOn w:val="47"/>
    <w:autoRedefine/>
    <w:semiHidden/>
    <w:unhideWhenUsed/>
    <w:qFormat/>
    <w:uiPriority w:val="99"/>
    <w:rPr>
      <w:i/>
      <w:iCs/>
    </w:rPr>
  </w:style>
  <w:style w:type="character" w:styleId="52">
    <w:name w:val="Hyperlink"/>
    <w:autoRedefine/>
    <w:qFormat/>
    <w:uiPriority w:val="99"/>
    <w:rPr>
      <w:color w:val="0000FF"/>
      <w:u w:val="single"/>
    </w:rPr>
  </w:style>
  <w:style w:type="character" w:styleId="53">
    <w:name w:val="HTML Code"/>
    <w:basedOn w:val="47"/>
    <w:autoRedefine/>
    <w:semiHidden/>
    <w:unhideWhenUsed/>
    <w:qFormat/>
    <w:uiPriority w:val="99"/>
    <w:rPr>
      <w:rFonts w:ascii="Consolas" w:hAnsi="Consolas" w:eastAsia="Consolas" w:cs="Consolas"/>
      <w:color w:val="C7254E"/>
      <w:sz w:val="21"/>
      <w:szCs w:val="21"/>
      <w:bdr w:val="single" w:color="E1E1E1" w:sz="6" w:space="0"/>
      <w:shd w:val="clear" w:color="auto" w:fill="F9F2F4"/>
    </w:rPr>
  </w:style>
  <w:style w:type="character" w:styleId="54">
    <w:name w:val="annotation reference"/>
    <w:autoRedefine/>
    <w:qFormat/>
    <w:uiPriority w:val="0"/>
    <w:rPr>
      <w:sz w:val="21"/>
      <w:szCs w:val="21"/>
    </w:rPr>
  </w:style>
  <w:style w:type="character" w:styleId="55">
    <w:name w:val="HTML Keyboard"/>
    <w:basedOn w:val="47"/>
    <w:autoRedefine/>
    <w:semiHidden/>
    <w:unhideWhenUsed/>
    <w:qFormat/>
    <w:uiPriority w:val="99"/>
    <w:rPr>
      <w:rFonts w:hint="default" w:ascii="Consolas" w:hAnsi="Consolas" w:eastAsia="Consolas" w:cs="Consolas"/>
      <w:color w:val="FFFFFF"/>
      <w:sz w:val="21"/>
      <w:szCs w:val="21"/>
      <w:shd w:val="clear" w:color="auto" w:fill="333333"/>
    </w:rPr>
  </w:style>
  <w:style w:type="character" w:styleId="56">
    <w:name w:val="HTML Sample"/>
    <w:basedOn w:val="47"/>
    <w:autoRedefine/>
    <w:semiHidden/>
    <w:unhideWhenUsed/>
    <w:qFormat/>
    <w:uiPriority w:val="99"/>
    <w:rPr>
      <w:rFonts w:hint="default" w:ascii="Consolas" w:hAnsi="Consolas" w:eastAsia="Consolas" w:cs="Consolas"/>
      <w:sz w:val="21"/>
      <w:szCs w:val="21"/>
    </w:rPr>
  </w:style>
  <w:style w:type="character" w:customStyle="1" w:styleId="57">
    <w:name w:val="页眉 字符"/>
    <w:basedOn w:val="47"/>
    <w:link w:val="31"/>
    <w:autoRedefine/>
    <w:qFormat/>
    <w:uiPriority w:val="0"/>
    <w:rPr>
      <w:sz w:val="18"/>
      <w:szCs w:val="18"/>
    </w:rPr>
  </w:style>
  <w:style w:type="character" w:customStyle="1" w:styleId="58">
    <w:name w:val="页脚 字符"/>
    <w:basedOn w:val="47"/>
    <w:link w:val="30"/>
    <w:autoRedefine/>
    <w:qFormat/>
    <w:uiPriority w:val="99"/>
    <w:rPr>
      <w:sz w:val="18"/>
      <w:szCs w:val="18"/>
    </w:rPr>
  </w:style>
  <w:style w:type="character" w:customStyle="1" w:styleId="59">
    <w:name w:val="标题 1 字符"/>
    <w:basedOn w:val="47"/>
    <w:link w:val="3"/>
    <w:autoRedefine/>
    <w:qFormat/>
    <w:uiPriority w:val="0"/>
    <w:rPr>
      <w:rFonts w:ascii="Times New Roman" w:hAnsi="Times New Roman" w:eastAsia="宋体" w:cs="Times New Roman"/>
      <w:b/>
      <w:bCs/>
      <w:kern w:val="44"/>
      <w:sz w:val="32"/>
      <w:szCs w:val="32"/>
      <w:lang w:val="zh-CN"/>
    </w:rPr>
  </w:style>
  <w:style w:type="character" w:customStyle="1" w:styleId="60">
    <w:name w:val="标题 2 字符"/>
    <w:basedOn w:val="47"/>
    <w:link w:val="4"/>
    <w:autoRedefine/>
    <w:qFormat/>
    <w:uiPriority w:val="0"/>
    <w:rPr>
      <w:rFonts w:ascii="Cambria" w:hAnsi="Cambria" w:eastAsia="宋体" w:cs="Times New Roman"/>
      <w:b/>
      <w:bCs/>
      <w:kern w:val="0"/>
      <w:sz w:val="30"/>
      <w:szCs w:val="30"/>
      <w:lang w:val="zh-CN"/>
    </w:rPr>
  </w:style>
  <w:style w:type="paragraph" w:customStyle="1" w:styleId="61">
    <w:name w:val="标题 31"/>
    <w:basedOn w:val="1"/>
    <w:next w:val="8"/>
    <w:autoRedefine/>
    <w:qFormat/>
    <w:uiPriority w:val="0"/>
    <w:pPr>
      <w:keepNext/>
      <w:keepLines/>
      <w:spacing w:before="260" w:line="416" w:lineRule="auto"/>
      <w:outlineLvl w:val="2"/>
    </w:pPr>
    <w:rPr>
      <w:rFonts w:ascii="宋体" w:hAnsi="宋体" w:cs="Times New Roman"/>
      <w:b/>
      <w:bCs/>
      <w:spacing w:val="1"/>
      <w:sz w:val="28"/>
      <w:szCs w:val="32"/>
      <w:lang w:val="zh-CN"/>
    </w:rPr>
  </w:style>
  <w:style w:type="character" w:customStyle="1" w:styleId="62">
    <w:name w:val="标题 4 字符"/>
    <w:basedOn w:val="47"/>
    <w:link w:val="6"/>
    <w:autoRedefine/>
    <w:qFormat/>
    <w:uiPriority w:val="0"/>
    <w:rPr>
      <w:rFonts w:ascii="宋体" w:hAnsi="宋体" w:eastAsia="宋体" w:cs="Times New Roman"/>
      <w:b/>
      <w:kern w:val="0"/>
      <w:sz w:val="24"/>
      <w:szCs w:val="24"/>
      <w:lang w:val="zh-CN"/>
    </w:rPr>
  </w:style>
  <w:style w:type="character" w:customStyle="1" w:styleId="63">
    <w:name w:val="标题 5 字符"/>
    <w:basedOn w:val="47"/>
    <w:link w:val="7"/>
    <w:autoRedefine/>
    <w:qFormat/>
    <w:uiPriority w:val="0"/>
    <w:rPr>
      <w:rFonts w:ascii="Arial" w:hAnsi="Arial" w:eastAsia="宋体" w:cs="Times New Roman"/>
      <w:sz w:val="24"/>
      <w:szCs w:val="24"/>
    </w:rPr>
  </w:style>
  <w:style w:type="character" w:customStyle="1" w:styleId="64">
    <w:name w:val="标题 6 字符"/>
    <w:basedOn w:val="47"/>
    <w:link w:val="9"/>
    <w:autoRedefine/>
    <w:qFormat/>
    <w:uiPriority w:val="0"/>
    <w:rPr>
      <w:rFonts w:ascii="Arial" w:hAnsi="Arial" w:eastAsia="黑体" w:cs="Times New Roman"/>
      <w:b/>
      <w:bCs/>
      <w:sz w:val="24"/>
      <w:szCs w:val="24"/>
    </w:rPr>
  </w:style>
  <w:style w:type="character" w:customStyle="1" w:styleId="65">
    <w:name w:val="标题 7 字符"/>
    <w:basedOn w:val="47"/>
    <w:link w:val="10"/>
    <w:autoRedefine/>
    <w:qFormat/>
    <w:uiPriority w:val="0"/>
    <w:rPr>
      <w:rFonts w:ascii="Times New Roman" w:hAnsi="Times New Roman" w:eastAsia="宋体" w:cs="Times New Roman"/>
      <w:b/>
      <w:sz w:val="24"/>
      <w:szCs w:val="20"/>
    </w:rPr>
  </w:style>
  <w:style w:type="character" w:customStyle="1" w:styleId="66">
    <w:name w:val="标题 8 字符"/>
    <w:basedOn w:val="47"/>
    <w:link w:val="11"/>
    <w:autoRedefine/>
    <w:qFormat/>
    <w:uiPriority w:val="0"/>
    <w:rPr>
      <w:rFonts w:ascii="Arial" w:hAnsi="Arial" w:eastAsia="黑体" w:cs="Times New Roman"/>
      <w:sz w:val="24"/>
      <w:szCs w:val="20"/>
    </w:rPr>
  </w:style>
  <w:style w:type="character" w:customStyle="1" w:styleId="67">
    <w:name w:val="标题 9 字符"/>
    <w:basedOn w:val="47"/>
    <w:link w:val="12"/>
    <w:autoRedefine/>
    <w:qFormat/>
    <w:uiPriority w:val="0"/>
    <w:rPr>
      <w:rFonts w:ascii="Arial" w:hAnsi="Arial" w:eastAsia="黑体" w:cs="Times New Roman"/>
      <w:szCs w:val="20"/>
    </w:rPr>
  </w:style>
  <w:style w:type="character" w:customStyle="1" w:styleId="68">
    <w:name w:val="标题 3 字符"/>
    <w:basedOn w:val="47"/>
    <w:link w:val="5"/>
    <w:autoRedefine/>
    <w:qFormat/>
    <w:uiPriority w:val="0"/>
    <w:rPr>
      <w:rFonts w:ascii="宋体" w:hAnsi="宋体" w:eastAsia="宋体"/>
      <w:b/>
      <w:bCs/>
      <w:spacing w:val="1"/>
      <w:sz w:val="28"/>
      <w:szCs w:val="32"/>
      <w:lang w:val="zh-CN"/>
    </w:rPr>
  </w:style>
  <w:style w:type="character" w:customStyle="1" w:styleId="69">
    <w:name w:val="文档结构图 字符"/>
    <w:basedOn w:val="47"/>
    <w:link w:val="16"/>
    <w:autoRedefine/>
    <w:qFormat/>
    <w:uiPriority w:val="0"/>
    <w:rPr>
      <w:rFonts w:ascii="宋体" w:hAnsi="Times New Roman" w:eastAsia="宋体" w:cs="Times New Roman"/>
      <w:kern w:val="0"/>
      <w:sz w:val="18"/>
      <w:szCs w:val="18"/>
      <w:lang w:val="zh-CN"/>
    </w:rPr>
  </w:style>
  <w:style w:type="character" w:customStyle="1" w:styleId="70">
    <w:name w:val="批注文字 字符"/>
    <w:basedOn w:val="47"/>
    <w:link w:val="17"/>
    <w:autoRedefine/>
    <w:qFormat/>
    <w:uiPriority w:val="0"/>
    <w:rPr>
      <w:rFonts w:ascii="Times New Roman" w:hAnsi="Times New Roman" w:eastAsia="宋体" w:cs="Times New Roman"/>
      <w:szCs w:val="24"/>
      <w:lang w:val="zh-CN"/>
    </w:rPr>
  </w:style>
  <w:style w:type="character" w:customStyle="1" w:styleId="71">
    <w:name w:val="称呼 字符"/>
    <w:basedOn w:val="47"/>
    <w:link w:val="18"/>
    <w:autoRedefine/>
    <w:qFormat/>
    <w:uiPriority w:val="0"/>
    <w:rPr>
      <w:rFonts w:ascii="Calibri" w:hAnsi="Calibri" w:eastAsia="宋体" w:cs="Times New Roman"/>
      <w:kern w:val="0"/>
      <w:sz w:val="32"/>
      <w:szCs w:val="24"/>
    </w:rPr>
  </w:style>
  <w:style w:type="character" w:customStyle="1" w:styleId="72">
    <w:name w:val="正文文本 3 字符"/>
    <w:basedOn w:val="47"/>
    <w:link w:val="19"/>
    <w:autoRedefine/>
    <w:qFormat/>
    <w:uiPriority w:val="0"/>
    <w:rPr>
      <w:rFonts w:ascii="Times New Roman" w:hAnsi="Times New Roman" w:eastAsia="宋体" w:cs="Times New Roman"/>
      <w:kern w:val="0"/>
      <w:sz w:val="16"/>
      <w:szCs w:val="16"/>
      <w:lang w:val="zh-CN"/>
    </w:rPr>
  </w:style>
  <w:style w:type="character" w:customStyle="1" w:styleId="73">
    <w:name w:val="正文文本 字符"/>
    <w:basedOn w:val="47"/>
    <w:link w:val="20"/>
    <w:autoRedefine/>
    <w:qFormat/>
    <w:uiPriority w:val="99"/>
    <w:rPr>
      <w:rFonts w:ascii="Times New Roman" w:hAnsi="Times New Roman" w:eastAsia="宋体" w:cs="Times New Roman"/>
      <w:b/>
      <w:bCs/>
      <w:szCs w:val="24"/>
    </w:rPr>
  </w:style>
  <w:style w:type="character" w:customStyle="1" w:styleId="74">
    <w:name w:val="正文文本缩进 字符"/>
    <w:basedOn w:val="47"/>
    <w:link w:val="21"/>
    <w:autoRedefine/>
    <w:qFormat/>
    <w:uiPriority w:val="0"/>
    <w:rPr>
      <w:rFonts w:ascii="宋体" w:hAnsi="Times New Roman" w:eastAsia="宋体" w:cs="Times New Roman"/>
      <w:sz w:val="30"/>
      <w:szCs w:val="20"/>
      <w:lang w:val="zh-CN"/>
    </w:rPr>
  </w:style>
  <w:style w:type="character" w:customStyle="1" w:styleId="75">
    <w:name w:val="纯文本 字符"/>
    <w:basedOn w:val="47"/>
    <w:link w:val="2"/>
    <w:autoRedefine/>
    <w:qFormat/>
    <w:uiPriority w:val="0"/>
    <w:rPr>
      <w:rFonts w:ascii="宋体" w:hAnsi="Courier New" w:eastAsia="宋体" w:cs="Times New Roman"/>
      <w:szCs w:val="20"/>
      <w:lang w:val="zh-CN"/>
    </w:rPr>
  </w:style>
  <w:style w:type="character" w:customStyle="1" w:styleId="76">
    <w:name w:val="日期 字符"/>
    <w:basedOn w:val="47"/>
    <w:link w:val="27"/>
    <w:autoRedefine/>
    <w:qFormat/>
    <w:uiPriority w:val="0"/>
    <w:rPr>
      <w:rFonts w:ascii="Calibri" w:hAnsi="Calibri" w:eastAsia="宋体" w:cs="Times New Roman"/>
      <w:kern w:val="0"/>
      <w:sz w:val="20"/>
      <w:szCs w:val="24"/>
    </w:rPr>
  </w:style>
  <w:style w:type="character" w:customStyle="1" w:styleId="77">
    <w:name w:val="正文文本缩进 2 字符"/>
    <w:basedOn w:val="47"/>
    <w:link w:val="28"/>
    <w:autoRedefine/>
    <w:qFormat/>
    <w:uiPriority w:val="0"/>
    <w:rPr>
      <w:rFonts w:ascii="Times New Roman" w:hAnsi="Times New Roman" w:eastAsia="Courier New" w:cs="Times New Roman"/>
      <w:kern w:val="0"/>
      <w:sz w:val="20"/>
      <w:szCs w:val="20"/>
      <w:lang w:val="zh-CN"/>
    </w:rPr>
  </w:style>
  <w:style w:type="character" w:customStyle="1" w:styleId="78">
    <w:name w:val="批注框文本 字符"/>
    <w:basedOn w:val="47"/>
    <w:link w:val="29"/>
    <w:autoRedefine/>
    <w:qFormat/>
    <w:uiPriority w:val="0"/>
    <w:rPr>
      <w:rFonts w:ascii="Times New Roman" w:hAnsi="Times New Roman" w:eastAsia="宋体" w:cs="Times New Roman"/>
      <w:sz w:val="18"/>
      <w:szCs w:val="18"/>
      <w:lang w:val="zh-CN"/>
    </w:rPr>
  </w:style>
  <w:style w:type="character" w:customStyle="1" w:styleId="79">
    <w:name w:val="正文文本缩进 3 字符"/>
    <w:basedOn w:val="47"/>
    <w:link w:val="35"/>
    <w:autoRedefine/>
    <w:qFormat/>
    <w:uiPriority w:val="0"/>
    <w:rPr>
      <w:rFonts w:ascii="Calibri" w:hAnsi="Calibri" w:eastAsia="宋体" w:cs="Times New Roman"/>
      <w:kern w:val="0"/>
      <w:sz w:val="16"/>
      <w:szCs w:val="20"/>
    </w:rPr>
  </w:style>
  <w:style w:type="character" w:customStyle="1" w:styleId="80">
    <w:name w:val="正文文本 2 字符"/>
    <w:basedOn w:val="47"/>
    <w:link w:val="38"/>
    <w:autoRedefine/>
    <w:qFormat/>
    <w:uiPriority w:val="0"/>
    <w:rPr>
      <w:rFonts w:ascii="Times New Roman" w:hAnsi="Times New Roman" w:eastAsia="宋体" w:cs="Times New Roman"/>
      <w:kern w:val="0"/>
      <w:sz w:val="20"/>
      <w:szCs w:val="24"/>
      <w:lang w:val="zh-CN"/>
    </w:rPr>
  </w:style>
  <w:style w:type="character" w:customStyle="1" w:styleId="81">
    <w:name w:val="HTML 预设格式 字符"/>
    <w:basedOn w:val="47"/>
    <w:link w:val="39"/>
    <w:autoRedefine/>
    <w:qFormat/>
    <w:uiPriority w:val="0"/>
    <w:rPr>
      <w:rFonts w:ascii="Calibri" w:hAnsi="Calibri" w:eastAsia="宋体" w:cs="Times New Roman"/>
      <w:kern w:val="0"/>
      <w:sz w:val="20"/>
      <w:szCs w:val="21"/>
    </w:rPr>
  </w:style>
  <w:style w:type="character" w:customStyle="1" w:styleId="82">
    <w:name w:val="标题 字符"/>
    <w:basedOn w:val="47"/>
    <w:link w:val="41"/>
    <w:autoRedefine/>
    <w:qFormat/>
    <w:uiPriority w:val="0"/>
    <w:rPr>
      <w:rFonts w:ascii="Arial" w:hAnsi="Arial" w:eastAsia="宋体" w:cs="Times New Roman"/>
      <w:b/>
      <w:bCs/>
      <w:kern w:val="0"/>
      <w:sz w:val="32"/>
      <w:szCs w:val="32"/>
      <w:lang w:val="zh-CN"/>
    </w:rPr>
  </w:style>
  <w:style w:type="character" w:customStyle="1" w:styleId="83">
    <w:name w:val="批注主题 字符"/>
    <w:basedOn w:val="70"/>
    <w:link w:val="42"/>
    <w:autoRedefine/>
    <w:qFormat/>
    <w:uiPriority w:val="0"/>
    <w:rPr>
      <w:rFonts w:ascii="Times New Roman" w:hAnsi="Times New Roman" w:eastAsia="宋体" w:cs="Times New Roman"/>
      <w:b/>
      <w:bCs/>
      <w:szCs w:val="24"/>
      <w:lang w:val="zh-CN"/>
    </w:rPr>
  </w:style>
  <w:style w:type="character" w:customStyle="1" w:styleId="84">
    <w:name w:val="正文首行缩进 字符"/>
    <w:basedOn w:val="73"/>
    <w:link w:val="43"/>
    <w:autoRedefine/>
    <w:qFormat/>
    <w:uiPriority w:val="0"/>
    <w:rPr>
      <w:rFonts w:ascii="Times New Roman" w:hAnsi="Times New Roman" w:eastAsia="宋体" w:cs="Times New Roman"/>
      <w:b w:val="0"/>
      <w:bCs w:val="0"/>
      <w:kern w:val="0"/>
      <w:sz w:val="20"/>
      <w:szCs w:val="20"/>
    </w:rPr>
  </w:style>
  <w:style w:type="character" w:customStyle="1" w:styleId="85">
    <w:name w:val="正文首行缩进 2 字符"/>
    <w:basedOn w:val="74"/>
    <w:link w:val="44"/>
    <w:autoRedefine/>
    <w:qFormat/>
    <w:uiPriority w:val="0"/>
    <w:rPr>
      <w:rFonts w:ascii="Times New Roman" w:hAnsi="Times New Roman" w:eastAsia="宋体" w:cs="Times New Roman"/>
      <w:kern w:val="0"/>
      <w:sz w:val="20"/>
      <w:szCs w:val="24"/>
      <w:lang w:val="zh-CN"/>
    </w:rPr>
  </w:style>
  <w:style w:type="character" w:customStyle="1" w:styleId="86">
    <w:name w:val="访问过的超链接1"/>
    <w:basedOn w:val="47"/>
    <w:autoRedefine/>
    <w:semiHidden/>
    <w:unhideWhenUsed/>
    <w:qFormat/>
    <w:uiPriority w:val="99"/>
    <w:rPr>
      <w:color w:val="800080"/>
      <w:u w:val="single"/>
    </w:rPr>
  </w:style>
  <w:style w:type="character" w:customStyle="1" w:styleId="87">
    <w:name w:val="正文缩进 字符"/>
    <w:link w:val="8"/>
    <w:autoRedefine/>
    <w:qFormat/>
    <w:uiPriority w:val="0"/>
    <w:rPr>
      <w:rFonts w:ascii="Times New Roman" w:hAnsi="Times New Roman" w:eastAsia="宋体" w:cs="Times New Roman"/>
      <w:szCs w:val="24"/>
    </w:rPr>
  </w:style>
  <w:style w:type="paragraph" w:customStyle="1" w:styleId="88">
    <w:name w:val="_Style 75"/>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9">
    <w:name w:val="插图名称 Char Char"/>
    <w:link w:val="90"/>
    <w:autoRedefine/>
    <w:qFormat/>
    <w:uiPriority w:val="0"/>
    <w:rPr>
      <w:rFonts w:eastAsia="Times New Roman"/>
      <w:szCs w:val="24"/>
    </w:rPr>
  </w:style>
  <w:style w:type="paragraph" w:customStyle="1" w:styleId="90">
    <w:name w:val="插图名称"/>
    <w:link w:val="89"/>
    <w:autoRedefine/>
    <w:qFormat/>
    <w:uiPriority w:val="0"/>
    <w:pPr>
      <w:jc w:val="center"/>
      <w:outlineLvl w:val="8"/>
    </w:pPr>
    <w:rPr>
      <w:rFonts w:eastAsia="Times New Roman" w:asciiTheme="minorHAnsi" w:hAnsiTheme="minorHAnsi" w:cstheme="minorBidi"/>
      <w:kern w:val="2"/>
      <w:sz w:val="21"/>
      <w:szCs w:val="24"/>
      <w:lang w:val="en-US" w:eastAsia="zh-CN" w:bidi="ar-SA"/>
    </w:rPr>
  </w:style>
  <w:style w:type="character" w:customStyle="1" w:styleId="91">
    <w:name w:val="表格文字 Char"/>
    <w:autoRedefine/>
    <w:qFormat/>
    <w:uiPriority w:val="0"/>
    <w:rPr>
      <w:rFonts w:ascii="宋体" w:hAnsi="Courier New"/>
    </w:rPr>
  </w:style>
  <w:style w:type="character" w:customStyle="1" w:styleId="92">
    <w:name w:val="19"/>
    <w:autoRedefine/>
    <w:qFormat/>
    <w:uiPriority w:val="0"/>
    <w:rPr>
      <w:rFonts w:hint="default" w:ascii="Calibri" w:hAnsi="Calibri" w:cs="Calibri"/>
      <w:b/>
      <w:bCs/>
      <w:kern w:val="44"/>
      <w:sz w:val="44"/>
      <w:szCs w:val="44"/>
    </w:rPr>
  </w:style>
  <w:style w:type="character" w:customStyle="1" w:styleId="93">
    <w:name w:val="17"/>
    <w:autoRedefine/>
    <w:qFormat/>
    <w:uiPriority w:val="0"/>
    <w:rPr>
      <w:rFonts w:hint="default" w:ascii="Calibri" w:hAnsi="Calibri" w:cs="Calibri"/>
    </w:rPr>
  </w:style>
  <w:style w:type="character" w:customStyle="1" w:styleId="94">
    <w:name w:val="Char Char10"/>
    <w:autoRedefine/>
    <w:qFormat/>
    <w:uiPriority w:val="0"/>
    <w:rPr>
      <w:rFonts w:ascii="宋体" w:hAnsi="Courier New" w:eastAsia="宋体" w:cs="Times New Roman"/>
      <w:szCs w:val="20"/>
    </w:rPr>
  </w:style>
  <w:style w:type="character" w:customStyle="1" w:styleId="95">
    <w:name w:val="3eee Char Char"/>
    <w:link w:val="96"/>
    <w:autoRedefine/>
    <w:qFormat/>
    <w:uiPriority w:val="0"/>
    <w:rPr>
      <w:rFonts w:ascii="Courier New" w:hAnsi="Courier New" w:eastAsia="Courier New"/>
      <w:sz w:val="24"/>
      <w:szCs w:val="24"/>
    </w:rPr>
  </w:style>
  <w:style w:type="paragraph" w:customStyle="1" w:styleId="96">
    <w:name w:val="3eee"/>
    <w:basedOn w:val="1"/>
    <w:link w:val="95"/>
    <w:autoRedefine/>
    <w:qFormat/>
    <w:uiPriority w:val="0"/>
    <w:pPr>
      <w:spacing w:line="440" w:lineRule="exact"/>
      <w:ind w:firstLine="480" w:firstLineChars="200"/>
    </w:pPr>
    <w:rPr>
      <w:rFonts w:ascii="Courier New" w:hAnsi="Courier New" w:eastAsia="Courier New"/>
      <w:sz w:val="24"/>
      <w:szCs w:val="24"/>
    </w:rPr>
  </w:style>
  <w:style w:type="character" w:customStyle="1" w:styleId="97">
    <w:name w:val="样式 宋体 小四 Char Char"/>
    <w:link w:val="98"/>
    <w:autoRedefine/>
    <w:qFormat/>
    <w:uiPriority w:val="0"/>
    <w:rPr>
      <w:rFonts w:ascii="Courier New" w:hAnsi="Courier New" w:eastAsia="Courier New"/>
      <w:sz w:val="24"/>
    </w:rPr>
  </w:style>
  <w:style w:type="paragraph" w:customStyle="1" w:styleId="98">
    <w:name w:val="样式 宋体 小四"/>
    <w:basedOn w:val="1"/>
    <w:link w:val="97"/>
    <w:autoRedefine/>
    <w:qFormat/>
    <w:uiPriority w:val="0"/>
    <w:pPr>
      <w:adjustRightInd w:val="0"/>
      <w:snapToGrid w:val="0"/>
      <w:spacing w:line="480" w:lineRule="exact"/>
      <w:ind w:firstLine="200" w:firstLineChars="200"/>
    </w:pPr>
    <w:rPr>
      <w:rFonts w:ascii="Courier New" w:hAnsi="Courier New" w:eastAsia="Courier New"/>
      <w:sz w:val="24"/>
    </w:rPr>
  </w:style>
  <w:style w:type="character" w:customStyle="1" w:styleId="99">
    <w:name w:val="Default Paragraph Font New"/>
    <w:autoRedefine/>
    <w:qFormat/>
    <w:uiPriority w:val="0"/>
    <w:rPr>
      <w:rFonts w:hint="default"/>
    </w:rPr>
  </w:style>
  <w:style w:type="character" w:customStyle="1" w:styleId="100">
    <w:name w:val="文一 Char Char"/>
    <w:link w:val="101"/>
    <w:autoRedefine/>
    <w:qFormat/>
    <w:uiPriority w:val="0"/>
    <w:rPr>
      <w:spacing w:val="4"/>
      <w:sz w:val="24"/>
      <w:szCs w:val="24"/>
    </w:rPr>
  </w:style>
  <w:style w:type="paragraph" w:customStyle="1" w:styleId="101">
    <w:name w:val="文一"/>
    <w:basedOn w:val="1"/>
    <w:link w:val="100"/>
    <w:autoRedefine/>
    <w:qFormat/>
    <w:uiPriority w:val="0"/>
    <w:pPr>
      <w:topLinePunct/>
      <w:adjustRightInd w:val="0"/>
      <w:snapToGrid w:val="0"/>
      <w:spacing w:line="360" w:lineRule="auto"/>
      <w:ind w:firstLine="200" w:firstLineChars="200"/>
    </w:pPr>
    <w:rPr>
      <w:spacing w:val="4"/>
      <w:sz w:val="24"/>
      <w:szCs w:val="24"/>
    </w:rPr>
  </w:style>
  <w:style w:type="character" w:customStyle="1" w:styleId="102">
    <w:name w:val="无间隔 Char Char"/>
    <w:link w:val="103"/>
    <w:autoRedefine/>
    <w:qFormat/>
    <w:uiPriority w:val="0"/>
    <w:rPr>
      <w:szCs w:val="24"/>
    </w:rPr>
  </w:style>
  <w:style w:type="paragraph" w:customStyle="1" w:styleId="103">
    <w:name w:val="无间隔1"/>
    <w:link w:val="10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04">
    <w:name w:val="18"/>
    <w:autoRedefine/>
    <w:qFormat/>
    <w:uiPriority w:val="0"/>
    <w:rPr>
      <w:rFonts w:hint="default" w:ascii="Calibri" w:hAnsi="Calibri" w:cs="Calibri"/>
      <w:b/>
      <w:bCs/>
      <w:sz w:val="30"/>
      <w:szCs w:val="30"/>
    </w:rPr>
  </w:style>
  <w:style w:type="character" w:customStyle="1" w:styleId="105">
    <w:name w:val="16"/>
    <w:autoRedefine/>
    <w:qFormat/>
    <w:uiPriority w:val="0"/>
    <w:rPr>
      <w:rFonts w:hint="default" w:ascii="Calibri" w:hAnsi="Calibri" w:cs="Calibri"/>
      <w:color w:val="0000FF"/>
      <w:u w:val="single"/>
    </w:rPr>
  </w:style>
  <w:style w:type="character" w:customStyle="1" w:styleId="106">
    <w:name w:val="样式3 Char Char"/>
    <w:link w:val="107"/>
    <w:autoRedefine/>
    <w:qFormat/>
    <w:uiPriority w:val="0"/>
    <w:rPr>
      <w:rFonts w:eastAsia="Times New Roman"/>
      <w:b/>
      <w:sz w:val="24"/>
    </w:rPr>
  </w:style>
  <w:style w:type="paragraph" w:customStyle="1" w:styleId="107">
    <w:name w:val="样式3"/>
    <w:link w:val="106"/>
    <w:autoRedefine/>
    <w:qFormat/>
    <w:uiPriority w:val="0"/>
    <w:pPr>
      <w:tabs>
        <w:tab w:val="left" w:pos="1140"/>
      </w:tabs>
      <w:spacing w:line="480" w:lineRule="exact"/>
      <w:ind w:left="1140" w:hanging="720"/>
    </w:pPr>
    <w:rPr>
      <w:rFonts w:eastAsia="Times New Roman" w:asciiTheme="minorHAnsi" w:hAnsiTheme="minorHAnsi" w:cstheme="minorBidi"/>
      <w:b/>
      <w:kern w:val="2"/>
      <w:sz w:val="24"/>
      <w:szCs w:val="22"/>
      <w:lang w:val="en-US" w:eastAsia="zh-CN" w:bidi="ar-SA"/>
    </w:rPr>
  </w:style>
  <w:style w:type="character" w:customStyle="1" w:styleId="108">
    <w:name w:val="一级标题 Char Char"/>
    <w:link w:val="109"/>
    <w:autoRedefine/>
    <w:qFormat/>
    <w:uiPriority w:val="0"/>
    <w:rPr>
      <w:b/>
      <w:sz w:val="30"/>
      <w:szCs w:val="30"/>
    </w:rPr>
  </w:style>
  <w:style w:type="paragraph" w:customStyle="1" w:styleId="109">
    <w:name w:val="一级标题"/>
    <w:basedOn w:val="1"/>
    <w:link w:val="108"/>
    <w:autoRedefine/>
    <w:qFormat/>
    <w:uiPriority w:val="0"/>
    <w:pPr>
      <w:spacing w:line="360" w:lineRule="auto"/>
      <w:outlineLvl w:val="0"/>
    </w:pPr>
    <w:rPr>
      <w:b/>
      <w:sz w:val="30"/>
      <w:szCs w:val="30"/>
    </w:rPr>
  </w:style>
  <w:style w:type="character" w:customStyle="1" w:styleId="110">
    <w:name w:val="Default Paragraph Font New New New"/>
    <w:autoRedefine/>
    <w:qFormat/>
    <w:uiPriority w:val="0"/>
    <w:rPr>
      <w:rFonts w:hint="default"/>
    </w:rPr>
  </w:style>
  <w:style w:type="character" w:customStyle="1" w:styleId="111">
    <w:name w:val="默认段落字体1"/>
    <w:autoRedefine/>
    <w:qFormat/>
    <w:uiPriority w:val="0"/>
    <w:rPr>
      <w:rFonts w:hint="default"/>
    </w:rPr>
  </w:style>
  <w:style w:type="character" w:customStyle="1" w:styleId="112">
    <w:name w:val="正文(仿)首缩 Char"/>
    <w:link w:val="113"/>
    <w:autoRedefine/>
    <w:qFormat/>
    <w:uiPriority w:val="0"/>
    <w:rPr>
      <w:rFonts w:ascii="仿宋_GB2312" w:eastAsia="仿宋_GB2312"/>
      <w:sz w:val="28"/>
    </w:rPr>
  </w:style>
  <w:style w:type="paragraph" w:customStyle="1" w:styleId="113">
    <w:name w:val="正文(仿)首缩"/>
    <w:basedOn w:val="1"/>
    <w:link w:val="112"/>
    <w:autoRedefine/>
    <w:qFormat/>
    <w:uiPriority w:val="0"/>
    <w:pPr>
      <w:ind w:firstLine="554" w:firstLineChars="200"/>
    </w:pPr>
    <w:rPr>
      <w:rFonts w:ascii="仿宋_GB2312" w:eastAsia="仿宋_GB2312"/>
      <w:sz w:val="28"/>
    </w:rPr>
  </w:style>
  <w:style w:type="character" w:customStyle="1" w:styleId="114">
    <w:name w:val="表格00 Char1"/>
    <w:link w:val="115"/>
    <w:autoRedefine/>
    <w:qFormat/>
    <w:uiPriority w:val="0"/>
    <w:rPr>
      <w:rFonts w:eastAsia="Times New Roman"/>
      <w:szCs w:val="21"/>
    </w:rPr>
  </w:style>
  <w:style w:type="paragraph" w:customStyle="1" w:styleId="115">
    <w:name w:val="表格00"/>
    <w:link w:val="114"/>
    <w:autoRedefine/>
    <w:qFormat/>
    <w:uiPriority w:val="0"/>
    <w:pPr>
      <w:widowControl w:val="0"/>
      <w:adjustRightInd w:val="0"/>
      <w:spacing w:line="140" w:lineRule="atLeast"/>
      <w:jc w:val="center"/>
      <w:outlineLvl w:val="8"/>
    </w:pPr>
    <w:rPr>
      <w:rFonts w:eastAsia="Times New Roman" w:asciiTheme="minorHAnsi" w:hAnsiTheme="minorHAnsi" w:cstheme="minorBidi"/>
      <w:kern w:val="2"/>
      <w:sz w:val="21"/>
      <w:szCs w:val="21"/>
      <w:lang w:val="en-US" w:eastAsia="zh-CN" w:bidi="ar-SA"/>
    </w:rPr>
  </w:style>
  <w:style w:type="character" w:customStyle="1" w:styleId="116">
    <w:name w:val="样式 小四 首行缩进:  0.85 厘米 行距: 1.5 倍行距 Char1"/>
    <w:link w:val="117"/>
    <w:autoRedefine/>
    <w:qFormat/>
    <w:uiPriority w:val="0"/>
    <w:rPr>
      <w:rFonts w:ascii="Courier New" w:hAnsi="Courier New" w:eastAsia="Courier New"/>
      <w:bCs/>
      <w:sz w:val="24"/>
      <w:szCs w:val="28"/>
    </w:rPr>
  </w:style>
  <w:style w:type="paragraph" w:customStyle="1" w:styleId="117">
    <w:name w:val="样式 小四 首行缩进:  0.85 厘米 行距: 1.5 倍行距"/>
    <w:basedOn w:val="1"/>
    <w:next w:val="1"/>
    <w:link w:val="116"/>
    <w:autoRedefine/>
    <w:qFormat/>
    <w:uiPriority w:val="0"/>
    <w:pPr>
      <w:spacing w:line="360" w:lineRule="auto"/>
      <w:ind w:firstLine="480"/>
    </w:pPr>
    <w:rPr>
      <w:rFonts w:ascii="Courier New" w:hAnsi="Courier New" w:eastAsia="Courier New"/>
      <w:bCs/>
      <w:sz w:val="24"/>
      <w:szCs w:val="28"/>
    </w:rPr>
  </w:style>
  <w:style w:type="character" w:customStyle="1" w:styleId="118">
    <w:name w:val="Default Paragraph Font New New"/>
    <w:autoRedefine/>
    <w:qFormat/>
    <w:uiPriority w:val="0"/>
    <w:rPr>
      <w:rFonts w:hint="default"/>
    </w:rPr>
  </w:style>
  <w:style w:type="character" w:customStyle="1" w:styleId="119">
    <w:name w:val="泉州师院正文 Char Char"/>
    <w:link w:val="120"/>
    <w:autoRedefine/>
    <w:qFormat/>
    <w:uiPriority w:val="0"/>
    <w:rPr>
      <w:sz w:val="24"/>
      <w:szCs w:val="24"/>
    </w:rPr>
  </w:style>
  <w:style w:type="paragraph" w:customStyle="1" w:styleId="120">
    <w:name w:val="泉州师院正文"/>
    <w:basedOn w:val="1"/>
    <w:link w:val="119"/>
    <w:autoRedefine/>
    <w:qFormat/>
    <w:uiPriority w:val="0"/>
    <w:pPr>
      <w:spacing w:line="360" w:lineRule="auto"/>
      <w:ind w:firstLine="480" w:firstLineChars="200"/>
    </w:pPr>
    <w:rPr>
      <w:sz w:val="24"/>
      <w:szCs w:val="24"/>
    </w:rPr>
  </w:style>
  <w:style w:type="character" w:customStyle="1" w:styleId="121">
    <w:name w:val="10"/>
    <w:autoRedefine/>
    <w:qFormat/>
    <w:uiPriority w:val="0"/>
    <w:rPr>
      <w:rFonts w:hint="default" w:ascii="Calibri" w:hAnsi="Calibri" w:cs="Calibri"/>
    </w:rPr>
  </w:style>
  <w:style w:type="character" w:customStyle="1" w:styleId="122">
    <w:name w:val="15"/>
    <w:autoRedefine/>
    <w:qFormat/>
    <w:uiPriority w:val="0"/>
    <w:rPr>
      <w:rFonts w:hint="default" w:ascii="Calibri" w:hAnsi="Calibri" w:cs="Calibri"/>
      <w:color w:val="0000FF"/>
      <w:u w:val="single"/>
    </w:rPr>
  </w:style>
  <w:style w:type="paragraph" w:customStyle="1" w:styleId="123">
    <w:name w:val="Normal New New"/>
    <w:autoRedefine/>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124">
    <w:name w:val="正题"/>
    <w:basedOn w:val="101"/>
    <w:next w:val="101"/>
    <w:autoRedefine/>
    <w:qFormat/>
    <w:uiPriority w:val="0"/>
    <w:pPr>
      <w:ind w:firstLine="0" w:firstLineChars="0"/>
      <w:jc w:val="center"/>
    </w:pPr>
    <w:rPr>
      <w:rFonts w:ascii="等线" w:hAnsi="等线" w:eastAsia="黑体"/>
      <w:b/>
      <w:snapToGrid w:val="0"/>
      <w:sz w:val="36"/>
      <w:szCs w:val="36"/>
    </w:rPr>
  </w:style>
  <w:style w:type="paragraph" w:customStyle="1" w:styleId="125">
    <w:name w:val="列出段落1"/>
    <w:basedOn w:val="1"/>
    <w:autoRedefine/>
    <w:qFormat/>
    <w:uiPriority w:val="0"/>
    <w:pPr>
      <w:ind w:firstLine="420" w:firstLineChars="200"/>
    </w:pPr>
    <w:rPr>
      <w:rFonts w:ascii="Calibri" w:hAnsi="Calibri" w:eastAsia="宋体" w:cs="Times New Roman"/>
    </w:rPr>
  </w:style>
  <w:style w:type="paragraph" w:customStyle="1" w:styleId="126">
    <w:name w:val="Table Paragraph"/>
    <w:basedOn w:val="1"/>
    <w:autoRedefine/>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127">
    <w:name w:val="Char Char Char Char Char Char Char"/>
    <w:basedOn w:val="1"/>
    <w:autoRedefine/>
    <w:qFormat/>
    <w:uiPriority w:val="0"/>
    <w:pPr>
      <w:tabs>
        <w:tab w:val="left" w:pos="425"/>
      </w:tabs>
      <w:ind w:left="425" w:hanging="425"/>
    </w:pPr>
    <w:rPr>
      <w:rFonts w:ascii="Times New Roman" w:hAnsi="Times New Roman" w:eastAsia="仿宋_GB2312" w:cs="Times New Roman"/>
      <w:kern w:val="24"/>
      <w:sz w:val="24"/>
      <w:szCs w:val="24"/>
    </w:rPr>
  </w:style>
  <w:style w:type="paragraph" w:styleId="128">
    <w:name w:val="List Paragraph"/>
    <w:basedOn w:val="1"/>
    <w:autoRedefine/>
    <w:qFormat/>
    <w:uiPriority w:val="0"/>
    <w:pPr>
      <w:ind w:firstLine="420" w:firstLineChars="200"/>
    </w:pPr>
    <w:rPr>
      <w:rFonts w:ascii="Times New Roman" w:hAnsi="Times New Roman" w:eastAsia="宋体" w:cs="Times New Roman"/>
      <w:szCs w:val="24"/>
    </w:rPr>
  </w:style>
  <w:style w:type="paragraph" w:customStyle="1" w:styleId="129">
    <w:name w:val="1eee"/>
    <w:basedOn w:val="3"/>
    <w:autoRedefine/>
    <w:qFormat/>
    <w:uiPriority w:val="0"/>
    <w:rPr>
      <w:rFonts w:eastAsia="黑体" w:cs="宋体"/>
      <w:b w:val="0"/>
      <w:sz w:val="30"/>
    </w:rPr>
  </w:style>
  <w:style w:type="paragraph" w:customStyle="1" w:styleId="130">
    <w:name w:val="正文图标题"/>
    <w:next w:val="1"/>
    <w:autoRedefine/>
    <w:qFormat/>
    <w:uiPriority w:val="0"/>
    <w:pPr>
      <w:tabs>
        <w:tab w:val="left" w:pos="420"/>
      </w:tabs>
      <w:ind w:left="567" w:hanging="279"/>
      <w:jc w:val="center"/>
    </w:pPr>
    <w:rPr>
      <w:rFonts w:ascii="黑体" w:hAnsi="Times New Roman" w:eastAsia="黑体" w:cs="Times New Roman"/>
      <w:kern w:val="0"/>
      <w:sz w:val="21"/>
      <w:szCs w:val="20"/>
      <w:lang w:val="en-US" w:eastAsia="zh-CN" w:bidi="ar-SA"/>
    </w:rPr>
  </w:style>
  <w:style w:type="paragraph" w:customStyle="1" w:styleId="131">
    <w:name w:val="文二"/>
    <w:basedOn w:val="1"/>
    <w:autoRedefine/>
    <w:qFormat/>
    <w:uiPriority w:val="0"/>
    <w:pPr>
      <w:jc w:val="left"/>
    </w:pPr>
    <w:rPr>
      <w:rFonts w:ascii="宋体" w:hAnsi="宋体" w:eastAsia="宋体" w:cs="Times New Roman"/>
      <w:szCs w:val="21"/>
    </w:rPr>
  </w:style>
  <w:style w:type="paragraph" w:customStyle="1" w:styleId="132">
    <w:name w:val="公文正文"/>
    <w:autoRedefine/>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133">
    <w:name w:val="Normal New New New"/>
    <w:autoRedefine/>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134">
    <w:name w:val="发文落款"/>
    <w:basedOn w:val="132"/>
    <w:autoRedefine/>
    <w:qFormat/>
    <w:uiPriority w:val="0"/>
    <w:pPr>
      <w:ind w:left="4094" w:right="607" w:firstLine="0"/>
      <w:jc w:val="center"/>
    </w:pPr>
  </w:style>
  <w:style w:type="paragraph" w:customStyle="1" w:styleId="135">
    <w:name w:val="封一"/>
    <w:basedOn w:val="101"/>
    <w:next w:val="101"/>
    <w:autoRedefine/>
    <w:qFormat/>
    <w:uiPriority w:val="0"/>
    <w:pPr>
      <w:ind w:firstLine="0" w:firstLineChars="0"/>
      <w:jc w:val="center"/>
    </w:pPr>
    <w:rPr>
      <w:rFonts w:ascii="等线" w:hAnsi="等线" w:eastAsia="黑体"/>
      <w:b/>
      <w:snapToGrid w:val="0"/>
      <w:sz w:val="84"/>
      <w:szCs w:val="84"/>
    </w:rPr>
  </w:style>
  <w:style w:type="paragraph" w:customStyle="1" w:styleId="136">
    <w:name w:val="_Style 59"/>
    <w:autoRedefine/>
    <w:qFormat/>
    <w:uiPriority w:val="0"/>
    <w:pPr>
      <w:spacing w:after="160" w:line="240" w:lineRule="exact"/>
    </w:pPr>
    <w:rPr>
      <w:rFonts w:ascii="Times New Roman" w:hAnsi="Times New Roman" w:eastAsia="宋体" w:cs="Times New Roman"/>
      <w:kern w:val="0"/>
      <w:sz w:val="20"/>
      <w:szCs w:val="20"/>
      <w:lang w:val="en-US" w:eastAsia="zh-CN" w:bidi="ar-SA"/>
    </w:rPr>
  </w:style>
  <w:style w:type="paragraph" w:customStyle="1" w:styleId="137">
    <w:name w:val="封四"/>
    <w:basedOn w:val="101"/>
    <w:next w:val="101"/>
    <w:autoRedefine/>
    <w:qFormat/>
    <w:uiPriority w:val="0"/>
    <w:pPr>
      <w:jc w:val="left"/>
    </w:pPr>
    <w:rPr>
      <w:rFonts w:ascii="等线" w:hAnsi="等线" w:eastAsia="等线"/>
      <w:snapToGrid w:val="0"/>
      <w:sz w:val="30"/>
      <w:szCs w:val="30"/>
    </w:rPr>
  </w:style>
  <w:style w:type="paragraph" w:customStyle="1" w:styleId="138">
    <w:name w:val="正文1"/>
    <w:autoRedefine/>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139">
    <w:name w:val="Default"/>
    <w:autoRedefine/>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customStyle="1" w:styleId="140">
    <w:name w:val="Normal New"/>
    <w:autoRedefine/>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customStyle="1" w:styleId="141">
    <w:name w:val="Char Char Char Char Char Char Char1"/>
    <w:basedOn w:val="1"/>
    <w:autoRedefine/>
    <w:qFormat/>
    <w:uiPriority w:val="0"/>
    <w:pPr>
      <w:tabs>
        <w:tab w:val="left" w:pos="425"/>
      </w:tabs>
      <w:ind w:left="425" w:hanging="425"/>
    </w:pPr>
    <w:rPr>
      <w:rFonts w:ascii="Times New Roman" w:hAnsi="Times New Roman" w:eastAsia="仿宋_GB2312" w:cs="Times New Roman"/>
      <w:kern w:val="24"/>
      <w:sz w:val="24"/>
      <w:szCs w:val="24"/>
    </w:rPr>
  </w:style>
  <w:style w:type="paragraph" w:customStyle="1" w:styleId="14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43">
    <w:name w:val="封二"/>
    <w:basedOn w:val="101"/>
    <w:next w:val="101"/>
    <w:autoRedefine/>
    <w:qFormat/>
    <w:uiPriority w:val="0"/>
    <w:pPr>
      <w:ind w:firstLine="0" w:firstLineChars="0"/>
      <w:jc w:val="center"/>
    </w:pPr>
    <w:rPr>
      <w:rFonts w:ascii="等线" w:hAnsi="等线" w:eastAsia="黑体"/>
      <w:b/>
      <w:snapToGrid w:val="0"/>
      <w:sz w:val="36"/>
      <w:szCs w:val="36"/>
    </w:rPr>
  </w:style>
  <w:style w:type="paragraph" w:customStyle="1" w:styleId="144">
    <w:name w:val="样式 标题 3 + 首行缩进:  1.06 厘米"/>
    <w:basedOn w:val="5"/>
    <w:autoRedefine/>
    <w:qFormat/>
    <w:uiPriority w:val="0"/>
  </w:style>
  <w:style w:type="paragraph" w:styleId="145">
    <w:name w:val="No Spacing"/>
    <w:autoRedefine/>
    <w:qFormat/>
    <w:uiPriority w:val="0"/>
    <w:pPr>
      <w:widowControl w:val="0"/>
      <w:jc w:val="both"/>
    </w:pPr>
    <w:rPr>
      <w:rFonts w:ascii="Times New Roman" w:hAnsi="Times New Roman" w:eastAsia="Times New Roman" w:cs="Times New Roman"/>
      <w:kern w:val="2"/>
      <w:sz w:val="24"/>
      <w:szCs w:val="24"/>
      <w:lang w:val="en-US" w:eastAsia="zh-CN" w:bidi="ar-SA"/>
    </w:rPr>
  </w:style>
  <w:style w:type="paragraph" w:customStyle="1" w:styleId="146">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CM15"/>
    <w:basedOn w:val="1"/>
    <w:next w:val="1"/>
    <w:autoRedefine/>
    <w:qFormat/>
    <w:uiPriority w:val="0"/>
    <w:pPr>
      <w:autoSpaceDE w:val="0"/>
      <w:autoSpaceDN w:val="0"/>
      <w:adjustRightInd w:val="0"/>
      <w:spacing w:line="468" w:lineRule="atLeast"/>
      <w:jc w:val="left"/>
    </w:pPr>
    <w:rPr>
      <w:rFonts w:ascii="黑体" w:hAnsi="Calibri" w:eastAsia="黑体" w:cs="Times New Roman"/>
      <w:kern w:val="0"/>
      <w:sz w:val="24"/>
      <w:szCs w:val="24"/>
    </w:rPr>
  </w:style>
  <w:style w:type="paragraph" w:customStyle="1" w:styleId="148">
    <w:name w:val="TOC 标题1"/>
    <w:basedOn w:val="3"/>
    <w:next w:val="1"/>
    <w:autoRedefine/>
    <w:qFormat/>
    <w:uiPriority w:val="0"/>
    <w:pPr>
      <w:widowControl/>
      <w:spacing w:before="480" w:line="276" w:lineRule="auto"/>
      <w:jc w:val="left"/>
      <w:outlineLvl w:val="9"/>
    </w:pPr>
    <w:rPr>
      <w:rFonts w:ascii="Cambria" w:hAnsi="Cambria"/>
      <w:color w:val="365F91"/>
      <w:kern w:val="0"/>
      <w:sz w:val="28"/>
      <w:szCs w:val="28"/>
      <w:lang w:val="en-US"/>
    </w:rPr>
  </w:style>
  <w:style w:type="paragraph" w:customStyle="1" w:styleId="149">
    <w:name w:val="表格内容"/>
    <w:basedOn w:val="1"/>
    <w:autoRedefine/>
    <w:qFormat/>
    <w:uiPriority w:val="0"/>
    <w:pPr>
      <w:adjustRightInd w:val="0"/>
      <w:snapToGrid w:val="0"/>
      <w:spacing w:line="288" w:lineRule="auto"/>
      <w:jc w:val="center"/>
    </w:pPr>
    <w:rPr>
      <w:rFonts w:ascii="Times New Roman" w:hAnsi="Times New Roman" w:eastAsia="宋体" w:cs="Times New Roman"/>
      <w:szCs w:val="24"/>
    </w:rPr>
  </w:style>
  <w:style w:type="paragraph" w:customStyle="1" w:styleId="150">
    <w:name w:val="Plain Text1"/>
    <w:basedOn w:val="1"/>
    <w:autoRedefine/>
    <w:qFormat/>
    <w:uiPriority w:val="99"/>
    <w:rPr>
      <w:rFonts w:ascii="宋体" w:hAnsi="Courier New" w:eastAsia="宋体" w:cs="Times New Roman"/>
      <w:kern w:val="0"/>
      <w:sz w:val="20"/>
      <w:szCs w:val="20"/>
    </w:rPr>
  </w:style>
  <w:style w:type="character" w:styleId="151">
    <w:name w:val="Placeholder Text"/>
    <w:basedOn w:val="47"/>
    <w:autoRedefine/>
    <w:semiHidden/>
    <w:qFormat/>
    <w:uiPriority w:val="99"/>
    <w:rPr>
      <w:color w:val="808080"/>
    </w:rPr>
  </w:style>
  <w:style w:type="paragraph" w:customStyle="1" w:styleId="152">
    <w:name w:val="p16"/>
    <w:basedOn w:val="1"/>
    <w:autoRedefine/>
    <w:qFormat/>
    <w:uiPriority w:val="0"/>
    <w:pPr>
      <w:widowControl/>
    </w:pPr>
    <w:rPr>
      <w:rFonts w:ascii="Times New Roman" w:hAnsi="Times New Roman" w:eastAsia="宋体" w:cs="Times New Roman"/>
      <w:kern w:val="0"/>
      <w:sz w:val="32"/>
      <w:szCs w:val="32"/>
    </w:rPr>
  </w:style>
  <w:style w:type="character" w:customStyle="1" w:styleId="153">
    <w:name w:val="username"/>
    <w:basedOn w:val="47"/>
    <w:autoRedefine/>
    <w:qFormat/>
    <w:uiPriority w:val="0"/>
  </w:style>
  <w:style w:type="character" w:customStyle="1" w:styleId="154">
    <w:name w:val="title26"/>
    <w:basedOn w:val="47"/>
    <w:autoRedefine/>
    <w:qFormat/>
    <w:uiPriority w:val="0"/>
  </w:style>
  <w:style w:type="character" w:customStyle="1" w:styleId="155">
    <w:name w:val="font01"/>
    <w:autoRedefine/>
    <w:qFormat/>
    <w:uiPriority w:val="0"/>
    <w:rPr>
      <w:rFonts w:hint="eastAsia" w:ascii="宋体" w:hAnsi="宋体" w:eastAsia="宋体" w:cs="宋体"/>
      <w:color w:val="000000"/>
      <w:sz w:val="21"/>
      <w:szCs w:val="21"/>
      <w:u w:val="none"/>
    </w:rPr>
  </w:style>
  <w:style w:type="paragraph" w:customStyle="1" w:styleId="156">
    <w:name w:val="正文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title24"/>
    <w:basedOn w:val="47"/>
    <w:autoRedefine/>
    <w:qFormat/>
    <w:uiPriority w:val="0"/>
  </w:style>
  <w:style w:type="paragraph" w:customStyle="1" w:styleId="158">
    <w:name w:val="正文 New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character" w:customStyle="1" w:styleId="159">
    <w:name w:val="标题 3 字符1"/>
    <w:basedOn w:val="47"/>
    <w:autoRedefine/>
    <w:semiHidden/>
    <w:qFormat/>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16037</Words>
  <Characters>17015</Characters>
  <Lines>232</Lines>
  <Paragraphs>65</Paragraphs>
  <TotalTime>4</TotalTime>
  <ScaleCrop>false</ScaleCrop>
  <LinksUpToDate>false</LinksUpToDate>
  <CharactersWithSpaces>17297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2025-03-19T04:34:00Z</dcterms:created>
  <dc:creator>Admin</dc:creator>
  <cp:lastModifiedBy>Administrator</cp:lastModifiedBy>
  <dcterms:modified xsi:type="dcterms:W3CDTF">2025-04-23T07:17:21Z</dcterms:modified>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48237DEDD49C4EB485472DA0854DEEC2_13</vt:lpwstr>
  </property>
  <property fmtid="{D5CDD505-2E9C-101B-9397-08002B2CF9AE}" pid="4" name="KSOTemplateDocerSaveRecord">
    <vt:lpwstr>eyJoZGlkIjoiN2FjOWI4MjUzYmUzN2U2ODkxODE5YmI2YTk3ZDhmMzUifQ==</vt:lpwstr>
  </property>
</Properties>
</file>