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4EC4F05">
      <w:pPr>
        <w:pStyle w:val="14"/>
        <w:kinsoku w:val="0"/>
        <w:overflowPunct w:val="0"/>
        <w:ind w:left="0"/>
        <w:rPr>
          <w:rFonts w:hint="eastAsia" w:ascii="宋体" w:hAnsi="宋体" w:eastAsia="宋体" w:cs="宋体"/>
          <w:color w:val="auto"/>
          <w:sz w:val="20"/>
          <w:szCs w:val="24"/>
          <w:highlight w:val="none"/>
        </w:rPr>
      </w:pPr>
    </w:p>
    <w:p w14:paraId="30D99E24">
      <w:pPr>
        <w:pStyle w:val="14"/>
        <w:kinsoku w:val="0"/>
        <w:overflowPunct w:val="0"/>
        <w:ind w:left="0"/>
        <w:rPr>
          <w:rFonts w:hint="eastAsia" w:ascii="宋体" w:hAnsi="宋体" w:eastAsia="宋体" w:cs="宋体"/>
          <w:color w:val="auto"/>
          <w:sz w:val="20"/>
          <w:szCs w:val="24"/>
          <w:highlight w:val="none"/>
        </w:rPr>
      </w:pPr>
    </w:p>
    <w:p w14:paraId="7B397070">
      <w:pPr>
        <w:jc w:val="center"/>
        <w:rPr>
          <w:rFonts w:hint="eastAsia" w:ascii="宋体" w:hAnsi="宋体" w:eastAsia="宋体" w:cs="宋体"/>
          <w:color w:val="auto"/>
          <w:sz w:val="36"/>
          <w:szCs w:val="36"/>
          <w:highlight w:val="none"/>
          <w:u w:val="single"/>
        </w:rPr>
      </w:pPr>
      <w:bookmarkStart w:id="0" w:name="_Toc6405"/>
    </w:p>
    <w:bookmarkEnd w:id="0"/>
    <w:p w14:paraId="0BD2FF6F">
      <w:pPr>
        <w:ind w:right="190" w:rightChars="79"/>
        <w:jc w:val="center"/>
        <w:rPr>
          <w:rFonts w:hint="eastAsia" w:ascii="宋体" w:hAnsi="宋体" w:eastAsia="宋体" w:cs="宋体"/>
          <w:color w:val="auto"/>
          <w:sz w:val="44"/>
          <w:szCs w:val="44"/>
          <w:highlight w:val="none"/>
          <w:u w:val="none"/>
          <w:lang w:val="en-US" w:eastAsia="zh-CN"/>
        </w:rPr>
      </w:pPr>
      <w:r>
        <w:rPr>
          <w:rFonts w:hint="eastAsia" w:ascii="宋体" w:hAnsi="宋体" w:cs="宋体"/>
          <w:color w:val="auto"/>
          <w:sz w:val="44"/>
          <w:szCs w:val="44"/>
          <w:highlight w:val="none"/>
          <w:u w:val="none"/>
          <w:lang w:eastAsia="zh-CN"/>
        </w:rPr>
        <w:t>2025-2027年广州市自来水有限公司管网建设工程检测、监测服务项目</w:t>
      </w:r>
    </w:p>
    <w:p w14:paraId="3F8C2741">
      <w:pPr>
        <w:pStyle w:val="14"/>
        <w:kinsoku w:val="0"/>
        <w:overflowPunct w:val="0"/>
        <w:spacing w:before="2"/>
        <w:ind w:left="0"/>
        <w:rPr>
          <w:rFonts w:hint="eastAsia" w:ascii="宋体" w:hAnsi="宋体" w:eastAsia="宋体" w:cs="宋体"/>
          <w:color w:val="auto"/>
          <w:sz w:val="23"/>
          <w:szCs w:val="24"/>
          <w:highlight w:val="none"/>
          <w:u w:val="none"/>
        </w:rPr>
      </w:pPr>
    </w:p>
    <w:p w14:paraId="014485B8">
      <w:pPr>
        <w:pStyle w:val="14"/>
        <w:kinsoku w:val="0"/>
        <w:overflowPunct w:val="0"/>
        <w:ind w:left="0"/>
        <w:rPr>
          <w:rFonts w:hint="eastAsia" w:ascii="宋体" w:hAnsi="宋体" w:eastAsia="宋体" w:cs="宋体"/>
          <w:color w:val="auto"/>
          <w:sz w:val="20"/>
          <w:szCs w:val="24"/>
          <w:highlight w:val="none"/>
        </w:rPr>
      </w:pPr>
    </w:p>
    <w:p w14:paraId="42C58A62">
      <w:pPr>
        <w:pStyle w:val="14"/>
        <w:kinsoku w:val="0"/>
        <w:overflowPunct w:val="0"/>
        <w:ind w:left="0"/>
        <w:rPr>
          <w:rFonts w:hint="eastAsia" w:ascii="宋体" w:hAnsi="宋体" w:eastAsia="宋体" w:cs="宋体"/>
          <w:color w:val="auto"/>
          <w:sz w:val="20"/>
          <w:szCs w:val="24"/>
          <w:highlight w:val="none"/>
        </w:rPr>
      </w:pPr>
    </w:p>
    <w:p w14:paraId="0027C38E">
      <w:pPr>
        <w:pStyle w:val="14"/>
        <w:kinsoku w:val="0"/>
        <w:overflowPunct w:val="0"/>
        <w:ind w:left="0"/>
        <w:rPr>
          <w:rFonts w:hint="eastAsia" w:ascii="宋体" w:hAnsi="宋体" w:eastAsia="宋体" w:cs="宋体"/>
          <w:color w:val="auto"/>
          <w:sz w:val="20"/>
          <w:szCs w:val="24"/>
          <w:highlight w:val="none"/>
        </w:rPr>
      </w:pPr>
    </w:p>
    <w:p w14:paraId="1A3B4605">
      <w:pPr>
        <w:pStyle w:val="14"/>
        <w:kinsoku w:val="0"/>
        <w:overflowPunct w:val="0"/>
        <w:ind w:left="0"/>
        <w:rPr>
          <w:rFonts w:hint="eastAsia" w:ascii="宋体" w:hAnsi="宋体" w:eastAsia="宋体" w:cs="宋体"/>
          <w:color w:val="auto"/>
          <w:sz w:val="20"/>
          <w:szCs w:val="24"/>
          <w:highlight w:val="none"/>
        </w:rPr>
      </w:pPr>
    </w:p>
    <w:p w14:paraId="6E412945">
      <w:pPr>
        <w:pStyle w:val="14"/>
        <w:kinsoku w:val="0"/>
        <w:overflowPunct w:val="0"/>
        <w:ind w:left="0"/>
        <w:rPr>
          <w:rFonts w:hint="eastAsia" w:ascii="宋体" w:hAnsi="宋体" w:eastAsia="宋体" w:cs="宋体"/>
          <w:color w:val="auto"/>
          <w:sz w:val="20"/>
          <w:szCs w:val="24"/>
          <w:highlight w:val="none"/>
        </w:rPr>
      </w:pPr>
    </w:p>
    <w:p w14:paraId="11B5EAA7">
      <w:pPr>
        <w:pStyle w:val="14"/>
        <w:kinsoku w:val="0"/>
        <w:overflowPunct w:val="0"/>
        <w:spacing w:before="106"/>
        <w:ind w:left="3" w:right="4"/>
        <w:jc w:val="center"/>
        <w:rPr>
          <w:rFonts w:hint="eastAsia" w:ascii="宋体" w:hAnsi="宋体" w:eastAsia="宋体" w:cs="宋体"/>
          <w:color w:val="auto"/>
          <w:sz w:val="84"/>
          <w:szCs w:val="24"/>
          <w:highlight w:val="none"/>
        </w:rPr>
      </w:pPr>
    </w:p>
    <w:p w14:paraId="392C4452">
      <w:pPr>
        <w:pStyle w:val="14"/>
        <w:kinsoku w:val="0"/>
        <w:overflowPunct w:val="0"/>
        <w:spacing w:before="106"/>
        <w:ind w:left="3" w:right="4"/>
        <w:jc w:val="center"/>
        <w:rPr>
          <w:rFonts w:hint="eastAsia" w:ascii="宋体" w:hAnsi="宋体" w:eastAsia="宋体" w:cs="宋体"/>
          <w:color w:val="auto"/>
          <w:sz w:val="44"/>
          <w:szCs w:val="24"/>
          <w:highlight w:val="none"/>
        </w:rPr>
      </w:pPr>
      <w:r>
        <w:rPr>
          <w:rFonts w:hint="eastAsia" w:ascii="宋体" w:hAnsi="宋体" w:eastAsia="宋体" w:cs="宋体"/>
          <w:color w:val="auto"/>
          <w:sz w:val="84"/>
          <w:szCs w:val="24"/>
          <w:highlight w:val="none"/>
        </w:rPr>
        <w:t>招标文件</w:t>
      </w:r>
    </w:p>
    <w:p w14:paraId="18D65173">
      <w:pPr>
        <w:pStyle w:val="14"/>
        <w:kinsoku w:val="0"/>
        <w:overflowPunct w:val="0"/>
        <w:ind w:left="0"/>
        <w:rPr>
          <w:rFonts w:hint="eastAsia" w:ascii="宋体" w:hAnsi="宋体" w:eastAsia="宋体" w:cs="宋体"/>
          <w:color w:val="auto"/>
          <w:sz w:val="44"/>
          <w:szCs w:val="24"/>
          <w:highlight w:val="none"/>
        </w:rPr>
      </w:pPr>
    </w:p>
    <w:p w14:paraId="3C03CAF5">
      <w:pPr>
        <w:pStyle w:val="14"/>
        <w:kinsoku w:val="0"/>
        <w:overflowPunct w:val="0"/>
        <w:ind w:left="0"/>
        <w:rPr>
          <w:rFonts w:hint="eastAsia" w:ascii="宋体" w:hAnsi="宋体" w:eastAsia="宋体" w:cs="宋体"/>
          <w:color w:val="auto"/>
          <w:sz w:val="44"/>
          <w:szCs w:val="24"/>
          <w:highlight w:val="none"/>
        </w:rPr>
      </w:pPr>
    </w:p>
    <w:p w14:paraId="6785E2E3">
      <w:pPr>
        <w:pStyle w:val="14"/>
        <w:kinsoku w:val="0"/>
        <w:overflowPunct w:val="0"/>
        <w:ind w:left="0"/>
        <w:rPr>
          <w:rFonts w:hint="eastAsia" w:ascii="宋体" w:hAnsi="宋体" w:eastAsia="宋体" w:cs="宋体"/>
          <w:color w:val="auto"/>
          <w:sz w:val="44"/>
          <w:szCs w:val="24"/>
          <w:highlight w:val="none"/>
        </w:rPr>
      </w:pPr>
    </w:p>
    <w:p w14:paraId="0CBCC17F">
      <w:pPr>
        <w:pStyle w:val="14"/>
        <w:kinsoku w:val="0"/>
        <w:overflowPunct w:val="0"/>
        <w:ind w:left="0"/>
        <w:rPr>
          <w:rFonts w:hint="eastAsia" w:ascii="宋体" w:hAnsi="宋体" w:eastAsia="宋体" w:cs="宋体"/>
          <w:color w:val="auto"/>
          <w:sz w:val="44"/>
          <w:szCs w:val="24"/>
          <w:highlight w:val="none"/>
        </w:rPr>
      </w:pPr>
    </w:p>
    <w:p w14:paraId="080AFA6D">
      <w:pPr>
        <w:pStyle w:val="14"/>
        <w:kinsoku w:val="0"/>
        <w:overflowPunct w:val="0"/>
        <w:ind w:left="0"/>
        <w:rPr>
          <w:rFonts w:hint="eastAsia" w:ascii="宋体" w:hAnsi="宋体" w:eastAsia="宋体" w:cs="宋体"/>
          <w:color w:val="auto"/>
          <w:sz w:val="44"/>
          <w:szCs w:val="24"/>
          <w:highlight w:val="none"/>
        </w:rPr>
      </w:pPr>
    </w:p>
    <w:p w14:paraId="4E0DFB15">
      <w:pPr>
        <w:pStyle w:val="14"/>
        <w:kinsoku w:val="0"/>
        <w:overflowPunct w:val="0"/>
        <w:ind w:left="0"/>
        <w:rPr>
          <w:rFonts w:hint="eastAsia" w:ascii="宋体" w:hAnsi="宋体" w:eastAsia="宋体" w:cs="宋体"/>
          <w:color w:val="auto"/>
          <w:sz w:val="44"/>
          <w:szCs w:val="24"/>
          <w:highlight w:val="none"/>
        </w:rPr>
      </w:pPr>
    </w:p>
    <w:p w14:paraId="526D3E52">
      <w:pPr>
        <w:pStyle w:val="14"/>
        <w:kinsoku w:val="0"/>
        <w:overflowPunct w:val="0"/>
        <w:ind w:left="0"/>
        <w:rPr>
          <w:rFonts w:hint="eastAsia" w:ascii="宋体" w:hAnsi="宋体" w:eastAsia="宋体" w:cs="宋体"/>
          <w:color w:val="auto"/>
          <w:sz w:val="44"/>
          <w:szCs w:val="24"/>
          <w:highlight w:val="none"/>
        </w:rPr>
      </w:pPr>
    </w:p>
    <w:p w14:paraId="79DACF05">
      <w:pPr>
        <w:pStyle w:val="14"/>
        <w:kinsoku w:val="0"/>
        <w:overflowPunct w:val="0"/>
        <w:ind w:left="0"/>
        <w:rPr>
          <w:rFonts w:hint="eastAsia" w:ascii="宋体" w:hAnsi="宋体" w:eastAsia="宋体" w:cs="宋体"/>
          <w:color w:val="auto"/>
          <w:sz w:val="44"/>
          <w:szCs w:val="24"/>
          <w:highlight w:val="none"/>
        </w:rPr>
      </w:pPr>
    </w:p>
    <w:p w14:paraId="191FCAC6">
      <w:pPr>
        <w:pStyle w:val="14"/>
        <w:kinsoku w:val="0"/>
        <w:overflowPunct w:val="0"/>
        <w:spacing w:before="8"/>
        <w:ind w:left="0"/>
        <w:rPr>
          <w:rFonts w:hint="eastAsia" w:ascii="宋体" w:hAnsi="宋体" w:eastAsia="宋体" w:cs="宋体"/>
          <w:color w:val="auto"/>
          <w:sz w:val="33"/>
          <w:szCs w:val="24"/>
          <w:highlight w:val="none"/>
        </w:rPr>
      </w:pPr>
    </w:p>
    <w:p w14:paraId="1B75C22A">
      <w:pPr>
        <w:spacing w:before="88" w:line="468" w:lineRule="auto"/>
        <w:ind w:left="0"/>
        <w:jc w:val="center"/>
        <w:rPr>
          <w:rFonts w:hint="eastAsia" w:ascii="宋体" w:hAnsi="宋体" w:eastAsia="宋体" w:cs="宋体"/>
          <w:color w:val="auto"/>
          <w:spacing w:val="-4"/>
          <w:sz w:val="27"/>
          <w:szCs w:val="27"/>
          <w:highlight w:val="none"/>
        </w:rPr>
      </w:pPr>
      <w:r>
        <w:rPr>
          <w:rFonts w:hint="eastAsia" w:ascii="宋体" w:hAnsi="宋体" w:eastAsia="宋体" w:cs="宋体"/>
          <w:color w:val="auto"/>
          <w:spacing w:val="-4"/>
          <w:sz w:val="27"/>
          <w:szCs w:val="27"/>
          <w:highlight w:val="none"/>
        </w:rPr>
        <w:t>招标人：</w:t>
      </w:r>
      <w:r>
        <w:rPr>
          <w:rFonts w:hint="eastAsia" w:ascii="宋体" w:hAnsi="宋体" w:eastAsia="宋体" w:cs="宋体"/>
          <w:color w:val="auto"/>
          <w:spacing w:val="-4"/>
          <w:sz w:val="27"/>
          <w:szCs w:val="27"/>
          <w:highlight w:val="none"/>
          <w:u w:val="single" w:color="auto"/>
        </w:rPr>
        <w:t>广州市自来水有限公司</w:t>
      </w:r>
      <w:r>
        <w:rPr>
          <w:rFonts w:hint="eastAsia" w:ascii="宋体" w:hAnsi="宋体" w:eastAsia="宋体" w:cs="宋体"/>
          <w:color w:val="auto"/>
          <w:spacing w:val="-4"/>
          <w:sz w:val="27"/>
          <w:szCs w:val="27"/>
          <w:highlight w:val="none"/>
        </w:rPr>
        <w:t>(盖单位章)</w:t>
      </w:r>
    </w:p>
    <w:p w14:paraId="1B15B8DC">
      <w:pPr>
        <w:spacing w:before="88" w:line="468" w:lineRule="auto"/>
        <w:ind w:left="0" w:firstLine="1834" w:firstLineChars="700"/>
        <w:jc w:val="both"/>
        <w:rPr>
          <w:rFonts w:hint="eastAsia" w:ascii="宋体" w:hAnsi="宋体" w:eastAsia="宋体" w:cs="宋体"/>
          <w:color w:val="auto"/>
          <w:spacing w:val="-4"/>
          <w:sz w:val="27"/>
          <w:szCs w:val="27"/>
          <w:highlight w:val="none"/>
        </w:rPr>
      </w:pPr>
      <w:r>
        <w:rPr>
          <w:rFonts w:hint="eastAsia" w:ascii="宋体" w:hAnsi="宋体" w:eastAsia="宋体" w:cs="宋体"/>
          <w:color w:val="auto"/>
          <w:spacing w:val="-4"/>
          <w:sz w:val="27"/>
          <w:szCs w:val="27"/>
          <w:highlight w:val="none"/>
        </w:rPr>
        <w:t>招标代理：</w:t>
      </w:r>
      <w:r>
        <w:rPr>
          <w:rFonts w:hint="eastAsia" w:ascii="宋体" w:hAnsi="宋体" w:cs="宋体"/>
          <w:color w:val="auto"/>
          <w:spacing w:val="-4"/>
          <w:sz w:val="27"/>
          <w:szCs w:val="27"/>
          <w:highlight w:val="none"/>
          <w:u w:val="single"/>
          <w:lang w:eastAsia="zh-CN"/>
        </w:rPr>
        <w:t>广东建瀚工程管理有限公司</w:t>
      </w:r>
      <w:r>
        <w:rPr>
          <w:rFonts w:hint="eastAsia" w:ascii="宋体" w:hAnsi="宋体" w:eastAsia="宋体" w:cs="宋体"/>
          <w:color w:val="auto"/>
          <w:spacing w:val="-4"/>
          <w:sz w:val="27"/>
          <w:szCs w:val="27"/>
          <w:highlight w:val="none"/>
        </w:rPr>
        <w:t>(盖单位章)</w:t>
      </w:r>
    </w:p>
    <w:p w14:paraId="21BD94B8">
      <w:pPr>
        <w:pStyle w:val="14"/>
        <w:tabs>
          <w:tab w:val="left" w:pos="3611"/>
          <w:tab w:val="left" w:pos="4626"/>
          <w:tab w:val="left" w:pos="5642"/>
        </w:tabs>
        <w:kinsoku w:val="0"/>
        <w:overflowPunct w:val="0"/>
        <w:spacing w:before="14"/>
        <w:ind w:left="0" w:right="175"/>
        <w:jc w:val="center"/>
        <w:rPr>
          <w:rFonts w:hint="eastAsia" w:ascii="宋体" w:hAnsi="宋体" w:eastAsia="宋体" w:cs="宋体"/>
          <w:color w:val="auto"/>
          <w:sz w:val="28"/>
          <w:szCs w:val="24"/>
          <w:highlight w:val="none"/>
        </w:rPr>
        <w:sectPr>
          <w:footerReference r:id="rId3" w:type="default"/>
          <w:pgSz w:w="11905" w:h="16838"/>
          <w:pgMar w:top="1417" w:right="1417" w:bottom="1417" w:left="1417" w:header="720" w:footer="480" w:gutter="0"/>
          <w:lnNumType w:countBy="0" w:distance="360"/>
          <w:pgNumType w:fmt="decimal"/>
          <w:cols w:space="720" w:num="1"/>
        </w:sectPr>
      </w:pPr>
      <w:r>
        <w:rPr>
          <w:rFonts w:hint="eastAsia" w:ascii="宋体" w:hAnsi="宋体" w:eastAsia="宋体" w:cs="宋体"/>
          <w:color w:val="auto"/>
          <w:sz w:val="27"/>
          <w:szCs w:val="27"/>
          <w:highlight w:val="none"/>
          <w:u w:val="single" w:color="auto"/>
          <w:lang w:val="en-US" w:eastAsia="zh-CN"/>
        </w:rPr>
        <w:t>202</w:t>
      </w:r>
      <w:r>
        <w:rPr>
          <w:rFonts w:hint="eastAsia" w:cs="宋体"/>
          <w:color w:val="auto"/>
          <w:sz w:val="27"/>
          <w:szCs w:val="27"/>
          <w:highlight w:val="none"/>
          <w:u w:val="single" w:color="auto"/>
          <w:lang w:val="en-US" w:eastAsia="zh-CN"/>
        </w:rPr>
        <w:t>5</w:t>
      </w:r>
      <w:r>
        <w:rPr>
          <w:rFonts w:hint="eastAsia" w:ascii="宋体" w:hAnsi="宋体" w:eastAsia="宋体" w:cs="宋体"/>
          <w:color w:val="auto"/>
          <w:spacing w:val="6"/>
          <w:sz w:val="27"/>
          <w:szCs w:val="27"/>
          <w:highlight w:val="none"/>
        </w:rPr>
        <w:t>年</w:t>
      </w:r>
      <w:r>
        <w:rPr>
          <w:rFonts w:hint="eastAsia" w:cs="宋体"/>
          <w:color w:val="auto"/>
          <w:spacing w:val="6"/>
          <w:sz w:val="27"/>
          <w:szCs w:val="27"/>
          <w:highlight w:val="none"/>
          <w:u w:val="single" w:color="auto"/>
          <w:lang w:val="en-US" w:eastAsia="zh-CN"/>
        </w:rPr>
        <w:t xml:space="preserve">  </w:t>
      </w:r>
      <w:r>
        <w:rPr>
          <w:rFonts w:hint="eastAsia" w:ascii="宋体" w:hAnsi="宋体" w:eastAsia="宋体" w:cs="宋体"/>
          <w:color w:val="auto"/>
          <w:spacing w:val="3"/>
          <w:sz w:val="27"/>
          <w:szCs w:val="27"/>
          <w:highlight w:val="none"/>
        </w:rPr>
        <w:t>月</w:t>
      </w:r>
      <w:r>
        <w:rPr>
          <w:rFonts w:hint="eastAsia" w:ascii="宋体" w:hAnsi="宋体" w:eastAsia="宋体" w:cs="宋体"/>
          <w:color w:val="auto"/>
          <w:spacing w:val="3"/>
          <w:sz w:val="27"/>
          <w:szCs w:val="27"/>
          <w:highlight w:val="none"/>
          <w:u w:val="single" w:color="auto"/>
          <w:lang w:val="en-US" w:eastAsia="zh-CN"/>
        </w:rPr>
        <w:t xml:space="preserve">  </w:t>
      </w:r>
      <w:r>
        <w:rPr>
          <w:rFonts w:hint="eastAsia" w:ascii="宋体" w:hAnsi="宋体" w:eastAsia="宋体" w:cs="宋体"/>
          <w:color w:val="auto"/>
          <w:spacing w:val="3"/>
          <w:sz w:val="27"/>
          <w:szCs w:val="27"/>
          <w:highlight w:val="none"/>
        </w:rPr>
        <w:t>日</w:t>
      </w:r>
    </w:p>
    <w:p w14:paraId="1AB5332D">
      <w:pPr>
        <w:spacing w:before="0" w:beforeLines="0" w:after="0" w:afterLines="0" w:line="480" w:lineRule="auto"/>
        <w:ind w:left="0" w:leftChars="0" w:right="0" w:rightChars="0" w:firstLine="0" w:firstLineChars="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录</w:t>
      </w:r>
    </w:p>
    <w:p w14:paraId="189F1D6C">
      <w:pPr>
        <w:pStyle w:val="20"/>
        <w:tabs>
          <w:tab w:val="right" w:leader="dot" w:pos="9071"/>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TOC \o "1-3" \h \u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b/>
          <w:bCs/>
          <w:color w:val="auto"/>
          <w:sz w:val="24"/>
          <w:szCs w:val="24"/>
          <w:highlight w:val="none"/>
          <w:lang w:eastAsia="zh-CN"/>
        </w:rPr>
        <w:fldChar w:fldCharType="begin"/>
      </w:r>
      <w:r>
        <w:rPr>
          <w:rFonts w:hint="eastAsia" w:ascii="宋体" w:hAnsi="宋体" w:eastAsia="宋体" w:cs="宋体"/>
          <w:b/>
          <w:bCs/>
          <w:color w:val="auto"/>
          <w:sz w:val="24"/>
          <w:szCs w:val="24"/>
          <w:highlight w:val="none"/>
          <w:lang w:eastAsia="zh-CN"/>
        </w:rPr>
        <w:instrText xml:space="preserve"> HYPERLINK \l _Toc1556 </w:instrText>
      </w:r>
      <w:r>
        <w:rPr>
          <w:rFonts w:hint="eastAsia" w:ascii="宋体" w:hAnsi="宋体" w:eastAsia="宋体" w:cs="宋体"/>
          <w:b/>
          <w:bCs/>
          <w:color w:val="auto"/>
          <w:sz w:val="24"/>
          <w:szCs w:val="24"/>
          <w:highlight w:val="none"/>
          <w:lang w:eastAsia="zh-CN"/>
        </w:rPr>
        <w:fldChar w:fldCharType="separate"/>
      </w:r>
      <w:r>
        <w:rPr>
          <w:rFonts w:hint="eastAsia" w:ascii="宋体" w:hAnsi="宋体" w:eastAsia="宋体" w:cs="宋体"/>
          <w:b/>
          <w:bCs/>
          <w:color w:val="auto"/>
          <w:sz w:val="24"/>
          <w:szCs w:val="24"/>
          <w:highlight w:val="none"/>
        </w:rPr>
        <w:t>第一卷</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_Toc1556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eastAsia="zh-CN"/>
        </w:rPr>
        <w:fldChar w:fldCharType="end"/>
      </w:r>
    </w:p>
    <w:p w14:paraId="41340084">
      <w:pPr>
        <w:pStyle w:val="21"/>
        <w:tabs>
          <w:tab w:val="right" w:leader="dot" w:pos="9071"/>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_Toc29772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第一章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_Toc29772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3BC9AC1E">
      <w:pPr>
        <w:pStyle w:val="21"/>
        <w:tabs>
          <w:tab w:val="right" w:leader="dot" w:pos="9071"/>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_Toc15097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_Toc15097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42134E9C">
      <w:pPr>
        <w:pStyle w:val="21"/>
        <w:tabs>
          <w:tab w:val="right" w:leader="dot" w:pos="9071"/>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_Toc23003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第三章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评标办法（综合评估法）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_Toc23003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05656B6C">
      <w:pPr>
        <w:pStyle w:val="21"/>
        <w:tabs>
          <w:tab w:val="right" w:leader="dot" w:pos="9071"/>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_Toc14321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第四章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合同条款及格式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_Toc14321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5B0DE24E">
      <w:pPr>
        <w:pStyle w:val="20"/>
        <w:tabs>
          <w:tab w:val="right" w:leader="dot" w:pos="9071"/>
        </w:tabs>
        <w:spacing w:line="48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fldChar w:fldCharType="begin"/>
      </w:r>
      <w:r>
        <w:rPr>
          <w:rFonts w:hint="eastAsia" w:ascii="宋体" w:hAnsi="宋体" w:eastAsia="宋体" w:cs="宋体"/>
          <w:b/>
          <w:bCs/>
          <w:color w:val="auto"/>
          <w:sz w:val="24"/>
          <w:szCs w:val="24"/>
          <w:highlight w:val="none"/>
          <w:lang w:eastAsia="zh-CN"/>
        </w:rPr>
        <w:instrText xml:space="preserve"> HYPERLINK \l _Toc2872 </w:instrText>
      </w:r>
      <w:r>
        <w:rPr>
          <w:rFonts w:hint="eastAsia" w:ascii="宋体" w:hAnsi="宋体" w:eastAsia="宋体" w:cs="宋体"/>
          <w:b/>
          <w:bCs/>
          <w:color w:val="auto"/>
          <w:sz w:val="24"/>
          <w:szCs w:val="24"/>
          <w:highlight w:val="none"/>
          <w:lang w:eastAsia="zh-CN"/>
        </w:rPr>
        <w:fldChar w:fldCharType="separate"/>
      </w:r>
      <w:r>
        <w:rPr>
          <w:rFonts w:hint="eastAsia" w:ascii="宋体" w:hAnsi="宋体" w:eastAsia="宋体" w:cs="宋体"/>
          <w:b/>
          <w:bCs/>
          <w:color w:val="auto"/>
          <w:sz w:val="24"/>
          <w:szCs w:val="24"/>
          <w:highlight w:val="none"/>
        </w:rPr>
        <w:t>第二卷</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_Toc2872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92</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eastAsia="zh-CN"/>
        </w:rPr>
        <w:fldChar w:fldCharType="end"/>
      </w:r>
    </w:p>
    <w:p w14:paraId="0B3D6C1D">
      <w:pPr>
        <w:pStyle w:val="21"/>
        <w:tabs>
          <w:tab w:val="right" w:leader="dot" w:pos="9071"/>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_Toc23118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委托人要求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_Toc23118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0CD3DE84">
      <w:pPr>
        <w:pStyle w:val="20"/>
        <w:tabs>
          <w:tab w:val="right" w:leader="dot" w:pos="9071"/>
        </w:tabs>
        <w:spacing w:line="48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fldChar w:fldCharType="begin"/>
      </w:r>
      <w:r>
        <w:rPr>
          <w:rFonts w:hint="eastAsia" w:ascii="宋体" w:hAnsi="宋体" w:eastAsia="宋体" w:cs="宋体"/>
          <w:b/>
          <w:bCs/>
          <w:color w:val="auto"/>
          <w:sz w:val="24"/>
          <w:szCs w:val="24"/>
          <w:highlight w:val="none"/>
          <w:lang w:eastAsia="zh-CN"/>
        </w:rPr>
        <w:instrText xml:space="preserve"> HYPERLINK \l _Toc12210 </w:instrText>
      </w:r>
      <w:r>
        <w:rPr>
          <w:rFonts w:hint="eastAsia" w:ascii="宋体" w:hAnsi="宋体" w:eastAsia="宋体" w:cs="宋体"/>
          <w:b/>
          <w:bCs/>
          <w:color w:val="auto"/>
          <w:sz w:val="24"/>
          <w:szCs w:val="24"/>
          <w:highlight w:val="none"/>
          <w:lang w:eastAsia="zh-CN"/>
        </w:rPr>
        <w:fldChar w:fldCharType="separate"/>
      </w:r>
      <w:r>
        <w:rPr>
          <w:rFonts w:hint="eastAsia" w:ascii="宋体" w:hAnsi="宋体" w:eastAsia="宋体" w:cs="宋体"/>
          <w:b/>
          <w:bCs/>
          <w:color w:val="auto"/>
          <w:sz w:val="24"/>
          <w:szCs w:val="24"/>
          <w:highlight w:val="none"/>
        </w:rPr>
        <w:t>第三卷</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_Toc12210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99</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eastAsia="zh-CN"/>
        </w:rPr>
        <w:fldChar w:fldCharType="end"/>
      </w:r>
    </w:p>
    <w:p w14:paraId="1E50A687">
      <w:pPr>
        <w:pStyle w:val="21"/>
        <w:tabs>
          <w:tab w:val="right" w:leader="dot" w:pos="9071"/>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_Toc26661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第六章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_Toc26661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225E5268">
      <w:pPr>
        <w:pStyle w:val="21"/>
        <w:tabs>
          <w:tab w:val="right" w:leader="dot" w:pos="9071"/>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_Toc17258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val="en-US" w:eastAsia="zh-CN"/>
        </w:rPr>
        <w:t xml:space="preserve">第七章 </w:t>
      </w:r>
      <w:r>
        <w:rPr>
          <w:rFonts w:hint="eastAsia" w:ascii="宋体" w:hAnsi="宋体" w:eastAsia="宋体" w:cs="宋体"/>
          <w:color w:val="auto"/>
          <w:sz w:val="24"/>
          <w:szCs w:val="24"/>
          <w:highlight w:val="none"/>
        </w:rPr>
        <w:t>投标人须知前附表规定的其他资料。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_Toc17258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49002749">
      <w:pPr>
        <w:pStyle w:val="15"/>
        <w:tabs>
          <w:tab w:val="right" w:leader="dot" w:pos="9071"/>
        </w:tabs>
        <w:spacing w:line="480" w:lineRule="auto"/>
        <w:ind w:left="0" w:leftChars="0" w:firstLine="0" w:firstLineChars="0"/>
        <w:rPr>
          <w:rFonts w:hint="eastAsia" w:ascii="宋体" w:hAnsi="宋体" w:eastAsia="宋体" w:cs="宋体"/>
          <w:color w:val="auto"/>
          <w:sz w:val="24"/>
          <w:szCs w:val="24"/>
          <w:highlight w:val="none"/>
        </w:rPr>
      </w:pPr>
    </w:p>
    <w:p w14:paraId="4E610D09">
      <w:pPr>
        <w:pStyle w:val="14"/>
        <w:tabs>
          <w:tab w:val="right" w:leader="dot" w:pos="8714"/>
        </w:tabs>
        <w:kinsoku w:val="0"/>
        <w:overflowPunct w:val="0"/>
        <w:spacing w:line="288" w:lineRule="exact"/>
        <w:ind w:left="0"/>
        <w:jc w:val="center"/>
        <w:rPr>
          <w:rFonts w:hint="eastAsia" w:ascii="宋体" w:hAnsi="宋体" w:eastAsia="宋体" w:cs="宋体"/>
          <w:color w:val="auto"/>
          <w:sz w:val="21"/>
          <w:szCs w:val="24"/>
          <w:highlight w:val="none"/>
          <w:lang w:eastAsia="zh-CN"/>
        </w:rPr>
        <w:sectPr>
          <w:pgSz w:w="11905" w:h="16838"/>
          <w:pgMar w:top="1417" w:right="1417" w:bottom="1417" w:left="1417" w:header="720" w:footer="720" w:gutter="0"/>
          <w:lnNumType w:countBy="0" w:distance="360"/>
          <w:pgNumType w:fmt="decimal"/>
          <w:cols w:space="720" w:num="1"/>
        </w:sectPr>
      </w:pPr>
      <w:r>
        <w:rPr>
          <w:rFonts w:hint="eastAsia" w:ascii="宋体" w:hAnsi="宋体" w:eastAsia="宋体" w:cs="宋体"/>
          <w:color w:val="auto"/>
          <w:sz w:val="24"/>
          <w:szCs w:val="24"/>
          <w:highlight w:val="none"/>
          <w:lang w:eastAsia="zh-CN"/>
        </w:rPr>
        <w:fldChar w:fldCharType="end"/>
      </w:r>
    </w:p>
    <w:p w14:paraId="4493AF36">
      <w:pPr>
        <w:pStyle w:val="14"/>
        <w:kinsoku w:val="0"/>
        <w:overflowPunct w:val="0"/>
        <w:ind w:left="0"/>
        <w:rPr>
          <w:rFonts w:hint="eastAsia" w:ascii="宋体" w:hAnsi="宋体" w:eastAsia="宋体" w:cs="宋体"/>
          <w:color w:val="auto"/>
          <w:sz w:val="44"/>
          <w:szCs w:val="24"/>
          <w:highlight w:val="none"/>
        </w:rPr>
      </w:pPr>
    </w:p>
    <w:p w14:paraId="481E06C1">
      <w:pPr>
        <w:pStyle w:val="5"/>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pPr>
      <w:bookmarkStart w:id="1" w:name="bookmark0"/>
      <w:bookmarkEnd w:id="1"/>
      <w:bookmarkStart w:id="2" w:name="_Toc1556"/>
      <w:r>
        <w:rPr>
          <w:rFonts w:hint="eastAsia" w:ascii="宋体" w:hAnsi="宋体" w:eastAsia="宋体" w:cs="宋体"/>
          <w:color w:val="auto"/>
          <w:sz w:val="52"/>
          <w:szCs w:val="52"/>
          <w:highlight w:val="none"/>
        </w:rPr>
        <w:t>第一卷</w:t>
      </w:r>
      <w:bookmarkEnd w:id="2"/>
    </w:p>
    <w:p w14:paraId="1E1892AA">
      <w:pPr>
        <w:pStyle w:val="14"/>
        <w:kinsoku w:val="0"/>
        <w:overflowPunct w:val="0"/>
        <w:ind w:left="0"/>
        <w:rPr>
          <w:rFonts w:hint="eastAsia" w:ascii="宋体" w:hAnsi="宋体" w:eastAsia="宋体" w:cs="宋体"/>
          <w:b w:val="0"/>
          <w:color w:val="auto"/>
          <w:sz w:val="44"/>
          <w:szCs w:val="24"/>
          <w:highlight w:val="none"/>
        </w:rPr>
        <w:sectPr>
          <w:footerReference r:id="rId4" w:type="default"/>
          <w:pgSz w:w="11905" w:h="16838"/>
          <w:pgMar w:top="1417" w:right="1417" w:bottom="1417" w:left="1417" w:header="720" w:footer="720" w:gutter="0"/>
          <w:lnNumType w:countBy="0" w:distance="360"/>
          <w:pgNumType w:fmt="decimal"/>
          <w:cols w:space="720" w:num="1"/>
        </w:sectPr>
      </w:pPr>
    </w:p>
    <w:p w14:paraId="24847886">
      <w:pPr>
        <w:pStyle w:val="6"/>
        <w:outlineLvl w:val="0"/>
        <w:rPr>
          <w:rFonts w:hint="eastAsia" w:ascii="宋体" w:hAnsi="宋体" w:eastAsia="宋体" w:cs="宋体"/>
          <w:color w:val="auto"/>
          <w:sz w:val="44"/>
          <w:szCs w:val="24"/>
          <w:highlight w:val="none"/>
        </w:rPr>
      </w:pPr>
      <w:bookmarkStart w:id="3" w:name="bookmark1"/>
      <w:bookmarkEnd w:id="3"/>
      <w:bookmarkStart w:id="4" w:name="_Toc29772"/>
      <w:r>
        <w:rPr>
          <w:rFonts w:hint="eastAsia" w:ascii="宋体" w:hAnsi="宋体" w:eastAsia="宋体" w:cs="宋体"/>
          <w:color w:val="auto"/>
          <w:sz w:val="44"/>
          <w:szCs w:val="24"/>
          <w:highlight w:val="none"/>
        </w:rPr>
        <w:t>第一章</w:t>
      </w:r>
      <w:r>
        <w:rPr>
          <w:rFonts w:hint="eastAsia" w:ascii="宋体" w:hAnsi="宋体" w:eastAsia="宋体" w:cs="宋体"/>
          <w:color w:val="auto"/>
          <w:sz w:val="44"/>
          <w:szCs w:val="24"/>
          <w:highlight w:val="none"/>
          <w:lang w:val="en-US" w:eastAsia="zh-CN"/>
        </w:rPr>
        <w:t xml:space="preserve"> </w:t>
      </w:r>
      <w:r>
        <w:rPr>
          <w:rFonts w:hint="eastAsia" w:ascii="宋体" w:hAnsi="宋体" w:eastAsia="宋体" w:cs="宋体"/>
          <w:color w:val="auto"/>
          <w:sz w:val="44"/>
          <w:szCs w:val="24"/>
          <w:highlight w:val="none"/>
        </w:rPr>
        <w:t>招标公告</w:t>
      </w:r>
      <w:bookmarkEnd w:id="4"/>
    </w:p>
    <w:p w14:paraId="0AAE2DFD">
      <w:pPr>
        <w:spacing w:beforeLines="100" w:afterLines="100" w:line="360" w:lineRule="auto"/>
        <w:jc w:val="center"/>
        <w:rPr>
          <w:rFonts w:hint="eastAsia" w:ascii="宋体" w:hAnsi="宋体" w:cs="宋体"/>
          <w:b/>
          <w:bCs w:val="0"/>
          <w:color w:val="auto"/>
          <w:sz w:val="28"/>
          <w:szCs w:val="22"/>
          <w:highlight w:val="none"/>
          <w:u w:val="none"/>
          <w:lang w:val="en-US" w:eastAsia="zh-CN"/>
        </w:rPr>
      </w:pPr>
      <w:r>
        <w:rPr>
          <w:rFonts w:hint="eastAsia" w:ascii="宋体" w:hAnsi="宋体" w:cs="宋体"/>
          <w:b/>
          <w:bCs w:val="0"/>
          <w:color w:val="auto"/>
          <w:sz w:val="28"/>
          <w:szCs w:val="22"/>
          <w:highlight w:val="none"/>
          <w:u w:val="none"/>
          <w:lang w:val="en-US" w:eastAsia="zh-CN"/>
        </w:rPr>
        <w:t>2025-2027年广州市自来水有限公司管网建设工程检测、监测服务项目</w:t>
      </w:r>
    </w:p>
    <w:p w14:paraId="6965EACF">
      <w:pPr>
        <w:spacing w:beforeLines="100" w:afterLines="100" w:line="360" w:lineRule="auto"/>
        <w:jc w:val="center"/>
        <w:rPr>
          <w:rFonts w:hint="eastAsia" w:ascii="宋体" w:hAnsi="宋体" w:eastAsia="宋体" w:cs="宋体"/>
          <w:b/>
          <w:color w:val="auto"/>
          <w:sz w:val="28"/>
          <w:szCs w:val="22"/>
          <w:highlight w:val="none"/>
        </w:rPr>
      </w:pPr>
      <w:r>
        <w:rPr>
          <w:rFonts w:hint="eastAsia" w:ascii="宋体" w:hAnsi="宋体" w:eastAsia="宋体" w:cs="宋体"/>
          <w:b/>
          <w:color w:val="auto"/>
          <w:sz w:val="28"/>
          <w:szCs w:val="22"/>
          <w:highlight w:val="none"/>
        </w:rPr>
        <w:t>招标公告</w:t>
      </w:r>
    </w:p>
    <w:p w14:paraId="7FE2CCE7">
      <w:pPr>
        <w:pStyle w:val="7"/>
        <w:outlineLvl w:val="1"/>
        <w:rPr>
          <w:rFonts w:hint="eastAsia" w:ascii="宋体" w:hAnsi="宋体" w:eastAsia="宋体" w:cs="宋体"/>
          <w:b w:val="0"/>
          <w:color w:val="auto"/>
          <w:sz w:val="24"/>
          <w:szCs w:val="24"/>
          <w:highlight w:val="none"/>
        </w:rPr>
      </w:pPr>
      <w:bookmarkStart w:id="5" w:name="bookmark2"/>
      <w:bookmarkEnd w:id="5"/>
      <w:bookmarkStart w:id="6" w:name="_Toc14009"/>
      <w:r>
        <w:rPr>
          <w:rFonts w:hint="eastAsia" w:ascii="宋体" w:hAnsi="宋体" w:eastAsia="宋体" w:cs="宋体"/>
          <w:color w:val="auto"/>
          <w:sz w:val="24"/>
          <w:szCs w:val="24"/>
          <w:highlight w:val="none"/>
        </w:rPr>
        <w:t>1.招标条件</w:t>
      </w:r>
      <w:bookmarkEnd w:id="6"/>
    </w:p>
    <w:p w14:paraId="3F0E9E69">
      <w:pPr>
        <w:pStyle w:val="14"/>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eastAsia="zh-CN"/>
        </w:rPr>
        <w:t>2025-2027年广州市自来水有限公司管网建设工程检测、监测服务项目</w:t>
      </w:r>
      <w:r>
        <w:rPr>
          <w:rFonts w:hint="eastAsia" w:ascii="宋体" w:hAnsi="宋体" w:eastAsia="宋体" w:cs="宋体"/>
          <w:color w:val="auto"/>
          <w:spacing w:val="-4"/>
          <w:sz w:val="24"/>
          <w:szCs w:val="24"/>
          <w:highlight w:val="none"/>
        </w:rPr>
        <w:t>，项目业主为</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广州市自来水有限公司</w:t>
      </w:r>
      <w:r>
        <w:rPr>
          <w:rFonts w:hint="eastAsia" w:ascii="宋体" w:hAnsi="宋体" w:eastAsia="宋体" w:cs="宋体"/>
          <w:color w:val="auto"/>
          <w:spacing w:val="-4"/>
          <w:sz w:val="24"/>
          <w:szCs w:val="24"/>
          <w:highlight w:val="none"/>
        </w:rPr>
        <w:t>，建设资金来</w:t>
      </w:r>
      <w:r>
        <w:rPr>
          <w:rFonts w:hint="eastAsia" w:ascii="宋体" w:hAnsi="宋体" w:eastAsia="宋体" w:cs="宋体"/>
          <w:color w:val="auto"/>
          <w:spacing w:val="-97"/>
          <w:sz w:val="24"/>
          <w:szCs w:val="24"/>
          <w:highlight w:val="none"/>
        </w:rPr>
        <w:t xml:space="preserve"> </w:t>
      </w:r>
      <w:r>
        <w:rPr>
          <w:rFonts w:hint="eastAsia" w:ascii="宋体" w:hAnsi="宋体" w:eastAsia="宋体" w:cs="宋体"/>
          <w:color w:val="auto"/>
          <w:spacing w:val="-1"/>
          <w:sz w:val="24"/>
          <w:szCs w:val="24"/>
          <w:highlight w:val="none"/>
        </w:rPr>
        <w:t>自</w:t>
      </w:r>
      <w:r>
        <w:rPr>
          <w:rFonts w:hint="eastAsia" w:ascii="宋体" w:hAnsi="宋体" w:eastAsia="宋体" w:cs="宋体"/>
          <w:color w:val="auto"/>
          <w:spacing w:val="-1"/>
          <w:sz w:val="24"/>
          <w:szCs w:val="24"/>
          <w:highlight w:val="none"/>
          <w:u w:val="single"/>
          <w:lang w:val="en-US" w:eastAsia="zh-CN"/>
        </w:rPr>
        <w:t xml:space="preserve"> 企业自筹资金 </w:t>
      </w:r>
      <w:r>
        <w:rPr>
          <w:rFonts w:hint="eastAsia" w:ascii="宋体" w:hAnsi="宋体" w:eastAsia="宋体" w:cs="宋体"/>
          <w:color w:val="auto"/>
          <w:spacing w:val="-12"/>
          <w:sz w:val="24"/>
          <w:szCs w:val="24"/>
          <w:highlight w:val="none"/>
        </w:rPr>
        <w:t>，出资比例为</w:t>
      </w:r>
      <w:r>
        <w:rPr>
          <w:rFonts w:hint="eastAsia" w:ascii="宋体" w:hAnsi="宋体" w:eastAsia="宋体" w:cs="宋体"/>
          <w:color w:val="auto"/>
          <w:spacing w:val="-12"/>
          <w:sz w:val="24"/>
          <w:szCs w:val="24"/>
          <w:highlight w:val="none"/>
          <w:u w:val="single"/>
          <w:lang w:val="en-US" w:eastAsia="zh-CN"/>
        </w:rPr>
        <w:t xml:space="preserve"> 100% </w:t>
      </w:r>
      <w:r>
        <w:rPr>
          <w:rFonts w:hint="eastAsia" w:ascii="宋体" w:hAnsi="宋体" w:eastAsia="宋体" w:cs="宋体"/>
          <w:color w:val="auto"/>
          <w:spacing w:val="-6"/>
          <w:sz w:val="24"/>
          <w:szCs w:val="24"/>
          <w:highlight w:val="none"/>
        </w:rPr>
        <w:t>，招标人为</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single"/>
        </w:rPr>
        <w:t>广州市自来水有限公司</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4"/>
          <w:sz w:val="24"/>
          <w:szCs w:val="24"/>
          <w:highlight w:val="none"/>
        </w:rPr>
        <w:t>。项目已具备招标</w:t>
      </w:r>
      <w:r>
        <w:rPr>
          <w:rFonts w:hint="eastAsia" w:ascii="宋体" w:hAnsi="宋体" w:eastAsia="宋体" w:cs="宋体"/>
          <w:color w:val="auto"/>
          <w:spacing w:val="-95"/>
          <w:sz w:val="24"/>
          <w:szCs w:val="24"/>
          <w:highlight w:val="none"/>
        </w:rPr>
        <w:t xml:space="preserve"> </w:t>
      </w:r>
      <w:r>
        <w:rPr>
          <w:rFonts w:hint="eastAsia" w:ascii="宋体" w:hAnsi="宋体" w:eastAsia="宋体" w:cs="宋体"/>
          <w:color w:val="auto"/>
          <w:sz w:val="24"/>
          <w:szCs w:val="24"/>
          <w:highlight w:val="none"/>
        </w:rPr>
        <w:t>条件，现对该项目的</w:t>
      </w:r>
      <w:r>
        <w:rPr>
          <w:rFonts w:hint="eastAsia" w:ascii="宋体" w:hAnsi="宋体" w:eastAsia="宋体" w:cs="宋体"/>
          <w:color w:val="auto"/>
          <w:sz w:val="24"/>
          <w:szCs w:val="24"/>
          <w:highlight w:val="none"/>
          <w:u w:val="single"/>
          <w:lang w:val="en-US" w:eastAsia="zh-CN"/>
        </w:rPr>
        <w:t>检测、监测</w:t>
      </w:r>
      <w:r>
        <w:rPr>
          <w:rFonts w:hint="eastAsia" w:ascii="宋体" w:hAnsi="宋体" w:eastAsia="宋体" w:cs="宋体"/>
          <w:color w:val="auto"/>
          <w:sz w:val="24"/>
          <w:szCs w:val="24"/>
          <w:highlight w:val="none"/>
        </w:rPr>
        <w:t>进行公开招标。</w:t>
      </w:r>
    </w:p>
    <w:p w14:paraId="195BD072">
      <w:pPr>
        <w:pStyle w:val="7"/>
        <w:jc w:val="both"/>
        <w:outlineLvl w:val="1"/>
        <w:rPr>
          <w:rFonts w:hint="eastAsia" w:ascii="宋体" w:hAnsi="宋体" w:eastAsia="宋体" w:cs="宋体"/>
          <w:color w:val="auto"/>
          <w:sz w:val="24"/>
          <w:szCs w:val="24"/>
          <w:highlight w:val="none"/>
        </w:rPr>
      </w:pPr>
      <w:bookmarkStart w:id="7" w:name="bookmark3"/>
      <w:bookmarkEnd w:id="7"/>
      <w:bookmarkStart w:id="8" w:name="_Toc20903"/>
      <w:r>
        <w:rPr>
          <w:rFonts w:hint="eastAsia" w:ascii="宋体" w:hAnsi="宋体" w:eastAsia="宋体" w:cs="宋体"/>
          <w:color w:val="auto"/>
          <w:sz w:val="24"/>
          <w:szCs w:val="24"/>
          <w:highlight w:val="none"/>
        </w:rPr>
        <w:t>2.项目概况与招标范围</w:t>
      </w:r>
      <w:bookmarkEnd w:id="8"/>
    </w:p>
    <w:p w14:paraId="25E37534">
      <w:pPr>
        <w:keepNext w:val="0"/>
        <w:keepLines w:val="0"/>
        <w:pageBreakBefore w:val="0"/>
        <w:widowControl w:val="0"/>
        <w:tabs>
          <w:tab w:val="left" w:pos="7513"/>
        </w:tabs>
        <w:kinsoku/>
        <w:wordWrap/>
        <w:overflowPunct/>
        <w:topLinePunct w:val="0"/>
        <w:autoSpaceDE w:val="0"/>
        <w:autoSpaceDN w:val="0"/>
        <w:bidi w:val="0"/>
        <w:adjustRightInd w:val="0"/>
        <w:snapToGrid/>
        <w:spacing w:line="360" w:lineRule="auto"/>
        <w:ind w:firstLine="240" w:firstLineChars="100"/>
        <w:jc w:val="both"/>
        <w:textAlignment w:val="auto"/>
        <w:rPr>
          <w:rFonts w:hint="eastAsia" w:ascii="宋体" w:hAnsi="宋体" w:eastAsia="宋体" w:cs="宋体"/>
          <w:color w:val="auto"/>
          <w:sz w:val="24"/>
          <w:szCs w:val="24"/>
          <w:highlight w:val="none"/>
          <w:lang w:val="en-US" w:eastAsia="zh-CN"/>
        </w:rPr>
      </w:pPr>
      <w:bookmarkStart w:id="9" w:name="_Toc17345"/>
      <w:r>
        <w:rPr>
          <w:rFonts w:hint="eastAsia" w:ascii="宋体" w:hAnsi="宋体" w:eastAsia="宋体" w:cs="宋体"/>
          <w:color w:val="auto"/>
          <w:sz w:val="24"/>
          <w:szCs w:val="24"/>
          <w:highlight w:val="none"/>
          <w:lang w:val="en-US" w:eastAsia="zh-CN"/>
        </w:rPr>
        <w:t>2.1 招标项目概况</w:t>
      </w:r>
      <w:bookmarkEnd w:id="9"/>
    </w:p>
    <w:p w14:paraId="3C2772B5">
      <w:pPr>
        <w:tabs>
          <w:tab w:val="left" w:pos="7513"/>
        </w:tabs>
        <w:spacing w:line="360" w:lineRule="auto"/>
        <w:ind w:firstLine="480" w:firstLineChars="200"/>
        <w:jc w:val="both"/>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rPr>
        <w:t>2.1.1招标项目名称：</w:t>
      </w:r>
      <w:r>
        <w:rPr>
          <w:rFonts w:hint="eastAsia" w:ascii="宋体" w:hAnsi="宋体" w:cs="宋体"/>
          <w:color w:val="auto"/>
          <w:sz w:val="24"/>
          <w:szCs w:val="24"/>
          <w:highlight w:val="none"/>
          <w:u w:val="single"/>
          <w:lang w:val="en-US" w:eastAsia="zh-CN"/>
        </w:rPr>
        <w:t>2025-2027年广州市自来水有限公司管网建设工程检测、监测服务项目</w:t>
      </w:r>
    </w:p>
    <w:p w14:paraId="1F71AB63">
      <w:pPr>
        <w:tabs>
          <w:tab w:val="left" w:pos="7513"/>
        </w:tabs>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2.1.2工程建设地点：</w:t>
      </w:r>
      <w:r>
        <w:rPr>
          <w:rFonts w:hint="eastAsia" w:ascii="宋体" w:hAnsi="宋体" w:cs="宋体"/>
          <w:color w:val="auto"/>
          <w:sz w:val="24"/>
          <w:szCs w:val="24"/>
          <w:highlight w:val="none"/>
          <w:u w:val="single"/>
        </w:rPr>
        <w:t>广州市</w:t>
      </w:r>
      <w:r>
        <w:rPr>
          <w:rFonts w:hint="eastAsia" w:ascii="宋体" w:hAnsi="宋体" w:cs="宋体"/>
          <w:color w:val="auto"/>
          <w:sz w:val="24"/>
          <w:szCs w:val="24"/>
          <w:highlight w:val="none"/>
          <w:u w:val="single"/>
          <w:lang w:eastAsia="zh-CN"/>
        </w:rPr>
        <w:t>。</w:t>
      </w:r>
    </w:p>
    <w:p w14:paraId="3708F969">
      <w:pPr>
        <w:tabs>
          <w:tab w:val="left" w:pos="7513"/>
        </w:tabs>
        <w:spacing w:line="360" w:lineRule="auto"/>
        <w:ind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2.1.3工程建设规模：</w:t>
      </w:r>
      <w:r>
        <w:rPr>
          <w:rFonts w:hint="eastAsia" w:ascii="宋体" w:hAnsi="宋体" w:eastAsia="宋体" w:cs="宋体"/>
          <w:color w:val="auto"/>
          <w:sz w:val="24"/>
          <w:szCs w:val="24"/>
          <w:highlight w:val="none"/>
          <w:u w:val="single"/>
        </w:rPr>
        <w:t>2025-2027年广州市自来水有限公司</w:t>
      </w:r>
      <w:r>
        <w:rPr>
          <w:rFonts w:hint="eastAsia" w:ascii="宋体" w:hAnsi="宋体" w:cs="宋体"/>
          <w:color w:val="auto"/>
          <w:sz w:val="24"/>
          <w:szCs w:val="24"/>
          <w:highlight w:val="none"/>
          <w:u w:val="single"/>
          <w:lang w:eastAsia="zh-CN"/>
        </w:rPr>
        <w:t>管网</w:t>
      </w:r>
      <w:r>
        <w:rPr>
          <w:rFonts w:hint="eastAsia" w:ascii="宋体" w:hAnsi="宋体" w:eastAsia="宋体" w:cs="宋体"/>
          <w:color w:val="auto"/>
          <w:sz w:val="24"/>
          <w:szCs w:val="24"/>
          <w:highlight w:val="none"/>
          <w:u w:val="single"/>
        </w:rPr>
        <w:t>建设工程检测、监测服务工作，</w:t>
      </w:r>
      <w:r>
        <w:rPr>
          <w:rFonts w:hint="eastAsia" w:ascii="宋体" w:hAnsi="宋体" w:cs="宋体"/>
          <w:color w:val="auto"/>
          <w:highlight w:val="none"/>
          <w:u w:val="single"/>
        </w:rPr>
        <w:t>涉及周边地表沉降、管线沉降等，基坑安全等级涉及</w:t>
      </w:r>
      <w:r>
        <w:rPr>
          <w:rFonts w:hint="eastAsia" w:ascii="宋体" w:hAnsi="宋体" w:cs="宋体"/>
          <w:color w:val="auto"/>
          <w:highlight w:val="none"/>
          <w:u w:val="single"/>
          <w:lang w:eastAsia="zh-CN"/>
        </w:rPr>
        <w:t>二级、</w:t>
      </w:r>
      <w:r>
        <w:rPr>
          <w:rFonts w:hint="eastAsia" w:ascii="宋体" w:hAnsi="宋体" w:cs="宋体"/>
          <w:color w:val="auto"/>
          <w:highlight w:val="none"/>
          <w:u w:val="single"/>
        </w:rPr>
        <w:t>三级</w:t>
      </w:r>
      <w:r>
        <w:rPr>
          <w:rFonts w:hint="eastAsia" w:ascii="宋体" w:hAnsi="宋体" w:eastAsia="宋体" w:cs="宋体"/>
          <w:color w:val="auto"/>
          <w:sz w:val="24"/>
          <w:szCs w:val="24"/>
          <w:highlight w:val="none"/>
          <w:u w:val="single"/>
        </w:rPr>
        <w:t>。</w:t>
      </w:r>
    </w:p>
    <w:p w14:paraId="6A1C1E82">
      <w:pPr>
        <w:keepNext w:val="0"/>
        <w:keepLines w:val="0"/>
        <w:pageBreakBefore w:val="0"/>
        <w:widowControl w:val="0"/>
        <w:tabs>
          <w:tab w:val="left" w:pos="7513"/>
        </w:tabs>
        <w:kinsoku/>
        <w:wordWrap/>
        <w:overflowPunct/>
        <w:topLinePunct w:val="0"/>
        <w:autoSpaceDE w:val="0"/>
        <w:autoSpaceDN w:val="0"/>
        <w:bidi w:val="0"/>
        <w:adjustRightInd w:val="0"/>
        <w:snapToGrid/>
        <w:spacing w:line="360" w:lineRule="auto"/>
        <w:ind w:firstLine="240" w:firstLineChars="100"/>
        <w:jc w:val="both"/>
        <w:textAlignment w:val="auto"/>
        <w:rPr>
          <w:rFonts w:hint="eastAsia" w:ascii="宋体" w:hAnsi="宋体" w:eastAsia="宋体" w:cs="宋体"/>
          <w:color w:val="auto"/>
          <w:sz w:val="24"/>
          <w:szCs w:val="24"/>
          <w:highlight w:val="none"/>
          <w:lang w:val="en-US" w:eastAsia="zh-CN"/>
        </w:rPr>
      </w:pPr>
      <w:bookmarkStart w:id="10" w:name="_Toc13481"/>
      <w:r>
        <w:rPr>
          <w:rFonts w:hint="eastAsia" w:ascii="宋体" w:hAnsi="宋体" w:eastAsia="宋体" w:cs="宋体"/>
          <w:color w:val="auto"/>
          <w:sz w:val="24"/>
          <w:szCs w:val="24"/>
          <w:highlight w:val="none"/>
          <w:lang w:val="en-US" w:eastAsia="zh-CN"/>
        </w:rPr>
        <w:t>2.2 招标范围</w:t>
      </w:r>
      <w:bookmarkEnd w:id="10"/>
    </w:p>
    <w:p w14:paraId="42C84D2B">
      <w:pPr>
        <w:tabs>
          <w:tab w:val="left" w:pos="7513"/>
        </w:tabs>
        <w:spacing w:line="360" w:lineRule="auto"/>
        <w:ind w:firstLine="480" w:firstLineChars="200"/>
        <w:jc w:val="both"/>
        <w:rPr>
          <w:rFonts w:hint="eastAsia" w:ascii="宋体" w:hAnsi="宋体" w:cs="宋体"/>
          <w:color w:val="auto"/>
          <w:sz w:val="24"/>
          <w:szCs w:val="24"/>
          <w:highlight w:val="none"/>
          <w:u w:val="single"/>
        </w:rPr>
      </w:pPr>
      <w:r>
        <w:rPr>
          <w:rFonts w:hint="eastAsia" w:ascii="宋体" w:hAnsi="宋体" w:eastAsia="宋体" w:cs="宋体"/>
          <w:color w:val="auto"/>
          <w:sz w:val="24"/>
          <w:szCs w:val="24"/>
          <w:highlight w:val="none"/>
        </w:rPr>
        <w:t>2.2.1标段划分：</w:t>
      </w:r>
      <w:r>
        <w:rPr>
          <w:rFonts w:hint="eastAsia" w:ascii="宋体" w:hAnsi="宋体" w:cs="宋体"/>
          <w:color w:val="auto"/>
          <w:sz w:val="24"/>
          <w:szCs w:val="24"/>
          <w:highlight w:val="none"/>
          <w:u w:val="single"/>
        </w:rPr>
        <w:t>本项目</w:t>
      </w:r>
      <w:r>
        <w:rPr>
          <w:rFonts w:hint="eastAsia" w:ascii="宋体" w:hAnsi="宋体" w:cs="宋体"/>
          <w:color w:val="auto"/>
          <w:sz w:val="24"/>
          <w:szCs w:val="24"/>
          <w:highlight w:val="none"/>
          <w:u w:val="single"/>
          <w:lang w:eastAsia="zh-CN"/>
        </w:rPr>
        <w:t>不分</w:t>
      </w:r>
      <w:r>
        <w:rPr>
          <w:rFonts w:hint="eastAsia" w:ascii="宋体" w:hAnsi="宋体" w:cs="宋体"/>
          <w:color w:val="auto"/>
          <w:sz w:val="24"/>
          <w:szCs w:val="24"/>
          <w:highlight w:val="none"/>
          <w:u w:val="single"/>
        </w:rPr>
        <w:t>标段。</w:t>
      </w:r>
    </w:p>
    <w:p w14:paraId="3804F759">
      <w:pPr>
        <w:tabs>
          <w:tab w:val="left" w:pos="7513"/>
        </w:tabs>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2.2.2</w:t>
      </w:r>
      <w:r>
        <w:rPr>
          <w:rFonts w:hint="eastAsia" w:ascii="宋体" w:hAnsi="宋体" w:cs="宋体"/>
          <w:color w:val="auto"/>
          <w:sz w:val="24"/>
          <w:szCs w:val="24"/>
          <w:highlight w:val="none"/>
          <w:lang w:val="en-US" w:eastAsia="zh-CN"/>
        </w:rPr>
        <w:t>招标内容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检测监测工作包括但不限于：</w:t>
      </w:r>
      <w:r>
        <w:rPr>
          <w:rFonts w:hint="eastAsia" w:ascii="宋体" w:hAnsi="宋体" w:cs="宋体"/>
          <w:color w:val="auto"/>
          <w:highlight w:val="none"/>
          <w:u w:val="single"/>
        </w:rPr>
        <w:t>检测监测方案编制、方案送审（有关行政管理部门）、试验及相关需要的配套工作、编制并提交检测监测成果报告等全部工作</w:t>
      </w:r>
      <w:r>
        <w:rPr>
          <w:rFonts w:hint="eastAsia" w:ascii="宋体" w:hAnsi="宋体" w:eastAsia="宋体" w:cs="宋体"/>
          <w:color w:val="auto"/>
          <w:sz w:val="24"/>
          <w:szCs w:val="24"/>
          <w:highlight w:val="none"/>
          <w:u w:val="single"/>
        </w:rPr>
        <w:t>。</w:t>
      </w:r>
    </w:p>
    <w:p w14:paraId="176164E0">
      <w:pPr>
        <w:tabs>
          <w:tab w:val="left" w:pos="7513"/>
        </w:tabs>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cs="宋体"/>
          <w:color w:val="auto"/>
          <w:highlight w:val="none"/>
          <w:u w:val="single"/>
          <w:lang w:eastAsia="zh-CN"/>
        </w:rPr>
        <w:t>（一）</w:t>
      </w:r>
      <w:r>
        <w:rPr>
          <w:rFonts w:hint="eastAsia" w:ascii="宋体" w:hAnsi="宋体" w:cs="宋体"/>
          <w:color w:val="auto"/>
          <w:highlight w:val="none"/>
          <w:u w:val="single"/>
        </w:rPr>
        <w:t>主要检测、监测内容包括：基坑监测、地基基础检测、结构实体检测（含焊缝超声波探伤、X射线检测及涂层厚度检测）、路基路面检测、常规材料检测、甲供管材复验检测等水务工程主管部门、工程质监部门、</w:t>
      </w:r>
      <w:r>
        <w:rPr>
          <w:rFonts w:hint="eastAsia" w:ascii="宋体" w:hAnsi="宋体" w:cs="宋体"/>
          <w:color w:val="auto"/>
          <w:highlight w:val="none"/>
          <w:u w:val="single"/>
          <w:lang w:eastAsia="zh-CN"/>
        </w:rPr>
        <w:t>发包人</w:t>
      </w:r>
      <w:r>
        <w:rPr>
          <w:rFonts w:hint="eastAsia" w:ascii="宋体" w:hAnsi="宋体" w:cs="宋体"/>
          <w:color w:val="auto"/>
          <w:highlight w:val="none"/>
          <w:u w:val="single"/>
        </w:rPr>
        <w:t>要求检测的项目。</w:t>
      </w:r>
    </w:p>
    <w:p w14:paraId="3A3174F6">
      <w:pPr>
        <w:tabs>
          <w:tab w:val="left" w:pos="7513"/>
        </w:tabs>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（二）检测监测方案编制：</w:t>
      </w:r>
    </w:p>
    <w:p w14:paraId="5389D808">
      <w:pPr>
        <w:tabs>
          <w:tab w:val="left" w:pos="7513"/>
        </w:tabs>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cs="宋体"/>
          <w:color w:val="auto"/>
          <w:highlight w:val="none"/>
          <w:u w:val="single"/>
        </w:rPr>
        <w:t>1.根据项目特征及类型、相关标准及规范、施工图、施组方案、施工计划、检测监测技术要求等编制对应项目的第三方检测监测方案，报监理单位组织设计单位、施工单位审核确认后，在工作任务书发出后10日内向</w:t>
      </w:r>
      <w:r>
        <w:rPr>
          <w:rFonts w:hint="eastAsia" w:ascii="宋体" w:hAnsi="宋体" w:cs="宋体"/>
          <w:color w:val="auto"/>
          <w:highlight w:val="none"/>
          <w:u w:val="single"/>
          <w:lang w:eastAsia="zh-CN"/>
        </w:rPr>
        <w:t>发包人</w:t>
      </w:r>
      <w:r>
        <w:rPr>
          <w:rFonts w:hint="eastAsia" w:ascii="宋体" w:hAnsi="宋体" w:cs="宋体"/>
          <w:color w:val="auto"/>
          <w:highlight w:val="none"/>
          <w:u w:val="single"/>
        </w:rPr>
        <w:t>备案，并经监理单位下达执行指令方可实施。</w:t>
      </w:r>
    </w:p>
    <w:p w14:paraId="181DAFBC">
      <w:pPr>
        <w:tabs>
          <w:tab w:val="left" w:pos="7513"/>
        </w:tabs>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w:t>
      </w:r>
      <w:r>
        <w:rPr>
          <w:rFonts w:hint="eastAsia" w:ascii="宋体" w:hAnsi="宋体" w:cs="宋体"/>
          <w:color w:val="auto"/>
          <w:highlight w:val="none"/>
          <w:u w:val="single"/>
        </w:rPr>
        <w:t>原则上单项工程检测监测方案预算不得高于该单项工程概算对应检测监测费用，若出现非承包</w:t>
      </w:r>
      <w:r>
        <w:rPr>
          <w:rFonts w:hint="eastAsia" w:ascii="宋体" w:hAnsi="宋体" w:cs="宋体"/>
          <w:color w:val="auto"/>
          <w:highlight w:val="none"/>
          <w:u w:val="single"/>
          <w:lang w:eastAsia="zh-CN"/>
        </w:rPr>
        <w:t>人</w:t>
      </w:r>
      <w:r>
        <w:rPr>
          <w:rFonts w:hint="eastAsia" w:ascii="宋体" w:hAnsi="宋体" w:cs="宋体"/>
          <w:color w:val="auto"/>
          <w:highlight w:val="none"/>
          <w:u w:val="single"/>
        </w:rPr>
        <w:t>原因导致超概算对应检测监测费用情况，</w:t>
      </w:r>
      <w:r>
        <w:rPr>
          <w:rFonts w:hint="eastAsia" w:ascii="宋体" w:hAnsi="宋体" w:cs="宋体"/>
          <w:color w:val="auto"/>
          <w:highlight w:val="none"/>
          <w:u w:val="single"/>
          <w:lang w:eastAsia="zh-CN"/>
        </w:rPr>
        <w:t>承包人</w:t>
      </w:r>
      <w:r>
        <w:rPr>
          <w:rFonts w:hint="eastAsia" w:ascii="宋体" w:hAnsi="宋体" w:cs="宋体"/>
          <w:color w:val="auto"/>
          <w:highlight w:val="none"/>
          <w:u w:val="single"/>
        </w:rPr>
        <w:t>必须分析查找原因，采取措施进行控制，并将方案报监理单位组织审核。</w:t>
      </w:r>
    </w:p>
    <w:p w14:paraId="1C003CBB">
      <w:pPr>
        <w:tabs>
          <w:tab w:val="left" w:pos="7513"/>
        </w:tabs>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w:t>
      </w:r>
      <w:r>
        <w:rPr>
          <w:rFonts w:hint="eastAsia" w:ascii="宋体" w:hAnsi="宋体" w:cs="宋体"/>
          <w:color w:val="auto"/>
          <w:highlight w:val="none"/>
          <w:u w:val="single"/>
        </w:rPr>
        <w:t>编制的检测监测方案必须符合国家及地方现行有关技术规范或规定以及设计单位的技术要求，一经确认，不得随意更改，由</w:t>
      </w:r>
      <w:r>
        <w:rPr>
          <w:rFonts w:hint="eastAsia" w:ascii="宋体" w:hAnsi="宋体" w:cs="宋体"/>
          <w:color w:val="auto"/>
          <w:highlight w:val="none"/>
          <w:u w:val="single"/>
          <w:lang w:eastAsia="zh-CN"/>
        </w:rPr>
        <w:t>发包人</w:t>
      </w:r>
      <w:r>
        <w:rPr>
          <w:rFonts w:hint="eastAsia" w:ascii="宋体" w:hAnsi="宋体" w:cs="宋体"/>
          <w:color w:val="auto"/>
          <w:highlight w:val="none"/>
          <w:u w:val="single"/>
        </w:rPr>
        <w:t>留存，并根据需要向工程质量监管部门办理备案手续。如需调整方案，各方需按照原审批流程办理审核及确认手续，方可执行新方案</w:t>
      </w:r>
      <w:r>
        <w:rPr>
          <w:rFonts w:hint="eastAsia" w:ascii="宋体" w:hAnsi="宋体" w:cs="宋体"/>
          <w:color w:val="auto"/>
          <w:highlight w:val="none"/>
          <w:u w:val="single"/>
          <w:lang w:eastAsia="zh-CN"/>
        </w:rPr>
        <w:t>。</w:t>
      </w:r>
    </w:p>
    <w:p w14:paraId="323471C3">
      <w:pPr>
        <w:tabs>
          <w:tab w:val="left" w:pos="7513"/>
        </w:tabs>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（三）在进行检测任务的过程中与该工程相关的施工单位、监理单位、设计单位、</w:t>
      </w:r>
      <w:r>
        <w:rPr>
          <w:rFonts w:hint="eastAsia" w:ascii="宋体" w:hAnsi="宋体" w:cs="宋体"/>
          <w:color w:val="auto"/>
          <w:highlight w:val="none"/>
          <w:u w:val="single"/>
          <w:lang w:eastAsia="zh-CN"/>
        </w:rPr>
        <w:t>发包人</w:t>
      </w:r>
      <w:r>
        <w:rPr>
          <w:rFonts w:hint="eastAsia" w:ascii="宋体" w:hAnsi="宋体" w:cs="宋体"/>
          <w:color w:val="auto"/>
          <w:highlight w:val="none"/>
          <w:u w:val="single"/>
        </w:rPr>
        <w:t>、建设主管部门等相关单位的协调工作。</w:t>
      </w:r>
    </w:p>
    <w:p w14:paraId="6D42C9B2">
      <w:pPr>
        <w:tabs>
          <w:tab w:val="left" w:pos="7513"/>
        </w:tabs>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（四）检测数据的有关信息根据需要通过市水务监管系统进行传输报送。</w:t>
      </w:r>
    </w:p>
    <w:p w14:paraId="4FE4A268">
      <w:pPr>
        <w:tabs>
          <w:tab w:val="left" w:pos="7513"/>
        </w:tabs>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（五）确保施工阶段及验收阶段的各项验收及质量评定所必须的全部质量检测工作根据有关规范及规定按要求出具合法有效的检测成果报告，项目不因检测工作影响工程建设进度及验收。</w:t>
      </w:r>
    </w:p>
    <w:p w14:paraId="49F3A080">
      <w:pPr>
        <w:tabs>
          <w:tab w:val="left" w:pos="7513"/>
        </w:tabs>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（六）自合同签订之日起至所有服务项目完成期间，每批次于现场取样后3天内提交检测初步报告，10天内提交正式检测报告。部分检测内容须待场地问题解决后方能开始实施，服务周期必须满足实际施工要求。</w:t>
      </w:r>
    </w:p>
    <w:p w14:paraId="301E8F49">
      <w:pPr>
        <w:tabs>
          <w:tab w:val="left" w:pos="7513"/>
        </w:tabs>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cs="宋体"/>
          <w:color w:val="auto"/>
          <w:highlight w:val="none"/>
          <w:u w:val="single"/>
        </w:rPr>
        <w:t>（七）服务范围除上述检测、监测工作外，包括但不限于</w:t>
      </w:r>
      <w:r>
        <w:rPr>
          <w:rFonts w:hint="eastAsia" w:ascii="宋体" w:hAnsi="宋体" w:eastAsia="宋体" w:cs="宋体"/>
          <w:color w:val="auto"/>
          <w:sz w:val="24"/>
          <w:szCs w:val="24"/>
          <w:highlight w:val="none"/>
          <w:u w:val="single"/>
        </w:rPr>
        <w:t>：</w:t>
      </w:r>
    </w:p>
    <w:p w14:paraId="084822C6">
      <w:pPr>
        <w:tabs>
          <w:tab w:val="left" w:pos="7513"/>
        </w:tabs>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①与工程所在行政区域的相关水务行政主管部门和监督部门进行检测工作的协调，申报检测技术成果的审批。保证技术成果能够通过相关部门认可，确保不因检测工作影响本工程项目的建设进度和竣工验收。</w:t>
      </w:r>
    </w:p>
    <w:p w14:paraId="7A6D9B70">
      <w:pPr>
        <w:tabs>
          <w:tab w:val="left" w:pos="7513"/>
        </w:tabs>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②定期召开例会协调解决、汇报工作过程中存在的问题，并于每月25日提交月报、每三个月提交一次季报、工作小结等阶段性报告。</w:t>
      </w:r>
    </w:p>
    <w:p w14:paraId="75FDA75D">
      <w:pPr>
        <w:tabs>
          <w:tab w:val="left" w:pos="7513"/>
        </w:tabs>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③建立检测监测工作记录台账及不合格检验记录台账，主要应包括检测监测的时间、对应施工点、检测监测内容、报告出具时间、对应内容单价（合同单价）及合价、累计完成合同总价占比等情况，每月与施工、监理单位对数并更新。</w:t>
      </w:r>
    </w:p>
    <w:p w14:paraId="469A1FA4">
      <w:pPr>
        <w:tabs>
          <w:tab w:val="left" w:pos="7513"/>
        </w:tabs>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cs="宋体"/>
          <w:color w:val="auto"/>
          <w:highlight w:val="none"/>
          <w:u w:val="single"/>
        </w:rPr>
        <w:t>④当预估产生的检测监测费用与现场施工进度偏差超10%时，应触发预警动作，提醒监理单位及</w:t>
      </w:r>
      <w:r>
        <w:rPr>
          <w:rFonts w:hint="eastAsia" w:ascii="宋体" w:hAnsi="宋体" w:cs="宋体"/>
          <w:color w:val="auto"/>
          <w:sz w:val="24"/>
          <w:szCs w:val="24"/>
          <w:highlight w:val="none"/>
          <w:u w:val="single"/>
          <w:lang w:eastAsia="zh-CN"/>
        </w:rPr>
        <w:t>发包人</w:t>
      </w:r>
      <w:r>
        <w:rPr>
          <w:rFonts w:hint="eastAsia" w:ascii="宋体" w:hAnsi="宋体" w:eastAsia="宋体" w:cs="宋体"/>
          <w:color w:val="auto"/>
          <w:sz w:val="24"/>
          <w:szCs w:val="24"/>
          <w:highlight w:val="none"/>
          <w:u w:val="single"/>
        </w:rPr>
        <w:t>。</w:t>
      </w:r>
    </w:p>
    <w:p w14:paraId="69F0A76E">
      <w:pPr>
        <w:tabs>
          <w:tab w:val="left" w:pos="7513"/>
        </w:tabs>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⑤对监测资料进行记录并存档以备查用，结合施工工况、天气情况、周围环境变化综合分析和判断，并提出相关建议。</w:t>
      </w:r>
    </w:p>
    <w:p w14:paraId="5A303245">
      <w:pPr>
        <w:tabs>
          <w:tab w:val="left" w:pos="7513"/>
        </w:tabs>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cs="宋体"/>
          <w:color w:val="auto"/>
          <w:highlight w:val="none"/>
          <w:u w:val="single"/>
        </w:rPr>
        <w:t>⑥严格按《广州市水务局关于严格规范落实水务工程建设质量终身责任制有关规定的通知》、《广州市水务局转发关于水利工程建设质量终身责任的管理办法（试行）的通知》（穗水质安〔2018〕139号）等文件要求，落实工程质量终身责任管理工作。</w:t>
      </w:r>
    </w:p>
    <w:p w14:paraId="1024886D">
      <w:pPr>
        <w:tabs>
          <w:tab w:val="left" w:pos="7513"/>
        </w:tabs>
        <w:spacing w:line="360" w:lineRule="auto"/>
        <w:ind w:firstLine="480" w:firstLineChars="200"/>
        <w:jc w:val="both"/>
        <w:rPr>
          <w:rFonts w:hint="eastAsia" w:eastAsia="宋体"/>
          <w:color w:val="auto"/>
          <w:highlight w:val="none"/>
          <w:lang w:val="en-US" w:eastAsia="zh-CN"/>
        </w:rPr>
      </w:pPr>
      <w:r>
        <w:rPr>
          <w:rFonts w:hint="eastAsia" w:cs="宋体"/>
          <w:color w:val="auto"/>
          <w:sz w:val="24"/>
          <w:szCs w:val="24"/>
          <w:highlight w:val="none"/>
          <w:u w:val="single"/>
          <w:lang w:eastAsia="zh-CN"/>
        </w:rPr>
        <w:t>（八）</w:t>
      </w:r>
      <w:r>
        <w:rPr>
          <w:rFonts w:hint="eastAsia" w:cs="宋体"/>
          <w:color w:val="auto"/>
          <w:highlight w:val="none"/>
          <w:u w:val="single"/>
          <w:lang w:eastAsia="zh-CN"/>
        </w:rPr>
        <w:t>本次检测、监测招标内容如涉及在消防、公路、铁路、桥梁等其它行政管理部门管辖范围内的专项检测、监测服务，但承包人不具备专项专业检测、监测资质，经发包人审批同意后，承包人可将该部分检测、监测工作分包给具备相应消防、公路、铁路、桥梁等其它专业工程检测、监测资质的单位实施，并在分包合同签订之日起7天内向发包人和监理单位各提交一份分包合同。</w:t>
      </w:r>
    </w:p>
    <w:p w14:paraId="38DBF8F7">
      <w:pPr>
        <w:tabs>
          <w:tab w:val="left" w:pos="7513"/>
        </w:tabs>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2.2.3服务</w:t>
      </w:r>
      <w:r>
        <w:rPr>
          <w:rFonts w:hint="eastAsia" w:ascii="宋体" w:hAnsi="宋体" w:cs="宋体"/>
          <w:color w:val="auto"/>
          <w:sz w:val="24"/>
          <w:szCs w:val="24"/>
          <w:highlight w:val="none"/>
          <w:lang w:val="en-US" w:eastAsia="zh-CN"/>
        </w:rPr>
        <w:t>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自合同签订之日起满两年或实际委托的金额达到暂定合同总额（二者以先到为准），发包人终止向</w:t>
      </w:r>
      <w:r>
        <w:rPr>
          <w:rFonts w:hint="eastAsia" w:ascii="宋体" w:hAnsi="宋体" w:cs="宋体"/>
          <w:color w:val="auto"/>
          <w:sz w:val="24"/>
          <w:szCs w:val="24"/>
          <w:highlight w:val="none"/>
          <w:u w:val="single"/>
          <w:lang w:eastAsia="zh-CN"/>
        </w:rPr>
        <w:t>承包人</w:t>
      </w:r>
      <w:r>
        <w:rPr>
          <w:rFonts w:hint="eastAsia" w:ascii="宋体" w:hAnsi="宋体" w:eastAsia="宋体" w:cs="宋体"/>
          <w:color w:val="auto"/>
          <w:sz w:val="24"/>
          <w:szCs w:val="24"/>
          <w:highlight w:val="none"/>
          <w:u w:val="single"/>
        </w:rPr>
        <w:t>委托工程项目。</w:t>
      </w:r>
    </w:p>
    <w:p w14:paraId="3309840F">
      <w:pPr>
        <w:tabs>
          <w:tab w:val="left" w:pos="7513"/>
        </w:tabs>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单项工程的质量检测、监测服务期自委托之日起至工程竣工并验收合格两年，并且质量检测档案经档案馆验收合格，二者须同时满足。</w:t>
      </w:r>
    </w:p>
    <w:p w14:paraId="46F06E21">
      <w:pPr>
        <w:tabs>
          <w:tab w:val="left" w:pos="7513"/>
        </w:tabs>
        <w:spacing w:line="360" w:lineRule="auto"/>
        <w:ind w:firstLine="480" w:firstLineChars="200"/>
        <w:jc w:val="both"/>
        <w:rPr>
          <w:color w:val="auto"/>
          <w:highlight w:val="none"/>
        </w:rPr>
      </w:pPr>
      <w:r>
        <w:rPr>
          <w:rFonts w:hint="eastAsia" w:ascii="宋体" w:hAnsi="宋体" w:eastAsia="宋体" w:cs="宋体"/>
          <w:color w:val="auto"/>
          <w:sz w:val="24"/>
          <w:szCs w:val="24"/>
          <w:highlight w:val="none"/>
        </w:rPr>
        <w:t>2.2.4最高投标限价：</w:t>
      </w:r>
      <w:bookmarkStart w:id="11" w:name="OLE_LINK1"/>
      <w:r>
        <w:rPr>
          <w:rFonts w:hint="eastAsia" w:ascii="宋体" w:hAnsi="宋体" w:cs="宋体"/>
          <w:color w:val="auto"/>
          <w:highlight w:val="none"/>
          <w:u w:val="single"/>
          <w:lang w:val="en-US" w:eastAsia="zh-CN"/>
        </w:rPr>
        <w:t>858.73</w:t>
      </w:r>
      <w:r>
        <w:rPr>
          <w:rFonts w:hint="eastAsia" w:ascii="宋体" w:hAnsi="宋体" w:cs="宋体"/>
          <w:color w:val="auto"/>
          <w:sz w:val="24"/>
          <w:szCs w:val="24"/>
          <w:highlight w:val="none"/>
          <w:u w:val="single"/>
          <w:lang w:val="en-US" w:eastAsia="zh-CN"/>
        </w:rPr>
        <w:t>万元</w:t>
      </w:r>
      <w:r>
        <w:rPr>
          <w:rFonts w:hint="eastAsia" w:ascii="宋体" w:hAnsi="宋体" w:eastAsia="宋体" w:cs="宋体"/>
          <w:color w:val="auto"/>
          <w:highlight w:val="none"/>
          <w:lang w:val="en-US" w:eastAsia="zh-CN" w:bidi="ar"/>
        </w:rPr>
        <w:t>。</w:t>
      </w:r>
      <w:bookmarkEnd w:id="11"/>
    </w:p>
    <w:p w14:paraId="737F9BEC">
      <w:pPr>
        <w:pStyle w:val="14"/>
        <w:ind w:left="0" w:firstLine="518" w:firstLineChars="216"/>
        <w:jc w:val="both"/>
        <w:rPr>
          <w:rFonts w:hint="eastAsia"/>
          <w:color w:val="auto"/>
          <w:highlight w:val="none"/>
        </w:rPr>
      </w:pPr>
      <w:r>
        <w:rPr>
          <w:rFonts w:hint="eastAsia" w:ascii="宋体" w:hAnsi="宋体"/>
          <w:color w:val="auto"/>
          <w:sz w:val="24"/>
          <w:szCs w:val="24"/>
          <w:highlight w:val="none"/>
        </w:rPr>
        <w:t>本项目暂定合同总额按</w:t>
      </w:r>
      <w:r>
        <w:rPr>
          <w:rFonts w:hint="eastAsia" w:ascii="宋体" w:hAnsi="宋体"/>
          <w:b w:val="0"/>
          <w:bCs w:val="0"/>
          <w:color w:val="auto"/>
          <w:sz w:val="24"/>
          <w:highlight w:val="none"/>
        </w:rPr>
        <w:t>最高投标限价</w:t>
      </w:r>
      <w:r>
        <w:rPr>
          <w:rFonts w:hint="eastAsia" w:ascii="宋体" w:hAnsi="宋体"/>
          <w:color w:val="auto"/>
          <w:sz w:val="24"/>
          <w:szCs w:val="24"/>
          <w:highlight w:val="none"/>
        </w:rPr>
        <w:t>签订</w:t>
      </w:r>
      <w:r>
        <w:rPr>
          <w:rFonts w:hint="eastAsia" w:ascii="宋体" w:hAnsi="宋体"/>
          <w:color w:val="auto"/>
          <w:sz w:val="24"/>
          <w:szCs w:val="24"/>
          <w:highlight w:val="none"/>
          <w:lang w:eastAsia="zh-CN"/>
        </w:rPr>
        <w:t>，投标报价得分按投标人报的下浮率计算。</w:t>
      </w:r>
    </w:p>
    <w:p w14:paraId="0EE70B19">
      <w:pPr>
        <w:pStyle w:val="7"/>
        <w:jc w:val="both"/>
        <w:outlineLvl w:val="1"/>
        <w:rPr>
          <w:rFonts w:hint="eastAsia" w:ascii="宋体" w:hAnsi="宋体" w:eastAsia="宋体" w:cs="宋体"/>
          <w:b w:val="0"/>
          <w:i/>
          <w:color w:val="auto"/>
          <w:sz w:val="21"/>
          <w:szCs w:val="21"/>
          <w:highlight w:val="none"/>
          <w:lang w:val="en-US" w:eastAsia="zh-CN"/>
        </w:rPr>
      </w:pPr>
      <w:bookmarkStart w:id="12" w:name="bookmark4"/>
      <w:bookmarkEnd w:id="12"/>
      <w:bookmarkStart w:id="13" w:name="_Toc32236"/>
      <w:r>
        <w:rPr>
          <w:rFonts w:hint="eastAsia" w:ascii="宋体" w:hAnsi="宋体" w:eastAsia="宋体" w:cs="宋体"/>
          <w:color w:val="auto"/>
          <w:sz w:val="24"/>
          <w:szCs w:val="24"/>
          <w:highlight w:val="none"/>
        </w:rPr>
        <w:t>3.投标人资格要求</w:t>
      </w:r>
      <w:bookmarkEnd w:id="13"/>
    </w:p>
    <w:p w14:paraId="2B2D1BA3">
      <w:pPr>
        <w:tabs>
          <w:tab w:val="left" w:pos="7513"/>
        </w:tabs>
        <w:spacing w:line="360" w:lineRule="auto"/>
        <w:ind w:firstLine="480" w:firstLineChars="200"/>
        <w:jc w:val="both"/>
        <w:rPr>
          <w:rFonts w:hint="eastAsia" w:ascii="宋体" w:hAnsi="宋体" w:eastAsia="宋体" w:cs="宋体"/>
          <w:color w:val="auto"/>
          <w:sz w:val="24"/>
          <w:szCs w:val="24"/>
          <w:highlight w:val="none"/>
          <w:lang w:val="en-US" w:eastAsia="zh-CN"/>
        </w:rPr>
      </w:pPr>
      <w:bookmarkStart w:id="14" w:name="_Toc31217"/>
      <w:r>
        <w:rPr>
          <w:rFonts w:hint="eastAsia" w:ascii="宋体" w:hAnsi="宋体" w:eastAsia="宋体" w:cs="宋体"/>
          <w:color w:val="auto"/>
          <w:sz w:val="24"/>
          <w:szCs w:val="24"/>
          <w:highlight w:val="none"/>
          <w:lang w:val="en-US" w:eastAsia="zh-CN"/>
        </w:rPr>
        <w:t>3.1 投标人参加投标的意思表达清楚，投标人代表被授权有效。</w:t>
      </w:r>
      <w:bookmarkEnd w:id="14"/>
    </w:p>
    <w:p w14:paraId="0BA424F9">
      <w:pPr>
        <w:tabs>
          <w:tab w:val="left" w:pos="7513"/>
        </w:tabs>
        <w:spacing w:line="360" w:lineRule="auto"/>
        <w:ind w:right="-288" w:rightChars="-12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3.2 </w:t>
      </w:r>
      <w:r>
        <w:rPr>
          <w:rFonts w:hint="eastAsia" w:ascii="宋体" w:hAnsi="宋体" w:cs="宋体"/>
          <w:color w:val="auto"/>
          <w:highlight w:val="none"/>
          <w:lang w:val="en-US" w:eastAsia="zh-CN"/>
        </w:rPr>
        <w:t>投标人（如为联合体，要求联合体各方）是法人或其他组织，按国家法律经营。</w:t>
      </w:r>
    </w:p>
    <w:p w14:paraId="3E73B34D">
      <w:pPr>
        <w:spacing w:line="360" w:lineRule="auto"/>
        <w:ind w:firstLine="480" w:firstLineChars="200"/>
        <w:jc w:val="both"/>
        <w:rPr>
          <w:rFonts w:hint="eastAsia" w:ascii="宋体" w:hAnsi="宋体" w:eastAsia="宋体" w:cs="宋体"/>
          <w:color w:val="auto"/>
          <w:sz w:val="24"/>
          <w:szCs w:val="24"/>
          <w:highlight w:val="none"/>
          <w:lang w:val="en-US" w:eastAsia="zh-CN"/>
        </w:rPr>
      </w:pPr>
      <w:bookmarkStart w:id="15" w:name="_Toc9121"/>
      <w:r>
        <w:rPr>
          <w:rFonts w:hint="eastAsia" w:ascii="宋体" w:hAnsi="宋体" w:eastAsia="宋体" w:cs="宋体"/>
          <w:color w:val="auto"/>
          <w:sz w:val="24"/>
          <w:szCs w:val="24"/>
          <w:highlight w:val="none"/>
          <w:lang w:val="en-US" w:eastAsia="zh-CN"/>
        </w:rPr>
        <w:t xml:space="preserve">3.3 </w:t>
      </w:r>
      <w:bookmarkEnd w:id="15"/>
      <w:r>
        <w:rPr>
          <w:rFonts w:hint="eastAsia" w:ascii="宋体" w:hAnsi="宋体" w:cs="宋体"/>
          <w:color w:val="auto"/>
          <w:highlight w:val="none"/>
          <w:lang w:val="en-US" w:eastAsia="zh-CN"/>
        </w:rPr>
        <w:t>投标人（如为联合体，要求联合体各方）具有质量技术监督部门颁发的CMA计量认证证书（认证范围覆盖招标内容），且证书在有效期内（如CMA计量认证合格证书中的认证项目与上述招标内容名称不同，但表达的意思一致也视为满足该项条件）</w:t>
      </w:r>
      <w:r>
        <w:rPr>
          <w:rFonts w:hint="eastAsia" w:ascii="宋体" w:hAnsi="宋体" w:eastAsia="宋体" w:cs="宋体"/>
          <w:color w:val="auto"/>
          <w:sz w:val="24"/>
          <w:szCs w:val="24"/>
          <w:highlight w:val="none"/>
          <w:lang w:val="en-US" w:eastAsia="zh-CN"/>
        </w:rPr>
        <w:t>。</w:t>
      </w:r>
    </w:p>
    <w:p w14:paraId="040CCD4D">
      <w:pPr>
        <w:spacing w:line="360" w:lineRule="auto"/>
        <w:ind w:firstLine="480" w:firstLineChars="200"/>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3.</w:t>
      </w:r>
      <w:r>
        <w:rPr>
          <w:rFonts w:hint="eastAsia" w:ascii="宋体" w:hAnsi="宋体" w:cs="宋体"/>
          <w:color w:val="auto"/>
          <w:sz w:val="24"/>
          <w:szCs w:val="24"/>
          <w:highlight w:val="none"/>
          <w:u w:val="none"/>
          <w:lang w:val="en-US" w:eastAsia="zh-CN"/>
        </w:rPr>
        <w:t xml:space="preserve">4 </w:t>
      </w:r>
      <w:r>
        <w:rPr>
          <w:rFonts w:hint="eastAsia" w:ascii="宋体" w:hAnsi="宋体" w:cs="宋体"/>
          <w:color w:val="auto"/>
          <w:highlight w:val="none"/>
          <w:u w:val="none"/>
        </w:rPr>
        <w:t>投标人（如为联合体，要求承担检测任务的一方）具备建设行政主管部门颁发的建设工程质量检测机构资质证书（检测范围应涵盖本招标内容，包括但不限于：主体结构工程现场检测资质，见证取样检测资质、地基基础工程检测资质等。如检测机构资质证书中的检测项目与上述名称不同，但表达的意思一致也视为满足该项条件)，且资质证书在有效期内</w:t>
      </w:r>
      <w:r>
        <w:rPr>
          <w:rFonts w:hint="eastAsia" w:ascii="宋体" w:hAnsi="宋体" w:cs="宋体"/>
          <w:color w:val="auto"/>
          <w:sz w:val="24"/>
          <w:szCs w:val="24"/>
          <w:highlight w:val="none"/>
          <w:u w:val="none"/>
        </w:rPr>
        <w:t>。</w:t>
      </w:r>
    </w:p>
    <w:p w14:paraId="0AC41A9A">
      <w:pPr>
        <w:spacing w:line="360" w:lineRule="auto"/>
        <w:ind w:firstLine="480" w:firstLineChars="200"/>
        <w:jc w:val="both"/>
        <w:rPr>
          <w:rFonts w:hint="eastAsia" w:ascii="宋体" w:hAnsi="宋体" w:cs="宋体"/>
          <w:color w:val="auto"/>
          <w:highlight w:val="none"/>
          <w:u w:val="none"/>
        </w:rPr>
      </w:pPr>
      <w:r>
        <w:rPr>
          <w:rFonts w:hint="eastAsia" w:ascii="宋体" w:hAnsi="宋体" w:cs="宋体"/>
          <w:color w:val="auto"/>
          <w:highlight w:val="none"/>
          <w:u w:val="none"/>
        </w:rPr>
        <w:t>注：如投标人的企业资质是按照《住房和城乡建设部关于印发《建设工程质量检测机构资质标准》的通知》（建质规〔2023〕1号）、《广东省住房和城乡建设厅关于做好建设工程质量检测机构资质审批有关事项准备的通知》（粤建质〔2024〕244号）规定办理的，则要求具有建设行政主管部门颁发的以下①、②项其中之一资质：</w:t>
      </w:r>
    </w:p>
    <w:p w14:paraId="4B56C9ED">
      <w:pPr>
        <w:spacing w:line="360" w:lineRule="auto"/>
        <w:ind w:firstLine="480" w:firstLineChars="200"/>
        <w:jc w:val="both"/>
        <w:rPr>
          <w:rFonts w:hint="eastAsia" w:ascii="宋体" w:hAnsi="宋体" w:cs="宋体"/>
          <w:color w:val="auto"/>
          <w:highlight w:val="none"/>
          <w:u w:val="none"/>
        </w:rPr>
      </w:pPr>
      <w:r>
        <w:rPr>
          <w:rFonts w:hint="eastAsia" w:ascii="宋体" w:hAnsi="宋体" w:cs="宋体"/>
          <w:color w:val="auto"/>
          <w:highlight w:val="none"/>
          <w:u w:val="none"/>
        </w:rPr>
        <w:t>①具有建设工程质量检测机构综合资质（指包含全部专项资质的检测机构资质），且资质证书在有效期内。</w:t>
      </w:r>
    </w:p>
    <w:p w14:paraId="351AB8F9">
      <w:pPr>
        <w:spacing w:line="360" w:lineRule="auto"/>
        <w:ind w:firstLine="480" w:firstLineChars="200"/>
        <w:jc w:val="both"/>
        <w:rPr>
          <w:rFonts w:hint="eastAsia" w:ascii="宋体" w:hAnsi="宋体" w:cs="宋体"/>
          <w:color w:val="auto"/>
          <w:sz w:val="24"/>
          <w:szCs w:val="24"/>
          <w:highlight w:val="none"/>
          <w:u w:val="none"/>
        </w:rPr>
      </w:pPr>
      <w:r>
        <w:rPr>
          <w:rFonts w:hint="eastAsia" w:ascii="宋体" w:hAnsi="宋体" w:cs="宋体"/>
          <w:color w:val="auto"/>
          <w:highlight w:val="none"/>
          <w:u w:val="none"/>
        </w:rPr>
        <w:t>②具备建设工程质量检测机构资质证书（检测范围应涵盖本招标内容，包括但不限于：地基基础、市政工程材料、道路工程、建筑材料及构配件、钢结构专项资质，如检测机构资质证书中的检测项目与上述名称不同，但表达的意思一致也视为满足该项条件)，且资质证书在有效期内。</w:t>
      </w:r>
    </w:p>
    <w:p w14:paraId="61C1C7D2">
      <w:pPr>
        <w:spacing w:line="360" w:lineRule="auto"/>
        <w:ind w:firstLine="480" w:firstLineChars="200"/>
        <w:jc w:val="both"/>
        <w:rPr>
          <w:rFonts w:hint="eastAsia" w:ascii="宋体" w:hAnsi="宋体" w:cs="宋体"/>
          <w:color w:val="auto"/>
          <w:highlight w:val="none"/>
          <w:u w:val="none"/>
        </w:rPr>
      </w:pPr>
      <w:r>
        <w:rPr>
          <w:rFonts w:hint="eastAsia" w:ascii="宋体" w:hAnsi="宋体" w:cs="宋体"/>
          <w:color w:val="auto"/>
          <w:sz w:val="24"/>
          <w:szCs w:val="24"/>
          <w:highlight w:val="none"/>
          <w:u w:val="none"/>
        </w:rPr>
        <w:t>3.</w:t>
      </w:r>
      <w:r>
        <w:rPr>
          <w:rFonts w:hint="eastAsia" w:ascii="宋体" w:hAnsi="宋体" w:cs="宋体"/>
          <w:color w:val="auto"/>
          <w:sz w:val="24"/>
          <w:szCs w:val="24"/>
          <w:highlight w:val="none"/>
          <w:u w:val="none"/>
          <w:lang w:val="en-US" w:eastAsia="zh-CN"/>
        </w:rPr>
        <w:t xml:space="preserve">5 </w:t>
      </w:r>
      <w:r>
        <w:rPr>
          <w:rFonts w:hint="eastAsia" w:ascii="宋体" w:hAnsi="宋体" w:cs="宋体"/>
          <w:color w:val="auto"/>
          <w:highlight w:val="none"/>
          <w:u w:val="none"/>
        </w:rPr>
        <w:t>投标人（如为联合体，要求承担监测任务的一方）具有建设行政主管部门颁发的以下①、②项其中之一资质：</w:t>
      </w:r>
    </w:p>
    <w:p w14:paraId="7E812477">
      <w:pPr>
        <w:spacing w:line="360" w:lineRule="auto"/>
        <w:ind w:firstLine="480" w:firstLineChars="200"/>
        <w:jc w:val="both"/>
        <w:rPr>
          <w:rFonts w:hint="eastAsia" w:ascii="宋体" w:hAnsi="宋体" w:cs="宋体"/>
          <w:color w:val="auto"/>
          <w:highlight w:val="none"/>
          <w:u w:val="none"/>
        </w:rPr>
      </w:pPr>
      <w:r>
        <w:rPr>
          <w:rFonts w:hint="eastAsia" w:ascii="宋体" w:hAnsi="宋体" w:cs="宋体"/>
          <w:color w:val="auto"/>
          <w:highlight w:val="none"/>
          <w:u w:val="none"/>
        </w:rPr>
        <w:t>①工程勘察综合资质，且资质证书在有效期内；</w:t>
      </w:r>
    </w:p>
    <w:p w14:paraId="48501D8C">
      <w:pPr>
        <w:spacing w:line="360" w:lineRule="auto"/>
        <w:ind w:firstLine="480" w:firstLineChars="200"/>
        <w:jc w:val="both"/>
        <w:rPr>
          <w:rFonts w:hint="eastAsia" w:ascii="宋体" w:hAnsi="宋体" w:cs="宋体"/>
          <w:color w:val="auto"/>
          <w:sz w:val="24"/>
          <w:szCs w:val="24"/>
          <w:highlight w:val="none"/>
          <w:u w:val="none"/>
        </w:rPr>
      </w:pPr>
      <w:r>
        <w:rPr>
          <w:rFonts w:hint="eastAsia" w:ascii="宋体" w:hAnsi="宋体" w:cs="宋体"/>
          <w:color w:val="auto"/>
          <w:highlight w:val="none"/>
          <w:u w:val="none"/>
        </w:rPr>
        <w:t>②同时具有工程勘察专业类（岩土工程或岩土工程物探测试检测监测）乙级（或以上）资质及工程勘察专业类(工程测量)乙级（或以上）资质，且资质证书在有效期内。</w:t>
      </w:r>
    </w:p>
    <w:p w14:paraId="6726448B">
      <w:pPr>
        <w:spacing w:line="360" w:lineRule="auto"/>
        <w:ind w:firstLine="480" w:firstLineChars="200"/>
        <w:jc w:val="both"/>
        <w:rPr>
          <w:rFonts w:hint="eastAsia"/>
          <w:color w:val="auto"/>
          <w:highlight w:val="none"/>
          <w:u w:val="none"/>
        </w:rPr>
      </w:pPr>
      <w:r>
        <w:rPr>
          <w:rFonts w:hint="eastAsia" w:ascii="宋体" w:hAnsi="宋体" w:eastAsia="宋体" w:cs="宋体"/>
          <w:color w:val="auto"/>
          <w:w w:val="100"/>
          <w:sz w:val="24"/>
          <w:szCs w:val="24"/>
          <w:highlight w:val="none"/>
          <w:u w:val="none"/>
        </w:rPr>
        <w:t>注：香港企业参加投标的，须</w:t>
      </w:r>
      <w:r>
        <w:rPr>
          <w:rFonts w:hint="eastAsia" w:ascii="宋体" w:hAnsi="宋体" w:eastAsia="宋体" w:cs="宋体"/>
          <w:color w:val="auto"/>
          <w:w w:val="100"/>
          <w:sz w:val="24"/>
          <w:szCs w:val="24"/>
          <w:highlight w:val="none"/>
          <w:u w:val="none"/>
          <w:lang w:val="en-US" w:eastAsia="zh-CN"/>
        </w:rPr>
        <w:t>已</w:t>
      </w:r>
      <w:r>
        <w:rPr>
          <w:rFonts w:hint="eastAsia" w:ascii="宋体" w:hAnsi="宋体" w:eastAsia="宋体" w:cs="宋体"/>
          <w:color w:val="auto"/>
          <w:w w:val="100"/>
          <w:sz w:val="24"/>
          <w:szCs w:val="24"/>
          <w:highlight w:val="none"/>
          <w:u w:val="none"/>
        </w:rPr>
        <w:t>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w:t>
      </w:r>
      <w:r>
        <w:rPr>
          <w:rFonts w:hint="eastAsia" w:ascii="宋体" w:hAnsi="宋体" w:eastAsia="宋体" w:cs="宋体"/>
          <w:color w:val="auto"/>
          <w:w w:val="100"/>
          <w:sz w:val="24"/>
          <w:szCs w:val="24"/>
          <w:highlight w:val="none"/>
          <w:u w:val="none"/>
          <w:lang w:val="en-US" w:eastAsia="zh-CN"/>
        </w:rPr>
        <w:t>〔2020〕</w:t>
      </w:r>
      <w:r>
        <w:rPr>
          <w:rFonts w:hint="eastAsia" w:ascii="宋体" w:hAnsi="宋体" w:eastAsia="宋体" w:cs="宋体"/>
          <w:color w:val="auto"/>
          <w:w w:val="100"/>
          <w:sz w:val="24"/>
          <w:szCs w:val="24"/>
          <w:highlight w:val="none"/>
          <w:u w:val="none"/>
        </w:rPr>
        <w:t>1号）确定</w:t>
      </w:r>
      <w:r>
        <w:rPr>
          <w:rFonts w:hint="eastAsia" w:ascii="宋体" w:hAnsi="宋体" w:eastAsia="宋体" w:cs="宋体"/>
          <w:color w:val="auto"/>
          <w:w w:val="100"/>
          <w:sz w:val="24"/>
          <w:szCs w:val="24"/>
          <w:highlight w:val="none"/>
          <w:u w:val="none"/>
          <w:lang w:eastAsia="zh-CN"/>
        </w:rPr>
        <w:t>，工程勘察企业资质证书有效期按《住房和城乡建设部办公厅关于做好建筑业“证照分离”改革衔接有关工作的通知》（建办市〔2021〕30号）执行、《住房城乡建设部建筑市场监管司关于建设工程企业资质延续有关事项的通知》（建司局函市〔2023〕116号）、《广东省住房和城乡建设厅关于建设工程企业资质延续有关事项的通知》（粤建许函〔2023〕820号）和</w:t>
      </w:r>
      <w:r>
        <w:rPr>
          <w:rFonts w:hint="eastAsia" w:ascii="宋体" w:hAnsi="宋体" w:eastAsia="宋体" w:cs="宋体"/>
          <w:color w:val="auto"/>
          <w:w w:val="100"/>
          <w:sz w:val="24"/>
          <w:szCs w:val="24"/>
          <w:highlight w:val="none"/>
          <w:u w:val="none"/>
          <w:lang w:val="en-US" w:eastAsia="zh-CN"/>
        </w:rPr>
        <w:t>《广东省住房和城乡建设厅关于做好有关建设工程企业资质证书换领工作的通知》（粤建许函〔2024〕124号）</w:t>
      </w:r>
      <w:r>
        <w:rPr>
          <w:rFonts w:hint="eastAsia" w:ascii="宋体" w:hAnsi="宋体" w:eastAsia="宋体" w:cs="宋体"/>
          <w:color w:val="auto"/>
          <w:w w:val="100"/>
          <w:sz w:val="24"/>
          <w:szCs w:val="24"/>
          <w:highlight w:val="none"/>
          <w:u w:val="none"/>
          <w:lang w:eastAsia="zh-CN"/>
        </w:rPr>
        <w:t>执行</w:t>
      </w:r>
      <w:r>
        <w:rPr>
          <w:rFonts w:hint="eastAsia" w:ascii="宋体" w:hAnsi="宋体" w:eastAsia="宋体" w:cs="宋体"/>
          <w:color w:val="auto"/>
          <w:w w:val="100"/>
          <w:sz w:val="24"/>
          <w:szCs w:val="24"/>
          <w:highlight w:val="none"/>
          <w:u w:val="none"/>
        </w:rPr>
        <w:t>]。</w:t>
      </w:r>
    </w:p>
    <w:p w14:paraId="390016AA">
      <w:pPr>
        <w:spacing w:line="360" w:lineRule="auto"/>
        <w:ind w:firstLine="480" w:firstLineChars="200"/>
        <w:jc w:val="both"/>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rPr>
        <w:t>3.</w:t>
      </w:r>
      <w:r>
        <w:rPr>
          <w:rFonts w:hint="eastAsia" w:ascii="宋体" w:hAnsi="宋体" w:cs="宋体"/>
          <w:color w:val="auto"/>
          <w:sz w:val="24"/>
          <w:szCs w:val="24"/>
          <w:highlight w:val="none"/>
          <w:u w:val="none"/>
          <w:lang w:val="en-US" w:eastAsia="zh-CN"/>
        </w:rPr>
        <w:t xml:space="preserve">6 </w:t>
      </w:r>
      <w:r>
        <w:rPr>
          <w:rFonts w:hint="eastAsia" w:ascii="宋体" w:hAnsi="宋体" w:eastAsia="宋体" w:cs="宋体"/>
          <w:color w:val="auto"/>
          <w:sz w:val="24"/>
          <w:szCs w:val="24"/>
          <w:highlight w:val="none"/>
          <w:u w:val="none"/>
        </w:rPr>
        <w:t>投标人已在</w:t>
      </w:r>
      <w:r>
        <w:rPr>
          <w:rFonts w:hint="eastAsia" w:ascii="宋体" w:hAnsi="宋体" w:eastAsia="宋体" w:cs="宋体"/>
          <w:color w:val="auto"/>
          <w:sz w:val="24"/>
          <w:szCs w:val="24"/>
          <w:highlight w:val="none"/>
          <w:u w:val="none"/>
          <w:lang w:eastAsia="zh-CN"/>
        </w:rPr>
        <w:t>广州交易集团有限公司（广州公共资源交易中心）</w:t>
      </w:r>
      <w:r>
        <w:rPr>
          <w:rFonts w:hint="eastAsia" w:ascii="宋体" w:hAnsi="宋体" w:eastAsia="宋体" w:cs="宋体"/>
          <w:color w:val="auto"/>
          <w:sz w:val="24"/>
          <w:szCs w:val="24"/>
          <w:highlight w:val="none"/>
          <w:u w:val="none"/>
        </w:rPr>
        <w:t>办理企业信息登记，本项目负责人是本企业在</w:t>
      </w:r>
      <w:r>
        <w:rPr>
          <w:rFonts w:hint="eastAsia" w:ascii="宋体" w:hAnsi="宋体" w:eastAsia="宋体" w:cs="宋体"/>
          <w:color w:val="auto"/>
          <w:sz w:val="24"/>
          <w:szCs w:val="24"/>
          <w:highlight w:val="none"/>
          <w:u w:val="none"/>
          <w:lang w:eastAsia="zh-CN"/>
        </w:rPr>
        <w:t>广州交易集团有限公司（广州公共资源交易中心）</w:t>
      </w:r>
      <w:r>
        <w:rPr>
          <w:rFonts w:hint="eastAsia" w:ascii="宋体" w:hAnsi="宋体" w:eastAsia="宋体" w:cs="宋体"/>
          <w:color w:val="auto"/>
          <w:sz w:val="24"/>
          <w:szCs w:val="24"/>
          <w:highlight w:val="none"/>
          <w:u w:val="none"/>
        </w:rPr>
        <w:t>企业信息登记中的在册人员</w:t>
      </w:r>
      <w:r>
        <w:rPr>
          <w:rFonts w:hint="eastAsia" w:ascii="宋体" w:hAnsi="宋体" w:eastAsia="宋体" w:cs="宋体"/>
          <w:color w:val="auto"/>
          <w:sz w:val="24"/>
          <w:szCs w:val="24"/>
          <w:highlight w:val="none"/>
          <w:u w:val="none"/>
          <w:lang w:eastAsia="zh-CN"/>
        </w:rPr>
        <w:t>。</w:t>
      </w:r>
    </w:p>
    <w:p w14:paraId="00319E1E">
      <w:pPr>
        <w:spacing w:line="360" w:lineRule="auto"/>
        <w:ind w:firstLine="480" w:firstLineChars="200"/>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 xml:space="preserve">3.7 </w:t>
      </w:r>
      <w:r>
        <w:rPr>
          <w:rFonts w:hint="eastAsia" w:ascii="宋体" w:hAnsi="宋体" w:cs="宋体"/>
          <w:color w:val="auto"/>
          <w:sz w:val="24"/>
          <w:szCs w:val="24"/>
          <w:highlight w:val="none"/>
          <w:u w:val="none"/>
        </w:rPr>
        <w:t>关于联合体投标：本项目接受联合体投标。</w:t>
      </w:r>
    </w:p>
    <w:p w14:paraId="002FA675">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none"/>
        </w:rPr>
        <w:t>注：</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1</w:t>
      </w:r>
      <w:r>
        <w:rPr>
          <w:rFonts w:hint="eastAsia" w:ascii="宋体" w:hAnsi="宋体" w:cs="宋体"/>
          <w:color w:val="auto"/>
          <w:sz w:val="24"/>
          <w:szCs w:val="24"/>
          <w:highlight w:val="none"/>
          <w:u w:val="none"/>
          <w:lang w:eastAsia="zh-CN"/>
        </w:rPr>
        <w:t>）</w:t>
      </w:r>
      <w:r>
        <w:rPr>
          <w:rFonts w:hint="eastAsia" w:ascii="宋体" w:hAnsi="宋体" w:eastAsia="宋体" w:cs="宋体"/>
          <w:color w:val="auto"/>
          <w:sz w:val="24"/>
          <w:szCs w:val="24"/>
          <w:highlight w:val="none"/>
        </w:rPr>
        <w:t>如投标人组成联合体，应以</w:t>
      </w:r>
      <w:r>
        <w:rPr>
          <w:rFonts w:hint="eastAsia" w:ascii="宋体" w:hAnsi="宋体" w:eastAsia="宋体" w:cs="宋体"/>
          <w:color w:val="auto"/>
          <w:sz w:val="24"/>
          <w:szCs w:val="24"/>
          <w:highlight w:val="none"/>
          <w:u w:val="single"/>
        </w:rPr>
        <w:t>承接检测任务</w:t>
      </w:r>
      <w:r>
        <w:rPr>
          <w:rFonts w:hint="eastAsia" w:ascii="宋体" w:hAnsi="宋体" w:eastAsia="宋体" w:cs="宋体"/>
          <w:color w:val="auto"/>
          <w:sz w:val="24"/>
          <w:szCs w:val="24"/>
          <w:highlight w:val="none"/>
          <w:u w:val="single"/>
          <w:lang w:eastAsia="zh-CN"/>
        </w:rPr>
        <w:t>的</w:t>
      </w:r>
      <w:r>
        <w:rPr>
          <w:rFonts w:hint="eastAsia" w:ascii="宋体" w:hAnsi="宋体" w:cs="宋体"/>
          <w:color w:val="auto"/>
          <w:sz w:val="24"/>
          <w:szCs w:val="24"/>
          <w:highlight w:val="none"/>
          <w:u w:val="single"/>
          <w:lang w:eastAsia="zh-CN"/>
        </w:rPr>
        <w:t>一方</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主办方</w:t>
      </w:r>
      <w:r>
        <w:rPr>
          <w:rFonts w:hint="eastAsia" w:ascii="宋体" w:hAnsi="宋体" w:eastAsia="宋体" w:cs="宋体"/>
          <w:color w:val="auto"/>
          <w:sz w:val="24"/>
          <w:szCs w:val="24"/>
          <w:highlight w:val="none"/>
        </w:rPr>
        <w:t>，并签定联合体投标</w:t>
      </w:r>
      <w:r>
        <w:rPr>
          <w:rFonts w:hint="eastAsia" w:ascii="宋体" w:hAnsi="宋体" w:eastAsia="宋体" w:cs="宋体"/>
          <w:color w:val="auto"/>
          <w:sz w:val="24"/>
          <w:szCs w:val="24"/>
          <w:highlight w:val="none"/>
          <w:lang w:eastAsia="zh-CN"/>
        </w:rPr>
        <w:t>书</w:t>
      </w:r>
      <w:r>
        <w:rPr>
          <w:rFonts w:hint="eastAsia" w:ascii="宋体" w:hAnsi="宋体" w:eastAsia="宋体" w:cs="宋体"/>
          <w:color w:val="auto"/>
          <w:sz w:val="24"/>
          <w:szCs w:val="24"/>
          <w:highlight w:val="none"/>
        </w:rPr>
        <w:t>。投标人拟任本工程项目负责人应为</w:t>
      </w:r>
      <w:r>
        <w:rPr>
          <w:rFonts w:hint="eastAsia" w:ascii="宋体" w:hAnsi="宋体" w:eastAsia="宋体" w:cs="宋体"/>
          <w:color w:val="auto"/>
          <w:sz w:val="24"/>
          <w:szCs w:val="24"/>
          <w:highlight w:val="none"/>
          <w:lang w:eastAsia="zh-CN"/>
        </w:rPr>
        <w:t>主办方</w:t>
      </w:r>
      <w:r>
        <w:rPr>
          <w:rFonts w:hint="eastAsia" w:ascii="宋体" w:hAnsi="宋体" w:eastAsia="宋体" w:cs="宋体"/>
          <w:color w:val="auto"/>
          <w:sz w:val="24"/>
          <w:szCs w:val="24"/>
          <w:highlight w:val="none"/>
        </w:rPr>
        <w:t>正式员工。联合体投标</w:t>
      </w:r>
      <w:r>
        <w:rPr>
          <w:rFonts w:hint="eastAsia" w:ascii="宋体" w:hAnsi="宋体" w:eastAsia="宋体" w:cs="宋体"/>
          <w:color w:val="auto"/>
          <w:sz w:val="24"/>
          <w:szCs w:val="24"/>
          <w:highlight w:val="none"/>
          <w:lang w:eastAsia="zh-CN"/>
        </w:rPr>
        <w:t>书</w:t>
      </w:r>
      <w:r>
        <w:rPr>
          <w:rFonts w:hint="eastAsia" w:ascii="宋体" w:hAnsi="宋体" w:eastAsia="宋体" w:cs="宋体"/>
          <w:color w:val="auto"/>
          <w:sz w:val="24"/>
          <w:szCs w:val="24"/>
          <w:highlight w:val="none"/>
        </w:rPr>
        <w:t>应明确约定各方拟承担的工作和责任。</w:t>
      </w:r>
      <w:r>
        <w:rPr>
          <w:rFonts w:hint="eastAsia" w:ascii="宋体" w:hAnsi="宋体" w:eastAsia="宋体" w:cs="宋体"/>
          <w:color w:val="auto"/>
          <w:w w:val="100"/>
          <w:sz w:val="24"/>
          <w:szCs w:val="24"/>
          <w:highlight w:val="none"/>
        </w:rPr>
        <w:t>投标登记截止后</w:t>
      </w:r>
      <w:r>
        <w:rPr>
          <w:rFonts w:hint="eastAsia" w:ascii="宋体" w:hAnsi="宋体" w:eastAsia="宋体" w:cs="宋体"/>
          <w:color w:val="auto"/>
          <w:sz w:val="24"/>
          <w:szCs w:val="24"/>
          <w:highlight w:val="none"/>
        </w:rPr>
        <w:t>联合体增减、更换成员的，其投标无效。</w:t>
      </w:r>
    </w:p>
    <w:p w14:paraId="0A0F36EF">
      <w:pPr>
        <w:spacing w:line="360" w:lineRule="auto"/>
        <w:ind w:firstLine="480" w:firstLineChars="200"/>
        <w:jc w:val="both"/>
        <w:rPr>
          <w:rFonts w:hint="eastAsia" w:eastAsia="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联合体组成单位不得超过</w:t>
      </w:r>
      <w:r>
        <w:rPr>
          <w:rFonts w:hint="eastAsia" w:ascii="宋体" w:hAnsi="宋体" w:eastAsia="宋体" w:cs="宋体"/>
          <w:color w:val="auto"/>
          <w:kern w:val="2"/>
          <w:sz w:val="24"/>
          <w:szCs w:val="24"/>
          <w:highlight w:val="none"/>
          <w:u w:val="single"/>
          <w:lang w:val="en-US" w:eastAsia="zh-CN" w:bidi="ar-SA"/>
        </w:rPr>
        <w:t xml:space="preserve">  2  </w:t>
      </w:r>
      <w:r>
        <w:rPr>
          <w:rFonts w:hint="eastAsia" w:ascii="宋体" w:hAnsi="宋体" w:eastAsia="宋体" w:cs="宋体"/>
          <w:color w:val="auto"/>
          <w:kern w:val="2"/>
          <w:sz w:val="24"/>
          <w:szCs w:val="24"/>
          <w:highlight w:val="none"/>
          <w:lang w:val="en-US" w:eastAsia="zh-CN" w:bidi="ar-SA"/>
        </w:rPr>
        <w:t>家，联合体各方不得再以自己名义单独或参加其他联合体在本招标项目中的投标。出现上述情况者，其投标和与此有关的投标将被拒绝。</w:t>
      </w:r>
    </w:p>
    <w:p w14:paraId="0034B35A">
      <w:pPr>
        <w:widowControl/>
        <w:snapToGrid w:val="0"/>
        <w:spacing w:line="360" w:lineRule="auto"/>
        <w:ind w:right="34" w:rightChars="14" w:firstLine="480" w:firstLineChars="200"/>
        <w:jc w:val="both"/>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w:t>
      </w:r>
      <w:r>
        <w:rPr>
          <w:rFonts w:hint="eastAsia" w:ascii="宋体" w:hAnsi="宋体" w:cs="宋体"/>
          <w:color w:val="auto"/>
          <w:sz w:val="24"/>
          <w:szCs w:val="24"/>
          <w:highlight w:val="none"/>
          <w:u w:val="none"/>
          <w:lang w:val="en-US" w:eastAsia="zh-CN"/>
        </w:rPr>
        <w:t>8</w:t>
      </w:r>
      <w:r>
        <w:rPr>
          <w:rFonts w:hint="eastAsia" w:ascii="宋体" w:hAnsi="宋体" w:eastAsia="宋体" w:cs="宋体"/>
          <w:color w:val="auto"/>
          <w:sz w:val="24"/>
          <w:szCs w:val="24"/>
          <w:highlight w:val="none"/>
          <w:u w:val="none"/>
          <w:lang w:val="en-US" w:eastAsia="zh-CN"/>
        </w:rPr>
        <w:t xml:space="preserve"> </w:t>
      </w:r>
      <w:r>
        <w:rPr>
          <w:rFonts w:hint="eastAsia" w:ascii="宋体" w:hAnsi="宋体" w:cs="宋体"/>
          <w:color w:val="auto"/>
          <w:sz w:val="24"/>
          <w:szCs w:val="24"/>
          <w:highlight w:val="none"/>
          <w:u w:val="none"/>
          <w:lang w:val="en-US" w:eastAsia="zh-CN"/>
        </w:rPr>
        <w:t>其他要求：</w:t>
      </w:r>
    </w:p>
    <w:p w14:paraId="2A0E6F02">
      <w:pPr>
        <w:widowControl/>
        <w:snapToGrid w:val="0"/>
        <w:spacing w:line="360" w:lineRule="auto"/>
        <w:ind w:right="34" w:rightChars="14" w:firstLine="480" w:firstLineChars="200"/>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1</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投标人（若为联合体，指联合体各方）已按照规定格式和内容签署盖章《投标人声明》（格式详见附件</w:t>
      </w:r>
      <w:r>
        <w:rPr>
          <w:rFonts w:hint="eastAsia" w:ascii="宋体" w:hAnsi="宋体" w:cs="宋体"/>
          <w:color w:val="auto"/>
          <w:sz w:val="24"/>
          <w:szCs w:val="24"/>
          <w:highlight w:val="none"/>
          <w:u w:val="none"/>
          <w:lang w:eastAsia="zh-CN"/>
        </w:rPr>
        <w:t>一</w:t>
      </w:r>
      <w:r>
        <w:rPr>
          <w:rFonts w:hint="eastAsia" w:ascii="宋体" w:hAnsi="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w:t>
      </w:r>
    </w:p>
    <w:p w14:paraId="11CAFDBC">
      <w:pPr>
        <w:widowControl/>
        <w:snapToGrid w:val="0"/>
        <w:spacing w:line="360" w:lineRule="auto"/>
        <w:ind w:right="34" w:rightChars="14" w:firstLine="480" w:firstLineChars="200"/>
        <w:jc w:val="both"/>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2）投标人（如为联合体，要求联合体各方）近二年（2023年的1月1日起至投标截止时间止）未因以往检测或监测工作中存在伪造检测或监测数据、出具虚假检测或监测报告的行为被各级建设行政主管部门或市场监督管理部门行政处罚或通报的（按投标人提供的《投标人声明》进行评审）。</w:t>
      </w:r>
    </w:p>
    <w:p w14:paraId="5A836314">
      <w:pPr>
        <w:widowControl/>
        <w:snapToGrid w:val="0"/>
        <w:spacing w:line="360" w:lineRule="auto"/>
        <w:ind w:right="34" w:rightChars="14"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如为联合体，要求承担检测任务的一方）承诺，在开工前其检测管理系统已纳入广州市水务工程质量检测监管系统，并通过广州市水务工程质量安全监督站的备案验收，并提供盖有投标人公章的承诺函（格式自拟）。</w:t>
      </w:r>
    </w:p>
    <w:p w14:paraId="2E5B5B5A">
      <w:pPr>
        <w:widowControl/>
        <w:snapToGrid w:val="0"/>
        <w:spacing w:line="360" w:lineRule="auto"/>
        <w:ind w:right="34" w:rightChars="14" w:firstLine="480" w:firstLineChars="200"/>
        <w:jc w:val="both"/>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（4）在本公告发布和投标截止时，投标人（如为联合体，要求联合体各方）未被纳入黑名单（</w:t>
      </w:r>
      <w:r>
        <w:rPr>
          <w:rFonts w:hint="eastAsia" w:ascii="宋体" w:hAnsi="宋体" w:eastAsia="宋体" w:cs="宋体"/>
          <w:color w:val="auto"/>
          <w:highlight w:val="none"/>
          <w:lang w:val="en-US" w:eastAsia="zh-CN"/>
        </w:rPr>
        <w:t>具体名单</w:t>
      </w:r>
      <w:r>
        <w:rPr>
          <w:rFonts w:hint="eastAsia" w:ascii="宋体" w:hAnsi="宋体" w:eastAsia="宋体" w:cs="宋体"/>
          <w:color w:val="auto"/>
          <w:sz w:val="24"/>
          <w:szCs w:val="24"/>
          <w:highlight w:val="none"/>
          <w:lang w:val="en-US" w:eastAsia="zh-CN"/>
        </w:rPr>
        <w:t>以“信用广州”网站公布的“黑名单”为准）。</w:t>
      </w:r>
    </w:p>
    <w:p w14:paraId="36A280AD">
      <w:pPr>
        <w:pStyle w:val="7"/>
        <w:jc w:val="both"/>
        <w:outlineLvl w:val="1"/>
        <w:rPr>
          <w:rFonts w:hint="eastAsia" w:ascii="宋体" w:hAnsi="宋体" w:eastAsia="宋体" w:cs="宋体"/>
          <w:color w:val="auto"/>
          <w:sz w:val="24"/>
          <w:szCs w:val="24"/>
          <w:highlight w:val="none"/>
        </w:rPr>
      </w:pPr>
      <w:bookmarkStart w:id="16" w:name="bookmark5"/>
      <w:bookmarkEnd w:id="16"/>
      <w:bookmarkStart w:id="17" w:name="_Toc22237"/>
      <w:r>
        <w:rPr>
          <w:rFonts w:hint="eastAsia" w:ascii="宋体" w:hAnsi="宋体" w:eastAsia="宋体" w:cs="宋体"/>
          <w:color w:val="auto"/>
          <w:sz w:val="24"/>
          <w:szCs w:val="24"/>
          <w:highlight w:val="none"/>
        </w:rPr>
        <w:t>4.招标文件的获取</w:t>
      </w:r>
      <w:bookmarkEnd w:id="17"/>
    </w:p>
    <w:p w14:paraId="3B3FCEFD">
      <w:pPr>
        <w:widowControl/>
        <w:topLinePunct/>
        <w:autoSpaceDE/>
        <w:autoSpaceDN/>
        <w:adjustRightInd/>
        <w:snapToGrid w:val="0"/>
        <w:spacing w:line="360" w:lineRule="auto"/>
        <w:ind w:firstLine="471" w:firstLineChars="198"/>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rPr>
        <w:t xml:space="preserve">.1 </w:t>
      </w:r>
      <w:r>
        <w:rPr>
          <w:rFonts w:hint="eastAsia" w:ascii="宋体" w:hAnsi="宋体" w:eastAsia="宋体" w:cs="宋体"/>
          <w:color w:val="auto"/>
          <w:sz w:val="24"/>
          <w:szCs w:val="24"/>
          <w:highlight w:val="none"/>
        </w:rPr>
        <w:t>发布招标公告</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日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（北京时间，下同），凡有意参加投标者，请登录广州交易集团有限公司（广州公共资源交易中心）网站下载电子招标文件。</w:t>
      </w:r>
    </w:p>
    <w:p w14:paraId="6A595E0F">
      <w:pPr>
        <w:widowControl/>
        <w:topLinePunct/>
        <w:autoSpaceDE/>
        <w:autoSpaceDN/>
        <w:adjustRightInd/>
        <w:snapToGrid w:val="0"/>
        <w:spacing w:line="360" w:lineRule="auto"/>
        <w:ind w:left="480" w:left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注：发布招标公告的时间为招标公告发出之日起至递交投标文件截止时间止。</w:t>
      </w:r>
    </w:p>
    <w:p w14:paraId="158597D2">
      <w:pPr>
        <w:widowControl/>
        <w:topLinePunct/>
        <w:autoSpaceDE/>
        <w:autoSpaceDN/>
        <w:adjustRightInd/>
        <w:snapToGrid w:val="0"/>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本项目招标文件随招标公告一并在</w:t>
      </w:r>
      <w:r>
        <w:rPr>
          <w:rFonts w:hint="eastAsia" w:ascii="宋体" w:hAnsi="宋体" w:eastAsia="宋体" w:cs="宋体"/>
          <w:color w:val="auto"/>
          <w:sz w:val="24"/>
          <w:szCs w:val="24"/>
          <w:highlight w:val="none"/>
          <w:lang w:eastAsia="zh-CN"/>
        </w:rPr>
        <w:t>广州交易集团有限公司（广州公共资源交易中心）网站交易平台</w:t>
      </w:r>
      <w:r>
        <w:rPr>
          <w:rFonts w:hint="eastAsia" w:ascii="宋体" w:hAnsi="宋体" w:eastAsia="宋体" w:cs="宋体"/>
          <w:color w:val="auto"/>
          <w:sz w:val="24"/>
          <w:szCs w:val="24"/>
          <w:highlight w:val="none"/>
        </w:rPr>
        <w:t>发布</w:t>
      </w:r>
      <w:r>
        <w:rPr>
          <w:rFonts w:hint="eastAsia" w:ascii="宋体" w:hAnsi="宋体" w:eastAsia="宋体" w:cs="宋体"/>
          <w:color w:val="auto"/>
          <w:sz w:val="24"/>
          <w:szCs w:val="24"/>
          <w:highlight w:val="none"/>
          <w:lang w:eastAsia="zh-CN"/>
        </w:rPr>
        <w:t>。招标文件一经在交易平台发布，视为发出给投标人，招标文件</w:t>
      </w:r>
      <w:r>
        <w:rPr>
          <w:rFonts w:hint="eastAsia" w:ascii="宋体" w:hAnsi="宋体" w:eastAsia="宋体" w:cs="宋体"/>
          <w:color w:val="auto"/>
          <w:sz w:val="24"/>
          <w:szCs w:val="24"/>
          <w:highlight w:val="none"/>
        </w:rPr>
        <w:t>由投标人自行</w:t>
      </w:r>
      <w:r>
        <w:rPr>
          <w:rFonts w:hint="eastAsia" w:ascii="宋体" w:hAnsi="宋体" w:eastAsia="宋体" w:cs="宋体"/>
          <w:color w:val="auto"/>
          <w:sz w:val="24"/>
          <w:szCs w:val="24"/>
          <w:highlight w:val="none"/>
          <w:lang w:eastAsia="zh-CN"/>
        </w:rPr>
        <w:t>在交易平台</w:t>
      </w:r>
      <w:r>
        <w:rPr>
          <w:rFonts w:hint="eastAsia" w:ascii="宋体" w:hAnsi="宋体" w:eastAsia="宋体" w:cs="宋体"/>
          <w:color w:val="auto"/>
          <w:sz w:val="24"/>
          <w:szCs w:val="24"/>
          <w:highlight w:val="none"/>
        </w:rPr>
        <w:t>下载。</w:t>
      </w:r>
    </w:p>
    <w:p w14:paraId="4BC26BC9">
      <w:pPr>
        <w:pStyle w:val="7"/>
        <w:jc w:val="both"/>
        <w:outlineLvl w:val="1"/>
        <w:rPr>
          <w:rFonts w:hint="eastAsia" w:ascii="宋体" w:hAnsi="宋体" w:eastAsia="宋体" w:cs="宋体"/>
          <w:color w:val="auto"/>
          <w:sz w:val="24"/>
          <w:szCs w:val="24"/>
          <w:highlight w:val="none"/>
        </w:rPr>
      </w:pPr>
      <w:bookmarkStart w:id="18" w:name="bookmark6"/>
      <w:bookmarkEnd w:id="18"/>
      <w:bookmarkStart w:id="19" w:name="_Toc29694"/>
      <w:r>
        <w:rPr>
          <w:rFonts w:hint="eastAsia" w:ascii="宋体" w:hAnsi="宋体" w:eastAsia="宋体" w:cs="宋体"/>
          <w:color w:val="auto"/>
          <w:sz w:val="24"/>
          <w:szCs w:val="24"/>
          <w:highlight w:val="none"/>
        </w:rPr>
        <w:t>5.投标文件的递交</w:t>
      </w:r>
      <w:bookmarkEnd w:id="19"/>
    </w:p>
    <w:p w14:paraId="2D1430B4">
      <w:pPr>
        <w:widowControl/>
        <w:topLinePunct/>
        <w:autoSpaceDE/>
        <w:autoSpaceDN/>
        <w:adjustRightInd/>
        <w:snapToGrid w:val="0"/>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5.1 </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应在截止时间前</w:t>
      </w:r>
      <w:r>
        <w:rPr>
          <w:rFonts w:hint="eastAsia" w:ascii="宋体" w:hAnsi="宋体" w:eastAsia="宋体" w:cs="宋体"/>
          <w:color w:val="auto"/>
          <w:sz w:val="24"/>
          <w:szCs w:val="24"/>
          <w:highlight w:val="none"/>
        </w:rPr>
        <w:t>通过</w:t>
      </w:r>
      <w:r>
        <w:rPr>
          <w:rFonts w:hint="eastAsia" w:ascii="宋体" w:hAnsi="宋体" w:eastAsia="宋体" w:cs="宋体"/>
          <w:color w:val="auto"/>
          <w:sz w:val="24"/>
          <w:szCs w:val="24"/>
          <w:highlight w:val="none"/>
          <w:lang w:val="en-US" w:eastAsia="zh-CN"/>
        </w:rPr>
        <w:t>广州交易集团有限公司（广州公共资源交易中心）网站</w:t>
      </w:r>
      <w:r>
        <w:rPr>
          <w:rFonts w:hint="eastAsia" w:ascii="宋体" w:hAnsi="宋体" w:eastAsia="宋体" w:cs="宋体"/>
          <w:color w:val="auto"/>
          <w:sz w:val="24"/>
          <w:szCs w:val="24"/>
          <w:highlight w:val="none"/>
        </w:rPr>
        <w:t>交易平台递交电子投标文件。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完成</w:t>
      </w:r>
      <w:r>
        <w:rPr>
          <w:rFonts w:hint="eastAsia" w:ascii="宋体" w:hAnsi="宋体" w:eastAsia="宋体" w:cs="宋体"/>
          <w:color w:val="auto"/>
          <w:sz w:val="24"/>
          <w:szCs w:val="24"/>
          <w:highlight w:val="none"/>
          <w:lang w:eastAsia="zh-CN"/>
        </w:rPr>
        <w:t>电子</w:t>
      </w:r>
      <w:r>
        <w:rPr>
          <w:rFonts w:hint="eastAsia" w:ascii="宋体" w:hAnsi="宋体" w:eastAsia="宋体" w:cs="宋体"/>
          <w:color w:val="auto"/>
          <w:sz w:val="24"/>
          <w:szCs w:val="24"/>
          <w:highlight w:val="none"/>
        </w:rPr>
        <w:t>投标文件上传</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交易平台即时向投标人发出递交</w:t>
      </w:r>
      <w:r>
        <w:rPr>
          <w:rFonts w:hint="eastAsia" w:ascii="宋体" w:hAnsi="宋体" w:eastAsia="宋体" w:cs="宋体"/>
          <w:color w:val="auto"/>
          <w:sz w:val="24"/>
          <w:szCs w:val="24"/>
          <w:highlight w:val="none"/>
        </w:rPr>
        <w:t>回执</w:t>
      </w:r>
      <w:r>
        <w:rPr>
          <w:rFonts w:hint="eastAsia" w:ascii="宋体" w:hAnsi="宋体" w:eastAsia="宋体" w:cs="宋体"/>
          <w:color w:val="auto"/>
          <w:sz w:val="24"/>
          <w:szCs w:val="24"/>
          <w:highlight w:val="none"/>
          <w:lang w:eastAsia="zh-CN"/>
        </w:rPr>
        <w:t>通知。递交时间以递交回执通知载明的传输完成时间为准。</w:t>
      </w:r>
    </w:p>
    <w:p w14:paraId="37D69E0C">
      <w:pPr>
        <w:widowControl/>
        <w:topLinePunct/>
        <w:autoSpaceDE/>
        <w:autoSpaceDN/>
        <w:adjustRightInd/>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在投标截止时间后</w:t>
      </w:r>
      <w:r>
        <w:rPr>
          <w:rFonts w:hint="eastAsia" w:ascii="宋体" w:hAnsi="宋体" w:cs="宋体"/>
          <w:color w:val="auto"/>
          <w:sz w:val="24"/>
          <w:szCs w:val="24"/>
          <w:highlight w:val="none"/>
          <w:lang w:val="en-US" w:eastAsia="zh-CN"/>
        </w:rPr>
        <w:t>半</w:t>
      </w:r>
      <w:bookmarkStart w:id="250" w:name="_GoBack"/>
      <w:bookmarkEnd w:id="250"/>
      <w:r>
        <w:rPr>
          <w:rFonts w:hint="eastAsia" w:ascii="宋体" w:hAnsi="宋体" w:eastAsia="宋体" w:cs="宋体"/>
          <w:color w:val="auto"/>
          <w:sz w:val="24"/>
          <w:szCs w:val="24"/>
          <w:highlight w:val="none"/>
        </w:rPr>
        <w:t>小时内，投标人通过</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对已递交的电子投标文件进行解密。</w:t>
      </w:r>
    </w:p>
    <w:p w14:paraId="5E2B67C2">
      <w:pPr>
        <w:widowControl/>
        <w:topLinePunct/>
        <w:autoSpaceDE/>
        <w:autoSpaceDN/>
        <w:adjustRightInd/>
        <w:snapToGrid w:val="0"/>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5.2 </w:t>
      </w:r>
      <w:r>
        <w:rPr>
          <w:rFonts w:hint="eastAsia" w:ascii="宋体" w:hAnsi="宋体" w:eastAsia="宋体" w:cs="宋体"/>
          <w:color w:val="auto"/>
          <w:sz w:val="24"/>
          <w:szCs w:val="24"/>
          <w:highlight w:val="none"/>
        </w:rPr>
        <w:t>投标人应在递交投标文件截止时间前，登录</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rPr>
        <w:t>网站交易平台办理网上投标登记手续；</w:t>
      </w:r>
      <w:r>
        <w:rPr>
          <w:rFonts w:hint="eastAsia" w:ascii="宋体" w:hAnsi="宋体" w:eastAsia="宋体" w:cs="宋体"/>
          <w:color w:val="auto"/>
          <w:sz w:val="24"/>
          <w:szCs w:val="24"/>
          <w:highlight w:val="none"/>
          <w:lang w:eastAsia="zh-CN"/>
        </w:rPr>
        <w:t>按照广州交易集团有限公司（广州公共资源交易中心）网站关于全流程电子化项目的相关指南进行操作。</w:t>
      </w:r>
    </w:p>
    <w:p w14:paraId="571E87AB">
      <w:pPr>
        <w:widowControl/>
        <w:topLinePunct/>
        <w:autoSpaceDE/>
        <w:autoSpaceDN/>
        <w:adjustRightInd/>
        <w:snapToGrid w:val="0"/>
        <w:spacing w:line="360" w:lineRule="auto"/>
        <w:ind w:left="480" w:left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5.3 </w:t>
      </w:r>
      <w:r>
        <w:rPr>
          <w:rFonts w:hint="eastAsia" w:ascii="宋体" w:hAnsi="宋体" w:eastAsia="宋体" w:cs="宋体"/>
          <w:color w:val="auto"/>
          <w:sz w:val="24"/>
          <w:szCs w:val="24"/>
          <w:highlight w:val="none"/>
        </w:rPr>
        <w:t>开标</w:t>
      </w:r>
      <w:r>
        <w:rPr>
          <w:rFonts w:hint="eastAsia" w:ascii="宋体" w:hAnsi="宋体" w:eastAsia="宋体" w:cs="宋体"/>
          <w:color w:val="auto"/>
          <w:sz w:val="24"/>
          <w:szCs w:val="24"/>
          <w:highlight w:val="none"/>
          <w:lang w:eastAsia="zh-CN"/>
        </w:rPr>
        <w:t>开始</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p>
    <w:p w14:paraId="307ECB65">
      <w:pPr>
        <w:widowControl/>
        <w:topLinePunct/>
        <w:autoSpaceDE/>
        <w:autoSpaceDN/>
        <w:adjustRightInd/>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5.4 </w:t>
      </w:r>
      <w:r>
        <w:rPr>
          <w:rFonts w:hint="eastAsia" w:ascii="宋体" w:hAnsi="宋体" w:eastAsia="宋体" w:cs="宋体"/>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22E2E973">
      <w:pPr>
        <w:keepNext w:val="0"/>
        <w:keepLines w:val="0"/>
        <w:pageBreakBefore w:val="0"/>
        <w:widowControl/>
        <w:kinsoku/>
        <w:wordWrap/>
        <w:overflowPunct/>
        <w:topLinePunct/>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5.5 逾期送达的电子投标文件，</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lang w:val="en-US" w:eastAsia="zh-CN"/>
        </w:rPr>
        <w:t>交易平台将予以拒收。</w:t>
      </w:r>
    </w:p>
    <w:p w14:paraId="64E48CE9">
      <w:pPr>
        <w:keepNext w:val="0"/>
        <w:keepLines w:val="0"/>
        <w:pageBreakBefore w:val="0"/>
        <w:widowControl/>
        <w:kinsoku/>
        <w:wordWrap/>
        <w:overflowPunct/>
        <w:topLinePunct/>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auto"/>
          <w:w w:val="100"/>
          <w:sz w:val="24"/>
          <w:szCs w:val="24"/>
          <w:highlight w:val="none"/>
          <w:lang w:val="en-US" w:eastAsia="zh-CN"/>
        </w:rPr>
      </w:pPr>
      <w:r>
        <w:rPr>
          <w:rFonts w:hint="eastAsia" w:ascii="宋体" w:hAnsi="宋体" w:eastAsia="宋体" w:cs="宋体"/>
          <w:color w:val="auto"/>
          <w:w w:val="100"/>
          <w:sz w:val="24"/>
          <w:szCs w:val="24"/>
          <w:highlight w:val="none"/>
          <w:lang w:val="en-US" w:eastAsia="zh-CN"/>
        </w:rPr>
        <w:t>5.6投标人应自行检查广州公共资源交易中心信息登记中的企业基础信息扫描件（包括企业资质证书、企业营业执照、项目负责人相关证书等），评标委员会对上述资料的审查将以递交投标文件截止时间在广州公共资源交易中心信息登记的信息为依据。投标人应及时维护其在广州公共资源交易中心信息登记的信息，确保各项信息在有效期内。如因投标单位资料缺失导致资格审查不通过，责任由投标单位自行承担。</w:t>
      </w:r>
    </w:p>
    <w:p w14:paraId="189B0D8C">
      <w:pPr>
        <w:pStyle w:val="7"/>
        <w:jc w:val="both"/>
        <w:outlineLvl w:val="1"/>
        <w:rPr>
          <w:rFonts w:hint="eastAsia" w:ascii="宋体" w:hAnsi="宋体" w:eastAsia="宋体" w:cs="宋体"/>
          <w:color w:val="auto"/>
          <w:sz w:val="24"/>
          <w:szCs w:val="24"/>
          <w:highlight w:val="none"/>
        </w:rPr>
      </w:pPr>
      <w:bookmarkStart w:id="20" w:name="bookmark7"/>
      <w:bookmarkEnd w:id="20"/>
      <w:bookmarkStart w:id="21" w:name="_Toc8495"/>
      <w:r>
        <w:rPr>
          <w:rFonts w:hint="eastAsia" w:ascii="宋体" w:hAnsi="宋体" w:eastAsia="宋体" w:cs="宋体"/>
          <w:color w:val="auto"/>
          <w:sz w:val="24"/>
          <w:szCs w:val="24"/>
          <w:highlight w:val="none"/>
        </w:rPr>
        <w:t>6.发布公告的媒介</w:t>
      </w:r>
      <w:bookmarkEnd w:id="21"/>
    </w:p>
    <w:p w14:paraId="4D32091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本次招标公告同时在</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rPr>
        <w:t>网（网址：http://www.gzggzy.cn）发布，本公告的修改、补充，在</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rPr>
        <w:t>网站上发布。</w:t>
      </w:r>
    </w:p>
    <w:p w14:paraId="53F38B67">
      <w:pPr>
        <w:pStyle w:val="7"/>
        <w:bidi w:val="0"/>
        <w:jc w:val="both"/>
        <w:rPr>
          <w:rFonts w:hint="eastAsia" w:ascii="宋体" w:hAnsi="宋体" w:eastAsia="宋体" w:cs="宋体"/>
          <w:b/>
          <w:bCs/>
          <w:color w:val="auto"/>
          <w:spacing w:val="7"/>
          <w:sz w:val="28"/>
          <w:szCs w:val="28"/>
          <w:highlight w:val="none"/>
        </w:rPr>
      </w:pPr>
      <w:bookmarkStart w:id="22" w:name="bookmark8"/>
      <w:bookmarkEnd w:id="22"/>
      <w:bookmarkStart w:id="23" w:name="_Toc12025"/>
      <w:bookmarkStart w:id="24" w:name="_Toc24439"/>
      <w:r>
        <w:rPr>
          <w:rFonts w:hint="eastAsia" w:ascii="宋体" w:hAnsi="宋体" w:eastAsia="宋体" w:cs="宋体"/>
          <w:color w:val="auto"/>
          <w:highlight w:val="none"/>
          <w:lang w:val="en-US" w:eastAsia="zh-CN"/>
        </w:rPr>
        <w:t>7.</w:t>
      </w:r>
      <w:bookmarkStart w:id="25" w:name="_Toc29364"/>
      <w:bookmarkStart w:id="26" w:name="_Toc8443"/>
      <w:bookmarkStart w:id="27" w:name="_Toc8339"/>
      <w:bookmarkStart w:id="28" w:name="_Toc17336"/>
      <w:bookmarkStart w:id="29" w:name="_Toc21787632"/>
      <w:bookmarkStart w:id="30" w:name="_Toc17357"/>
      <w:r>
        <w:rPr>
          <w:rFonts w:hint="eastAsia" w:ascii="宋体" w:hAnsi="宋体" w:eastAsia="宋体" w:cs="宋体"/>
          <w:b/>
          <w:bCs/>
          <w:color w:val="auto"/>
          <w:spacing w:val="7"/>
          <w:sz w:val="28"/>
          <w:szCs w:val="28"/>
          <w:highlight w:val="none"/>
        </w:rPr>
        <w:t>资格审查方式</w:t>
      </w:r>
      <w:bookmarkEnd w:id="25"/>
      <w:bookmarkEnd w:id="26"/>
      <w:bookmarkEnd w:id="27"/>
      <w:bookmarkEnd w:id="28"/>
      <w:bookmarkEnd w:id="29"/>
      <w:bookmarkEnd w:id="30"/>
    </w:p>
    <w:p w14:paraId="6443DF46">
      <w:pPr>
        <w:numPr>
          <w:ilvl w:val="0"/>
          <w:numId w:val="0"/>
        </w:numPr>
        <w:spacing w:line="360" w:lineRule="auto"/>
        <w:ind w:left="0" w:leftChars="0" w:firstLine="480" w:firstLineChars="200"/>
        <w:jc w:val="both"/>
        <w:rPr>
          <w:rFonts w:hint="eastAsia" w:ascii="宋体" w:hAnsi="宋体" w:eastAsia="宋体" w:cs="宋体"/>
          <w:color w:val="auto"/>
          <w:sz w:val="24"/>
          <w:highlight w:val="none"/>
          <w:lang w:val="en-US" w:eastAsia="zh-CN"/>
        </w:rPr>
      </w:pPr>
      <w:bookmarkStart w:id="31" w:name="_Toc12248"/>
      <w:bookmarkStart w:id="32" w:name="_Toc6681"/>
      <w:bookmarkStart w:id="33" w:name="_Toc279"/>
      <w:r>
        <w:rPr>
          <w:rFonts w:hint="eastAsia" w:ascii="宋体" w:hAnsi="宋体" w:eastAsia="宋体" w:cs="宋体"/>
          <w:color w:val="auto"/>
          <w:sz w:val="24"/>
          <w:highlight w:val="none"/>
          <w:lang w:val="en-US" w:eastAsia="zh-CN"/>
        </w:rPr>
        <w:t>7.1本工程采用资格后审方式，由评标委员会负责资格审查。</w:t>
      </w:r>
      <w:bookmarkEnd w:id="31"/>
      <w:bookmarkEnd w:id="32"/>
      <w:bookmarkEnd w:id="33"/>
    </w:p>
    <w:p w14:paraId="385B7965">
      <w:pPr>
        <w:numPr>
          <w:ilvl w:val="0"/>
          <w:numId w:val="0"/>
        </w:numPr>
        <w:spacing w:line="360" w:lineRule="auto"/>
        <w:ind w:left="0" w:leftChars="0"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7.2资格审查结果将在广州交易集团有限公司（广州公共资源交易中心）网站公示，公示时间不得少于3日，最后一天应为工作日。</w:t>
      </w:r>
    </w:p>
    <w:p w14:paraId="037C97DE">
      <w:pPr>
        <w:pStyle w:val="7"/>
        <w:jc w:val="both"/>
        <w:outlineLvl w:val="1"/>
        <w:rPr>
          <w:rFonts w:hint="eastAsia" w:ascii="宋体" w:hAnsi="宋体" w:eastAsia="宋体" w:cs="宋体"/>
          <w:color w:val="auto"/>
          <w:highlight w:val="none"/>
          <w:lang w:val="en-US" w:eastAsia="zh-CN"/>
        </w:rPr>
      </w:pPr>
      <w:r>
        <w:rPr>
          <w:rFonts w:hint="eastAsia" w:cs="宋体"/>
          <w:b/>
          <w:bCs/>
          <w:color w:val="auto"/>
          <w:spacing w:val="7"/>
          <w:sz w:val="28"/>
          <w:szCs w:val="28"/>
          <w:highlight w:val="none"/>
          <w:lang w:val="en-US" w:eastAsia="zh-CN"/>
        </w:rPr>
        <w:t>8</w:t>
      </w:r>
      <w:r>
        <w:rPr>
          <w:rFonts w:hint="eastAsia" w:ascii="宋体" w:hAnsi="宋体" w:eastAsia="宋体" w:cs="宋体"/>
          <w:b/>
          <w:bCs/>
          <w:color w:val="auto"/>
          <w:spacing w:val="7"/>
          <w:sz w:val="28"/>
          <w:szCs w:val="28"/>
          <w:highlight w:val="none"/>
        </w:rPr>
        <w:t xml:space="preserve">. </w:t>
      </w:r>
      <w:r>
        <w:rPr>
          <w:rFonts w:hint="eastAsia" w:ascii="宋体" w:hAnsi="宋体" w:eastAsia="宋体" w:cs="宋体"/>
          <w:color w:val="auto"/>
          <w:highlight w:val="none"/>
          <w:lang w:val="en-US" w:eastAsia="zh-CN"/>
        </w:rPr>
        <w:t>疑问、异议、投诉处理</w:t>
      </w:r>
      <w:bookmarkEnd w:id="23"/>
    </w:p>
    <w:p w14:paraId="3F7AB110">
      <w:pPr>
        <w:numPr>
          <w:ilvl w:val="0"/>
          <w:numId w:val="0"/>
        </w:numPr>
        <w:spacing w:line="360" w:lineRule="auto"/>
        <w:ind w:left="0" w:leftChars="0" w:firstLine="480" w:firstLineChars="200"/>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7C761B16">
      <w:pPr>
        <w:numPr>
          <w:ilvl w:val="0"/>
          <w:numId w:val="0"/>
        </w:numPr>
        <w:spacing w:line="360" w:lineRule="auto"/>
        <w:ind w:left="0" w:leftChars="0" w:firstLine="480" w:firstLineChars="200"/>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3DD959A7">
      <w:pPr>
        <w:numPr>
          <w:ilvl w:val="0"/>
          <w:numId w:val="0"/>
        </w:numPr>
        <w:spacing w:line="360" w:lineRule="auto"/>
        <w:ind w:left="0" w:leftChars="0" w:firstLine="480" w:firstLineChars="200"/>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2E7F9919">
      <w:pPr>
        <w:numPr>
          <w:ilvl w:val="0"/>
          <w:numId w:val="0"/>
        </w:numPr>
        <w:spacing w:line="360" w:lineRule="auto"/>
        <w:ind w:left="0" w:leftChars="0"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49E8876C">
      <w:pPr>
        <w:numPr>
          <w:ilvl w:val="0"/>
          <w:numId w:val="0"/>
        </w:numPr>
        <w:spacing w:line="360" w:lineRule="auto"/>
        <w:ind w:left="0" w:leftChars="0"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0969E3DC">
      <w:pPr>
        <w:numPr>
          <w:ilvl w:val="0"/>
          <w:numId w:val="0"/>
        </w:numPr>
        <w:spacing w:line="360" w:lineRule="auto"/>
        <w:ind w:left="0" w:leftChars="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异议受理部门：广州市自来水有限公司</w:t>
      </w:r>
    </w:p>
    <w:p w14:paraId="02554CD3">
      <w:pPr>
        <w:numPr>
          <w:ilvl w:val="0"/>
          <w:numId w:val="0"/>
        </w:numPr>
        <w:spacing w:line="360" w:lineRule="auto"/>
        <w:ind w:left="0" w:leftChars="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联系人：梁工     电话：020-87159014  传真：020－87159059</w:t>
      </w:r>
    </w:p>
    <w:p w14:paraId="1E4C5001">
      <w:pPr>
        <w:numPr>
          <w:ilvl w:val="0"/>
          <w:numId w:val="0"/>
        </w:numPr>
        <w:spacing w:line="360" w:lineRule="auto"/>
        <w:ind w:left="0" w:leftChars="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地址：广州市越秀区中山一路12号</w:t>
      </w:r>
    </w:p>
    <w:p w14:paraId="64981EB1">
      <w:pPr>
        <w:numPr>
          <w:ilvl w:val="0"/>
          <w:numId w:val="0"/>
        </w:numPr>
        <w:spacing w:line="360" w:lineRule="auto"/>
        <w:ind w:left="0" w:leftChars="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投诉受理部门：广州市自来水有限公司招标监督工作组，联系电话：020-87159299</w:t>
      </w:r>
    </w:p>
    <w:p w14:paraId="27E8424D">
      <w:pPr>
        <w:pStyle w:val="7"/>
        <w:jc w:val="both"/>
        <w:outlineLvl w:val="1"/>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bookmarkEnd w:id="24"/>
      <w:bookmarkStart w:id="34" w:name="_Toc27093"/>
    </w:p>
    <w:p w14:paraId="31AA0902">
      <w:pPr>
        <w:pStyle w:val="7"/>
        <w:jc w:val="both"/>
        <w:outlineLvl w:val="1"/>
        <w:rPr>
          <w:rFonts w:hint="eastAsia" w:ascii="宋体" w:hAnsi="宋体" w:eastAsia="宋体" w:cs="宋体"/>
          <w:b w:val="0"/>
          <w:color w:val="auto"/>
          <w:sz w:val="19"/>
          <w:szCs w:val="24"/>
          <w:highlight w:val="none"/>
        </w:rPr>
      </w:pP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rPr>
        <w:t>.联系方式</w:t>
      </w:r>
      <w:bookmarkEnd w:id="34"/>
    </w:p>
    <w:p w14:paraId="1BBBB515">
      <w:pPr>
        <w:spacing w:line="360" w:lineRule="auto"/>
        <w:ind w:firstLine="0" w:firstLineChars="0"/>
        <w:jc w:val="both"/>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招标单位：广州市自来水有限公司</w:t>
      </w:r>
    </w:p>
    <w:p w14:paraId="55D4890D">
      <w:pPr>
        <w:spacing w:line="360" w:lineRule="auto"/>
        <w:ind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梁</w:t>
      </w:r>
      <w:r>
        <w:rPr>
          <w:rFonts w:hint="eastAsia" w:ascii="宋体" w:hAnsi="宋体" w:eastAsia="宋体" w:cs="宋体"/>
          <w:color w:val="auto"/>
          <w:sz w:val="24"/>
          <w:highlight w:val="none"/>
          <w:lang w:val="en-US" w:eastAsia="zh-CN"/>
        </w:rPr>
        <w:t xml:space="preserve">工             </w:t>
      </w:r>
    </w:p>
    <w:p w14:paraId="43134DED">
      <w:pPr>
        <w:spacing w:line="360" w:lineRule="auto"/>
        <w:ind w:firstLine="0" w:firstLineChars="0"/>
        <w:jc w:val="both"/>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联系电话：020-87159014（办公时间8:00～17:00）</w:t>
      </w:r>
    </w:p>
    <w:p w14:paraId="27069102">
      <w:pPr>
        <w:spacing w:line="360" w:lineRule="auto"/>
        <w:ind w:firstLine="0" w:firstLineChars="0"/>
        <w:jc w:val="both"/>
        <w:rPr>
          <w:rFonts w:hint="eastAsia" w:ascii="宋体" w:hAnsi="宋体" w:eastAsia="宋体" w:cs="宋体"/>
          <w:color w:val="auto"/>
          <w:sz w:val="24"/>
          <w:highlight w:val="none"/>
        </w:rPr>
      </w:pPr>
    </w:p>
    <w:p w14:paraId="2FA49DFB">
      <w:pPr>
        <w:spacing w:line="360" w:lineRule="auto"/>
        <w:ind w:firstLine="0" w:firstLineChars="0"/>
        <w:jc w:val="both"/>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招标代理机构：</w:t>
      </w:r>
      <w:r>
        <w:rPr>
          <w:rFonts w:hint="eastAsia" w:ascii="宋体" w:hAnsi="宋体" w:cs="宋体"/>
          <w:color w:val="auto"/>
          <w:highlight w:val="none"/>
          <w:lang w:eastAsia="zh-CN"/>
        </w:rPr>
        <w:t>广东建瀚工程管理有限公司</w:t>
      </w:r>
    </w:p>
    <w:p w14:paraId="00426724">
      <w:pPr>
        <w:spacing w:line="360" w:lineRule="auto"/>
        <w:ind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黄工</w:t>
      </w:r>
      <w:r>
        <w:rPr>
          <w:rFonts w:hint="eastAsia" w:ascii="宋体" w:hAnsi="宋体" w:eastAsia="宋体" w:cs="宋体"/>
          <w:color w:val="auto"/>
          <w:sz w:val="24"/>
          <w:highlight w:val="none"/>
          <w:lang w:val="en-US" w:eastAsia="zh-CN"/>
        </w:rPr>
        <w:t xml:space="preserve">             </w:t>
      </w:r>
    </w:p>
    <w:p w14:paraId="4D419306">
      <w:pPr>
        <w:spacing w:line="360" w:lineRule="auto"/>
        <w:ind w:firstLine="0" w:firstLineChars="0"/>
        <w:jc w:val="both"/>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联系电话：</w:t>
      </w:r>
      <w:r>
        <w:rPr>
          <w:rFonts w:hint="eastAsia" w:ascii="宋体" w:hAnsi="宋体" w:cs="宋体"/>
          <w:color w:val="auto"/>
          <w:sz w:val="24"/>
          <w:highlight w:val="none"/>
          <w:lang w:val="en-US" w:eastAsia="zh-CN"/>
        </w:rPr>
        <w:t>13640801478</w:t>
      </w:r>
    </w:p>
    <w:p w14:paraId="44F6C26B">
      <w:pPr>
        <w:spacing w:line="360" w:lineRule="auto"/>
        <w:ind w:firstLine="0" w:firstLineChars="0"/>
        <w:rPr>
          <w:rFonts w:hint="eastAsia" w:ascii="宋体" w:hAnsi="宋体" w:eastAsia="宋体" w:cs="宋体"/>
          <w:color w:val="auto"/>
          <w:sz w:val="24"/>
          <w:highlight w:val="none"/>
        </w:rPr>
      </w:pPr>
    </w:p>
    <w:p w14:paraId="12A58B50">
      <w:pPr>
        <w:pStyle w:val="14"/>
        <w:tabs>
          <w:tab w:val="left" w:pos="5880"/>
          <w:tab w:val="left" w:pos="6826"/>
          <w:tab w:val="left" w:pos="7769"/>
        </w:tabs>
        <w:kinsoku w:val="0"/>
        <w:overflowPunct w:val="0"/>
        <w:spacing w:before="198" w:line="360" w:lineRule="auto"/>
        <w:ind w:left="5146" w:right="113"/>
        <w:jc w:val="righ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202</w:t>
      </w:r>
      <w:r>
        <w:rPr>
          <w:rFonts w:hint="eastAsia" w:cs="宋体"/>
          <w:color w:val="auto"/>
          <w:sz w:val="24"/>
          <w:highlight w:val="none"/>
          <w:lang w:val="en-US" w:eastAsia="zh-CN"/>
        </w:rPr>
        <w:t>5</w:t>
      </w:r>
      <w:r>
        <w:rPr>
          <w:rFonts w:hint="eastAsia" w:ascii="宋体" w:hAnsi="宋体" w:eastAsia="宋体" w:cs="宋体"/>
          <w:color w:val="auto"/>
          <w:sz w:val="24"/>
          <w:highlight w:val="none"/>
        </w:rPr>
        <w:t>年</w:t>
      </w:r>
      <w:r>
        <w:rPr>
          <w:rFonts w:hint="eastAsia" w:cs="宋体"/>
          <w:color w:val="auto"/>
          <w:sz w:val="24"/>
          <w:highlight w:val="none"/>
          <w:u w:val="single"/>
          <w:lang w:val="en-US" w:eastAsia="zh-CN"/>
        </w:rPr>
        <w:t xml:space="preserve">   </w:t>
      </w:r>
      <w:r>
        <w:rPr>
          <w:rFonts w:hint="eastAsia" w:ascii="宋体" w:hAnsi="宋体" w:eastAsia="宋体" w:cs="宋体"/>
          <w:color w:val="auto"/>
          <w:sz w:val="24"/>
          <w:highlight w:val="none"/>
        </w:rPr>
        <w:t>月___日</w:t>
      </w:r>
    </w:p>
    <w:p w14:paraId="5C68BC8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E823AB4">
      <w:pPr>
        <w:jc w:val="left"/>
        <w:rPr>
          <w:rFonts w:ascii="宋体" w:hAnsi="宋体" w:cs="宋体"/>
          <w:color w:val="auto"/>
          <w:sz w:val="24"/>
          <w:highlight w:val="none"/>
        </w:rPr>
      </w:pPr>
      <w:r>
        <w:rPr>
          <w:rFonts w:hint="eastAsia" w:ascii="宋体" w:hAnsi="宋体" w:cs="宋体"/>
          <w:color w:val="auto"/>
          <w:sz w:val="24"/>
          <w:highlight w:val="none"/>
        </w:rPr>
        <w:t>附件一：</w:t>
      </w:r>
    </w:p>
    <w:p w14:paraId="39476CC2">
      <w:pPr>
        <w:spacing w:line="500" w:lineRule="exact"/>
        <w:jc w:val="center"/>
        <w:rPr>
          <w:rFonts w:ascii="宋体" w:hAnsi="宋体" w:cs="宋体"/>
          <w:b/>
          <w:color w:val="auto"/>
          <w:sz w:val="24"/>
          <w:highlight w:val="none"/>
        </w:rPr>
      </w:pPr>
      <w:r>
        <w:rPr>
          <w:rFonts w:hint="eastAsia" w:ascii="宋体" w:hAnsi="宋体" w:cs="宋体"/>
          <w:b/>
          <w:color w:val="auto"/>
          <w:sz w:val="36"/>
          <w:szCs w:val="36"/>
          <w:highlight w:val="none"/>
        </w:rPr>
        <w:t>投标人声明（参考格式）</w:t>
      </w:r>
    </w:p>
    <w:p w14:paraId="0B784E1D">
      <w:pPr>
        <w:snapToGrid w:val="0"/>
        <w:ind w:firstLine="480"/>
        <w:rPr>
          <w:rFonts w:ascii="宋体" w:hAnsi="宋体" w:cs="宋体"/>
          <w:color w:val="auto"/>
          <w:kern w:val="0"/>
          <w:sz w:val="24"/>
          <w:highlight w:val="none"/>
        </w:rPr>
      </w:pPr>
    </w:p>
    <w:p w14:paraId="6A3FC11B">
      <w:pPr>
        <w:shd w:val="clea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广州市自来水有限公司及广州市自来水有限公司招标监督工作组：</w:t>
      </w:r>
    </w:p>
    <w:p w14:paraId="23E991A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eastAsia="zh-CN"/>
        </w:rPr>
        <w:t>（项目名称</w:t>
      </w:r>
      <w:r>
        <w:rPr>
          <w:rFonts w:hint="eastAsia" w:ascii="宋体" w:hAnsi="宋体" w:eastAsia="宋体" w:cs="宋体"/>
          <w:color w:val="auto"/>
          <w:sz w:val="24"/>
          <w:szCs w:val="24"/>
          <w:highlight w:val="none"/>
          <w:u w:val="single"/>
          <w:lang w:val="en-US" w:eastAsia="zh-CN"/>
        </w:rPr>
        <w:t>/标段名称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项目投标工作，作出郑重声明：</w:t>
      </w:r>
    </w:p>
    <w:p w14:paraId="3E21DDE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一、本公司保证投标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及其后提供的一切材料都是真实的。如我司成为本项目中标候选人，我司同意并授权招标人将我司投标文件商务部分的人员、业绩、奖项等资料进行公开。</w:t>
      </w:r>
    </w:p>
    <w:p w14:paraId="09A455F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二、本公司保证不与其他单位围标、串标，不出让投标资格，不向招标人或评标委员会成员行贿。</w:t>
      </w:r>
    </w:p>
    <w:p w14:paraId="331DFD9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三、本公司不存在招标文件第二章投标人须知第1.4.3项所规定的任何一种情形。</w:t>
      </w:r>
    </w:p>
    <w:p w14:paraId="5751CCE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四、本公司及其有隶属关系的机构，与本招标项目的建设、施工、监理单位，以及建筑材料、建筑构配件和设备供应商有隶属关系或者其他利害关系；参与本招标项目的招标文件编写、监理工作。</w:t>
      </w:r>
    </w:p>
    <w:p w14:paraId="5B5510DB">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五、本公司近二年（202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年的1月1日起至投标截止时间止）未因以往检测或监测工作中存在伪造检测或监测数据、出具虚假检测或监测报告的行为被各级建设行政主管部门或市场监督管理部门行政处罚或通报的。</w:t>
      </w:r>
    </w:p>
    <w:p w14:paraId="5842AE87">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、本公司承诺，中标后严格执行安全生产相关管理规定。</w:t>
      </w:r>
    </w:p>
    <w:p w14:paraId="6ABCBDC7">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七、</w:t>
      </w:r>
      <w:r>
        <w:rPr>
          <w:rFonts w:hint="eastAsia" w:ascii="宋体" w:hAnsi="宋体" w:eastAsia="宋体" w:cs="宋体"/>
          <w:color w:val="auto"/>
          <w:sz w:val="24"/>
          <w:szCs w:val="24"/>
          <w:highlight w:val="none"/>
        </w:rPr>
        <w:t>本公司积极响应广州市关于投身“百千万工程”的号召，主动参与政府投资类建设工程施工项目的建筑业结对帮扶等活动（市属国有企业投资项目参照执行）。</w:t>
      </w:r>
    </w:p>
    <w:p w14:paraId="21029E8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本公司违反上述保证，或本声明陈述与事实不符，经查实，本公司愿意接受公开通报，承担由此带来的法律后果。</w:t>
      </w:r>
    </w:p>
    <w:p w14:paraId="157BC985">
      <w:pPr>
        <w:widowControl/>
        <w:shd w:val="clear" w:color="auto" w:fill="FFFFFF"/>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7DB7B55E">
      <w:pPr>
        <w:pStyle w:val="39"/>
        <w:ind w:right="1449" w:firstLine="480" w:firstLineChars="200"/>
        <w:rPr>
          <w:rFonts w:hint="eastAsia" w:ascii="宋体" w:hAnsi="宋体" w:eastAsia="宋体" w:cs="宋体"/>
          <w:color w:val="auto"/>
          <w:sz w:val="24"/>
          <w:szCs w:val="24"/>
          <w:highlight w:val="none"/>
        </w:rPr>
      </w:pPr>
    </w:p>
    <w:p w14:paraId="0058F3C0">
      <w:pPr>
        <w:pStyle w:val="39"/>
        <w:keepNext w:val="0"/>
        <w:keepLines w:val="0"/>
        <w:pageBreakBefore w:val="0"/>
        <w:widowControl w:val="0"/>
        <w:kinsoku/>
        <w:wordWrap/>
        <w:overflowPunct/>
        <w:topLinePunct w:val="0"/>
        <w:autoSpaceDE/>
        <w:autoSpaceDN/>
        <w:bidi w:val="0"/>
        <w:adjustRightInd/>
        <w:snapToGrid/>
        <w:spacing w:line="360" w:lineRule="auto"/>
        <w:ind w:left="629" w:right="1449"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声明企业：</w:t>
      </w:r>
    </w:p>
    <w:p w14:paraId="1DF631AF">
      <w:pPr>
        <w:pStyle w:val="34"/>
        <w:keepNext w:val="0"/>
        <w:keepLines w:val="0"/>
        <w:pageBreakBefore w:val="0"/>
        <w:widowControl w:val="0"/>
        <w:kinsoku/>
        <w:wordWrap/>
        <w:overflowPunct/>
        <w:topLinePunct w:val="0"/>
        <w:autoSpaceDE/>
        <w:autoSpaceDN/>
        <w:bidi w:val="0"/>
        <w:adjustRightInd/>
        <w:snapToGrid/>
        <w:spacing w:line="360" w:lineRule="auto"/>
        <w:ind w:right="1779" w:firstLine="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14:paraId="45E532B3">
      <w:pPr>
        <w:pStyle w:val="34"/>
        <w:keepNext w:val="0"/>
        <w:keepLines w:val="0"/>
        <w:pageBreakBefore w:val="0"/>
        <w:widowControl w:val="0"/>
        <w:kinsoku/>
        <w:wordWrap/>
        <w:overflowPunct/>
        <w:topLinePunct w:val="0"/>
        <w:autoSpaceDE/>
        <w:autoSpaceDN/>
        <w:bidi w:val="0"/>
        <w:adjustRightInd/>
        <w:snapToGrid/>
        <w:spacing w:line="360" w:lineRule="auto"/>
        <w:ind w:right="1779" w:firstLine="0"/>
        <w:jc w:val="right"/>
        <w:textAlignment w:val="auto"/>
        <w:rPr>
          <w:rFonts w:hint="eastAsia" w:ascii="宋体" w:hAnsi="宋体" w:eastAsia="宋体" w:cs="宋体"/>
          <w:color w:val="auto"/>
          <w:sz w:val="24"/>
          <w:szCs w:val="24"/>
          <w:highlight w:val="none"/>
        </w:rPr>
      </w:pPr>
      <w:r>
        <w:rPr>
          <w:rFonts w:hint="eastAsia" w:ascii="宋体" w:eastAsia="宋体" w:cs="宋体"/>
          <w:color w:val="auto"/>
          <w:sz w:val="24"/>
          <w:szCs w:val="24"/>
          <w:highlight w:val="none"/>
          <w:lang w:val="en-US" w:eastAsia="zh-CN"/>
        </w:rPr>
        <w:t>项目负责人</w:t>
      </w:r>
      <w:r>
        <w:rPr>
          <w:rFonts w:hint="eastAsia" w:ascii="宋体" w:hAnsi="宋体" w:eastAsia="宋体" w:cs="宋体"/>
          <w:color w:val="auto"/>
          <w:sz w:val="24"/>
          <w:szCs w:val="24"/>
          <w:highlight w:val="none"/>
        </w:rPr>
        <w:t>（签字）：</w:t>
      </w:r>
    </w:p>
    <w:p w14:paraId="467FB49E">
      <w:pPr>
        <w:pStyle w:val="34"/>
        <w:keepNext w:val="0"/>
        <w:keepLines w:val="0"/>
        <w:pageBreakBefore w:val="0"/>
        <w:widowControl w:val="0"/>
        <w:kinsoku/>
        <w:wordWrap/>
        <w:overflowPunct/>
        <w:topLinePunct w:val="0"/>
        <w:autoSpaceDE/>
        <w:autoSpaceDN/>
        <w:bidi w:val="0"/>
        <w:adjustRightInd/>
        <w:snapToGrid/>
        <w:spacing w:line="360" w:lineRule="auto"/>
        <w:ind w:right="879"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（企业公章）</w:t>
      </w:r>
    </w:p>
    <w:p w14:paraId="6D1F2A5A">
      <w:pPr>
        <w:pStyle w:val="34"/>
        <w:keepNext w:val="0"/>
        <w:keepLines w:val="0"/>
        <w:pageBreakBefore w:val="0"/>
        <w:widowControl w:val="0"/>
        <w:kinsoku/>
        <w:wordWrap/>
        <w:overflowPunct/>
        <w:topLinePunct w:val="0"/>
        <w:autoSpaceDE/>
        <w:autoSpaceDN/>
        <w:bidi w:val="0"/>
        <w:adjustRightInd/>
        <w:snapToGrid/>
        <w:spacing w:line="360" w:lineRule="auto"/>
        <w:ind w:right="879"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3957B1F2">
      <w:pPr>
        <w:pStyle w:val="1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p>
    <w:p w14:paraId="29685474">
      <w:pPr>
        <w:spacing w:line="500" w:lineRule="exact"/>
        <w:jc w:val="center"/>
        <w:rPr>
          <w:rFonts w:hint="eastAsia" w:ascii="宋体" w:hAnsi="宋体" w:cs="宋体"/>
          <w:b/>
          <w:color w:val="auto"/>
          <w:sz w:val="36"/>
          <w:szCs w:val="36"/>
          <w:highlight w:val="none"/>
          <w:lang w:eastAsia="zh-CN"/>
        </w:rPr>
      </w:pPr>
      <w:r>
        <w:rPr>
          <w:rFonts w:hint="eastAsia" w:ascii="宋体" w:hAnsi="宋体" w:cs="宋体"/>
          <w:b/>
          <w:color w:val="auto"/>
          <w:sz w:val="36"/>
          <w:szCs w:val="36"/>
          <w:highlight w:val="none"/>
          <w:lang w:eastAsia="zh-CN"/>
        </w:rPr>
        <w:t>联合体协议书（参考格式）</w:t>
      </w:r>
    </w:p>
    <w:p w14:paraId="1615504E">
      <w:pPr>
        <w:spacing w:line="500" w:lineRule="exact"/>
        <w:jc w:val="center"/>
        <w:rPr>
          <w:rFonts w:hint="eastAsia" w:ascii="宋体" w:hAnsi="宋体" w:eastAsia="宋体" w:cs="宋体"/>
          <w:b/>
          <w:color w:val="auto"/>
          <w:sz w:val="36"/>
          <w:szCs w:val="36"/>
          <w:highlight w:val="none"/>
          <w:lang w:eastAsia="zh-CN"/>
        </w:rPr>
      </w:pPr>
    </w:p>
    <w:p w14:paraId="67BE3D27">
      <w:pPr>
        <w:widowControl/>
        <w:spacing w:line="360" w:lineRule="auto"/>
        <w:ind w:left="1559" w:leftChars="266" w:hanging="921" w:hangingChars="384"/>
        <w:jc w:val="left"/>
        <w:rPr>
          <w:rFonts w:hint="eastAsia" w:ascii="宋体" w:hAnsi="宋体" w:cs="宋体"/>
          <w:color w:val="auto"/>
          <w:highlight w:val="none"/>
          <w:u w:val="single"/>
        </w:rPr>
      </w:pPr>
      <w:r>
        <w:rPr>
          <w:rFonts w:hint="eastAsia" w:ascii="宋体" w:hAnsi="宋体" w:cs="宋体"/>
          <w:color w:val="auto"/>
          <w:highlight w:val="none"/>
          <w:u w:val="single"/>
        </w:rPr>
        <w:tab/>
      </w:r>
      <w:r>
        <w:rPr>
          <w:rFonts w:hint="eastAsia" w:ascii="宋体" w:hAnsi="宋体" w:cs="宋体"/>
          <w:color w:val="auto"/>
          <w:highlight w:val="none"/>
        </w:rPr>
        <w:t>(所有成员单位名称) 自愿组成联合体，共同参加</w:t>
      </w:r>
      <w:r>
        <w:rPr>
          <w:rFonts w:hint="eastAsia" w:ascii="宋体" w:hAnsi="宋体" w:cs="宋体"/>
          <w:color w:val="auto"/>
          <w:highlight w:val="none"/>
          <w:u w:val="single"/>
        </w:rPr>
        <w:t xml:space="preserve">               </w:t>
      </w:r>
    </w:p>
    <w:p w14:paraId="6CBD2C06">
      <w:pPr>
        <w:widowControl/>
        <w:spacing w:line="360" w:lineRule="auto"/>
        <w:ind w:left="1644" w:hanging="1644" w:hangingChars="685"/>
        <w:jc w:val="left"/>
        <w:rPr>
          <w:rFonts w:hint="eastAsia" w:ascii="宋体" w:hAnsi="宋体" w:cs="宋体"/>
          <w:color w:val="auto"/>
          <w:highlight w:val="none"/>
        </w:rPr>
      </w:pPr>
      <w:r>
        <w:rPr>
          <w:rFonts w:hint="eastAsia" w:ascii="宋体" w:hAnsi="宋体" w:cs="宋体"/>
          <w:color w:val="auto"/>
          <w:highlight w:val="none"/>
        </w:rPr>
        <w:t>(项目名称)招标项目投标。现就联合体投标事宜订立如下协议。</w:t>
      </w:r>
    </w:p>
    <w:p w14:paraId="14E06DF6">
      <w:pPr>
        <w:widowControl/>
        <w:spacing w:line="360" w:lineRule="auto"/>
        <w:ind w:left="1644" w:hanging="1644" w:hangingChars="685"/>
        <w:jc w:val="left"/>
        <w:rPr>
          <w:rFonts w:hint="eastAsia" w:ascii="宋体" w:hAnsi="宋体" w:cs="宋体"/>
          <w:color w:val="auto"/>
          <w:highlight w:val="none"/>
        </w:rPr>
      </w:pPr>
      <w:r>
        <w:rPr>
          <w:rFonts w:hint="eastAsia" w:ascii="宋体" w:hAnsi="宋体" w:cs="宋体"/>
          <w:color w:val="auto"/>
          <w:highlight w:val="none"/>
        </w:rPr>
        <w:t xml:space="preserve">1.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(某成员单位名称)为联合体主办方。</w:t>
      </w:r>
    </w:p>
    <w:p w14:paraId="087D861A">
      <w:pPr>
        <w:widowControl/>
        <w:spacing w:line="360" w:lineRule="auto"/>
        <w:ind w:left="0" w:hanging="4" w:firstLineChars="0"/>
        <w:jc w:val="left"/>
        <w:rPr>
          <w:rFonts w:hint="eastAsia" w:ascii="宋体" w:hAnsi="宋体" w:cs="宋体"/>
          <w:color w:val="auto"/>
          <w:highlight w:val="none"/>
        </w:rPr>
      </w:pPr>
      <w:r>
        <w:rPr>
          <w:rFonts w:hint="eastAsia" w:ascii="宋体" w:hAnsi="宋体" w:cs="宋体"/>
          <w:color w:val="auto"/>
          <w:highlight w:val="none"/>
        </w:rPr>
        <w:t>2. 联合体各成员授权主办方代表联合体参加投标活动，签署文件，提交和接收相关的资料、信息及指示，进行合同谈判活动，负责合同实施阶段的组织和协调工作，以及处理与本招标项 目有关的一切事宜。</w:t>
      </w:r>
    </w:p>
    <w:p w14:paraId="538E4E6C">
      <w:pPr>
        <w:widowControl/>
        <w:spacing w:line="360" w:lineRule="auto"/>
        <w:ind w:left="0" w:hanging="4" w:firstLineChars="0"/>
        <w:jc w:val="left"/>
        <w:rPr>
          <w:rFonts w:hint="eastAsia" w:ascii="宋体" w:hAnsi="宋体" w:cs="宋体"/>
          <w:color w:val="auto"/>
          <w:highlight w:val="none"/>
        </w:rPr>
      </w:pPr>
      <w:r>
        <w:rPr>
          <w:rFonts w:hint="eastAsia" w:ascii="宋体" w:hAnsi="宋体" w:cs="宋体"/>
          <w:color w:val="auto"/>
          <w:highlight w:val="none"/>
        </w:rPr>
        <w:t>3. 联合体将严格按照招标文件的各项要求，递交投标文件，履行合同，并对外承担相应责任。联合体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297310D6">
      <w:pPr>
        <w:widowControl/>
        <w:spacing w:line="360" w:lineRule="auto"/>
        <w:ind w:left="0" w:hanging="4" w:firstLineChars="0"/>
        <w:jc w:val="left"/>
        <w:rPr>
          <w:rFonts w:hint="eastAsia" w:ascii="宋体" w:hAnsi="宋体" w:cs="宋体"/>
          <w:color w:val="auto"/>
          <w:highlight w:val="none"/>
        </w:rPr>
      </w:pPr>
      <w:r>
        <w:rPr>
          <w:rFonts w:hint="eastAsia" w:ascii="宋体" w:hAnsi="宋体" w:cs="宋体"/>
          <w:color w:val="auto"/>
          <w:highlight w:val="none"/>
        </w:rPr>
        <w:t>4. 联合体各成员单位内部的职责分工如下：</w:t>
      </w:r>
    </w:p>
    <w:p w14:paraId="2DA372C8">
      <w:pPr>
        <w:widowControl/>
        <w:spacing w:line="360" w:lineRule="auto"/>
        <w:ind w:left="0" w:hanging="4" w:firstLineChars="0"/>
        <w:jc w:val="left"/>
        <w:rPr>
          <w:rFonts w:hint="eastAsia" w:ascii="宋体" w:hAnsi="宋体" w:cs="宋体"/>
          <w:color w:val="auto"/>
          <w:highlight w:val="none"/>
        </w:rPr>
      </w:pPr>
      <w:r>
        <w:rPr>
          <w:rFonts w:hint="eastAsia" w:ascii="宋体" w:hAnsi="宋体" w:cs="宋体"/>
          <w:color w:val="auto"/>
          <w:highlight w:val="none"/>
        </w:rPr>
        <w:t xml:space="preserve">① </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w:t>
      </w:r>
      <w:r>
        <w:rPr>
          <w:rFonts w:hint="eastAsia" w:ascii="宋体" w:hAnsi="宋体" w:cs="宋体"/>
          <w:color w:val="auto"/>
          <w:highlight w:val="none"/>
          <w:u w:val="single"/>
        </w:rPr>
        <w:t>单位名称</w:t>
      </w:r>
      <w:r>
        <w:rPr>
          <w:rFonts w:hint="eastAsia" w:ascii="宋体" w:hAnsi="宋体" w:cs="宋体"/>
          <w:color w:val="auto"/>
          <w:highlight w:val="none"/>
          <w:u w:val="single"/>
          <w:lang w:eastAsia="zh-CN"/>
        </w:rPr>
        <w:t>）</w:t>
      </w:r>
      <w:r>
        <w:rPr>
          <w:rFonts w:hint="eastAsia" w:ascii="宋体" w:hAnsi="宋体" w:cs="宋体"/>
          <w:color w:val="auto"/>
          <w:highlight w:val="none"/>
          <w:u w:val="single"/>
        </w:rPr>
        <w:t xml:space="preserve">     </w:t>
      </w:r>
      <w:r>
        <w:rPr>
          <w:rFonts w:hint="eastAsia" w:ascii="宋体" w:hAnsi="宋体" w:cs="宋体"/>
          <w:color w:val="auto"/>
          <w:highlight w:val="none"/>
        </w:rPr>
        <w:t>：作为联合体的主办方除负责本</w:t>
      </w:r>
      <w:r>
        <w:rPr>
          <w:rFonts w:hint="eastAsia" w:ascii="宋体" w:hAnsi="宋体" w:cs="宋体"/>
          <w:color w:val="auto"/>
          <w:highlight w:val="none"/>
          <w:lang w:eastAsia="zh-CN"/>
        </w:rPr>
        <w:t>项目</w:t>
      </w:r>
      <w:r>
        <w:rPr>
          <w:rFonts w:hint="eastAsia" w:ascii="宋体" w:hAnsi="宋体" w:cs="宋体"/>
          <w:color w:val="auto"/>
          <w:highlight w:val="none"/>
        </w:rPr>
        <w:t>的</w:t>
      </w:r>
      <w:r>
        <w:rPr>
          <w:rFonts w:hint="eastAsia" w:ascii="宋体" w:hAnsi="宋体" w:cs="宋体"/>
          <w:color w:val="auto"/>
          <w:highlight w:val="none"/>
          <w:u w:val="single"/>
        </w:rPr>
        <w:t xml:space="preserve">      </w:t>
      </w:r>
      <w:r>
        <w:rPr>
          <w:rFonts w:hint="eastAsia" w:ascii="宋体" w:hAnsi="宋体" w:cs="宋体"/>
          <w:color w:val="auto"/>
          <w:highlight w:val="none"/>
        </w:rPr>
        <w:t>外，还应负责管理的职责。联合体其他相关方违约时，主办方应承担连带责任，具体按合同要求。</w:t>
      </w:r>
    </w:p>
    <w:p w14:paraId="5501B464">
      <w:pPr>
        <w:widowControl/>
        <w:spacing w:line="360" w:lineRule="auto"/>
        <w:ind w:left="0" w:hanging="4" w:firstLineChars="0"/>
        <w:jc w:val="left"/>
        <w:rPr>
          <w:rFonts w:hint="eastAsia" w:ascii="宋体" w:hAnsi="宋体" w:cs="宋体"/>
          <w:color w:val="auto"/>
          <w:highlight w:val="none"/>
        </w:rPr>
      </w:pPr>
      <w:r>
        <w:rPr>
          <w:rFonts w:hint="eastAsia" w:ascii="宋体" w:hAnsi="宋体" w:cs="宋体"/>
          <w:color w:val="auto"/>
          <w:highlight w:val="none"/>
        </w:rPr>
        <w:t xml:space="preserve">② </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w:t>
      </w:r>
      <w:r>
        <w:rPr>
          <w:rFonts w:hint="eastAsia" w:ascii="宋体" w:hAnsi="宋体" w:cs="宋体"/>
          <w:color w:val="auto"/>
          <w:highlight w:val="none"/>
          <w:u w:val="single"/>
        </w:rPr>
        <w:t>单位名称</w:t>
      </w:r>
      <w:r>
        <w:rPr>
          <w:rFonts w:hint="eastAsia" w:ascii="宋体" w:hAnsi="宋体" w:cs="宋体"/>
          <w:color w:val="auto"/>
          <w:highlight w:val="none"/>
          <w:u w:val="single"/>
          <w:lang w:eastAsia="zh-CN"/>
        </w:rPr>
        <w:t>）</w:t>
      </w:r>
      <w:r>
        <w:rPr>
          <w:rFonts w:hint="eastAsia" w:ascii="宋体" w:hAnsi="宋体" w:cs="宋体"/>
          <w:color w:val="auto"/>
          <w:highlight w:val="none"/>
          <w:u w:val="single"/>
        </w:rPr>
        <w:t xml:space="preserve">     </w:t>
      </w:r>
      <w:r>
        <w:rPr>
          <w:rFonts w:hint="eastAsia" w:ascii="宋体" w:hAnsi="宋体" w:cs="宋体"/>
          <w:color w:val="auto"/>
          <w:highlight w:val="none"/>
        </w:rPr>
        <w:t>：主要负责本</w:t>
      </w:r>
      <w:r>
        <w:rPr>
          <w:rFonts w:hint="eastAsia" w:ascii="宋体" w:hAnsi="宋体" w:cs="宋体"/>
          <w:color w:val="auto"/>
          <w:highlight w:val="none"/>
          <w:lang w:eastAsia="zh-CN"/>
        </w:rPr>
        <w:t>项目</w:t>
      </w:r>
      <w:r>
        <w:rPr>
          <w:rFonts w:hint="eastAsia" w:ascii="宋体" w:hAnsi="宋体" w:cs="宋体"/>
          <w:color w:val="auto"/>
          <w:highlight w:val="none"/>
        </w:rPr>
        <w:t>的</w:t>
      </w:r>
      <w:r>
        <w:rPr>
          <w:rFonts w:hint="eastAsia" w:ascii="宋体" w:hAnsi="宋体" w:cs="宋体"/>
          <w:color w:val="auto"/>
          <w:highlight w:val="none"/>
          <w:u w:val="single"/>
        </w:rPr>
        <w:t xml:space="preserve">       </w:t>
      </w:r>
      <w:r>
        <w:rPr>
          <w:rFonts w:hint="eastAsia" w:ascii="宋体" w:hAnsi="宋体" w:cs="宋体"/>
          <w:color w:val="auto"/>
          <w:highlight w:val="none"/>
        </w:rPr>
        <w:t>等工作，具体按合同要求。</w:t>
      </w:r>
    </w:p>
    <w:p w14:paraId="58F4498C">
      <w:pPr>
        <w:spacing w:line="360" w:lineRule="auto"/>
        <w:ind w:firstLine="0"/>
        <w:rPr>
          <w:rFonts w:hint="eastAsia" w:ascii="宋体" w:hAnsi="宋体" w:cs="宋体"/>
          <w:color w:val="auto"/>
          <w:sz w:val="24"/>
          <w:szCs w:val="24"/>
          <w:highlight w:val="none"/>
        </w:rPr>
      </w:pPr>
      <w:r>
        <w:rPr>
          <w:rFonts w:hint="eastAsia" w:ascii="宋体" w:hAnsi="宋体" w:cs="宋体"/>
          <w:color w:val="auto"/>
          <w:highlight w:val="none"/>
        </w:rPr>
        <w:t>5. 本协议书自所有成员单位法定代表人或其委托代理人签字或盖单位章之日起生效， 合同履行完毕后自动失效。</w:t>
      </w:r>
    </w:p>
    <w:p w14:paraId="066B8208">
      <w:pPr>
        <w:pStyle w:val="1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AF479F5">
      <w:pPr>
        <w:keepNext w:val="0"/>
        <w:keepLines w:val="0"/>
        <w:pageBreakBefore w:val="0"/>
        <w:widowControl/>
        <w:kinsoku w:val="0"/>
        <w:wordWrap/>
        <w:overflowPunct/>
        <w:topLinePunct w:val="0"/>
        <w:autoSpaceDE w:val="0"/>
        <w:autoSpaceDN w:val="0"/>
        <w:bidi w:val="0"/>
        <w:adjustRightInd w:val="0"/>
        <w:snapToGrid w:val="0"/>
        <w:spacing w:line="360" w:lineRule="auto"/>
        <w:ind w:left="2409" w:right="327"/>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联合体</w:t>
      </w:r>
      <w:r>
        <w:rPr>
          <w:rFonts w:hint="eastAsia" w:ascii="宋体" w:hAnsi="宋体" w:eastAsia="宋体" w:cs="宋体"/>
          <w:color w:val="auto"/>
          <w:spacing w:val="-4"/>
          <w:sz w:val="21"/>
          <w:szCs w:val="21"/>
          <w:highlight w:val="none"/>
          <w:lang w:eastAsia="zh-CN"/>
        </w:rPr>
        <w:t>主办方</w:t>
      </w:r>
      <w:r>
        <w:rPr>
          <w:rFonts w:hint="eastAsia" w:ascii="宋体" w:hAnsi="宋体" w:eastAsia="宋体" w:cs="宋体"/>
          <w:color w:val="auto"/>
          <w:spacing w:val="-4"/>
          <w:sz w:val="21"/>
          <w:szCs w:val="21"/>
          <w:highlight w:val="none"/>
        </w:rPr>
        <w:t>名称：</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(盖单位章)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法定代表人：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hint="eastAsia" w:ascii="宋体" w:hAnsi="宋体" w:eastAsia="宋体" w:cs="宋体"/>
          <w:color w:val="auto"/>
          <w:spacing w:val="-1"/>
          <w:sz w:val="21"/>
          <w:szCs w:val="21"/>
          <w:highlight w:val="none"/>
        </w:rPr>
        <w:t>)</w:t>
      </w:r>
    </w:p>
    <w:p w14:paraId="0429CA95">
      <w:pPr>
        <w:keepNext w:val="0"/>
        <w:keepLines w:val="0"/>
        <w:pageBreakBefore w:val="0"/>
        <w:widowControl/>
        <w:kinsoku w:val="0"/>
        <w:wordWrap/>
        <w:overflowPunct/>
        <w:topLinePunct w:val="0"/>
        <w:autoSpaceDE w:val="0"/>
        <w:autoSpaceDN w:val="0"/>
        <w:bidi w:val="0"/>
        <w:adjustRightInd w:val="0"/>
        <w:snapToGrid w:val="0"/>
        <w:spacing w:line="360" w:lineRule="auto"/>
        <w:ind w:left="2409" w:right="32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委托代理人：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1"/>
          <w:sz w:val="21"/>
          <w:szCs w:val="21"/>
          <w:highlight w:val="none"/>
        </w:rPr>
        <w:t>)</w:t>
      </w:r>
    </w:p>
    <w:p w14:paraId="3B8E32D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p>
    <w:p w14:paraId="54038FD7">
      <w:pPr>
        <w:keepNext w:val="0"/>
        <w:keepLines w:val="0"/>
        <w:pageBreakBefore w:val="0"/>
        <w:widowControl/>
        <w:kinsoku w:val="0"/>
        <w:wordWrap/>
        <w:overflowPunct/>
        <w:topLinePunct w:val="0"/>
        <w:autoSpaceDE w:val="0"/>
        <w:autoSpaceDN w:val="0"/>
        <w:bidi w:val="0"/>
        <w:adjustRightInd w:val="0"/>
        <w:snapToGrid w:val="0"/>
        <w:spacing w:line="360" w:lineRule="auto"/>
        <w:ind w:left="2409" w:right="32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联合体成员名称：</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(盖单位章)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法定</w:t>
      </w:r>
      <w:r>
        <w:rPr>
          <w:rFonts w:hint="eastAsia" w:ascii="宋体" w:hAnsi="宋体" w:eastAsia="宋体" w:cs="宋体"/>
          <w:color w:val="auto"/>
          <w:spacing w:val="-7"/>
          <w:sz w:val="21"/>
          <w:szCs w:val="21"/>
          <w:highlight w:val="none"/>
        </w:rPr>
        <w:t>代</w:t>
      </w:r>
      <w:r>
        <w:rPr>
          <w:rFonts w:hint="eastAsia" w:ascii="宋体" w:hAnsi="宋体" w:eastAsia="宋体" w:cs="宋体"/>
          <w:color w:val="auto"/>
          <w:spacing w:val="-4"/>
          <w:sz w:val="21"/>
          <w:szCs w:val="21"/>
          <w:highlight w:val="none"/>
        </w:rPr>
        <w:t>表人：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hint="eastAsia" w:ascii="宋体" w:hAnsi="宋体" w:eastAsia="宋体" w:cs="宋体"/>
          <w:color w:val="auto"/>
          <w:spacing w:val="-4"/>
          <w:sz w:val="21"/>
          <w:szCs w:val="21"/>
          <w:highlight w:val="none"/>
        </w:rPr>
        <w:t>)</w:t>
      </w:r>
    </w:p>
    <w:p w14:paraId="3B74CA39">
      <w:pPr>
        <w:keepNext w:val="0"/>
        <w:keepLines w:val="0"/>
        <w:pageBreakBefore w:val="0"/>
        <w:widowControl/>
        <w:kinsoku w:val="0"/>
        <w:wordWrap/>
        <w:overflowPunct/>
        <w:topLinePunct w:val="0"/>
        <w:autoSpaceDE w:val="0"/>
        <w:autoSpaceDN w:val="0"/>
        <w:bidi w:val="0"/>
        <w:adjustRightInd w:val="0"/>
        <w:snapToGrid w:val="0"/>
        <w:spacing w:line="360" w:lineRule="auto"/>
        <w:ind w:left="2409" w:right="32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委托代理人：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p>
    <w:p w14:paraId="092A6C60">
      <w:pPr>
        <w:spacing w:line="360" w:lineRule="auto"/>
        <w:rPr>
          <w:rFonts w:hint="eastAsia" w:ascii="宋体" w:hAnsi="宋体" w:cs="宋体"/>
          <w:color w:val="auto"/>
          <w:sz w:val="24"/>
          <w:szCs w:val="24"/>
          <w:highlight w:val="none"/>
        </w:rPr>
      </w:pPr>
    </w:p>
    <w:p w14:paraId="4D0181F0">
      <w:pPr>
        <w:spacing w:line="360" w:lineRule="auto"/>
        <w:rPr>
          <w:rFonts w:hint="eastAsia" w:ascii="宋体" w:hAnsi="宋体" w:cs="宋体"/>
          <w:color w:val="auto"/>
          <w:sz w:val="24"/>
          <w:szCs w:val="24"/>
          <w:highlight w:val="none"/>
          <w:lang w:bidi="ar"/>
        </w:rPr>
      </w:pPr>
      <w:r>
        <w:rPr>
          <w:rFonts w:hint="eastAsia" w:ascii="宋体" w:hAnsi="宋体" w:cs="宋体"/>
          <w:color w:val="auto"/>
          <w:sz w:val="24"/>
          <w:szCs w:val="24"/>
          <w:highlight w:val="none"/>
        </w:rPr>
        <w:t xml:space="preserve">                                       签订日期：</w:t>
      </w:r>
      <w:r>
        <w:rPr>
          <w:rFonts w:hint="eastAsia" w:ascii="宋体" w:hAnsi="宋体" w:cs="宋体"/>
          <w:b/>
          <w:bCs/>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b/>
          <w:bCs/>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b/>
          <w:bCs/>
          <w:color w:val="auto"/>
          <w:sz w:val="24"/>
          <w:szCs w:val="24"/>
          <w:highlight w:val="none"/>
          <w:u w:val="single"/>
        </w:rPr>
        <w:t xml:space="preserve">     </w:t>
      </w:r>
      <w:r>
        <w:rPr>
          <w:rFonts w:hint="eastAsia" w:ascii="宋体" w:hAnsi="宋体" w:cs="宋体"/>
          <w:color w:val="auto"/>
          <w:sz w:val="24"/>
          <w:szCs w:val="24"/>
          <w:highlight w:val="none"/>
        </w:rPr>
        <w:t>日</w:t>
      </w:r>
    </w:p>
    <w:p w14:paraId="594777CA">
      <w:pPr>
        <w:pStyle w:val="14"/>
        <w:rPr>
          <w:rFonts w:hint="eastAsia" w:ascii="宋体" w:hAnsi="宋体" w:eastAsia="宋体" w:cs="宋体"/>
          <w:color w:val="auto"/>
          <w:szCs w:val="21"/>
          <w:highlight w:val="none"/>
        </w:rPr>
      </w:pPr>
      <w:r>
        <w:rPr>
          <w:rFonts w:hint="eastAsia" w:ascii="宋体" w:hAnsi="宋体" w:eastAsia="宋体" w:cs="宋体"/>
          <w:b w:val="0"/>
          <w:bCs w:val="0"/>
          <w:color w:val="auto"/>
          <w:sz w:val="24"/>
          <w:szCs w:val="24"/>
          <w:highlight w:val="none"/>
          <w:lang w:bidi="ar"/>
        </w:rPr>
        <w:t>注：</w:t>
      </w:r>
      <w:r>
        <w:rPr>
          <w:rFonts w:hint="eastAsia" w:ascii="宋体" w:hAnsi="宋体" w:eastAsia="宋体" w:cs="宋体"/>
          <w:b w:val="0"/>
          <w:bCs w:val="0"/>
          <w:color w:val="auto"/>
          <w:kern w:val="0"/>
          <w:sz w:val="24"/>
          <w:szCs w:val="24"/>
          <w:highlight w:val="none"/>
          <w:lang w:bidi="ar"/>
        </w:rPr>
        <w:t>1、单独投标的，无需提交本协议书。</w:t>
      </w:r>
    </w:p>
    <w:p w14:paraId="406396E0">
      <w:pPr>
        <w:rPr>
          <w:rFonts w:hint="default"/>
          <w:color w:val="auto"/>
          <w:highlight w:val="none"/>
          <w:lang w:val="en-US" w:eastAsia="zh-CN"/>
        </w:rPr>
      </w:pPr>
      <w:r>
        <w:rPr>
          <w:rFonts w:hint="eastAsia"/>
          <w:color w:val="auto"/>
          <w:highlight w:val="none"/>
          <w:lang w:val="en-US" w:eastAsia="zh-CN"/>
        </w:rPr>
        <w:t xml:space="preserve">                2、联合体各方职责需包含本项目的检测、监测全部工作。</w:t>
      </w:r>
    </w:p>
    <w:p w14:paraId="121FB616">
      <w:pPr>
        <w:rPr>
          <w:rFonts w:hint="eastAsia"/>
          <w:color w:val="auto"/>
          <w:highlight w:val="none"/>
        </w:rPr>
        <w:sectPr>
          <w:pgSz w:w="11905" w:h="16838"/>
          <w:pgMar w:top="1417" w:right="1417" w:bottom="1417" w:left="1417" w:header="720" w:footer="720" w:gutter="0"/>
          <w:lnNumType w:countBy="0" w:distance="360"/>
          <w:pgNumType w:fmt="decimal"/>
          <w:cols w:space="720" w:num="1"/>
        </w:sectPr>
      </w:pPr>
    </w:p>
    <w:p w14:paraId="1C9935F5">
      <w:pPr>
        <w:pStyle w:val="6"/>
        <w:outlineLvl w:val="0"/>
        <w:rPr>
          <w:rFonts w:hint="eastAsia" w:ascii="宋体" w:hAnsi="宋体" w:eastAsia="宋体" w:cs="宋体"/>
          <w:b w:val="0"/>
          <w:color w:val="auto"/>
          <w:sz w:val="57"/>
          <w:szCs w:val="24"/>
          <w:highlight w:val="none"/>
        </w:rPr>
      </w:pPr>
      <w:bookmarkStart w:id="35" w:name="bookmark18"/>
      <w:bookmarkEnd w:id="35"/>
      <w:bookmarkStart w:id="36" w:name="bookmark9"/>
      <w:bookmarkEnd w:id="36"/>
      <w:bookmarkStart w:id="37" w:name="_Toc15097"/>
      <w:r>
        <w:rPr>
          <w:rFonts w:hint="eastAsia" w:ascii="宋体" w:hAnsi="宋体" w:eastAsia="宋体" w:cs="宋体"/>
          <w:color w:val="auto"/>
          <w:sz w:val="44"/>
          <w:szCs w:val="24"/>
          <w:highlight w:val="none"/>
        </w:rPr>
        <w:t>第二章</w:t>
      </w:r>
      <w:r>
        <w:rPr>
          <w:rFonts w:hint="eastAsia" w:ascii="宋体" w:hAnsi="宋体" w:eastAsia="宋体" w:cs="宋体"/>
          <w:color w:val="auto"/>
          <w:sz w:val="44"/>
          <w:szCs w:val="24"/>
          <w:highlight w:val="none"/>
          <w:lang w:val="en-US" w:eastAsia="zh-CN"/>
        </w:rPr>
        <w:t xml:space="preserve"> </w:t>
      </w:r>
      <w:r>
        <w:rPr>
          <w:rFonts w:hint="eastAsia" w:ascii="宋体" w:hAnsi="宋体" w:eastAsia="宋体" w:cs="宋体"/>
          <w:color w:val="auto"/>
          <w:sz w:val="44"/>
          <w:szCs w:val="24"/>
          <w:highlight w:val="none"/>
        </w:rPr>
        <w:t>投标人须知</w:t>
      </w:r>
      <w:bookmarkEnd w:id="37"/>
    </w:p>
    <w:p w14:paraId="30C39FDB">
      <w:pPr>
        <w:pStyle w:val="7"/>
        <w:kinsoku w:val="0"/>
        <w:overflowPunct w:val="0"/>
        <w:ind w:left="220"/>
        <w:jc w:val="center"/>
        <w:outlineLvl w:val="1"/>
        <w:rPr>
          <w:rFonts w:hint="eastAsia" w:ascii="宋体" w:hAnsi="宋体" w:eastAsia="宋体" w:cs="宋体"/>
          <w:b w:val="0"/>
          <w:color w:val="auto"/>
          <w:sz w:val="20"/>
          <w:szCs w:val="24"/>
          <w:highlight w:val="none"/>
        </w:rPr>
      </w:pPr>
      <w:bookmarkStart w:id="38" w:name="bookmark19"/>
      <w:bookmarkEnd w:id="38"/>
      <w:bookmarkStart w:id="39" w:name="_Toc6280"/>
      <w:r>
        <w:rPr>
          <w:rFonts w:hint="eastAsia" w:ascii="宋体" w:hAnsi="宋体" w:eastAsia="宋体" w:cs="宋体"/>
          <w:color w:val="auto"/>
          <w:sz w:val="32"/>
          <w:szCs w:val="24"/>
          <w:highlight w:val="none"/>
        </w:rPr>
        <w:t>投标人须知前附表</w:t>
      </w:r>
      <w:bookmarkEnd w:id="39"/>
    </w:p>
    <w:tbl>
      <w:tblPr>
        <w:tblStyle w:val="2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607"/>
        <w:gridCol w:w="5463"/>
      </w:tblGrid>
      <w:tr w14:paraId="36A3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blHeader/>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1C4C15">
            <w:pPr>
              <w:pStyle w:val="33"/>
              <w:kinsoku w:val="0"/>
              <w:overflowPunct w:val="0"/>
              <w:spacing w:before="41"/>
              <w:jc w:val="center"/>
              <w:rPr>
                <w:rFonts w:hint="eastAsia" w:ascii="宋体" w:hAnsi="宋体" w:eastAsia="宋体" w:cs="宋体"/>
                <w:color w:val="auto"/>
                <w:sz w:val="21"/>
                <w:szCs w:val="24"/>
                <w:highlight w:val="none"/>
              </w:rPr>
            </w:pPr>
            <w:r>
              <w:rPr>
                <w:rFonts w:hint="eastAsia" w:ascii="宋体" w:hAnsi="宋体" w:eastAsia="宋体" w:cs="宋体"/>
                <w:b/>
                <w:color w:val="auto"/>
                <w:sz w:val="21"/>
                <w:szCs w:val="21"/>
                <w:highlight w:val="none"/>
              </w:rPr>
              <w:t>条款号</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AA1D9F">
            <w:pPr>
              <w:pStyle w:val="33"/>
              <w:kinsoku w:val="0"/>
              <w:overflowPunct w:val="0"/>
              <w:spacing w:before="41"/>
              <w:jc w:val="center"/>
              <w:rPr>
                <w:rFonts w:hint="eastAsia" w:ascii="宋体" w:hAnsi="宋体" w:eastAsia="宋体" w:cs="宋体"/>
                <w:color w:val="auto"/>
                <w:sz w:val="21"/>
                <w:szCs w:val="24"/>
                <w:highlight w:val="none"/>
              </w:rPr>
            </w:pPr>
            <w:r>
              <w:rPr>
                <w:rFonts w:hint="eastAsia" w:ascii="宋体" w:hAnsi="宋体" w:eastAsia="宋体" w:cs="宋体"/>
                <w:b/>
                <w:color w:val="auto"/>
                <w:sz w:val="21"/>
                <w:szCs w:val="21"/>
                <w:highlight w:val="none"/>
              </w:rPr>
              <w:t>条款名称</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E3998B">
            <w:pPr>
              <w:pStyle w:val="33"/>
              <w:kinsoku w:val="0"/>
              <w:overflowPunct w:val="0"/>
              <w:spacing w:before="41"/>
              <w:jc w:val="center"/>
              <w:rPr>
                <w:rFonts w:hint="eastAsia" w:ascii="宋体" w:hAnsi="宋体" w:eastAsia="宋体" w:cs="宋体"/>
                <w:color w:val="auto"/>
                <w:sz w:val="21"/>
                <w:szCs w:val="24"/>
                <w:highlight w:val="none"/>
              </w:rPr>
            </w:pPr>
            <w:r>
              <w:rPr>
                <w:rFonts w:hint="eastAsia" w:ascii="宋体" w:hAnsi="宋体" w:eastAsia="宋体" w:cs="宋体"/>
                <w:b/>
                <w:color w:val="auto"/>
                <w:sz w:val="21"/>
                <w:szCs w:val="21"/>
                <w:highlight w:val="none"/>
              </w:rPr>
              <w:t>编列内容</w:t>
            </w:r>
          </w:p>
        </w:tc>
      </w:tr>
      <w:tr w14:paraId="25CA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6E2704">
            <w:pPr>
              <w:pStyle w:val="33"/>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1.1.2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DD377C">
            <w:pPr>
              <w:pStyle w:val="33"/>
              <w:kinsoku w:val="0"/>
              <w:overflowPunct w:val="0"/>
              <w:spacing w:line="360" w:lineRule="auto"/>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招标人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5C4C21">
            <w:pPr>
              <w:pStyle w:val="33"/>
              <w:kinsoku w:val="0"/>
              <w:overflowPunct w:val="0"/>
              <w:adjustRightInd/>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名称：广州市自来水有限公司</w:t>
            </w:r>
          </w:p>
          <w:p w14:paraId="597191F0">
            <w:pPr>
              <w:pStyle w:val="33"/>
              <w:kinsoku w:val="0"/>
              <w:overflowPunct w:val="0"/>
              <w:adjustRightInd/>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地址：广州市越秀区中山一路12号</w:t>
            </w:r>
          </w:p>
          <w:p w14:paraId="5E5D310E">
            <w:pPr>
              <w:pStyle w:val="33"/>
              <w:kinsoku w:val="0"/>
              <w:overflowPunct w:val="0"/>
              <w:adjustRightInd/>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w:t>
            </w:r>
            <w:r>
              <w:rPr>
                <w:rFonts w:hint="eastAsia" w:ascii="宋体" w:hAnsi="宋体" w:cs="宋体"/>
                <w:color w:val="auto"/>
                <w:sz w:val="21"/>
                <w:szCs w:val="21"/>
                <w:highlight w:val="none"/>
                <w:lang w:val="en-US" w:eastAsia="zh-CN"/>
              </w:rPr>
              <w:t>梁</w:t>
            </w:r>
            <w:r>
              <w:rPr>
                <w:rFonts w:hint="eastAsia" w:ascii="宋体" w:hAnsi="宋体" w:eastAsia="宋体" w:cs="宋体"/>
                <w:color w:val="auto"/>
                <w:sz w:val="21"/>
                <w:szCs w:val="21"/>
                <w:highlight w:val="none"/>
                <w:lang w:val="en-US" w:eastAsia="zh-CN"/>
              </w:rPr>
              <w:t>工</w:t>
            </w:r>
          </w:p>
          <w:p w14:paraId="6FB50928">
            <w:pPr>
              <w:pStyle w:val="33"/>
              <w:kinsoku w:val="0"/>
              <w:overflowPunct w:val="0"/>
              <w:adjustRightInd/>
              <w:spacing w:line="360" w:lineRule="auto"/>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1"/>
                <w:highlight w:val="none"/>
                <w:lang w:val="en-US" w:eastAsia="zh-CN"/>
              </w:rPr>
              <w:t>电话：020-87159014</w:t>
            </w:r>
          </w:p>
        </w:tc>
      </w:tr>
      <w:tr w14:paraId="2A32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CA1FE7">
            <w:pPr>
              <w:pStyle w:val="33"/>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1.1.3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5EDAE6">
            <w:pPr>
              <w:pStyle w:val="33"/>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招标代理机构</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0A0D2B">
            <w:pPr>
              <w:pStyle w:val="33"/>
              <w:kinsoku w:val="0"/>
              <w:overflowPunct w:val="0"/>
              <w:adjustRightInd/>
              <w:spacing w:line="360" w:lineRule="auto"/>
              <w:jc w:val="both"/>
              <w:rPr>
                <w:rFonts w:hint="eastAsia" w:ascii="宋体" w:hAnsi="宋体" w:eastAsia="宋体" w:cs="宋体"/>
                <w:color w:val="auto"/>
                <w:spacing w:val="-102"/>
                <w:sz w:val="21"/>
                <w:szCs w:val="24"/>
                <w:highlight w:val="none"/>
              </w:rPr>
            </w:pPr>
            <w:r>
              <w:rPr>
                <w:rFonts w:hint="eastAsia" w:ascii="宋体" w:hAnsi="宋体" w:eastAsia="宋体" w:cs="宋体"/>
                <w:color w:val="auto"/>
                <w:sz w:val="21"/>
                <w:szCs w:val="24"/>
                <w:highlight w:val="none"/>
              </w:rPr>
              <w:t>名称：</w:t>
            </w:r>
            <w:r>
              <w:rPr>
                <w:rFonts w:hint="eastAsia" w:ascii="宋体" w:hAnsi="宋体" w:cs="宋体"/>
                <w:color w:val="auto"/>
                <w:sz w:val="21"/>
                <w:highlight w:val="none"/>
                <w:lang w:eastAsia="zh-CN"/>
              </w:rPr>
              <w:t>广东建瀚工程管理有限公司</w:t>
            </w:r>
            <w:r>
              <w:rPr>
                <w:rFonts w:hint="eastAsia" w:ascii="宋体" w:hAnsi="宋体" w:eastAsia="宋体" w:cs="宋体"/>
                <w:color w:val="auto"/>
                <w:spacing w:val="-102"/>
                <w:sz w:val="21"/>
                <w:szCs w:val="24"/>
                <w:highlight w:val="none"/>
              </w:rPr>
              <w:t xml:space="preserve"> </w:t>
            </w:r>
          </w:p>
          <w:p w14:paraId="5937E42A">
            <w:pPr>
              <w:pStyle w:val="33"/>
              <w:kinsoku w:val="0"/>
              <w:overflowPunct w:val="0"/>
              <w:adjustRightInd/>
              <w:spacing w:line="360" w:lineRule="auto"/>
              <w:jc w:val="both"/>
              <w:rPr>
                <w:rFonts w:hint="default"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rPr>
              <w:t>地址：</w:t>
            </w:r>
            <w:r>
              <w:rPr>
                <w:rFonts w:hint="eastAsia" w:ascii="宋体" w:hAnsi="宋体" w:cs="宋体"/>
                <w:color w:val="auto"/>
                <w:sz w:val="21"/>
                <w:highlight w:val="none"/>
              </w:rPr>
              <w:t>广州市白云区春满街39号（巨和智慧产业园展示中心）2号楼</w:t>
            </w:r>
          </w:p>
          <w:p w14:paraId="40F741F8">
            <w:pPr>
              <w:pStyle w:val="33"/>
              <w:kinsoku w:val="0"/>
              <w:overflowPunct w:val="0"/>
              <w:adjustRightInd/>
              <w:spacing w:line="360" w:lineRule="auto"/>
              <w:jc w:val="both"/>
              <w:rPr>
                <w:rFonts w:hint="default" w:ascii="宋体" w:hAnsi="宋体" w:eastAsia="宋体" w:cs="宋体"/>
                <w:color w:val="auto"/>
                <w:sz w:val="21"/>
                <w:szCs w:val="24"/>
                <w:highlight w:val="none"/>
                <w:lang w:val="en-US" w:eastAsia="zh-CN"/>
              </w:rPr>
            </w:pPr>
            <w:r>
              <w:rPr>
                <w:rFonts w:hint="eastAsia" w:ascii="宋体" w:hAnsi="宋体" w:eastAsia="宋体" w:cs="宋体"/>
                <w:color w:val="auto"/>
                <w:spacing w:val="-102"/>
                <w:sz w:val="21"/>
                <w:szCs w:val="24"/>
                <w:highlight w:val="none"/>
              </w:rPr>
              <w:t xml:space="preserve"> </w:t>
            </w:r>
            <w:r>
              <w:rPr>
                <w:rFonts w:hint="eastAsia" w:ascii="宋体" w:hAnsi="宋体" w:eastAsia="宋体" w:cs="宋体"/>
                <w:color w:val="auto"/>
                <w:sz w:val="21"/>
                <w:szCs w:val="24"/>
                <w:highlight w:val="none"/>
              </w:rPr>
              <w:t>联系</w:t>
            </w:r>
            <w:r>
              <w:rPr>
                <w:rFonts w:hint="eastAsia" w:ascii="宋体" w:hAnsi="宋体" w:eastAsia="宋体" w:cs="宋体"/>
                <w:color w:val="auto"/>
                <w:sz w:val="21"/>
                <w:szCs w:val="24"/>
                <w:highlight w:val="none"/>
                <w:lang w:val="en-US" w:eastAsia="zh-CN"/>
              </w:rPr>
              <w:t>人</w:t>
            </w:r>
            <w:r>
              <w:rPr>
                <w:rFonts w:hint="eastAsia" w:ascii="宋体" w:hAnsi="宋体" w:eastAsia="宋体" w:cs="宋体"/>
                <w:color w:val="auto"/>
                <w:sz w:val="21"/>
                <w:szCs w:val="24"/>
                <w:highlight w:val="none"/>
              </w:rPr>
              <w:t>：</w:t>
            </w:r>
            <w:r>
              <w:rPr>
                <w:rFonts w:hint="eastAsia" w:ascii="宋体" w:hAnsi="宋体" w:cs="宋体"/>
                <w:color w:val="auto"/>
                <w:sz w:val="21"/>
                <w:szCs w:val="24"/>
                <w:highlight w:val="none"/>
                <w:lang w:val="en-US" w:eastAsia="zh-CN"/>
              </w:rPr>
              <w:t>黄工</w:t>
            </w:r>
          </w:p>
          <w:p w14:paraId="382184B5">
            <w:pPr>
              <w:pStyle w:val="33"/>
              <w:kinsoku w:val="0"/>
              <w:overflowPunct w:val="0"/>
              <w:spacing w:line="360" w:lineRule="auto"/>
              <w:jc w:val="both"/>
              <w:rPr>
                <w:rFonts w:hint="default"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rPr>
              <w:t>电话：</w:t>
            </w:r>
            <w:r>
              <w:rPr>
                <w:rFonts w:hint="eastAsia" w:ascii="宋体" w:hAnsi="宋体" w:cs="宋体"/>
                <w:color w:val="auto"/>
                <w:sz w:val="21"/>
                <w:szCs w:val="24"/>
                <w:highlight w:val="none"/>
                <w:lang w:val="en-US" w:eastAsia="zh-CN"/>
              </w:rPr>
              <w:t>13640801478</w:t>
            </w:r>
          </w:p>
        </w:tc>
      </w:tr>
      <w:tr w14:paraId="313B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290E38">
            <w:pPr>
              <w:pStyle w:val="33"/>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1.1.4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FEBA9B">
            <w:pPr>
              <w:pStyle w:val="33"/>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招标项目名称</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BD65F2">
            <w:pPr>
              <w:jc w:val="both"/>
              <w:rPr>
                <w:rFonts w:hint="eastAsia" w:ascii="宋体" w:hAnsi="宋体" w:eastAsia="宋体" w:cs="宋体"/>
                <w:color w:val="auto"/>
                <w:sz w:val="21"/>
                <w:szCs w:val="24"/>
                <w:highlight w:val="none"/>
                <w:lang w:eastAsia="zh-CN"/>
              </w:rPr>
            </w:pPr>
            <w:r>
              <w:rPr>
                <w:rFonts w:hint="eastAsia" w:ascii="宋体" w:hAnsi="宋体" w:cs="宋体"/>
                <w:color w:val="auto"/>
                <w:sz w:val="21"/>
                <w:highlight w:val="none"/>
                <w:lang w:eastAsia="zh-CN"/>
              </w:rPr>
              <w:t>2025-2027年广州市自来水有限公司管网建设工程检测、监测服务项目</w:t>
            </w:r>
          </w:p>
        </w:tc>
      </w:tr>
      <w:tr w14:paraId="23C8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55E927">
            <w:pPr>
              <w:pStyle w:val="33"/>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1.1.5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79614A">
            <w:pPr>
              <w:pStyle w:val="33"/>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项目建设地点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4E0533">
            <w:pPr>
              <w:jc w:val="both"/>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详见</w:t>
            </w:r>
            <w:r>
              <w:rPr>
                <w:rFonts w:hint="eastAsia" w:ascii="宋体" w:hAnsi="宋体" w:eastAsia="宋体" w:cs="宋体"/>
                <w:color w:val="auto"/>
                <w:sz w:val="21"/>
                <w:szCs w:val="24"/>
                <w:highlight w:val="none"/>
                <w:lang w:eastAsia="zh-CN"/>
              </w:rPr>
              <w:t>本项目</w:t>
            </w:r>
            <w:r>
              <w:rPr>
                <w:rFonts w:hint="eastAsia" w:ascii="宋体" w:hAnsi="宋体" w:eastAsia="宋体" w:cs="宋体"/>
                <w:color w:val="auto"/>
                <w:sz w:val="21"/>
                <w:szCs w:val="24"/>
                <w:highlight w:val="none"/>
                <w:lang w:val="en-US" w:eastAsia="zh-CN"/>
              </w:rPr>
              <w:t>招标公告</w:t>
            </w:r>
          </w:p>
        </w:tc>
      </w:tr>
      <w:tr w14:paraId="32B22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7F4408">
            <w:pPr>
              <w:pStyle w:val="33"/>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1.1.6</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6F3325">
            <w:pPr>
              <w:pStyle w:val="33"/>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项目建设规模</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D255B4">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val="en-US" w:eastAsia="zh-CN"/>
              </w:rPr>
              <w:t>详见</w:t>
            </w:r>
            <w:r>
              <w:rPr>
                <w:rFonts w:hint="eastAsia" w:ascii="宋体" w:hAnsi="宋体" w:eastAsia="宋体" w:cs="宋体"/>
                <w:color w:val="auto"/>
                <w:sz w:val="21"/>
                <w:szCs w:val="24"/>
                <w:highlight w:val="none"/>
                <w:lang w:eastAsia="zh-CN"/>
              </w:rPr>
              <w:t>本项目</w:t>
            </w:r>
            <w:r>
              <w:rPr>
                <w:rFonts w:hint="eastAsia" w:ascii="宋体" w:hAnsi="宋体" w:eastAsia="宋体" w:cs="宋体"/>
                <w:color w:val="auto"/>
                <w:sz w:val="21"/>
                <w:szCs w:val="24"/>
                <w:highlight w:val="none"/>
                <w:lang w:val="en-US" w:eastAsia="zh-CN"/>
              </w:rPr>
              <w:t>招标公告</w:t>
            </w:r>
          </w:p>
        </w:tc>
      </w:tr>
      <w:tr w14:paraId="5E6D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68E835">
            <w:pPr>
              <w:pStyle w:val="33"/>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0643C5">
            <w:pPr>
              <w:pStyle w:val="33"/>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资金来源及比例</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66B397">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val="en-US" w:eastAsia="zh-CN"/>
              </w:rPr>
              <w:t>详见</w:t>
            </w:r>
            <w:r>
              <w:rPr>
                <w:rFonts w:hint="eastAsia" w:ascii="宋体" w:hAnsi="宋体" w:eastAsia="宋体" w:cs="宋体"/>
                <w:color w:val="auto"/>
                <w:sz w:val="21"/>
                <w:szCs w:val="24"/>
                <w:highlight w:val="none"/>
                <w:lang w:eastAsia="zh-CN"/>
              </w:rPr>
              <w:t>本项目</w:t>
            </w:r>
            <w:r>
              <w:rPr>
                <w:rFonts w:hint="eastAsia" w:ascii="宋体" w:hAnsi="宋体" w:eastAsia="宋体" w:cs="宋体"/>
                <w:color w:val="auto"/>
                <w:sz w:val="21"/>
                <w:szCs w:val="24"/>
                <w:highlight w:val="none"/>
                <w:lang w:val="en-US" w:eastAsia="zh-CN"/>
              </w:rPr>
              <w:t>招标公告</w:t>
            </w:r>
          </w:p>
        </w:tc>
      </w:tr>
      <w:tr w14:paraId="0599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E79C14">
            <w:pPr>
              <w:pStyle w:val="33"/>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1.2.2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601A80">
            <w:pPr>
              <w:pStyle w:val="33"/>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资金落实情况</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D27298">
            <w:pPr>
              <w:jc w:val="both"/>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已落实</w:t>
            </w:r>
          </w:p>
        </w:tc>
      </w:tr>
      <w:tr w14:paraId="4290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2B9FB0">
            <w:pPr>
              <w:pStyle w:val="33"/>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1.3.1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724EBD">
            <w:pPr>
              <w:pStyle w:val="33"/>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招标范围</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58666C">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val="en-US" w:eastAsia="zh-CN"/>
              </w:rPr>
              <w:t>详见</w:t>
            </w:r>
            <w:r>
              <w:rPr>
                <w:rFonts w:hint="eastAsia" w:ascii="宋体" w:hAnsi="宋体" w:eastAsia="宋体" w:cs="宋体"/>
                <w:color w:val="auto"/>
                <w:sz w:val="21"/>
                <w:szCs w:val="24"/>
                <w:highlight w:val="none"/>
                <w:lang w:eastAsia="zh-CN"/>
              </w:rPr>
              <w:t>本项目</w:t>
            </w:r>
            <w:r>
              <w:rPr>
                <w:rFonts w:hint="eastAsia" w:ascii="宋体" w:hAnsi="宋体" w:eastAsia="宋体" w:cs="宋体"/>
                <w:color w:val="auto"/>
                <w:sz w:val="21"/>
                <w:szCs w:val="24"/>
                <w:highlight w:val="none"/>
                <w:lang w:val="en-US" w:eastAsia="zh-CN"/>
              </w:rPr>
              <w:t>招标公告</w:t>
            </w:r>
          </w:p>
        </w:tc>
      </w:tr>
      <w:tr w14:paraId="7E65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7318AC">
            <w:pPr>
              <w:pStyle w:val="33"/>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1.3.2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6593BD">
            <w:pPr>
              <w:pStyle w:val="33"/>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服务期限</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5969B2">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val="en-US" w:eastAsia="zh-CN"/>
              </w:rPr>
              <w:t>详见</w:t>
            </w:r>
            <w:r>
              <w:rPr>
                <w:rFonts w:hint="eastAsia" w:ascii="宋体" w:hAnsi="宋体" w:eastAsia="宋体" w:cs="宋体"/>
                <w:color w:val="auto"/>
                <w:sz w:val="21"/>
                <w:szCs w:val="24"/>
                <w:highlight w:val="none"/>
                <w:lang w:eastAsia="zh-CN"/>
              </w:rPr>
              <w:t>本项目</w:t>
            </w:r>
            <w:r>
              <w:rPr>
                <w:rFonts w:hint="eastAsia" w:ascii="宋体" w:hAnsi="宋体" w:eastAsia="宋体" w:cs="宋体"/>
                <w:color w:val="auto"/>
                <w:sz w:val="21"/>
                <w:szCs w:val="24"/>
                <w:highlight w:val="none"/>
                <w:lang w:val="en-US" w:eastAsia="zh-CN"/>
              </w:rPr>
              <w:t>招标公告</w:t>
            </w:r>
          </w:p>
        </w:tc>
      </w:tr>
      <w:tr w14:paraId="7FCF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CE5A3D">
            <w:pPr>
              <w:pStyle w:val="33"/>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1.3.3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EA6E99">
            <w:pPr>
              <w:pStyle w:val="33"/>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质量标准</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8B3D70">
            <w:pPr>
              <w:jc w:val="both"/>
              <w:rPr>
                <w:rFonts w:hint="eastAsia" w:ascii="宋体" w:hAnsi="宋体" w:eastAsia="宋体" w:cs="宋体"/>
                <w:color w:val="auto"/>
                <w:sz w:val="21"/>
                <w:szCs w:val="24"/>
                <w:highlight w:val="none"/>
                <w:lang w:eastAsia="zh-CN"/>
              </w:rPr>
            </w:pPr>
            <w:r>
              <w:rPr>
                <w:rFonts w:hint="eastAsia" w:ascii="宋体" w:hAnsi="宋体" w:cs="宋体"/>
                <w:color w:val="auto"/>
                <w:sz w:val="21"/>
                <w:szCs w:val="24"/>
                <w:highlight w:val="none"/>
                <w:lang w:eastAsia="zh-CN"/>
              </w:rPr>
              <w:t>合格</w:t>
            </w:r>
          </w:p>
        </w:tc>
      </w:tr>
      <w:tr w14:paraId="48E54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6A9BC9">
            <w:pPr>
              <w:pStyle w:val="33"/>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1.4.1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43F1C7">
            <w:pPr>
              <w:pStyle w:val="33"/>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投标人资质条件、能力、信誉</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AFFB2C">
            <w:pPr>
              <w:pStyle w:val="33"/>
              <w:kinsoku w:val="0"/>
              <w:overflowPunct w:val="0"/>
              <w:jc w:val="both"/>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详见本项目招标公告</w:t>
            </w:r>
          </w:p>
        </w:tc>
      </w:tr>
      <w:tr w14:paraId="55CB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E867C5">
            <w:pPr>
              <w:pStyle w:val="33"/>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1.4.2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3E2C1B">
            <w:pPr>
              <w:pStyle w:val="33"/>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是否接受联合体投标</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D2CFF0">
            <w:pPr>
              <w:snapToGrid w:val="0"/>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position w:val="3"/>
                <w:sz w:val="21"/>
                <w:szCs w:val="21"/>
                <w:highlight w:val="none"/>
              </w:rPr>
              <w:t>不接受</w:t>
            </w:r>
          </w:p>
          <w:p w14:paraId="58071D5B">
            <w:pPr>
              <w:snapToGrid w:val="0"/>
              <w:spacing w:line="312"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接受，应满足下列要求：详见招标公告。</w:t>
            </w:r>
          </w:p>
        </w:tc>
      </w:tr>
      <w:tr w14:paraId="105E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EA7654">
            <w:pPr>
              <w:pStyle w:val="33"/>
              <w:kinsoku w:val="0"/>
              <w:overflowPunct w:val="0"/>
              <w:jc w:val="center"/>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4"/>
                <w:highlight w:val="none"/>
              </w:rPr>
              <w:t>1.4.3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540DF7">
            <w:pPr>
              <w:pStyle w:val="33"/>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投标人不得存在的其他情形</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595666">
            <w:pPr>
              <w:keepNext w:val="0"/>
              <w:keepLines w:val="0"/>
              <w:pageBreakBefore w:val="0"/>
              <w:widowControl w:val="0"/>
              <w:wordWrap/>
              <w:topLinePunct w:val="0"/>
              <w:autoSpaceDE w:val="0"/>
              <w:autoSpaceDN w:val="0"/>
              <w:bidi w:val="0"/>
              <w:adjustRightInd w:val="0"/>
              <w:snapToGrid/>
              <w:jc w:val="both"/>
              <w:textAlignment w:val="auto"/>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（14）投标人（如为联合体，要求联合体各方）</w:t>
            </w:r>
            <w:r>
              <w:rPr>
                <w:rFonts w:hint="eastAsia" w:ascii="宋体" w:hAnsi="宋体" w:cs="宋体"/>
                <w:color w:val="auto"/>
                <w:sz w:val="21"/>
                <w:highlight w:val="none"/>
                <w:lang w:val="en-US" w:eastAsia="zh-CN"/>
              </w:rPr>
              <w:t>投标人未被纳入失信联合惩戒名单，</w:t>
            </w:r>
            <w:r>
              <w:rPr>
                <w:rFonts w:hint="eastAsia" w:ascii="宋体" w:hAnsi="宋体" w:eastAsia="宋体" w:cs="宋体"/>
                <w:color w:val="auto"/>
                <w:sz w:val="21"/>
                <w:szCs w:val="24"/>
                <w:highlight w:val="none"/>
                <w:lang w:val="en-US" w:eastAsia="zh-CN"/>
              </w:rPr>
              <w:t>具体名单以递交投标文件截止时间“信用广州”公布的“黑名单”为准。</w:t>
            </w:r>
          </w:p>
        </w:tc>
      </w:tr>
      <w:tr w14:paraId="5F1C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890724">
            <w:pPr>
              <w:pStyle w:val="33"/>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1.9.1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38B30E">
            <w:pPr>
              <w:pStyle w:val="33"/>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踏勘现场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93021D">
            <w:pPr>
              <w:keepNext w:val="0"/>
              <w:keepLines w:val="0"/>
              <w:pageBreakBefore w:val="0"/>
              <w:widowControl w:val="0"/>
              <w:wordWrap/>
              <w:topLinePunct w:val="0"/>
              <w:autoSpaceDE w:val="0"/>
              <w:autoSpaceDN w:val="0"/>
              <w:bidi w:val="0"/>
              <w:adjustRightInd w:val="0"/>
              <w:snapToGrid/>
              <w:textAlignment w:val="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招标人不集中组织，由投标人自行踏勘；</w:t>
            </w:r>
          </w:p>
          <w:p w14:paraId="540E632A">
            <w:pPr>
              <w:keepNext w:val="0"/>
              <w:keepLines w:val="0"/>
              <w:pageBreakBefore w:val="0"/>
              <w:widowControl w:val="0"/>
              <w:wordWrap/>
              <w:topLinePunct w:val="0"/>
              <w:autoSpaceDE w:val="0"/>
              <w:autoSpaceDN w:val="0"/>
              <w:bidi w:val="0"/>
              <w:adjustRightInd w:val="0"/>
              <w:snapToGrid/>
              <w:textAlignment w:val="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时间：自</w:t>
            </w:r>
            <w:r>
              <w:rPr>
                <w:rFonts w:hint="eastAsia" w:ascii="宋体" w:hAnsi="宋体" w:eastAsia="宋体" w:cs="宋体"/>
                <w:color w:val="auto"/>
                <w:sz w:val="21"/>
                <w:szCs w:val="24"/>
                <w:highlight w:val="none"/>
                <w:lang w:val="en-US" w:eastAsia="zh-CN"/>
              </w:rPr>
              <w:t>招标公告发布之日</w:t>
            </w:r>
            <w:r>
              <w:rPr>
                <w:rFonts w:hint="eastAsia" w:ascii="宋体" w:hAnsi="宋体" w:eastAsia="宋体" w:cs="宋体"/>
                <w:color w:val="auto"/>
                <w:sz w:val="21"/>
                <w:szCs w:val="24"/>
                <w:highlight w:val="none"/>
              </w:rPr>
              <w:t>起具备现场踏勘条件；</w:t>
            </w:r>
          </w:p>
          <w:p w14:paraId="5AFC47FD">
            <w:pPr>
              <w:pStyle w:val="33"/>
              <w:keepNext w:val="0"/>
              <w:keepLines w:val="0"/>
              <w:pageBreakBefore w:val="0"/>
              <w:widowControl w:val="0"/>
              <w:kinsoku w:val="0"/>
              <w:wordWrap/>
              <w:overflowPunct w:val="0"/>
              <w:topLinePunct w:val="0"/>
              <w:autoSpaceDE w:val="0"/>
              <w:autoSpaceDN w:val="0"/>
              <w:bidi w:val="0"/>
              <w:adjustRightInd w:val="0"/>
              <w:snapToGrid/>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现场详细地点：</w:t>
            </w:r>
            <w:r>
              <w:rPr>
                <w:rFonts w:hint="eastAsia" w:ascii="宋体" w:hAnsi="宋体" w:eastAsia="宋体" w:cs="宋体"/>
                <w:color w:val="auto"/>
                <w:sz w:val="21"/>
                <w:highlight w:val="none"/>
              </w:rPr>
              <w:t>详见本项目招标公告</w:t>
            </w:r>
            <w:r>
              <w:rPr>
                <w:rFonts w:hint="eastAsia" w:ascii="宋体" w:hAnsi="宋体" w:eastAsia="宋体" w:cs="宋体"/>
                <w:color w:val="auto"/>
                <w:sz w:val="21"/>
                <w:szCs w:val="24"/>
                <w:highlight w:val="none"/>
              </w:rPr>
              <w:t>；</w:t>
            </w:r>
          </w:p>
        </w:tc>
      </w:tr>
      <w:tr w14:paraId="612E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A6CAD9">
            <w:pPr>
              <w:spacing w:before="60"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w:t>
            </w:r>
            <w:r>
              <w:rPr>
                <w:rFonts w:hint="eastAsia" w:ascii="宋体" w:hAnsi="宋体" w:eastAsia="宋体" w:cs="宋体"/>
                <w:color w:val="auto"/>
                <w:spacing w:val="-4"/>
                <w:sz w:val="21"/>
                <w:szCs w:val="21"/>
                <w:highlight w:val="none"/>
              </w:rPr>
              <w:t>.10.1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DA4170">
            <w:pPr>
              <w:spacing w:before="68" w:line="217"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top"/>
          </w:tcPr>
          <w:p w14:paraId="47FA6E2C">
            <w:pPr>
              <w:pStyle w:val="13"/>
              <w:spacing w:before="62" w:beforeLines="20" w:after="62" w:afterLines="20"/>
              <w:ind w:left="48" w:leftChars="20" w:right="48"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不召开</w:t>
            </w:r>
          </w:p>
          <w:p w14:paraId="2D00847B">
            <w:pPr>
              <w:spacing w:before="62" w:beforeLines="20" w:after="62" w:afterLines="20"/>
              <w:ind w:left="48" w:leftChars="20" w:right="48" w:rightChars="2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rPr>
              <w:t>召开，召开时间：</w:t>
            </w:r>
          </w:p>
          <w:p w14:paraId="2E8B1C56">
            <w:pPr>
              <w:spacing w:before="173"/>
              <w:ind w:right="50" w:firstLine="840" w:firstLineChars="400"/>
              <w:rPr>
                <w:rFonts w:hint="eastAsia" w:ascii="宋体" w:hAnsi="宋体" w:eastAsia="宋体" w:cs="宋体"/>
                <w:color w:val="auto"/>
                <w:sz w:val="21"/>
                <w:szCs w:val="24"/>
                <w:highlight w:val="none"/>
              </w:rPr>
            </w:pPr>
            <w:r>
              <w:rPr>
                <w:rFonts w:hint="eastAsia" w:ascii="宋体" w:hAnsi="宋体" w:eastAsia="宋体" w:cs="宋体"/>
                <w:color w:val="auto"/>
                <w:sz w:val="21"/>
                <w:szCs w:val="21"/>
                <w:highlight w:val="none"/>
              </w:rPr>
              <w:t>召开地点：</w:t>
            </w:r>
          </w:p>
        </w:tc>
      </w:tr>
      <w:tr w14:paraId="38C1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CD72F65">
            <w:pPr>
              <w:spacing w:before="60" w:line="186" w:lineRule="auto"/>
              <w:jc w:val="center"/>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1.10.2</w:t>
            </w:r>
          </w:p>
        </w:tc>
        <w:tc>
          <w:tcPr>
            <w:tcW w:w="260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4C10EB3">
            <w:pPr>
              <w:spacing w:before="68" w:line="217" w:lineRule="auto"/>
              <w:rPr>
                <w:rFonts w:hint="eastAsia" w:ascii="宋体" w:hAnsi="宋体" w:eastAsia="宋体" w:cs="宋体"/>
                <w:color w:val="auto"/>
                <w:spacing w:val="-2"/>
                <w:sz w:val="21"/>
                <w:szCs w:val="21"/>
                <w:highlight w:val="none"/>
              </w:rPr>
            </w:pPr>
            <w:r>
              <w:rPr>
                <w:rFonts w:hint="eastAsia" w:ascii="宋体" w:hAnsi="宋体" w:eastAsia="宋体" w:cs="宋体"/>
                <w:color w:val="auto"/>
                <w:sz w:val="21"/>
                <w:szCs w:val="21"/>
                <w:highlight w:val="none"/>
              </w:rPr>
              <w:t>投标人在投标预备会前提出问题</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3462E0">
            <w:pPr>
              <w:autoSpaceDE/>
              <w:autoSpaceDN/>
              <w:adjustRightInd/>
              <w:spacing w:before="63" w:beforeLines="20" w:after="63" w:afterLines="20"/>
              <w:ind w:left="48" w:leftChars="20" w:right="48" w:rightChars="2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val="en-US" w:eastAsia="zh-CN"/>
              </w:rPr>
              <w:t xml:space="preserve"> /</w:t>
            </w:r>
          </w:p>
        </w:tc>
      </w:tr>
      <w:tr w14:paraId="5CDEA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D7583AC">
            <w:pPr>
              <w:pStyle w:val="33"/>
              <w:kinsoku w:val="0"/>
              <w:overflowPunct w:val="0"/>
              <w:jc w:val="center"/>
              <w:rPr>
                <w:rFonts w:hint="eastAsia" w:ascii="宋体" w:hAnsi="宋体" w:eastAsia="宋体" w:cs="宋体"/>
                <w:color w:val="auto"/>
                <w:sz w:val="21"/>
                <w:szCs w:val="24"/>
                <w:highlight w:val="none"/>
              </w:rPr>
            </w:pPr>
          </w:p>
        </w:tc>
        <w:tc>
          <w:tcPr>
            <w:tcW w:w="260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3369345">
            <w:pPr>
              <w:pStyle w:val="33"/>
              <w:kinsoku w:val="0"/>
              <w:overflowPunct w:val="0"/>
              <w:jc w:val="both"/>
              <w:rPr>
                <w:rFonts w:hint="eastAsia" w:ascii="宋体" w:hAnsi="宋体" w:eastAsia="宋体" w:cs="宋体"/>
                <w:color w:val="auto"/>
                <w:sz w:val="21"/>
                <w:szCs w:val="24"/>
                <w:highlight w:val="none"/>
              </w:rPr>
            </w:pP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D98C56">
            <w:pPr>
              <w:autoSpaceDE/>
              <w:autoSpaceDN/>
              <w:adjustRightInd/>
              <w:spacing w:before="63" w:beforeLines="20" w:after="63" w:afterLines="20"/>
              <w:ind w:left="48" w:leftChars="20" w:right="48" w:rightChars="2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形式：</w:t>
            </w:r>
            <w:r>
              <w:rPr>
                <w:rFonts w:hint="eastAsia" w:ascii="宋体" w:hAnsi="宋体" w:eastAsia="宋体" w:cs="宋体"/>
                <w:color w:val="auto"/>
                <w:sz w:val="21"/>
                <w:szCs w:val="21"/>
                <w:highlight w:val="none"/>
                <w:lang w:val="en-US" w:eastAsia="zh-CN"/>
              </w:rPr>
              <w:t xml:space="preserve"> /</w:t>
            </w:r>
          </w:p>
        </w:tc>
      </w:tr>
      <w:tr w14:paraId="5019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2A9E4B">
            <w:pPr>
              <w:spacing w:before="62" w:beforeLines="20" w:after="62" w:afterLines="20"/>
              <w:ind w:left="48" w:leftChars="20" w:right="48" w:rightChars="20"/>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pacing w:val="-5"/>
                <w:sz w:val="21"/>
                <w:szCs w:val="21"/>
                <w:highlight w:val="none"/>
              </w:rPr>
              <w:t>1.10.3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87F167">
            <w:pPr>
              <w:spacing w:before="62" w:beforeLines="20" w:after="62" w:afterLines="20"/>
              <w:ind w:left="48" w:leftChars="20" w:right="48" w:rightChars="20"/>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招标文件澄清发出的形式</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E81140">
            <w:pPr>
              <w:autoSpaceDE/>
              <w:autoSpaceDN/>
              <w:adjustRightInd/>
              <w:spacing w:before="63" w:beforeLines="20" w:after="63" w:afterLines="20"/>
              <w:ind w:left="0" w:leftChars="0" w:right="48" w:rightChars="2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招标文件的澄清均以广州交易集团有限公司（广州公共资源交易中心）网站发布的内容为准。当招标文件的澄清、修改在同一内容的表述不一致时，以广州交易集团有限公司（广州公共资源交易中心）网站最后发布的内容为准。</w:t>
            </w:r>
          </w:p>
        </w:tc>
      </w:tr>
      <w:tr w14:paraId="184F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9019FE">
            <w:pPr>
              <w:pStyle w:val="33"/>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1.12.1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705732">
            <w:pPr>
              <w:pStyle w:val="33"/>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实质性要求和条件</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09717D">
            <w:pPr>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w:t>
            </w:r>
          </w:p>
        </w:tc>
      </w:tr>
      <w:tr w14:paraId="3829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E662A7">
            <w:pPr>
              <w:pStyle w:val="33"/>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1.12.3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E361D6">
            <w:pPr>
              <w:pStyle w:val="33"/>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偏差</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80AB1D">
            <w:pPr>
              <w:pStyle w:val="33"/>
              <w:kinsoku w:val="0"/>
              <w:overflowPunct w:val="0"/>
              <w:jc w:val="both"/>
              <w:rPr>
                <w:rFonts w:hint="eastAsia" w:ascii="宋体" w:hAnsi="宋体" w:eastAsia="宋体" w:cs="宋体"/>
                <w:color w:val="auto"/>
                <w:sz w:val="21"/>
                <w:szCs w:val="24"/>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4"/>
                <w:highlight w:val="none"/>
              </w:rPr>
              <w:t>不允许</w:t>
            </w:r>
          </w:p>
          <w:p w14:paraId="0D80BA88">
            <w:pPr>
              <w:pStyle w:val="33"/>
              <w:kinsoku w:val="0"/>
              <w:overflowPunct w:val="0"/>
              <w:jc w:val="both"/>
              <w:rPr>
                <w:rFonts w:hint="eastAsia" w:ascii="宋体" w:hAnsi="宋体" w:eastAsia="宋体" w:cs="宋体"/>
                <w:color w:val="auto"/>
                <w:sz w:val="21"/>
                <w:szCs w:val="24"/>
                <w:highlight w:val="none"/>
                <w:lang w:val="en-US" w:eastAsia="zh-CN"/>
              </w:rPr>
            </w:pPr>
            <w:r>
              <w:rPr>
                <w:rFonts w:hint="eastAsia" w:ascii="宋体" w:hAnsi="宋体" w:cs="宋体"/>
                <w:color w:val="auto"/>
                <w:sz w:val="21"/>
                <w:szCs w:val="21"/>
                <w:highlight w:val="none"/>
              </w:rPr>
              <w:t>□</w:t>
            </w:r>
            <w:r>
              <w:rPr>
                <w:rFonts w:hint="eastAsia" w:ascii="宋体" w:hAnsi="宋体" w:eastAsia="宋体" w:cs="宋体"/>
                <w:color w:val="auto"/>
                <w:sz w:val="21"/>
                <w:szCs w:val="24"/>
                <w:highlight w:val="none"/>
              </w:rPr>
              <w:t>允许，偏差范围：</w:t>
            </w:r>
            <w:r>
              <w:rPr>
                <w:rFonts w:hint="eastAsia" w:ascii="宋体" w:hAnsi="宋体" w:eastAsia="宋体" w:cs="宋体"/>
                <w:color w:val="auto"/>
                <w:sz w:val="21"/>
                <w:szCs w:val="24"/>
                <w:highlight w:val="none"/>
                <w:lang w:val="en-US" w:eastAsia="zh-CN"/>
              </w:rPr>
              <w:t>/</w:t>
            </w:r>
          </w:p>
          <w:p w14:paraId="7FEA2B51">
            <w:pPr>
              <w:pStyle w:val="33"/>
              <w:kinsoku w:val="0"/>
              <w:overflowPunct w:val="0"/>
              <w:jc w:val="both"/>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4"/>
                <w:highlight w:val="none"/>
              </w:rPr>
              <w:t>偏差幅度：</w:t>
            </w:r>
            <w:r>
              <w:rPr>
                <w:rFonts w:hint="eastAsia" w:ascii="宋体" w:hAnsi="宋体" w:eastAsia="宋体" w:cs="宋体"/>
                <w:color w:val="auto"/>
                <w:sz w:val="21"/>
                <w:szCs w:val="24"/>
                <w:highlight w:val="none"/>
                <w:lang w:val="en-US" w:eastAsia="zh-CN"/>
              </w:rPr>
              <w:t>/</w:t>
            </w:r>
          </w:p>
        </w:tc>
      </w:tr>
      <w:tr w14:paraId="67AE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B35181">
            <w:pPr>
              <w:pStyle w:val="33"/>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335945">
            <w:pPr>
              <w:pStyle w:val="33"/>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构成招标文件的其他资料</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B688E2">
            <w:pPr>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14:paraId="33B6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A8BD84">
            <w:pPr>
              <w:spacing w:before="60" w:line="186" w:lineRule="auto"/>
              <w:jc w:val="center"/>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1"/>
                <w:highlight w:val="none"/>
              </w:rPr>
              <w:t>2.2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D0C533">
            <w:pPr>
              <w:spacing w:line="272" w:lineRule="auto"/>
              <w:jc w:val="center"/>
              <w:rPr>
                <w:rFonts w:hint="eastAsia" w:ascii="宋体" w:hAnsi="宋体" w:eastAsia="宋体" w:cs="宋体"/>
                <w:color w:val="auto"/>
                <w:sz w:val="21"/>
                <w:szCs w:val="24"/>
                <w:highlight w:val="none"/>
              </w:rPr>
            </w:pPr>
          </w:p>
          <w:p w14:paraId="41EC131C">
            <w:pPr>
              <w:spacing w:before="69" w:line="220" w:lineRule="auto"/>
              <w:jc w:val="left"/>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招标答疑</w:t>
            </w:r>
          </w:p>
          <w:p w14:paraId="7629CBEF">
            <w:pPr>
              <w:jc w:val="center"/>
              <w:rPr>
                <w:rFonts w:hint="eastAsia" w:ascii="宋体" w:hAnsi="宋体" w:eastAsia="宋体" w:cs="宋体"/>
                <w:color w:val="auto"/>
                <w:sz w:val="21"/>
                <w:szCs w:val="24"/>
                <w:highlight w:val="none"/>
                <w:lang w:eastAsia="zh-CN"/>
              </w:rPr>
            </w:pPr>
          </w:p>
          <w:p w14:paraId="0519AF40">
            <w:pPr>
              <w:tabs>
                <w:tab w:val="left" w:pos="1103"/>
              </w:tabs>
              <w:jc w:val="center"/>
              <w:rPr>
                <w:rFonts w:hint="eastAsia" w:ascii="宋体" w:hAnsi="宋体" w:eastAsia="宋体" w:cs="宋体"/>
                <w:color w:val="auto"/>
                <w:sz w:val="21"/>
                <w:szCs w:val="24"/>
                <w:highlight w:val="none"/>
              </w:rPr>
            </w:pP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top"/>
          </w:tcPr>
          <w:p w14:paraId="7C3DDA94">
            <w:pPr>
              <w:spacing w:before="156" w:beforeLines="50"/>
              <w:ind w:left="113" w:leftChars="4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疑问提交时间：</w:t>
            </w: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时前；</w:t>
            </w:r>
          </w:p>
          <w:p w14:paraId="0618A292">
            <w:pPr>
              <w:spacing w:before="156" w:beforeLines="50"/>
              <w:ind w:left="113" w:leftChars="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形式：投标人的疑问通过</w:t>
            </w:r>
            <w:r>
              <w:rPr>
                <w:rFonts w:hint="eastAsia" w:ascii="宋体" w:hAnsi="宋体" w:eastAsia="宋体" w:cs="宋体"/>
                <w:color w:val="auto"/>
                <w:sz w:val="21"/>
                <w:szCs w:val="21"/>
                <w:highlight w:val="none"/>
                <w:lang w:eastAsia="zh-CN"/>
              </w:rPr>
              <w:t>广州交易集团有限公司（广州公共资源交易中心）网站</w:t>
            </w:r>
            <w:r>
              <w:rPr>
                <w:rFonts w:hint="eastAsia" w:ascii="宋体" w:hAnsi="宋体" w:eastAsia="宋体" w:cs="宋体"/>
                <w:color w:val="auto"/>
                <w:sz w:val="21"/>
                <w:szCs w:val="21"/>
                <w:highlight w:val="none"/>
              </w:rPr>
              <w:t>提交。</w:t>
            </w:r>
          </w:p>
          <w:p w14:paraId="6F94554F">
            <w:pPr>
              <w:spacing w:before="156" w:beforeLines="50"/>
              <w:ind w:left="113" w:leftChars="47"/>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具体要求：按照</w:t>
            </w:r>
            <w:r>
              <w:rPr>
                <w:rFonts w:hint="eastAsia" w:ascii="宋体" w:hAnsi="宋体" w:eastAsia="宋体" w:cs="宋体"/>
                <w:color w:val="auto"/>
                <w:sz w:val="21"/>
                <w:szCs w:val="21"/>
                <w:highlight w:val="none"/>
                <w:lang w:eastAsia="zh-CN"/>
              </w:rPr>
              <w:t>广州交易集团有限公司（广州公共资源交易中心）网站</w:t>
            </w:r>
            <w:r>
              <w:rPr>
                <w:rFonts w:hint="eastAsia" w:ascii="宋体" w:hAnsi="宋体" w:eastAsia="宋体" w:cs="宋体"/>
                <w:color w:val="auto"/>
                <w:sz w:val="21"/>
                <w:szCs w:val="21"/>
                <w:highlight w:val="none"/>
              </w:rPr>
              <w:t>关于全流程电子化项目的相关指南进行操作，提问一律不得署名。</w:t>
            </w:r>
          </w:p>
        </w:tc>
      </w:tr>
      <w:tr w14:paraId="08DA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8E011D">
            <w:pPr>
              <w:spacing w:before="209" w:line="186" w:lineRule="auto"/>
              <w:jc w:val="center"/>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1"/>
                <w:highlight w:val="none"/>
              </w:rPr>
              <w:t>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32AF7B">
            <w:pPr>
              <w:spacing w:before="170" w:line="220" w:lineRule="auto"/>
              <w:jc w:val="left"/>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1"/>
                <w:highlight w:val="none"/>
              </w:rPr>
              <w:t>招标文件</w:t>
            </w:r>
            <w:r>
              <w:rPr>
                <w:rFonts w:hint="eastAsia" w:ascii="宋体" w:hAnsi="宋体" w:eastAsia="宋体" w:cs="宋体"/>
                <w:color w:val="auto"/>
                <w:spacing w:val="-1"/>
                <w:sz w:val="21"/>
                <w:szCs w:val="21"/>
                <w:highlight w:val="none"/>
                <w:lang w:eastAsia="zh-CN"/>
              </w:rPr>
              <w:t>的澄清和</w:t>
            </w:r>
            <w:r>
              <w:rPr>
                <w:rFonts w:hint="eastAsia" w:ascii="宋体" w:hAnsi="宋体" w:eastAsia="宋体" w:cs="宋体"/>
                <w:color w:val="auto"/>
                <w:spacing w:val="-1"/>
                <w:sz w:val="21"/>
                <w:szCs w:val="21"/>
                <w:highlight w:val="none"/>
              </w:rPr>
              <w:t>修改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4EE95D">
            <w:pPr>
              <w:ind w:left="91" w:leftChars="38"/>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招标文件的修改期限：在投标截止时间</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lang w:val="en-US" w:eastAsia="zh-CN"/>
              </w:rPr>
              <w:t>15</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rPr>
              <w:t>天前</w:t>
            </w:r>
          </w:p>
        </w:tc>
      </w:tr>
      <w:tr w14:paraId="2EC6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E1A10C">
            <w:pPr>
              <w:pStyle w:val="33"/>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3.1.1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F26CD5">
            <w:pPr>
              <w:pStyle w:val="33"/>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构成投标文件的其他资料</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15794B">
            <w:pPr>
              <w:jc w:val="both"/>
              <w:rPr>
                <w:rFonts w:hint="eastAsia" w:ascii="宋体" w:hAnsi="宋体" w:eastAsia="宋体" w:cs="宋体"/>
                <w:b/>
                <w:color w:val="auto"/>
                <w:sz w:val="21"/>
                <w:szCs w:val="21"/>
                <w:highlight w:val="none"/>
              </w:rPr>
            </w:pPr>
            <w:r>
              <w:rPr>
                <w:rFonts w:hint="eastAsia" w:ascii="宋体" w:hAnsi="宋体" w:eastAsia="宋体" w:cs="宋体"/>
                <w:color w:val="auto"/>
                <w:spacing w:val="-1"/>
                <w:sz w:val="21"/>
                <w:szCs w:val="21"/>
                <w:highlight w:val="none"/>
                <w:lang w:val="en-US" w:eastAsia="zh-CN"/>
              </w:rPr>
              <w:t>满足本项目评审要求的其他资料。</w:t>
            </w:r>
          </w:p>
        </w:tc>
      </w:tr>
      <w:tr w14:paraId="49B4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61874E">
            <w:pPr>
              <w:pStyle w:val="33"/>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7BFCAF">
            <w:pPr>
              <w:pStyle w:val="33"/>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增值税税金的计算方法</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092172">
            <w:pPr>
              <w:jc w:val="both"/>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rPr>
              <w:t>按一般计税方法计算。</w:t>
            </w:r>
          </w:p>
        </w:tc>
      </w:tr>
      <w:tr w14:paraId="0A9A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70BF49">
            <w:pPr>
              <w:pStyle w:val="33"/>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72126C">
            <w:pPr>
              <w:pStyle w:val="33"/>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报价方式</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627B13">
            <w:pPr>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各投标人在招标控制价总价内根据企业自身实力进行报价（以</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为单位，保留两位小数，第三位小数四舍五入）。</w:t>
            </w:r>
          </w:p>
        </w:tc>
      </w:tr>
      <w:tr w14:paraId="7B87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64C022">
            <w:pPr>
              <w:pStyle w:val="33"/>
              <w:kinsoku w:val="0"/>
              <w:overflowPunct w:val="0"/>
              <w:jc w:val="center"/>
              <w:rPr>
                <w:rFonts w:hint="eastAsia" w:ascii="宋体" w:hAnsi="宋体" w:eastAsia="宋体" w:cs="宋体"/>
                <w:color w:val="auto"/>
                <w:sz w:val="21"/>
                <w:szCs w:val="24"/>
                <w:highlight w:val="none"/>
              </w:rPr>
            </w:pPr>
          </w:p>
          <w:p w14:paraId="3EDD7EFC">
            <w:pPr>
              <w:pStyle w:val="33"/>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3.2.4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1008A7">
            <w:pPr>
              <w:pStyle w:val="33"/>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最高投标限价</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F3EED0">
            <w:pPr>
              <w:pStyle w:val="33"/>
              <w:kinsoku w:val="0"/>
              <w:overflowPunct w:val="0"/>
              <w:jc w:val="both"/>
              <w:rPr>
                <w:rFonts w:hint="eastAsia" w:ascii="宋体" w:hAnsi="宋体" w:eastAsia="宋体" w:cs="宋体"/>
                <w:color w:val="auto"/>
                <w:sz w:val="21"/>
                <w:szCs w:val="24"/>
                <w:highlight w:val="none"/>
              </w:rPr>
            </w:pPr>
            <w:r>
              <w:rPr>
                <w:rFonts w:hint="eastAsia" w:ascii="宋体" w:hAnsi="宋体" w:cs="宋体"/>
                <w:color w:val="auto"/>
                <w:sz w:val="21"/>
                <w:szCs w:val="21"/>
                <w:highlight w:val="none"/>
              </w:rPr>
              <w:t>□</w:t>
            </w:r>
            <w:r>
              <w:rPr>
                <w:rFonts w:hint="eastAsia" w:ascii="宋体" w:hAnsi="宋体" w:eastAsia="宋体" w:cs="宋体"/>
                <w:color w:val="auto"/>
                <w:sz w:val="21"/>
                <w:szCs w:val="24"/>
                <w:highlight w:val="none"/>
              </w:rPr>
              <w:t>无</w:t>
            </w:r>
          </w:p>
          <w:p w14:paraId="408E33E6">
            <w:pPr>
              <w:pStyle w:val="33"/>
              <w:kinsoku w:val="0"/>
              <w:overflowPunct w:val="0"/>
              <w:jc w:val="both"/>
              <w:rPr>
                <w:rFonts w:hint="eastAsia" w:ascii="宋体" w:hAnsi="宋体" w:eastAsia="宋体" w:cs="宋体"/>
                <w:color w:val="auto"/>
                <w:sz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4"/>
                <w:highlight w:val="none"/>
              </w:rPr>
              <w:t>有，最高投标限价：</w:t>
            </w:r>
            <w:r>
              <w:rPr>
                <w:rFonts w:hint="eastAsia" w:ascii="宋体" w:hAnsi="宋体" w:cs="宋体"/>
                <w:color w:val="auto"/>
                <w:sz w:val="21"/>
                <w:highlight w:val="none"/>
                <w:u w:val="single"/>
                <w:lang w:val="en-US" w:eastAsia="zh-CN"/>
              </w:rPr>
              <w:t>858.73万元</w:t>
            </w:r>
            <w:r>
              <w:rPr>
                <w:rFonts w:hint="eastAsia" w:ascii="宋体" w:hAnsi="宋体" w:cs="宋体"/>
                <w:color w:val="auto"/>
                <w:sz w:val="21"/>
                <w:highlight w:val="none"/>
                <w:lang w:eastAsia="zh-CN"/>
              </w:rPr>
              <w:t>。</w:t>
            </w:r>
          </w:p>
        </w:tc>
      </w:tr>
      <w:tr w14:paraId="34B9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A7B533">
            <w:pPr>
              <w:pStyle w:val="33"/>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3.2.5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E8DC04">
            <w:pPr>
              <w:pStyle w:val="33"/>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投标报价的其他要求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2F71A2">
            <w:pPr>
              <w:pStyle w:val="33"/>
              <w:kinsoku w:val="0"/>
              <w:overflowPunct w:val="0"/>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w:t>
            </w:r>
          </w:p>
        </w:tc>
      </w:tr>
      <w:tr w14:paraId="06F3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46CBE7">
            <w:pPr>
              <w:pStyle w:val="33"/>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3.3.1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CD2166">
            <w:pPr>
              <w:pStyle w:val="33"/>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投标有效期</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95A266">
            <w:pPr>
              <w:jc w:val="both"/>
              <w:rPr>
                <w:rFonts w:hint="eastAsia" w:ascii="宋体" w:hAnsi="宋体" w:eastAsia="宋体" w:cs="宋体"/>
                <w:color w:val="auto"/>
                <w:sz w:val="21"/>
                <w:szCs w:val="24"/>
                <w:highlight w:val="none"/>
              </w:rPr>
            </w:pPr>
            <w:r>
              <w:rPr>
                <w:rFonts w:hint="eastAsia" w:ascii="宋体" w:hAnsi="宋体" w:cs="宋体"/>
                <w:color w:val="auto"/>
                <w:sz w:val="21"/>
                <w:szCs w:val="24"/>
                <w:highlight w:val="none"/>
                <w:u w:val="single"/>
                <w:lang w:val="en-US" w:eastAsia="zh-CN"/>
              </w:rPr>
              <w:t xml:space="preserve">90 </w:t>
            </w:r>
            <w:r>
              <w:rPr>
                <w:rFonts w:hint="eastAsia" w:ascii="宋体" w:hAnsi="宋体" w:eastAsia="宋体" w:cs="宋体"/>
                <w:color w:val="auto"/>
                <w:sz w:val="21"/>
                <w:szCs w:val="24"/>
                <w:highlight w:val="none"/>
              </w:rPr>
              <w:t>日历天（从投标截止之日计起）</w:t>
            </w:r>
          </w:p>
        </w:tc>
      </w:tr>
      <w:tr w14:paraId="0CD05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D2321F">
            <w:pPr>
              <w:pStyle w:val="33"/>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3.4.1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6F3E83">
            <w:pPr>
              <w:pStyle w:val="33"/>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投标保证金</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6CFFF3">
            <w:pPr>
              <w:pStyle w:val="16"/>
              <w:autoSpaceDE/>
              <w:autoSpaceDN/>
              <w:adjustRightInd/>
              <w:spacing w:before="139" w:line="240" w:lineRule="auto"/>
              <w:ind w:left="117"/>
              <w:jc w:val="both"/>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是否要</w:t>
            </w:r>
            <w:r>
              <w:rPr>
                <w:rFonts w:ascii="宋体" w:hAnsi="宋体" w:eastAsia="宋体" w:cs="宋体"/>
                <w:color w:val="auto"/>
                <w:spacing w:val="-5"/>
                <w:sz w:val="21"/>
                <w:szCs w:val="21"/>
                <w:highlight w:val="none"/>
              </w:rPr>
              <w:t>求</w:t>
            </w:r>
            <w:r>
              <w:rPr>
                <w:rFonts w:ascii="宋体" w:hAnsi="宋体" w:eastAsia="宋体" w:cs="宋体"/>
                <w:color w:val="auto"/>
                <w:spacing w:val="-3"/>
                <w:sz w:val="21"/>
                <w:szCs w:val="21"/>
                <w:highlight w:val="none"/>
              </w:rPr>
              <w:t>投标人递交投标保证金：</w:t>
            </w:r>
          </w:p>
          <w:p w14:paraId="606CF7A2">
            <w:pPr>
              <w:pStyle w:val="16"/>
              <w:autoSpaceDE/>
              <w:autoSpaceDN/>
              <w:adjustRightInd/>
              <w:spacing w:before="151" w:line="240" w:lineRule="auto"/>
              <w:ind w:left="128"/>
              <w:jc w:val="both"/>
              <w:rPr>
                <w:rFonts w:ascii="Times New Roman" w:hAnsi="Times New Roman" w:eastAsia="Times New Roman" w:cs="Times New Roman"/>
                <w:color w:val="auto"/>
                <w:spacing w:val="-6"/>
                <w:sz w:val="31"/>
                <w:szCs w:val="31"/>
                <w:highlight w:val="none"/>
              </w:rPr>
            </w:pPr>
            <w:r>
              <w:rPr>
                <w:rFonts w:ascii="Times New Roman" w:hAnsi="Times New Roman" w:eastAsia="Times New Roman" w:cs="Times New Roman"/>
                <w:color w:val="auto"/>
                <w:spacing w:val="-6"/>
                <w:sz w:val="31"/>
                <w:szCs w:val="31"/>
                <w:highlight w:val="none"/>
              </w:rPr>
              <w:t>□</w:t>
            </w:r>
            <w:r>
              <w:rPr>
                <w:rFonts w:ascii="宋体" w:hAnsi="宋体" w:eastAsia="宋体" w:cs="宋体"/>
                <w:color w:val="auto"/>
                <w:spacing w:val="-3"/>
                <w:sz w:val="21"/>
                <w:szCs w:val="21"/>
                <w:highlight w:val="none"/>
              </w:rPr>
              <w:t>不要求</w:t>
            </w:r>
          </w:p>
          <w:p w14:paraId="44B86889">
            <w:pPr>
              <w:pStyle w:val="16"/>
              <w:keepNext w:val="0"/>
              <w:keepLines w:val="0"/>
              <w:pageBreakBefore w:val="0"/>
              <w:widowControl w:val="0"/>
              <w:kinsoku/>
              <w:wordWrap/>
              <w:overflowPunct/>
              <w:topLinePunct w:val="0"/>
              <w:autoSpaceDE/>
              <w:autoSpaceDN/>
              <w:bidi w:val="0"/>
              <w:adjustRightInd/>
              <w:snapToGrid/>
              <w:spacing w:line="240" w:lineRule="auto"/>
              <w:ind w:left="15" w:right="-33" w:firstLine="113"/>
              <w:jc w:val="both"/>
              <w:textAlignment w:val="auto"/>
              <w:rPr>
                <w:rFonts w:hint="eastAsia" w:ascii="宋体" w:hAnsi="宋体" w:eastAsia="宋体" w:cs="宋体"/>
                <w:color w:val="auto"/>
                <w:sz w:val="21"/>
                <w:szCs w:val="21"/>
                <w:highlight w:val="none"/>
                <w:lang w:eastAsia="zh-CN"/>
              </w:rPr>
            </w:pPr>
            <w:r>
              <w:rPr>
                <w:rFonts w:ascii="Times New Roman" w:hAnsi="Times New Roman" w:eastAsia="Times New Roman" w:cs="Times New Roman"/>
                <w:color w:val="auto"/>
                <w:spacing w:val="-7"/>
                <w:sz w:val="31"/>
                <w:szCs w:val="31"/>
                <w:highlight w:val="none"/>
              </w:rPr>
              <w:sym w:font="Wingdings 2" w:char="0052"/>
            </w:r>
            <w:r>
              <w:rPr>
                <w:rFonts w:ascii="宋体" w:hAnsi="宋体" w:eastAsia="宋体" w:cs="宋体"/>
                <w:color w:val="auto"/>
                <w:spacing w:val="-5"/>
                <w:sz w:val="21"/>
                <w:szCs w:val="21"/>
                <w:highlight w:val="none"/>
              </w:rPr>
              <w:t>要求，投标保证金的形式：</w:t>
            </w:r>
            <w:r>
              <w:rPr>
                <w:rFonts w:hint="eastAsia" w:ascii="宋体" w:hAnsi="宋体" w:eastAsia="宋体" w:cs="宋体"/>
                <w:color w:val="auto"/>
                <w:spacing w:val="-5"/>
                <w:sz w:val="21"/>
                <w:szCs w:val="21"/>
                <w:highlight w:val="none"/>
              </w:rPr>
              <w:t>投标保证金可采用现金、支票、投标保证保险、投标保函（银行或专业担保公司出具）等的形式</w:t>
            </w:r>
            <w:r>
              <w:rPr>
                <w:rFonts w:hint="eastAsia" w:ascii="宋体" w:hAnsi="宋体" w:cs="宋体"/>
                <w:color w:val="auto"/>
                <w:spacing w:val="-5"/>
                <w:sz w:val="21"/>
                <w:szCs w:val="21"/>
                <w:highlight w:val="none"/>
                <w:lang w:eastAsia="zh-CN"/>
              </w:rPr>
              <w:t>。</w:t>
            </w:r>
          </w:p>
          <w:p w14:paraId="72F6BC88">
            <w:pPr>
              <w:pStyle w:val="16"/>
              <w:keepNext w:val="0"/>
              <w:keepLines w:val="0"/>
              <w:pageBreakBefore w:val="0"/>
              <w:widowControl w:val="0"/>
              <w:kinsoku/>
              <w:wordWrap/>
              <w:overflowPunct/>
              <w:topLinePunct w:val="0"/>
              <w:autoSpaceDE/>
              <w:autoSpaceDN/>
              <w:bidi w:val="0"/>
              <w:adjustRightInd/>
              <w:snapToGrid/>
              <w:spacing w:line="240" w:lineRule="auto"/>
              <w:ind w:right="1463" w:firstLine="1116" w:firstLineChars="600"/>
              <w:jc w:val="both"/>
              <w:textAlignment w:val="auto"/>
              <w:rPr>
                <w:rFonts w:hint="default" w:ascii="宋体" w:hAnsi="宋体" w:eastAsia="宋体" w:cs="宋体"/>
                <w:color w:val="auto"/>
                <w:sz w:val="21"/>
                <w:szCs w:val="21"/>
                <w:highlight w:val="none"/>
                <w:lang w:val="en-US" w:eastAsia="zh-CN"/>
              </w:rPr>
            </w:pPr>
            <w:r>
              <w:rPr>
                <w:rFonts w:ascii="宋体" w:hAnsi="宋体" w:eastAsia="宋体" w:cs="宋体"/>
                <w:color w:val="auto"/>
                <w:spacing w:val="-12"/>
                <w:sz w:val="21"/>
                <w:szCs w:val="21"/>
                <w:highlight w:val="none"/>
              </w:rPr>
              <w:t>投</w:t>
            </w:r>
            <w:r>
              <w:rPr>
                <w:rFonts w:ascii="宋体" w:hAnsi="宋体" w:eastAsia="宋体" w:cs="宋体"/>
                <w:color w:val="auto"/>
                <w:spacing w:val="-6"/>
                <w:sz w:val="21"/>
                <w:szCs w:val="21"/>
                <w:highlight w:val="none"/>
              </w:rPr>
              <w:t>标保证金的金额：</w:t>
            </w:r>
            <w:r>
              <w:rPr>
                <w:rFonts w:hint="eastAsia" w:ascii="宋体" w:hAnsi="宋体" w:cs="宋体"/>
                <w:color w:val="auto"/>
                <w:spacing w:val="-6"/>
                <w:sz w:val="21"/>
                <w:szCs w:val="21"/>
                <w:highlight w:val="none"/>
                <w:lang w:val="en-US" w:eastAsia="zh-CN"/>
              </w:rPr>
              <w:t>15</w:t>
            </w:r>
            <w:r>
              <w:rPr>
                <w:rFonts w:hint="eastAsia" w:ascii="宋体" w:hAnsi="宋体" w:eastAsia="宋体" w:cs="宋体"/>
                <w:color w:val="auto"/>
                <w:spacing w:val="-6"/>
                <w:sz w:val="21"/>
                <w:szCs w:val="21"/>
                <w:highlight w:val="none"/>
                <w:lang w:val="en-US" w:eastAsia="zh-CN"/>
              </w:rPr>
              <w:t>万元</w:t>
            </w:r>
          </w:p>
          <w:p w14:paraId="2FE7E5BF">
            <w:pPr>
              <w:pStyle w:val="16"/>
              <w:widowControl w:val="0"/>
              <w:kinsoku/>
              <w:autoSpaceDE/>
              <w:autoSpaceDN/>
              <w:adjustRightInd/>
              <w:snapToGrid/>
              <w:spacing w:line="240" w:lineRule="auto"/>
              <w:jc w:val="both"/>
              <w:textAlignment w:val="auto"/>
              <w:rPr>
                <w:rFonts w:hint="eastAsia" w:ascii="宋体" w:hAnsi="宋体" w:eastAsia="宋体" w:cs="Times New Roman"/>
                <w:snapToGrid/>
                <w:color w:val="auto"/>
                <w:sz w:val="21"/>
                <w:szCs w:val="21"/>
                <w:highlight w:val="none"/>
                <w:u w:val="none"/>
                <w:lang w:val="en-US" w:eastAsia="zh-CN" w:bidi="ar-SA"/>
              </w:rPr>
            </w:pPr>
            <w:r>
              <w:rPr>
                <w:rFonts w:hint="eastAsia" w:ascii="宋体" w:hAnsi="宋体" w:eastAsia="宋体" w:cs="Times New Roman"/>
                <w:snapToGrid/>
                <w:color w:val="auto"/>
                <w:sz w:val="21"/>
                <w:szCs w:val="21"/>
                <w:highlight w:val="none"/>
                <w:u w:val="none"/>
                <w:lang w:val="en-US" w:eastAsia="zh-CN" w:bidi="ar-SA"/>
              </w:rPr>
              <w:t>注：1、投标保证金不得超过</w:t>
            </w:r>
            <w:r>
              <w:rPr>
                <w:rFonts w:hint="eastAsia" w:hAnsi="宋体" w:eastAsia="宋体" w:cs="Times New Roman"/>
                <w:snapToGrid/>
                <w:color w:val="auto"/>
                <w:sz w:val="21"/>
                <w:szCs w:val="21"/>
                <w:highlight w:val="none"/>
                <w:u w:val="none"/>
                <w:lang w:val="en-US" w:eastAsia="zh-CN" w:bidi="ar-SA"/>
              </w:rPr>
              <w:t>招标项目</w:t>
            </w:r>
            <w:r>
              <w:rPr>
                <w:rFonts w:hint="eastAsia" w:hAnsi="宋体" w:cs="Times New Roman"/>
                <w:snapToGrid/>
                <w:color w:val="auto"/>
                <w:sz w:val="21"/>
                <w:szCs w:val="21"/>
                <w:highlight w:val="none"/>
                <w:u w:val="none"/>
                <w:lang w:val="en-US" w:eastAsia="zh-CN" w:bidi="ar-SA"/>
              </w:rPr>
              <w:t>金额</w:t>
            </w:r>
            <w:r>
              <w:rPr>
                <w:rFonts w:hint="eastAsia" w:ascii="宋体" w:hAnsi="宋体" w:eastAsia="宋体" w:cs="Times New Roman"/>
                <w:snapToGrid/>
                <w:color w:val="auto"/>
                <w:sz w:val="21"/>
                <w:szCs w:val="21"/>
                <w:highlight w:val="none"/>
                <w:u w:val="none"/>
                <w:lang w:val="en-US" w:eastAsia="zh-CN" w:bidi="ar-SA"/>
              </w:rPr>
              <w:t>的2%。投标保证金有效期应当与投标有效期一致。</w:t>
            </w:r>
            <w:r>
              <w:rPr>
                <w:rFonts w:hint="eastAsia" w:hAnsi="宋体" w:cs="Times New Roman"/>
                <w:snapToGrid/>
                <w:color w:val="auto"/>
                <w:sz w:val="21"/>
                <w:szCs w:val="21"/>
                <w:highlight w:val="none"/>
                <w:u w:val="none"/>
                <w:lang w:val="en-US" w:eastAsia="zh-CN" w:bidi="ar-SA"/>
              </w:rPr>
              <w:t>投标保证金</w:t>
            </w:r>
            <w:r>
              <w:rPr>
                <w:rFonts w:hint="eastAsia" w:ascii="宋体" w:hAnsi="宋体" w:eastAsia="宋体" w:cs="Times New Roman"/>
                <w:snapToGrid/>
                <w:color w:val="auto"/>
                <w:sz w:val="21"/>
                <w:szCs w:val="21"/>
                <w:highlight w:val="none"/>
                <w:u w:val="none"/>
                <w:lang w:val="en-US" w:eastAsia="zh-CN" w:bidi="ar-SA"/>
              </w:rPr>
              <w:t>由广州交易集团有限公司（广州公共资源交易中心）代收。具体操作要求详见广州交易集团有限公司（广州公共资源交易中心）有关指引</w:t>
            </w:r>
            <w:r>
              <w:rPr>
                <w:rFonts w:hint="eastAsia" w:hAnsi="宋体" w:cs="Times New Roman"/>
                <w:snapToGrid/>
                <w:color w:val="auto"/>
                <w:sz w:val="21"/>
                <w:szCs w:val="21"/>
                <w:highlight w:val="none"/>
                <w:u w:val="none"/>
                <w:lang w:val="en-US" w:eastAsia="zh-CN" w:bidi="ar-SA"/>
              </w:rPr>
              <w:t>。</w:t>
            </w:r>
          </w:p>
          <w:p w14:paraId="05F02160">
            <w:pPr>
              <w:pStyle w:val="16"/>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napToGrid/>
                <w:color w:val="auto"/>
                <w:sz w:val="21"/>
                <w:szCs w:val="21"/>
                <w:highlight w:val="none"/>
                <w:u w:val="none"/>
                <w:lang w:val="en-US" w:eastAsia="zh-CN" w:bidi="ar-SA"/>
              </w:rPr>
            </w:pPr>
            <w:r>
              <w:rPr>
                <w:rFonts w:hint="eastAsia" w:ascii="宋体" w:hAnsi="宋体" w:eastAsia="宋体" w:cs="Times New Roman"/>
                <w:snapToGrid/>
                <w:color w:val="auto"/>
                <w:sz w:val="21"/>
                <w:szCs w:val="21"/>
                <w:highlight w:val="none"/>
                <w:u w:val="none"/>
                <w:lang w:val="en-US" w:eastAsia="zh-CN" w:bidi="ar-SA"/>
              </w:rPr>
              <w:t>2、</w:t>
            </w:r>
            <w:r>
              <w:rPr>
                <w:rFonts w:hint="eastAsia" w:ascii="宋体" w:hAnsi="宋体" w:eastAsia="宋体" w:cs="宋体"/>
                <w:i w:val="0"/>
                <w:iCs w:val="0"/>
                <w:caps w:val="0"/>
                <w:color w:val="auto"/>
                <w:spacing w:val="0"/>
                <w:sz w:val="21"/>
                <w:szCs w:val="21"/>
                <w:highlight w:val="none"/>
                <w:u w:val="none"/>
              </w:rPr>
              <w:t>按照广东省发展改革委等7部门《关于规范招投标领域工程建设保证金收取有关工作的通知》（粤发改法规函〔2022〕1178号）、《广东省发展和改革委员会等部门转发关于完善招标投标交易担保制度进一步降低招标投标交易成本的通知》（粤发改法规函〔2023〕460号）、《广东省政府采购促进中小企业发展实施细则（试行）》（粤财采购〔2022〕10号）、《广州市人民政府办公厅关于印发广州市建设国际一流营商环境标杆城市助力产业高质量发展行动方案的通知》（穗府办函〔2023〕37号）等相关文件要求，规范涉企保证金收取和清退工作，全面推行保函替代现金保证金，免收政府投资项目投标保证金，鼓励政府投资项目以外的招标项目减免投标保证金</w:t>
            </w:r>
            <w:r>
              <w:rPr>
                <w:rFonts w:hint="eastAsia" w:ascii="宋体" w:hAnsi="宋体" w:eastAsia="宋体" w:cs="宋体"/>
                <w:i w:val="0"/>
                <w:iCs w:val="0"/>
                <w:caps w:val="0"/>
                <w:color w:val="auto"/>
                <w:spacing w:val="0"/>
                <w:sz w:val="21"/>
                <w:szCs w:val="21"/>
                <w:highlight w:val="none"/>
                <w:u w:val="none"/>
                <w:lang w:eastAsia="zh-CN"/>
              </w:rPr>
              <w:t>。</w:t>
            </w:r>
          </w:p>
          <w:p w14:paraId="43768968">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Times New Roman"/>
                <w:snapToGrid/>
                <w:color w:val="auto"/>
                <w:sz w:val="21"/>
                <w:szCs w:val="21"/>
                <w:highlight w:val="none"/>
                <w:u w:val="none"/>
                <w:lang w:val="en-US" w:eastAsia="zh-CN" w:bidi="ar-SA"/>
              </w:rPr>
              <w:t>3、</w:t>
            </w:r>
            <w:r>
              <w:rPr>
                <w:rFonts w:hint="eastAsia" w:hAnsi="宋体" w:eastAsia="宋体" w:cs="宋体"/>
                <w:i w:val="0"/>
                <w:iCs w:val="0"/>
                <w:caps w:val="0"/>
                <w:color w:val="auto"/>
                <w:spacing w:val="0"/>
                <w:sz w:val="21"/>
                <w:szCs w:val="21"/>
                <w:highlight w:val="none"/>
                <w:shd w:val="clear" w:color="auto" w:fill="FFFFFF"/>
                <w:lang w:val="en-US" w:eastAsia="zh-CN"/>
              </w:rPr>
              <w:t>招标人在免收投标保证金的同时，应约定免交投标保证金的投标人存在3.4.4条款所列情形的后续处理措施，包括但不限于向投标人索赔等情形。</w:t>
            </w:r>
          </w:p>
          <w:p w14:paraId="672377C2">
            <w:pPr>
              <w:pStyle w:val="16"/>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4"/>
                <w:highlight w:val="none"/>
              </w:rPr>
            </w:pPr>
            <w:r>
              <w:rPr>
                <w:rFonts w:hint="eastAsia" w:hAnsi="宋体" w:cs="宋体"/>
                <w:b/>
                <w:bCs/>
                <w:snapToGrid/>
                <w:color w:val="auto"/>
                <w:sz w:val="21"/>
                <w:szCs w:val="21"/>
                <w:highlight w:val="none"/>
                <w:u w:val="none"/>
                <w:lang w:val="en-US" w:eastAsia="zh-CN" w:bidi="ar-SA"/>
              </w:rPr>
              <w:t>4、</w:t>
            </w:r>
            <w:r>
              <w:rPr>
                <w:rFonts w:hint="eastAsia" w:ascii="宋体" w:hAnsi="宋体" w:eastAsia="宋体" w:cs="宋体"/>
                <w:b/>
                <w:bCs/>
                <w:color w:val="auto"/>
                <w:sz w:val="21"/>
                <w:szCs w:val="21"/>
                <w:highlight w:val="none"/>
                <w:u w:val="none"/>
                <w:lang w:val="en-US" w:eastAsia="zh-CN" w:bidi="ar-SA"/>
              </w:rPr>
              <w:t>银行投标保函、担保保函或投标保证保险应为无条件、不可撤销的。当出现招标文件规定的不予退还投标担保的情形，招标人要求索赔时，不得要求招标人提供除了招标人出具书面索赔通知和保函（保险）原件外的其他资料作为索赔资料。</w:t>
            </w:r>
          </w:p>
        </w:tc>
      </w:tr>
      <w:tr w14:paraId="116C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E7A04B">
            <w:pPr>
              <w:pStyle w:val="33"/>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7CE8AB">
            <w:pPr>
              <w:pStyle w:val="33"/>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资格审查资料的特殊要求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D217F4">
            <w:pPr>
              <w:pStyle w:val="33"/>
              <w:kinsoku w:val="0"/>
              <w:overflowPunct w:val="0"/>
              <w:jc w:val="both"/>
              <w:rPr>
                <w:rFonts w:hint="eastAsia" w:ascii="宋体" w:hAnsi="宋体" w:eastAsia="宋体" w:cs="宋体"/>
                <w:color w:val="auto"/>
                <w:sz w:val="21"/>
                <w:szCs w:val="24"/>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4"/>
                <w:highlight w:val="none"/>
              </w:rPr>
              <w:t>无</w:t>
            </w:r>
          </w:p>
          <w:p w14:paraId="5D12D358">
            <w:pPr>
              <w:pStyle w:val="33"/>
              <w:kinsoku w:val="0"/>
              <w:overflowPunct w:val="0"/>
              <w:jc w:val="both"/>
              <w:rPr>
                <w:rFonts w:hint="eastAsia" w:ascii="宋体" w:hAnsi="宋体" w:eastAsia="宋体" w:cs="宋体"/>
                <w:color w:val="auto"/>
                <w:sz w:val="21"/>
                <w:szCs w:val="24"/>
                <w:highlight w:val="none"/>
                <w:lang w:val="en-US" w:eastAsia="zh-CN"/>
              </w:rPr>
            </w:pPr>
            <w:r>
              <w:rPr>
                <w:rFonts w:hint="eastAsia" w:ascii="宋体" w:hAnsi="宋体" w:cs="宋体"/>
                <w:color w:val="auto"/>
                <w:sz w:val="21"/>
                <w:szCs w:val="21"/>
                <w:highlight w:val="none"/>
              </w:rPr>
              <w:t>□</w:t>
            </w:r>
            <w:r>
              <w:rPr>
                <w:rFonts w:hint="eastAsia" w:ascii="宋体" w:hAnsi="宋体" w:eastAsia="宋体" w:cs="宋体"/>
                <w:color w:val="auto"/>
                <w:sz w:val="21"/>
                <w:szCs w:val="24"/>
                <w:highlight w:val="none"/>
              </w:rPr>
              <w:t>有，具体要求：</w:t>
            </w:r>
            <w:r>
              <w:rPr>
                <w:rFonts w:hint="eastAsia" w:ascii="宋体" w:hAnsi="宋体" w:eastAsia="宋体" w:cs="宋体"/>
                <w:color w:val="auto"/>
                <w:sz w:val="21"/>
                <w:szCs w:val="24"/>
                <w:highlight w:val="none"/>
                <w:lang w:val="en-US" w:eastAsia="zh-CN"/>
              </w:rPr>
              <w:t>/</w:t>
            </w:r>
          </w:p>
        </w:tc>
      </w:tr>
      <w:tr w14:paraId="7F69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FB7ECA">
            <w:pPr>
              <w:pStyle w:val="33"/>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3.5.3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E53F5B">
            <w:pPr>
              <w:pStyle w:val="33"/>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近年完成的类似项目情况的时间要求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F642A0">
            <w:pPr>
              <w:pStyle w:val="33"/>
              <w:tabs>
                <w:tab w:val="left" w:pos="799"/>
                <w:tab w:val="left" w:pos="1569"/>
                <w:tab w:val="left" w:pos="2340"/>
              </w:tabs>
              <w:kinsoku w:val="0"/>
              <w:overflowPunct w:val="0"/>
              <w:jc w:val="both"/>
              <w:rPr>
                <w:rFonts w:hint="eastAsia" w:ascii="宋体" w:hAnsi="宋体" w:eastAsia="宋体" w:cs="宋体"/>
                <w:color w:val="auto"/>
                <w:sz w:val="21"/>
                <w:szCs w:val="24"/>
                <w:highlight w:val="none"/>
                <w:lang w:eastAsia="zh-CN"/>
              </w:rPr>
            </w:pPr>
            <w:r>
              <w:rPr>
                <w:rFonts w:hint="eastAsia" w:ascii="宋体" w:hAnsi="宋体" w:cs="宋体"/>
                <w:color w:val="auto"/>
                <w:sz w:val="21"/>
                <w:szCs w:val="24"/>
                <w:highlight w:val="none"/>
                <w:u w:val="single"/>
                <w:lang w:val="en-US" w:eastAsia="zh-CN"/>
              </w:rPr>
              <w:t>/</w:t>
            </w:r>
          </w:p>
        </w:tc>
      </w:tr>
      <w:tr w14:paraId="0248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13B65B">
            <w:pPr>
              <w:pStyle w:val="33"/>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3.6.1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59D8EC">
            <w:pPr>
              <w:pStyle w:val="33"/>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是否允许递交备选投标方案</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AF105F">
            <w:pPr>
              <w:pStyle w:val="33"/>
              <w:kinsoku w:val="0"/>
              <w:overflowPunct w:val="0"/>
              <w:jc w:val="both"/>
              <w:rPr>
                <w:rFonts w:hint="eastAsia" w:ascii="宋体" w:hAnsi="宋体" w:eastAsia="宋体" w:cs="宋体"/>
                <w:color w:val="auto"/>
                <w:sz w:val="21"/>
                <w:szCs w:val="24"/>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4"/>
                <w:highlight w:val="none"/>
              </w:rPr>
              <w:t>不允许</w:t>
            </w:r>
          </w:p>
          <w:p w14:paraId="47FE83E5">
            <w:pPr>
              <w:pStyle w:val="33"/>
              <w:kinsoku w:val="0"/>
              <w:overflowPunct w:val="0"/>
              <w:jc w:val="both"/>
              <w:rPr>
                <w:rFonts w:hint="eastAsia" w:ascii="宋体" w:hAnsi="宋体" w:eastAsia="宋体" w:cs="宋体"/>
                <w:color w:val="auto"/>
                <w:sz w:val="21"/>
                <w:szCs w:val="24"/>
                <w:highlight w:val="none"/>
              </w:rPr>
            </w:pPr>
            <w:r>
              <w:rPr>
                <w:rFonts w:hint="eastAsia" w:ascii="宋体" w:hAnsi="宋体" w:cs="宋体"/>
                <w:color w:val="auto"/>
                <w:sz w:val="21"/>
                <w:szCs w:val="21"/>
                <w:highlight w:val="none"/>
              </w:rPr>
              <w:t>□</w:t>
            </w:r>
            <w:r>
              <w:rPr>
                <w:rFonts w:hint="eastAsia" w:ascii="宋体" w:hAnsi="宋体" w:eastAsia="宋体" w:cs="宋体"/>
                <w:color w:val="auto"/>
                <w:sz w:val="21"/>
                <w:szCs w:val="24"/>
                <w:highlight w:val="none"/>
              </w:rPr>
              <w:t>允许</w:t>
            </w:r>
          </w:p>
        </w:tc>
      </w:tr>
      <w:tr w14:paraId="657B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479D19">
            <w:pPr>
              <w:pStyle w:val="33"/>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3.7.3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3D6E2A">
            <w:pPr>
              <w:pStyle w:val="33"/>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投标文件签字或盖章要求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97691B">
            <w:pPr>
              <w:spacing w:line="240" w:lineRule="auto"/>
              <w:ind w:right="-31" w:rightChars="-1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投标人采用单位数字证书，按招标文件要求在相应位置加盖电子印章。投标文件格式规定需个人签字的，应签字或签章后扫描上传</w:t>
            </w:r>
            <w:r>
              <w:rPr>
                <w:rFonts w:hint="eastAsia" w:ascii="宋体" w:hAnsi="宋体"/>
                <w:color w:val="auto"/>
                <w:sz w:val="21"/>
                <w:szCs w:val="21"/>
                <w:highlight w:val="none"/>
                <w:lang w:eastAsia="zh-CN"/>
              </w:rPr>
              <w:t>（</w:t>
            </w:r>
            <w:r>
              <w:rPr>
                <w:rFonts w:hint="default" w:ascii="Calibri" w:hAnsi="Calibri" w:eastAsia="宋体" w:cs="Times New Roman"/>
                <w:color w:val="auto"/>
                <w:kern w:val="2"/>
                <w:sz w:val="21"/>
                <w:szCs w:val="21"/>
                <w:highlight w:val="none"/>
                <w:lang w:val="en-US" w:eastAsia="zh-CN" w:bidi="ar-SA"/>
              </w:rPr>
              <w:t>可靠的电子签名与手写签名或者盖章具有同等的法律效力</w:t>
            </w:r>
            <w:r>
              <w:rPr>
                <w:rFonts w:hint="eastAsia" w:ascii="宋体" w:hAnsi="宋体"/>
                <w:color w:val="auto"/>
                <w:sz w:val="21"/>
                <w:szCs w:val="21"/>
                <w:highlight w:val="none"/>
                <w:lang w:eastAsia="zh-CN"/>
              </w:rPr>
              <w:t>）</w:t>
            </w:r>
            <w:r>
              <w:rPr>
                <w:rFonts w:hint="eastAsia" w:ascii="宋体" w:hAnsi="宋体" w:eastAsia="宋体" w:cs="宋体"/>
                <w:color w:val="auto"/>
                <w:sz w:val="21"/>
                <w:szCs w:val="21"/>
                <w:highlight w:val="none"/>
              </w:rPr>
              <w:t>。按照交易平台关于全流程电子化项目的相关指南进行操作</w:t>
            </w:r>
            <w:r>
              <w:rPr>
                <w:rFonts w:hint="eastAsia" w:ascii="宋体" w:hAnsi="宋体" w:eastAsia="宋体" w:cs="宋体"/>
                <w:color w:val="auto"/>
                <w:sz w:val="21"/>
                <w:szCs w:val="21"/>
                <w:highlight w:val="none"/>
                <w:lang w:eastAsia="zh-CN"/>
              </w:rPr>
              <w:t>。</w:t>
            </w:r>
          </w:p>
          <w:p w14:paraId="387F2FDE">
            <w:pPr>
              <w:ind w:right="-31" w:rightChars="-13"/>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1"/>
                <w:highlight w:val="none"/>
              </w:rPr>
              <w:t>联合体投标的，除投标文件中的联合体协议书需联合体各方盖章、签字外，投标文件其他内容中的“投标人”、“声明企业”应填写联合体各方的单位全称，但由主办方盖章、签字即可。（公章与电子公章具有相同法律效力）</w:t>
            </w:r>
          </w:p>
        </w:tc>
      </w:tr>
      <w:tr w14:paraId="4C5D8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B4E732">
            <w:pPr>
              <w:pStyle w:val="33"/>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4.2.1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A2765B">
            <w:pPr>
              <w:pStyle w:val="33"/>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投标截止时间</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EC7942">
            <w:pPr>
              <w:spacing w:before="62" w:beforeLines="20" w:after="62" w:afterLines="20"/>
              <w:ind w:left="48" w:leftChars="20" w:right="48" w:rightChars="2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eastAsia="zh-CN"/>
              </w:rPr>
              <w:t>投标截止时间：</w:t>
            </w:r>
            <w:r>
              <w:rPr>
                <w:rFonts w:hint="eastAsia" w:ascii="宋体" w:hAnsi="宋体" w:eastAsia="宋体" w:cs="宋体"/>
                <w:color w:val="auto"/>
                <w:sz w:val="21"/>
                <w:szCs w:val="24"/>
                <w:highlight w:val="none"/>
                <w:u w:val="single"/>
                <w:lang w:val="en-US" w:eastAsia="zh-CN"/>
              </w:rPr>
              <w:t>202</w:t>
            </w:r>
            <w:r>
              <w:rPr>
                <w:rFonts w:hint="eastAsia" w:ascii="宋体" w:hAnsi="宋体" w:cs="宋体"/>
                <w:color w:val="auto"/>
                <w:sz w:val="21"/>
                <w:szCs w:val="24"/>
                <w:highlight w:val="none"/>
                <w:u w:val="single"/>
                <w:lang w:val="en-US" w:eastAsia="zh-CN"/>
              </w:rPr>
              <w:t>5</w:t>
            </w:r>
            <w:r>
              <w:rPr>
                <w:rFonts w:hint="eastAsia" w:ascii="宋体" w:hAnsi="宋体" w:eastAsia="宋体" w:cs="宋体"/>
                <w:color w:val="auto"/>
                <w:sz w:val="21"/>
                <w:szCs w:val="24"/>
                <w:highlight w:val="none"/>
                <w:u w:val="single"/>
                <w:lang w:eastAsia="zh-CN"/>
              </w:rPr>
              <w:t>年</w:t>
            </w:r>
            <w:r>
              <w:rPr>
                <w:rFonts w:hint="eastAsia" w:ascii="宋体" w:hAnsi="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月</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日</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时</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分</w:t>
            </w:r>
            <w:r>
              <w:rPr>
                <w:rFonts w:hint="eastAsia" w:ascii="宋体" w:hAnsi="宋体" w:eastAsia="宋体" w:cs="宋体"/>
                <w:color w:val="auto"/>
                <w:sz w:val="21"/>
                <w:szCs w:val="24"/>
                <w:highlight w:val="none"/>
                <w:lang w:eastAsia="zh-CN"/>
              </w:rPr>
              <w:t>（北京时间）</w:t>
            </w:r>
          </w:p>
        </w:tc>
      </w:tr>
      <w:tr w14:paraId="66C5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C156F0">
            <w:pPr>
              <w:pStyle w:val="33"/>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5.1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77FDEE">
            <w:pPr>
              <w:pStyle w:val="33"/>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开标时间和地点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99AA36">
            <w:pPr>
              <w:autoSpaceDE/>
              <w:autoSpaceDN/>
              <w:spacing w:before="0" w:beforeLines="0" w:line="360" w:lineRule="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1、开标时间</w:t>
            </w:r>
            <w:r>
              <w:rPr>
                <w:rFonts w:hint="eastAsia" w:ascii="宋体" w:hAnsi="宋体" w:eastAsia="宋体" w:cs="宋体"/>
                <w:color w:val="auto"/>
                <w:sz w:val="21"/>
                <w:szCs w:val="21"/>
                <w:highlight w:val="none"/>
              </w:rPr>
              <w:t>：同投标截止时间</w:t>
            </w:r>
          </w:p>
          <w:p w14:paraId="0AE26407">
            <w:pPr>
              <w:autoSpaceDE/>
              <w:autoSpaceDN/>
              <w:spacing w:before="0" w:beforeLines="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开标室</w:t>
            </w:r>
          </w:p>
          <w:p w14:paraId="72D3D253">
            <w:pPr>
              <w:autoSpaceDE/>
              <w:autoSpaceDN/>
              <w:spacing w:before="0" w:beforeLines="0" w:line="360" w:lineRule="auto"/>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rPr>
              <w:t>开标时，投标人代表有权参加现场开标或在线开标，也可以自主决定不参加开标</w:t>
            </w: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b/>
                <w:bCs/>
                <w:color w:val="auto"/>
                <w:sz w:val="21"/>
                <w:szCs w:val="21"/>
                <w:highlight w:val="none"/>
                <w:lang w:eastAsia="zh-CN"/>
              </w:rPr>
              <w:t>投标人选择参加在线开标的，具体按照交易平台相关指南进行操作。</w:t>
            </w:r>
          </w:p>
          <w:p w14:paraId="6E7C67D2">
            <w:pPr>
              <w:autoSpaceDE/>
              <w:autoSpaceDN/>
              <w:spacing w:before="0" w:beforeLines="0" w:line="360" w:lineRule="auto"/>
              <w:rPr>
                <w:rFonts w:hint="eastAsia" w:ascii="宋体" w:hAnsi="宋体" w:eastAsia="宋体" w:cs="宋体"/>
                <w:color w:val="auto"/>
                <w:sz w:val="21"/>
                <w:szCs w:val="24"/>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、上述时间及地点是否有改变，请密切留意</w:t>
            </w:r>
            <w:r>
              <w:rPr>
                <w:rFonts w:hint="eastAsia" w:ascii="宋体" w:hAnsi="宋体" w:eastAsia="宋体" w:cs="宋体"/>
                <w:color w:val="auto"/>
                <w:sz w:val="21"/>
                <w:szCs w:val="21"/>
                <w:highlight w:val="none"/>
                <w:lang w:eastAsia="zh-CN"/>
              </w:rPr>
              <w:t>补充公告或</w:t>
            </w:r>
            <w:r>
              <w:rPr>
                <w:rFonts w:hint="eastAsia" w:ascii="宋体" w:hAnsi="宋体" w:eastAsia="宋体" w:cs="宋体"/>
                <w:color w:val="auto"/>
                <w:sz w:val="21"/>
                <w:szCs w:val="21"/>
                <w:highlight w:val="none"/>
              </w:rPr>
              <w:t>招标答疑纪要的相关信息。</w:t>
            </w:r>
          </w:p>
        </w:tc>
      </w:tr>
      <w:tr w14:paraId="73D0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789D97">
            <w:pPr>
              <w:pStyle w:val="33"/>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6.1.1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D07DB2">
            <w:pPr>
              <w:pStyle w:val="33"/>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评标委员会的组建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6DFBEE">
            <w:pPr>
              <w:pStyle w:val="33"/>
              <w:shd w:val="clear"/>
              <w:tabs>
                <w:tab w:val="left" w:pos="2309"/>
                <w:tab w:val="left" w:pos="3826"/>
              </w:tabs>
              <w:kinsoku/>
              <w:overflowPunct w:val="0"/>
              <w:topLinePunct/>
              <w:autoSpaceDE/>
              <w:autoSpaceDN/>
              <w:spacing w:beforeLines="0" w:afterLines="0" w:line="240" w:lineRule="auto"/>
              <w:ind w:left="6" w:leftChars="0" w:right="6" w:rightChars="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评标委员会构成：由招标人依法组建；</w:t>
            </w:r>
          </w:p>
          <w:p w14:paraId="377C1E52">
            <w:pPr>
              <w:pStyle w:val="33"/>
              <w:tabs>
                <w:tab w:val="left" w:pos="2309"/>
                <w:tab w:val="left" w:pos="3826"/>
              </w:tabs>
              <w:kinsoku w:val="0"/>
              <w:overflowPunct w:val="0"/>
              <w:spacing w:line="440" w:lineRule="atLeast"/>
              <w:jc w:val="both"/>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rPr>
              <w:t>评标专家确定方式：除招标人代表外，其余专家均从广东省综合评标评审专家库中随机抽取</w:t>
            </w:r>
            <w:r>
              <w:rPr>
                <w:rFonts w:hint="eastAsia" w:ascii="宋体" w:hAnsi="宋体" w:eastAsia="宋体" w:cs="宋体"/>
                <w:color w:val="auto"/>
                <w:sz w:val="21"/>
                <w:szCs w:val="24"/>
                <w:highlight w:val="none"/>
                <w:lang w:eastAsia="zh-CN"/>
              </w:rPr>
              <w:t>。</w:t>
            </w:r>
          </w:p>
        </w:tc>
      </w:tr>
      <w:tr w14:paraId="56BF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C4CF59">
            <w:pPr>
              <w:pStyle w:val="33"/>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6.3.2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BE25BC">
            <w:pPr>
              <w:pStyle w:val="33"/>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评标委员会推荐中标候选人的人数</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60C878">
            <w:pPr>
              <w:jc w:val="both"/>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highlight w:val="none"/>
                <w:lang w:val="en-US" w:eastAsia="zh-CN"/>
              </w:rPr>
              <w:t>3人</w:t>
            </w:r>
          </w:p>
        </w:tc>
      </w:tr>
      <w:tr w14:paraId="0C8E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669E20">
            <w:pPr>
              <w:pStyle w:val="33"/>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7.1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B866DB">
            <w:pPr>
              <w:pStyle w:val="33"/>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中标候选人公示媒介及期限</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226371">
            <w:pPr>
              <w:spacing w:before="171"/>
              <w:ind w:left="40"/>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公</w:t>
            </w:r>
            <w:r>
              <w:rPr>
                <w:rFonts w:hint="eastAsia" w:ascii="宋体" w:hAnsi="宋体" w:eastAsia="宋体" w:cs="宋体"/>
                <w:color w:val="auto"/>
                <w:spacing w:val="-10"/>
                <w:sz w:val="21"/>
                <w:szCs w:val="21"/>
                <w:highlight w:val="none"/>
              </w:rPr>
              <w:t>示媒介：</w:t>
            </w:r>
            <w:r>
              <w:rPr>
                <w:rFonts w:hint="eastAsia" w:ascii="宋体" w:hAnsi="宋体" w:eastAsia="宋体" w:cs="宋体"/>
                <w:color w:val="auto"/>
                <w:sz w:val="21"/>
                <w:szCs w:val="21"/>
                <w:highlight w:val="none"/>
                <w:lang w:val="zh-CN"/>
              </w:rPr>
              <w:t>广州交易集团有限公司（广州公共资源交易中心）网</w:t>
            </w:r>
          </w:p>
          <w:p w14:paraId="57F4FDAB">
            <w:pPr>
              <w:pStyle w:val="33"/>
              <w:tabs>
                <w:tab w:val="left" w:pos="2100"/>
              </w:tabs>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pacing w:val="-8"/>
                <w:sz w:val="21"/>
                <w:szCs w:val="21"/>
                <w:highlight w:val="none"/>
              </w:rPr>
              <w:t>公示期</w:t>
            </w:r>
            <w:r>
              <w:rPr>
                <w:rFonts w:hint="eastAsia" w:ascii="宋体" w:hAnsi="宋体" w:eastAsia="宋体" w:cs="宋体"/>
                <w:color w:val="auto"/>
                <w:spacing w:val="-4"/>
                <w:sz w:val="21"/>
                <w:szCs w:val="21"/>
                <w:highlight w:val="none"/>
              </w:rPr>
              <w:t>限：</w:t>
            </w:r>
            <w:r>
              <w:rPr>
                <w:rFonts w:hint="eastAsia" w:ascii="宋体" w:hAnsi="宋体" w:eastAsia="宋体" w:cs="宋体"/>
                <w:color w:val="auto"/>
                <w:spacing w:val="-4"/>
                <w:sz w:val="21"/>
                <w:szCs w:val="21"/>
                <w:highlight w:val="none"/>
                <w:u w:val="single" w:color="auto"/>
                <w:lang w:eastAsia="zh-CN"/>
              </w:rPr>
              <w:t>不少于</w:t>
            </w:r>
            <w:r>
              <w:rPr>
                <w:rFonts w:hint="eastAsia" w:ascii="宋体" w:hAnsi="宋体" w:eastAsia="宋体" w:cs="宋体"/>
                <w:color w:val="auto"/>
                <w:spacing w:val="-4"/>
                <w:sz w:val="21"/>
                <w:szCs w:val="21"/>
                <w:highlight w:val="none"/>
                <w:u w:val="single" w:color="auto"/>
                <w:lang w:val="en-US" w:eastAsia="zh-CN"/>
              </w:rPr>
              <w:t>3</w:t>
            </w:r>
            <w:r>
              <w:rPr>
                <w:rFonts w:hint="eastAsia" w:ascii="宋体" w:hAnsi="宋体" w:eastAsia="宋体" w:cs="宋体"/>
                <w:color w:val="auto"/>
                <w:spacing w:val="-4"/>
                <w:sz w:val="21"/>
                <w:szCs w:val="21"/>
                <w:highlight w:val="none"/>
              </w:rPr>
              <w:t>日</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最后一天应为工作日</w:t>
            </w:r>
            <w:r>
              <w:rPr>
                <w:rFonts w:hint="eastAsia" w:ascii="宋体" w:hAnsi="宋体" w:eastAsia="宋体" w:cs="宋体"/>
                <w:color w:val="auto"/>
                <w:spacing w:val="-5"/>
                <w:sz w:val="21"/>
                <w:szCs w:val="21"/>
                <w:highlight w:val="none"/>
                <w:lang w:eastAsia="zh-CN"/>
              </w:rPr>
              <w:t>）</w:t>
            </w:r>
          </w:p>
        </w:tc>
      </w:tr>
      <w:tr w14:paraId="3AD9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9DC6C0">
            <w:pPr>
              <w:pStyle w:val="33"/>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7.4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6786AB">
            <w:pPr>
              <w:pStyle w:val="33"/>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是否授权评标委员会确定中标人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4507B4">
            <w:pPr>
              <w:pStyle w:val="33"/>
              <w:kinsoku w:val="0"/>
              <w:overflowPunct w:val="0"/>
              <w:jc w:val="both"/>
              <w:rPr>
                <w:rFonts w:hint="eastAsia" w:ascii="宋体" w:hAnsi="宋体" w:eastAsia="宋体" w:cs="宋体"/>
                <w:color w:val="auto"/>
                <w:sz w:val="21"/>
                <w:szCs w:val="24"/>
                <w:highlight w:val="none"/>
              </w:rPr>
            </w:pPr>
            <w:r>
              <w:rPr>
                <w:rFonts w:hint="eastAsia" w:ascii="宋体" w:hAnsi="宋体" w:cs="宋体"/>
                <w:color w:val="auto"/>
                <w:sz w:val="21"/>
                <w:szCs w:val="21"/>
                <w:highlight w:val="none"/>
              </w:rPr>
              <w:t>□</w:t>
            </w:r>
            <w:r>
              <w:rPr>
                <w:rFonts w:hint="eastAsia" w:ascii="宋体" w:hAnsi="宋体" w:eastAsia="宋体" w:cs="宋体"/>
                <w:color w:val="auto"/>
                <w:sz w:val="21"/>
                <w:szCs w:val="24"/>
                <w:highlight w:val="none"/>
              </w:rPr>
              <w:t>是</w:t>
            </w:r>
          </w:p>
          <w:p w14:paraId="2C967308">
            <w:pPr>
              <w:pStyle w:val="33"/>
              <w:kinsoku w:val="0"/>
              <w:overflowPunct w:val="0"/>
              <w:jc w:val="both"/>
              <w:rPr>
                <w:rFonts w:hint="eastAsia" w:ascii="宋体" w:hAnsi="宋体" w:eastAsia="宋体" w:cs="宋体"/>
                <w:color w:val="auto"/>
                <w:sz w:val="21"/>
                <w:szCs w:val="24"/>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4"/>
                <w:highlight w:val="none"/>
              </w:rPr>
              <w:t>否</w:t>
            </w:r>
          </w:p>
        </w:tc>
      </w:tr>
      <w:tr w14:paraId="1D7F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AF4587">
            <w:pPr>
              <w:pStyle w:val="33"/>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7.6.1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B00739">
            <w:pPr>
              <w:pStyle w:val="33"/>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履约保证金</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DB93E8">
            <w:pPr>
              <w:pStyle w:val="33"/>
              <w:kinsoku w:val="0"/>
              <w:overflowPunct w:val="0"/>
              <w:spacing w:line="360" w:lineRule="auto"/>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是否要求中标人提交履约保证金：</w:t>
            </w:r>
          </w:p>
          <w:p w14:paraId="0A53FBCC">
            <w:pPr>
              <w:pStyle w:val="33"/>
              <w:kinsoku w:val="0"/>
              <w:overflowPunct w:val="0"/>
              <w:spacing w:line="360" w:lineRule="auto"/>
              <w:jc w:val="both"/>
              <w:rPr>
                <w:rFonts w:hint="eastAsia" w:ascii="宋体" w:hAnsi="宋体" w:eastAsia="宋体" w:cs="宋体"/>
                <w:color w:val="auto"/>
                <w:sz w:val="21"/>
                <w:szCs w:val="24"/>
                <w:highlight w:val="none"/>
              </w:rPr>
            </w:pPr>
            <w:r>
              <w:rPr>
                <w:rFonts w:hint="eastAsia" w:ascii="宋体" w:hAnsi="宋体" w:cs="宋体"/>
                <w:color w:val="auto"/>
                <w:sz w:val="21"/>
                <w:szCs w:val="21"/>
                <w:highlight w:val="none"/>
              </w:rPr>
              <w:t>□</w:t>
            </w:r>
            <w:r>
              <w:rPr>
                <w:rFonts w:hint="eastAsia" w:ascii="宋体" w:hAnsi="宋体" w:eastAsia="宋体" w:cs="宋体"/>
                <w:color w:val="auto"/>
                <w:sz w:val="21"/>
                <w:szCs w:val="24"/>
                <w:highlight w:val="none"/>
              </w:rPr>
              <w:t>不要求</w:t>
            </w:r>
          </w:p>
          <w:p w14:paraId="4163BFA9">
            <w:pPr>
              <w:pStyle w:val="33"/>
              <w:kinsoku w:val="0"/>
              <w:overflowPunct w:val="0"/>
              <w:spacing w:line="360" w:lineRule="auto"/>
              <w:jc w:val="both"/>
              <w:rPr>
                <w:rFonts w:hint="eastAsia" w:ascii="宋体" w:hAnsi="宋体" w:eastAsia="宋体" w:cs="宋体"/>
                <w:color w:val="auto"/>
                <w:sz w:val="21"/>
                <w:szCs w:val="24"/>
                <w:highlight w:val="none"/>
                <w:lang w:eastAsia="zh-CN"/>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4"/>
                <w:highlight w:val="none"/>
              </w:rPr>
              <w:t>要求，履约保证金的形式：</w:t>
            </w:r>
            <w:r>
              <w:rPr>
                <w:rFonts w:hint="eastAsia" w:ascii="宋体" w:hAnsi="宋体" w:eastAsia="宋体" w:cs="宋体"/>
                <w:color w:val="auto"/>
                <w:sz w:val="21"/>
                <w:highlight w:val="none"/>
              </w:rPr>
              <w:t>银行保函、保证保险、担保保函</w:t>
            </w:r>
            <w:r>
              <w:rPr>
                <w:rFonts w:hint="eastAsia" w:ascii="宋体" w:hAnsi="宋体" w:eastAsia="宋体" w:cs="宋体"/>
                <w:color w:val="auto"/>
                <w:sz w:val="21"/>
                <w:highlight w:val="none"/>
                <w:lang w:eastAsia="zh-CN"/>
              </w:rPr>
              <w:t>。</w:t>
            </w:r>
          </w:p>
          <w:p w14:paraId="4401A22D">
            <w:pPr>
              <w:pStyle w:val="33"/>
              <w:kinsoku w:val="0"/>
              <w:overflowPunct w:val="0"/>
              <w:spacing w:line="360" w:lineRule="auto"/>
              <w:ind w:firstLine="840" w:firstLineChars="40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履约保证金的金额：</w:t>
            </w:r>
            <w:r>
              <w:rPr>
                <w:rFonts w:hint="eastAsia" w:ascii="宋体" w:hAnsi="宋体" w:eastAsia="宋体" w:cs="宋体"/>
                <w:color w:val="auto"/>
                <w:sz w:val="21"/>
                <w:highlight w:val="none"/>
              </w:rPr>
              <w:t>中标价款的5%</w:t>
            </w:r>
            <w:r>
              <w:rPr>
                <w:rFonts w:hint="eastAsia" w:ascii="宋体" w:hAnsi="宋体" w:eastAsia="宋体" w:cs="宋体"/>
                <w:color w:val="auto"/>
                <w:sz w:val="21"/>
                <w:highlight w:val="none"/>
                <w:lang w:eastAsia="zh-CN"/>
              </w:rPr>
              <w:t>。</w:t>
            </w:r>
          </w:p>
        </w:tc>
      </w:tr>
      <w:tr w14:paraId="2F106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95D4F8">
            <w:pPr>
              <w:pStyle w:val="33"/>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10</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D4D5ED">
            <w:pPr>
              <w:pStyle w:val="33"/>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需要补充的其他内容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A215F2">
            <w:pPr>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10.12 交易服务费</w:t>
            </w:r>
          </w:p>
          <w:p w14:paraId="6EEB2860">
            <w:pPr>
              <w:jc w:val="both"/>
              <w:rPr>
                <w:rFonts w:hint="eastAsia" w:ascii="宋体" w:hAnsi="宋体" w:eastAsia="宋体" w:cs="宋体"/>
                <w:color w:val="auto"/>
                <w:sz w:val="21"/>
                <w:szCs w:val="24"/>
                <w:highlight w:val="none"/>
              </w:rPr>
            </w:pPr>
            <w:r>
              <w:rPr>
                <w:rFonts w:hint="eastAsia" w:ascii="宋体" w:hAnsi="宋体" w:eastAsia="宋体" w:cs="宋体"/>
                <w:color w:val="auto"/>
                <w:sz w:val="21"/>
                <w:highlight w:val="none"/>
              </w:rPr>
              <w:t>根据《广州交易集团有限公司（广州公共资源交易中心）关于建设工程项目公共资源交易服务收费有关事宜的通知》的规定，本项目交易服务费由</w:t>
            </w:r>
            <w:r>
              <w:rPr>
                <w:rFonts w:hint="eastAsia" w:ascii="宋体" w:hAnsi="宋体" w:cs="宋体"/>
                <w:color w:val="auto"/>
                <w:sz w:val="21"/>
                <w:highlight w:val="none"/>
                <w:lang w:val="en-US" w:eastAsia="zh-CN"/>
              </w:rPr>
              <w:t>招标</w:t>
            </w:r>
            <w:r>
              <w:rPr>
                <w:rFonts w:hint="eastAsia" w:ascii="宋体" w:hAnsi="宋体" w:eastAsia="宋体" w:cs="宋体"/>
                <w:color w:val="auto"/>
                <w:sz w:val="21"/>
                <w:highlight w:val="none"/>
              </w:rPr>
              <w:t>人缴纳。</w:t>
            </w:r>
          </w:p>
        </w:tc>
      </w:tr>
    </w:tbl>
    <w:p w14:paraId="016607FD">
      <w:pPr>
        <w:pStyle w:val="7"/>
        <w:outlineLvl w:val="9"/>
        <w:rPr>
          <w:rFonts w:hint="eastAsia" w:ascii="宋体" w:hAnsi="宋体" w:eastAsia="宋体" w:cs="宋体"/>
          <w:color w:val="auto"/>
          <w:sz w:val="24"/>
          <w:szCs w:val="24"/>
          <w:highlight w:val="none"/>
        </w:rPr>
        <w:sectPr>
          <w:footerReference r:id="rId5" w:type="default"/>
          <w:pgSz w:w="11905" w:h="16838"/>
          <w:pgMar w:top="1417" w:right="1417" w:bottom="1417" w:left="1417" w:header="992" w:footer="992" w:gutter="0"/>
          <w:lnNumType w:countBy="0" w:distance="360"/>
          <w:pgNumType w:fmt="decimal"/>
          <w:cols w:space="720" w:num="1"/>
        </w:sectPr>
      </w:pPr>
      <w:bookmarkStart w:id="40" w:name="bookmark20"/>
      <w:bookmarkEnd w:id="40"/>
    </w:p>
    <w:p w14:paraId="55F2AD5C">
      <w:pPr>
        <w:pStyle w:val="7"/>
        <w:outlineLvl w:val="1"/>
        <w:rPr>
          <w:rFonts w:hint="eastAsia" w:ascii="宋体" w:hAnsi="宋体" w:eastAsia="宋体" w:cs="宋体"/>
          <w:b w:val="0"/>
          <w:color w:val="auto"/>
          <w:sz w:val="24"/>
          <w:szCs w:val="24"/>
          <w:highlight w:val="none"/>
        </w:rPr>
      </w:pPr>
      <w:bookmarkStart w:id="41" w:name="_Toc28936"/>
      <w:r>
        <w:rPr>
          <w:rFonts w:hint="eastAsia" w:ascii="宋体" w:hAnsi="宋体" w:eastAsia="宋体" w:cs="宋体"/>
          <w:color w:val="auto"/>
          <w:sz w:val="24"/>
          <w:szCs w:val="24"/>
          <w:highlight w:val="none"/>
        </w:rPr>
        <w:t>1.总则</w:t>
      </w:r>
      <w:bookmarkEnd w:id="41"/>
    </w:p>
    <w:p w14:paraId="654ADC7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2" w:name="bookmark21"/>
      <w:bookmarkEnd w:id="42"/>
      <w:r>
        <w:rPr>
          <w:rFonts w:hint="eastAsia" w:ascii="宋体" w:hAnsi="宋体" w:eastAsia="宋体" w:cs="宋体"/>
          <w:color w:val="auto"/>
          <w:highlight w:val="none"/>
        </w:rPr>
        <w:t>1.1 招标项目概况</w:t>
      </w:r>
    </w:p>
    <w:p w14:paraId="1C65576F">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根据《中华人民共和国招标投标法》、《中华人民共和国招标投标法实施条例》等有关法律、法规和规章的规定，本招标项目已具备招标条件，现对</w:t>
      </w:r>
      <w:r>
        <w:rPr>
          <w:rFonts w:hint="eastAsia" w:ascii="宋体" w:hAnsi="宋体" w:eastAsia="宋体" w:cs="宋体"/>
          <w:color w:val="auto"/>
          <w:sz w:val="24"/>
          <w:szCs w:val="24"/>
          <w:highlight w:val="none"/>
          <w:lang w:val="en-US" w:eastAsia="zh-CN"/>
        </w:rPr>
        <w:t>检测、监测</w:t>
      </w:r>
      <w:r>
        <w:rPr>
          <w:rFonts w:hint="eastAsia" w:ascii="宋体" w:hAnsi="宋体" w:eastAsia="宋体" w:cs="宋体"/>
          <w:color w:val="auto"/>
          <w:sz w:val="24"/>
          <w:szCs w:val="24"/>
          <w:highlight w:val="none"/>
        </w:rPr>
        <w:t>进行招标。</w:t>
      </w:r>
    </w:p>
    <w:p w14:paraId="40DF5929">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招标人：见投标人须知前附表。</w:t>
      </w:r>
    </w:p>
    <w:p w14:paraId="74754A83">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招标代理机构：见投标人须知前附表。</w:t>
      </w:r>
    </w:p>
    <w:p w14:paraId="4916C9C0">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招标项目名称：见投标人须知前附表。</w:t>
      </w:r>
    </w:p>
    <w:p w14:paraId="56E37CE2">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项目建设地点：见投标人须知前附表。</w:t>
      </w:r>
    </w:p>
    <w:p w14:paraId="195E863B">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 项目建设规模：见投标人须知前附表。</w:t>
      </w:r>
    </w:p>
    <w:p w14:paraId="6A65EA3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3" w:name="bookmark22"/>
      <w:bookmarkEnd w:id="43"/>
      <w:r>
        <w:rPr>
          <w:rFonts w:hint="eastAsia" w:ascii="宋体" w:hAnsi="宋体" w:eastAsia="宋体" w:cs="宋体"/>
          <w:color w:val="auto"/>
          <w:highlight w:val="none"/>
        </w:rPr>
        <w:t>1.2 招标项目的资金来源和落实情况</w:t>
      </w:r>
    </w:p>
    <w:p w14:paraId="3F15753C">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资金来源及比例：见投标人须知前附表。</w:t>
      </w:r>
    </w:p>
    <w:p w14:paraId="7AF5A082">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资金落实情况：见投标人须知前附表。</w:t>
      </w:r>
    </w:p>
    <w:p w14:paraId="080FA58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4" w:name="bookmark23"/>
      <w:bookmarkEnd w:id="44"/>
      <w:r>
        <w:rPr>
          <w:rFonts w:hint="eastAsia" w:ascii="宋体" w:hAnsi="宋体" w:eastAsia="宋体" w:cs="宋体"/>
          <w:color w:val="auto"/>
          <w:highlight w:val="none"/>
        </w:rPr>
        <w:t>1.3 招标范围、服务期限和质量标准</w:t>
      </w:r>
    </w:p>
    <w:p w14:paraId="4799A4C0">
      <w:pPr>
        <w:spacing w:line="360" w:lineRule="auto"/>
        <w:ind w:firstLine="537" w:firstLineChars="22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1.3.1 招标范围：见投标人须知前附表。</w:t>
      </w:r>
    </w:p>
    <w:p w14:paraId="22CFDC0A">
      <w:pPr>
        <w:spacing w:line="360" w:lineRule="auto"/>
        <w:ind w:firstLine="537" w:firstLineChars="22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1.3.2 服务期限：见投标人须知前附表。</w:t>
      </w:r>
    </w:p>
    <w:p w14:paraId="59DDD3BE">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1.3.3 质量标准：见投标人须知前附表。</w:t>
      </w:r>
    </w:p>
    <w:p w14:paraId="4F0E0F9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5" w:name="bookmark24"/>
      <w:bookmarkEnd w:id="45"/>
      <w:r>
        <w:rPr>
          <w:rFonts w:hint="eastAsia" w:ascii="宋体" w:hAnsi="宋体" w:eastAsia="宋体" w:cs="宋体"/>
          <w:color w:val="auto"/>
          <w:highlight w:val="none"/>
        </w:rPr>
        <w:t>1.4 投标人资格要求</w:t>
      </w:r>
    </w:p>
    <w:p w14:paraId="6753900F">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投标人应具备承担本招标项目资质条件、能力和信誉：</w:t>
      </w:r>
    </w:p>
    <w:p w14:paraId="5EE11EAB">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（1）资质要求：见投标人须知前附表；</w:t>
      </w:r>
    </w:p>
    <w:p w14:paraId="303F5BCE">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（2）财务要求：见投标人须知前附表；</w:t>
      </w:r>
    </w:p>
    <w:p w14:paraId="58A89564">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（3）业绩要求：见投标人须知前附表；</w:t>
      </w:r>
    </w:p>
    <w:p w14:paraId="3E48C7C8">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（4）信誉要求：见投标人须知前附表；</w:t>
      </w:r>
    </w:p>
    <w:p w14:paraId="2E3FAA9B">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项目负责人</w:t>
      </w:r>
      <w:r>
        <w:rPr>
          <w:rFonts w:hint="eastAsia" w:ascii="宋体" w:hAnsi="宋体" w:eastAsia="宋体" w:cs="宋体"/>
          <w:color w:val="auto"/>
          <w:sz w:val="24"/>
          <w:szCs w:val="24"/>
          <w:highlight w:val="none"/>
        </w:rPr>
        <w:t>要求：见投标人须知前附表；</w:t>
      </w:r>
    </w:p>
    <w:p w14:paraId="5BCE4A24">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（6）其他主要人员要求：见投标人须知前附表。</w:t>
      </w:r>
    </w:p>
    <w:p w14:paraId="7E24DC47">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（7）试验检测仪器设备要求：见投标人须知前附表。</w:t>
      </w:r>
    </w:p>
    <w:p w14:paraId="1EA01CCC">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（8）其他要求：见投标人须知前附表。需要提交的相关证明材料见本章第 3.5 款的规定。</w:t>
      </w:r>
    </w:p>
    <w:p w14:paraId="73D2CC75">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投标人须知前附表规定接受联合体投标的，联合体除应符合本章第 1.4.1 项和投标人须知前附表的要求外，还应遵守以下规定：</w:t>
      </w:r>
    </w:p>
    <w:p w14:paraId="483F7D3A">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（1）联合体各方应按招标文件提供的格式签订联合体协议书，明确联合体</w:t>
      </w:r>
      <w:r>
        <w:rPr>
          <w:rFonts w:hint="eastAsia" w:ascii="宋体" w:hAnsi="宋体" w:eastAsia="宋体" w:cs="宋体"/>
          <w:color w:val="auto"/>
          <w:spacing w:val="-2"/>
          <w:sz w:val="24"/>
          <w:szCs w:val="24"/>
          <w:highlight w:val="none"/>
          <w:lang w:eastAsia="zh-CN"/>
        </w:rPr>
        <w:t>主办方</w:t>
      </w:r>
      <w:r>
        <w:rPr>
          <w:rFonts w:hint="eastAsia" w:ascii="宋体" w:hAnsi="宋体" w:eastAsia="宋体" w:cs="宋体"/>
          <w:color w:val="auto"/>
          <w:sz w:val="24"/>
          <w:szCs w:val="24"/>
          <w:highlight w:val="none"/>
        </w:rPr>
        <w:t>和各方权利义务，并承诺就中标项目向招标人承担连带责任；</w:t>
      </w:r>
    </w:p>
    <w:p w14:paraId="2E19CE7B">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（2）由同一专业的单位组成的联合体，按照资质等级较低的单位确定资质等级；</w:t>
      </w:r>
    </w:p>
    <w:p w14:paraId="570DA468">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（3）联合体各方不得再以自己名义单独或参加其他联合体在本招标项目中投标，否则各相关投标均无效。</w:t>
      </w:r>
    </w:p>
    <w:p w14:paraId="43513CD1">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投标人不得存在下列情形之一：</w:t>
      </w:r>
    </w:p>
    <w:p w14:paraId="698CF90C">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（1）为招标人不具有独立法人资格的附属机构（单位）；</w:t>
      </w:r>
    </w:p>
    <w:p w14:paraId="17F61118">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（2）与招标人存在利害关系且可能影响招标公正性；</w:t>
      </w:r>
    </w:p>
    <w:p w14:paraId="62C1E9F6">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（3）与本招标项目的其他投标人为同一个单位负责人；</w:t>
      </w:r>
    </w:p>
    <w:p w14:paraId="6FE659EF">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（4）与本招标项目的其他投标人存在控股、管理关系；</w:t>
      </w:r>
    </w:p>
    <w:p w14:paraId="4062C473">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（5）为本招标项目的代建人；</w:t>
      </w:r>
    </w:p>
    <w:p w14:paraId="264C9344">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（6）为本招标项目的招标代理机构；</w:t>
      </w:r>
    </w:p>
    <w:p w14:paraId="751B1F0A">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（7）与本招标项目的代建人或招标代理机构同为一个法定代表人；</w:t>
      </w:r>
    </w:p>
    <w:p w14:paraId="72ACE239">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（8）与本招标项目的代建人或招标代理机构存在控股或参股关系；</w:t>
      </w:r>
    </w:p>
    <w:p w14:paraId="2B7DC427">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（9）与本招标项目的建</w:t>
      </w:r>
      <w:r>
        <w:rPr>
          <w:rFonts w:hint="eastAsia" w:ascii="宋体" w:hAnsi="宋体" w:eastAsia="宋体" w:cs="宋体"/>
          <w:b w:val="0"/>
          <w:bCs/>
          <w:color w:val="auto"/>
          <w:sz w:val="24"/>
          <w:szCs w:val="24"/>
          <w:highlight w:val="none"/>
          <w:lang w:val="en-US" w:eastAsia="zh-CN"/>
        </w:rPr>
        <w:t>设、施工、监理单位，以及建筑材料、建筑构配件和设备供应商有隶属关系或者其他利害关系；参与本招标项目的招标文件编写、监理工作</w:t>
      </w:r>
      <w:r>
        <w:rPr>
          <w:rFonts w:hint="eastAsia" w:ascii="宋体" w:hAnsi="宋体" w:eastAsia="宋体" w:cs="宋体"/>
          <w:color w:val="auto"/>
          <w:sz w:val="24"/>
          <w:szCs w:val="24"/>
          <w:highlight w:val="none"/>
        </w:rPr>
        <w:t>；</w:t>
      </w:r>
    </w:p>
    <w:p w14:paraId="2A704ADA">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（10）被依法暂停或者取消投标资格；（本项实施应当以相关行政主管部门出具的正式文件为认定依据。文件中已经明确的暂停或取消投标资格的区域范围不包含本标段建设地点的，不受该项规定限制）；</w:t>
      </w:r>
    </w:p>
    <w:p w14:paraId="304B6E2A">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（11）被责令停产停业、暂扣或者吊销许可证、暂扣或者吊销执照；（本项事实应当以根据《中华人民共和国行政处罚法》依法作出并已经生效的行政处罚决定为认定依据。）</w:t>
      </w:r>
    </w:p>
    <w:p w14:paraId="190B7097">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（12）进入清算程序，或被宣告破产，或其他丧失履约能力的情形；</w:t>
      </w:r>
    </w:p>
    <w:p w14:paraId="65573440">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在最近三年内发生重大质量问题（以相关行业主管部门的行政处罚决定或司法机关出具的有关法律文书为准）；（“重大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02711074">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（14）法律法规或投标人须知前附表规定的其他情形。</w:t>
      </w:r>
    </w:p>
    <w:p w14:paraId="417DEEE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6" w:name="bookmark25"/>
      <w:bookmarkEnd w:id="46"/>
      <w:r>
        <w:rPr>
          <w:rFonts w:hint="eastAsia" w:ascii="宋体" w:hAnsi="宋体" w:eastAsia="宋体" w:cs="宋体"/>
          <w:color w:val="auto"/>
          <w:highlight w:val="none"/>
        </w:rPr>
        <w:t>1.5 费用承担</w:t>
      </w:r>
    </w:p>
    <w:p w14:paraId="76C8929F">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投标人准备和参加投标活动发生的费用自理。</w:t>
      </w:r>
    </w:p>
    <w:p w14:paraId="631E39F6">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7" w:name="bookmark26"/>
      <w:bookmarkEnd w:id="47"/>
      <w:r>
        <w:rPr>
          <w:rFonts w:hint="eastAsia" w:ascii="宋体" w:hAnsi="宋体" w:eastAsia="宋体" w:cs="宋体"/>
          <w:color w:val="auto"/>
          <w:highlight w:val="none"/>
        </w:rPr>
        <w:t>1.6 保密</w:t>
      </w:r>
    </w:p>
    <w:p w14:paraId="159ED2A5">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参与招标投标活动的各方应对招标文件和投标文件中的商业和技术等秘密保密，否则应承 担相应的法律责任。</w:t>
      </w:r>
    </w:p>
    <w:p w14:paraId="401A9BF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8" w:name="bookmark27"/>
      <w:bookmarkEnd w:id="48"/>
      <w:r>
        <w:rPr>
          <w:rFonts w:hint="eastAsia" w:ascii="宋体" w:hAnsi="宋体" w:eastAsia="宋体" w:cs="宋体"/>
          <w:color w:val="auto"/>
          <w:highlight w:val="none"/>
        </w:rPr>
        <w:t>1.7 语言文字</w:t>
      </w:r>
    </w:p>
    <w:p w14:paraId="1910253D">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招标投标文件使用的语言文字为中文。专用术语使用外文的，应附有中文注释。</w:t>
      </w:r>
    </w:p>
    <w:p w14:paraId="154F372D">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9" w:name="bookmark28"/>
      <w:bookmarkEnd w:id="49"/>
      <w:r>
        <w:rPr>
          <w:rFonts w:hint="eastAsia" w:ascii="宋体" w:hAnsi="宋体" w:eastAsia="宋体" w:cs="宋体"/>
          <w:color w:val="auto"/>
          <w:highlight w:val="none"/>
        </w:rPr>
        <w:t>1.8 计量单位</w:t>
      </w:r>
    </w:p>
    <w:p w14:paraId="33427518">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14:paraId="7720021B">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50" w:name="bookmark29"/>
      <w:bookmarkEnd w:id="50"/>
      <w:r>
        <w:rPr>
          <w:rFonts w:hint="eastAsia" w:ascii="宋体" w:hAnsi="宋体" w:eastAsia="宋体" w:cs="宋体"/>
          <w:color w:val="auto"/>
          <w:highlight w:val="none"/>
        </w:rPr>
        <w:t>1.9 踏勘现场</w:t>
      </w:r>
    </w:p>
    <w:p w14:paraId="4375BDFC">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投标人须知前附表规定组织踏勘现场的，招标人按投标人须知前附表规定的时间、地点组织投标人踏勘项目现场。部分投标人未按时参加踏勘现场的，不影响踏勘现场的正常进行。</w:t>
      </w:r>
    </w:p>
    <w:p w14:paraId="052CF4EC">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投标人踏勘现场发生的费用自理。</w:t>
      </w:r>
    </w:p>
    <w:p w14:paraId="5E79BE16">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除招标人的原因外，投标人自行负责在踏勘现场中所发生的人员伤亡和财产损失。</w:t>
      </w:r>
    </w:p>
    <w:p w14:paraId="099FF24F">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 招标人在踏勘现场中介绍的工程场地和相关的周边环境情况，供投标人在编制投标文 件时参考，招标人不对投标人据此作出的判断和决策负责。</w:t>
      </w:r>
    </w:p>
    <w:p w14:paraId="34B38F2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51" w:name="bookmark30"/>
      <w:bookmarkEnd w:id="51"/>
      <w:r>
        <w:rPr>
          <w:rFonts w:hint="eastAsia" w:ascii="宋体" w:hAnsi="宋体" w:eastAsia="宋体" w:cs="宋体"/>
          <w:color w:val="auto"/>
          <w:highlight w:val="none"/>
        </w:rPr>
        <w:t>1.10 投标预备会</w:t>
      </w:r>
    </w:p>
    <w:p w14:paraId="435894CB">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1.10.1 </w:t>
      </w:r>
      <w:r>
        <w:rPr>
          <w:rFonts w:hint="eastAsia" w:ascii="宋体" w:hAnsi="宋体" w:eastAsia="宋体" w:cs="宋体"/>
          <w:color w:val="auto"/>
          <w:sz w:val="24"/>
          <w:szCs w:val="24"/>
          <w:highlight w:val="none"/>
          <w:lang w:val="en-US" w:eastAsia="zh-CN"/>
        </w:rPr>
        <w:t>本项目不召开投标预备会</w:t>
      </w:r>
      <w:r>
        <w:rPr>
          <w:rFonts w:hint="eastAsia" w:ascii="宋体" w:hAnsi="宋体" w:eastAsia="宋体" w:cs="宋体"/>
          <w:color w:val="auto"/>
          <w:sz w:val="24"/>
          <w:szCs w:val="24"/>
          <w:highlight w:val="none"/>
        </w:rPr>
        <w:t>。</w:t>
      </w:r>
    </w:p>
    <w:p w14:paraId="3CC8076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52" w:name="bookmark31"/>
      <w:bookmarkEnd w:id="52"/>
      <w:r>
        <w:rPr>
          <w:rFonts w:hint="eastAsia" w:ascii="宋体" w:hAnsi="宋体" w:eastAsia="宋体" w:cs="宋体"/>
          <w:color w:val="auto"/>
          <w:highlight w:val="none"/>
        </w:rPr>
        <w:t>1.11 分包</w:t>
      </w:r>
    </w:p>
    <w:p w14:paraId="1C6BB881">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本项目严禁</w:t>
      </w:r>
      <w:r>
        <w:rPr>
          <w:rFonts w:hint="eastAsia" w:ascii="宋体" w:hAnsi="宋体" w:eastAsia="宋体" w:cs="宋体"/>
          <w:color w:val="auto"/>
          <w:sz w:val="24"/>
          <w:szCs w:val="24"/>
          <w:highlight w:val="none"/>
          <w:lang w:val="en-US" w:eastAsia="zh-CN"/>
        </w:rPr>
        <w:t>非法</w:t>
      </w:r>
      <w:r>
        <w:rPr>
          <w:rFonts w:hint="eastAsia" w:ascii="宋体" w:hAnsi="宋体" w:eastAsia="宋体" w:cs="宋体"/>
          <w:color w:val="auto"/>
          <w:sz w:val="24"/>
          <w:szCs w:val="24"/>
          <w:highlight w:val="none"/>
        </w:rPr>
        <w:t>分包。</w:t>
      </w:r>
    </w:p>
    <w:p w14:paraId="7E0D3CBB">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53" w:name="bookmark32"/>
      <w:bookmarkEnd w:id="53"/>
      <w:r>
        <w:rPr>
          <w:rFonts w:hint="eastAsia" w:ascii="宋体" w:hAnsi="宋体" w:eastAsia="宋体" w:cs="宋体"/>
          <w:color w:val="auto"/>
          <w:highlight w:val="none"/>
        </w:rPr>
        <w:t>1.12 响应和偏差</w:t>
      </w:r>
    </w:p>
    <w:p w14:paraId="4A426DEC">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 投标文件应当对招标文件的实质性要求和条件作出满足性或更有利于招标人的响应，否则，投标人的投标将被否决。实质性要求和条件见投标人须知前附表。</w:t>
      </w:r>
    </w:p>
    <w:p w14:paraId="2BF8118C">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 投标人应根据招标文件的要求提供</w:t>
      </w:r>
      <w:r>
        <w:rPr>
          <w:rFonts w:hint="eastAsia" w:ascii="宋体" w:hAnsi="宋体" w:eastAsia="宋体" w:cs="宋体"/>
          <w:color w:val="auto"/>
          <w:sz w:val="24"/>
          <w:szCs w:val="24"/>
          <w:highlight w:val="none"/>
          <w:lang w:val="en-US" w:eastAsia="zh-CN"/>
        </w:rPr>
        <w:t>技术服务方案</w:t>
      </w:r>
      <w:r>
        <w:rPr>
          <w:rFonts w:hint="eastAsia" w:ascii="宋体" w:hAnsi="宋体" w:eastAsia="宋体" w:cs="宋体"/>
          <w:color w:val="auto"/>
          <w:sz w:val="24"/>
          <w:szCs w:val="24"/>
          <w:highlight w:val="none"/>
        </w:rPr>
        <w:t>等内容以对招标文件作出响应。</w:t>
      </w:r>
    </w:p>
    <w:p w14:paraId="0E501B61">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 投标人须知前附表允许投标文件偏离招标文件某些要求的，偏差应当符合招标文件规定的偏差范围和幅度。</w:t>
      </w:r>
    </w:p>
    <w:p w14:paraId="5E95DCC5">
      <w:pPr>
        <w:pStyle w:val="7"/>
        <w:outlineLvl w:val="1"/>
        <w:rPr>
          <w:rFonts w:hint="eastAsia" w:ascii="宋体" w:hAnsi="宋体" w:eastAsia="宋体" w:cs="宋体"/>
          <w:color w:val="auto"/>
          <w:sz w:val="24"/>
          <w:szCs w:val="24"/>
          <w:highlight w:val="none"/>
        </w:rPr>
      </w:pPr>
      <w:bookmarkStart w:id="54" w:name="bookmark33"/>
      <w:bookmarkEnd w:id="54"/>
      <w:bookmarkStart w:id="55" w:name="_Toc8823"/>
      <w:r>
        <w:rPr>
          <w:rFonts w:hint="eastAsia" w:ascii="宋体" w:hAnsi="宋体" w:eastAsia="宋体" w:cs="宋体"/>
          <w:color w:val="auto"/>
          <w:sz w:val="24"/>
          <w:szCs w:val="24"/>
          <w:highlight w:val="none"/>
        </w:rPr>
        <w:t>2.招标文件</w:t>
      </w:r>
      <w:bookmarkEnd w:id="55"/>
    </w:p>
    <w:p w14:paraId="310236F3">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56" w:name="bookmark34"/>
      <w:bookmarkEnd w:id="56"/>
      <w:r>
        <w:rPr>
          <w:rFonts w:hint="eastAsia" w:ascii="宋体" w:hAnsi="宋体" w:eastAsia="宋体" w:cs="宋体"/>
          <w:color w:val="auto"/>
          <w:highlight w:val="none"/>
        </w:rPr>
        <w:t>2.1 招标文件的组成</w:t>
      </w:r>
    </w:p>
    <w:p w14:paraId="7649A47E">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本招标文件包括：</w:t>
      </w:r>
    </w:p>
    <w:p w14:paraId="4D24429D">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14:paraId="7DEEE1C3">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w:t>
      </w:r>
    </w:p>
    <w:p w14:paraId="1D134A66">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（3）评标办法；</w:t>
      </w:r>
    </w:p>
    <w:p w14:paraId="2D5DC3A5">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（4）合同条款及格式；</w:t>
      </w:r>
    </w:p>
    <w:p w14:paraId="0F676692">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（5）委托人要求；</w:t>
      </w:r>
    </w:p>
    <w:p w14:paraId="65521003">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14:paraId="27C94700">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（7）投标人须知前附表规定的其他资料。</w:t>
      </w:r>
    </w:p>
    <w:p w14:paraId="5AC6BCB4">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根据本章第1.10款、第2.2款和第2.3款对招标文件所作的澄清、修改，构成招标文件的组成部分。</w:t>
      </w:r>
    </w:p>
    <w:p w14:paraId="5827043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57" w:name="bookmark35"/>
      <w:bookmarkEnd w:id="57"/>
      <w:bookmarkStart w:id="58" w:name="bookmark38"/>
      <w:bookmarkEnd w:id="58"/>
      <w:r>
        <w:rPr>
          <w:rFonts w:hint="eastAsia" w:ascii="宋体" w:hAnsi="宋体" w:eastAsia="宋体" w:cs="宋体"/>
          <w:color w:val="auto"/>
          <w:highlight w:val="none"/>
        </w:rPr>
        <w:t>2.2  招标文件的</w:t>
      </w:r>
      <w:r>
        <w:rPr>
          <w:rFonts w:hint="eastAsia" w:ascii="宋体" w:hAnsi="宋体" w:eastAsia="宋体" w:cs="宋体"/>
          <w:color w:val="auto"/>
          <w:highlight w:val="none"/>
          <w:lang w:eastAsia="zh-CN"/>
        </w:rPr>
        <w:t>答疑</w:t>
      </w:r>
    </w:p>
    <w:p w14:paraId="1EE9144C">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投标人应仔细阅读和检查招标文件的全部内容。如有疑问，应按投标人须知前附表规定的时间和形式将提出的问题送达招标人，要求招标人对招标文件予以澄清。</w:t>
      </w:r>
    </w:p>
    <w:p w14:paraId="09E1AF73">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招标答疑采用网上答疑方式进行。投标人若对招标文件有疑问的，</w:t>
      </w:r>
      <w:r>
        <w:rPr>
          <w:rFonts w:hint="eastAsia" w:ascii="宋体" w:hAnsi="宋体" w:eastAsia="宋体" w:cs="宋体"/>
          <w:color w:val="auto"/>
          <w:sz w:val="24"/>
          <w:szCs w:val="24"/>
          <w:highlight w:val="none"/>
          <w:lang w:eastAsia="zh-CN"/>
        </w:rPr>
        <w:t>通过广州交易集团有限公司（广州公共资源交易中心）网站提交，</w:t>
      </w:r>
      <w:r>
        <w:rPr>
          <w:rFonts w:hint="eastAsia" w:ascii="宋体" w:hAnsi="宋体" w:eastAsia="宋体" w:cs="宋体"/>
          <w:color w:val="auto"/>
          <w:sz w:val="24"/>
          <w:szCs w:val="24"/>
          <w:highlight w:val="none"/>
        </w:rPr>
        <w:t>应按照</w:t>
      </w:r>
      <w:r>
        <w:rPr>
          <w:rFonts w:hint="eastAsia" w:ascii="宋体" w:hAnsi="宋体" w:eastAsia="宋体" w:cs="宋体"/>
          <w:color w:val="auto"/>
          <w:sz w:val="24"/>
          <w:szCs w:val="24"/>
          <w:highlight w:val="none"/>
          <w:lang w:eastAsia="zh-CN"/>
        </w:rPr>
        <w:t>广州交易集团有限公司（广州公共资源交易中心）网站关于全流程电子化项目的相关指南进行操作</w:t>
      </w:r>
      <w:r>
        <w:rPr>
          <w:rFonts w:hint="eastAsia" w:ascii="宋体" w:hAnsi="宋体" w:eastAsia="宋体" w:cs="宋体"/>
          <w:color w:val="auto"/>
          <w:sz w:val="24"/>
          <w:szCs w:val="24"/>
          <w:highlight w:val="none"/>
        </w:rPr>
        <w:t>。提</w:t>
      </w:r>
      <w:r>
        <w:rPr>
          <w:rFonts w:hint="eastAsia" w:ascii="宋体" w:hAnsi="宋体" w:eastAsia="宋体" w:cs="宋体"/>
          <w:color w:val="auto"/>
          <w:sz w:val="24"/>
          <w:szCs w:val="24"/>
          <w:highlight w:val="none"/>
          <w:lang w:eastAsia="zh-CN"/>
        </w:rPr>
        <w:t>问</w:t>
      </w:r>
      <w:r>
        <w:rPr>
          <w:rFonts w:hint="eastAsia" w:ascii="宋体" w:hAnsi="宋体" w:eastAsia="宋体" w:cs="宋体"/>
          <w:color w:val="auto"/>
          <w:sz w:val="24"/>
          <w:szCs w:val="24"/>
          <w:highlight w:val="none"/>
        </w:rPr>
        <w:t>一律不得署名。</w:t>
      </w:r>
    </w:p>
    <w:p w14:paraId="271A17CE">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2.2.3  招标答疑纪要将在提交投标文件截止时间 15 日前在</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“项目答疑纪要”专区公开发布。答疑纪要一经在</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发布，视作已发放给所有投标人</w:t>
      </w:r>
      <w:r>
        <w:rPr>
          <w:rFonts w:hint="eastAsia" w:ascii="宋体" w:hAnsi="宋体" w:eastAsia="宋体" w:cs="宋体"/>
          <w:color w:val="auto"/>
          <w:sz w:val="24"/>
          <w:szCs w:val="24"/>
          <w:highlight w:val="none"/>
          <w:lang w:eastAsia="zh-CN"/>
        </w:rPr>
        <w:t>。</w:t>
      </w:r>
    </w:p>
    <w:p w14:paraId="082E98D4">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2.2.4  </w:t>
      </w:r>
      <w:r>
        <w:rPr>
          <w:rFonts w:hint="eastAsia" w:ascii="宋体" w:hAnsi="宋体" w:eastAsia="宋体" w:cs="宋体"/>
          <w:color w:val="auto"/>
          <w:sz w:val="24"/>
          <w:szCs w:val="24"/>
          <w:highlight w:val="none"/>
        </w:rPr>
        <w:t>招标答疑纪要</w:t>
      </w: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招标文件的</w:t>
      </w:r>
      <w:r>
        <w:rPr>
          <w:rFonts w:hint="eastAsia" w:ascii="宋体" w:hAnsi="宋体" w:eastAsia="宋体" w:cs="宋体"/>
          <w:color w:val="auto"/>
          <w:sz w:val="24"/>
          <w:szCs w:val="24"/>
          <w:highlight w:val="none"/>
          <w:lang w:eastAsia="zh-CN"/>
        </w:rPr>
        <w:t>组成</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eastAsia="zh-CN"/>
        </w:rPr>
        <w:t>，对投标人起约束作用</w:t>
      </w:r>
      <w:r>
        <w:rPr>
          <w:rFonts w:hint="eastAsia" w:ascii="宋体" w:hAnsi="宋体" w:eastAsia="宋体" w:cs="宋体"/>
          <w:color w:val="auto"/>
          <w:sz w:val="24"/>
          <w:szCs w:val="24"/>
          <w:highlight w:val="none"/>
        </w:rPr>
        <w:t>。</w:t>
      </w:r>
    </w:p>
    <w:p w14:paraId="0F459EF8">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若招标答疑纪要与招标文件有矛盾时，以</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最后发布的答疑纪要为准</w:t>
      </w:r>
      <w:r>
        <w:rPr>
          <w:rFonts w:hint="eastAsia" w:ascii="宋体" w:hAnsi="宋体" w:eastAsia="宋体" w:cs="宋体"/>
          <w:color w:val="auto"/>
          <w:sz w:val="24"/>
          <w:szCs w:val="24"/>
          <w:highlight w:val="none"/>
          <w:lang w:eastAsia="zh-CN"/>
        </w:rPr>
        <w:t>。</w:t>
      </w:r>
    </w:p>
    <w:p w14:paraId="7914D8B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  招标文件的</w:t>
      </w:r>
      <w:r>
        <w:rPr>
          <w:rFonts w:hint="eastAsia" w:ascii="宋体" w:hAnsi="宋体" w:eastAsia="宋体" w:cs="宋体"/>
          <w:color w:val="auto"/>
          <w:highlight w:val="none"/>
          <w:lang w:eastAsia="zh-CN"/>
        </w:rPr>
        <w:t>澄清与</w:t>
      </w:r>
      <w:r>
        <w:rPr>
          <w:rFonts w:hint="eastAsia" w:ascii="宋体" w:hAnsi="宋体" w:eastAsia="宋体" w:cs="宋体"/>
          <w:color w:val="auto"/>
          <w:highlight w:val="none"/>
        </w:rPr>
        <w:t>修改</w:t>
      </w:r>
    </w:p>
    <w:p w14:paraId="2BA603B6">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 xml:space="preserve">2.3.1 </w:t>
      </w:r>
      <w:r>
        <w:rPr>
          <w:rFonts w:hint="eastAsia" w:ascii="宋体" w:hAnsi="宋体" w:eastAsia="宋体" w:cs="宋体"/>
          <w:color w:val="auto"/>
          <w:sz w:val="24"/>
          <w:szCs w:val="24"/>
          <w:highlight w:val="none"/>
          <w:lang w:val="en-US" w:eastAsia="zh-CN"/>
        </w:rPr>
        <w:t xml:space="preserve"> 招标文件发出后，在提交投标文件截止时间15日前，招标人可对招标文件进行必要的澄清或修改。</w:t>
      </w:r>
    </w:p>
    <w:p w14:paraId="2EEB3822">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2.3.2  </w:t>
      </w:r>
      <w:r>
        <w:rPr>
          <w:rFonts w:hint="eastAsia" w:ascii="宋体" w:hAnsi="宋体" w:eastAsia="宋体" w:cs="宋体"/>
          <w:color w:val="auto"/>
          <w:sz w:val="24"/>
          <w:szCs w:val="24"/>
          <w:highlight w:val="none"/>
          <w:lang w:eastAsia="zh-CN"/>
        </w:rPr>
        <w:t>招标文件的澄清或修改将在广州交易集团有限公司（广州公共资源交易中心）网站“项目答疑纪要”专区公开发布。招标文件的澄清或修改一经在广州交易集团有限公司（广州公共资源交易中心）网站发布，视作已发放给所有投标人，以广州交易集团有限公司（广州公共资源交易中心）</w:t>
      </w:r>
      <w:r>
        <w:rPr>
          <w:rFonts w:hint="eastAsia" w:ascii="宋体" w:hAnsi="宋体" w:eastAsia="宋体" w:cs="宋体"/>
          <w:color w:val="auto"/>
          <w:sz w:val="24"/>
          <w:szCs w:val="24"/>
          <w:highlight w:val="none"/>
          <w:lang w:val="en-US" w:eastAsia="zh-CN"/>
        </w:rPr>
        <w:t>网站发布时间作为送达时间。</w:t>
      </w:r>
    </w:p>
    <w:p w14:paraId="70230460">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2.3.3  </w:t>
      </w:r>
      <w:r>
        <w:rPr>
          <w:rFonts w:hint="eastAsia" w:ascii="宋体" w:hAnsi="宋体" w:eastAsia="宋体" w:cs="宋体"/>
          <w:color w:val="auto"/>
          <w:sz w:val="24"/>
          <w:szCs w:val="24"/>
          <w:highlight w:val="none"/>
        </w:rPr>
        <w:t>招标</w:t>
      </w:r>
      <w:r>
        <w:rPr>
          <w:rFonts w:hint="eastAsia" w:ascii="宋体" w:hAnsi="宋体" w:eastAsia="宋体" w:cs="宋体"/>
          <w:color w:val="auto"/>
          <w:sz w:val="24"/>
          <w:szCs w:val="24"/>
          <w:highlight w:val="none"/>
          <w:lang w:eastAsia="zh-CN"/>
        </w:rPr>
        <w:t>文件的澄清或修改是</w:t>
      </w:r>
      <w:r>
        <w:rPr>
          <w:rFonts w:hint="eastAsia" w:ascii="宋体" w:hAnsi="宋体" w:eastAsia="宋体" w:cs="宋体"/>
          <w:color w:val="auto"/>
          <w:sz w:val="24"/>
          <w:szCs w:val="24"/>
          <w:highlight w:val="none"/>
        </w:rPr>
        <w:t>招标文件的</w:t>
      </w:r>
      <w:r>
        <w:rPr>
          <w:rFonts w:hint="eastAsia" w:ascii="宋体" w:hAnsi="宋体" w:eastAsia="宋体" w:cs="宋体"/>
          <w:color w:val="auto"/>
          <w:sz w:val="24"/>
          <w:szCs w:val="24"/>
          <w:highlight w:val="none"/>
          <w:lang w:eastAsia="zh-CN"/>
        </w:rPr>
        <w:t>组成</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eastAsia="zh-CN"/>
        </w:rPr>
        <w:t>，对投标人起约束作用</w:t>
      </w:r>
      <w:r>
        <w:rPr>
          <w:rFonts w:hint="eastAsia" w:ascii="宋体" w:hAnsi="宋体" w:eastAsia="宋体" w:cs="宋体"/>
          <w:color w:val="auto"/>
          <w:sz w:val="24"/>
          <w:szCs w:val="24"/>
          <w:highlight w:val="none"/>
        </w:rPr>
        <w:t>。</w:t>
      </w:r>
    </w:p>
    <w:p w14:paraId="07E43870">
      <w:pPr>
        <w:pStyle w:val="14"/>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51" w:lineRule="auto"/>
        <w:ind w:lef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2.3.</w:t>
      </w: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lang w:eastAsia="zh-CN"/>
        </w:rPr>
        <w:t xml:space="preserve"> 招标文件的澄清或修</w:t>
      </w:r>
      <w:r>
        <w:rPr>
          <w:rFonts w:hint="eastAsia" w:ascii="宋体" w:hAnsi="宋体" w:eastAsia="宋体" w:cs="宋体"/>
          <w:color w:val="auto"/>
          <w:sz w:val="24"/>
          <w:szCs w:val="24"/>
          <w:highlight w:val="none"/>
        </w:rPr>
        <w:t>改均以</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发布的内容为准。当招标文件的澄清、修改</w:t>
      </w:r>
      <w:r>
        <w:rPr>
          <w:rFonts w:hint="eastAsia" w:ascii="宋体" w:hAnsi="宋体" w:eastAsia="宋体" w:cs="宋体"/>
          <w:color w:val="auto"/>
          <w:sz w:val="24"/>
          <w:szCs w:val="24"/>
          <w:highlight w:val="none"/>
          <w:lang w:eastAsia="zh-CN"/>
        </w:rPr>
        <w:t>、补充等</w:t>
      </w:r>
      <w:r>
        <w:rPr>
          <w:rFonts w:hint="eastAsia" w:ascii="宋体" w:hAnsi="宋体" w:eastAsia="宋体" w:cs="宋体"/>
          <w:color w:val="auto"/>
          <w:sz w:val="24"/>
          <w:szCs w:val="24"/>
          <w:highlight w:val="none"/>
        </w:rPr>
        <w:t>在同一内容的表述不一致时，以</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最后发布的内容为准。</w:t>
      </w:r>
    </w:p>
    <w:p w14:paraId="77D4AF80">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z w:val="24"/>
          <w:szCs w:val="24"/>
          <w:highlight w:val="none"/>
          <w:lang w:val="en-US" w:eastAsia="zh-CN"/>
        </w:rPr>
        <w:t xml:space="preserve">2.3.5  </w:t>
      </w:r>
      <w:r>
        <w:rPr>
          <w:rFonts w:hint="eastAsia" w:ascii="宋体" w:hAnsi="宋体" w:eastAsia="宋体" w:cs="宋体"/>
          <w:color w:val="auto"/>
          <w:sz w:val="24"/>
          <w:szCs w:val="24"/>
          <w:highlight w:val="none"/>
          <w:lang w:eastAsia="zh-CN"/>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w:t>
      </w:r>
      <w:r>
        <w:rPr>
          <w:rFonts w:hint="eastAsia" w:ascii="宋体" w:hAnsi="宋体" w:eastAsia="宋体" w:cs="宋体"/>
          <w:color w:val="auto"/>
          <w:spacing w:val="-11"/>
          <w:sz w:val="24"/>
          <w:szCs w:val="24"/>
          <w:highlight w:val="none"/>
          <w:lang w:eastAsia="zh-CN"/>
        </w:rPr>
        <w:t>，即表示投标时间不延长。</w:t>
      </w:r>
    </w:p>
    <w:p w14:paraId="40146857">
      <w:pPr>
        <w:pStyle w:val="14"/>
        <w:tabs>
          <w:tab w:val="left" w:pos="1343"/>
          <w:tab w:val="left" w:pos="2697"/>
          <w:tab w:val="left" w:pos="3264"/>
          <w:tab w:val="left" w:pos="4896"/>
          <w:tab w:val="left" w:pos="6005"/>
          <w:tab w:val="left" w:pos="7085"/>
          <w:tab w:val="left" w:pos="7498"/>
        </w:tabs>
        <w:kinsoku w:val="0"/>
        <w:overflowPunct w:val="0"/>
        <w:spacing w:line="360" w:lineRule="auto"/>
        <w:ind w:left="0" w:firstLine="436" w:firstLineChars="200"/>
        <w:jc w:val="both"/>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2.</w:t>
      </w:r>
      <w:r>
        <w:rPr>
          <w:rFonts w:hint="eastAsia" w:ascii="宋体" w:hAnsi="宋体" w:eastAsia="宋体" w:cs="宋体"/>
          <w:color w:val="auto"/>
          <w:spacing w:val="-11"/>
          <w:sz w:val="24"/>
          <w:szCs w:val="24"/>
          <w:highlight w:val="none"/>
          <w:lang w:val="en-US" w:eastAsia="zh-CN"/>
        </w:rPr>
        <w:t>4</w:t>
      </w:r>
      <w:r>
        <w:rPr>
          <w:rFonts w:hint="eastAsia" w:ascii="宋体" w:hAnsi="宋体" w:eastAsia="宋体" w:cs="宋体"/>
          <w:color w:val="auto"/>
          <w:spacing w:val="-11"/>
          <w:sz w:val="24"/>
          <w:szCs w:val="24"/>
          <w:highlight w:val="none"/>
          <w:lang w:eastAsia="zh-CN"/>
        </w:rPr>
        <w:t xml:space="preserve">  招标文件的异议</w:t>
      </w:r>
    </w:p>
    <w:p w14:paraId="6DE7053A">
      <w:pPr>
        <w:pStyle w:val="14"/>
        <w:tabs>
          <w:tab w:val="left" w:pos="1343"/>
          <w:tab w:val="left" w:pos="2697"/>
          <w:tab w:val="left" w:pos="3264"/>
          <w:tab w:val="left" w:pos="4896"/>
          <w:tab w:val="left" w:pos="6005"/>
          <w:tab w:val="left" w:pos="7085"/>
          <w:tab w:val="left" w:pos="7498"/>
        </w:tabs>
        <w:kinsoku w:val="0"/>
        <w:overflowPunct w:val="0"/>
        <w:spacing w:line="360" w:lineRule="auto"/>
        <w:ind w:left="0" w:firstLine="436" w:firstLineChars="200"/>
        <w:jc w:val="both"/>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投标人或者其他利害关系人对招标文件有异议的，应当在投标截止时间 10 日前通过线下或线上的形式提出异议。线上提出异议的，应通过交易平台提交，招标人也应通过交易平台答复线上提出的异议。具体按照交易平台相关指南进行操作。招标人将在收到异议之日起 3 日内作出答复；作出答复前，将暂停招标投标活动。</w:t>
      </w:r>
    </w:p>
    <w:p w14:paraId="6E007003">
      <w:pPr>
        <w:pStyle w:val="7"/>
        <w:outlineLvl w:val="1"/>
        <w:rPr>
          <w:rFonts w:hint="eastAsia" w:ascii="宋体" w:hAnsi="宋体" w:eastAsia="宋体" w:cs="宋体"/>
          <w:color w:val="auto"/>
          <w:sz w:val="24"/>
          <w:szCs w:val="24"/>
          <w:highlight w:val="none"/>
        </w:rPr>
      </w:pPr>
      <w:bookmarkStart w:id="59" w:name="_Toc20483"/>
      <w:r>
        <w:rPr>
          <w:rFonts w:hint="eastAsia" w:ascii="宋体" w:hAnsi="宋体" w:eastAsia="宋体" w:cs="宋体"/>
          <w:color w:val="auto"/>
          <w:sz w:val="24"/>
          <w:szCs w:val="24"/>
          <w:highlight w:val="none"/>
        </w:rPr>
        <w:t>3.投标文件</w:t>
      </w:r>
      <w:bookmarkEnd w:id="59"/>
    </w:p>
    <w:p w14:paraId="0B226CB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60" w:name="bookmark39"/>
      <w:bookmarkEnd w:id="60"/>
      <w:r>
        <w:rPr>
          <w:rFonts w:hint="eastAsia" w:ascii="宋体" w:hAnsi="宋体" w:eastAsia="宋体" w:cs="宋体"/>
          <w:color w:val="auto"/>
          <w:highlight w:val="none"/>
        </w:rPr>
        <w:t>3.1 投标文件的组成</w:t>
      </w:r>
    </w:p>
    <w:p w14:paraId="40E22363">
      <w:pPr>
        <w:pStyle w:val="14"/>
        <w:pBdr>
          <w:top w:val="none" w:color="auto" w:sz="0" w:space="0"/>
          <w:left w:val="none" w:color="auto" w:sz="0" w:space="0"/>
          <w:bottom w:val="none" w:color="auto" w:sz="0" w:space="0"/>
          <w:right w:val="none" w:color="auto" w:sz="0" w:space="0"/>
          <w:between w:val="none" w:color="auto" w:sz="0"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投标文件应包括下列内容：</w:t>
      </w:r>
    </w:p>
    <w:p w14:paraId="4CA6E976">
      <w:pPr>
        <w:widowControl/>
        <w:pBdr>
          <w:top w:val="none" w:color="auto" w:sz="0" w:space="0"/>
          <w:left w:val="none" w:color="auto" w:sz="0" w:space="0"/>
          <w:bottom w:val="none" w:color="auto" w:sz="0" w:space="0"/>
          <w:right w:val="none" w:color="auto" w:sz="0" w:space="0"/>
          <w:between w:val="none" w:color="auto" w:sz="0" w:space="0"/>
        </w:pBdr>
        <w:shd w:val="clear"/>
        <w:autoSpaceDE/>
        <w:autoSpaceDN/>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（1）投标函及投标函附录；</w:t>
      </w:r>
    </w:p>
    <w:p w14:paraId="68CF9071">
      <w:pPr>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360" w:lineRule="auto"/>
        <w:ind w:left="0" w:firstLine="480" w:firstLineChars="200"/>
        <w:jc w:val="both"/>
        <w:rPr>
          <w:rFonts w:hint="eastAsia"/>
          <w:color w:val="auto"/>
          <w:highlight w:val="none"/>
          <w:lang w:val="en-US" w:eastAsia="zh-CN"/>
        </w:rPr>
      </w:pPr>
      <w:r>
        <w:rPr>
          <w:rFonts w:hint="eastAsia" w:ascii="宋体" w:hAnsi="宋体" w:eastAsia="宋体" w:cs="宋体"/>
          <w:color w:val="auto"/>
          <w:sz w:val="24"/>
          <w:szCs w:val="24"/>
          <w:highlight w:val="none"/>
          <w:lang w:val="en-US" w:eastAsia="zh-CN" w:bidi="ar-SA"/>
        </w:rPr>
        <w:t>（2）法定代表人身份证明；</w:t>
      </w:r>
    </w:p>
    <w:p w14:paraId="26EA39E5">
      <w:pPr>
        <w:widowControl/>
        <w:pBdr>
          <w:top w:val="none" w:color="auto" w:sz="0" w:space="0"/>
          <w:left w:val="none" w:color="auto" w:sz="0" w:space="0"/>
          <w:bottom w:val="none" w:color="auto" w:sz="0" w:space="0"/>
          <w:right w:val="none" w:color="auto" w:sz="0" w:space="0"/>
          <w:between w:val="none" w:color="auto" w:sz="0" w:space="0"/>
        </w:pBdr>
        <w:shd w:val="clear"/>
        <w:autoSpaceDE/>
        <w:autoSpaceDN/>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（3）授权委托书；（适用于有委托代理人的情况）</w:t>
      </w:r>
    </w:p>
    <w:p w14:paraId="628901B2">
      <w:pPr>
        <w:widowControl/>
        <w:pBdr>
          <w:top w:val="none" w:color="auto" w:sz="0" w:space="0"/>
          <w:left w:val="none" w:color="auto" w:sz="0" w:space="0"/>
          <w:bottom w:val="none" w:color="auto" w:sz="0" w:space="0"/>
          <w:right w:val="none" w:color="auto" w:sz="0" w:space="0"/>
          <w:between w:val="none" w:color="auto" w:sz="0" w:space="0"/>
        </w:pBdr>
        <w:shd w:val="clear"/>
        <w:autoSpaceDE/>
        <w:autoSpaceDN/>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（4）联合体协议书（如有）；</w:t>
      </w:r>
    </w:p>
    <w:p w14:paraId="4C65F581">
      <w:pPr>
        <w:widowControl/>
        <w:pBdr>
          <w:top w:val="none" w:color="auto" w:sz="0" w:space="0"/>
          <w:left w:val="none" w:color="auto" w:sz="0" w:space="0"/>
          <w:bottom w:val="none" w:color="auto" w:sz="0" w:space="0"/>
          <w:right w:val="none" w:color="auto" w:sz="0" w:space="0"/>
          <w:between w:val="none" w:color="auto" w:sz="0" w:space="0"/>
        </w:pBdr>
        <w:shd w:val="clear"/>
        <w:autoSpaceDE/>
        <w:autoSpaceDN/>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（5）投标保证金；</w:t>
      </w:r>
    </w:p>
    <w:p w14:paraId="2E0F5D55">
      <w:pPr>
        <w:widowControl/>
        <w:pBdr>
          <w:top w:val="none" w:color="auto" w:sz="0" w:space="0"/>
          <w:left w:val="none" w:color="auto" w:sz="0" w:space="0"/>
          <w:bottom w:val="none" w:color="auto" w:sz="0" w:space="0"/>
          <w:right w:val="none" w:color="auto" w:sz="0" w:space="0"/>
          <w:between w:val="none" w:color="auto" w:sz="0" w:space="0"/>
        </w:pBdr>
        <w:shd w:val="clear"/>
        <w:autoSpaceDE/>
        <w:autoSpaceDN/>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（6）资格审查资料；</w:t>
      </w:r>
    </w:p>
    <w:p w14:paraId="2C7ECA01">
      <w:pPr>
        <w:widowControl/>
        <w:pBdr>
          <w:top w:val="none" w:color="auto" w:sz="0" w:space="0"/>
          <w:left w:val="none" w:color="auto" w:sz="0" w:space="0"/>
          <w:bottom w:val="none" w:color="auto" w:sz="0" w:space="0"/>
          <w:right w:val="none" w:color="auto" w:sz="0" w:space="0"/>
          <w:between w:val="none" w:color="auto" w:sz="0" w:space="0"/>
        </w:pBdr>
        <w:shd w:val="clear"/>
        <w:autoSpaceDE/>
        <w:autoSpaceDN/>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w:t>
      </w:r>
      <w:r>
        <w:rPr>
          <w:rFonts w:hint="eastAsia" w:ascii="宋体" w:hAnsi="宋体" w:cs="宋体"/>
          <w:color w:val="auto"/>
          <w:highlight w:val="none"/>
        </w:rPr>
        <w:t>投标报价表</w:t>
      </w:r>
      <w:r>
        <w:rPr>
          <w:rFonts w:hint="eastAsia" w:ascii="宋体" w:hAnsi="宋体" w:cs="宋体"/>
          <w:color w:val="auto"/>
          <w:highlight w:val="none"/>
          <w:lang w:eastAsia="zh-CN"/>
        </w:rPr>
        <w:t>；</w:t>
      </w:r>
    </w:p>
    <w:p w14:paraId="00CAD20A">
      <w:pPr>
        <w:widowControl/>
        <w:pBdr>
          <w:top w:val="none" w:color="auto" w:sz="0" w:space="0"/>
          <w:left w:val="none" w:color="auto" w:sz="0" w:space="0"/>
          <w:bottom w:val="none" w:color="auto" w:sz="0" w:space="0"/>
          <w:right w:val="none" w:color="auto" w:sz="0" w:space="0"/>
          <w:between w:val="none" w:color="auto" w:sz="0" w:space="0"/>
        </w:pBdr>
        <w:shd w:val="clear"/>
        <w:autoSpaceDE/>
        <w:autoSpaceDN/>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（8）服务方案；</w:t>
      </w:r>
    </w:p>
    <w:p w14:paraId="5D9E6B43">
      <w:pPr>
        <w:widowControl/>
        <w:pBdr>
          <w:top w:val="none" w:color="auto" w:sz="0" w:space="0"/>
          <w:left w:val="none" w:color="auto" w:sz="0" w:space="0"/>
          <w:bottom w:val="none" w:color="auto" w:sz="0" w:space="0"/>
          <w:right w:val="none" w:color="auto" w:sz="0" w:space="0"/>
          <w:between w:val="none" w:color="auto" w:sz="0" w:space="0"/>
        </w:pBdr>
        <w:shd w:val="clear"/>
        <w:autoSpaceDE/>
        <w:autoSpaceDN/>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（9）</w:t>
      </w:r>
      <w:r>
        <w:rPr>
          <w:rFonts w:hint="eastAsia" w:ascii="宋体" w:hAnsi="宋体" w:eastAsia="宋体" w:cs="宋体"/>
          <w:color w:val="auto"/>
          <w:sz w:val="24"/>
          <w:szCs w:val="24"/>
          <w:highlight w:val="none"/>
          <w:lang w:val="en-US" w:eastAsia="zh-CN" w:bidi="ar-SA"/>
        </w:rPr>
        <w:t>投标人须知前附表规定的其他资料。投标人在评标过程中作出的符合法律法规和招标文件规定的澄清确认，构成投标文件的组成部分。</w:t>
      </w:r>
    </w:p>
    <w:p w14:paraId="568D6164">
      <w:pPr>
        <w:widowControl/>
        <w:pBdr>
          <w:top w:val="none" w:color="auto" w:sz="0" w:space="0"/>
          <w:left w:val="none" w:color="auto" w:sz="0" w:space="0"/>
          <w:bottom w:val="none" w:color="auto" w:sz="0" w:space="0"/>
          <w:right w:val="none" w:color="auto" w:sz="0" w:space="0"/>
          <w:between w:val="none" w:color="auto" w:sz="0" w:space="0"/>
        </w:pBdr>
        <w:shd w:val="clear"/>
        <w:autoSpaceDE/>
        <w:autoSpaceDN/>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3.1.2 投标人须知前附表规定不接受联合体投标的，或投标人没有组成联合体的，投标文件不包括本章第 3.1.1（3）目所指的联合体协议书。</w:t>
      </w:r>
    </w:p>
    <w:p w14:paraId="309B7CC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60" w:lineRule="auto"/>
        <w:ind w:left="0" w:firstLine="240" w:firstLineChars="100"/>
        <w:textAlignment w:val="auto"/>
        <w:rPr>
          <w:rFonts w:hint="eastAsia" w:ascii="宋体" w:hAnsi="宋体" w:eastAsia="宋体" w:cs="宋体"/>
          <w:color w:val="auto"/>
          <w:highlight w:val="none"/>
        </w:rPr>
      </w:pPr>
      <w:bookmarkStart w:id="61" w:name="bookmark40"/>
      <w:bookmarkEnd w:id="61"/>
      <w:r>
        <w:rPr>
          <w:rFonts w:hint="eastAsia" w:ascii="宋体" w:hAnsi="宋体" w:eastAsia="宋体" w:cs="宋体"/>
          <w:color w:val="auto"/>
          <w:highlight w:val="none"/>
        </w:rPr>
        <w:t>3.2 投标报价</w:t>
      </w:r>
    </w:p>
    <w:p w14:paraId="07C92955">
      <w:pPr>
        <w:pStyle w:val="14"/>
        <w:pBdr>
          <w:top w:val="none" w:color="auto" w:sz="0" w:space="0"/>
          <w:left w:val="none" w:color="auto" w:sz="0" w:space="0"/>
          <w:bottom w:val="none" w:color="auto" w:sz="0" w:space="0"/>
          <w:right w:val="none" w:color="auto" w:sz="0" w:space="0"/>
          <w:between w:val="none" w:color="auto" w:sz="0"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3.2.1 </w:t>
      </w:r>
      <w:r>
        <w:rPr>
          <w:rFonts w:hint="eastAsia" w:ascii="宋体" w:hAnsi="宋体" w:eastAsia="宋体" w:cs="宋体"/>
          <w:b w:val="0"/>
          <w:bCs/>
          <w:color w:val="auto"/>
          <w:sz w:val="24"/>
          <w:szCs w:val="24"/>
          <w:highlight w:val="none"/>
          <w:lang w:val="en-US" w:eastAsia="zh-CN" w:bidi="ar-SA"/>
        </w:rPr>
        <w:t>投标报价应包括国家规定的增值税税金，除投标人须知前附表另有规定外，增值税税金按一般计税方法计算。</w:t>
      </w:r>
      <w:r>
        <w:rPr>
          <w:rFonts w:hint="eastAsia" w:ascii="宋体" w:hAnsi="宋体" w:cs="宋体"/>
          <w:color w:val="auto"/>
          <w:sz w:val="24"/>
          <w:szCs w:val="24"/>
          <w:highlight w:val="none"/>
          <w:lang w:bidi="ar"/>
        </w:rPr>
        <w:t>投标人应按第六章“投标文件格式”的要求在投标函中进行报价并填写报价书。</w:t>
      </w:r>
    </w:p>
    <w:p w14:paraId="28B6D0B3">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投标人应充分了解该项目的总体情况以及影响投标报价的其他要素。</w:t>
      </w:r>
    </w:p>
    <w:p w14:paraId="09EDBC6A">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3.2.3 </w:t>
      </w:r>
      <w:r>
        <w:rPr>
          <w:rFonts w:hint="eastAsia" w:ascii="宋体" w:hAnsi="宋体" w:cs="宋体"/>
          <w:color w:val="auto"/>
          <w:sz w:val="24"/>
          <w:szCs w:val="24"/>
          <w:highlight w:val="none"/>
          <w:lang w:bidi="ar"/>
        </w:rPr>
        <w:t>本项目的报价方式见投标人须知前附表。投标人在投标截止时间前修改投标函中的投标报价总额，应同时修改投标文件“投标报价书”中的相应报价。此修改须符合本章第4.3款的有关要求。</w:t>
      </w:r>
    </w:p>
    <w:p w14:paraId="7915925C">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招标人设有最高投标限价的，投标人的投标报价不得超过最高投标限价，最高投标限价在投标人须知前附表中载明。</w:t>
      </w:r>
    </w:p>
    <w:p w14:paraId="371CE184">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 投标报价的其他要求见投标人须知前附表。</w:t>
      </w:r>
    </w:p>
    <w:p w14:paraId="7914F2D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62" w:name="bookmark41"/>
      <w:bookmarkEnd w:id="62"/>
      <w:r>
        <w:rPr>
          <w:rFonts w:hint="eastAsia" w:ascii="宋体" w:hAnsi="宋体" w:eastAsia="宋体" w:cs="宋体"/>
          <w:color w:val="auto"/>
          <w:highlight w:val="none"/>
        </w:rPr>
        <w:t>3.3 投标有效期</w:t>
      </w:r>
    </w:p>
    <w:p w14:paraId="1DFD27EE">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除投标人须知前附表另有规定外，投标有效期为 90 天。</w:t>
      </w:r>
    </w:p>
    <w:p w14:paraId="6D0853B7">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在投标有效期内，投标人撤销投标文件的，应承担招标文件和法律规定的责任。</w:t>
      </w:r>
    </w:p>
    <w:p w14:paraId="5594098F">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出现特殊情况需要延长投标有效期的，招标人以书面形式通知所有投标人延长投标有效期。投标人应予以书面答复，同意延长的，应相应延长其投标保证金的有效期，但不得要求 或被允许修改其投标文件；投标人拒绝延长的，其投标失效，但投标人有权收回其投标保证金及以现金或者支票形式递交的投标保证金的银行同期存款利息。</w:t>
      </w:r>
    </w:p>
    <w:p w14:paraId="7FA2FFB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63" w:name="bookmark42"/>
      <w:bookmarkEnd w:id="63"/>
      <w:r>
        <w:rPr>
          <w:rFonts w:hint="eastAsia" w:ascii="宋体" w:hAnsi="宋体" w:eastAsia="宋体" w:cs="宋体"/>
          <w:color w:val="auto"/>
          <w:highlight w:val="none"/>
        </w:rPr>
        <w:t>3.4  投标保证金</w:t>
      </w:r>
    </w:p>
    <w:p w14:paraId="265B176A">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strike w:val="0"/>
          <w:color w:val="auto"/>
          <w:sz w:val="24"/>
          <w:szCs w:val="24"/>
          <w:highlight w:val="none"/>
          <w:lang w:eastAsia="zh-CN"/>
        </w:rPr>
      </w:pPr>
      <w:r>
        <w:rPr>
          <w:rFonts w:hint="eastAsia" w:ascii="宋体" w:hAnsi="宋体" w:eastAsia="宋体" w:cs="宋体"/>
          <w:color w:val="auto"/>
          <w:sz w:val="24"/>
          <w:szCs w:val="24"/>
          <w:highlight w:val="none"/>
        </w:rPr>
        <w:t>3.4.1 投标人应按投标须知前附表规定的金额和时间递交投标保证金。招标人应当允许投标人自主选择现金、银行保函、保证保险、专业工程担保公司担保等方式缴纳投标保证金。</w:t>
      </w:r>
      <w:r>
        <w:rPr>
          <w:rFonts w:hint="eastAsia" w:ascii="宋体" w:hAnsi="宋体" w:eastAsia="宋体" w:cs="宋体"/>
          <w:color w:val="auto"/>
          <w:sz w:val="24"/>
          <w:szCs w:val="24"/>
          <w:highlight w:val="none"/>
          <w:lang w:eastAsia="zh-CN"/>
        </w:rPr>
        <w:t>采用现金或者支票形式提交的，投标保证金须从投标人的银行基本账户转出。</w:t>
      </w:r>
      <w:r>
        <w:rPr>
          <w:rFonts w:hint="eastAsia" w:ascii="宋体" w:hAnsi="宋体" w:eastAsia="宋体" w:cs="宋体"/>
          <w:strike w:val="0"/>
          <w:color w:val="auto"/>
          <w:sz w:val="24"/>
          <w:szCs w:val="24"/>
          <w:highlight w:val="none"/>
        </w:rPr>
        <w:t>联合体投标的，其投标</w:t>
      </w:r>
      <w:r>
        <w:rPr>
          <w:rFonts w:hint="eastAsia" w:ascii="宋体" w:hAnsi="宋体" w:eastAsia="宋体" w:cs="宋体"/>
          <w:strike w:val="0"/>
          <w:color w:val="auto"/>
          <w:sz w:val="24"/>
          <w:szCs w:val="24"/>
          <w:highlight w:val="none"/>
          <w:lang w:eastAsia="zh-CN"/>
        </w:rPr>
        <w:t>保证金</w:t>
      </w:r>
      <w:r>
        <w:rPr>
          <w:rFonts w:hint="eastAsia" w:ascii="宋体" w:hAnsi="宋体" w:eastAsia="宋体" w:cs="宋体"/>
          <w:strike w:val="0"/>
          <w:color w:val="auto"/>
          <w:sz w:val="24"/>
          <w:szCs w:val="24"/>
          <w:highlight w:val="none"/>
        </w:rPr>
        <w:t>可以由</w:t>
      </w:r>
      <w:r>
        <w:rPr>
          <w:rFonts w:hint="eastAsia" w:ascii="宋体" w:hAnsi="宋体" w:eastAsia="宋体" w:cs="宋体"/>
          <w:strike w:val="0"/>
          <w:color w:val="auto"/>
          <w:sz w:val="24"/>
          <w:szCs w:val="24"/>
          <w:highlight w:val="none"/>
          <w:lang w:eastAsia="zh-CN"/>
        </w:rPr>
        <w:t>主办方</w:t>
      </w:r>
      <w:r>
        <w:rPr>
          <w:rFonts w:hint="eastAsia" w:ascii="宋体" w:hAnsi="宋体" w:eastAsia="宋体" w:cs="宋体"/>
          <w:strike w:val="0"/>
          <w:color w:val="auto"/>
          <w:sz w:val="24"/>
          <w:szCs w:val="24"/>
          <w:highlight w:val="none"/>
        </w:rPr>
        <w:t>递交，并应符合投标人须知前附表的规定</w:t>
      </w:r>
      <w:r>
        <w:rPr>
          <w:rFonts w:hint="eastAsia" w:ascii="宋体" w:hAnsi="宋体" w:eastAsia="宋体" w:cs="宋体"/>
          <w:strike w:val="0"/>
          <w:color w:val="auto"/>
          <w:sz w:val="24"/>
          <w:szCs w:val="24"/>
          <w:highlight w:val="none"/>
          <w:lang w:eastAsia="zh-CN"/>
        </w:rPr>
        <w:t>。</w:t>
      </w:r>
    </w:p>
    <w:p w14:paraId="276C65AA">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3.4.2 </w:t>
      </w:r>
      <w:r>
        <w:rPr>
          <w:rFonts w:hint="eastAsia" w:ascii="宋体" w:hAnsi="宋体" w:eastAsia="宋体" w:cs="宋体"/>
          <w:color w:val="auto"/>
          <w:sz w:val="24"/>
          <w:szCs w:val="24"/>
          <w:highlight w:val="none"/>
          <w:lang w:eastAsia="zh-CN"/>
        </w:rPr>
        <w:t>开标时投标人没有按</w:t>
      </w:r>
      <w:r>
        <w:rPr>
          <w:rFonts w:hint="eastAsia" w:ascii="宋体" w:hAnsi="宋体" w:eastAsia="宋体" w:cs="宋体"/>
          <w:color w:val="auto"/>
          <w:sz w:val="24"/>
          <w:szCs w:val="24"/>
          <w:highlight w:val="none"/>
        </w:rPr>
        <w:t>要求提交投标保证金的，</w:t>
      </w:r>
      <w:r>
        <w:rPr>
          <w:rFonts w:hint="eastAsia" w:ascii="宋体" w:hAnsi="宋体" w:eastAsia="宋体" w:cs="宋体"/>
          <w:color w:val="auto"/>
          <w:sz w:val="24"/>
          <w:szCs w:val="24"/>
          <w:highlight w:val="none"/>
          <w:lang w:eastAsia="zh-CN"/>
        </w:rPr>
        <w:t>其投标文件将被否决</w:t>
      </w:r>
      <w:r>
        <w:rPr>
          <w:rFonts w:hint="eastAsia" w:ascii="宋体" w:hAnsi="宋体" w:eastAsia="宋体" w:cs="宋体"/>
          <w:color w:val="auto"/>
          <w:sz w:val="24"/>
          <w:szCs w:val="24"/>
          <w:highlight w:val="none"/>
        </w:rPr>
        <w:t>。</w:t>
      </w:r>
    </w:p>
    <w:p w14:paraId="665E9B42">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 中标候选人以外的投标人的投标保证金将尽快退还，最迟不超过中标通知书发出之日起五日内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中标人和其他中标候选人的投标保证金，在书面合同订立之日起五日内予以退还。</w:t>
      </w:r>
    </w:p>
    <w:p w14:paraId="02A5F235">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 有下列情形之一的，投标保证金将不予退还：</w:t>
      </w:r>
    </w:p>
    <w:p w14:paraId="5D7DABB5">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投标人在规定的投标有效期内撤</w:t>
      </w:r>
      <w:r>
        <w:rPr>
          <w:rFonts w:hint="eastAsia" w:ascii="宋体" w:hAnsi="宋体" w:eastAsia="宋体" w:cs="宋体"/>
          <w:color w:val="auto"/>
          <w:sz w:val="24"/>
          <w:szCs w:val="24"/>
          <w:highlight w:val="none"/>
          <w:lang w:eastAsia="zh-CN"/>
        </w:rPr>
        <w:t>销</w:t>
      </w:r>
      <w:r>
        <w:rPr>
          <w:rFonts w:hint="eastAsia" w:ascii="宋体" w:hAnsi="宋体" w:eastAsia="宋体" w:cs="宋体"/>
          <w:color w:val="auto"/>
          <w:sz w:val="24"/>
          <w:szCs w:val="24"/>
          <w:highlight w:val="none"/>
        </w:rPr>
        <w:t>其投标文件；</w:t>
      </w:r>
    </w:p>
    <w:p w14:paraId="422F55B5">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中标人在收到中标通知书后，无正当理由不与招标人订立合同，在签订合同时向招标 人提出附加条件，或者不按照招标文件要求提交履约保证金</w:t>
      </w:r>
      <w:r>
        <w:rPr>
          <w:rFonts w:hint="eastAsia" w:ascii="宋体" w:hAnsi="宋体" w:eastAsia="宋体" w:cs="宋体"/>
          <w:color w:val="auto"/>
          <w:sz w:val="24"/>
          <w:szCs w:val="24"/>
          <w:highlight w:val="none"/>
          <w:lang w:eastAsia="zh-CN"/>
        </w:rPr>
        <w:t>。</w:t>
      </w:r>
    </w:p>
    <w:p w14:paraId="6D121AA1">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投标人在招标过程存在弄虚作假行为、虚报资料情况的</w:t>
      </w:r>
      <w:r>
        <w:rPr>
          <w:rFonts w:hint="eastAsia" w:ascii="宋体" w:hAnsi="宋体" w:eastAsia="宋体" w:cs="宋体"/>
          <w:color w:val="auto"/>
          <w:sz w:val="24"/>
          <w:szCs w:val="24"/>
          <w:highlight w:val="none"/>
          <w:lang w:eastAsia="zh-CN"/>
        </w:rPr>
        <w:t>；</w:t>
      </w:r>
    </w:p>
    <w:p w14:paraId="20DD1D28">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（4）投标人有串通投标或行贿等违法行为。</w:t>
      </w:r>
    </w:p>
    <w:p w14:paraId="2AB71C3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64" w:name="bookmark44"/>
      <w:bookmarkEnd w:id="64"/>
      <w:bookmarkStart w:id="65" w:name="bookmark43"/>
      <w:bookmarkEnd w:id="65"/>
      <w:r>
        <w:rPr>
          <w:rFonts w:hint="eastAsia" w:ascii="宋体" w:hAnsi="宋体" w:eastAsia="宋体" w:cs="宋体"/>
          <w:color w:val="auto"/>
          <w:highlight w:val="none"/>
        </w:rPr>
        <w:t>3.5 资格审查资料</w:t>
      </w:r>
    </w:p>
    <w:p w14:paraId="03FC8408">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除投标人须知前附表另有规定外，投标人应按下列规定提供资格审查资料，以证明其满足本章第 1.4 款规定的资质、财务、业绩、信誉等要求。</w:t>
      </w:r>
    </w:p>
    <w:p w14:paraId="71C1E8C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3.5.1事业单位登记管理部门核发的事业单位法人证书或工商行政（或市场监督）管理部门核发的企业法人营业执照；</w:t>
      </w:r>
    </w:p>
    <w:p w14:paraId="4FABDD5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3.5.2</w:t>
      </w:r>
      <w:r>
        <w:rPr>
          <w:rFonts w:hint="eastAsia" w:ascii="宋体" w:hAnsi="宋体" w:cs="宋体"/>
          <w:color w:val="auto"/>
          <w:sz w:val="24"/>
          <w:szCs w:val="24"/>
          <w:highlight w:val="none"/>
          <w:lang w:val="en-US" w:eastAsia="zh-CN"/>
        </w:rPr>
        <w:t>投标人基本情况表”应附投标人事业单位登记管理部门核发的事业单位法人证书或营业执照副本及其年检合格的证明材料、建设行政主管部门颁发的建设工程质量检测机构资质证书、质量技术监督部门颁发的CMA计量认证合格证书以及其他相关资料的扫描件</w:t>
      </w:r>
      <w:r>
        <w:rPr>
          <w:rFonts w:hint="eastAsia" w:ascii="宋体" w:hAnsi="宋体" w:cs="宋体"/>
          <w:color w:val="auto"/>
          <w:sz w:val="24"/>
          <w:szCs w:val="24"/>
          <w:highlight w:val="none"/>
        </w:rPr>
        <w:t>；</w:t>
      </w:r>
    </w:p>
    <w:p w14:paraId="2710E6D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 xml:space="preserve">3.5.3 </w:t>
      </w:r>
      <w:r>
        <w:rPr>
          <w:rFonts w:hint="default" w:cs="Times New Roman"/>
          <w:color w:val="auto"/>
          <w:sz w:val="24"/>
          <w:szCs w:val="24"/>
          <w:highlight w:val="none"/>
        </w:rPr>
        <w:t>投标人须知前附表规定接受联合体投标的，本章第3.5.1 项至第3.5.</w:t>
      </w:r>
      <w:r>
        <w:rPr>
          <w:rFonts w:hint="eastAsia" w:cs="Times New Roman"/>
          <w:color w:val="auto"/>
          <w:sz w:val="24"/>
          <w:szCs w:val="24"/>
          <w:highlight w:val="none"/>
          <w:lang w:val="en-US" w:eastAsia="zh-CN"/>
        </w:rPr>
        <w:t>2</w:t>
      </w:r>
      <w:r>
        <w:rPr>
          <w:rFonts w:hint="default" w:cs="Times New Roman"/>
          <w:color w:val="auto"/>
          <w:sz w:val="24"/>
          <w:szCs w:val="24"/>
          <w:highlight w:val="none"/>
        </w:rPr>
        <w:t>项规定的表格和资料应包括联合体各方相关情况</w:t>
      </w:r>
      <w:r>
        <w:rPr>
          <w:rFonts w:hint="eastAsia" w:cs="Times New Roman"/>
          <w:color w:val="auto"/>
          <w:sz w:val="24"/>
          <w:szCs w:val="24"/>
          <w:highlight w:val="none"/>
          <w:lang w:eastAsia="zh-CN"/>
        </w:rPr>
        <w:t>；</w:t>
      </w:r>
    </w:p>
    <w:p w14:paraId="38B3312C">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3.5.</w:t>
      </w:r>
      <w:r>
        <w:rPr>
          <w:rFonts w:hint="eastAsia" w:cs="宋体"/>
          <w:color w:val="auto"/>
          <w:sz w:val="24"/>
          <w:szCs w:val="24"/>
          <w:highlight w:val="none"/>
          <w:lang w:val="en-US" w:eastAsia="zh-CN"/>
        </w:rPr>
        <w:t>4</w:t>
      </w:r>
      <w:r>
        <w:rPr>
          <w:rFonts w:hint="eastAsia" w:ascii="宋体" w:hAnsi="宋体" w:cs="宋体"/>
          <w:color w:val="auto"/>
          <w:sz w:val="24"/>
          <w:szCs w:val="24"/>
          <w:highlight w:val="none"/>
        </w:rPr>
        <w:t>投标人认为需提供的其他材料。</w:t>
      </w:r>
    </w:p>
    <w:p w14:paraId="2D62835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66" w:name="bookmark45"/>
      <w:bookmarkEnd w:id="66"/>
      <w:r>
        <w:rPr>
          <w:rFonts w:hint="eastAsia" w:ascii="宋体" w:hAnsi="宋体" w:eastAsia="宋体" w:cs="宋体"/>
          <w:color w:val="auto"/>
          <w:highlight w:val="none"/>
        </w:rPr>
        <w:t>3.6 备选投标方案</w:t>
      </w:r>
    </w:p>
    <w:p w14:paraId="4E530568">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除投标人须知前附表规定允许外，投标人不得递交备选投标方案，否则其投标将被否决。</w:t>
      </w:r>
    </w:p>
    <w:p w14:paraId="7C89E27A">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40EFA8E8">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3.6.3 </w:t>
      </w:r>
      <w:r>
        <w:rPr>
          <w:rFonts w:hint="eastAsia" w:ascii="宋体" w:hAnsi="宋体" w:cs="宋体"/>
          <w:color w:val="auto"/>
          <w:sz w:val="24"/>
          <w:szCs w:val="24"/>
          <w:highlight w:val="none"/>
          <w:lang w:bidi="ar"/>
        </w:rPr>
        <w:t>投标人提供两个或两个以上投标报价，或者在投标文件中提供一个报价，但同时提供两个或两个以上</w:t>
      </w:r>
      <w:r>
        <w:rPr>
          <w:rFonts w:hint="eastAsia" w:ascii="宋体" w:hAnsi="宋体" w:cs="宋体"/>
          <w:color w:val="auto"/>
          <w:sz w:val="24"/>
          <w:szCs w:val="24"/>
          <w:highlight w:val="none"/>
          <w:lang w:val="en-US" w:eastAsia="zh-CN" w:bidi="ar"/>
        </w:rPr>
        <w:t>技术</w:t>
      </w:r>
      <w:r>
        <w:rPr>
          <w:rFonts w:hint="eastAsia" w:ascii="宋体" w:hAnsi="宋体" w:cs="宋体"/>
          <w:color w:val="auto"/>
          <w:sz w:val="24"/>
          <w:szCs w:val="24"/>
          <w:highlight w:val="none"/>
          <w:lang w:bidi="ar"/>
        </w:rPr>
        <w:t>服务方案的，视为提供备选方案。</w:t>
      </w:r>
    </w:p>
    <w:p w14:paraId="39186CAB">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67" w:name="bookmark46"/>
      <w:bookmarkEnd w:id="67"/>
      <w:r>
        <w:rPr>
          <w:rFonts w:hint="eastAsia" w:ascii="宋体" w:hAnsi="宋体" w:eastAsia="宋体" w:cs="宋体"/>
          <w:color w:val="auto"/>
          <w:highlight w:val="none"/>
        </w:rPr>
        <w:t>3.7 投标文件的编制</w:t>
      </w:r>
    </w:p>
    <w:p w14:paraId="49128D19">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投标文件应按第六章“投标文件格式”进行编写，如有必要，可以增加附页，作为投标文件的组成部分。其中，投标函附录在满足招标文件实质性要求的基础上，可以提出比招标文件要求更有利于招标人的承诺。</w:t>
      </w:r>
    </w:p>
    <w:p w14:paraId="1D48F2B8">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  投标文件应当对招标文件有关服务期限、投标有效期、委托人要求、招标范围等实质性内容作出响应。</w:t>
      </w:r>
    </w:p>
    <w:p w14:paraId="4BEC925D">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投标文件全部采用电子文档，投标文件所附证书证件均为原件扫描件</w:t>
      </w:r>
      <w:r>
        <w:rPr>
          <w:rFonts w:hint="eastAsia" w:ascii="宋体" w:hAnsi="宋体" w:eastAsia="宋体" w:cs="宋体"/>
          <w:color w:val="auto"/>
          <w:sz w:val="24"/>
          <w:szCs w:val="24"/>
          <w:highlight w:val="none"/>
          <w:lang w:eastAsia="zh-CN"/>
        </w:rPr>
        <w:t>或电子证书</w:t>
      </w:r>
      <w:r>
        <w:rPr>
          <w:rFonts w:hint="eastAsia" w:ascii="宋体" w:hAnsi="宋体" w:eastAsia="宋体" w:cs="宋体"/>
          <w:color w:val="auto"/>
          <w:sz w:val="24"/>
          <w:szCs w:val="24"/>
          <w:highlight w:val="none"/>
        </w:rPr>
        <w:t>，并采用单位数字证书，按招标文件要求在相应位置加盖电子印章。投标文件中需个人签字或盖章的，应加盖个人电子印章或在线下完成后扫描上传</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可靠的电子签名与手写签名或者盖章具有同等的法律效力</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广州交易集团有限公司（广州公共资源交易中心）网站关于全流程电子化项目的相关指南进行操作</w:t>
      </w:r>
      <w:r>
        <w:rPr>
          <w:rFonts w:hint="eastAsia" w:ascii="宋体" w:hAnsi="宋体" w:eastAsia="宋体" w:cs="宋体"/>
          <w:color w:val="auto"/>
          <w:sz w:val="24"/>
          <w:szCs w:val="24"/>
          <w:highlight w:val="none"/>
        </w:rPr>
        <w:t>。</w:t>
      </w:r>
    </w:p>
    <w:p w14:paraId="3609A6B8">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3.</w:t>
      </w:r>
      <w:r>
        <w:rPr>
          <w:rFonts w:hint="eastAsia" w:ascii="宋体" w:hAnsi="宋体" w:eastAsia="宋体" w:cs="宋体"/>
          <w:strike w:val="0"/>
          <w:color w:val="auto"/>
          <w:sz w:val="24"/>
          <w:szCs w:val="24"/>
          <w:highlight w:val="none"/>
          <w:lang w:val="en-US" w:eastAsia="zh-CN"/>
        </w:rPr>
        <w:t>7</w:t>
      </w:r>
      <w:r>
        <w:rPr>
          <w:rFonts w:hint="eastAsia" w:ascii="宋体" w:hAnsi="宋体" w:eastAsia="宋体" w:cs="宋体"/>
          <w:strike w:val="0"/>
          <w:color w:val="auto"/>
          <w:sz w:val="24"/>
          <w:szCs w:val="24"/>
          <w:highlight w:val="none"/>
        </w:rPr>
        <w:t>.</w:t>
      </w:r>
      <w:r>
        <w:rPr>
          <w:rFonts w:hint="eastAsia" w:ascii="宋体" w:hAnsi="宋体" w:eastAsia="宋体" w:cs="宋体"/>
          <w:strike w:val="0"/>
          <w:color w:val="auto"/>
          <w:sz w:val="24"/>
          <w:szCs w:val="24"/>
          <w:highlight w:val="none"/>
          <w:lang w:val="en-US" w:eastAsia="zh-CN"/>
        </w:rPr>
        <w:t xml:space="preserve">4  </w:t>
      </w:r>
      <w:r>
        <w:rPr>
          <w:rFonts w:hint="eastAsia" w:ascii="宋体" w:hAnsi="宋体" w:eastAsia="宋体" w:cs="宋体"/>
          <w:strike w:val="0"/>
          <w:color w:val="auto"/>
          <w:sz w:val="24"/>
          <w:szCs w:val="24"/>
          <w:highlight w:val="none"/>
        </w:rPr>
        <w:t>联合体投标时，</w:t>
      </w:r>
      <w:r>
        <w:rPr>
          <w:rFonts w:hint="eastAsia" w:ascii="宋体" w:hAnsi="宋体" w:eastAsia="宋体" w:cs="宋体"/>
          <w:strike w:val="0"/>
          <w:color w:val="auto"/>
          <w:sz w:val="24"/>
          <w:szCs w:val="24"/>
          <w:highlight w:val="none"/>
          <w:lang w:eastAsia="zh-CN"/>
        </w:rPr>
        <w:t>投标人封面及其他内容落款中的“投标人”应填写联合体各方的单位全称【格式为：（主）XXXX公司（成）XXXX公司】。除</w:t>
      </w:r>
      <w:r>
        <w:rPr>
          <w:rFonts w:hint="eastAsia" w:ascii="宋体" w:hAnsi="宋体" w:eastAsia="宋体" w:cs="宋体"/>
          <w:strike w:val="0"/>
          <w:color w:val="auto"/>
          <w:sz w:val="24"/>
          <w:szCs w:val="24"/>
          <w:highlight w:val="none"/>
        </w:rPr>
        <w:t>联合体共同投标协议需联合体各方按要求共同盖章签字，其余可由联合体</w:t>
      </w:r>
      <w:r>
        <w:rPr>
          <w:rFonts w:hint="eastAsia" w:ascii="宋体" w:hAnsi="宋体" w:eastAsia="宋体" w:cs="宋体"/>
          <w:strike w:val="0"/>
          <w:color w:val="auto"/>
          <w:sz w:val="24"/>
          <w:szCs w:val="24"/>
          <w:highlight w:val="none"/>
          <w:lang w:eastAsia="zh-CN"/>
        </w:rPr>
        <w:t>主办方</w:t>
      </w:r>
      <w:r>
        <w:rPr>
          <w:rFonts w:hint="eastAsia" w:ascii="宋体" w:hAnsi="宋体" w:eastAsia="宋体" w:cs="宋体"/>
          <w:strike w:val="0"/>
          <w:color w:val="auto"/>
          <w:sz w:val="24"/>
          <w:szCs w:val="24"/>
          <w:highlight w:val="none"/>
        </w:rPr>
        <w:t>签字、盖章即可，由联合体</w:t>
      </w:r>
      <w:r>
        <w:rPr>
          <w:rFonts w:hint="eastAsia" w:ascii="宋体" w:hAnsi="宋体" w:eastAsia="宋体" w:cs="宋体"/>
          <w:strike w:val="0"/>
          <w:color w:val="auto"/>
          <w:sz w:val="24"/>
          <w:szCs w:val="24"/>
          <w:highlight w:val="none"/>
          <w:lang w:eastAsia="zh-CN"/>
        </w:rPr>
        <w:t>主办方</w:t>
      </w:r>
      <w:r>
        <w:rPr>
          <w:rFonts w:hint="eastAsia" w:ascii="宋体" w:hAnsi="宋体" w:eastAsia="宋体" w:cs="宋体"/>
          <w:strike w:val="0"/>
          <w:color w:val="auto"/>
          <w:sz w:val="24"/>
          <w:szCs w:val="24"/>
          <w:highlight w:val="none"/>
        </w:rPr>
        <w:t>法人签字的电子投标文件需提供</w:t>
      </w:r>
      <w:r>
        <w:rPr>
          <w:rFonts w:hint="eastAsia" w:ascii="宋体" w:hAnsi="宋体" w:eastAsia="宋体" w:cs="宋体"/>
          <w:strike w:val="0"/>
          <w:color w:val="auto"/>
          <w:sz w:val="24"/>
          <w:szCs w:val="24"/>
          <w:highlight w:val="none"/>
          <w:lang w:eastAsia="zh-CN"/>
        </w:rPr>
        <w:t>主办方</w:t>
      </w:r>
      <w:r>
        <w:rPr>
          <w:rFonts w:hint="eastAsia" w:ascii="宋体" w:hAnsi="宋体" w:eastAsia="宋体" w:cs="宋体"/>
          <w:strike w:val="0"/>
          <w:color w:val="auto"/>
          <w:sz w:val="24"/>
          <w:szCs w:val="24"/>
          <w:highlight w:val="none"/>
        </w:rPr>
        <w:t>法定代表人证明书，若由联合体</w:t>
      </w:r>
      <w:r>
        <w:rPr>
          <w:rFonts w:hint="eastAsia" w:ascii="宋体" w:hAnsi="宋体" w:eastAsia="宋体" w:cs="宋体"/>
          <w:strike w:val="0"/>
          <w:color w:val="auto"/>
          <w:sz w:val="24"/>
          <w:szCs w:val="24"/>
          <w:highlight w:val="none"/>
          <w:lang w:eastAsia="zh-CN"/>
        </w:rPr>
        <w:t>主办方</w:t>
      </w:r>
      <w:r>
        <w:rPr>
          <w:rFonts w:hint="eastAsia" w:ascii="宋体" w:hAnsi="宋体" w:eastAsia="宋体" w:cs="宋体"/>
          <w:strike w:val="0"/>
          <w:color w:val="auto"/>
          <w:sz w:val="24"/>
          <w:szCs w:val="24"/>
          <w:highlight w:val="none"/>
        </w:rPr>
        <w:t>法定代表人授权签字的电子投标文件需提供法定代表人证明书及其授权委托书、授权委托人身份证</w:t>
      </w:r>
      <w:r>
        <w:rPr>
          <w:rFonts w:hint="eastAsia" w:ascii="宋体" w:hAnsi="宋体" w:eastAsia="宋体" w:cs="宋体"/>
          <w:strike w:val="0"/>
          <w:color w:val="auto"/>
          <w:sz w:val="24"/>
          <w:szCs w:val="24"/>
          <w:highlight w:val="none"/>
          <w:lang w:eastAsia="zh-CN"/>
        </w:rPr>
        <w:t>扫描</w:t>
      </w:r>
      <w:r>
        <w:rPr>
          <w:rFonts w:hint="eastAsia" w:ascii="宋体" w:hAnsi="宋体" w:eastAsia="宋体" w:cs="宋体"/>
          <w:strike w:val="0"/>
          <w:color w:val="auto"/>
          <w:sz w:val="24"/>
          <w:szCs w:val="24"/>
          <w:highlight w:val="none"/>
        </w:rPr>
        <w:t>件。</w:t>
      </w:r>
    </w:p>
    <w:p w14:paraId="4EE1EFAC">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lang w:eastAsia="zh-CN"/>
        </w:rPr>
        <w:t>投标文件应按照广州交易集团有限公司（广州公共资源交易中心）网站关于全流程电子化项目的相关指南进行编制。如因不按上述编排要求编制而所引起系统无法检索、读取相关信息时，其后果将由投标人自行承担。</w:t>
      </w:r>
    </w:p>
    <w:p w14:paraId="2481D3D5">
      <w:pPr>
        <w:pStyle w:val="7"/>
        <w:outlineLvl w:val="1"/>
        <w:rPr>
          <w:rFonts w:hint="eastAsia" w:ascii="宋体" w:hAnsi="宋体" w:eastAsia="宋体" w:cs="宋体"/>
          <w:color w:val="auto"/>
          <w:sz w:val="24"/>
          <w:szCs w:val="24"/>
          <w:highlight w:val="none"/>
        </w:rPr>
      </w:pPr>
      <w:bookmarkStart w:id="68" w:name="bookmark47"/>
      <w:bookmarkEnd w:id="68"/>
      <w:bookmarkStart w:id="69" w:name="_Toc18372"/>
      <w:r>
        <w:rPr>
          <w:rFonts w:hint="eastAsia" w:ascii="宋体" w:hAnsi="宋体" w:eastAsia="宋体" w:cs="宋体"/>
          <w:color w:val="auto"/>
          <w:sz w:val="24"/>
          <w:szCs w:val="24"/>
          <w:highlight w:val="none"/>
        </w:rPr>
        <w:t>4.投标</w:t>
      </w:r>
      <w:bookmarkEnd w:id="69"/>
    </w:p>
    <w:p w14:paraId="5B4E1C59">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lang w:val="en-US" w:eastAsia="zh-CN"/>
        </w:rPr>
      </w:pPr>
      <w:bookmarkStart w:id="70" w:name="bookmark48"/>
      <w:bookmarkEnd w:id="70"/>
      <w:r>
        <w:rPr>
          <w:rFonts w:hint="eastAsia" w:ascii="宋体" w:hAnsi="宋体" w:eastAsia="宋体" w:cs="宋体"/>
          <w:color w:val="auto"/>
          <w:highlight w:val="none"/>
        </w:rPr>
        <w:t>4.1  投标文件的</w:t>
      </w:r>
      <w:r>
        <w:rPr>
          <w:rFonts w:hint="eastAsia" w:ascii="宋体" w:hAnsi="宋体" w:eastAsia="宋体" w:cs="宋体"/>
          <w:color w:val="auto"/>
          <w:highlight w:val="none"/>
          <w:lang w:val="en-US" w:eastAsia="zh-CN"/>
        </w:rPr>
        <w:t>加密</w:t>
      </w:r>
    </w:p>
    <w:p w14:paraId="60AC9812">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bookmarkStart w:id="71" w:name="bookmark49"/>
      <w:bookmarkEnd w:id="71"/>
      <w:r>
        <w:rPr>
          <w:rFonts w:hint="eastAsia" w:ascii="宋体" w:hAnsi="宋体" w:eastAsia="宋体" w:cs="宋体"/>
          <w:color w:val="auto"/>
          <w:sz w:val="24"/>
          <w:szCs w:val="24"/>
          <w:highlight w:val="none"/>
        </w:rPr>
        <w:t xml:space="preserve">4.1.1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递交的电子投标文件（不含备用光盘）必须进行加密。按照</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关于全流程电子化项目的相关指南进行操作。</w:t>
      </w:r>
    </w:p>
    <w:p w14:paraId="61E45768">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  未按要求加密的投标文件，</w:t>
      </w:r>
      <w:r>
        <w:rPr>
          <w:rFonts w:hint="eastAsia" w:ascii="宋体" w:hAnsi="宋体" w:eastAsia="宋体" w:cs="宋体"/>
          <w:color w:val="auto"/>
          <w:sz w:val="24"/>
          <w:szCs w:val="24"/>
          <w:highlight w:val="none"/>
          <w:lang w:eastAsia="zh-CN"/>
        </w:rPr>
        <w:t>广州交易集团有限公司（广州公共资源交易中心）网站交易</w:t>
      </w:r>
      <w:r>
        <w:rPr>
          <w:rFonts w:hint="eastAsia" w:ascii="宋体" w:hAnsi="宋体" w:eastAsia="宋体" w:cs="宋体"/>
          <w:color w:val="auto"/>
          <w:sz w:val="24"/>
          <w:szCs w:val="24"/>
          <w:highlight w:val="none"/>
        </w:rPr>
        <w:t>平台将予以拒收。</w:t>
      </w:r>
    </w:p>
    <w:p w14:paraId="353E30C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4.2  投标文件的递交</w:t>
      </w:r>
    </w:p>
    <w:p w14:paraId="4A04E086">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bookmarkStart w:id="72" w:name="bookmark50"/>
      <w:bookmarkEnd w:id="72"/>
      <w:r>
        <w:rPr>
          <w:rFonts w:hint="eastAsia" w:ascii="宋体" w:hAnsi="宋体" w:eastAsia="宋体" w:cs="宋体"/>
          <w:color w:val="auto"/>
          <w:sz w:val="24"/>
          <w:szCs w:val="24"/>
          <w:highlight w:val="none"/>
        </w:rPr>
        <w:t>4.2.1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应在投标人须知前附表规定的投标截止时间前，</w:t>
      </w:r>
      <w:r>
        <w:rPr>
          <w:rFonts w:hint="eastAsia" w:ascii="宋体" w:hAnsi="宋体" w:eastAsia="宋体" w:cs="宋体"/>
          <w:color w:val="auto"/>
          <w:sz w:val="24"/>
          <w:szCs w:val="24"/>
          <w:highlight w:val="none"/>
        </w:rPr>
        <w:t>通过</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交易平台递交电子投标文件。</w:t>
      </w:r>
    </w:p>
    <w:p w14:paraId="562C7898">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投标人完成电子投标文件上传后，</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交易平台即时向投标人发出递交回执通知。递交时间以递交回执通知载明的传输完成时间为准。</w:t>
      </w:r>
    </w:p>
    <w:p w14:paraId="2D141861">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逾期送达的电子投标文件，</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交易平台将予以拒收。</w:t>
      </w:r>
    </w:p>
    <w:p w14:paraId="0836101A">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4.2.4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投标截止前，招标人拒绝接收符合条件的投标文件，投标人可向招标监督机构投诉</w:t>
      </w:r>
      <w:r>
        <w:rPr>
          <w:rFonts w:hint="eastAsia" w:ascii="宋体" w:hAnsi="宋体" w:eastAsia="宋体" w:cs="宋体"/>
          <w:color w:val="auto"/>
          <w:sz w:val="24"/>
          <w:szCs w:val="24"/>
          <w:highlight w:val="none"/>
          <w:lang w:eastAsia="zh-CN"/>
        </w:rPr>
        <w:t>。</w:t>
      </w:r>
      <w:bookmarkStart w:id="73" w:name="_bookmark83"/>
      <w:bookmarkEnd w:id="73"/>
    </w:p>
    <w:p w14:paraId="76CC7F3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4.3  投标文件的修改与撤回</w:t>
      </w:r>
    </w:p>
    <w:p w14:paraId="753F0C0A">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  在规定的投标截止时间前， 投标人可以修改或撤回已递交的投标文件， 但应以书面形式通知招标人。</w:t>
      </w:r>
    </w:p>
    <w:p w14:paraId="484A19CD">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  投标人修改或撤回已递交投标文件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需在交易平台发出修改或撤回通知，并按要求加盖电子印章</w:t>
      </w:r>
      <w:r>
        <w:rPr>
          <w:rFonts w:hint="eastAsia" w:ascii="宋体" w:hAnsi="宋体" w:eastAsia="宋体" w:cs="宋体"/>
          <w:color w:val="auto"/>
          <w:sz w:val="24"/>
          <w:szCs w:val="24"/>
          <w:highlight w:val="none"/>
        </w:rPr>
        <w:t>。电子招标投标交易平台收到通知后，即时向投标人发出确认回执通知。</w:t>
      </w:r>
    </w:p>
    <w:p w14:paraId="3227FB79">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4.3.3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修改后再次递交的，按第</w:t>
      </w:r>
      <w:r>
        <w:rPr>
          <w:rFonts w:hint="eastAsia" w:ascii="宋体" w:hAnsi="宋体" w:eastAsia="宋体" w:cs="宋体"/>
          <w:color w:val="auto"/>
          <w:sz w:val="24"/>
          <w:szCs w:val="24"/>
          <w:highlight w:val="none"/>
          <w:lang w:val="en-US" w:eastAsia="zh-CN"/>
        </w:rPr>
        <w:t>4.2项的规定执行</w:t>
      </w:r>
      <w:r>
        <w:rPr>
          <w:rFonts w:hint="eastAsia" w:ascii="宋体" w:hAnsi="宋体" w:eastAsia="宋体" w:cs="宋体"/>
          <w:color w:val="auto"/>
          <w:sz w:val="24"/>
          <w:szCs w:val="24"/>
          <w:highlight w:val="none"/>
        </w:rPr>
        <w:t>。</w:t>
      </w:r>
    </w:p>
    <w:p w14:paraId="7A0A7DA3">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在投标截止时间之后，投标人不得补充、修改和更换投标文件。</w:t>
      </w:r>
    </w:p>
    <w:p w14:paraId="39938AD5">
      <w:pPr>
        <w:pStyle w:val="7"/>
        <w:outlineLvl w:val="1"/>
        <w:rPr>
          <w:rFonts w:hint="eastAsia" w:ascii="宋体" w:hAnsi="宋体" w:eastAsia="宋体" w:cs="宋体"/>
          <w:color w:val="auto"/>
          <w:sz w:val="24"/>
          <w:szCs w:val="24"/>
          <w:highlight w:val="none"/>
        </w:rPr>
      </w:pPr>
      <w:bookmarkStart w:id="74" w:name="bookmark51"/>
      <w:bookmarkEnd w:id="74"/>
      <w:bookmarkStart w:id="75" w:name="_Toc19841"/>
      <w:r>
        <w:rPr>
          <w:rFonts w:hint="eastAsia" w:ascii="宋体" w:hAnsi="宋体" w:eastAsia="宋体" w:cs="宋体"/>
          <w:color w:val="auto"/>
          <w:sz w:val="24"/>
          <w:szCs w:val="24"/>
          <w:highlight w:val="none"/>
        </w:rPr>
        <w:t>5.开标</w:t>
      </w:r>
      <w:bookmarkEnd w:id="75"/>
    </w:p>
    <w:p w14:paraId="06F079D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76" w:name="bookmark52"/>
      <w:bookmarkEnd w:id="76"/>
      <w:bookmarkStart w:id="77" w:name="bookmark53"/>
      <w:bookmarkEnd w:id="77"/>
      <w:r>
        <w:rPr>
          <w:rFonts w:hint="eastAsia" w:ascii="宋体" w:hAnsi="宋体" w:eastAsia="宋体" w:cs="宋体"/>
          <w:color w:val="auto"/>
          <w:highlight w:val="none"/>
        </w:rPr>
        <w:t>5.1 开标时间和地点</w:t>
      </w:r>
    </w:p>
    <w:p w14:paraId="6491C9A5">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bookmarkStart w:id="78" w:name="bookmark54"/>
      <w:bookmarkEnd w:id="78"/>
      <w:r>
        <w:rPr>
          <w:rFonts w:hint="eastAsia" w:ascii="宋体" w:hAnsi="宋体" w:eastAsia="宋体" w:cs="宋体"/>
          <w:color w:val="auto"/>
          <w:sz w:val="24"/>
          <w:szCs w:val="24"/>
          <w:highlight w:val="none"/>
          <w:lang w:val="en-US" w:eastAsia="zh-CN"/>
        </w:rPr>
        <w:t xml:space="preserve">5.1.1  </w:t>
      </w:r>
      <w:r>
        <w:rPr>
          <w:rFonts w:hint="eastAsia" w:ascii="宋体" w:hAnsi="宋体" w:eastAsia="宋体" w:cs="宋体"/>
          <w:color w:val="auto"/>
          <w:sz w:val="24"/>
          <w:szCs w:val="24"/>
          <w:highlight w:val="none"/>
          <w:lang w:eastAsia="zh-CN"/>
        </w:rPr>
        <w:t>招标人按投标须知前附表规定的时间和地点公开开标。截标后，开标开始时间因故推迟的，相关评标信息仍以原定的开标开始时间的信息为准。</w:t>
      </w:r>
    </w:p>
    <w:p w14:paraId="245BFA7F">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5.1.2  </w:t>
      </w:r>
      <w:r>
        <w:rPr>
          <w:rFonts w:hint="eastAsia" w:ascii="宋体" w:hAnsi="宋体" w:eastAsia="宋体" w:cs="宋体"/>
          <w:color w:val="auto"/>
          <w:sz w:val="24"/>
          <w:szCs w:val="24"/>
          <w:highlight w:val="none"/>
          <w:lang w:eastAsia="zh-CN"/>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5EE9EA76">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5.2 开标程序</w:t>
      </w:r>
    </w:p>
    <w:p w14:paraId="12246506">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bookmarkStart w:id="79" w:name="bookmark55"/>
      <w:bookmarkEnd w:id="79"/>
      <w:r>
        <w:rPr>
          <w:rFonts w:hint="eastAsia" w:ascii="宋体" w:hAnsi="宋体" w:eastAsia="宋体" w:cs="宋体"/>
          <w:color w:val="auto"/>
          <w:sz w:val="24"/>
          <w:szCs w:val="24"/>
          <w:highlight w:val="none"/>
          <w:lang w:val="en-US" w:eastAsia="zh-CN"/>
        </w:rPr>
        <w:t>5.2.1   在投标截止时间后</w:t>
      </w:r>
      <w:r>
        <w:rPr>
          <w:rFonts w:hint="eastAsia" w:cs="宋体"/>
          <w:color w:val="auto"/>
          <w:sz w:val="24"/>
          <w:szCs w:val="24"/>
          <w:highlight w:val="none"/>
          <w:u w:val="single"/>
          <w:lang w:val="en-US" w:eastAsia="zh-CN"/>
        </w:rPr>
        <w:t>半</w:t>
      </w:r>
      <w:r>
        <w:rPr>
          <w:rFonts w:hint="eastAsia" w:ascii="宋体" w:hAnsi="宋体" w:eastAsia="宋体" w:cs="宋体"/>
          <w:color w:val="auto"/>
          <w:sz w:val="24"/>
          <w:szCs w:val="24"/>
          <w:highlight w:val="none"/>
          <w:u w:val="none"/>
          <w:lang w:val="en-US" w:eastAsia="zh-CN"/>
        </w:rPr>
        <w:t>个小时</w:t>
      </w:r>
      <w:r>
        <w:rPr>
          <w:rFonts w:hint="eastAsia" w:ascii="宋体" w:hAnsi="宋体" w:eastAsia="宋体" w:cs="宋体"/>
          <w:color w:val="auto"/>
          <w:sz w:val="24"/>
          <w:szCs w:val="24"/>
          <w:highlight w:val="none"/>
          <w:lang w:val="en-US" w:eastAsia="zh-CN"/>
        </w:rPr>
        <w:t>内，投标人通过递交投标文件的交易平台对已递交的电子投标文件进行解密。投标人完成解密后，再由招标人进行解密。解密完成后，公布招标项目名称、投标人名称、投标保证金的递交情况、投标报价、拟派项目负责人及其他内容。未在规定时间内解密的投标文件不参与开标、评标。</w:t>
      </w:r>
    </w:p>
    <w:p w14:paraId="15BE1325">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5.2.2  按开标记录表规定的内容进行唱标。</w:t>
      </w:r>
    </w:p>
    <w:p w14:paraId="69269B3E">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5.2.3  投标人代表、招标人代表、监标人、记录人等有关人员在开标记录上签字确认；若有关人员不签字的，不影响开标程序。</w:t>
      </w:r>
    </w:p>
    <w:p w14:paraId="49F4819D">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5.2.4  开标结束。</w:t>
      </w:r>
    </w:p>
    <w:p w14:paraId="6F55A2EB">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5.2.5  投标截止时间前未完成投标文件传输的或因投标人之外的原因造成投标文件未解密的，视为投标人撤回投标文件。因投标人原因造成投标文件未解密或未在规定的时间内解密的，视为撤销其投标文件。</w:t>
      </w:r>
    </w:p>
    <w:p w14:paraId="270A6B6A">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5.2.6  开标时，两个（含两个）以上的投标人加密打包投标文件电脑机器特征码一致的，不参与下一程序，并由评标委员会否决其投标。</w:t>
      </w:r>
    </w:p>
    <w:p w14:paraId="79A694B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5.3 开标异议</w:t>
      </w:r>
    </w:p>
    <w:p w14:paraId="3DE1CC0F">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5.3.1  参加现场开标的投标人对开标结果有异议的，应当在开标现场提出，招标人应当当场作出答复，并制作记录。</w:t>
      </w:r>
    </w:p>
    <w:p w14:paraId="24547ACC">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5.3.2  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620DABD2">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5.3.3  投标人未参加开标或在规定的时间内未提出异议的，视为对开标无异议。</w:t>
      </w:r>
    </w:p>
    <w:p w14:paraId="5E86CC2D">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5.3.4  异议成立的，招标人应当及时采取纠正措施，或者提交评标委员会评审确认；异议不成立的，招标人应当当场给予解释说明。招标人应当按照同一异议提起人一份记录的方式，对异议事项的处理应逐条进行书面记录，并由异议提起人、招标人签名确认。书面记录含义应清晰而明确，包括但不限于纠正的措施、解释说明的内容、相关依据等。招标人需将开标异议提交给评标委员会的评审确认时，评标委员会须进行评审确认，不得以任何理由拒绝。</w:t>
      </w:r>
    </w:p>
    <w:p w14:paraId="52597921">
      <w:pPr>
        <w:pStyle w:val="7"/>
        <w:outlineLvl w:val="1"/>
        <w:rPr>
          <w:rFonts w:hint="eastAsia" w:ascii="宋体" w:hAnsi="宋体" w:eastAsia="宋体" w:cs="宋体"/>
          <w:b w:val="0"/>
          <w:color w:val="auto"/>
          <w:sz w:val="30"/>
          <w:szCs w:val="24"/>
          <w:highlight w:val="none"/>
        </w:rPr>
      </w:pPr>
      <w:bookmarkStart w:id="80" w:name="bookmark56"/>
      <w:bookmarkEnd w:id="80"/>
      <w:bookmarkStart w:id="81" w:name="_Toc27326"/>
      <w:r>
        <w:rPr>
          <w:rFonts w:hint="eastAsia" w:ascii="宋体" w:hAnsi="宋体" w:eastAsia="宋体" w:cs="宋体"/>
          <w:color w:val="auto"/>
          <w:sz w:val="24"/>
          <w:szCs w:val="24"/>
          <w:highlight w:val="none"/>
        </w:rPr>
        <w:t>6.评标</w:t>
      </w:r>
      <w:bookmarkEnd w:id="81"/>
    </w:p>
    <w:p w14:paraId="2A2F808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82" w:name="bookmark57"/>
      <w:bookmarkEnd w:id="82"/>
      <w:r>
        <w:rPr>
          <w:rFonts w:hint="eastAsia" w:ascii="宋体" w:hAnsi="宋体" w:eastAsia="宋体" w:cs="宋体"/>
          <w:color w:val="auto"/>
          <w:highlight w:val="none"/>
        </w:rPr>
        <w:t>6.1 评标委员会</w:t>
      </w:r>
    </w:p>
    <w:p w14:paraId="455578EB">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评标由招标人依法组建的评标委员会负责。评标委员会由有关技术、经济等方面的专家和招标人代表组成，专家</w:t>
      </w:r>
      <w:r>
        <w:rPr>
          <w:rFonts w:hint="eastAsia" w:ascii="宋体" w:hAnsi="宋体" w:eastAsia="宋体" w:cs="宋体"/>
          <w:color w:val="auto"/>
          <w:sz w:val="24"/>
          <w:szCs w:val="24"/>
          <w:highlight w:val="none"/>
          <w:lang w:eastAsia="zh-CN"/>
        </w:rPr>
        <w:t>从</w:t>
      </w:r>
      <w:r>
        <w:rPr>
          <w:rFonts w:hint="eastAsia" w:ascii="宋体" w:hAnsi="宋体" w:eastAsia="宋体" w:cs="宋体"/>
          <w:color w:val="auto"/>
          <w:sz w:val="24"/>
          <w:szCs w:val="24"/>
          <w:highlight w:val="none"/>
          <w:u w:val="single"/>
          <w:lang w:eastAsia="zh-CN"/>
        </w:rPr>
        <w:t>广东省综合评标评审</w:t>
      </w:r>
      <w:r>
        <w:rPr>
          <w:rFonts w:hint="eastAsia" w:ascii="宋体" w:hAnsi="宋体" w:eastAsia="宋体" w:cs="宋体"/>
          <w:color w:val="auto"/>
          <w:sz w:val="24"/>
          <w:szCs w:val="24"/>
          <w:highlight w:val="none"/>
          <w:u w:val="single"/>
        </w:rPr>
        <w:t>专家库</w:t>
      </w:r>
      <w:r>
        <w:rPr>
          <w:rFonts w:hint="eastAsia" w:ascii="宋体" w:hAnsi="宋体" w:eastAsia="宋体" w:cs="宋体"/>
          <w:color w:val="auto"/>
          <w:sz w:val="24"/>
          <w:szCs w:val="24"/>
          <w:highlight w:val="none"/>
        </w:rPr>
        <w:t>中抽取。评标委员会成员人数以及技术、经济等方面专家的确定方式见投标人须知前附表。</w:t>
      </w:r>
    </w:p>
    <w:p w14:paraId="7D08B743">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 评标委员会成员有下列情形之一的，应当回避：</w:t>
      </w:r>
    </w:p>
    <w:p w14:paraId="48AA49B8">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（1）投标人或投标人主要负责人的近亲属；</w:t>
      </w:r>
    </w:p>
    <w:p w14:paraId="4B7179FB">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（2）项目主管部门或者行政监督部门的人员；</w:t>
      </w:r>
    </w:p>
    <w:p w14:paraId="4FEFD82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（3）招标人或投标人的工作人员、退休或离职未满3年的人员；</w:t>
      </w:r>
    </w:p>
    <w:p w14:paraId="454F1ACF">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）与投标人有经济利益关系，可能影响对投标公正评审的；</w:t>
      </w:r>
    </w:p>
    <w:p w14:paraId="16BF527C">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）曾因在招标、评标以及其他与招标投标有关活动中从事违法行为而受过行政处罚或刑事处罚的；</w:t>
      </w:r>
    </w:p>
    <w:p w14:paraId="790F8595">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）与投标人有其他利害关系。</w:t>
      </w:r>
    </w:p>
    <w:p w14:paraId="62AA1B01">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7E47AA96">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6.1.4 招标人需将开标异议提交给评标委员会的评审确认时，评标委员会须进行评审确认，不得以任何理由拒绝。</w:t>
      </w:r>
    </w:p>
    <w:p w14:paraId="78119B0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83" w:name="bookmark58"/>
      <w:bookmarkEnd w:id="83"/>
      <w:r>
        <w:rPr>
          <w:rFonts w:hint="eastAsia" w:ascii="宋体" w:hAnsi="宋体" w:eastAsia="宋体" w:cs="宋体"/>
          <w:color w:val="auto"/>
          <w:highlight w:val="none"/>
        </w:rPr>
        <w:t>6.2 评标原则</w:t>
      </w:r>
    </w:p>
    <w:p w14:paraId="53305A0E">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w:t>
      </w:r>
    </w:p>
    <w:p w14:paraId="4BB9737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84" w:name="bookmark59"/>
      <w:bookmarkEnd w:id="84"/>
      <w:r>
        <w:rPr>
          <w:rFonts w:hint="eastAsia" w:ascii="宋体" w:hAnsi="宋体" w:eastAsia="宋体" w:cs="宋体"/>
          <w:color w:val="auto"/>
          <w:highlight w:val="none"/>
        </w:rPr>
        <w:t>6.3 评标</w:t>
      </w:r>
    </w:p>
    <w:p w14:paraId="63B64295">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 评标委员会按照第三章“评标办法”规定的方法、评审因素、标准和程序对投标文件进 行评审。第三章“评标办法”没有规定的方法、评审因素和标准，不作为评标依据。</w:t>
      </w:r>
    </w:p>
    <w:p w14:paraId="3AB6A3D1">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 评标完成后，评标委员会应当向招标人提交书面评标报告和中标候选人名单。评标委员会推荐中标候选人的人数见投标人须知前附表。</w:t>
      </w:r>
    </w:p>
    <w:p w14:paraId="2006DBF9">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6.3.3 在评标过程中，当采用电子评标系统评标发生评审故障时，若广州交易集团有限公司（广州公共资源交易中心）当天可解除评审故障，则继续采用电子评标系统评标；若广州交易集团有限公司（广州公共资源交易中心）当天无法解除评审故障，则评标委员会依据电子投标文件对未完成的评标活动采用手动评审，提交包含已完成电子评审成果在内的纸质评标报告。评审故障以广州交易集团有限公司（广州公共资源交易中心）的认定为准。当广州交易集团有限公司（广州公共资源交易中心）的系统维护人员在评标室告知评标委员会当天无法解除评审故障后，评标委员会即可对未完成的评标活动启动手动评审。</w:t>
      </w:r>
    </w:p>
    <w:p w14:paraId="0BBE2892">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在电子评标过程中，无论遇到任何系统异常或故障，评标委员会均应出具评标报告。</w:t>
      </w:r>
    </w:p>
    <w:p w14:paraId="47685471">
      <w:pPr>
        <w:pStyle w:val="7"/>
        <w:outlineLvl w:val="1"/>
        <w:rPr>
          <w:rFonts w:hint="eastAsia" w:ascii="宋体" w:hAnsi="宋体" w:eastAsia="宋体" w:cs="宋体"/>
          <w:color w:val="auto"/>
          <w:sz w:val="24"/>
          <w:szCs w:val="24"/>
          <w:highlight w:val="none"/>
        </w:rPr>
      </w:pPr>
      <w:bookmarkStart w:id="85" w:name="bookmark60"/>
      <w:bookmarkEnd w:id="85"/>
      <w:bookmarkStart w:id="86" w:name="_Toc26457"/>
      <w:r>
        <w:rPr>
          <w:rFonts w:hint="eastAsia" w:ascii="宋体" w:hAnsi="宋体" w:eastAsia="宋体" w:cs="宋体"/>
          <w:color w:val="auto"/>
          <w:sz w:val="24"/>
          <w:szCs w:val="24"/>
          <w:highlight w:val="none"/>
        </w:rPr>
        <w:t>7.合同授予</w:t>
      </w:r>
      <w:bookmarkEnd w:id="86"/>
    </w:p>
    <w:p w14:paraId="240A357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87" w:name="bookmark61"/>
      <w:bookmarkEnd w:id="87"/>
      <w:r>
        <w:rPr>
          <w:rFonts w:hint="eastAsia" w:ascii="宋体" w:hAnsi="宋体" w:eastAsia="宋体" w:cs="宋体"/>
          <w:color w:val="auto"/>
          <w:highlight w:val="none"/>
        </w:rPr>
        <w:t>7.1 中标候选人公示</w:t>
      </w:r>
    </w:p>
    <w:p w14:paraId="10DC9D84">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招标人在收到评标报告之日起3日内，按照投标人须知前附表规定的公示媒介和期限公示中标候选人，公示期不得少于3天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最后一天应为工作日</w:t>
      </w:r>
      <w:r>
        <w:rPr>
          <w:rFonts w:hint="eastAsia" w:ascii="宋体" w:hAnsi="宋体" w:eastAsia="宋体" w:cs="宋体"/>
          <w:color w:val="auto"/>
          <w:sz w:val="24"/>
          <w:szCs w:val="24"/>
          <w:highlight w:val="none"/>
        </w:rPr>
        <w:t>。</w:t>
      </w:r>
    </w:p>
    <w:p w14:paraId="55669F1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88" w:name="bookmark62"/>
      <w:bookmarkEnd w:id="88"/>
      <w:r>
        <w:rPr>
          <w:rFonts w:hint="eastAsia" w:ascii="宋体" w:hAnsi="宋体" w:eastAsia="宋体" w:cs="宋体"/>
          <w:color w:val="auto"/>
          <w:highlight w:val="none"/>
        </w:rPr>
        <w:t>7.2 评标结果异议</w:t>
      </w:r>
    </w:p>
    <w:p w14:paraId="5CD5A80E">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投标人或者其他利害关系人对评标结果有异议的，应当在中标候选人公示期间提出。招标人将在收到异议之日起3日内作出答复；作出答复前，将暂停招标投标活动。</w:t>
      </w:r>
    </w:p>
    <w:p w14:paraId="2ADC132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89" w:name="bookmark63"/>
      <w:bookmarkEnd w:id="89"/>
      <w:r>
        <w:rPr>
          <w:rFonts w:hint="eastAsia" w:ascii="宋体" w:hAnsi="宋体" w:eastAsia="宋体" w:cs="宋体"/>
          <w:color w:val="auto"/>
          <w:highlight w:val="none"/>
        </w:rPr>
        <w:t>7.3 中标候选人履约能力审查</w:t>
      </w:r>
    </w:p>
    <w:p w14:paraId="07CD360B">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350CC719">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90" w:name="bookmark64"/>
      <w:bookmarkEnd w:id="90"/>
      <w:r>
        <w:rPr>
          <w:rFonts w:hint="eastAsia" w:ascii="宋体" w:hAnsi="宋体" w:eastAsia="宋体" w:cs="宋体"/>
          <w:color w:val="auto"/>
          <w:highlight w:val="none"/>
        </w:rPr>
        <w:t>7.4 定标</w:t>
      </w:r>
    </w:p>
    <w:p w14:paraId="42DEEE99">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按照投标人须知前附表的规定，招标人或招标人授权的评标委员会依法确定中标人。</w:t>
      </w:r>
    </w:p>
    <w:p w14:paraId="390DBBC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91" w:name="bookmark65"/>
      <w:bookmarkEnd w:id="91"/>
      <w:r>
        <w:rPr>
          <w:rFonts w:hint="eastAsia" w:ascii="宋体" w:hAnsi="宋体" w:eastAsia="宋体" w:cs="宋体"/>
          <w:color w:val="auto"/>
          <w:highlight w:val="none"/>
        </w:rPr>
        <w:t>7.5 中标通知</w:t>
      </w:r>
    </w:p>
    <w:p w14:paraId="0A4E6A85">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bookmarkStart w:id="92" w:name="bookmark66"/>
      <w:bookmarkEnd w:id="92"/>
      <w:r>
        <w:rPr>
          <w:rFonts w:hint="eastAsia" w:ascii="宋体" w:hAnsi="宋体" w:eastAsia="宋体" w:cs="宋体"/>
          <w:color w:val="auto"/>
          <w:sz w:val="24"/>
          <w:szCs w:val="24"/>
          <w:highlight w:val="none"/>
          <w:lang w:val="en-US" w:eastAsia="zh-CN"/>
        </w:rPr>
        <w:t>7.5.1  在法规规定的时间内，招标人以书面形式向中标人发出中标通知书。在广州交易集团有限公司（广州公共资源交易中心）网发布中标信息，视同将中标结果通知未中标的投标人。</w:t>
      </w:r>
    </w:p>
    <w:p w14:paraId="7BDD022F">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7.5.2  中标通知书发出前，中标人应未被纳入失信联合惩戒名单，否则招标人将取消其中标资格。失信联合惩戒名单以“信用广州”网站公布的“黑名单”为准。</w:t>
      </w:r>
    </w:p>
    <w:p w14:paraId="5FBA91C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7.6 履约保证金</w:t>
      </w:r>
    </w:p>
    <w:p w14:paraId="10A62189">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strike w:val="0"/>
          <w:color w:val="auto"/>
          <w:sz w:val="24"/>
          <w:szCs w:val="24"/>
          <w:highlight w:val="none"/>
        </w:rPr>
      </w:pPr>
      <w:r>
        <w:rPr>
          <w:rFonts w:hint="eastAsia" w:ascii="宋体" w:hAnsi="宋体" w:eastAsia="宋体" w:cs="宋体"/>
          <w:color w:val="auto"/>
          <w:sz w:val="24"/>
          <w:szCs w:val="24"/>
          <w:highlight w:val="none"/>
        </w:rPr>
        <w:t>7.6.1 在签订合同后30日内，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strike w:val="0"/>
          <w:color w:val="auto"/>
          <w:sz w:val="24"/>
          <w:szCs w:val="24"/>
          <w:highlight w:val="none"/>
        </w:rPr>
        <w:t>联合体中标的，其履约保证金以联合体各方或者联合体中</w:t>
      </w:r>
      <w:r>
        <w:rPr>
          <w:rFonts w:hint="eastAsia" w:ascii="宋体" w:hAnsi="宋体" w:eastAsia="宋体" w:cs="宋体"/>
          <w:strike w:val="0"/>
          <w:color w:val="auto"/>
          <w:spacing w:val="-2"/>
          <w:sz w:val="24"/>
          <w:szCs w:val="24"/>
          <w:highlight w:val="none"/>
          <w:lang w:eastAsia="zh-CN"/>
        </w:rPr>
        <w:t>主办方</w:t>
      </w:r>
      <w:r>
        <w:rPr>
          <w:rFonts w:hint="eastAsia" w:ascii="宋体" w:hAnsi="宋体" w:eastAsia="宋体" w:cs="宋体"/>
          <w:strike w:val="0"/>
          <w:color w:val="auto"/>
          <w:sz w:val="24"/>
          <w:szCs w:val="24"/>
          <w:highlight w:val="none"/>
        </w:rPr>
        <w:t>的名义提交。</w:t>
      </w:r>
    </w:p>
    <w:p w14:paraId="03A6DEDB">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7.6.2 中标人不能按本章第 7.6.1 项要求提交履约保证金的，视为放弃中标，其投标保证金不予退还，给招标人造成的损失超过投标保证金数额的，中标人还应当对超过部分予以赔偿。</w:t>
      </w:r>
    </w:p>
    <w:p w14:paraId="077F54F8">
      <w:pPr>
        <w:pStyle w:val="14"/>
        <w:kinsoku w:val="0"/>
        <w:overflowPunct w:val="0"/>
        <w:spacing w:before="13"/>
        <w:ind w:left="0"/>
        <w:rPr>
          <w:rFonts w:hint="eastAsia" w:ascii="宋体" w:hAnsi="宋体" w:eastAsia="宋体" w:cs="宋体"/>
          <w:color w:val="auto"/>
          <w:sz w:val="13"/>
          <w:szCs w:val="24"/>
          <w:highlight w:val="none"/>
        </w:rPr>
      </w:pPr>
    </w:p>
    <w:p w14:paraId="5E63188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93" w:name="bookmark67"/>
      <w:bookmarkEnd w:id="93"/>
      <w:r>
        <w:rPr>
          <w:rFonts w:hint="eastAsia" w:ascii="宋体" w:hAnsi="宋体" w:eastAsia="宋体" w:cs="宋体"/>
          <w:color w:val="auto"/>
          <w:highlight w:val="none"/>
        </w:rPr>
        <w:t>7.7 签订合同</w:t>
      </w:r>
    </w:p>
    <w:p w14:paraId="1A7CC7F9">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7.7.1 招标人和中标人应当在中标通知书发出之日起30日内，根据招标文件和中标人的投标文件订立书面合同</w:t>
      </w:r>
      <w:r>
        <w:rPr>
          <w:rFonts w:hint="eastAsia" w:ascii="宋体" w:hAnsi="宋体" w:eastAsia="宋体" w:cs="宋体"/>
          <w:color w:val="auto"/>
          <w:sz w:val="24"/>
          <w:highlight w:val="none"/>
          <w:lang w:eastAsia="zh-CN"/>
        </w:rPr>
        <w:t>，并通过电子交易系统与中标人在线签订合同</w:t>
      </w:r>
      <w:r>
        <w:rPr>
          <w:rFonts w:hint="eastAsia" w:ascii="宋体" w:hAnsi="宋体" w:eastAsia="宋体" w:cs="宋体"/>
          <w:color w:val="auto"/>
          <w:sz w:val="24"/>
          <w:szCs w:val="24"/>
          <w:highlight w:val="none"/>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1ECEC45B">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14:paraId="5B627D6F">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7.7.3 联合体中标的，联合体各方应当共同与招标人签订合同，就中标项目向招标人承担连带责任。</w:t>
      </w:r>
    </w:p>
    <w:p w14:paraId="7602A6A6">
      <w:pPr>
        <w:pStyle w:val="7"/>
        <w:outlineLvl w:val="1"/>
        <w:rPr>
          <w:rFonts w:hint="eastAsia" w:ascii="宋体" w:hAnsi="宋体" w:eastAsia="宋体" w:cs="宋体"/>
          <w:b w:val="0"/>
          <w:color w:val="auto"/>
          <w:sz w:val="30"/>
          <w:szCs w:val="24"/>
          <w:highlight w:val="none"/>
        </w:rPr>
      </w:pPr>
      <w:bookmarkStart w:id="94" w:name="bookmark68"/>
      <w:bookmarkEnd w:id="94"/>
      <w:bookmarkStart w:id="95" w:name="_Toc5503"/>
      <w:r>
        <w:rPr>
          <w:rFonts w:hint="eastAsia" w:ascii="宋体" w:hAnsi="宋体" w:eastAsia="宋体" w:cs="宋体"/>
          <w:color w:val="auto"/>
          <w:sz w:val="24"/>
          <w:szCs w:val="24"/>
          <w:highlight w:val="none"/>
        </w:rPr>
        <w:t>8.纪律和监督</w:t>
      </w:r>
      <w:bookmarkEnd w:id="95"/>
    </w:p>
    <w:p w14:paraId="5C00F3C6">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96" w:name="bookmark69"/>
      <w:bookmarkEnd w:id="96"/>
      <w:r>
        <w:rPr>
          <w:rFonts w:hint="eastAsia" w:ascii="宋体" w:hAnsi="宋体" w:eastAsia="宋体" w:cs="宋体"/>
          <w:color w:val="auto"/>
          <w:highlight w:val="none"/>
        </w:rPr>
        <w:t>8.1 对招标人的纪律要求</w:t>
      </w:r>
    </w:p>
    <w:p w14:paraId="6FBEFA10">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招标人不得泄露招标投标活动中应当保密的情况和资料，不得与投标人串通损害国家利益、社会公共利益或者他人合法权益。</w:t>
      </w:r>
    </w:p>
    <w:p w14:paraId="7404792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97" w:name="bookmark70"/>
      <w:bookmarkEnd w:id="97"/>
      <w:r>
        <w:rPr>
          <w:rFonts w:hint="eastAsia" w:ascii="宋体" w:hAnsi="宋体" w:eastAsia="宋体" w:cs="宋体"/>
          <w:color w:val="auto"/>
          <w:highlight w:val="none"/>
        </w:rPr>
        <w:t>8.2 对投标人的纪律要求</w:t>
      </w:r>
    </w:p>
    <w:p w14:paraId="219C370D">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74B9E4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98" w:name="bookmark71"/>
      <w:bookmarkEnd w:id="98"/>
      <w:r>
        <w:rPr>
          <w:rFonts w:hint="eastAsia" w:ascii="宋体" w:hAnsi="宋体" w:eastAsia="宋体" w:cs="宋体"/>
          <w:color w:val="auto"/>
          <w:highlight w:val="none"/>
        </w:rPr>
        <w:t>8.3 对评标委员会成员的纪律要求</w:t>
      </w:r>
    </w:p>
    <w:p w14:paraId="1789D43B">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A8D32B9">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99" w:name="bookmark72"/>
      <w:bookmarkEnd w:id="99"/>
      <w:r>
        <w:rPr>
          <w:rFonts w:hint="eastAsia" w:ascii="宋体" w:hAnsi="宋体" w:eastAsia="宋体" w:cs="宋体"/>
          <w:color w:val="auto"/>
          <w:highlight w:val="none"/>
        </w:rPr>
        <w:t>8.4 对与评标活动有关的工作人员的纪律要求</w:t>
      </w:r>
    </w:p>
    <w:p w14:paraId="460445BA">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359A83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100" w:name="bookmark73"/>
      <w:bookmarkEnd w:id="100"/>
      <w:r>
        <w:rPr>
          <w:rFonts w:hint="eastAsia" w:ascii="宋体" w:hAnsi="宋体" w:eastAsia="宋体" w:cs="宋体"/>
          <w:color w:val="auto"/>
          <w:highlight w:val="none"/>
        </w:rPr>
        <w:t>8.5 投诉</w:t>
      </w:r>
    </w:p>
    <w:p w14:paraId="460380DA">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8.5.1  投标人或者其他利害关系人认为招标投标活动不符合法律、行政法规规定的，可以自知道或者应当知道之日起10日内向有关行政监督部门投诉。投诉应当有明确的请求和必要的证明材料。</w:t>
      </w:r>
    </w:p>
    <w:p w14:paraId="50B0F7AA">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8.5.2  投标人或者其他利害关系人对招标文件、开标和评标结果提出投诉的，应当按照投标人须知第5.3款和第7.2款的规定先向招标人提出异议。异议答复期间不计算在第8.5.1项规定的期限内。</w:t>
      </w:r>
    </w:p>
    <w:p w14:paraId="2E01A00E">
      <w:pPr>
        <w:pStyle w:val="7"/>
        <w:outlineLvl w:val="1"/>
        <w:rPr>
          <w:rFonts w:hint="eastAsia" w:ascii="宋体" w:hAnsi="宋体" w:eastAsia="宋体" w:cs="宋体"/>
          <w:b w:val="0"/>
          <w:color w:val="auto"/>
          <w:sz w:val="19"/>
          <w:szCs w:val="24"/>
          <w:highlight w:val="none"/>
        </w:rPr>
      </w:pPr>
      <w:bookmarkStart w:id="101" w:name="bookmark74"/>
      <w:bookmarkEnd w:id="101"/>
      <w:bookmarkStart w:id="102" w:name="_Toc31836"/>
      <w:r>
        <w:rPr>
          <w:rFonts w:hint="eastAsia" w:ascii="宋体" w:hAnsi="宋体" w:eastAsia="宋体" w:cs="宋体"/>
          <w:color w:val="auto"/>
          <w:sz w:val="24"/>
          <w:szCs w:val="24"/>
          <w:highlight w:val="none"/>
        </w:rPr>
        <w:t>9.采用电子招标投标</w:t>
      </w:r>
      <w:bookmarkEnd w:id="102"/>
    </w:p>
    <w:p w14:paraId="2EB3B129">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48"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本招标项目采用电子招标投标方式，</w:t>
      </w:r>
      <w:r>
        <w:rPr>
          <w:rFonts w:hint="eastAsia" w:ascii="宋体" w:hAnsi="宋体" w:eastAsia="宋体" w:cs="宋体"/>
          <w:color w:val="auto"/>
          <w:spacing w:val="-8"/>
          <w:sz w:val="24"/>
          <w:szCs w:val="24"/>
          <w:highlight w:val="none"/>
          <w:lang w:eastAsia="zh-CN"/>
        </w:rPr>
        <w:t>按照广州交易集团有限公司（广州公共资源交易中心）网站关于全流程电子化项目的相关指南进行操作</w:t>
      </w:r>
      <w:r>
        <w:rPr>
          <w:rFonts w:hint="eastAsia" w:ascii="宋体" w:hAnsi="宋体" w:eastAsia="宋体" w:cs="宋体"/>
          <w:color w:val="auto"/>
          <w:sz w:val="24"/>
          <w:szCs w:val="24"/>
          <w:highlight w:val="none"/>
        </w:rPr>
        <w:t>。</w:t>
      </w:r>
    </w:p>
    <w:p w14:paraId="0EBE7E7A">
      <w:pPr>
        <w:pStyle w:val="7"/>
        <w:outlineLvl w:val="1"/>
        <w:rPr>
          <w:rFonts w:hint="eastAsia" w:ascii="宋体" w:hAnsi="宋体" w:eastAsia="宋体" w:cs="宋体"/>
          <w:b w:val="0"/>
          <w:color w:val="auto"/>
          <w:sz w:val="19"/>
          <w:szCs w:val="24"/>
          <w:highlight w:val="none"/>
        </w:rPr>
      </w:pPr>
      <w:bookmarkStart w:id="103" w:name="bookmark75"/>
      <w:bookmarkEnd w:id="103"/>
      <w:bookmarkStart w:id="104" w:name="_Toc7238"/>
      <w:r>
        <w:rPr>
          <w:rFonts w:hint="eastAsia" w:ascii="宋体" w:hAnsi="宋体" w:eastAsia="宋体" w:cs="宋体"/>
          <w:color w:val="auto"/>
          <w:sz w:val="24"/>
          <w:szCs w:val="24"/>
          <w:highlight w:val="none"/>
        </w:rPr>
        <w:t>10.需要补充的其他内容</w:t>
      </w:r>
      <w:bookmarkEnd w:id="104"/>
    </w:p>
    <w:p w14:paraId="2DA42A3E">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color w:val="auto"/>
          <w:sz w:val="24"/>
          <w:highlight w:val="none"/>
        </w:rPr>
        <w:t>10.1</w:t>
      </w:r>
      <w:r>
        <w:rPr>
          <w:rFonts w:ascii="宋体" w:hAnsi="宋体"/>
          <w:color w:val="auto"/>
          <w:sz w:val="24"/>
          <w:highlight w:val="none"/>
        </w:rPr>
        <w:t xml:space="preserve"> </w:t>
      </w:r>
      <w:r>
        <w:rPr>
          <w:rFonts w:hint="eastAsia" w:ascii="宋体" w:hAnsi="宋体"/>
          <w:color w:val="auto"/>
          <w:sz w:val="24"/>
          <w:highlight w:val="none"/>
        </w:rPr>
        <w:t>需要补充的其他内容：见投标人须知前附表。</w:t>
      </w:r>
    </w:p>
    <w:p w14:paraId="795A69D1">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pgNumType w:fmt="decimal"/>
          <w:cols w:space="720" w:num="1"/>
        </w:sectPr>
      </w:pPr>
    </w:p>
    <w:p w14:paraId="443F2CD1">
      <w:pPr>
        <w:pStyle w:val="8"/>
        <w:outlineLvl w:val="0"/>
        <w:rPr>
          <w:rFonts w:hint="eastAsia" w:ascii="宋体" w:hAnsi="宋体" w:eastAsia="宋体" w:cs="宋体"/>
          <w:color w:val="auto"/>
          <w:sz w:val="28"/>
          <w:szCs w:val="24"/>
          <w:highlight w:val="none"/>
        </w:rPr>
      </w:pPr>
      <w:bookmarkStart w:id="105" w:name="bookmark76"/>
      <w:bookmarkEnd w:id="105"/>
      <w:bookmarkStart w:id="106" w:name="bookmark77"/>
      <w:bookmarkEnd w:id="106"/>
      <w:bookmarkStart w:id="107" w:name="_Toc1460"/>
      <w:bookmarkStart w:id="108" w:name="_Toc5057"/>
      <w:r>
        <w:rPr>
          <w:rFonts w:hint="eastAsia" w:ascii="宋体" w:hAnsi="宋体" w:eastAsia="宋体" w:cs="宋体"/>
          <w:color w:val="auto"/>
          <w:sz w:val="28"/>
          <w:szCs w:val="24"/>
          <w:highlight w:val="none"/>
        </w:rPr>
        <w:t>附件</w:t>
      </w:r>
      <w:r>
        <w:rPr>
          <w:rFonts w:hint="eastAsia" w:ascii="宋体" w:hAnsi="宋体" w:eastAsia="宋体" w:cs="宋体"/>
          <w:color w:val="auto"/>
          <w:sz w:val="28"/>
          <w:szCs w:val="24"/>
          <w:highlight w:val="none"/>
          <w:lang w:eastAsia="zh-CN"/>
        </w:rPr>
        <w:t>一</w:t>
      </w:r>
      <w:r>
        <w:rPr>
          <w:rFonts w:hint="eastAsia" w:ascii="宋体" w:hAnsi="宋体" w:eastAsia="宋体" w:cs="宋体"/>
          <w:color w:val="auto"/>
          <w:sz w:val="28"/>
          <w:szCs w:val="24"/>
          <w:highlight w:val="none"/>
        </w:rPr>
        <w:t>：问题澄清通知</w:t>
      </w:r>
      <w:bookmarkEnd w:id="107"/>
      <w:bookmarkEnd w:id="108"/>
    </w:p>
    <w:p w14:paraId="46DC2C3E">
      <w:pPr>
        <w:pStyle w:val="14"/>
        <w:kinsoku w:val="0"/>
        <w:overflowPunct w:val="0"/>
        <w:ind w:left="0"/>
        <w:rPr>
          <w:rFonts w:hint="eastAsia" w:ascii="宋体" w:hAnsi="宋体" w:eastAsia="宋体" w:cs="宋体"/>
          <w:color w:val="auto"/>
          <w:sz w:val="20"/>
          <w:szCs w:val="24"/>
          <w:highlight w:val="none"/>
        </w:rPr>
      </w:pPr>
    </w:p>
    <w:p w14:paraId="43F3EB41">
      <w:pPr>
        <w:pStyle w:val="14"/>
        <w:kinsoku w:val="0"/>
        <w:overflowPunct w:val="0"/>
        <w:ind w:left="0"/>
        <w:rPr>
          <w:rFonts w:hint="eastAsia" w:ascii="宋体" w:hAnsi="宋体" w:eastAsia="宋体" w:cs="宋体"/>
          <w:color w:val="auto"/>
          <w:sz w:val="20"/>
          <w:szCs w:val="24"/>
          <w:highlight w:val="none"/>
        </w:rPr>
      </w:pPr>
    </w:p>
    <w:p w14:paraId="6E345D1F">
      <w:pPr>
        <w:pStyle w:val="14"/>
        <w:kinsoku w:val="0"/>
        <w:overflowPunct w:val="0"/>
        <w:ind w:left="0"/>
        <w:rPr>
          <w:rFonts w:hint="eastAsia" w:ascii="宋体" w:hAnsi="宋体" w:eastAsia="宋体" w:cs="宋体"/>
          <w:color w:val="auto"/>
          <w:sz w:val="20"/>
          <w:szCs w:val="24"/>
          <w:highlight w:val="none"/>
        </w:rPr>
      </w:pPr>
    </w:p>
    <w:p w14:paraId="4FB9D276">
      <w:pPr>
        <w:pStyle w:val="14"/>
        <w:kinsoku w:val="0"/>
        <w:overflowPunct w:val="0"/>
        <w:spacing w:before="4"/>
        <w:ind w:left="0"/>
        <w:rPr>
          <w:rFonts w:hint="eastAsia" w:ascii="宋体" w:hAnsi="宋体" w:eastAsia="宋体" w:cs="宋体"/>
          <w:color w:val="auto"/>
          <w:sz w:val="17"/>
          <w:szCs w:val="24"/>
          <w:highlight w:val="none"/>
        </w:rPr>
      </w:pPr>
    </w:p>
    <w:p w14:paraId="13ECA9BA">
      <w:pPr>
        <w:pStyle w:val="14"/>
        <w:kinsoku w:val="0"/>
        <w:overflowPunct w:val="0"/>
        <w:spacing w:before="14"/>
        <w:ind w:left="0" w:right="13"/>
        <w:jc w:val="center"/>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问题澄清通知</w:t>
      </w:r>
    </w:p>
    <w:p w14:paraId="29798FB2">
      <w:pPr>
        <w:pStyle w:val="14"/>
        <w:tabs>
          <w:tab w:val="left" w:pos="2937"/>
        </w:tabs>
        <w:kinsoku w:val="0"/>
        <w:overflowPunct w:val="0"/>
        <w:spacing w:before="157"/>
        <w:ind w:left="0" w:right="20"/>
        <w:jc w:val="center"/>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4"/>
          <w:highlight w:val="none"/>
        </w:rPr>
        <w:t>（编号：</w:t>
      </w:r>
      <w:r>
        <w:rPr>
          <w:rFonts w:hint="eastAsia" w:ascii="宋体" w:hAnsi="宋体" w:eastAsia="宋体" w:cs="宋体"/>
          <w:color w:val="auto"/>
          <w:spacing w:val="-1"/>
          <w:sz w:val="21"/>
          <w:szCs w:val="24"/>
          <w:highlight w:val="none"/>
          <w:u w:val="single"/>
        </w:rPr>
        <w:tab/>
      </w:r>
      <w:r>
        <w:rPr>
          <w:rFonts w:hint="eastAsia" w:ascii="宋体" w:hAnsi="宋体" w:eastAsia="宋体" w:cs="宋体"/>
          <w:color w:val="auto"/>
          <w:sz w:val="21"/>
          <w:szCs w:val="24"/>
          <w:highlight w:val="none"/>
        </w:rPr>
        <w:t>）</w:t>
      </w:r>
    </w:p>
    <w:p w14:paraId="5623A99B">
      <w:pPr>
        <w:pStyle w:val="14"/>
        <w:kinsoku w:val="0"/>
        <w:overflowPunct w:val="0"/>
        <w:ind w:left="0"/>
        <w:rPr>
          <w:rFonts w:hint="eastAsia" w:ascii="宋体" w:hAnsi="宋体" w:eastAsia="宋体" w:cs="宋体"/>
          <w:color w:val="auto"/>
          <w:sz w:val="20"/>
          <w:szCs w:val="24"/>
          <w:highlight w:val="none"/>
        </w:rPr>
      </w:pPr>
    </w:p>
    <w:p w14:paraId="2A32B94E">
      <w:pPr>
        <w:pStyle w:val="14"/>
        <w:kinsoku w:val="0"/>
        <w:overflowPunct w:val="0"/>
        <w:spacing w:before="5"/>
        <w:ind w:left="0"/>
        <w:rPr>
          <w:rFonts w:hint="eastAsia" w:ascii="宋体" w:hAnsi="宋体" w:eastAsia="宋体" w:cs="宋体"/>
          <w:color w:val="auto"/>
          <w:sz w:val="23"/>
          <w:szCs w:val="24"/>
          <w:highlight w:val="none"/>
        </w:rPr>
      </w:pPr>
    </w:p>
    <w:p w14:paraId="3C9707F1">
      <w:pPr>
        <w:pStyle w:val="14"/>
        <w:tabs>
          <w:tab w:val="left" w:pos="2305"/>
        </w:tabs>
        <w:kinsoku w:val="0"/>
        <w:overflowPunct w:val="0"/>
        <w:spacing w:before="36"/>
        <w:ind w:left="100" w:right="113"/>
        <w:rPr>
          <w:rFonts w:hint="eastAsia" w:ascii="宋体" w:hAnsi="宋体" w:eastAsia="宋体" w:cs="宋体"/>
          <w:color w:val="auto"/>
          <w:spacing w:val="-15"/>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ascii="宋体" w:hAnsi="宋体" w:eastAsia="宋体" w:cs="宋体"/>
          <w:color w:val="auto"/>
          <w:spacing w:val="-15"/>
          <w:sz w:val="21"/>
          <w:szCs w:val="24"/>
          <w:highlight w:val="none"/>
        </w:rPr>
        <w:t>（投标人名称）：</w:t>
      </w:r>
    </w:p>
    <w:p w14:paraId="0E246B23">
      <w:pPr>
        <w:pStyle w:val="14"/>
        <w:kinsoku w:val="0"/>
        <w:overflowPunct w:val="0"/>
        <w:ind w:left="0"/>
        <w:rPr>
          <w:rFonts w:hint="eastAsia" w:ascii="宋体" w:hAnsi="宋体" w:eastAsia="宋体" w:cs="宋体"/>
          <w:color w:val="auto"/>
          <w:sz w:val="20"/>
          <w:szCs w:val="24"/>
          <w:highlight w:val="none"/>
        </w:rPr>
      </w:pPr>
    </w:p>
    <w:p w14:paraId="2E3EA3EA">
      <w:pPr>
        <w:pStyle w:val="14"/>
        <w:kinsoku w:val="0"/>
        <w:overflowPunct w:val="0"/>
        <w:spacing w:before="8"/>
        <w:ind w:left="0"/>
        <w:rPr>
          <w:rFonts w:hint="eastAsia" w:ascii="宋体" w:hAnsi="宋体" w:eastAsia="宋体" w:cs="宋体"/>
          <w:color w:val="auto"/>
          <w:sz w:val="23"/>
          <w:szCs w:val="24"/>
          <w:highlight w:val="none"/>
        </w:rPr>
      </w:pPr>
    </w:p>
    <w:p w14:paraId="7299E4F4">
      <w:pPr>
        <w:pStyle w:val="14"/>
        <w:kinsoku w:val="0"/>
        <w:overflowPunct w:val="0"/>
        <w:spacing w:before="36" w:line="384" w:lineRule="auto"/>
        <w:ind w:left="100" w:right="113" w:firstLine="422"/>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4"/>
          <w:highlight w:val="none"/>
        </w:rPr>
        <w:t>评标委员会对你方的投标文件进行了仔细的审查，现需你方对下列问题以书面形式予以澄</w:t>
      </w:r>
      <w:r>
        <w:rPr>
          <w:rFonts w:hint="eastAsia" w:ascii="宋体" w:hAnsi="宋体" w:eastAsia="宋体" w:cs="宋体"/>
          <w:color w:val="auto"/>
          <w:sz w:val="21"/>
          <w:szCs w:val="24"/>
          <w:highlight w:val="none"/>
        </w:rPr>
        <w:t xml:space="preserve"> 清、说明或补正：</w:t>
      </w:r>
    </w:p>
    <w:p w14:paraId="63FD1B08">
      <w:pPr>
        <w:pStyle w:val="14"/>
        <w:kinsoku w:val="0"/>
        <w:overflowPunct w:val="0"/>
        <w:ind w:left="0"/>
        <w:rPr>
          <w:rFonts w:hint="eastAsia" w:ascii="宋体" w:hAnsi="宋体" w:eastAsia="宋体" w:cs="宋体"/>
          <w:color w:val="auto"/>
          <w:sz w:val="20"/>
          <w:szCs w:val="24"/>
          <w:highlight w:val="none"/>
        </w:rPr>
      </w:pPr>
    </w:p>
    <w:p w14:paraId="43075BDC">
      <w:pPr>
        <w:pStyle w:val="14"/>
        <w:kinsoku w:val="0"/>
        <w:overflowPunct w:val="0"/>
        <w:spacing w:before="6"/>
        <w:ind w:left="0"/>
        <w:rPr>
          <w:rFonts w:hint="eastAsia" w:ascii="宋体" w:hAnsi="宋体" w:eastAsia="宋体" w:cs="宋体"/>
          <w:color w:val="auto"/>
          <w:sz w:val="20"/>
          <w:szCs w:val="24"/>
          <w:highlight w:val="none"/>
        </w:rPr>
      </w:pPr>
    </w:p>
    <w:p w14:paraId="60E4274F">
      <w:pPr>
        <w:pStyle w:val="14"/>
        <w:kinsoku w:val="0"/>
        <w:overflowPunct w:val="0"/>
        <w:ind w:left="522"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w:t>
      </w:r>
    </w:p>
    <w:p w14:paraId="65602454">
      <w:pPr>
        <w:pStyle w:val="14"/>
        <w:kinsoku w:val="0"/>
        <w:overflowPunct w:val="0"/>
        <w:spacing w:before="2"/>
        <w:ind w:left="0"/>
        <w:rPr>
          <w:rFonts w:hint="eastAsia" w:ascii="宋体" w:hAnsi="宋体" w:eastAsia="宋体" w:cs="宋体"/>
          <w:color w:val="auto"/>
          <w:sz w:val="17"/>
          <w:szCs w:val="24"/>
          <w:highlight w:val="none"/>
        </w:rPr>
      </w:pPr>
    </w:p>
    <w:p w14:paraId="11EB4606">
      <w:pPr>
        <w:pStyle w:val="14"/>
        <w:kinsoku w:val="0"/>
        <w:overflowPunct w:val="0"/>
        <w:ind w:left="522"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w:t>
      </w:r>
    </w:p>
    <w:p w14:paraId="7846CDB6">
      <w:pPr>
        <w:pStyle w:val="14"/>
        <w:kinsoku w:val="0"/>
        <w:overflowPunct w:val="0"/>
        <w:spacing w:before="5"/>
        <w:ind w:left="0"/>
        <w:rPr>
          <w:rFonts w:hint="eastAsia" w:ascii="宋体" w:hAnsi="宋体" w:eastAsia="宋体" w:cs="宋体"/>
          <w:color w:val="auto"/>
          <w:sz w:val="17"/>
          <w:szCs w:val="24"/>
          <w:highlight w:val="none"/>
        </w:rPr>
      </w:pPr>
    </w:p>
    <w:p w14:paraId="5B347A68">
      <w:pPr>
        <w:pStyle w:val="14"/>
        <w:kinsoku w:val="0"/>
        <w:overflowPunct w:val="0"/>
        <w:ind w:left="628"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w:t>
      </w:r>
    </w:p>
    <w:p w14:paraId="4BCA0983">
      <w:pPr>
        <w:pStyle w:val="14"/>
        <w:kinsoku w:val="0"/>
        <w:overflowPunct w:val="0"/>
        <w:ind w:left="0"/>
        <w:rPr>
          <w:rFonts w:hint="eastAsia" w:ascii="宋体" w:hAnsi="宋体" w:eastAsia="宋体" w:cs="宋体"/>
          <w:color w:val="auto"/>
          <w:sz w:val="20"/>
          <w:szCs w:val="24"/>
          <w:highlight w:val="none"/>
        </w:rPr>
      </w:pPr>
    </w:p>
    <w:p w14:paraId="512C52CB">
      <w:pPr>
        <w:pStyle w:val="14"/>
        <w:kinsoku w:val="0"/>
        <w:overflowPunct w:val="0"/>
        <w:ind w:left="0"/>
        <w:rPr>
          <w:rFonts w:hint="eastAsia" w:ascii="宋体" w:hAnsi="宋体" w:eastAsia="宋体" w:cs="宋体"/>
          <w:color w:val="auto"/>
          <w:sz w:val="20"/>
          <w:szCs w:val="24"/>
          <w:highlight w:val="none"/>
        </w:rPr>
      </w:pPr>
    </w:p>
    <w:p w14:paraId="23F7DE9E">
      <w:pPr>
        <w:pStyle w:val="14"/>
        <w:tabs>
          <w:tab w:val="left" w:pos="4603"/>
          <w:tab w:val="left" w:pos="5549"/>
          <w:tab w:val="left" w:pos="6494"/>
          <w:tab w:val="left" w:pos="7438"/>
        </w:tabs>
        <w:kinsoku w:val="0"/>
        <w:overflowPunct w:val="0"/>
        <w:spacing w:before="127"/>
        <w:ind w:left="505" w:right="113"/>
        <w:rPr>
          <w:rFonts w:hint="eastAsia" w:ascii="宋体" w:hAnsi="宋体" w:eastAsia="宋体" w:cs="宋体"/>
          <w:color w:val="auto"/>
          <w:spacing w:val="-2"/>
          <w:sz w:val="21"/>
          <w:szCs w:val="24"/>
          <w:highlight w:val="none"/>
        </w:rPr>
      </w:pPr>
      <w:r>
        <w:rPr>
          <w:rFonts w:hint="eastAsia" w:ascii="宋体" w:hAnsi="宋体" w:eastAsia="宋体" w:cs="宋体"/>
          <w:color w:val="auto"/>
          <w:spacing w:val="-2"/>
          <w:sz w:val="21"/>
          <w:szCs w:val="24"/>
          <w:highlight w:val="none"/>
        </w:rPr>
        <w:t>请将上述问题的澄清、说明或补正于</w:t>
      </w:r>
      <w:r>
        <w:rPr>
          <w:rFonts w:hint="eastAsia" w:ascii="宋体" w:hAnsi="宋体" w:eastAsia="宋体" w:cs="宋体"/>
          <w:color w:val="auto"/>
          <w:spacing w:val="-2"/>
          <w:sz w:val="21"/>
          <w:szCs w:val="24"/>
          <w:highlight w:val="none"/>
          <w:u w:val="single"/>
        </w:rPr>
        <w:tab/>
      </w:r>
      <w:r>
        <w:rPr>
          <w:rFonts w:hint="eastAsia" w:ascii="宋体" w:hAnsi="宋体" w:eastAsia="宋体" w:cs="宋体"/>
          <w:color w:val="auto"/>
          <w:sz w:val="21"/>
          <w:szCs w:val="24"/>
          <w:highlight w:val="none"/>
        </w:rPr>
        <w:t>年</w:t>
      </w:r>
      <w:r>
        <w:rPr>
          <w:rFonts w:hint="eastAsia" w:ascii="宋体" w:hAnsi="宋体" w:eastAsia="宋体" w:cs="宋体"/>
          <w:color w:val="auto"/>
          <w:sz w:val="21"/>
          <w:szCs w:val="24"/>
          <w:highlight w:val="none"/>
          <w:u w:val="single"/>
        </w:rPr>
        <w:tab/>
      </w:r>
      <w:r>
        <w:rPr>
          <w:rFonts w:hint="eastAsia" w:ascii="宋体" w:hAnsi="宋体" w:eastAsia="宋体" w:cs="宋体"/>
          <w:color w:val="auto"/>
          <w:sz w:val="21"/>
          <w:szCs w:val="24"/>
          <w:highlight w:val="none"/>
        </w:rPr>
        <w:t>月</w:t>
      </w:r>
      <w:r>
        <w:rPr>
          <w:rFonts w:hint="eastAsia" w:ascii="宋体" w:hAnsi="宋体" w:eastAsia="宋体" w:cs="宋体"/>
          <w:color w:val="auto"/>
          <w:sz w:val="21"/>
          <w:szCs w:val="24"/>
          <w:highlight w:val="none"/>
          <w:u w:val="single"/>
        </w:rPr>
        <w:tab/>
      </w:r>
      <w:r>
        <w:rPr>
          <w:rFonts w:hint="eastAsia" w:ascii="宋体" w:hAnsi="宋体" w:eastAsia="宋体" w:cs="宋体"/>
          <w:color w:val="auto"/>
          <w:spacing w:val="-3"/>
          <w:sz w:val="21"/>
          <w:szCs w:val="24"/>
          <w:highlight w:val="none"/>
        </w:rPr>
        <w:t>日</w:t>
      </w:r>
      <w:r>
        <w:rPr>
          <w:rFonts w:hint="eastAsia" w:ascii="宋体" w:hAnsi="宋体" w:eastAsia="宋体" w:cs="宋体"/>
          <w:color w:val="auto"/>
          <w:spacing w:val="-3"/>
          <w:sz w:val="21"/>
          <w:szCs w:val="24"/>
          <w:highlight w:val="none"/>
          <w:u w:val="single"/>
        </w:rPr>
        <w:tab/>
      </w:r>
      <w:r>
        <w:rPr>
          <w:rFonts w:hint="eastAsia" w:ascii="宋体" w:hAnsi="宋体" w:eastAsia="宋体" w:cs="宋体"/>
          <w:color w:val="auto"/>
          <w:spacing w:val="-2"/>
          <w:sz w:val="21"/>
          <w:szCs w:val="24"/>
          <w:highlight w:val="none"/>
        </w:rPr>
        <w:t>时前递交至</w:t>
      </w:r>
    </w:p>
    <w:p w14:paraId="70427921">
      <w:pPr>
        <w:pStyle w:val="14"/>
        <w:kinsoku w:val="0"/>
        <w:overflowPunct w:val="0"/>
        <w:spacing w:before="13"/>
        <w:ind w:left="0"/>
        <w:rPr>
          <w:rFonts w:hint="eastAsia" w:ascii="宋体" w:hAnsi="宋体" w:eastAsia="宋体" w:cs="宋体"/>
          <w:color w:val="auto"/>
          <w:sz w:val="9"/>
          <w:szCs w:val="24"/>
          <w:highlight w:val="none"/>
        </w:rPr>
      </w:pPr>
    </w:p>
    <w:p w14:paraId="0123D467">
      <w:pPr>
        <w:pStyle w:val="14"/>
        <w:tabs>
          <w:tab w:val="left" w:pos="3040"/>
          <w:tab w:val="left" w:pos="7296"/>
        </w:tabs>
        <w:kinsoku w:val="0"/>
        <w:overflowPunct w:val="0"/>
        <w:spacing w:before="36"/>
        <w:ind w:left="100"/>
        <w:rPr>
          <w:rFonts w:hint="eastAsia" w:ascii="宋体" w:hAnsi="宋体" w:eastAsia="宋体" w:cs="宋体"/>
          <w:color w:val="auto"/>
          <w:spacing w:val="-5"/>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ascii="宋体" w:hAnsi="宋体" w:eastAsia="宋体" w:cs="宋体"/>
          <w:color w:val="auto"/>
          <w:spacing w:val="-5"/>
          <w:sz w:val="21"/>
          <w:szCs w:val="24"/>
          <w:highlight w:val="none"/>
        </w:rPr>
        <w:t>（详细地址）或传真至</w:t>
      </w:r>
      <w:r>
        <w:rPr>
          <w:rFonts w:hint="eastAsia" w:ascii="宋体" w:hAnsi="宋体" w:eastAsia="宋体" w:cs="宋体"/>
          <w:color w:val="auto"/>
          <w:spacing w:val="-5"/>
          <w:sz w:val="21"/>
          <w:szCs w:val="24"/>
          <w:highlight w:val="none"/>
          <w:u w:val="single"/>
        </w:rPr>
        <w:tab/>
      </w:r>
      <w:r>
        <w:rPr>
          <w:rFonts w:hint="eastAsia" w:ascii="宋体" w:hAnsi="宋体" w:eastAsia="宋体" w:cs="宋体"/>
          <w:color w:val="auto"/>
          <w:spacing w:val="-5"/>
          <w:sz w:val="21"/>
          <w:szCs w:val="24"/>
          <w:highlight w:val="none"/>
        </w:rPr>
        <w:t>（传真号码）或</w:t>
      </w:r>
    </w:p>
    <w:p w14:paraId="50008E62">
      <w:pPr>
        <w:pStyle w:val="14"/>
        <w:kinsoku w:val="0"/>
        <w:overflowPunct w:val="0"/>
        <w:spacing w:before="10"/>
        <w:ind w:left="0"/>
        <w:rPr>
          <w:rFonts w:hint="eastAsia" w:ascii="宋体" w:hAnsi="宋体" w:eastAsia="宋体" w:cs="宋体"/>
          <w:color w:val="auto"/>
          <w:sz w:val="9"/>
          <w:szCs w:val="24"/>
          <w:highlight w:val="none"/>
        </w:rPr>
      </w:pPr>
    </w:p>
    <w:p w14:paraId="175BE66F">
      <w:pPr>
        <w:pStyle w:val="14"/>
        <w:tabs>
          <w:tab w:val="left" w:pos="7138"/>
          <w:tab w:val="left" w:pos="8084"/>
        </w:tabs>
        <w:kinsoku w:val="0"/>
        <w:overflowPunct w:val="0"/>
        <w:spacing w:before="36"/>
        <w:ind w:left="100" w:right="113"/>
        <w:rPr>
          <w:rFonts w:hint="eastAsia" w:ascii="宋体" w:hAnsi="宋体" w:eastAsia="宋体" w:cs="宋体"/>
          <w:color w:val="auto"/>
          <w:sz w:val="21"/>
          <w:szCs w:val="24"/>
          <w:highlight w:val="none"/>
        </w:rPr>
      </w:pPr>
      <w:r>
        <w:rPr>
          <w:rFonts w:hint="eastAsia" w:ascii="宋体" w:hAnsi="宋体" w:eastAsia="宋体" w:cs="宋体"/>
          <w:color w:val="auto"/>
          <w:spacing w:val="-2"/>
          <w:sz w:val="21"/>
          <w:szCs w:val="24"/>
          <w:highlight w:val="none"/>
        </w:rPr>
        <w:t>通过下载招标文件的电子招标交易平台上传。采用传真方式的，应在</w:t>
      </w:r>
      <w:r>
        <w:rPr>
          <w:rFonts w:hint="eastAsia" w:ascii="宋体" w:hAnsi="宋体" w:eastAsia="宋体" w:cs="宋体"/>
          <w:color w:val="auto"/>
          <w:spacing w:val="-2"/>
          <w:sz w:val="21"/>
          <w:szCs w:val="24"/>
          <w:highlight w:val="none"/>
          <w:u w:val="single"/>
        </w:rPr>
        <w:tab/>
      </w:r>
      <w:r>
        <w:rPr>
          <w:rFonts w:hint="eastAsia" w:ascii="宋体" w:hAnsi="宋体" w:eastAsia="宋体" w:cs="宋体"/>
          <w:color w:val="auto"/>
          <w:sz w:val="21"/>
          <w:szCs w:val="24"/>
          <w:highlight w:val="none"/>
        </w:rPr>
        <w:t>年</w:t>
      </w:r>
      <w:r>
        <w:rPr>
          <w:rFonts w:hint="eastAsia" w:ascii="宋体" w:hAnsi="宋体" w:eastAsia="宋体" w:cs="宋体"/>
          <w:color w:val="auto"/>
          <w:sz w:val="21"/>
          <w:szCs w:val="24"/>
          <w:highlight w:val="none"/>
          <w:u w:val="single"/>
        </w:rPr>
        <w:tab/>
      </w:r>
      <w:r>
        <w:rPr>
          <w:rFonts w:hint="eastAsia" w:ascii="宋体" w:hAnsi="宋体" w:eastAsia="宋体" w:cs="宋体"/>
          <w:color w:val="auto"/>
          <w:sz w:val="21"/>
          <w:szCs w:val="24"/>
          <w:highlight w:val="none"/>
        </w:rPr>
        <w:t>月</w:t>
      </w:r>
    </w:p>
    <w:p w14:paraId="11A6BDC7">
      <w:pPr>
        <w:pStyle w:val="14"/>
        <w:kinsoku w:val="0"/>
        <w:overflowPunct w:val="0"/>
        <w:spacing w:before="10"/>
        <w:ind w:left="0"/>
        <w:rPr>
          <w:rFonts w:hint="eastAsia" w:ascii="宋体" w:hAnsi="宋体" w:eastAsia="宋体" w:cs="宋体"/>
          <w:color w:val="auto"/>
          <w:sz w:val="9"/>
          <w:szCs w:val="24"/>
          <w:highlight w:val="none"/>
        </w:rPr>
      </w:pPr>
    </w:p>
    <w:p w14:paraId="2705FF16">
      <w:pPr>
        <w:pStyle w:val="14"/>
        <w:tabs>
          <w:tab w:val="left" w:pos="837"/>
          <w:tab w:val="left" w:pos="1782"/>
          <w:tab w:val="left" w:pos="5669"/>
        </w:tabs>
        <w:kinsoku w:val="0"/>
        <w:overflowPunct w:val="0"/>
        <w:spacing w:before="36"/>
        <w:ind w:left="100" w:right="113"/>
        <w:rPr>
          <w:rFonts w:hint="eastAsia" w:ascii="宋体" w:hAnsi="宋体" w:eastAsia="宋体" w:cs="宋体"/>
          <w:color w:val="auto"/>
          <w:spacing w:val="-17"/>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ascii="宋体" w:hAnsi="宋体" w:eastAsia="宋体" w:cs="宋体"/>
          <w:color w:val="auto"/>
          <w:sz w:val="21"/>
          <w:szCs w:val="24"/>
          <w:highlight w:val="none"/>
        </w:rPr>
        <w:t>日</w:t>
      </w:r>
      <w:r>
        <w:rPr>
          <w:rFonts w:hint="eastAsia" w:ascii="宋体" w:hAnsi="宋体" w:eastAsia="宋体" w:cs="宋体"/>
          <w:color w:val="auto"/>
          <w:sz w:val="21"/>
          <w:szCs w:val="24"/>
          <w:highlight w:val="none"/>
          <w:u w:val="single"/>
        </w:rPr>
        <w:tab/>
      </w:r>
      <w:r>
        <w:rPr>
          <w:rFonts w:hint="eastAsia" w:ascii="宋体" w:hAnsi="宋体" w:eastAsia="宋体" w:cs="宋体"/>
          <w:color w:val="auto"/>
          <w:spacing w:val="-2"/>
          <w:sz w:val="21"/>
          <w:szCs w:val="24"/>
          <w:highlight w:val="none"/>
        </w:rPr>
        <w:t>时前将原件递交至</w:t>
      </w:r>
      <w:r>
        <w:rPr>
          <w:rFonts w:hint="eastAsia" w:ascii="宋体" w:hAnsi="宋体" w:eastAsia="宋体" w:cs="宋体"/>
          <w:color w:val="auto"/>
          <w:spacing w:val="-2"/>
          <w:sz w:val="21"/>
          <w:szCs w:val="24"/>
          <w:highlight w:val="none"/>
          <w:u w:val="single"/>
        </w:rPr>
        <w:tab/>
      </w:r>
      <w:r>
        <w:rPr>
          <w:rFonts w:hint="eastAsia" w:ascii="宋体" w:hAnsi="宋体" w:eastAsia="宋体" w:cs="宋体"/>
          <w:color w:val="auto"/>
          <w:spacing w:val="-17"/>
          <w:sz w:val="21"/>
          <w:szCs w:val="24"/>
          <w:highlight w:val="none"/>
        </w:rPr>
        <w:t>（详细地址）。</w:t>
      </w:r>
    </w:p>
    <w:p w14:paraId="71A2760C">
      <w:pPr>
        <w:pStyle w:val="14"/>
        <w:kinsoku w:val="0"/>
        <w:overflowPunct w:val="0"/>
        <w:ind w:left="0"/>
        <w:rPr>
          <w:rFonts w:hint="eastAsia" w:ascii="宋体" w:hAnsi="宋体" w:eastAsia="宋体" w:cs="宋体"/>
          <w:color w:val="auto"/>
          <w:sz w:val="20"/>
          <w:szCs w:val="24"/>
          <w:highlight w:val="none"/>
        </w:rPr>
      </w:pPr>
    </w:p>
    <w:p w14:paraId="12ABB7A5">
      <w:pPr>
        <w:pStyle w:val="14"/>
        <w:kinsoku w:val="0"/>
        <w:overflowPunct w:val="0"/>
        <w:ind w:left="0"/>
        <w:rPr>
          <w:rFonts w:hint="eastAsia" w:ascii="宋体" w:hAnsi="宋体" w:eastAsia="宋体" w:cs="宋体"/>
          <w:color w:val="auto"/>
          <w:sz w:val="20"/>
          <w:szCs w:val="24"/>
          <w:highlight w:val="none"/>
        </w:rPr>
      </w:pPr>
    </w:p>
    <w:p w14:paraId="5DA0E679">
      <w:pPr>
        <w:pStyle w:val="14"/>
        <w:kinsoku w:val="0"/>
        <w:overflowPunct w:val="0"/>
        <w:ind w:left="0"/>
        <w:rPr>
          <w:rFonts w:hint="eastAsia" w:ascii="宋体" w:hAnsi="宋体" w:eastAsia="宋体" w:cs="宋体"/>
          <w:color w:val="auto"/>
          <w:sz w:val="20"/>
          <w:szCs w:val="24"/>
          <w:highlight w:val="none"/>
        </w:rPr>
      </w:pPr>
    </w:p>
    <w:p w14:paraId="0BA6C194">
      <w:pPr>
        <w:pStyle w:val="14"/>
        <w:kinsoku w:val="0"/>
        <w:overflowPunct w:val="0"/>
        <w:spacing w:before="2"/>
        <w:ind w:left="0"/>
        <w:rPr>
          <w:rFonts w:hint="eastAsia" w:ascii="宋体" w:hAnsi="宋体" w:eastAsia="宋体" w:cs="宋体"/>
          <w:color w:val="auto"/>
          <w:sz w:val="17"/>
          <w:szCs w:val="24"/>
          <w:highlight w:val="none"/>
        </w:rPr>
      </w:pPr>
    </w:p>
    <w:p w14:paraId="253C3168">
      <w:pPr>
        <w:pStyle w:val="14"/>
        <w:tabs>
          <w:tab w:val="left" w:pos="7032"/>
        </w:tabs>
        <w:kinsoku w:val="0"/>
        <w:overflowPunct w:val="0"/>
        <w:spacing w:before="36"/>
        <w:ind w:left="2200" w:right="113"/>
        <w:rPr>
          <w:rFonts w:hint="eastAsia" w:ascii="宋体" w:hAnsi="宋体" w:eastAsia="宋体" w:cs="宋体"/>
          <w:color w:val="auto"/>
          <w:spacing w:val="-1"/>
          <w:sz w:val="21"/>
          <w:szCs w:val="24"/>
          <w:highlight w:val="none"/>
        </w:rPr>
      </w:pPr>
      <w:r>
        <w:rPr>
          <w:rFonts w:hint="eastAsia" w:ascii="宋体" w:hAnsi="宋体" w:eastAsia="宋体" w:cs="宋体"/>
          <w:color w:val="auto"/>
          <w:spacing w:val="-2"/>
          <w:sz w:val="21"/>
          <w:szCs w:val="24"/>
          <w:highlight w:val="none"/>
        </w:rPr>
        <w:t>评标委员会</w:t>
      </w:r>
      <w:r>
        <w:rPr>
          <w:rFonts w:hint="eastAsia" w:ascii="宋体" w:hAnsi="宋体" w:eastAsia="宋体" w:cs="宋体"/>
          <w:color w:val="auto"/>
          <w:spacing w:val="-2"/>
          <w:sz w:val="21"/>
          <w:szCs w:val="24"/>
          <w:highlight w:val="none"/>
          <w:lang w:eastAsia="zh-CN"/>
        </w:rPr>
        <w:t>签字</w:t>
      </w:r>
      <w:r>
        <w:rPr>
          <w:rFonts w:hint="eastAsia" w:ascii="宋体" w:hAnsi="宋体" w:eastAsia="宋体" w:cs="宋体"/>
          <w:color w:val="auto"/>
          <w:spacing w:val="-2"/>
          <w:sz w:val="21"/>
          <w:szCs w:val="24"/>
          <w:highlight w:val="none"/>
        </w:rPr>
        <w:t>：</w:t>
      </w:r>
      <w:r>
        <w:rPr>
          <w:rFonts w:hint="eastAsia" w:ascii="宋体" w:hAnsi="宋体" w:eastAsia="宋体" w:cs="宋体"/>
          <w:color w:val="auto"/>
          <w:spacing w:val="-2"/>
          <w:sz w:val="21"/>
          <w:szCs w:val="24"/>
          <w:highlight w:val="none"/>
          <w:u w:val="single"/>
        </w:rPr>
        <w:tab/>
      </w:r>
    </w:p>
    <w:p w14:paraId="0F06A15C">
      <w:pPr>
        <w:pStyle w:val="14"/>
        <w:kinsoku w:val="0"/>
        <w:overflowPunct w:val="0"/>
        <w:ind w:left="0"/>
        <w:rPr>
          <w:rFonts w:hint="eastAsia" w:ascii="宋体" w:hAnsi="宋体" w:eastAsia="宋体" w:cs="宋体"/>
          <w:color w:val="auto"/>
          <w:sz w:val="20"/>
          <w:szCs w:val="24"/>
          <w:highlight w:val="none"/>
        </w:rPr>
      </w:pPr>
    </w:p>
    <w:p w14:paraId="724017B9">
      <w:pPr>
        <w:pStyle w:val="14"/>
        <w:kinsoku w:val="0"/>
        <w:overflowPunct w:val="0"/>
        <w:spacing w:before="7"/>
        <w:ind w:left="0"/>
        <w:rPr>
          <w:rFonts w:hint="eastAsia" w:ascii="宋体" w:hAnsi="宋体" w:eastAsia="宋体" w:cs="宋体"/>
          <w:color w:val="auto"/>
          <w:sz w:val="23"/>
          <w:szCs w:val="24"/>
          <w:highlight w:val="none"/>
        </w:rPr>
      </w:pPr>
    </w:p>
    <w:p w14:paraId="667CE71D">
      <w:pPr>
        <w:pStyle w:val="14"/>
        <w:tabs>
          <w:tab w:val="left" w:pos="5803"/>
          <w:tab w:val="left" w:pos="6746"/>
          <w:tab w:val="left" w:pos="7692"/>
        </w:tabs>
        <w:kinsoku w:val="0"/>
        <w:overflowPunct w:val="0"/>
        <w:spacing w:before="36"/>
        <w:ind w:left="4961"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ascii="宋体" w:hAnsi="宋体" w:eastAsia="宋体" w:cs="宋体"/>
          <w:color w:val="auto"/>
          <w:spacing w:val="-3"/>
          <w:sz w:val="21"/>
          <w:szCs w:val="24"/>
          <w:highlight w:val="none"/>
        </w:rPr>
        <w:t>年</w:t>
      </w:r>
      <w:r>
        <w:rPr>
          <w:rFonts w:hint="eastAsia" w:ascii="宋体" w:hAnsi="宋体" w:eastAsia="宋体" w:cs="宋体"/>
          <w:color w:val="auto"/>
          <w:spacing w:val="-3"/>
          <w:sz w:val="21"/>
          <w:szCs w:val="24"/>
          <w:highlight w:val="none"/>
          <w:u w:val="single"/>
        </w:rPr>
        <w:tab/>
      </w:r>
      <w:r>
        <w:rPr>
          <w:rFonts w:hint="eastAsia" w:ascii="宋体" w:hAnsi="宋体" w:eastAsia="宋体" w:cs="宋体"/>
          <w:color w:val="auto"/>
          <w:sz w:val="21"/>
          <w:szCs w:val="24"/>
          <w:highlight w:val="none"/>
        </w:rPr>
        <w:t>月</w:t>
      </w:r>
      <w:r>
        <w:rPr>
          <w:rFonts w:hint="eastAsia" w:ascii="宋体" w:hAnsi="宋体" w:eastAsia="宋体" w:cs="宋体"/>
          <w:color w:val="auto"/>
          <w:sz w:val="21"/>
          <w:szCs w:val="24"/>
          <w:highlight w:val="none"/>
          <w:u w:val="single"/>
        </w:rPr>
        <w:tab/>
      </w:r>
      <w:r>
        <w:rPr>
          <w:rFonts w:hint="eastAsia" w:ascii="宋体" w:hAnsi="宋体" w:eastAsia="宋体" w:cs="宋体"/>
          <w:color w:val="auto"/>
          <w:sz w:val="21"/>
          <w:szCs w:val="24"/>
          <w:highlight w:val="none"/>
        </w:rPr>
        <w:t>日</w:t>
      </w:r>
    </w:p>
    <w:p w14:paraId="4CABD6B4">
      <w:pPr>
        <w:pStyle w:val="14"/>
        <w:tabs>
          <w:tab w:val="left" w:pos="5803"/>
          <w:tab w:val="left" w:pos="6746"/>
          <w:tab w:val="left" w:pos="7692"/>
        </w:tabs>
        <w:kinsoku w:val="0"/>
        <w:overflowPunct w:val="0"/>
        <w:spacing w:before="36"/>
        <w:ind w:left="4961" w:right="113"/>
        <w:rPr>
          <w:rFonts w:hint="eastAsia" w:ascii="宋体" w:hAnsi="宋体" w:eastAsia="宋体" w:cs="宋体"/>
          <w:color w:val="auto"/>
          <w:sz w:val="21"/>
          <w:szCs w:val="24"/>
          <w:highlight w:val="none"/>
        </w:rPr>
        <w:sectPr>
          <w:pgSz w:w="11905" w:h="16838"/>
          <w:pgMar w:top="1417" w:right="1417" w:bottom="1417" w:left="1417" w:header="992" w:footer="992" w:gutter="0"/>
          <w:lnNumType w:countBy="0" w:distance="360"/>
          <w:pgNumType w:fmt="decimal"/>
          <w:cols w:space="720" w:num="1"/>
        </w:sectPr>
      </w:pPr>
    </w:p>
    <w:p w14:paraId="5E67A02A">
      <w:pPr>
        <w:pStyle w:val="8"/>
        <w:rPr>
          <w:rFonts w:hint="eastAsia" w:ascii="宋体" w:hAnsi="宋体" w:eastAsia="宋体" w:cs="宋体"/>
          <w:color w:val="auto"/>
          <w:sz w:val="28"/>
          <w:szCs w:val="24"/>
          <w:highlight w:val="none"/>
        </w:rPr>
      </w:pPr>
      <w:bookmarkStart w:id="109" w:name="bookmark78"/>
      <w:bookmarkEnd w:id="109"/>
      <w:r>
        <w:rPr>
          <w:rFonts w:hint="eastAsia" w:ascii="宋体" w:hAnsi="宋体" w:eastAsia="宋体" w:cs="宋体"/>
          <w:color w:val="auto"/>
          <w:sz w:val="28"/>
          <w:szCs w:val="24"/>
          <w:highlight w:val="none"/>
        </w:rPr>
        <w:t>附件</w:t>
      </w:r>
      <w:r>
        <w:rPr>
          <w:rFonts w:hint="eastAsia" w:ascii="宋体" w:hAnsi="宋体" w:eastAsia="宋体" w:cs="宋体"/>
          <w:color w:val="auto"/>
          <w:sz w:val="28"/>
          <w:szCs w:val="24"/>
          <w:highlight w:val="none"/>
          <w:lang w:eastAsia="zh-CN"/>
        </w:rPr>
        <w:t>二</w:t>
      </w:r>
      <w:r>
        <w:rPr>
          <w:rFonts w:hint="eastAsia" w:ascii="宋体" w:hAnsi="宋体" w:eastAsia="宋体" w:cs="宋体"/>
          <w:color w:val="auto"/>
          <w:sz w:val="28"/>
          <w:szCs w:val="24"/>
          <w:highlight w:val="none"/>
        </w:rPr>
        <w:t>：问题的澄清</w:t>
      </w:r>
    </w:p>
    <w:p w14:paraId="53B6ABFA">
      <w:pPr>
        <w:pStyle w:val="14"/>
        <w:kinsoku w:val="0"/>
        <w:overflowPunct w:val="0"/>
        <w:ind w:left="0"/>
        <w:rPr>
          <w:rFonts w:hint="eastAsia" w:ascii="宋体" w:hAnsi="宋体" w:eastAsia="宋体" w:cs="宋体"/>
          <w:color w:val="auto"/>
          <w:sz w:val="20"/>
          <w:szCs w:val="24"/>
          <w:highlight w:val="none"/>
        </w:rPr>
      </w:pPr>
    </w:p>
    <w:p w14:paraId="116311D1">
      <w:pPr>
        <w:pStyle w:val="14"/>
        <w:kinsoku w:val="0"/>
        <w:overflowPunct w:val="0"/>
        <w:ind w:left="0"/>
        <w:rPr>
          <w:rFonts w:hint="eastAsia" w:ascii="宋体" w:hAnsi="宋体" w:eastAsia="宋体" w:cs="宋体"/>
          <w:color w:val="auto"/>
          <w:sz w:val="20"/>
          <w:szCs w:val="24"/>
          <w:highlight w:val="none"/>
        </w:rPr>
      </w:pPr>
    </w:p>
    <w:p w14:paraId="4AD1B1CC">
      <w:pPr>
        <w:pStyle w:val="14"/>
        <w:kinsoku w:val="0"/>
        <w:overflowPunct w:val="0"/>
        <w:ind w:left="0"/>
        <w:rPr>
          <w:rFonts w:hint="eastAsia" w:ascii="宋体" w:hAnsi="宋体" w:eastAsia="宋体" w:cs="宋体"/>
          <w:color w:val="auto"/>
          <w:sz w:val="20"/>
          <w:szCs w:val="24"/>
          <w:highlight w:val="none"/>
        </w:rPr>
      </w:pPr>
    </w:p>
    <w:p w14:paraId="03577CDE">
      <w:pPr>
        <w:pStyle w:val="14"/>
        <w:kinsoku w:val="0"/>
        <w:overflowPunct w:val="0"/>
        <w:spacing w:before="168"/>
        <w:ind w:left="0" w:right="16"/>
        <w:jc w:val="center"/>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问题的澄清</w:t>
      </w:r>
    </w:p>
    <w:p w14:paraId="58CD06F5">
      <w:pPr>
        <w:pStyle w:val="14"/>
        <w:tabs>
          <w:tab w:val="left" w:pos="5947"/>
        </w:tabs>
        <w:kinsoku w:val="0"/>
        <w:overflowPunct w:val="0"/>
        <w:spacing w:before="113"/>
        <w:ind w:left="3566" w:right="113"/>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4"/>
          <w:highlight w:val="none"/>
        </w:rPr>
        <w:t>（编号：</w:t>
      </w:r>
      <w:r>
        <w:rPr>
          <w:rFonts w:hint="eastAsia" w:ascii="宋体" w:hAnsi="宋体" w:eastAsia="宋体" w:cs="宋体"/>
          <w:color w:val="auto"/>
          <w:spacing w:val="-1"/>
          <w:sz w:val="21"/>
          <w:szCs w:val="24"/>
          <w:highlight w:val="none"/>
          <w:u w:val="single"/>
        </w:rPr>
        <w:tab/>
      </w:r>
      <w:r>
        <w:rPr>
          <w:rFonts w:hint="eastAsia" w:ascii="宋体" w:hAnsi="宋体" w:eastAsia="宋体" w:cs="宋体"/>
          <w:color w:val="auto"/>
          <w:sz w:val="21"/>
          <w:szCs w:val="24"/>
          <w:highlight w:val="none"/>
        </w:rPr>
        <w:t>）</w:t>
      </w:r>
    </w:p>
    <w:p w14:paraId="2BBA13A6">
      <w:pPr>
        <w:pStyle w:val="14"/>
        <w:kinsoku w:val="0"/>
        <w:overflowPunct w:val="0"/>
        <w:ind w:left="0"/>
        <w:rPr>
          <w:rFonts w:hint="eastAsia" w:ascii="宋体" w:hAnsi="宋体" w:eastAsia="宋体" w:cs="宋体"/>
          <w:color w:val="auto"/>
          <w:sz w:val="20"/>
          <w:szCs w:val="24"/>
          <w:highlight w:val="none"/>
        </w:rPr>
      </w:pPr>
    </w:p>
    <w:p w14:paraId="62C9CAD7">
      <w:pPr>
        <w:pStyle w:val="14"/>
        <w:kinsoku w:val="0"/>
        <w:overflowPunct w:val="0"/>
        <w:spacing w:before="1"/>
        <w:ind w:left="0"/>
        <w:rPr>
          <w:rFonts w:hint="eastAsia" w:ascii="宋体" w:hAnsi="宋体" w:eastAsia="宋体" w:cs="宋体"/>
          <w:color w:val="auto"/>
          <w:sz w:val="20"/>
          <w:szCs w:val="24"/>
          <w:highlight w:val="none"/>
        </w:rPr>
      </w:pPr>
    </w:p>
    <w:p w14:paraId="1D77A600">
      <w:pPr>
        <w:pStyle w:val="14"/>
        <w:kinsoku w:val="0"/>
        <w:overflowPunct w:val="0"/>
        <w:spacing w:before="36"/>
        <w:ind w:left="100"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评标委员会：</w:t>
      </w:r>
    </w:p>
    <w:p w14:paraId="0901351A">
      <w:pPr>
        <w:pStyle w:val="14"/>
        <w:kinsoku w:val="0"/>
        <w:overflowPunct w:val="0"/>
        <w:ind w:left="0"/>
        <w:rPr>
          <w:rFonts w:hint="eastAsia" w:ascii="宋体" w:hAnsi="宋体" w:eastAsia="宋体" w:cs="宋体"/>
          <w:color w:val="auto"/>
          <w:sz w:val="20"/>
          <w:szCs w:val="24"/>
          <w:highlight w:val="none"/>
        </w:rPr>
      </w:pPr>
    </w:p>
    <w:p w14:paraId="0FA60F36">
      <w:pPr>
        <w:pStyle w:val="14"/>
        <w:kinsoku w:val="0"/>
        <w:overflowPunct w:val="0"/>
        <w:spacing w:before="2"/>
        <w:ind w:left="0"/>
        <w:rPr>
          <w:rFonts w:hint="eastAsia" w:ascii="宋体" w:hAnsi="宋体" w:eastAsia="宋体" w:cs="宋体"/>
          <w:color w:val="auto"/>
          <w:sz w:val="26"/>
          <w:szCs w:val="24"/>
          <w:highlight w:val="none"/>
        </w:rPr>
      </w:pPr>
    </w:p>
    <w:p w14:paraId="7A9E5908">
      <w:pPr>
        <w:pStyle w:val="14"/>
        <w:tabs>
          <w:tab w:val="left" w:pos="3460"/>
        </w:tabs>
        <w:kinsoku w:val="0"/>
        <w:overflowPunct w:val="0"/>
        <w:ind w:left="522" w:right="113"/>
        <w:rPr>
          <w:rFonts w:hint="eastAsia" w:ascii="宋体" w:hAnsi="宋体" w:eastAsia="宋体" w:cs="宋体"/>
          <w:color w:val="auto"/>
          <w:spacing w:val="-2"/>
          <w:sz w:val="21"/>
          <w:szCs w:val="24"/>
          <w:highlight w:val="none"/>
        </w:rPr>
      </w:pPr>
      <w:r>
        <w:rPr>
          <w:rFonts w:hint="eastAsia" w:ascii="宋体" w:hAnsi="宋体" w:eastAsia="宋体" w:cs="宋体"/>
          <w:color w:val="auto"/>
          <w:spacing w:val="-2"/>
          <w:sz w:val="21"/>
          <w:szCs w:val="24"/>
          <w:highlight w:val="none"/>
        </w:rPr>
        <w:t>问题澄清通知（编号：</w:t>
      </w:r>
      <w:r>
        <w:rPr>
          <w:rFonts w:hint="eastAsia" w:ascii="宋体" w:hAnsi="宋体" w:eastAsia="宋体" w:cs="宋体"/>
          <w:color w:val="auto"/>
          <w:spacing w:val="-2"/>
          <w:sz w:val="21"/>
          <w:szCs w:val="24"/>
          <w:highlight w:val="none"/>
          <w:u w:val="single"/>
        </w:rPr>
        <w:tab/>
      </w:r>
      <w:r>
        <w:rPr>
          <w:rFonts w:hint="eastAsia" w:ascii="宋体" w:hAnsi="宋体" w:eastAsia="宋体" w:cs="宋体"/>
          <w:color w:val="auto"/>
          <w:spacing w:val="-2"/>
          <w:sz w:val="21"/>
          <w:szCs w:val="24"/>
          <w:highlight w:val="none"/>
        </w:rPr>
        <w:t>）已收悉，现澄清、说明或补正如下：</w:t>
      </w:r>
    </w:p>
    <w:p w14:paraId="7D58E304">
      <w:pPr>
        <w:pStyle w:val="14"/>
        <w:kinsoku w:val="0"/>
        <w:overflowPunct w:val="0"/>
        <w:spacing w:before="11"/>
        <w:ind w:left="0"/>
        <w:rPr>
          <w:rFonts w:hint="eastAsia" w:ascii="宋体" w:hAnsi="宋体" w:eastAsia="宋体" w:cs="宋体"/>
          <w:color w:val="auto"/>
          <w:sz w:val="10"/>
          <w:szCs w:val="24"/>
          <w:highlight w:val="none"/>
        </w:rPr>
      </w:pPr>
    </w:p>
    <w:p w14:paraId="6FC45AD8">
      <w:pPr>
        <w:pStyle w:val="14"/>
        <w:kinsoku w:val="0"/>
        <w:overflowPunct w:val="0"/>
        <w:spacing w:before="74"/>
        <w:ind w:left="0" w:right="7025"/>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w:t>
      </w:r>
    </w:p>
    <w:p w14:paraId="6183DB76">
      <w:pPr>
        <w:pStyle w:val="14"/>
        <w:kinsoku w:val="0"/>
        <w:overflowPunct w:val="0"/>
        <w:spacing w:before="2"/>
        <w:ind w:left="0"/>
        <w:rPr>
          <w:rFonts w:hint="eastAsia" w:ascii="宋体" w:hAnsi="宋体" w:eastAsia="宋体" w:cs="宋体"/>
          <w:color w:val="auto"/>
          <w:sz w:val="17"/>
          <w:szCs w:val="24"/>
          <w:highlight w:val="none"/>
        </w:rPr>
      </w:pPr>
    </w:p>
    <w:p w14:paraId="494A979F">
      <w:pPr>
        <w:pStyle w:val="14"/>
        <w:kinsoku w:val="0"/>
        <w:overflowPunct w:val="0"/>
        <w:ind w:left="0" w:right="7025"/>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w:t>
      </w:r>
    </w:p>
    <w:p w14:paraId="0EBF29A0">
      <w:pPr>
        <w:pStyle w:val="14"/>
        <w:kinsoku w:val="0"/>
        <w:overflowPunct w:val="0"/>
        <w:spacing w:before="2"/>
        <w:ind w:left="0"/>
        <w:rPr>
          <w:rFonts w:hint="eastAsia" w:ascii="宋体" w:hAnsi="宋体" w:eastAsia="宋体" w:cs="宋体"/>
          <w:color w:val="auto"/>
          <w:sz w:val="17"/>
          <w:szCs w:val="24"/>
          <w:highlight w:val="none"/>
        </w:rPr>
      </w:pPr>
    </w:p>
    <w:p w14:paraId="40A7CF62">
      <w:pPr>
        <w:pStyle w:val="14"/>
        <w:kinsoku w:val="0"/>
        <w:overflowPunct w:val="0"/>
        <w:ind w:left="0" w:right="713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w:t>
      </w:r>
    </w:p>
    <w:p w14:paraId="76505037">
      <w:pPr>
        <w:pStyle w:val="14"/>
        <w:kinsoku w:val="0"/>
        <w:overflowPunct w:val="0"/>
        <w:ind w:left="0"/>
        <w:rPr>
          <w:rFonts w:hint="eastAsia" w:ascii="宋体" w:hAnsi="宋体" w:eastAsia="宋体" w:cs="宋体"/>
          <w:color w:val="auto"/>
          <w:sz w:val="20"/>
          <w:szCs w:val="24"/>
          <w:highlight w:val="none"/>
        </w:rPr>
      </w:pPr>
    </w:p>
    <w:p w14:paraId="44847BA9">
      <w:pPr>
        <w:pStyle w:val="14"/>
        <w:kinsoku w:val="0"/>
        <w:overflowPunct w:val="0"/>
        <w:ind w:left="0"/>
        <w:rPr>
          <w:rFonts w:hint="eastAsia" w:ascii="宋体" w:hAnsi="宋体" w:eastAsia="宋体" w:cs="宋体"/>
          <w:color w:val="auto"/>
          <w:sz w:val="20"/>
          <w:szCs w:val="24"/>
          <w:highlight w:val="none"/>
        </w:rPr>
      </w:pPr>
    </w:p>
    <w:p w14:paraId="7980C462">
      <w:pPr>
        <w:pStyle w:val="14"/>
        <w:kinsoku w:val="0"/>
        <w:overflowPunct w:val="0"/>
        <w:ind w:left="0"/>
        <w:rPr>
          <w:rFonts w:hint="eastAsia" w:ascii="宋体" w:hAnsi="宋体" w:eastAsia="宋体" w:cs="宋体"/>
          <w:color w:val="auto"/>
          <w:sz w:val="20"/>
          <w:szCs w:val="24"/>
          <w:highlight w:val="none"/>
        </w:rPr>
      </w:pPr>
    </w:p>
    <w:p w14:paraId="3588198E">
      <w:pPr>
        <w:pStyle w:val="14"/>
        <w:kinsoku w:val="0"/>
        <w:overflowPunct w:val="0"/>
        <w:ind w:left="0"/>
        <w:rPr>
          <w:rFonts w:hint="eastAsia" w:ascii="宋体" w:hAnsi="宋体" w:eastAsia="宋体" w:cs="宋体"/>
          <w:color w:val="auto"/>
          <w:sz w:val="20"/>
          <w:szCs w:val="24"/>
          <w:highlight w:val="none"/>
        </w:rPr>
      </w:pPr>
    </w:p>
    <w:p w14:paraId="4BFB0B9A">
      <w:pPr>
        <w:pStyle w:val="14"/>
        <w:kinsoku w:val="0"/>
        <w:overflowPunct w:val="0"/>
        <w:ind w:left="0"/>
        <w:rPr>
          <w:rFonts w:hint="eastAsia" w:ascii="宋体" w:hAnsi="宋体" w:eastAsia="宋体" w:cs="宋体"/>
          <w:color w:val="auto"/>
          <w:sz w:val="20"/>
          <w:szCs w:val="24"/>
          <w:highlight w:val="none"/>
        </w:rPr>
      </w:pPr>
    </w:p>
    <w:p w14:paraId="110D798F">
      <w:pPr>
        <w:pStyle w:val="14"/>
        <w:kinsoku w:val="0"/>
        <w:overflowPunct w:val="0"/>
        <w:spacing w:before="11"/>
        <w:ind w:left="0"/>
        <w:rPr>
          <w:rFonts w:hint="eastAsia" w:ascii="宋体" w:hAnsi="宋体" w:eastAsia="宋体" w:cs="宋体"/>
          <w:color w:val="auto"/>
          <w:sz w:val="27"/>
          <w:szCs w:val="24"/>
          <w:highlight w:val="none"/>
        </w:rPr>
      </w:pPr>
    </w:p>
    <w:p w14:paraId="5DDE8DB5">
      <w:pPr>
        <w:pStyle w:val="14"/>
        <w:kinsoku w:val="0"/>
        <w:overflowPunct w:val="0"/>
        <w:spacing w:line="384" w:lineRule="auto"/>
        <w:ind w:left="100" w:right="113" w:firstLine="419"/>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4"/>
          <w:highlight w:val="none"/>
        </w:rPr>
        <w:t>上述问题澄清、说明或补正，不改变我方投标文件的实质性内容，构成我方投标文件的组</w:t>
      </w:r>
      <w:r>
        <w:rPr>
          <w:rFonts w:hint="eastAsia" w:ascii="宋体" w:hAnsi="宋体" w:eastAsia="宋体" w:cs="宋体"/>
          <w:color w:val="auto"/>
          <w:sz w:val="21"/>
          <w:szCs w:val="24"/>
          <w:highlight w:val="none"/>
        </w:rPr>
        <w:t xml:space="preserve"> 成部分。</w:t>
      </w:r>
    </w:p>
    <w:p w14:paraId="50D88CB3">
      <w:pPr>
        <w:pStyle w:val="14"/>
        <w:kinsoku w:val="0"/>
        <w:overflowPunct w:val="0"/>
        <w:ind w:left="0"/>
        <w:rPr>
          <w:rFonts w:hint="eastAsia" w:ascii="宋体" w:hAnsi="宋体" w:eastAsia="宋体" w:cs="宋体"/>
          <w:color w:val="auto"/>
          <w:sz w:val="20"/>
          <w:szCs w:val="24"/>
          <w:highlight w:val="none"/>
        </w:rPr>
      </w:pPr>
    </w:p>
    <w:p w14:paraId="15B13EF4">
      <w:pPr>
        <w:pStyle w:val="14"/>
        <w:kinsoku w:val="0"/>
        <w:overflowPunct w:val="0"/>
        <w:ind w:left="0"/>
        <w:rPr>
          <w:rFonts w:hint="eastAsia" w:ascii="宋体" w:hAnsi="宋体" w:eastAsia="宋体" w:cs="宋体"/>
          <w:color w:val="auto"/>
          <w:sz w:val="20"/>
          <w:szCs w:val="24"/>
          <w:highlight w:val="none"/>
        </w:rPr>
      </w:pPr>
    </w:p>
    <w:p w14:paraId="69F9DFDF">
      <w:pPr>
        <w:pStyle w:val="14"/>
        <w:kinsoku w:val="0"/>
        <w:overflowPunct w:val="0"/>
        <w:spacing w:before="6"/>
        <w:ind w:left="0"/>
        <w:rPr>
          <w:rFonts w:hint="eastAsia" w:ascii="宋体" w:hAnsi="宋体" w:eastAsia="宋体" w:cs="宋体"/>
          <w:color w:val="auto"/>
          <w:sz w:val="19"/>
          <w:szCs w:val="24"/>
          <w:highlight w:val="none"/>
        </w:rPr>
      </w:pPr>
    </w:p>
    <w:p w14:paraId="3963D743">
      <w:pPr>
        <w:pStyle w:val="14"/>
        <w:tabs>
          <w:tab w:val="left" w:pos="7382"/>
        </w:tabs>
        <w:kinsoku w:val="0"/>
        <w:overflowPunct w:val="0"/>
        <w:ind w:left="3043" w:right="113"/>
        <w:rPr>
          <w:rFonts w:hint="eastAsia" w:ascii="宋体" w:hAnsi="宋体" w:eastAsia="宋体" w:cs="宋体"/>
          <w:color w:val="auto"/>
          <w:spacing w:val="-1"/>
          <w:sz w:val="21"/>
          <w:szCs w:val="24"/>
          <w:highlight w:val="none"/>
        </w:rPr>
      </w:pPr>
      <w:r>
        <w:rPr>
          <w:rFonts w:hint="eastAsia" w:ascii="宋体" w:hAnsi="宋体" w:eastAsia="宋体" w:cs="宋体"/>
          <w:color w:val="auto"/>
          <w:spacing w:val="-1"/>
          <w:sz w:val="21"/>
          <w:szCs w:val="24"/>
          <w:highlight w:val="none"/>
        </w:rPr>
        <w:t>投标人：</w:t>
      </w:r>
      <w:r>
        <w:rPr>
          <w:rFonts w:hint="eastAsia" w:ascii="宋体" w:hAnsi="宋体" w:eastAsia="宋体" w:cs="宋体"/>
          <w:color w:val="auto"/>
          <w:spacing w:val="-1"/>
          <w:sz w:val="21"/>
          <w:szCs w:val="24"/>
          <w:highlight w:val="none"/>
          <w:u w:val="single"/>
        </w:rPr>
        <w:tab/>
      </w:r>
      <w:r>
        <w:rPr>
          <w:rFonts w:hint="eastAsia" w:ascii="宋体" w:hAnsi="宋体" w:eastAsia="宋体" w:cs="宋体"/>
          <w:color w:val="auto"/>
          <w:spacing w:val="-1"/>
          <w:sz w:val="21"/>
          <w:szCs w:val="24"/>
          <w:highlight w:val="none"/>
        </w:rPr>
        <w:t>（盖单位章）</w:t>
      </w:r>
    </w:p>
    <w:p w14:paraId="6467D57F">
      <w:pPr>
        <w:pStyle w:val="14"/>
        <w:kinsoku w:val="0"/>
        <w:overflowPunct w:val="0"/>
        <w:spacing w:before="11"/>
        <w:ind w:left="0"/>
        <w:rPr>
          <w:rFonts w:hint="eastAsia" w:ascii="宋体" w:hAnsi="宋体" w:eastAsia="宋体" w:cs="宋体"/>
          <w:color w:val="auto"/>
          <w:sz w:val="17"/>
          <w:szCs w:val="24"/>
          <w:highlight w:val="none"/>
        </w:rPr>
      </w:pPr>
    </w:p>
    <w:p w14:paraId="1635F55F">
      <w:pPr>
        <w:pStyle w:val="14"/>
        <w:tabs>
          <w:tab w:val="left" w:pos="6612"/>
        </w:tabs>
        <w:kinsoku w:val="0"/>
        <w:overflowPunct w:val="0"/>
        <w:spacing w:before="36"/>
        <w:ind w:left="3041" w:right="113"/>
        <w:rPr>
          <w:rFonts w:hint="eastAsia" w:ascii="宋体" w:hAnsi="宋体" w:eastAsia="宋体" w:cs="宋体"/>
          <w:color w:val="auto"/>
          <w:spacing w:val="-2"/>
          <w:sz w:val="21"/>
          <w:szCs w:val="24"/>
          <w:highlight w:val="none"/>
        </w:rPr>
      </w:pPr>
      <w:r>
        <w:rPr>
          <w:rFonts w:hint="eastAsia" w:ascii="宋体" w:hAnsi="宋体" w:eastAsia="宋体" w:cs="宋体"/>
          <w:color w:val="auto"/>
          <w:spacing w:val="-2"/>
          <w:sz w:val="21"/>
          <w:szCs w:val="24"/>
          <w:highlight w:val="none"/>
        </w:rPr>
        <w:t>法定代表人或其委托代理人：</w:t>
      </w:r>
      <w:r>
        <w:rPr>
          <w:rFonts w:hint="eastAsia" w:ascii="宋体" w:hAnsi="宋体" w:eastAsia="宋体" w:cs="宋体"/>
          <w:color w:val="auto"/>
          <w:spacing w:val="-2"/>
          <w:sz w:val="21"/>
          <w:szCs w:val="24"/>
          <w:highlight w:val="none"/>
          <w:u w:val="single"/>
        </w:rPr>
        <w:tab/>
      </w:r>
      <w:r>
        <w:rPr>
          <w:rFonts w:hint="eastAsia" w:ascii="宋体" w:hAnsi="宋体" w:eastAsia="宋体" w:cs="宋体"/>
          <w:color w:val="auto"/>
          <w:spacing w:val="-2"/>
          <w:sz w:val="21"/>
          <w:szCs w:val="24"/>
          <w:highlight w:val="none"/>
        </w:rPr>
        <w:t>（签字）</w:t>
      </w:r>
    </w:p>
    <w:p w14:paraId="6E9FCAA3">
      <w:pPr>
        <w:pStyle w:val="14"/>
        <w:kinsoku w:val="0"/>
        <w:overflowPunct w:val="0"/>
        <w:ind w:left="0"/>
        <w:rPr>
          <w:rFonts w:hint="eastAsia" w:ascii="宋体" w:hAnsi="宋体" w:eastAsia="宋体" w:cs="宋体"/>
          <w:color w:val="auto"/>
          <w:sz w:val="20"/>
          <w:szCs w:val="24"/>
          <w:highlight w:val="none"/>
        </w:rPr>
      </w:pPr>
    </w:p>
    <w:p w14:paraId="2B7624C5">
      <w:pPr>
        <w:pStyle w:val="14"/>
        <w:kinsoku w:val="0"/>
        <w:overflowPunct w:val="0"/>
        <w:ind w:left="0"/>
        <w:rPr>
          <w:rFonts w:hint="eastAsia" w:ascii="宋体" w:hAnsi="宋体" w:eastAsia="宋体" w:cs="宋体"/>
          <w:color w:val="auto"/>
          <w:sz w:val="20"/>
          <w:szCs w:val="24"/>
          <w:highlight w:val="none"/>
        </w:rPr>
      </w:pPr>
    </w:p>
    <w:p w14:paraId="619229A7">
      <w:pPr>
        <w:pStyle w:val="14"/>
        <w:kinsoku w:val="0"/>
        <w:overflowPunct w:val="0"/>
        <w:spacing w:before="4"/>
        <w:ind w:left="0"/>
        <w:rPr>
          <w:rFonts w:hint="eastAsia" w:ascii="宋体" w:hAnsi="宋体" w:eastAsia="宋体" w:cs="宋体"/>
          <w:color w:val="auto"/>
          <w:sz w:val="22"/>
          <w:szCs w:val="24"/>
          <w:highlight w:val="none"/>
        </w:rPr>
      </w:pPr>
    </w:p>
    <w:p w14:paraId="4411D25F">
      <w:pPr>
        <w:pStyle w:val="14"/>
        <w:tabs>
          <w:tab w:val="left" w:pos="6434"/>
          <w:tab w:val="left" w:pos="7483"/>
          <w:tab w:val="left" w:pos="8533"/>
        </w:tabs>
        <w:kinsoku w:val="0"/>
        <w:overflowPunct w:val="0"/>
        <w:spacing w:before="36"/>
        <w:ind w:left="5595"/>
        <w:rPr>
          <w:rFonts w:hint="eastAsia" w:ascii="宋体" w:hAnsi="宋体" w:eastAsia="宋体" w:cs="宋体"/>
          <w:color w:val="auto"/>
          <w:sz w:val="21"/>
          <w:szCs w:val="24"/>
          <w:highlight w:val="none"/>
        </w:rPr>
        <w:sectPr>
          <w:pgSz w:w="11905" w:h="16838"/>
          <w:pgMar w:top="1417" w:right="1417" w:bottom="1417" w:left="1417" w:header="992" w:footer="992" w:gutter="0"/>
          <w:lnNumType w:countBy="0" w:distance="360"/>
          <w:pgNumType w:fmt="decimal"/>
          <w:cols w:space="720" w:num="1"/>
        </w:sect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ascii="宋体" w:hAnsi="宋体" w:eastAsia="宋体" w:cs="宋体"/>
          <w:color w:val="auto"/>
          <w:spacing w:val="-3"/>
          <w:sz w:val="21"/>
          <w:szCs w:val="24"/>
          <w:highlight w:val="none"/>
        </w:rPr>
        <w:t>年</w:t>
      </w:r>
      <w:r>
        <w:rPr>
          <w:rFonts w:hint="eastAsia" w:ascii="宋体" w:hAnsi="宋体" w:eastAsia="宋体" w:cs="宋体"/>
          <w:color w:val="auto"/>
          <w:spacing w:val="-3"/>
          <w:sz w:val="21"/>
          <w:szCs w:val="24"/>
          <w:highlight w:val="none"/>
          <w:u w:val="single"/>
        </w:rPr>
        <w:tab/>
      </w:r>
      <w:r>
        <w:rPr>
          <w:rFonts w:hint="eastAsia" w:ascii="宋体" w:hAnsi="宋体" w:eastAsia="宋体" w:cs="宋体"/>
          <w:color w:val="auto"/>
          <w:sz w:val="21"/>
          <w:szCs w:val="24"/>
          <w:highlight w:val="none"/>
        </w:rPr>
        <w:t>月</w:t>
      </w:r>
      <w:r>
        <w:rPr>
          <w:rFonts w:hint="eastAsia" w:ascii="宋体" w:hAnsi="宋体" w:eastAsia="宋体" w:cs="宋体"/>
          <w:color w:val="auto"/>
          <w:sz w:val="21"/>
          <w:szCs w:val="24"/>
          <w:highlight w:val="none"/>
          <w:u w:val="single"/>
        </w:rPr>
        <w:tab/>
      </w:r>
      <w:r>
        <w:rPr>
          <w:rFonts w:hint="eastAsia" w:ascii="宋体" w:hAnsi="宋体" w:eastAsia="宋体" w:cs="宋体"/>
          <w:color w:val="auto"/>
          <w:sz w:val="21"/>
          <w:szCs w:val="24"/>
          <w:highlight w:val="none"/>
        </w:rPr>
        <w:t>日</w:t>
      </w:r>
    </w:p>
    <w:p w14:paraId="3F280176">
      <w:pPr>
        <w:pStyle w:val="6"/>
        <w:outlineLvl w:val="0"/>
        <w:rPr>
          <w:rFonts w:hint="eastAsia" w:ascii="宋体" w:hAnsi="宋体" w:eastAsia="宋体" w:cs="宋体"/>
          <w:b w:val="0"/>
          <w:color w:val="auto"/>
          <w:sz w:val="57"/>
          <w:szCs w:val="24"/>
          <w:highlight w:val="none"/>
        </w:rPr>
      </w:pPr>
      <w:bookmarkStart w:id="110" w:name="bookmark82"/>
      <w:bookmarkEnd w:id="110"/>
      <w:bookmarkStart w:id="111" w:name="bookmark79"/>
      <w:bookmarkEnd w:id="111"/>
      <w:bookmarkStart w:id="112" w:name="_Toc23003"/>
      <w:r>
        <w:rPr>
          <w:rFonts w:hint="eastAsia" w:ascii="宋体" w:hAnsi="宋体" w:eastAsia="宋体" w:cs="宋体"/>
          <w:color w:val="auto"/>
          <w:sz w:val="44"/>
          <w:szCs w:val="24"/>
          <w:highlight w:val="none"/>
        </w:rPr>
        <w:t>第三章</w:t>
      </w:r>
      <w:r>
        <w:rPr>
          <w:rFonts w:hint="eastAsia" w:ascii="宋体" w:hAnsi="宋体" w:eastAsia="宋体" w:cs="宋体"/>
          <w:color w:val="auto"/>
          <w:sz w:val="44"/>
          <w:szCs w:val="24"/>
          <w:highlight w:val="none"/>
          <w:lang w:val="en-US" w:eastAsia="zh-CN"/>
        </w:rPr>
        <w:t xml:space="preserve"> </w:t>
      </w:r>
      <w:r>
        <w:rPr>
          <w:rFonts w:hint="eastAsia" w:ascii="宋体" w:hAnsi="宋体" w:eastAsia="宋体" w:cs="宋体"/>
          <w:color w:val="auto"/>
          <w:sz w:val="44"/>
          <w:szCs w:val="24"/>
          <w:highlight w:val="none"/>
        </w:rPr>
        <w:t>评标办法（综合评估法）</w:t>
      </w:r>
      <w:bookmarkEnd w:id="112"/>
    </w:p>
    <w:p w14:paraId="372F99D3">
      <w:pPr>
        <w:pStyle w:val="7"/>
        <w:kinsoku w:val="0"/>
        <w:overflowPunct w:val="0"/>
        <w:ind w:left="120"/>
        <w:jc w:val="center"/>
        <w:outlineLvl w:val="1"/>
        <w:rPr>
          <w:rFonts w:hint="eastAsia" w:ascii="宋体" w:hAnsi="宋体" w:eastAsia="宋体" w:cs="宋体"/>
          <w:color w:val="auto"/>
          <w:sz w:val="32"/>
          <w:szCs w:val="24"/>
          <w:highlight w:val="none"/>
        </w:rPr>
      </w:pPr>
      <w:bookmarkStart w:id="113" w:name="bookmark83"/>
      <w:bookmarkEnd w:id="113"/>
      <w:bookmarkStart w:id="114" w:name="_Toc10305"/>
      <w:r>
        <w:rPr>
          <w:rFonts w:hint="eastAsia" w:ascii="宋体" w:hAnsi="宋体" w:eastAsia="宋体" w:cs="宋体"/>
          <w:color w:val="auto"/>
          <w:sz w:val="32"/>
          <w:szCs w:val="24"/>
          <w:highlight w:val="none"/>
        </w:rPr>
        <w:t>评标办法前附表</w:t>
      </w:r>
      <w:bookmarkEnd w:id="114"/>
    </w:p>
    <w:tbl>
      <w:tblPr>
        <w:tblStyle w:val="2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68"/>
        <w:gridCol w:w="927"/>
        <w:gridCol w:w="1866"/>
        <w:gridCol w:w="5363"/>
      </w:tblGrid>
      <w:tr w14:paraId="22BB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205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B3DF384">
            <w:pPr>
              <w:pStyle w:val="33"/>
              <w:kinsoku w:val="0"/>
              <w:overflowPunct w:val="0"/>
              <w:spacing w:before="41"/>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条款号</w:t>
            </w: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1A68B9">
            <w:pPr>
              <w:pStyle w:val="33"/>
              <w:kinsoku w:val="0"/>
              <w:overflowPunct w:val="0"/>
              <w:spacing w:before="41"/>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评审因素</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5609AD">
            <w:pPr>
              <w:pStyle w:val="33"/>
              <w:kinsoku w:val="0"/>
              <w:overflowPunct w:val="0"/>
              <w:spacing w:before="41"/>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评审标准</w:t>
            </w:r>
          </w:p>
        </w:tc>
      </w:tr>
      <w:tr w14:paraId="0DE4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4" w:hRule="atLeast"/>
        </w:trPr>
        <w:tc>
          <w:tcPr>
            <w:tcW w:w="9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D31EB6">
            <w:pPr>
              <w:pStyle w:val="33"/>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74E849D">
            <w:pPr>
              <w:pStyle w:val="33"/>
              <w:kinsoku w:val="0"/>
              <w:overflowPunct w:val="0"/>
              <w:spacing w:before="14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C113A3">
            <w:pPr>
              <w:pStyle w:val="33"/>
              <w:kinsoku w:val="0"/>
              <w:overflowPunct w:val="0"/>
              <w:spacing w:before="14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中标候选人排序方法</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0804AD">
            <w:pPr>
              <w:pStyle w:val="33"/>
              <w:kinsoku w:val="0"/>
              <w:overflowPunct w:val="0"/>
              <w:spacing w:before="14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候选人顺序确定方法如下：本次评标采用综合评估法。评标委员会对满足招标文件实质性要求的投标文件，按照本章第2.2款规定的评分标准进行打分，并按得分由高到低顺序推荐中标候选人，但投标报价低于其成本的除外。综合评分相同时，以投标报价低的优先；投标报价也相同的，以商务技术得分高的优先；如果商务技术得分也相同的，由评标委员会决定顺序。</w:t>
            </w:r>
          </w:p>
        </w:tc>
      </w:tr>
      <w:tr w14:paraId="67AE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883CDEA">
            <w:pPr>
              <w:pStyle w:val="33"/>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2.1.1</w:t>
            </w:r>
          </w:p>
        </w:tc>
        <w:tc>
          <w:tcPr>
            <w:tcW w:w="1095"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2640281">
            <w:pPr>
              <w:pStyle w:val="33"/>
              <w:kinsoku w:val="0"/>
              <w:overflowPunct w:val="0"/>
              <w:spacing w:line="384" w:lineRule="auto"/>
              <w:ind w:right="13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165EFB">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top"/>
          </w:tcPr>
          <w:p w14:paraId="761FE768">
            <w:pPr>
              <w:pStyle w:val="33"/>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3.5.1项规定，具备有效的营业执照</w:t>
            </w:r>
          </w:p>
        </w:tc>
      </w:tr>
      <w:tr w14:paraId="10F92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EEA8589">
            <w:pPr>
              <w:pStyle w:val="33"/>
              <w:kinsoku w:val="0"/>
              <w:overflowPunct w:val="0"/>
              <w:jc w:val="both"/>
              <w:rPr>
                <w:rFonts w:hint="eastAsia" w:ascii="宋体" w:hAnsi="宋体" w:eastAsia="宋体" w:cs="宋体"/>
                <w:color w:val="auto"/>
                <w:sz w:val="21"/>
                <w:szCs w:val="21"/>
                <w:highlight w:val="none"/>
              </w:rPr>
            </w:pPr>
          </w:p>
        </w:tc>
        <w:tc>
          <w:tcPr>
            <w:tcW w:w="109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ACA7425">
            <w:pPr>
              <w:pStyle w:val="33"/>
              <w:kinsoku w:val="0"/>
              <w:overflowPunct w:val="0"/>
              <w:spacing w:line="384" w:lineRule="auto"/>
              <w:ind w:right="132"/>
              <w:jc w:val="both"/>
              <w:rPr>
                <w:rFonts w:hint="eastAsia" w:ascii="宋体" w:hAnsi="宋体" w:eastAsia="宋体" w:cs="宋体"/>
                <w:color w:val="auto"/>
                <w:sz w:val="21"/>
                <w:szCs w:val="21"/>
                <w:highlight w:val="none"/>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D1D95F">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资质要求</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04F2ED">
            <w:pPr>
              <w:pStyle w:val="33"/>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1.4.1项规定</w:t>
            </w:r>
          </w:p>
        </w:tc>
      </w:tr>
      <w:tr w14:paraId="273A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F0589D8">
            <w:pPr>
              <w:pStyle w:val="33"/>
              <w:kinsoku w:val="0"/>
              <w:overflowPunct w:val="0"/>
              <w:jc w:val="both"/>
              <w:rPr>
                <w:rFonts w:hint="eastAsia" w:ascii="宋体" w:hAnsi="宋体" w:eastAsia="宋体" w:cs="宋体"/>
                <w:color w:val="auto"/>
                <w:sz w:val="21"/>
                <w:szCs w:val="21"/>
                <w:highlight w:val="none"/>
              </w:rPr>
            </w:pPr>
          </w:p>
        </w:tc>
        <w:tc>
          <w:tcPr>
            <w:tcW w:w="109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1E576F3">
            <w:pPr>
              <w:pStyle w:val="33"/>
              <w:kinsoku w:val="0"/>
              <w:overflowPunct w:val="0"/>
              <w:spacing w:line="384" w:lineRule="auto"/>
              <w:ind w:right="132"/>
              <w:jc w:val="both"/>
              <w:rPr>
                <w:rFonts w:hint="eastAsia" w:ascii="宋体" w:hAnsi="宋体" w:eastAsia="宋体" w:cs="宋体"/>
                <w:color w:val="auto"/>
                <w:sz w:val="21"/>
                <w:szCs w:val="21"/>
                <w:highlight w:val="none"/>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A0B3F6">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其他</w:t>
            </w:r>
            <w:r>
              <w:rPr>
                <w:rFonts w:hint="eastAsia" w:ascii="宋体" w:hAnsi="宋体" w:eastAsia="宋体" w:cs="宋体"/>
                <w:color w:val="auto"/>
                <w:sz w:val="21"/>
                <w:szCs w:val="21"/>
                <w:highlight w:val="none"/>
              </w:rPr>
              <w:t>要求</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42715F">
            <w:pPr>
              <w:pStyle w:val="33"/>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1.4.1项规定</w:t>
            </w:r>
          </w:p>
        </w:tc>
      </w:tr>
      <w:tr w14:paraId="441C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514EE62">
            <w:pPr>
              <w:pStyle w:val="33"/>
              <w:kinsoku w:val="0"/>
              <w:overflowPunct w:val="0"/>
              <w:jc w:val="both"/>
              <w:rPr>
                <w:rFonts w:hint="eastAsia" w:ascii="宋体" w:hAnsi="宋体" w:eastAsia="宋体" w:cs="宋体"/>
                <w:color w:val="auto"/>
                <w:sz w:val="21"/>
                <w:szCs w:val="21"/>
                <w:highlight w:val="none"/>
              </w:rPr>
            </w:pPr>
          </w:p>
        </w:tc>
        <w:tc>
          <w:tcPr>
            <w:tcW w:w="109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1D1DF46">
            <w:pPr>
              <w:pStyle w:val="33"/>
              <w:kinsoku w:val="0"/>
              <w:overflowPunct w:val="0"/>
              <w:spacing w:line="384" w:lineRule="auto"/>
              <w:ind w:right="132"/>
              <w:jc w:val="both"/>
              <w:rPr>
                <w:rFonts w:hint="eastAsia" w:ascii="宋体" w:hAnsi="宋体" w:eastAsia="宋体" w:cs="宋体"/>
                <w:color w:val="auto"/>
                <w:sz w:val="21"/>
                <w:szCs w:val="21"/>
                <w:highlight w:val="none"/>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06A008">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联合体投标人</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28028B">
            <w:pPr>
              <w:pStyle w:val="33"/>
              <w:kinsoku w:val="0"/>
              <w:overflowPunct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提交符合招标文件要求的联合体共同投标协议书</w:t>
            </w:r>
          </w:p>
        </w:tc>
      </w:tr>
      <w:tr w14:paraId="61BD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D4E4C76">
            <w:pPr>
              <w:pStyle w:val="33"/>
              <w:kinsoku w:val="0"/>
              <w:overflowPunct w:val="0"/>
              <w:jc w:val="both"/>
              <w:rPr>
                <w:rFonts w:hint="eastAsia" w:ascii="宋体" w:hAnsi="宋体" w:eastAsia="宋体" w:cs="宋体"/>
                <w:color w:val="auto"/>
                <w:sz w:val="21"/>
                <w:szCs w:val="21"/>
                <w:highlight w:val="none"/>
              </w:rPr>
            </w:pPr>
          </w:p>
        </w:tc>
        <w:tc>
          <w:tcPr>
            <w:tcW w:w="109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AA72F57">
            <w:pPr>
              <w:pStyle w:val="33"/>
              <w:kinsoku w:val="0"/>
              <w:overflowPunct w:val="0"/>
              <w:spacing w:line="384" w:lineRule="auto"/>
              <w:ind w:right="132"/>
              <w:jc w:val="both"/>
              <w:rPr>
                <w:rFonts w:hint="eastAsia" w:ascii="宋体" w:hAnsi="宋体" w:eastAsia="宋体" w:cs="宋体"/>
                <w:color w:val="auto"/>
                <w:sz w:val="21"/>
                <w:szCs w:val="21"/>
                <w:highlight w:val="none"/>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C451DE">
            <w:pPr>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pacing w:val="-2"/>
                <w:sz w:val="21"/>
                <w:szCs w:val="21"/>
                <w:highlight w:val="none"/>
                <w:lang w:eastAsia="zh-CN"/>
              </w:rPr>
              <w:t>未被纳入</w:t>
            </w:r>
            <w:r>
              <w:rPr>
                <w:rFonts w:hint="eastAsia" w:ascii="宋体" w:hAnsi="宋体" w:cs="宋体"/>
                <w:color w:val="auto"/>
                <w:spacing w:val="-2"/>
                <w:sz w:val="21"/>
                <w:szCs w:val="21"/>
                <w:highlight w:val="none"/>
                <w:lang w:eastAsia="zh-CN"/>
              </w:rPr>
              <w:t>黑</w:t>
            </w:r>
            <w:r>
              <w:rPr>
                <w:rFonts w:hint="eastAsia" w:ascii="宋体" w:hAnsi="宋体" w:eastAsia="宋体" w:cs="宋体"/>
                <w:color w:val="auto"/>
                <w:spacing w:val="-2"/>
                <w:sz w:val="21"/>
                <w:szCs w:val="21"/>
                <w:highlight w:val="none"/>
                <w:lang w:eastAsia="zh-CN"/>
              </w:rPr>
              <w:t>名单且被限制参与相关项目投标的</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19F40B">
            <w:pPr>
              <w:ind w:left="137" w:leftChars="57"/>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rPr>
              <w:t>以“信用广州”网站公布的“</w:t>
            </w:r>
            <w:r>
              <w:rPr>
                <w:rFonts w:hint="eastAsia" w:ascii="宋体" w:hAnsi="宋体" w:eastAsia="宋体" w:cs="宋体"/>
                <w:color w:val="auto"/>
                <w:spacing w:val="-4"/>
                <w:sz w:val="21"/>
                <w:szCs w:val="21"/>
                <w:highlight w:val="none"/>
                <w:lang w:eastAsia="zh-CN"/>
              </w:rPr>
              <w:t>黑名单</w:t>
            </w:r>
            <w:r>
              <w:rPr>
                <w:rFonts w:hint="eastAsia" w:ascii="宋体" w:hAnsi="宋体" w:eastAsia="宋体" w:cs="宋体"/>
                <w:color w:val="auto"/>
                <w:spacing w:val="-4"/>
                <w:sz w:val="21"/>
                <w:szCs w:val="21"/>
                <w:highlight w:val="none"/>
              </w:rPr>
              <w:t>”为准。</w:t>
            </w:r>
          </w:p>
        </w:tc>
      </w:tr>
      <w:tr w14:paraId="185B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BEBE6BD">
            <w:pPr>
              <w:pStyle w:val="33"/>
              <w:kinsoku w:val="0"/>
              <w:overflowPunct w:val="0"/>
              <w:jc w:val="both"/>
              <w:rPr>
                <w:rFonts w:hint="eastAsia" w:ascii="宋体" w:hAnsi="宋体" w:eastAsia="宋体" w:cs="宋体"/>
                <w:color w:val="auto"/>
                <w:sz w:val="21"/>
                <w:szCs w:val="21"/>
                <w:highlight w:val="none"/>
              </w:rPr>
            </w:pPr>
          </w:p>
        </w:tc>
        <w:tc>
          <w:tcPr>
            <w:tcW w:w="109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8F4E33A">
            <w:pPr>
              <w:pStyle w:val="33"/>
              <w:kinsoku w:val="0"/>
              <w:overflowPunct w:val="0"/>
              <w:spacing w:line="384" w:lineRule="auto"/>
              <w:ind w:right="132"/>
              <w:jc w:val="both"/>
              <w:rPr>
                <w:rFonts w:hint="eastAsia" w:ascii="宋体" w:hAnsi="宋体" w:eastAsia="宋体" w:cs="宋体"/>
                <w:color w:val="auto"/>
                <w:sz w:val="21"/>
                <w:szCs w:val="21"/>
                <w:highlight w:val="none"/>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DEF573">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投标人声明</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A38C2B">
            <w:pPr>
              <w:pStyle w:val="33"/>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投标人已按第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章“投标文件格式”</w:t>
            </w:r>
            <w:r>
              <w:rPr>
                <w:rFonts w:hint="eastAsia" w:ascii="宋体" w:hAnsi="宋体" w:eastAsia="宋体" w:cs="宋体"/>
                <w:color w:val="auto"/>
                <w:sz w:val="21"/>
                <w:szCs w:val="21"/>
                <w:highlight w:val="none"/>
                <w:lang w:eastAsia="zh-CN"/>
              </w:rPr>
              <w:t>规定</w:t>
            </w:r>
            <w:r>
              <w:rPr>
                <w:rFonts w:hint="eastAsia" w:ascii="宋体" w:hAnsi="宋体" w:eastAsia="宋体" w:cs="宋体"/>
                <w:color w:val="auto"/>
                <w:sz w:val="21"/>
                <w:szCs w:val="21"/>
                <w:highlight w:val="none"/>
              </w:rPr>
              <w:t>的内容签署盖章《投标人声明》</w:t>
            </w:r>
          </w:p>
        </w:tc>
      </w:tr>
      <w:tr w14:paraId="7232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239BA24">
            <w:pPr>
              <w:pStyle w:val="33"/>
              <w:kinsoku w:val="0"/>
              <w:overflowPunct w:val="0"/>
              <w:jc w:val="both"/>
              <w:rPr>
                <w:rFonts w:hint="eastAsia" w:ascii="宋体" w:hAnsi="宋体" w:eastAsia="宋体" w:cs="宋体"/>
                <w:color w:val="auto"/>
                <w:sz w:val="21"/>
                <w:szCs w:val="21"/>
                <w:highlight w:val="none"/>
              </w:rPr>
            </w:pPr>
          </w:p>
        </w:tc>
        <w:tc>
          <w:tcPr>
            <w:tcW w:w="109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B59E811">
            <w:pPr>
              <w:pStyle w:val="33"/>
              <w:kinsoku w:val="0"/>
              <w:overflowPunct w:val="0"/>
              <w:spacing w:line="384" w:lineRule="auto"/>
              <w:ind w:right="132"/>
              <w:jc w:val="both"/>
              <w:rPr>
                <w:rFonts w:hint="eastAsia" w:ascii="宋体" w:hAnsi="宋体" w:eastAsia="宋体" w:cs="宋体"/>
                <w:color w:val="auto"/>
                <w:sz w:val="21"/>
                <w:szCs w:val="21"/>
                <w:highlight w:val="none"/>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FD57B4">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不存在禁止投标的情形</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82AF31">
            <w:pPr>
              <w:pStyle w:val="33"/>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不存在第二章“投标人须知”第 1.4.3项规定的任何一种情形</w:t>
            </w:r>
          </w:p>
        </w:tc>
      </w:tr>
      <w:tr w14:paraId="70EF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9464B59">
            <w:pPr>
              <w:pStyle w:val="33"/>
              <w:kinsoku w:val="0"/>
              <w:overflowPunct w:val="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2</w:t>
            </w:r>
          </w:p>
        </w:tc>
        <w:tc>
          <w:tcPr>
            <w:tcW w:w="1095"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8D2F03A">
            <w:pPr>
              <w:pStyle w:val="33"/>
              <w:kinsoku w:val="0"/>
              <w:overflowPunct w:val="0"/>
              <w:spacing w:line="384" w:lineRule="auto"/>
              <w:ind w:right="132"/>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符合性</w:t>
            </w:r>
            <w:r>
              <w:rPr>
                <w:rFonts w:hint="eastAsia" w:ascii="宋体" w:hAnsi="宋体" w:eastAsia="宋体" w:cs="宋体"/>
                <w:color w:val="auto"/>
                <w:sz w:val="21"/>
                <w:szCs w:val="21"/>
                <w:highlight w:val="none"/>
              </w:rPr>
              <w:t>评审标准</w:t>
            </w: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EBDD30">
            <w:pPr>
              <w:pStyle w:val="33"/>
              <w:kinsoku w:val="0"/>
              <w:overflowPunct w:val="0"/>
              <w:spacing w:before="1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751F92">
            <w:pPr>
              <w:pStyle w:val="33"/>
              <w:kinsoku w:val="0"/>
              <w:overflowPunct w:val="0"/>
              <w:spacing w:before="11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与营业执照、资质证书一致</w:t>
            </w:r>
          </w:p>
        </w:tc>
      </w:tr>
      <w:tr w14:paraId="71CB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63" w:type="dxa"/>
            <w:vMerge w:val="continue"/>
            <w:tcBorders>
              <w:left w:val="single" w:color="auto" w:sz="4" w:space="0"/>
              <w:right w:val="single" w:color="auto" w:sz="4" w:space="0"/>
              <w:tl2br w:val="nil"/>
              <w:tr2bl w:val="nil"/>
            </w:tcBorders>
            <w:noWrap w:val="0"/>
            <w:vAlign w:val="center"/>
          </w:tcPr>
          <w:p w14:paraId="6C32C949">
            <w:pPr>
              <w:pStyle w:val="33"/>
              <w:kinsoku w:val="0"/>
              <w:overflowPunct w:val="0"/>
              <w:jc w:val="both"/>
              <w:rPr>
                <w:rFonts w:hint="eastAsia" w:ascii="宋体" w:hAnsi="宋体" w:eastAsia="宋体" w:cs="宋体"/>
                <w:color w:val="auto"/>
                <w:sz w:val="21"/>
                <w:szCs w:val="21"/>
                <w:highlight w:val="none"/>
              </w:rPr>
            </w:pPr>
          </w:p>
        </w:tc>
        <w:tc>
          <w:tcPr>
            <w:tcW w:w="1095" w:type="dxa"/>
            <w:gridSpan w:val="2"/>
            <w:vMerge w:val="continue"/>
            <w:tcBorders>
              <w:left w:val="single" w:color="auto" w:sz="4" w:space="0"/>
              <w:right w:val="single" w:color="auto" w:sz="4" w:space="0"/>
              <w:tl2br w:val="nil"/>
              <w:tr2bl w:val="nil"/>
            </w:tcBorders>
            <w:noWrap w:val="0"/>
            <w:vAlign w:val="center"/>
          </w:tcPr>
          <w:p w14:paraId="58BADB46">
            <w:pPr>
              <w:pStyle w:val="33"/>
              <w:kinsoku w:val="0"/>
              <w:overflowPunct w:val="0"/>
              <w:spacing w:line="384" w:lineRule="auto"/>
              <w:ind w:right="132"/>
              <w:jc w:val="both"/>
              <w:rPr>
                <w:rFonts w:hint="eastAsia" w:ascii="宋体" w:hAnsi="宋体" w:eastAsia="宋体" w:cs="宋体"/>
                <w:color w:val="auto"/>
                <w:sz w:val="21"/>
                <w:szCs w:val="21"/>
                <w:highlight w:val="none"/>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FC410F">
            <w:pPr>
              <w:pStyle w:val="33"/>
              <w:kinsoku w:val="0"/>
              <w:overflowPunct w:val="0"/>
              <w:spacing w:before="1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投标人参加投标的意思表达清楚，投标人代表被授权有效</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776B52">
            <w:pPr>
              <w:pStyle w:val="33"/>
              <w:kinsoku w:val="0"/>
              <w:overflowPunct w:val="0"/>
              <w:spacing w:before="11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投标人声明、法定代表人证明书；委托投标的还应提供法人授权委托证明书</w:t>
            </w:r>
          </w:p>
        </w:tc>
      </w:tr>
      <w:tr w14:paraId="42B7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04BECF8">
            <w:pPr>
              <w:pStyle w:val="7"/>
              <w:kinsoku w:val="0"/>
              <w:overflowPunct w:val="0"/>
              <w:jc w:val="both"/>
              <w:outlineLvl w:val="9"/>
              <w:rPr>
                <w:rFonts w:hint="eastAsia" w:ascii="宋体" w:hAnsi="宋体" w:eastAsia="宋体" w:cs="宋体"/>
                <w:color w:val="auto"/>
                <w:sz w:val="21"/>
                <w:szCs w:val="21"/>
                <w:highlight w:val="none"/>
              </w:rPr>
            </w:pPr>
          </w:p>
        </w:tc>
        <w:tc>
          <w:tcPr>
            <w:tcW w:w="109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B3229F3">
            <w:pPr>
              <w:pStyle w:val="7"/>
              <w:kinsoku w:val="0"/>
              <w:overflowPunct w:val="0"/>
              <w:jc w:val="both"/>
              <w:outlineLvl w:val="9"/>
              <w:rPr>
                <w:rFonts w:hint="eastAsia" w:ascii="宋体" w:hAnsi="宋体" w:eastAsia="宋体" w:cs="宋体"/>
                <w:color w:val="auto"/>
                <w:sz w:val="21"/>
                <w:szCs w:val="21"/>
                <w:highlight w:val="none"/>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A8FDC4">
            <w:pPr>
              <w:pStyle w:val="33"/>
              <w:kinsoku w:val="0"/>
              <w:overflowPunct w:val="0"/>
              <w:ind w:right="18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投标函及投标函附录签</w:t>
            </w:r>
            <w:r>
              <w:rPr>
                <w:rFonts w:hint="eastAsia" w:ascii="宋体" w:hAnsi="宋体" w:eastAsia="宋体" w:cs="宋体"/>
                <w:color w:val="auto"/>
                <w:spacing w:val="-84"/>
                <w:sz w:val="21"/>
                <w:szCs w:val="21"/>
                <w:highlight w:val="none"/>
              </w:rPr>
              <w:t xml:space="preserve"> </w:t>
            </w:r>
            <w:r>
              <w:rPr>
                <w:rFonts w:hint="eastAsia" w:ascii="宋体" w:hAnsi="宋体" w:eastAsia="宋体" w:cs="宋体"/>
                <w:color w:val="auto"/>
                <w:sz w:val="21"/>
                <w:szCs w:val="21"/>
                <w:highlight w:val="none"/>
              </w:rPr>
              <w:t>字盖章</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FC98C1">
            <w:pPr>
              <w:pStyle w:val="33"/>
              <w:kinsoku w:val="0"/>
              <w:overflowPunct w:val="0"/>
              <w:spacing w:before="107"/>
              <w:ind w:right="9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有法定代表人或其委托代理人签字或加盖单位章。由法定代表人签字的，应附法定代表人身份证明，由代理人签字的，应附授权委托书，身份证明或授权委托书应符合第六章“投标文件格式”的规定</w:t>
            </w:r>
          </w:p>
        </w:tc>
      </w:tr>
      <w:tr w14:paraId="2EE9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5CDE2FD">
            <w:pPr>
              <w:pStyle w:val="7"/>
              <w:kinsoku w:val="0"/>
              <w:overflowPunct w:val="0"/>
              <w:jc w:val="both"/>
              <w:outlineLvl w:val="9"/>
              <w:rPr>
                <w:rFonts w:hint="eastAsia" w:ascii="宋体" w:hAnsi="宋体" w:eastAsia="宋体" w:cs="宋体"/>
                <w:color w:val="auto"/>
                <w:sz w:val="21"/>
                <w:szCs w:val="21"/>
                <w:highlight w:val="none"/>
              </w:rPr>
            </w:pPr>
          </w:p>
        </w:tc>
        <w:tc>
          <w:tcPr>
            <w:tcW w:w="109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6E0A63B">
            <w:pPr>
              <w:pStyle w:val="7"/>
              <w:kinsoku w:val="0"/>
              <w:overflowPunct w:val="0"/>
              <w:jc w:val="both"/>
              <w:outlineLvl w:val="9"/>
              <w:rPr>
                <w:rFonts w:hint="eastAsia" w:ascii="宋体" w:hAnsi="宋体" w:eastAsia="宋体" w:cs="宋体"/>
                <w:color w:val="auto"/>
                <w:sz w:val="21"/>
                <w:szCs w:val="21"/>
                <w:highlight w:val="none"/>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91B305">
            <w:pPr>
              <w:pStyle w:val="33"/>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7A3FCF">
            <w:pPr>
              <w:pStyle w:val="33"/>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符合第六章“投标文件格式”的规定</w:t>
            </w:r>
          </w:p>
        </w:tc>
      </w:tr>
      <w:tr w14:paraId="5AB4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709286C">
            <w:pPr>
              <w:pStyle w:val="7"/>
              <w:kinsoku w:val="0"/>
              <w:overflowPunct w:val="0"/>
              <w:jc w:val="both"/>
              <w:outlineLvl w:val="9"/>
              <w:rPr>
                <w:rFonts w:hint="eastAsia" w:ascii="宋体" w:hAnsi="宋体" w:eastAsia="宋体" w:cs="宋体"/>
                <w:color w:val="auto"/>
                <w:sz w:val="21"/>
                <w:szCs w:val="21"/>
                <w:highlight w:val="none"/>
              </w:rPr>
            </w:pPr>
          </w:p>
        </w:tc>
        <w:tc>
          <w:tcPr>
            <w:tcW w:w="109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EE88603">
            <w:pPr>
              <w:pStyle w:val="7"/>
              <w:kinsoku w:val="0"/>
              <w:overflowPunct w:val="0"/>
              <w:jc w:val="both"/>
              <w:outlineLvl w:val="9"/>
              <w:rPr>
                <w:rFonts w:hint="eastAsia" w:ascii="宋体" w:hAnsi="宋体" w:eastAsia="宋体" w:cs="宋体"/>
                <w:color w:val="auto"/>
                <w:sz w:val="21"/>
                <w:szCs w:val="21"/>
                <w:highlight w:val="none"/>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D64A98">
            <w:pPr>
              <w:pStyle w:val="33"/>
              <w:kinsoku w:val="0"/>
              <w:overflowPunct w:val="0"/>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联合体投标人</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A444C9">
            <w:pPr>
              <w:pStyle w:val="33"/>
              <w:kinsoku w:val="0"/>
              <w:overflowPunct w:val="0"/>
              <w:spacing w:before="107"/>
              <w:jc w:val="both"/>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提交符合招标文件要求的联合体协议书，明确各方承担连带责任，并明确联合体</w:t>
            </w:r>
            <w:r>
              <w:rPr>
                <w:rFonts w:hint="default" w:ascii="宋体" w:hAnsi="宋体" w:eastAsia="宋体" w:cs="宋体"/>
                <w:color w:val="auto"/>
                <w:sz w:val="21"/>
                <w:szCs w:val="21"/>
                <w:highlight w:val="none"/>
                <w:lang w:eastAsia="zh-CN"/>
              </w:rPr>
              <w:t>主办方</w:t>
            </w:r>
          </w:p>
        </w:tc>
      </w:tr>
      <w:tr w14:paraId="7E42F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F6F0404">
            <w:pPr>
              <w:pStyle w:val="7"/>
              <w:kinsoku w:val="0"/>
              <w:overflowPunct w:val="0"/>
              <w:jc w:val="both"/>
              <w:outlineLvl w:val="9"/>
              <w:rPr>
                <w:rFonts w:hint="eastAsia" w:ascii="宋体" w:hAnsi="宋体" w:eastAsia="宋体" w:cs="宋体"/>
                <w:color w:val="auto"/>
                <w:sz w:val="21"/>
                <w:szCs w:val="21"/>
                <w:highlight w:val="none"/>
              </w:rPr>
            </w:pPr>
          </w:p>
        </w:tc>
        <w:tc>
          <w:tcPr>
            <w:tcW w:w="109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76D78BE">
            <w:pPr>
              <w:pStyle w:val="7"/>
              <w:kinsoku w:val="0"/>
              <w:overflowPunct w:val="0"/>
              <w:jc w:val="both"/>
              <w:outlineLvl w:val="9"/>
              <w:rPr>
                <w:rFonts w:hint="eastAsia" w:ascii="宋体" w:hAnsi="宋体" w:eastAsia="宋体" w:cs="宋体"/>
                <w:color w:val="auto"/>
                <w:sz w:val="21"/>
                <w:szCs w:val="21"/>
                <w:highlight w:val="none"/>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722553">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投标人机器码</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199F4F">
            <w:pPr>
              <w:ind w:left="91" w:leftChars="38"/>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投标人与</w:t>
            </w:r>
            <w:r>
              <w:rPr>
                <w:rFonts w:hint="eastAsia" w:ascii="宋体" w:hAnsi="宋体" w:eastAsia="宋体" w:cs="宋体"/>
                <w:color w:val="auto"/>
                <w:sz w:val="21"/>
                <w:szCs w:val="21"/>
                <w:highlight w:val="none"/>
                <w:lang w:eastAsia="zh-CN"/>
              </w:rPr>
              <w:t>本项目</w:t>
            </w:r>
            <w:r>
              <w:rPr>
                <w:rFonts w:hint="eastAsia" w:ascii="宋体" w:hAnsi="宋体" w:eastAsia="宋体" w:cs="宋体"/>
                <w:color w:val="auto"/>
                <w:sz w:val="21"/>
                <w:szCs w:val="21"/>
                <w:highlight w:val="none"/>
              </w:rPr>
              <w:t>其他投标人加密打包投标文件电脑机器特征码</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一致的(以</w:t>
            </w:r>
            <w:r>
              <w:rPr>
                <w:rFonts w:hint="eastAsia" w:ascii="宋体" w:hAnsi="宋体" w:eastAsia="宋体" w:cs="宋体"/>
                <w:color w:val="auto"/>
                <w:sz w:val="21"/>
                <w:szCs w:val="21"/>
                <w:highlight w:val="none"/>
                <w:lang w:eastAsia="zh-CN"/>
              </w:rPr>
              <w:t>广州交易集团有限公司（广州公共资源交易中心）交易</w:t>
            </w:r>
            <w:r>
              <w:rPr>
                <w:rFonts w:hint="eastAsia" w:ascii="宋体" w:hAnsi="宋体" w:eastAsia="宋体" w:cs="宋体"/>
                <w:color w:val="auto"/>
                <w:sz w:val="21"/>
                <w:szCs w:val="21"/>
                <w:highlight w:val="none"/>
              </w:rPr>
              <w:t>平台</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系统的检索信息为准)</w:t>
            </w:r>
          </w:p>
        </w:tc>
      </w:tr>
      <w:tr w14:paraId="743F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407DBB9">
            <w:pPr>
              <w:pStyle w:val="7"/>
              <w:kinsoku w:val="0"/>
              <w:overflowPunct w:val="0"/>
              <w:jc w:val="both"/>
              <w:outlineLvl w:val="9"/>
              <w:rPr>
                <w:rFonts w:hint="eastAsia" w:ascii="宋体" w:hAnsi="宋体" w:eastAsia="宋体" w:cs="宋体"/>
                <w:color w:val="auto"/>
                <w:sz w:val="21"/>
                <w:szCs w:val="21"/>
                <w:highlight w:val="none"/>
              </w:rPr>
            </w:pPr>
          </w:p>
        </w:tc>
        <w:tc>
          <w:tcPr>
            <w:tcW w:w="109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A9E5A6F">
            <w:pPr>
              <w:pStyle w:val="7"/>
              <w:kinsoku w:val="0"/>
              <w:overflowPunct w:val="0"/>
              <w:jc w:val="both"/>
              <w:outlineLvl w:val="9"/>
              <w:rPr>
                <w:rFonts w:hint="eastAsia" w:ascii="宋体" w:hAnsi="宋体" w:eastAsia="宋体" w:cs="宋体"/>
                <w:color w:val="auto"/>
                <w:sz w:val="21"/>
                <w:szCs w:val="21"/>
                <w:highlight w:val="none"/>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706188">
            <w:pPr>
              <w:pStyle w:val="33"/>
              <w:kinsoku w:val="0"/>
              <w:overflowPunct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投标报价</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926078">
            <w:pPr>
              <w:pStyle w:val="33"/>
              <w:kinsoku w:val="0"/>
              <w:overflowPunct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符合第二章“投标人须知”第3.2款规定</w:t>
            </w:r>
          </w:p>
        </w:tc>
      </w:tr>
      <w:tr w14:paraId="1800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76C2259">
            <w:pPr>
              <w:pStyle w:val="7"/>
              <w:kinsoku w:val="0"/>
              <w:overflowPunct w:val="0"/>
              <w:jc w:val="both"/>
              <w:outlineLvl w:val="9"/>
              <w:rPr>
                <w:rFonts w:hint="eastAsia" w:ascii="宋体" w:hAnsi="宋体" w:eastAsia="宋体" w:cs="宋体"/>
                <w:color w:val="auto"/>
                <w:sz w:val="21"/>
                <w:szCs w:val="21"/>
                <w:highlight w:val="none"/>
              </w:rPr>
            </w:pPr>
          </w:p>
        </w:tc>
        <w:tc>
          <w:tcPr>
            <w:tcW w:w="109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2CD9E48">
            <w:pPr>
              <w:pStyle w:val="7"/>
              <w:kinsoku w:val="0"/>
              <w:overflowPunct w:val="0"/>
              <w:jc w:val="both"/>
              <w:outlineLvl w:val="9"/>
              <w:rPr>
                <w:rFonts w:hint="eastAsia" w:ascii="宋体" w:hAnsi="宋体" w:eastAsia="宋体" w:cs="宋体"/>
                <w:color w:val="auto"/>
                <w:sz w:val="21"/>
                <w:szCs w:val="21"/>
                <w:highlight w:val="none"/>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3A7B41">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EE9C73">
            <w:pPr>
              <w:pStyle w:val="33"/>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符合第二章“投标人须知”第1.3.1项规定</w:t>
            </w:r>
          </w:p>
        </w:tc>
      </w:tr>
      <w:tr w14:paraId="16D3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07512C8">
            <w:pPr>
              <w:pStyle w:val="7"/>
              <w:kinsoku w:val="0"/>
              <w:overflowPunct w:val="0"/>
              <w:jc w:val="both"/>
              <w:outlineLvl w:val="9"/>
              <w:rPr>
                <w:rFonts w:hint="eastAsia" w:ascii="宋体" w:hAnsi="宋体" w:eastAsia="宋体" w:cs="宋体"/>
                <w:color w:val="auto"/>
                <w:sz w:val="21"/>
                <w:szCs w:val="21"/>
                <w:highlight w:val="none"/>
              </w:rPr>
            </w:pPr>
          </w:p>
        </w:tc>
        <w:tc>
          <w:tcPr>
            <w:tcW w:w="109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9A78EA4">
            <w:pPr>
              <w:pStyle w:val="7"/>
              <w:kinsoku w:val="0"/>
              <w:overflowPunct w:val="0"/>
              <w:jc w:val="both"/>
              <w:outlineLvl w:val="9"/>
              <w:rPr>
                <w:rFonts w:hint="eastAsia" w:ascii="宋体" w:hAnsi="宋体" w:eastAsia="宋体" w:cs="宋体"/>
                <w:color w:val="auto"/>
                <w:sz w:val="21"/>
                <w:szCs w:val="21"/>
                <w:highlight w:val="none"/>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A25809">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7B597C">
            <w:pPr>
              <w:pStyle w:val="33"/>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符合第二章“投标人须知”第1.3.2项规定</w:t>
            </w:r>
          </w:p>
        </w:tc>
      </w:tr>
      <w:tr w14:paraId="0059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41CF157">
            <w:pPr>
              <w:pStyle w:val="7"/>
              <w:kinsoku w:val="0"/>
              <w:overflowPunct w:val="0"/>
              <w:jc w:val="both"/>
              <w:outlineLvl w:val="9"/>
              <w:rPr>
                <w:rFonts w:hint="eastAsia" w:ascii="宋体" w:hAnsi="宋体" w:eastAsia="宋体" w:cs="宋体"/>
                <w:color w:val="auto"/>
                <w:sz w:val="21"/>
                <w:szCs w:val="21"/>
                <w:highlight w:val="none"/>
              </w:rPr>
            </w:pPr>
          </w:p>
        </w:tc>
        <w:tc>
          <w:tcPr>
            <w:tcW w:w="109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CD9AE99">
            <w:pPr>
              <w:pStyle w:val="7"/>
              <w:kinsoku w:val="0"/>
              <w:overflowPunct w:val="0"/>
              <w:jc w:val="both"/>
              <w:outlineLvl w:val="9"/>
              <w:rPr>
                <w:rFonts w:hint="eastAsia" w:ascii="宋体" w:hAnsi="宋体" w:eastAsia="宋体" w:cs="宋体"/>
                <w:color w:val="auto"/>
                <w:sz w:val="21"/>
                <w:szCs w:val="21"/>
                <w:highlight w:val="none"/>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EFC313">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CACBAB">
            <w:pPr>
              <w:pStyle w:val="33"/>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符合第二章“投标人须知”第1.3.3项规定</w:t>
            </w:r>
          </w:p>
        </w:tc>
      </w:tr>
      <w:tr w14:paraId="3AA1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753F3AD">
            <w:pPr>
              <w:pStyle w:val="7"/>
              <w:kinsoku w:val="0"/>
              <w:overflowPunct w:val="0"/>
              <w:jc w:val="both"/>
              <w:outlineLvl w:val="9"/>
              <w:rPr>
                <w:rFonts w:hint="eastAsia" w:ascii="宋体" w:hAnsi="宋体" w:eastAsia="宋体" w:cs="宋体"/>
                <w:color w:val="auto"/>
                <w:sz w:val="21"/>
                <w:szCs w:val="21"/>
                <w:highlight w:val="none"/>
              </w:rPr>
            </w:pPr>
          </w:p>
        </w:tc>
        <w:tc>
          <w:tcPr>
            <w:tcW w:w="109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44FCDF9">
            <w:pPr>
              <w:pStyle w:val="7"/>
              <w:kinsoku w:val="0"/>
              <w:overflowPunct w:val="0"/>
              <w:jc w:val="both"/>
              <w:outlineLvl w:val="9"/>
              <w:rPr>
                <w:rFonts w:hint="eastAsia" w:ascii="宋体" w:hAnsi="宋体" w:eastAsia="宋体" w:cs="宋体"/>
                <w:color w:val="auto"/>
                <w:sz w:val="21"/>
                <w:szCs w:val="21"/>
                <w:highlight w:val="none"/>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E56ABA">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1E9D57">
            <w:pPr>
              <w:pStyle w:val="33"/>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符合第二章“投标人须知”第3.3.1项规定</w:t>
            </w:r>
          </w:p>
        </w:tc>
      </w:tr>
      <w:tr w14:paraId="7F19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E86266C">
            <w:pPr>
              <w:pStyle w:val="7"/>
              <w:kinsoku w:val="0"/>
              <w:overflowPunct w:val="0"/>
              <w:jc w:val="both"/>
              <w:outlineLvl w:val="9"/>
              <w:rPr>
                <w:rFonts w:hint="eastAsia" w:ascii="宋体" w:hAnsi="宋体" w:eastAsia="宋体" w:cs="宋体"/>
                <w:color w:val="auto"/>
                <w:sz w:val="21"/>
                <w:szCs w:val="21"/>
                <w:highlight w:val="none"/>
              </w:rPr>
            </w:pPr>
          </w:p>
        </w:tc>
        <w:tc>
          <w:tcPr>
            <w:tcW w:w="109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1274B15">
            <w:pPr>
              <w:pStyle w:val="7"/>
              <w:kinsoku w:val="0"/>
              <w:overflowPunct w:val="0"/>
              <w:jc w:val="both"/>
              <w:outlineLvl w:val="9"/>
              <w:rPr>
                <w:rFonts w:hint="eastAsia" w:ascii="宋体" w:hAnsi="宋体" w:eastAsia="宋体" w:cs="宋体"/>
                <w:color w:val="auto"/>
                <w:sz w:val="21"/>
                <w:szCs w:val="21"/>
                <w:highlight w:val="none"/>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5736AF">
            <w:pPr>
              <w:pStyle w:val="33"/>
              <w:kinsoku w:val="0"/>
              <w:overflowPunct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投标保证金</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FEBF39">
            <w:pPr>
              <w:pStyle w:val="33"/>
              <w:kinsoku w:val="0"/>
              <w:overflowPunct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符合第二章“投标人须知”第3.4.1项规定</w:t>
            </w:r>
          </w:p>
        </w:tc>
      </w:tr>
      <w:tr w14:paraId="1EA5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05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B938B65">
            <w:pPr>
              <w:pStyle w:val="33"/>
              <w:kinsoku w:val="0"/>
              <w:overflowPunct w:val="0"/>
              <w:spacing w:before="4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801C9A">
            <w:pPr>
              <w:pStyle w:val="33"/>
              <w:kinsoku w:val="0"/>
              <w:overflowPunct w:val="0"/>
              <w:spacing w:before="4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条款内容</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AB6A29">
            <w:pPr>
              <w:pStyle w:val="33"/>
              <w:kinsoku w:val="0"/>
              <w:overflowPunct w:val="0"/>
              <w:spacing w:before="4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编列内容</w:t>
            </w:r>
          </w:p>
        </w:tc>
      </w:tr>
      <w:tr w14:paraId="496C5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205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9A26EB7">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CA2AF8">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分值构成(总分100分)</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33EC3A">
            <w:pPr>
              <w:pStyle w:val="33"/>
              <w:kinsoku w:val="0"/>
              <w:overflowPunct w:val="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商务技术</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80</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分</w:t>
            </w:r>
          </w:p>
          <w:p w14:paraId="43DF21B2">
            <w:pPr>
              <w:pStyle w:val="33"/>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r>
              <w:rPr>
                <w:rFonts w:hint="eastAsia" w:ascii="宋体" w:hAnsi="宋体" w:eastAsia="宋体" w:cs="宋体"/>
                <w:color w:val="auto"/>
                <w:sz w:val="21"/>
                <w:szCs w:val="21"/>
                <w:highlight w:val="none"/>
                <w:u w:val="single"/>
                <w:lang w:val="en-US" w:eastAsia="zh-CN"/>
              </w:rPr>
              <w:t xml:space="preserve">  20  </w:t>
            </w:r>
            <w:r>
              <w:rPr>
                <w:rFonts w:hint="eastAsia" w:ascii="宋体" w:hAnsi="宋体" w:eastAsia="宋体" w:cs="宋体"/>
                <w:color w:val="auto"/>
                <w:sz w:val="21"/>
                <w:szCs w:val="21"/>
                <w:highlight w:val="none"/>
              </w:rPr>
              <w:t>分</w:t>
            </w:r>
          </w:p>
        </w:tc>
      </w:tr>
      <w:tr w14:paraId="3606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05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E0D4F0E">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3FDA48">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0FD0A5">
            <w:pPr>
              <w:pStyle w:val="33"/>
              <w:kinsoku w:val="0"/>
              <w:overflowPunct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通过资格评审和符合性评审的有效投标人中的最低（1-有效投标下浮率）作为评标基准价（即PC）。</w:t>
            </w:r>
          </w:p>
        </w:tc>
      </w:tr>
      <w:tr w14:paraId="1FD3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113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533547C">
            <w:pPr>
              <w:pStyle w:val="33"/>
              <w:kinsoku w:val="0"/>
              <w:overflowPunct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2.2.</w:t>
            </w:r>
            <w:r>
              <w:rPr>
                <w:rFonts w:hint="eastAsia" w:ascii="宋体" w:hAnsi="宋体" w:cs="宋体"/>
                <w:color w:val="auto"/>
                <w:sz w:val="21"/>
                <w:szCs w:val="21"/>
                <w:highlight w:val="none"/>
                <w:lang w:val="en-US" w:eastAsia="zh-CN"/>
              </w:rPr>
              <w:t>3</w:t>
            </w:r>
          </w:p>
          <w:p w14:paraId="6F72B918">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27" w:type="dxa"/>
            <w:vMerge w:val="restart"/>
            <w:tcBorders>
              <w:top w:val="nil"/>
              <w:left w:val="single" w:color="auto" w:sz="4" w:space="0"/>
              <w:right w:val="single" w:color="auto" w:sz="4" w:space="0"/>
              <w:tl2br w:val="nil"/>
              <w:tr2bl w:val="nil"/>
            </w:tcBorders>
            <w:noWrap w:val="0"/>
            <w:vAlign w:val="center"/>
          </w:tcPr>
          <w:p w14:paraId="58E28238">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商务技术部分（80分）</w:t>
            </w:r>
          </w:p>
        </w:tc>
        <w:tc>
          <w:tcPr>
            <w:tcW w:w="1866" w:type="dxa"/>
            <w:tcBorders>
              <w:top w:val="single" w:color="auto" w:sz="4" w:space="0"/>
              <w:left w:val="single" w:color="auto" w:sz="4" w:space="0"/>
              <w:right w:val="single" w:color="auto" w:sz="4" w:space="0"/>
              <w:tl2br w:val="nil"/>
              <w:tr2bl w:val="nil"/>
            </w:tcBorders>
            <w:noWrap w:val="0"/>
            <w:vAlign w:val="center"/>
          </w:tcPr>
          <w:p w14:paraId="65E1DB7F">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业绩</w:t>
            </w:r>
          </w:p>
          <w:p w14:paraId="2B7C95D3">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24</w:t>
            </w:r>
            <w:r>
              <w:rPr>
                <w:rFonts w:hint="eastAsia" w:ascii="宋体" w:hAnsi="宋体" w:eastAsia="宋体" w:cs="宋体"/>
                <w:color w:val="auto"/>
                <w:sz w:val="21"/>
                <w:szCs w:val="21"/>
                <w:highlight w:val="none"/>
                <w:lang w:val="en-US" w:eastAsia="zh-CN"/>
              </w:rPr>
              <w:t>分）</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C98BA5">
            <w:pP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20</w:t>
            </w:r>
            <w:r>
              <w:rPr>
                <w:rFonts w:hint="eastAsia" w:asciiTheme="minorEastAsia" w:hAnsiTheme="minorEastAsia" w:eastAsiaTheme="minorEastAsia" w:cstheme="minorEastAsia"/>
                <w:color w:val="auto"/>
                <w:kern w:val="0"/>
                <w:sz w:val="21"/>
                <w:szCs w:val="21"/>
                <w:highlight w:val="none"/>
                <w:lang w:val="en-US" w:eastAsia="zh-CN"/>
              </w:rPr>
              <w:t>20</w:t>
            </w:r>
            <w:r>
              <w:rPr>
                <w:rFonts w:hint="eastAsia" w:asciiTheme="minorEastAsia" w:hAnsiTheme="minorEastAsia" w:eastAsiaTheme="minorEastAsia" w:cstheme="minorEastAsia"/>
                <w:color w:val="auto"/>
                <w:kern w:val="0"/>
                <w:sz w:val="21"/>
                <w:szCs w:val="21"/>
                <w:highlight w:val="none"/>
              </w:rPr>
              <w:t>年1月1日至今，投标人完成过</w:t>
            </w:r>
            <w:r>
              <w:rPr>
                <w:rFonts w:hint="eastAsia" w:asciiTheme="minorEastAsia" w:hAnsiTheme="minorEastAsia" w:eastAsiaTheme="minorEastAsia" w:cstheme="minorEastAsia"/>
                <w:color w:val="auto"/>
                <w:kern w:val="0"/>
                <w:sz w:val="21"/>
                <w:szCs w:val="21"/>
                <w:highlight w:val="none"/>
                <w:lang w:eastAsia="zh-CN"/>
              </w:rPr>
              <w:t>的</w:t>
            </w:r>
            <w:r>
              <w:rPr>
                <w:rFonts w:hint="eastAsia" w:asciiTheme="minorEastAsia" w:hAnsiTheme="minorEastAsia" w:eastAsiaTheme="minorEastAsia" w:cstheme="minorEastAsia"/>
                <w:color w:val="auto"/>
                <w:kern w:val="0"/>
                <w:sz w:val="21"/>
                <w:szCs w:val="21"/>
                <w:highlight w:val="none"/>
                <w:lang w:val="en-US" w:eastAsia="zh-CN"/>
              </w:rPr>
              <w:t>合同金额为100万元及以上</w:t>
            </w:r>
            <w:r>
              <w:rPr>
                <w:rFonts w:hint="eastAsia" w:asciiTheme="minorEastAsia" w:hAnsiTheme="minorEastAsia" w:eastAsiaTheme="minorEastAsia" w:cstheme="minorEastAsia"/>
                <w:color w:val="auto"/>
                <w:kern w:val="0"/>
                <w:sz w:val="21"/>
                <w:szCs w:val="21"/>
                <w:highlight w:val="none"/>
              </w:rPr>
              <w:t>类似工程第三方检测</w:t>
            </w:r>
            <w:r>
              <w:rPr>
                <w:rFonts w:hint="eastAsia" w:asciiTheme="minorEastAsia" w:hAnsiTheme="minorEastAsia" w:eastAsiaTheme="minorEastAsia" w:cstheme="minorEastAsia"/>
                <w:color w:val="auto"/>
                <w:kern w:val="0"/>
                <w:sz w:val="21"/>
                <w:szCs w:val="21"/>
                <w:highlight w:val="none"/>
                <w:lang w:eastAsia="zh-CN"/>
              </w:rPr>
              <w:t>或</w:t>
            </w:r>
            <w:r>
              <w:rPr>
                <w:rFonts w:hint="eastAsia" w:asciiTheme="minorEastAsia" w:hAnsiTheme="minorEastAsia" w:eastAsiaTheme="minorEastAsia" w:cstheme="minorEastAsia"/>
                <w:color w:val="auto"/>
                <w:kern w:val="0"/>
                <w:sz w:val="21"/>
                <w:szCs w:val="21"/>
                <w:highlight w:val="none"/>
                <w:lang w:val="en-US" w:eastAsia="zh-CN"/>
              </w:rPr>
              <w:t>监测</w:t>
            </w:r>
            <w:r>
              <w:rPr>
                <w:rFonts w:hint="eastAsia" w:asciiTheme="minorEastAsia" w:hAnsiTheme="minorEastAsia" w:eastAsiaTheme="minorEastAsia" w:cstheme="minorEastAsia"/>
                <w:color w:val="auto"/>
                <w:kern w:val="0"/>
                <w:sz w:val="21"/>
                <w:szCs w:val="21"/>
                <w:highlight w:val="none"/>
              </w:rPr>
              <w:t>项目</w:t>
            </w:r>
            <w:r>
              <w:rPr>
                <w:rFonts w:hint="eastAsia" w:asciiTheme="minorEastAsia" w:hAnsiTheme="minorEastAsia" w:eastAsiaTheme="minorEastAsia" w:cstheme="minorEastAsia"/>
                <w:color w:val="auto"/>
                <w:kern w:val="0"/>
                <w:sz w:val="21"/>
                <w:szCs w:val="21"/>
                <w:highlight w:val="none"/>
                <w:lang w:val="en-US" w:eastAsia="zh-CN"/>
              </w:rPr>
              <w:t>业绩</w:t>
            </w:r>
            <w:r>
              <w:rPr>
                <w:rFonts w:hint="eastAsia" w:asciiTheme="minorEastAsia" w:hAnsiTheme="minorEastAsia" w:eastAsiaTheme="minorEastAsia" w:cstheme="minorEastAsia"/>
                <w:color w:val="auto"/>
                <w:kern w:val="0"/>
                <w:sz w:val="21"/>
                <w:szCs w:val="21"/>
                <w:highlight w:val="none"/>
                <w:lang w:eastAsia="zh-CN"/>
              </w:rPr>
              <w:t>的，</w:t>
            </w:r>
            <w:r>
              <w:rPr>
                <w:rFonts w:hint="eastAsia" w:asciiTheme="minorEastAsia" w:hAnsiTheme="minorEastAsia" w:eastAsiaTheme="minorEastAsia" w:cstheme="minorEastAsia"/>
                <w:color w:val="auto"/>
                <w:kern w:val="0"/>
                <w:sz w:val="21"/>
                <w:szCs w:val="21"/>
                <w:highlight w:val="none"/>
              </w:rPr>
              <w:t>每项得</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分。本项最高得</w:t>
            </w:r>
            <w:r>
              <w:rPr>
                <w:rFonts w:hint="eastAsia" w:asciiTheme="minorEastAsia" w:hAnsiTheme="minorEastAsia" w:eastAsiaTheme="minorEastAsia" w:cstheme="minorEastAsia"/>
                <w:color w:val="auto"/>
                <w:kern w:val="0"/>
                <w:sz w:val="21"/>
                <w:szCs w:val="21"/>
                <w:highlight w:val="none"/>
                <w:lang w:val="en-US" w:eastAsia="zh-CN"/>
              </w:rPr>
              <w:t>24</w:t>
            </w:r>
            <w:r>
              <w:rPr>
                <w:rFonts w:hint="eastAsia" w:asciiTheme="minorEastAsia" w:hAnsiTheme="minorEastAsia" w:eastAsiaTheme="minorEastAsia" w:cstheme="minorEastAsia"/>
                <w:color w:val="auto"/>
                <w:kern w:val="0"/>
                <w:sz w:val="21"/>
                <w:szCs w:val="21"/>
                <w:highlight w:val="none"/>
              </w:rPr>
              <w:t>分。</w:t>
            </w:r>
          </w:p>
          <w:p w14:paraId="4547C878">
            <w:pPr>
              <w:adjustRightInd w:val="0"/>
              <w:snapToGrid w:val="0"/>
              <w:jc w:val="left"/>
              <w:rPr>
                <w:rFonts w:hint="eastAsia" w:asciiTheme="minorEastAsia" w:hAnsiTheme="minorEastAsia" w:eastAsiaTheme="minorEastAsia" w:cstheme="minorEastAsia"/>
                <w:color w:val="auto"/>
                <w:kern w:val="0"/>
                <w:sz w:val="21"/>
                <w:szCs w:val="21"/>
                <w:highlight w:val="none"/>
              </w:rPr>
            </w:pPr>
          </w:p>
          <w:p w14:paraId="18F38AA5">
            <w:pPr>
              <w:adjustRightInd w:val="0"/>
              <w:snapToGrid w:val="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1"/>
                <w:szCs w:val="21"/>
                <w:highlight w:val="none"/>
              </w:rPr>
              <w:t>注：</w:t>
            </w:r>
            <w:r>
              <w:rPr>
                <w:rFonts w:hint="eastAsia" w:asciiTheme="minorEastAsia" w:hAnsiTheme="minorEastAsia" w:eastAsiaTheme="minorEastAsia" w:cstheme="minorEastAsia"/>
                <w:color w:val="auto"/>
                <w:sz w:val="21"/>
                <w:szCs w:val="21"/>
                <w:highlight w:val="none"/>
              </w:rPr>
              <w:t>①类似工程是指水务工程或道路工程。②业绩证明须提供中标通知书（或成交通知书或免招标的相关证明）、技术服务合同、检测报告等作为证明文件，否则不得分。③业绩时间以中标通知书（或成交通知书或免招标的相关证明）时间为准。④如以上资料不能证明业绩规模的，须另提供可证明的其他资料。同一工程只计取一项得分。分包、转包或劳务合作项目无效。</w:t>
            </w:r>
          </w:p>
        </w:tc>
      </w:tr>
      <w:tr w14:paraId="6E4D8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9B94AFA">
            <w:pPr>
              <w:pStyle w:val="33"/>
              <w:kinsoku w:val="0"/>
              <w:overflowPunct w:val="0"/>
              <w:jc w:val="center"/>
              <w:rPr>
                <w:rFonts w:hint="eastAsia" w:ascii="宋体" w:hAnsi="宋体" w:eastAsia="宋体" w:cs="宋体"/>
                <w:color w:val="auto"/>
                <w:sz w:val="21"/>
                <w:szCs w:val="21"/>
                <w:highlight w:val="none"/>
              </w:rPr>
            </w:pPr>
          </w:p>
        </w:tc>
        <w:tc>
          <w:tcPr>
            <w:tcW w:w="927" w:type="dxa"/>
            <w:vMerge w:val="continue"/>
            <w:tcBorders>
              <w:left w:val="single" w:color="auto" w:sz="4" w:space="0"/>
              <w:right w:val="single" w:color="auto" w:sz="4" w:space="0"/>
              <w:tl2br w:val="nil"/>
              <w:tr2bl w:val="nil"/>
            </w:tcBorders>
            <w:noWrap w:val="0"/>
            <w:vAlign w:val="top"/>
          </w:tcPr>
          <w:p w14:paraId="51F2E70B">
            <w:pPr>
              <w:pStyle w:val="33"/>
              <w:kinsoku w:val="0"/>
              <w:overflowPunct w:val="0"/>
              <w:jc w:val="center"/>
              <w:rPr>
                <w:rFonts w:hint="eastAsia" w:ascii="宋体" w:hAnsi="宋体" w:eastAsia="宋体" w:cs="宋体"/>
                <w:color w:val="auto"/>
                <w:sz w:val="21"/>
                <w:szCs w:val="21"/>
                <w:highlight w:val="none"/>
              </w:rPr>
            </w:pPr>
          </w:p>
        </w:tc>
        <w:tc>
          <w:tcPr>
            <w:tcW w:w="1866" w:type="dxa"/>
            <w:vMerge w:val="restart"/>
            <w:tcBorders>
              <w:top w:val="single" w:color="auto" w:sz="4" w:space="0"/>
              <w:left w:val="single" w:color="auto" w:sz="4" w:space="0"/>
              <w:right w:val="single" w:color="auto" w:sz="4" w:space="0"/>
              <w:tl2br w:val="nil"/>
              <w:tr2bl w:val="nil"/>
            </w:tcBorders>
            <w:noWrap w:val="0"/>
            <w:vAlign w:val="center"/>
          </w:tcPr>
          <w:p w14:paraId="0D311FF8">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投标人资信</w:t>
            </w:r>
          </w:p>
          <w:p w14:paraId="518154C9">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B19507">
            <w:pPr>
              <w:adjustRightInd w:val="0"/>
              <w:snapToGrid w:val="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具有ISO质量体系认证、环境管理体系认证、职业健康安全管理体系认证</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履约能力评价体系</w:t>
            </w:r>
            <w:r>
              <w:rPr>
                <w:rFonts w:hint="eastAsia" w:asciiTheme="minorEastAsia" w:hAnsiTheme="minorEastAsia" w:eastAsiaTheme="minorEastAsia" w:cstheme="minorEastAsia"/>
                <w:color w:val="auto"/>
                <w:kern w:val="0"/>
                <w:sz w:val="21"/>
                <w:szCs w:val="21"/>
                <w:highlight w:val="none"/>
                <w:lang w:eastAsia="zh-CN"/>
              </w:rPr>
              <w:t>认证</w:t>
            </w:r>
            <w:r>
              <w:rPr>
                <w:rFonts w:hint="eastAsia" w:asciiTheme="minorEastAsia" w:hAnsiTheme="minorEastAsia" w:eastAsiaTheme="minorEastAsia" w:cstheme="minorEastAsia"/>
                <w:color w:val="auto"/>
                <w:kern w:val="0"/>
                <w:sz w:val="21"/>
                <w:szCs w:val="21"/>
                <w:highlight w:val="none"/>
              </w:rPr>
              <w:t>、信息安全管理体系认证且在有效期限内的，每项得</w:t>
            </w: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分，本项最高得</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r>
              <w:rPr>
                <w:rFonts w:hint="eastAsia" w:asciiTheme="minorEastAsia" w:hAnsiTheme="minorEastAsia" w:eastAsiaTheme="minorEastAsia" w:cstheme="minorEastAsia"/>
                <w:color w:val="auto"/>
                <w:sz w:val="21"/>
                <w:szCs w:val="21"/>
                <w:highlight w:val="none"/>
              </w:rPr>
              <w:t>没有不得分。</w:t>
            </w:r>
          </w:p>
          <w:p w14:paraId="5733FD91">
            <w:pPr>
              <w:adjustRightInd w:val="0"/>
              <w:snapToGrid w:val="0"/>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注：需提供证书。</w:t>
            </w:r>
          </w:p>
        </w:tc>
      </w:tr>
      <w:tr w14:paraId="1223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BB7A5C6">
            <w:pPr>
              <w:pStyle w:val="33"/>
              <w:kinsoku w:val="0"/>
              <w:overflowPunct w:val="0"/>
              <w:jc w:val="center"/>
              <w:rPr>
                <w:rFonts w:hint="eastAsia" w:ascii="宋体" w:hAnsi="宋体" w:eastAsia="宋体" w:cs="宋体"/>
                <w:color w:val="auto"/>
                <w:sz w:val="21"/>
                <w:szCs w:val="21"/>
                <w:highlight w:val="none"/>
              </w:rPr>
            </w:pPr>
          </w:p>
        </w:tc>
        <w:tc>
          <w:tcPr>
            <w:tcW w:w="927" w:type="dxa"/>
            <w:vMerge w:val="continue"/>
            <w:tcBorders>
              <w:left w:val="single" w:color="auto" w:sz="4" w:space="0"/>
              <w:right w:val="single" w:color="auto" w:sz="4" w:space="0"/>
              <w:tl2br w:val="nil"/>
              <w:tr2bl w:val="nil"/>
            </w:tcBorders>
            <w:noWrap w:val="0"/>
            <w:vAlign w:val="top"/>
          </w:tcPr>
          <w:p w14:paraId="670CBD33">
            <w:pPr>
              <w:pStyle w:val="33"/>
              <w:kinsoku w:val="0"/>
              <w:overflowPunct w:val="0"/>
              <w:jc w:val="center"/>
              <w:rPr>
                <w:rFonts w:hint="eastAsia" w:ascii="宋体" w:hAnsi="宋体" w:eastAsia="宋体" w:cs="宋体"/>
                <w:color w:val="auto"/>
                <w:sz w:val="21"/>
                <w:szCs w:val="21"/>
                <w:highlight w:val="none"/>
              </w:rPr>
            </w:pPr>
          </w:p>
        </w:tc>
        <w:tc>
          <w:tcPr>
            <w:tcW w:w="1866" w:type="dxa"/>
            <w:vMerge w:val="continue"/>
            <w:tcBorders>
              <w:left w:val="single" w:color="auto" w:sz="4" w:space="0"/>
              <w:bottom w:val="single" w:color="auto" w:sz="4" w:space="0"/>
              <w:right w:val="single" w:color="auto" w:sz="4" w:space="0"/>
              <w:tl2br w:val="nil"/>
              <w:tr2bl w:val="nil"/>
            </w:tcBorders>
            <w:noWrap w:val="0"/>
            <w:vAlign w:val="center"/>
          </w:tcPr>
          <w:p w14:paraId="43CCF29D">
            <w:pPr>
              <w:pStyle w:val="33"/>
              <w:kinsoku w:val="0"/>
              <w:overflowPunct w:val="0"/>
              <w:jc w:val="center"/>
              <w:rPr>
                <w:rFonts w:hint="eastAsia" w:ascii="宋体" w:hAnsi="宋体" w:eastAsia="宋体" w:cs="宋体"/>
                <w:color w:val="auto"/>
                <w:sz w:val="21"/>
                <w:szCs w:val="21"/>
                <w:highlight w:val="none"/>
                <w:lang w:val="en-US" w:eastAsia="zh-CN"/>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95E115">
            <w:pPr>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投标人具有CNAS的认可证书，且证书在有效期内的，得</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分；其他不得分。</w:t>
            </w:r>
          </w:p>
          <w:p w14:paraId="6377A0B9">
            <w:pPr>
              <w:adjustRightInd w:val="0"/>
              <w:snapToGrid w:val="0"/>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注：须提供相关证书及查询网页截图，否则不得分。</w:t>
            </w:r>
          </w:p>
        </w:tc>
      </w:tr>
      <w:tr w14:paraId="5C13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DDB8101">
            <w:pPr>
              <w:pStyle w:val="33"/>
              <w:kinsoku w:val="0"/>
              <w:overflowPunct w:val="0"/>
              <w:jc w:val="center"/>
              <w:rPr>
                <w:rFonts w:hint="eastAsia" w:ascii="宋体" w:hAnsi="宋体" w:eastAsia="宋体" w:cs="宋体"/>
                <w:color w:val="auto"/>
                <w:sz w:val="21"/>
                <w:szCs w:val="21"/>
                <w:highlight w:val="none"/>
              </w:rPr>
            </w:pPr>
          </w:p>
        </w:tc>
        <w:tc>
          <w:tcPr>
            <w:tcW w:w="927" w:type="dxa"/>
            <w:vMerge w:val="continue"/>
            <w:tcBorders>
              <w:left w:val="single" w:color="auto" w:sz="4" w:space="0"/>
              <w:right w:val="single" w:color="auto" w:sz="4" w:space="0"/>
              <w:tl2br w:val="nil"/>
              <w:tr2bl w:val="nil"/>
            </w:tcBorders>
            <w:noWrap w:val="0"/>
            <w:vAlign w:val="top"/>
          </w:tcPr>
          <w:p w14:paraId="693E4147">
            <w:pPr>
              <w:pStyle w:val="33"/>
              <w:kinsoku w:val="0"/>
              <w:overflowPunct w:val="0"/>
              <w:jc w:val="center"/>
              <w:rPr>
                <w:rFonts w:hint="eastAsia" w:ascii="宋体" w:hAnsi="宋体" w:eastAsia="宋体" w:cs="宋体"/>
                <w:color w:val="auto"/>
                <w:sz w:val="21"/>
                <w:szCs w:val="21"/>
                <w:highlight w:val="none"/>
              </w:rPr>
            </w:pPr>
          </w:p>
        </w:tc>
        <w:tc>
          <w:tcPr>
            <w:tcW w:w="1866" w:type="dxa"/>
            <w:vMerge w:val="restart"/>
            <w:tcBorders>
              <w:top w:val="single" w:color="auto" w:sz="4" w:space="0"/>
              <w:left w:val="single" w:color="auto" w:sz="4" w:space="0"/>
              <w:right w:val="single" w:color="auto" w:sz="4" w:space="0"/>
              <w:tl2br w:val="nil"/>
              <w:tr2bl w:val="nil"/>
            </w:tcBorders>
            <w:noWrap w:val="0"/>
            <w:vAlign w:val="center"/>
          </w:tcPr>
          <w:p w14:paraId="6BDFEE20">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项目管理班子</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lang w:val="en-US" w:eastAsia="zh-CN"/>
              </w:rPr>
              <w:t>分）</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705717">
            <w:pPr>
              <w:keepNext/>
              <w:adjustRightInd/>
              <w:snapToGrid/>
              <w:spacing w:after="0" w:line="240" w:lineRule="auto"/>
              <w:ind w:firstLine="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1、项目负责人具有工程类相关专业高级工程师或以上职称的，得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分；具有工程类相关专业中级工程师职称的，得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分；其他不得分。</w:t>
            </w:r>
          </w:p>
          <w:p w14:paraId="1B635CD2">
            <w:pPr>
              <w:keepNext/>
              <w:adjustRightInd/>
              <w:snapToGrid/>
              <w:spacing w:after="0" w:line="240" w:lineRule="auto"/>
              <w:ind w:firstLine="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14:paraId="52D281ED">
            <w:pPr>
              <w:keepNext/>
              <w:adjustRightInd/>
              <w:snapToGrid/>
              <w:spacing w:after="0" w:line="240" w:lineRule="auto"/>
              <w:ind w:firstLine="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、项目负责人20</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年1月1日至今，担任过类似工程</w:t>
            </w:r>
            <w:r>
              <w:rPr>
                <w:rFonts w:hint="eastAsia" w:asciiTheme="minorEastAsia" w:hAnsiTheme="minorEastAsia" w:eastAsiaTheme="minorEastAsia" w:cstheme="minorEastAsia"/>
                <w:color w:val="auto"/>
                <w:kern w:val="0"/>
                <w:sz w:val="21"/>
                <w:szCs w:val="21"/>
                <w:highlight w:val="none"/>
              </w:rPr>
              <w:t>第三方检测</w:t>
            </w:r>
            <w:r>
              <w:rPr>
                <w:rFonts w:hint="eastAsia" w:asciiTheme="minorEastAsia" w:hAnsiTheme="minorEastAsia" w:eastAsiaTheme="minorEastAsia" w:cstheme="minorEastAsia"/>
                <w:color w:val="auto"/>
                <w:kern w:val="0"/>
                <w:sz w:val="21"/>
                <w:szCs w:val="21"/>
                <w:highlight w:val="none"/>
                <w:lang w:eastAsia="zh-CN"/>
              </w:rPr>
              <w:t>或监测</w:t>
            </w:r>
            <w:r>
              <w:rPr>
                <w:rFonts w:hint="eastAsia" w:asciiTheme="minorEastAsia" w:hAnsiTheme="minorEastAsia" w:eastAsiaTheme="minorEastAsia" w:cstheme="minorEastAsia"/>
                <w:color w:val="auto"/>
                <w:kern w:val="0"/>
                <w:sz w:val="21"/>
                <w:szCs w:val="21"/>
                <w:highlight w:val="none"/>
              </w:rPr>
              <w:t>项目</w:t>
            </w:r>
            <w:r>
              <w:rPr>
                <w:rFonts w:hint="eastAsia" w:asciiTheme="minorEastAsia" w:hAnsiTheme="minorEastAsia" w:eastAsiaTheme="minorEastAsia" w:cstheme="minorEastAsia"/>
                <w:color w:val="auto"/>
                <w:sz w:val="21"/>
                <w:szCs w:val="21"/>
                <w:highlight w:val="none"/>
              </w:rPr>
              <w:t>的项目负责人或技术负责人的，得</w:t>
            </w:r>
            <w:r>
              <w:rPr>
                <w:rFonts w:hint="eastAsia" w:asciiTheme="minorEastAsia" w:hAnsiTheme="minorEastAsia" w:eastAsiaTheme="minorEastAsia" w:cstheme="minorEastAsia"/>
                <w:color w:val="auto"/>
                <w:sz w:val="21"/>
                <w:szCs w:val="21"/>
                <w:highlight w:val="none"/>
                <w:lang w:val="en-US" w:eastAsia="zh-CN"/>
              </w:rPr>
              <w:t>3.5</w:t>
            </w:r>
            <w:r>
              <w:rPr>
                <w:rFonts w:hint="eastAsia" w:asciiTheme="minorEastAsia" w:hAnsiTheme="minorEastAsia" w:eastAsiaTheme="minorEastAsia" w:cstheme="minorEastAsia"/>
                <w:color w:val="auto"/>
                <w:sz w:val="21"/>
                <w:szCs w:val="21"/>
                <w:highlight w:val="none"/>
              </w:rPr>
              <w:t>分，其他不得分。</w:t>
            </w:r>
          </w:p>
          <w:p w14:paraId="722D588E">
            <w:pPr>
              <w:keepNext/>
              <w:rPr>
                <w:rFonts w:hint="eastAsia" w:asciiTheme="minorEastAsia" w:hAnsiTheme="minorEastAsia" w:eastAsiaTheme="minorEastAsia" w:cstheme="minorEastAsia"/>
                <w:color w:val="auto"/>
                <w:kern w:val="0"/>
                <w:sz w:val="21"/>
                <w:szCs w:val="21"/>
                <w:highlight w:val="none"/>
              </w:rPr>
            </w:pPr>
          </w:p>
          <w:p w14:paraId="741C17F6">
            <w:pPr>
              <w:keepNext/>
              <w:adjustRightInd/>
              <w:snapToGrid/>
              <w:jc w:val="left"/>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注：</w:t>
            </w:r>
            <w:r>
              <w:rPr>
                <w:rFonts w:hint="eastAsia" w:asciiTheme="minorEastAsia" w:hAnsiTheme="minorEastAsia" w:eastAsiaTheme="minorEastAsia" w:cstheme="minorEastAsia"/>
                <w:color w:val="auto"/>
                <w:sz w:val="21"/>
                <w:szCs w:val="21"/>
                <w:highlight w:val="none"/>
              </w:rPr>
              <w:t>①项目负责人应为主办方正式员工，需提供项目负责人职称证，投标人为其购买的近一个月社保证明。②类似工程是指水务工程或道路工程。③业绩证明须提供中标通知书（或成交通知书或免招标的相关证明）、技术服务合同、检测或监测报告等作为证明文件，否则不得分。④业绩时间以中标通知书（或成交通知书或免招标的相关证明）时间为准。⑤如以上资料不能证明业绩规模的，须另提供可证明的其他资料。⑥项目技术负责人与项目负责人不能为同一人，否则不得分。⑦同一个项目负责人凭证书只计一次分，不重复计分。分包、转包或劳务合作项目无效。</w:t>
            </w:r>
          </w:p>
        </w:tc>
      </w:tr>
      <w:tr w14:paraId="18AC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1A0CEF7">
            <w:pPr>
              <w:pStyle w:val="33"/>
              <w:kinsoku w:val="0"/>
              <w:overflowPunct w:val="0"/>
              <w:jc w:val="center"/>
              <w:rPr>
                <w:rFonts w:hint="eastAsia" w:ascii="宋体" w:hAnsi="宋体" w:eastAsia="宋体" w:cs="宋体"/>
                <w:color w:val="auto"/>
                <w:sz w:val="21"/>
                <w:szCs w:val="21"/>
                <w:highlight w:val="none"/>
              </w:rPr>
            </w:pPr>
          </w:p>
        </w:tc>
        <w:tc>
          <w:tcPr>
            <w:tcW w:w="927" w:type="dxa"/>
            <w:vMerge w:val="continue"/>
            <w:tcBorders>
              <w:left w:val="single" w:color="auto" w:sz="4" w:space="0"/>
              <w:right w:val="single" w:color="auto" w:sz="4" w:space="0"/>
              <w:tl2br w:val="nil"/>
              <w:tr2bl w:val="nil"/>
            </w:tcBorders>
            <w:noWrap w:val="0"/>
            <w:vAlign w:val="top"/>
          </w:tcPr>
          <w:p w14:paraId="48959D79">
            <w:pPr>
              <w:pStyle w:val="33"/>
              <w:kinsoku w:val="0"/>
              <w:overflowPunct w:val="0"/>
              <w:jc w:val="center"/>
              <w:rPr>
                <w:rFonts w:hint="eastAsia" w:ascii="宋体" w:hAnsi="宋体" w:eastAsia="宋体" w:cs="宋体"/>
                <w:color w:val="auto"/>
                <w:sz w:val="21"/>
                <w:szCs w:val="21"/>
                <w:highlight w:val="none"/>
              </w:rPr>
            </w:pPr>
          </w:p>
        </w:tc>
        <w:tc>
          <w:tcPr>
            <w:tcW w:w="1866" w:type="dxa"/>
            <w:vMerge w:val="continue"/>
            <w:tcBorders>
              <w:left w:val="single" w:color="auto" w:sz="4" w:space="0"/>
              <w:right w:val="single" w:color="auto" w:sz="4" w:space="0"/>
              <w:tl2br w:val="nil"/>
              <w:tr2bl w:val="nil"/>
            </w:tcBorders>
            <w:noWrap w:val="0"/>
            <w:vAlign w:val="center"/>
          </w:tcPr>
          <w:p w14:paraId="120CAFA7">
            <w:pPr>
              <w:snapToGrid w:val="0"/>
              <w:rPr>
                <w:rFonts w:hint="eastAsia" w:ascii="宋体" w:hAnsi="宋体" w:eastAsia="宋体" w:cs="宋体"/>
                <w:color w:val="auto"/>
                <w:sz w:val="21"/>
                <w:szCs w:val="21"/>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E1F2C5">
            <w:pPr>
              <w:pStyle w:val="23"/>
              <w:keepNext/>
              <w:spacing w:after="0" w:line="240" w:lineRule="auto"/>
              <w:ind w:left="0" w:firstLine="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1、项目技术负责人具有工程类相关专业高级工程师或以上职称的，得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分；具有工程类相关专业中级工程师职称的，得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分；其他不得分。</w:t>
            </w:r>
          </w:p>
          <w:p w14:paraId="781DCE2D">
            <w:pPr>
              <w:pStyle w:val="23"/>
              <w:keepNext/>
              <w:spacing w:after="0" w:line="240" w:lineRule="auto"/>
              <w:ind w:firstLine="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14:paraId="5FDB262B">
            <w:pPr>
              <w:pStyle w:val="23"/>
              <w:keepNext/>
              <w:spacing w:after="0" w:line="240" w:lineRule="auto"/>
              <w:ind w:left="0" w:firstLine="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、项目技术负责人20</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年1月1日至今，担任过类似工程</w:t>
            </w:r>
            <w:r>
              <w:rPr>
                <w:rFonts w:hint="eastAsia" w:asciiTheme="minorEastAsia" w:hAnsiTheme="minorEastAsia" w:eastAsiaTheme="minorEastAsia" w:cstheme="minorEastAsia"/>
                <w:color w:val="auto"/>
                <w:kern w:val="0"/>
                <w:sz w:val="21"/>
                <w:szCs w:val="21"/>
                <w:highlight w:val="none"/>
              </w:rPr>
              <w:t>第三方检测</w:t>
            </w:r>
            <w:r>
              <w:rPr>
                <w:rFonts w:hint="eastAsia" w:asciiTheme="minorEastAsia" w:hAnsiTheme="minorEastAsia" w:eastAsiaTheme="minorEastAsia" w:cstheme="minorEastAsia"/>
                <w:color w:val="auto"/>
                <w:kern w:val="0"/>
                <w:sz w:val="21"/>
                <w:szCs w:val="21"/>
                <w:highlight w:val="none"/>
                <w:lang w:eastAsia="zh-CN"/>
              </w:rPr>
              <w:t>或监测</w:t>
            </w:r>
            <w:r>
              <w:rPr>
                <w:rFonts w:hint="eastAsia" w:asciiTheme="minorEastAsia" w:hAnsiTheme="minorEastAsia" w:eastAsiaTheme="minorEastAsia" w:cstheme="minorEastAsia"/>
                <w:color w:val="auto"/>
                <w:kern w:val="0"/>
                <w:sz w:val="21"/>
                <w:szCs w:val="21"/>
                <w:highlight w:val="none"/>
              </w:rPr>
              <w:t>项目</w:t>
            </w:r>
            <w:r>
              <w:rPr>
                <w:rFonts w:hint="eastAsia" w:asciiTheme="minorEastAsia" w:hAnsiTheme="minorEastAsia" w:eastAsiaTheme="minorEastAsia" w:cstheme="minorEastAsia"/>
                <w:color w:val="auto"/>
                <w:sz w:val="21"/>
                <w:szCs w:val="21"/>
                <w:highlight w:val="none"/>
              </w:rPr>
              <w:t>的项目负责人或技术负责人的，得</w:t>
            </w:r>
            <w:r>
              <w:rPr>
                <w:rFonts w:hint="eastAsia" w:asciiTheme="minorEastAsia" w:hAnsiTheme="minorEastAsia" w:eastAsiaTheme="minorEastAsia" w:cstheme="minorEastAsia"/>
                <w:color w:val="auto"/>
                <w:sz w:val="21"/>
                <w:szCs w:val="21"/>
                <w:highlight w:val="none"/>
                <w:lang w:val="en-US" w:eastAsia="zh-CN"/>
              </w:rPr>
              <w:t>3.5</w:t>
            </w:r>
            <w:r>
              <w:rPr>
                <w:rFonts w:hint="eastAsia" w:asciiTheme="minorEastAsia" w:hAnsiTheme="minorEastAsia" w:eastAsiaTheme="minorEastAsia" w:cstheme="minorEastAsia"/>
                <w:color w:val="auto"/>
                <w:sz w:val="21"/>
                <w:szCs w:val="21"/>
                <w:highlight w:val="none"/>
              </w:rPr>
              <w:t>分，其他不得分。</w:t>
            </w:r>
          </w:p>
          <w:p w14:paraId="752F75F1">
            <w:pPr>
              <w:keepNext/>
              <w:adjustRightInd/>
              <w:snapToGrid/>
              <w:jc w:val="left"/>
              <w:rPr>
                <w:rFonts w:hint="eastAsia" w:asciiTheme="minorEastAsia" w:hAnsiTheme="minorEastAsia" w:eastAsiaTheme="minorEastAsia" w:cstheme="minorEastAsia"/>
                <w:color w:val="auto"/>
                <w:kern w:val="0"/>
                <w:sz w:val="21"/>
                <w:szCs w:val="21"/>
                <w:highlight w:val="none"/>
              </w:rPr>
            </w:pPr>
          </w:p>
          <w:p w14:paraId="3C098A72">
            <w:pPr>
              <w:keepNext/>
              <w:adjustRightInd/>
              <w:snapToGrid/>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注：</w:t>
            </w:r>
            <w:r>
              <w:rPr>
                <w:rFonts w:hint="eastAsia" w:asciiTheme="minorEastAsia" w:hAnsiTheme="minorEastAsia" w:eastAsiaTheme="minorEastAsia" w:cstheme="minorEastAsia"/>
                <w:color w:val="auto"/>
                <w:sz w:val="21"/>
                <w:szCs w:val="21"/>
                <w:highlight w:val="none"/>
              </w:rPr>
              <w:t>①需提供项目技术负责人职称证，投标人为其购买的近一个月社保证明。②类似工程是指水务工程或道路工程。③业绩证明须提供中标通知书（或成交通知书或免招标的相关证明）、技术服务合同、检测或监测报告等作为证明文件，否则不得分。如以上资料不能证明业绩规模的，须另提供可证明的其他资料。④业绩时间以中标通知书（或成交通知书或免招标的相关证明）时间为准。⑤项目技术负责人与项目负责人不能为同一人，否则不得分。⑥同一个项目负责人凭证书只计一次分，不重复计分。分包、转包或劳务合作项目无效。</w:t>
            </w:r>
          </w:p>
        </w:tc>
      </w:tr>
      <w:tr w14:paraId="337CB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31" w:type="dxa"/>
            <w:gridSpan w:val="2"/>
            <w:vMerge w:val="continue"/>
            <w:tcBorders>
              <w:top w:val="single" w:color="auto" w:sz="4" w:space="0"/>
              <w:left w:val="single" w:color="auto" w:sz="4" w:space="0"/>
              <w:bottom w:val="nil"/>
              <w:right w:val="single" w:color="auto" w:sz="4" w:space="0"/>
              <w:tl2br w:val="nil"/>
              <w:tr2bl w:val="nil"/>
            </w:tcBorders>
            <w:noWrap w:val="0"/>
            <w:vAlign w:val="top"/>
          </w:tcPr>
          <w:p w14:paraId="38CE1629">
            <w:pPr>
              <w:pStyle w:val="33"/>
              <w:kinsoku w:val="0"/>
              <w:overflowPunct w:val="0"/>
              <w:jc w:val="center"/>
              <w:rPr>
                <w:rFonts w:hint="eastAsia" w:ascii="宋体" w:hAnsi="宋体" w:eastAsia="宋体" w:cs="宋体"/>
                <w:color w:val="auto"/>
                <w:sz w:val="21"/>
                <w:szCs w:val="21"/>
                <w:highlight w:val="none"/>
              </w:rPr>
            </w:pPr>
          </w:p>
        </w:tc>
        <w:tc>
          <w:tcPr>
            <w:tcW w:w="927" w:type="dxa"/>
            <w:vMerge w:val="continue"/>
            <w:tcBorders>
              <w:left w:val="single" w:color="auto" w:sz="4" w:space="0"/>
              <w:right w:val="single" w:color="auto" w:sz="4" w:space="0"/>
              <w:tl2br w:val="nil"/>
              <w:tr2bl w:val="nil"/>
            </w:tcBorders>
            <w:noWrap w:val="0"/>
            <w:vAlign w:val="top"/>
          </w:tcPr>
          <w:p w14:paraId="3F953D82">
            <w:pPr>
              <w:pStyle w:val="33"/>
              <w:kinsoku w:val="0"/>
              <w:overflowPunct w:val="0"/>
              <w:jc w:val="center"/>
              <w:rPr>
                <w:rFonts w:hint="eastAsia" w:ascii="宋体" w:hAnsi="宋体" w:eastAsia="宋体" w:cs="宋体"/>
                <w:color w:val="auto"/>
                <w:sz w:val="21"/>
                <w:szCs w:val="21"/>
                <w:highlight w:val="none"/>
              </w:rPr>
            </w:pPr>
          </w:p>
        </w:tc>
        <w:tc>
          <w:tcPr>
            <w:tcW w:w="1866" w:type="dxa"/>
            <w:vMerge w:val="continue"/>
            <w:tcBorders>
              <w:left w:val="single" w:color="auto" w:sz="4" w:space="0"/>
              <w:bottom w:val="single" w:color="auto" w:sz="4" w:space="0"/>
              <w:right w:val="single" w:color="auto" w:sz="4" w:space="0"/>
              <w:tl2br w:val="nil"/>
              <w:tr2bl w:val="nil"/>
            </w:tcBorders>
            <w:noWrap w:val="0"/>
            <w:vAlign w:val="center"/>
          </w:tcPr>
          <w:p w14:paraId="5146230D">
            <w:pPr>
              <w:pStyle w:val="33"/>
              <w:kinsoku w:val="0"/>
              <w:overflowPunct w:val="0"/>
              <w:jc w:val="center"/>
              <w:rPr>
                <w:rFonts w:hint="eastAsia" w:ascii="宋体" w:hAnsi="宋体" w:eastAsia="宋体" w:cs="宋体"/>
                <w:color w:val="auto"/>
                <w:sz w:val="21"/>
                <w:szCs w:val="21"/>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697B5A">
            <w:pPr>
              <w:spacing w:after="0" w:line="24" w:lineRule="atLeast"/>
              <w:ind w:firstLine="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投标人有稳定的技术支撑队伍，拟投入本项目技术人员中（项目负责人和项目技术负责人除外）：</w:t>
            </w:r>
          </w:p>
          <w:p w14:paraId="7E7096AD">
            <w:pPr>
              <w:spacing w:after="0" w:line="24" w:lineRule="atLeast"/>
              <w:ind w:firstLine="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（1）投入本项目的工作人员中，具有工程类相关专业中级或以上专业技术职称的人数15人或以上，得</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分；</w:t>
            </w:r>
          </w:p>
          <w:p w14:paraId="147851A7">
            <w:pPr>
              <w:spacing w:after="0" w:line="24" w:lineRule="atLeast"/>
              <w:ind w:firstLine="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（2）投入本项目的工作人员中，具有工程类相关专业中级或以上专业技术职称的人数11～14人，得</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p w14:paraId="37AB14BD">
            <w:pPr>
              <w:spacing w:after="0" w:line="24" w:lineRule="atLeast"/>
              <w:ind w:firstLine="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（3）投入本项目的工作人员中，具有工程类相关专业中级或以上专业技术职称的人数7～10人，得4分； </w:t>
            </w:r>
          </w:p>
          <w:p w14:paraId="3C9866F2">
            <w:pPr>
              <w:spacing w:after="0" w:line="24" w:lineRule="atLeast"/>
              <w:ind w:firstLine="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（4）投入本项目的工作人员中，具有工程类相关专业中级或以上专业技术职称的人数</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～6人，得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p w14:paraId="26951FF3">
            <w:pPr>
              <w:spacing w:after="0" w:line="24" w:lineRule="atLeast"/>
              <w:ind w:firstLine="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）不提供，不得分。</w:t>
            </w:r>
          </w:p>
          <w:p w14:paraId="7B7B867C">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color w:val="auto"/>
                <w:sz w:val="21"/>
                <w:szCs w:val="21"/>
                <w:highlight w:val="none"/>
              </w:rPr>
              <w:t>注：本项最高得</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分。需提供上述人员省级或以上培训机构（或行业协会）出具的试验检测师或检测员证、职称证及投标人为其购买的近一个月社保证明。</w:t>
            </w:r>
          </w:p>
        </w:tc>
      </w:tr>
      <w:tr w14:paraId="4A057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31" w:type="dxa"/>
            <w:gridSpan w:val="2"/>
            <w:vMerge w:val="restart"/>
            <w:tcBorders>
              <w:top w:val="nil"/>
              <w:left w:val="single" w:color="auto" w:sz="4" w:space="0"/>
              <w:right w:val="single" w:color="auto" w:sz="4" w:space="0"/>
              <w:tl2br w:val="nil"/>
              <w:tr2bl w:val="nil"/>
            </w:tcBorders>
            <w:noWrap w:val="0"/>
            <w:vAlign w:val="top"/>
          </w:tcPr>
          <w:p w14:paraId="68E6405B">
            <w:pPr>
              <w:pStyle w:val="33"/>
              <w:kinsoku w:val="0"/>
              <w:overflowPunct w:val="0"/>
              <w:jc w:val="center"/>
              <w:rPr>
                <w:rFonts w:hint="eastAsia" w:ascii="宋体" w:hAnsi="宋体" w:eastAsia="宋体" w:cs="宋体"/>
                <w:color w:val="auto"/>
                <w:sz w:val="21"/>
                <w:szCs w:val="21"/>
                <w:highlight w:val="none"/>
              </w:rPr>
            </w:pPr>
          </w:p>
        </w:tc>
        <w:tc>
          <w:tcPr>
            <w:tcW w:w="927" w:type="dxa"/>
            <w:vMerge w:val="continue"/>
            <w:tcBorders>
              <w:left w:val="single" w:color="auto" w:sz="4" w:space="0"/>
              <w:right w:val="single" w:color="auto" w:sz="4" w:space="0"/>
              <w:tl2br w:val="nil"/>
              <w:tr2bl w:val="nil"/>
            </w:tcBorders>
            <w:noWrap w:val="0"/>
            <w:vAlign w:val="top"/>
          </w:tcPr>
          <w:p w14:paraId="30D14621">
            <w:pPr>
              <w:pStyle w:val="33"/>
              <w:kinsoku w:val="0"/>
              <w:overflowPunct w:val="0"/>
              <w:jc w:val="center"/>
              <w:rPr>
                <w:rFonts w:hint="eastAsia" w:ascii="宋体" w:hAnsi="宋体" w:eastAsia="宋体" w:cs="宋体"/>
                <w:color w:val="auto"/>
                <w:sz w:val="21"/>
                <w:szCs w:val="21"/>
                <w:highlight w:val="none"/>
              </w:rPr>
            </w:pPr>
          </w:p>
        </w:tc>
        <w:tc>
          <w:tcPr>
            <w:tcW w:w="1866" w:type="dxa"/>
            <w:vMerge w:val="restart"/>
            <w:tcBorders>
              <w:left w:val="single" w:color="auto" w:sz="4" w:space="0"/>
              <w:right w:val="single" w:color="auto" w:sz="4" w:space="0"/>
              <w:tl2br w:val="nil"/>
              <w:tr2bl w:val="nil"/>
            </w:tcBorders>
            <w:noWrap w:val="0"/>
            <w:vAlign w:val="center"/>
          </w:tcPr>
          <w:p w14:paraId="2A86EAD7">
            <w:pPr>
              <w:adjustRightInd w:val="0"/>
              <w:snapToGrid w:val="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服务</w:t>
            </w:r>
            <w:r>
              <w:rPr>
                <w:rFonts w:hint="eastAsia" w:asciiTheme="minorEastAsia" w:hAnsiTheme="minorEastAsia" w:eastAsiaTheme="minorEastAsia" w:cstheme="minorEastAsia"/>
                <w:color w:val="auto"/>
                <w:sz w:val="21"/>
                <w:szCs w:val="21"/>
                <w:highlight w:val="none"/>
              </w:rPr>
              <w:t>方案</w:t>
            </w:r>
          </w:p>
          <w:p w14:paraId="7C501A76">
            <w:pPr>
              <w:pStyle w:val="33"/>
              <w:kinsoku w:val="0"/>
              <w:overflowPunct w:val="0"/>
              <w:autoSpaceDE/>
              <w:autoSpaceDN/>
              <w:spacing w:before="0" w:line="240" w:lineRule="auto"/>
              <w:jc w:val="center"/>
              <w:rPr>
                <w:rFonts w:hint="eastAsia" w:ascii="宋体" w:hAnsi="宋体" w:eastAsia="宋体" w:cs="宋体"/>
                <w:b w:val="0"/>
                <w:bCs/>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23分）</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7D6302">
            <w:pPr>
              <w:adjustRightInd w:val="0"/>
              <w:snapToGrid w:val="0"/>
              <w:jc w:val="left"/>
              <w:rPr>
                <w:rFonts w:hint="eastAsia" w:asciiTheme="minorEastAsia" w:hAnsiTheme="minorEastAsia" w:eastAsiaTheme="minorEastAsia" w:cstheme="minorEastAsia"/>
                <w:strike w:val="0"/>
                <w:color w:val="auto"/>
                <w:sz w:val="21"/>
                <w:szCs w:val="21"/>
                <w:highlight w:val="none"/>
              </w:rPr>
            </w:pPr>
            <w:r>
              <w:rPr>
                <w:rFonts w:hint="eastAsia" w:asciiTheme="minorEastAsia" w:hAnsiTheme="minorEastAsia" w:eastAsiaTheme="minorEastAsia" w:cstheme="minorEastAsia"/>
                <w:strike w:val="0"/>
                <w:color w:val="auto"/>
                <w:sz w:val="21"/>
                <w:szCs w:val="21"/>
                <w:highlight w:val="none"/>
              </w:rPr>
              <w:t>【优】</w:t>
            </w:r>
            <w:r>
              <w:rPr>
                <w:rFonts w:hint="eastAsia" w:asciiTheme="minorEastAsia" w:hAnsiTheme="minorEastAsia" w:eastAsiaTheme="minorEastAsia" w:cstheme="minorEastAsia"/>
                <w:strike w:val="0"/>
                <w:color w:val="auto"/>
                <w:sz w:val="21"/>
                <w:szCs w:val="21"/>
                <w:highlight w:val="none"/>
                <w:lang w:val="en-US" w:eastAsia="zh-CN"/>
              </w:rPr>
              <w:t>:</w:t>
            </w:r>
            <w:r>
              <w:rPr>
                <w:rFonts w:hint="eastAsia" w:asciiTheme="minorEastAsia" w:hAnsiTheme="minorEastAsia" w:eastAsiaTheme="minorEastAsia" w:cstheme="minorEastAsia"/>
                <w:strike w:val="0"/>
                <w:color w:val="auto"/>
                <w:sz w:val="21"/>
                <w:szCs w:val="21"/>
                <w:highlight w:val="none"/>
              </w:rPr>
              <w:t>合同管理、信息管理、档案管理方法、针对性强、措施具体，得</w:t>
            </w:r>
            <w:r>
              <w:rPr>
                <w:rFonts w:hint="eastAsia" w:asciiTheme="minorEastAsia" w:hAnsiTheme="minorEastAsia" w:eastAsiaTheme="minorEastAsia" w:cstheme="minorEastAsia"/>
                <w:strike w:val="0"/>
                <w:color w:val="auto"/>
                <w:sz w:val="21"/>
                <w:szCs w:val="21"/>
                <w:highlight w:val="none"/>
                <w:lang w:val="en-US" w:eastAsia="zh-CN"/>
              </w:rPr>
              <w:t>6</w:t>
            </w:r>
            <w:r>
              <w:rPr>
                <w:rFonts w:hint="eastAsia" w:asciiTheme="minorEastAsia" w:hAnsiTheme="minorEastAsia" w:eastAsiaTheme="minorEastAsia" w:cstheme="minorEastAsia"/>
                <w:strike w:val="0"/>
                <w:color w:val="auto"/>
                <w:sz w:val="21"/>
                <w:szCs w:val="21"/>
                <w:highlight w:val="none"/>
              </w:rPr>
              <w:t>分；</w:t>
            </w:r>
          </w:p>
          <w:p w14:paraId="28B7D56F">
            <w:pPr>
              <w:adjustRightInd w:val="0"/>
              <w:snapToGrid w:val="0"/>
              <w:jc w:val="left"/>
              <w:rPr>
                <w:rFonts w:hint="eastAsia" w:asciiTheme="minorEastAsia" w:hAnsiTheme="minorEastAsia" w:eastAsiaTheme="minorEastAsia" w:cstheme="minorEastAsia"/>
                <w:strike w:val="0"/>
                <w:color w:val="auto"/>
                <w:sz w:val="21"/>
                <w:szCs w:val="21"/>
                <w:highlight w:val="none"/>
              </w:rPr>
            </w:pPr>
            <w:r>
              <w:rPr>
                <w:rFonts w:hint="eastAsia" w:asciiTheme="minorEastAsia" w:hAnsiTheme="minorEastAsia" w:eastAsiaTheme="minorEastAsia" w:cstheme="minorEastAsia"/>
                <w:strike w:val="0"/>
                <w:color w:val="auto"/>
                <w:sz w:val="21"/>
                <w:szCs w:val="21"/>
                <w:highlight w:val="none"/>
              </w:rPr>
              <w:t>【良】合同管理、信息管理、档案管理方法、针对性较强、措施较具体，得</w:t>
            </w:r>
            <w:r>
              <w:rPr>
                <w:rFonts w:hint="eastAsia" w:asciiTheme="minorEastAsia" w:hAnsiTheme="minorEastAsia" w:eastAsiaTheme="minorEastAsia" w:cstheme="minorEastAsia"/>
                <w:strike w:val="0"/>
                <w:color w:val="auto"/>
                <w:sz w:val="21"/>
                <w:szCs w:val="21"/>
                <w:highlight w:val="none"/>
                <w:lang w:val="en-US" w:eastAsia="zh-CN"/>
              </w:rPr>
              <w:t>4</w:t>
            </w:r>
            <w:r>
              <w:rPr>
                <w:rFonts w:hint="eastAsia" w:asciiTheme="minorEastAsia" w:hAnsiTheme="minorEastAsia" w:eastAsiaTheme="minorEastAsia" w:cstheme="minorEastAsia"/>
                <w:strike w:val="0"/>
                <w:color w:val="auto"/>
                <w:sz w:val="21"/>
                <w:szCs w:val="21"/>
                <w:highlight w:val="none"/>
              </w:rPr>
              <w:t>分；</w:t>
            </w:r>
          </w:p>
          <w:p w14:paraId="32456777">
            <w:pPr>
              <w:adjustRightInd w:val="0"/>
              <w:snapToGrid w:val="0"/>
              <w:jc w:val="left"/>
              <w:rPr>
                <w:rFonts w:hint="eastAsia" w:asciiTheme="minorEastAsia" w:hAnsiTheme="minorEastAsia" w:eastAsiaTheme="minorEastAsia" w:cstheme="minorEastAsia"/>
                <w:strike w:val="0"/>
                <w:color w:val="auto"/>
                <w:sz w:val="21"/>
                <w:szCs w:val="21"/>
                <w:highlight w:val="none"/>
              </w:rPr>
            </w:pPr>
            <w:r>
              <w:rPr>
                <w:rFonts w:hint="eastAsia" w:asciiTheme="minorEastAsia" w:hAnsiTheme="minorEastAsia" w:eastAsiaTheme="minorEastAsia" w:cstheme="minorEastAsia"/>
                <w:strike w:val="0"/>
                <w:color w:val="auto"/>
                <w:sz w:val="21"/>
                <w:szCs w:val="21"/>
                <w:highlight w:val="none"/>
              </w:rPr>
              <w:t>【中】合同管理、信息管理、档案管理方法基本可行，得</w:t>
            </w:r>
            <w:r>
              <w:rPr>
                <w:rFonts w:hint="eastAsia" w:asciiTheme="minorEastAsia" w:hAnsiTheme="minorEastAsia" w:eastAsiaTheme="minorEastAsia" w:cstheme="minorEastAsia"/>
                <w:strike w:val="0"/>
                <w:color w:val="auto"/>
                <w:sz w:val="21"/>
                <w:szCs w:val="21"/>
                <w:highlight w:val="none"/>
                <w:lang w:val="en-US" w:eastAsia="zh-CN"/>
              </w:rPr>
              <w:t>2</w:t>
            </w:r>
            <w:r>
              <w:rPr>
                <w:rFonts w:hint="eastAsia" w:asciiTheme="minorEastAsia" w:hAnsiTheme="minorEastAsia" w:eastAsiaTheme="minorEastAsia" w:cstheme="minorEastAsia"/>
                <w:strike w:val="0"/>
                <w:color w:val="auto"/>
                <w:sz w:val="21"/>
                <w:szCs w:val="21"/>
                <w:highlight w:val="none"/>
              </w:rPr>
              <w:t>分；</w:t>
            </w:r>
          </w:p>
          <w:p w14:paraId="56080E06">
            <w:pPr>
              <w:adjustRightInd w:val="0"/>
              <w:snapToGrid w:val="0"/>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strike w:val="0"/>
                <w:color w:val="auto"/>
                <w:sz w:val="21"/>
                <w:szCs w:val="21"/>
                <w:highlight w:val="none"/>
              </w:rPr>
              <w:t>【差】措施不得力，得</w:t>
            </w:r>
            <w:r>
              <w:rPr>
                <w:rFonts w:hint="eastAsia" w:asciiTheme="minorEastAsia" w:hAnsiTheme="minorEastAsia" w:eastAsiaTheme="minorEastAsia" w:cstheme="minorEastAsia"/>
                <w:strike w:val="0"/>
                <w:color w:val="auto"/>
                <w:sz w:val="21"/>
                <w:szCs w:val="21"/>
                <w:highlight w:val="none"/>
                <w:lang w:val="en-US" w:eastAsia="zh-CN"/>
              </w:rPr>
              <w:t>0</w:t>
            </w:r>
            <w:r>
              <w:rPr>
                <w:rFonts w:hint="eastAsia" w:asciiTheme="minorEastAsia" w:hAnsiTheme="minorEastAsia" w:eastAsiaTheme="minorEastAsia" w:cstheme="minorEastAsia"/>
                <w:strike w:val="0"/>
                <w:color w:val="auto"/>
                <w:sz w:val="21"/>
                <w:szCs w:val="21"/>
                <w:highlight w:val="none"/>
              </w:rPr>
              <w:t>分。</w:t>
            </w:r>
          </w:p>
        </w:tc>
      </w:tr>
      <w:tr w14:paraId="02AC5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0" w:hRule="atLeast"/>
        </w:trPr>
        <w:tc>
          <w:tcPr>
            <w:tcW w:w="1131" w:type="dxa"/>
            <w:gridSpan w:val="2"/>
            <w:vMerge w:val="continue"/>
            <w:tcBorders>
              <w:left w:val="single" w:color="auto" w:sz="4" w:space="0"/>
              <w:right w:val="single" w:color="auto" w:sz="4" w:space="0"/>
              <w:tl2br w:val="nil"/>
              <w:tr2bl w:val="nil"/>
            </w:tcBorders>
            <w:noWrap w:val="0"/>
            <w:vAlign w:val="top"/>
          </w:tcPr>
          <w:p w14:paraId="7B13AB9E">
            <w:pPr>
              <w:pStyle w:val="33"/>
              <w:kinsoku w:val="0"/>
              <w:overflowPunct w:val="0"/>
              <w:jc w:val="center"/>
              <w:rPr>
                <w:rFonts w:hint="eastAsia" w:ascii="宋体" w:hAnsi="宋体" w:eastAsia="宋体" w:cs="宋体"/>
                <w:color w:val="auto"/>
                <w:sz w:val="21"/>
                <w:szCs w:val="21"/>
                <w:highlight w:val="none"/>
              </w:rPr>
            </w:pPr>
          </w:p>
        </w:tc>
        <w:tc>
          <w:tcPr>
            <w:tcW w:w="927" w:type="dxa"/>
            <w:vMerge w:val="continue"/>
            <w:tcBorders>
              <w:left w:val="single" w:color="auto" w:sz="4" w:space="0"/>
              <w:right w:val="single" w:color="auto" w:sz="4" w:space="0"/>
              <w:tl2br w:val="nil"/>
              <w:tr2bl w:val="nil"/>
            </w:tcBorders>
            <w:noWrap w:val="0"/>
            <w:vAlign w:val="top"/>
          </w:tcPr>
          <w:p w14:paraId="56C26C18">
            <w:pPr>
              <w:pStyle w:val="33"/>
              <w:kinsoku w:val="0"/>
              <w:overflowPunct w:val="0"/>
              <w:jc w:val="center"/>
              <w:rPr>
                <w:rFonts w:hint="eastAsia" w:ascii="宋体" w:hAnsi="宋体" w:eastAsia="宋体" w:cs="宋体"/>
                <w:color w:val="auto"/>
                <w:sz w:val="21"/>
                <w:szCs w:val="21"/>
                <w:highlight w:val="none"/>
              </w:rPr>
            </w:pPr>
          </w:p>
        </w:tc>
        <w:tc>
          <w:tcPr>
            <w:tcW w:w="1866" w:type="dxa"/>
            <w:vMerge w:val="continue"/>
            <w:tcBorders>
              <w:left w:val="single" w:color="auto" w:sz="4" w:space="0"/>
              <w:right w:val="single" w:color="auto" w:sz="4" w:space="0"/>
              <w:tl2br w:val="nil"/>
              <w:tr2bl w:val="nil"/>
            </w:tcBorders>
            <w:noWrap w:val="0"/>
            <w:vAlign w:val="center"/>
          </w:tcPr>
          <w:p w14:paraId="6A950B5E">
            <w:pPr>
              <w:pStyle w:val="33"/>
              <w:kinsoku w:val="0"/>
              <w:overflowPunct w:val="0"/>
              <w:jc w:val="center"/>
              <w:rPr>
                <w:rFonts w:hint="eastAsia" w:ascii="宋体" w:hAnsi="宋体" w:eastAsia="宋体" w:cs="宋体"/>
                <w:color w:val="auto"/>
                <w:sz w:val="21"/>
                <w:szCs w:val="21"/>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BA719C">
            <w:pPr>
              <w:adjustRightInd w:val="0"/>
              <w:snapToGrid w:val="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trike w:val="0"/>
                <w:color w:val="auto"/>
                <w:sz w:val="21"/>
                <w:szCs w:val="21"/>
                <w:highlight w:val="none"/>
              </w:rPr>
              <w:t>【优】</w:t>
            </w:r>
            <w:r>
              <w:rPr>
                <w:rFonts w:hint="eastAsia" w:asciiTheme="minorEastAsia" w:hAnsiTheme="minorEastAsia" w:eastAsiaTheme="minorEastAsia" w:cstheme="minorEastAsia"/>
                <w:color w:val="auto"/>
                <w:sz w:val="21"/>
                <w:szCs w:val="21"/>
                <w:highlight w:val="none"/>
              </w:rPr>
              <w:t>：检测方案详细、思路清晰、合理，工作内容</w:t>
            </w:r>
            <w:r>
              <w:rPr>
                <w:rFonts w:hint="eastAsia" w:asciiTheme="minorEastAsia" w:hAnsiTheme="minorEastAsia" w:eastAsiaTheme="minorEastAsia" w:cstheme="minorEastAsia"/>
                <w:color w:val="auto"/>
                <w:sz w:val="21"/>
                <w:szCs w:val="21"/>
                <w:highlight w:val="none"/>
                <w:lang w:val="en-US" w:eastAsia="zh-CN"/>
              </w:rPr>
              <w:t>可行性强</w:t>
            </w:r>
            <w:r>
              <w:rPr>
                <w:rFonts w:hint="eastAsia" w:asciiTheme="minorEastAsia" w:hAnsiTheme="minorEastAsia" w:eastAsiaTheme="minorEastAsia" w:cstheme="minorEastAsia"/>
                <w:color w:val="auto"/>
                <w:sz w:val="21"/>
                <w:szCs w:val="21"/>
                <w:highlight w:val="none"/>
              </w:rPr>
              <w:t>，对采用的检测技术、工艺有深入的表述，对重点难点有先进、合理的解决方案，质量服务保证措施具体可行，可操作性强，通过相关验收，满足工程进度。得</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分。</w:t>
            </w:r>
          </w:p>
          <w:p w14:paraId="328FC2EF">
            <w:pPr>
              <w:adjustRightInd w:val="0"/>
              <w:snapToGrid w:val="0"/>
              <w:spacing w:after="0" w:line="24" w:lineRule="atLeast"/>
              <w:ind w:firstLine="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trike w:val="0"/>
                <w:color w:val="auto"/>
                <w:sz w:val="21"/>
                <w:szCs w:val="21"/>
                <w:highlight w:val="none"/>
              </w:rPr>
              <w:t>【</w:t>
            </w:r>
            <w:r>
              <w:rPr>
                <w:rFonts w:hint="eastAsia" w:asciiTheme="minorEastAsia" w:hAnsiTheme="minorEastAsia" w:eastAsiaTheme="minorEastAsia" w:cstheme="minorEastAsia"/>
                <w:strike w:val="0"/>
                <w:color w:val="auto"/>
                <w:sz w:val="21"/>
                <w:szCs w:val="21"/>
                <w:highlight w:val="none"/>
                <w:lang w:val="en-US" w:eastAsia="zh-CN"/>
              </w:rPr>
              <w:t>良</w:t>
            </w:r>
            <w:r>
              <w:rPr>
                <w:rFonts w:hint="eastAsia" w:asciiTheme="minorEastAsia" w:hAnsiTheme="minorEastAsia" w:eastAsiaTheme="minorEastAsia" w:cstheme="minorEastAsia"/>
                <w:strike w:val="0"/>
                <w:color w:val="auto"/>
                <w:sz w:val="21"/>
                <w:szCs w:val="21"/>
                <w:highlight w:val="none"/>
              </w:rPr>
              <w:t>】</w:t>
            </w:r>
            <w:r>
              <w:rPr>
                <w:rFonts w:hint="eastAsia" w:asciiTheme="minorEastAsia" w:hAnsiTheme="minorEastAsia" w:eastAsiaTheme="minorEastAsia" w:cstheme="minorEastAsia"/>
                <w:color w:val="auto"/>
                <w:sz w:val="21"/>
                <w:szCs w:val="21"/>
                <w:highlight w:val="none"/>
              </w:rPr>
              <w:t>：检测方案详细、思路清晰、合理，工作内容</w:t>
            </w:r>
            <w:r>
              <w:rPr>
                <w:rFonts w:hint="eastAsia" w:asciiTheme="minorEastAsia" w:hAnsiTheme="minorEastAsia" w:eastAsiaTheme="minorEastAsia" w:cstheme="minorEastAsia"/>
                <w:color w:val="auto"/>
                <w:sz w:val="21"/>
                <w:szCs w:val="21"/>
                <w:highlight w:val="none"/>
                <w:lang w:val="en-US" w:eastAsia="zh-CN"/>
              </w:rPr>
              <w:t>可行性较强</w:t>
            </w:r>
            <w:r>
              <w:rPr>
                <w:rFonts w:hint="eastAsia" w:asciiTheme="minorEastAsia" w:hAnsiTheme="minorEastAsia" w:eastAsiaTheme="minorEastAsia" w:cstheme="minorEastAsia"/>
                <w:color w:val="auto"/>
                <w:sz w:val="21"/>
                <w:szCs w:val="21"/>
                <w:highlight w:val="none"/>
              </w:rPr>
              <w:t>，对采用的检测技术、工艺的表述</w:t>
            </w:r>
            <w:r>
              <w:rPr>
                <w:rFonts w:hint="eastAsia" w:asciiTheme="minorEastAsia" w:hAnsiTheme="minorEastAsia" w:eastAsiaTheme="minorEastAsia" w:cstheme="minorEastAsia"/>
                <w:color w:val="auto"/>
                <w:sz w:val="21"/>
                <w:szCs w:val="21"/>
                <w:highlight w:val="none"/>
                <w:lang w:val="en-US" w:eastAsia="zh-CN"/>
              </w:rPr>
              <w:t>较深入</w:t>
            </w:r>
            <w:r>
              <w:rPr>
                <w:rFonts w:hint="eastAsia" w:asciiTheme="minorEastAsia" w:hAnsiTheme="minorEastAsia" w:eastAsiaTheme="minorEastAsia" w:cstheme="minorEastAsia"/>
                <w:color w:val="auto"/>
                <w:sz w:val="21"/>
                <w:szCs w:val="21"/>
                <w:highlight w:val="none"/>
              </w:rPr>
              <w:t>，对重点难点有</w:t>
            </w:r>
            <w:r>
              <w:rPr>
                <w:rFonts w:hint="eastAsia" w:asciiTheme="minorEastAsia" w:hAnsiTheme="minorEastAsia" w:eastAsiaTheme="minorEastAsia" w:cstheme="minorEastAsia"/>
                <w:color w:val="auto"/>
                <w:sz w:val="21"/>
                <w:szCs w:val="21"/>
                <w:highlight w:val="none"/>
                <w:lang w:val="en-US" w:eastAsia="zh-CN"/>
              </w:rPr>
              <w:t>较</w:t>
            </w:r>
            <w:r>
              <w:rPr>
                <w:rFonts w:hint="eastAsia" w:asciiTheme="minorEastAsia" w:hAnsiTheme="minorEastAsia" w:eastAsiaTheme="minorEastAsia" w:cstheme="minorEastAsia"/>
                <w:color w:val="auto"/>
                <w:sz w:val="21"/>
                <w:szCs w:val="21"/>
                <w:highlight w:val="none"/>
              </w:rPr>
              <w:t>先进、合理的解决方案，质量服务保证措施具体可行，可操作性</w:t>
            </w:r>
            <w:r>
              <w:rPr>
                <w:rFonts w:hint="eastAsia" w:asciiTheme="minorEastAsia" w:hAnsiTheme="minorEastAsia" w:eastAsiaTheme="minorEastAsia" w:cstheme="minorEastAsia"/>
                <w:color w:val="auto"/>
                <w:sz w:val="21"/>
                <w:szCs w:val="21"/>
                <w:highlight w:val="none"/>
                <w:lang w:val="en-US" w:eastAsia="zh-CN"/>
              </w:rPr>
              <w:t>较强</w:t>
            </w:r>
            <w:r>
              <w:rPr>
                <w:rFonts w:hint="eastAsia" w:asciiTheme="minorEastAsia" w:hAnsiTheme="minorEastAsia" w:eastAsiaTheme="minorEastAsia" w:cstheme="minorEastAsia"/>
                <w:color w:val="auto"/>
                <w:sz w:val="21"/>
                <w:szCs w:val="21"/>
                <w:highlight w:val="none"/>
              </w:rPr>
              <w:t>强，通过相关验收，满足工程进度。得</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p w14:paraId="30C5839B">
            <w:pPr>
              <w:adjustRightInd w:val="0"/>
              <w:snapToGrid w:val="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trike w:val="0"/>
                <w:color w:val="auto"/>
                <w:sz w:val="21"/>
                <w:szCs w:val="21"/>
                <w:highlight w:val="none"/>
              </w:rPr>
              <w:t>【</w:t>
            </w:r>
            <w:r>
              <w:rPr>
                <w:rFonts w:hint="eastAsia" w:asciiTheme="minorEastAsia" w:hAnsiTheme="minorEastAsia" w:eastAsiaTheme="minorEastAsia" w:cstheme="minorEastAsia"/>
                <w:strike w:val="0"/>
                <w:color w:val="auto"/>
                <w:sz w:val="21"/>
                <w:szCs w:val="21"/>
                <w:highlight w:val="none"/>
                <w:lang w:val="en-US" w:eastAsia="zh-CN"/>
              </w:rPr>
              <w:t>中</w:t>
            </w:r>
            <w:r>
              <w:rPr>
                <w:rFonts w:hint="eastAsia" w:asciiTheme="minorEastAsia" w:hAnsiTheme="minorEastAsia" w:eastAsiaTheme="minorEastAsia" w:cstheme="minorEastAsia"/>
                <w:strike w:val="0"/>
                <w:color w:val="auto"/>
                <w:sz w:val="21"/>
                <w:szCs w:val="21"/>
                <w:highlight w:val="none"/>
              </w:rPr>
              <w:t>】</w:t>
            </w:r>
            <w:r>
              <w:rPr>
                <w:rFonts w:hint="eastAsia" w:asciiTheme="minorEastAsia" w:hAnsiTheme="minorEastAsia" w:eastAsiaTheme="minorEastAsia" w:cstheme="minorEastAsia"/>
                <w:color w:val="auto"/>
                <w:sz w:val="21"/>
                <w:szCs w:val="21"/>
                <w:highlight w:val="none"/>
              </w:rPr>
              <w:t>：检测方案较详细、思路较清晰、较合理，工作内容可行性一般，对采用的检测技术、工艺有表述，对重点难点有解决方案各项质量服务保证措施和可操作性一般，基本通过相关验收，满足工程进度。得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p w14:paraId="440C3BD6">
            <w:pPr>
              <w:adjustRightInd w:val="0"/>
              <w:snapToGrid w:val="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trike w:val="0"/>
                <w:color w:val="auto"/>
                <w:sz w:val="21"/>
                <w:szCs w:val="21"/>
                <w:highlight w:val="none"/>
              </w:rPr>
              <w:t>【</w:t>
            </w:r>
            <w:r>
              <w:rPr>
                <w:rFonts w:hint="eastAsia" w:asciiTheme="minorEastAsia" w:hAnsiTheme="minorEastAsia" w:eastAsiaTheme="minorEastAsia" w:cstheme="minorEastAsia"/>
                <w:strike w:val="0"/>
                <w:color w:val="auto"/>
                <w:sz w:val="21"/>
                <w:szCs w:val="21"/>
                <w:highlight w:val="none"/>
                <w:lang w:val="en-US" w:eastAsia="zh-CN"/>
              </w:rPr>
              <w:t>差</w:t>
            </w:r>
            <w:r>
              <w:rPr>
                <w:rFonts w:hint="eastAsia" w:asciiTheme="minorEastAsia" w:hAnsiTheme="minorEastAsia" w:eastAsiaTheme="minorEastAsia" w:cstheme="minorEastAsia"/>
                <w:strike w:val="0"/>
                <w:color w:val="auto"/>
                <w:sz w:val="21"/>
                <w:szCs w:val="21"/>
                <w:highlight w:val="none"/>
              </w:rPr>
              <w:t>】</w:t>
            </w:r>
            <w:r>
              <w:rPr>
                <w:rFonts w:hint="eastAsia" w:asciiTheme="minorEastAsia" w:hAnsiTheme="minorEastAsia" w:eastAsiaTheme="minorEastAsia" w:cstheme="minorEastAsia"/>
                <w:color w:val="auto"/>
                <w:sz w:val="21"/>
                <w:szCs w:val="21"/>
                <w:highlight w:val="none"/>
              </w:rPr>
              <w:t>：检测方案基本内容阐述缺项，思路混乱、不合理，工作内容可行性较差，对采用的检测技术、工艺无详细表述，对重点难点无解决方案，质量服务保证措施具体不可行，可操作性不强。得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p w14:paraId="750A0D5B">
            <w:pPr>
              <w:adjustRightInd w:val="0"/>
              <w:snapToGrid w:val="0"/>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color w:val="auto"/>
                <w:sz w:val="21"/>
                <w:szCs w:val="21"/>
                <w:highlight w:val="none"/>
              </w:rPr>
              <w:t>注：本项最高得</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分。</w:t>
            </w:r>
          </w:p>
        </w:tc>
      </w:tr>
      <w:tr w14:paraId="4D4D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131" w:type="dxa"/>
            <w:gridSpan w:val="2"/>
            <w:vMerge w:val="continue"/>
            <w:tcBorders>
              <w:left w:val="single" w:color="auto" w:sz="4" w:space="0"/>
              <w:right w:val="single" w:color="auto" w:sz="4" w:space="0"/>
              <w:tl2br w:val="nil"/>
              <w:tr2bl w:val="nil"/>
            </w:tcBorders>
            <w:noWrap w:val="0"/>
            <w:vAlign w:val="center"/>
          </w:tcPr>
          <w:p w14:paraId="57D93206">
            <w:pPr>
              <w:pStyle w:val="33"/>
              <w:kinsoku w:val="0"/>
              <w:overflowPunct w:val="0"/>
              <w:jc w:val="center"/>
              <w:rPr>
                <w:rFonts w:hint="eastAsia" w:ascii="宋体" w:hAnsi="宋体" w:eastAsia="宋体" w:cs="宋体"/>
                <w:b/>
                <w:color w:val="auto"/>
                <w:sz w:val="21"/>
                <w:szCs w:val="21"/>
                <w:highlight w:val="none"/>
              </w:rPr>
            </w:pPr>
          </w:p>
        </w:tc>
        <w:tc>
          <w:tcPr>
            <w:tcW w:w="927" w:type="dxa"/>
            <w:vMerge w:val="continue"/>
            <w:tcBorders>
              <w:left w:val="single" w:color="auto" w:sz="4" w:space="0"/>
              <w:right w:val="single" w:color="auto" w:sz="4" w:space="0"/>
              <w:tl2br w:val="nil"/>
              <w:tr2bl w:val="nil"/>
            </w:tcBorders>
            <w:noWrap w:val="0"/>
            <w:vAlign w:val="center"/>
          </w:tcPr>
          <w:p w14:paraId="7BEFA283">
            <w:pPr>
              <w:pStyle w:val="33"/>
              <w:kinsoku w:val="0"/>
              <w:overflowPunct w:val="0"/>
              <w:jc w:val="center"/>
              <w:rPr>
                <w:rFonts w:hint="eastAsia" w:ascii="宋体" w:hAnsi="宋体" w:eastAsia="宋体" w:cs="宋体"/>
                <w:color w:val="auto"/>
                <w:sz w:val="21"/>
                <w:szCs w:val="21"/>
                <w:highlight w:val="none"/>
              </w:rPr>
            </w:pPr>
          </w:p>
        </w:tc>
        <w:tc>
          <w:tcPr>
            <w:tcW w:w="1866" w:type="dxa"/>
            <w:vMerge w:val="continue"/>
            <w:tcBorders>
              <w:left w:val="single" w:color="auto" w:sz="4" w:space="0"/>
              <w:bottom w:val="single" w:color="auto" w:sz="4" w:space="0"/>
              <w:right w:val="single" w:color="auto" w:sz="4" w:space="0"/>
              <w:tl2br w:val="nil"/>
              <w:tr2bl w:val="nil"/>
            </w:tcBorders>
            <w:noWrap w:val="0"/>
            <w:vAlign w:val="center"/>
          </w:tcPr>
          <w:p w14:paraId="28B3C19A">
            <w:pPr>
              <w:pStyle w:val="33"/>
              <w:kinsoku w:val="0"/>
              <w:overflowPunct w:val="0"/>
              <w:autoSpaceDE/>
              <w:autoSpaceDN/>
              <w:spacing w:before="0" w:line="240" w:lineRule="auto"/>
              <w:jc w:val="left"/>
              <w:rPr>
                <w:rFonts w:hint="eastAsia" w:ascii="宋体" w:hAnsi="宋体" w:eastAsia="宋体" w:cs="宋体"/>
                <w:b w:val="0"/>
                <w:bCs/>
                <w:color w:val="auto"/>
                <w:sz w:val="21"/>
                <w:szCs w:val="21"/>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F7177A">
            <w:pPr>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投标人具备的检测能力(按附件《检测能力汇总表》所列的检测项目)的满足情况：</w:t>
            </w:r>
          </w:p>
          <w:p w14:paraId="032E02E5">
            <w:pPr>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（1）全部满足的得 9 分。 </w:t>
            </w:r>
          </w:p>
          <w:p w14:paraId="3BAF115C">
            <w:pPr>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（2）满足 65-69 项的得 7 分。 </w:t>
            </w:r>
          </w:p>
          <w:p w14:paraId="6BEAF588">
            <w:pPr>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（3）满足 60-64 项的得 5 分。 </w:t>
            </w:r>
          </w:p>
          <w:p w14:paraId="5F519BCC">
            <w:pPr>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（4）满足 55-59 项的得 3 分。 </w:t>
            </w:r>
          </w:p>
          <w:p w14:paraId="6A21F4A1">
            <w:pPr>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（5）少于 55 项的不得分。</w:t>
            </w:r>
          </w:p>
          <w:p w14:paraId="3E2100F1">
            <w:pPr>
              <w:adjustRightInd/>
              <w:snapToGrid/>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color w:val="auto"/>
                <w:sz w:val="21"/>
                <w:szCs w:val="21"/>
                <w:highlight w:val="none"/>
              </w:rPr>
              <w:t>注：具体参与评分的检测项目按《检测能力汇总表》所列项目，须提供计量认证证书及附表扫描件，本项最高得9分。</w:t>
            </w:r>
          </w:p>
        </w:tc>
      </w:tr>
      <w:tr w14:paraId="5166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trPr>
        <w:tc>
          <w:tcPr>
            <w:tcW w:w="113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7A83A68">
            <w:pPr>
              <w:pStyle w:val="33"/>
              <w:kinsoku w:val="0"/>
              <w:overflowPunct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2.2.</w:t>
            </w:r>
            <w:r>
              <w:rPr>
                <w:rFonts w:hint="eastAsia" w:ascii="宋体" w:hAnsi="宋体" w:cs="宋体"/>
                <w:color w:val="auto"/>
                <w:sz w:val="21"/>
                <w:szCs w:val="21"/>
                <w:highlight w:val="none"/>
                <w:lang w:val="en-US" w:eastAsia="zh-CN"/>
              </w:rPr>
              <w:t>3</w:t>
            </w:r>
          </w:p>
          <w:p w14:paraId="075D322F">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p>
          <w:p w14:paraId="1AC92121">
            <w:pPr>
              <w:pStyle w:val="33"/>
              <w:kinsoku w:val="0"/>
              <w:overflowPunct w:val="0"/>
              <w:jc w:val="center"/>
              <w:rPr>
                <w:rFonts w:hint="eastAsia" w:ascii="宋体" w:hAnsi="宋体" w:eastAsia="宋体" w:cs="宋体"/>
                <w:color w:val="auto"/>
                <w:sz w:val="21"/>
                <w:szCs w:val="21"/>
                <w:highlight w:val="none"/>
              </w:rPr>
            </w:pP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E28DD5">
            <w:pPr>
              <w:pStyle w:val="33"/>
              <w:kinsoku w:val="0"/>
              <w:overflowPunct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投标报价评分标准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20分</w:t>
            </w:r>
            <w:r>
              <w:rPr>
                <w:rFonts w:hint="eastAsia" w:ascii="宋体" w:hAnsi="宋体" w:cs="宋体"/>
                <w:color w:val="auto"/>
                <w:sz w:val="21"/>
                <w:szCs w:val="21"/>
                <w:highlight w:val="none"/>
                <w:lang w:eastAsia="zh-CN"/>
              </w:rPr>
              <w:t>）</w:t>
            </w:r>
          </w:p>
        </w:tc>
        <w:tc>
          <w:tcPr>
            <w:tcW w:w="1866" w:type="dxa"/>
            <w:tcBorders>
              <w:top w:val="single" w:color="auto" w:sz="4" w:space="0"/>
              <w:left w:val="single" w:color="auto" w:sz="4" w:space="0"/>
              <w:right w:val="single" w:color="auto" w:sz="4" w:space="0"/>
              <w:tl2br w:val="nil"/>
              <w:tr2bl w:val="nil"/>
            </w:tcBorders>
            <w:noWrap w:val="0"/>
            <w:vAlign w:val="center"/>
          </w:tcPr>
          <w:p w14:paraId="19624977">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投标报价评审</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A8BE7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以通过资格评审和符合性评审的有效投标人中的最低（1-有效投标下浮率）作为评标基准价（即PC），其价格分为满分。其他投标人的（1-有效投标下浮率）（即PT）价格分统一按照下列公式计算：</w:t>
            </w:r>
          </w:p>
          <w:p w14:paraId="687206D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投标报价得分＝（PC/PT）×分值。</w:t>
            </w:r>
          </w:p>
        </w:tc>
      </w:tr>
    </w:tbl>
    <w:p w14:paraId="0DDD02E1">
      <w:pPr>
        <w:pStyle w:val="33"/>
        <w:kinsoku w:val="0"/>
        <w:overflowPunct w:val="0"/>
        <w:ind w:left="120"/>
        <w:jc w:val="left"/>
        <w:outlineLvl w:val="9"/>
        <w:rPr>
          <w:rFonts w:hint="eastAsia" w:ascii="宋体" w:hAnsi="宋体" w:eastAsia="宋体" w:cs="宋体"/>
          <w:color w:val="auto"/>
          <w:sz w:val="21"/>
          <w:szCs w:val="21"/>
          <w:highlight w:val="none"/>
          <w:lang w:eastAsia="zh-CN"/>
        </w:rPr>
        <w:sectPr>
          <w:headerReference r:id="rId6" w:type="default"/>
          <w:footerReference r:id="rId7" w:type="default"/>
          <w:pgSz w:w="11905" w:h="16838"/>
          <w:pgMar w:top="1417" w:right="1417" w:bottom="1417" w:left="1417" w:header="992" w:footer="992" w:gutter="0"/>
          <w:lnNumType w:countBy="0" w:distance="360"/>
          <w:pgNumType w:fmt="decimal"/>
          <w:cols w:space="720" w:num="1"/>
        </w:sectPr>
      </w:pPr>
      <w:r>
        <w:rPr>
          <w:rFonts w:hint="eastAsia" w:ascii="宋体" w:hAnsi="宋体" w:eastAsia="宋体" w:cs="宋体"/>
          <w:color w:val="auto"/>
          <w:sz w:val="21"/>
          <w:szCs w:val="21"/>
          <w:highlight w:val="none"/>
          <w:lang w:eastAsia="zh-CN"/>
        </w:rPr>
        <w:t>注：投标人业绩、资信、</w:t>
      </w:r>
      <w:r>
        <w:rPr>
          <w:rFonts w:hint="eastAsia" w:ascii="宋体" w:hAnsi="宋体" w:eastAsia="宋体" w:cs="宋体"/>
          <w:color w:val="auto"/>
          <w:kern w:val="0"/>
          <w:sz w:val="21"/>
          <w:szCs w:val="21"/>
          <w:highlight w:val="none"/>
        </w:rPr>
        <w:t>检测能力</w:t>
      </w:r>
      <w:r>
        <w:rPr>
          <w:rFonts w:hint="eastAsia" w:ascii="宋体" w:hAnsi="宋体" w:eastAsia="宋体" w:cs="宋体"/>
          <w:color w:val="auto"/>
          <w:kern w:val="0"/>
          <w:sz w:val="21"/>
          <w:szCs w:val="21"/>
          <w:highlight w:val="none"/>
          <w:lang w:eastAsia="zh-CN"/>
        </w:rPr>
        <w:t>以联合体主办方为准。</w:t>
      </w:r>
    </w:p>
    <w:p w14:paraId="09C3E90B">
      <w:pPr>
        <w:pStyle w:val="7"/>
        <w:outlineLvl w:val="1"/>
        <w:rPr>
          <w:rFonts w:hint="eastAsia" w:ascii="宋体" w:hAnsi="宋体" w:eastAsia="宋体" w:cs="宋体"/>
          <w:b w:val="0"/>
          <w:color w:val="auto"/>
          <w:sz w:val="30"/>
          <w:szCs w:val="24"/>
          <w:highlight w:val="none"/>
        </w:rPr>
      </w:pPr>
      <w:bookmarkStart w:id="115" w:name="bookmark84"/>
      <w:bookmarkEnd w:id="115"/>
      <w:bookmarkStart w:id="116" w:name="_Toc10219"/>
      <w:r>
        <w:rPr>
          <w:rFonts w:hint="eastAsia" w:ascii="宋体" w:hAnsi="宋体" w:eastAsia="宋体" w:cs="宋体"/>
          <w:color w:val="auto"/>
          <w:sz w:val="24"/>
          <w:szCs w:val="24"/>
          <w:highlight w:val="none"/>
        </w:rPr>
        <w:t>1.评标方法</w:t>
      </w:r>
      <w:bookmarkEnd w:id="116"/>
    </w:p>
    <w:p w14:paraId="5C5CBAE2">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w:t>
      </w:r>
      <w:r>
        <w:rPr>
          <w:rFonts w:hint="eastAsia" w:ascii="宋体" w:hAnsi="宋体"/>
          <w:color w:val="auto"/>
          <w:sz w:val="24"/>
          <w:szCs w:val="24"/>
          <w:highlight w:val="none"/>
        </w:rPr>
        <w:t>综合评分相</w:t>
      </w:r>
      <w:r>
        <w:rPr>
          <w:rFonts w:hint="eastAsia" w:ascii="宋体" w:hAnsi="宋体"/>
          <w:color w:val="auto"/>
          <w:sz w:val="24"/>
          <w:szCs w:val="24"/>
          <w:highlight w:val="none"/>
          <w:lang w:eastAsia="zh-CN"/>
        </w:rPr>
        <w:t>同</w:t>
      </w:r>
      <w:r>
        <w:rPr>
          <w:rFonts w:hint="eastAsia" w:ascii="宋体" w:hAnsi="宋体"/>
          <w:color w:val="auto"/>
          <w:sz w:val="24"/>
          <w:szCs w:val="24"/>
          <w:highlight w:val="none"/>
        </w:rPr>
        <w:t>时，以</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报价低的优先；</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报价也相</w:t>
      </w:r>
      <w:r>
        <w:rPr>
          <w:rFonts w:hint="eastAsia" w:ascii="宋体" w:hAnsi="宋体"/>
          <w:color w:val="auto"/>
          <w:sz w:val="24"/>
          <w:szCs w:val="24"/>
          <w:highlight w:val="none"/>
          <w:lang w:eastAsia="zh-CN"/>
        </w:rPr>
        <w:t>同</w:t>
      </w:r>
      <w:r>
        <w:rPr>
          <w:rFonts w:hint="eastAsia" w:ascii="宋体" w:hAnsi="宋体"/>
          <w:color w:val="auto"/>
          <w:sz w:val="24"/>
          <w:szCs w:val="24"/>
          <w:highlight w:val="none"/>
        </w:rPr>
        <w:t>的，以</w:t>
      </w:r>
      <w:r>
        <w:rPr>
          <w:rFonts w:hint="eastAsia" w:ascii="宋体" w:hAnsi="宋体"/>
          <w:color w:val="auto"/>
          <w:sz w:val="24"/>
          <w:szCs w:val="24"/>
          <w:highlight w:val="none"/>
          <w:lang w:val="en-US" w:eastAsia="zh-CN"/>
        </w:rPr>
        <w:t>商务技术</w:t>
      </w:r>
      <w:r>
        <w:rPr>
          <w:rFonts w:hint="eastAsia" w:ascii="宋体" w:hAnsi="宋体"/>
          <w:color w:val="auto"/>
          <w:sz w:val="24"/>
          <w:szCs w:val="24"/>
          <w:highlight w:val="none"/>
        </w:rPr>
        <w:t>得分高的优先；如果</w:t>
      </w:r>
      <w:r>
        <w:rPr>
          <w:rFonts w:hint="eastAsia" w:ascii="宋体" w:hAnsi="宋体"/>
          <w:color w:val="auto"/>
          <w:sz w:val="24"/>
          <w:szCs w:val="24"/>
          <w:highlight w:val="none"/>
          <w:lang w:eastAsia="zh-CN"/>
        </w:rPr>
        <w:t>商务技术</w:t>
      </w:r>
      <w:r>
        <w:rPr>
          <w:rFonts w:hint="eastAsia" w:ascii="宋体" w:hAnsi="宋体"/>
          <w:color w:val="auto"/>
          <w:sz w:val="24"/>
          <w:szCs w:val="24"/>
          <w:highlight w:val="none"/>
        </w:rPr>
        <w:t>得分也相</w:t>
      </w:r>
      <w:r>
        <w:rPr>
          <w:rFonts w:hint="eastAsia" w:ascii="宋体" w:hAnsi="宋体"/>
          <w:color w:val="auto"/>
          <w:sz w:val="24"/>
          <w:szCs w:val="24"/>
          <w:highlight w:val="none"/>
          <w:lang w:eastAsia="zh-CN"/>
        </w:rPr>
        <w:t>同的</w:t>
      </w:r>
      <w:r>
        <w:rPr>
          <w:rFonts w:hint="eastAsia" w:ascii="宋体" w:hAnsi="宋体"/>
          <w:color w:val="auto"/>
          <w:sz w:val="24"/>
          <w:szCs w:val="24"/>
          <w:highlight w:val="none"/>
        </w:rPr>
        <w:t>，由评标委员会决定顺序。</w:t>
      </w:r>
    </w:p>
    <w:p w14:paraId="46313E97">
      <w:pPr>
        <w:pStyle w:val="7"/>
        <w:outlineLvl w:val="1"/>
        <w:rPr>
          <w:rFonts w:hint="eastAsia" w:ascii="宋体" w:hAnsi="宋体" w:eastAsia="宋体" w:cs="宋体"/>
          <w:b w:val="0"/>
          <w:color w:val="auto"/>
          <w:sz w:val="30"/>
          <w:szCs w:val="24"/>
          <w:highlight w:val="none"/>
        </w:rPr>
      </w:pPr>
      <w:bookmarkStart w:id="117" w:name="bookmark85"/>
      <w:bookmarkEnd w:id="117"/>
      <w:bookmarkStart w:id="118" w:name="_Toc17929"/>
      <w:r>
        <w:rPr>
          <w:rFonts w:hint="eastAsia" w:ascii="宋体" w:hAnsi="宋体" w:eastAsia="宋体" w:cs="宋体"/>
          <w:color w:val="auto"/>
          <w:sz w:val="24"/>
          <w:szCs w:val="24"/>
          <w:highlight w:val="none"/>
        </w:rPr>
        <w:t>2.评审标准</w:t>
      </w:r>
      <w:bookmarkEnd w:id="118"/>
    </w:p>
    <w:p w14:paraId="3E6A434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119" w:name="bookmark86"/>
      <w:bookmarkEnd w:id="119"/>
      <w:r>
        <w:rPr>
          <w:rFonts w:hint="eastAsia" w:ascii="宋体" w:hAnsi="宋体" w:eastAsia="宋体" w:cs="宋体"/>
          <w:color w:val="auto"/>
          <w:highlight w:val="none"/>
        </w:rPr>
        <w:t>2.1 初步评审标准</w:t>
      </w:r>
    </w:p>
    <w:p w14:paraId="37884049">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资格评审标准：见评标办法前附表。</w:t>
      </w:r>
    </w:p>
    <w:p w14:paraId="13B2F752">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w:t>
      </w:r>
      <w:r>
        <w:rPr>
          <w:rFonts w:hint="eastAsia" w:cs="宋体"/>
          <w:color w:val="auto"/>
          <w:sz w:val="24"/>
          <w:szCs w:val="24"/>
          <w:highlight w:val="none"/>
          <w:lang w:eastAsia="zh-CN"/>
        </w:rPr>
        <w:t>符合性</w:t>
      </w:r>
      <w:r>
        <w:rPr>
          <w:rFonts w:hint="eastAsia" w:ascii="宋体" w:hAnsi="宋体" w:eastAsia="宋体" w:cs="宋体"/>
          <w:color w:val="auto"/>
          <w:sz w:val="24"/>
          <w:szCs w:val="24"/>
          <w:highlight w:val="none"/>
        </w:rPr>
        <w:t>评审标准：见评标办法前附表。</w:t>
      </w:r>
    </w:p>
    <w:p w14:paraId="06279E6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120" w:name="bookmark87"/>
      <w:bookmarkEnd w:id="120"/>
      <w:r>
        <w:rPr>
          <w:rFonts w:hint="eastAsia" w:ascii="宋体" w:hAnsi="宋体" w:eastAsia="宋体" w:cs="宋体"/>
          <w:color w:val="auto"/>
          <w:highlight w:val="none"/>
        </w:rPr>
        <w:t>2.2 分值构成与评分标准</w:t>
      </w:r>
    </w:p>
    <w:p w14:paraId="7BE3A938">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分值构成</w:t>
      </w:r>
    </w:p>
    <w:p w14:paraId="565875AC">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cs="宋体"/>
          <w:color w:val="auto"/>
          <w:sz w:val="24"/>
          <w:szCs w:val="24"/>
          <w:highlight w:val="none"/>
          <w:lang w:eastAsia="zh-CN"/>
        </w:rPr>
        <w:t>商务技术</w:t>
      </w:r>
      <w:r>
        <w:rPr>
          <w:rFonts w:hint="eastAsia" w:ascii="宋体" w:hAnsi="宋体" w:eastAsia="宋体" w:cs="宋体"/>
          <w:color w:val="auto"/>
          <w:sz w:val="24"/>
          <w:szCs w:val="24"/>
          <w:highlight w:val="none"/>
        </w:rPr>
        <w:t>部分：见评标办法前附表；</w:t>
      </w:r>
    </w:p>
    <w:p w14:paraId="7A70B851">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（2）投标报价：见评标办法前附表；</w:t>
      </w:r>
    </w:p>
    <w:p w14:paraId="39EB2956">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评标基准价计算评标基准价计算方法：见评标办法前附表。</w:t>
      </w:r>
    </w:p>
    <w:p w14:paraId="61494B88">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  评分标准</w:t>
      </w:r>
    </w:p>
    <w:p w14:paraId="5D3A78D8">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（1）商务技术部分评分标准：见评标办法前附表；</w:t>
      </w:r>
    </w:p>
    <w:p w14:paraId="5385876F">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（2）投标报价评分标准：见评标办法前附表；</w:t>
      </w:r>
    </w:p>
    <w:p w14:paraId="362A1B6B">
      <w:pPr>
        <w:pStyle w:val="7"/>
        <w:outlineLvl w:val="1"/>
        <w:rPr>
          <w:rFonts w:hint="eastAsia" w:ascii="宋体" w:hAnsi="宋体" w:eastAsia="宋体" w:cs="宋体"/>
          <w:color w:val="auto"/>
          <w:sz w:val="24"/>
          <w:szCs w:val="24"/>
          <w:highlight w:val="none"/>
        </w:rPr>
      </w:pPr>
      <w:bookmarkStart w:id="121" w:name="bookmark88"/>
      <w:bookmarkEnd w:id="121"/>
      <w:bookmarkStart w:id="122" w:name="_Toc15176"/>
      <w:r>
        <w:rPr>
          <w:rFonts w:hint="eastAsia" w:ascii="宋体" w:hAnsi="宋体" w:eastAsia="宋体" w:cs="宋体"/>
          <w:color w:val="auto"/>
          <w:sz w:val="24"/>
          <w:szCs w:val="24"/>
          <w:highlight w:val="none"/>
        </w:rPr>
        <w:t>3.评标程序</w:t>
      </w:r>
      <w:bookmarkEnd w:id="122"/>
    </w:p>
    <w:p w14:paraId="11F12099">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123" w:name="bookmark89"/>
      <w:bookmarkEnd w:id="123"/>
      <w:r>
        <w:rPr>
          <w:rFonts w:hint="eastAsia" w:ascii="宋体" w:hAnsi="宋体" w:eastAsia="宋体" w:cs="宋体"/>
          <w:color w:val="auto"/>
          <w:highlight w:val="none"/>
        </w:rPr>
        <w:t>3.1  初步评审</w:t>
      </w:r>
    </w:p>
    <w:p w14:paraId="236112DA">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15E6C7D3">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投标人有以下情形之一的，评标委员会应当否决其投标：</w:t>
      </w:r>
    </w:p>
    <w:p w14:paraId="5E6F28B2">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（1）投标文件没有对招标文件的实质性要求和条件作出响应，或者对招标文件的偏差超出招标文件规定的偏差范围或最高项数；</w:t>
      </w:r>
    </w:p>
    <w:p w14:paraId="778907DE">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（2）有串通投标、弄虚作假、行贿等违法行为。</w:t>
      </w:r>
    </w:p>
    <w:p w14:paraId="201C5B89">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）两个（含两个）以上</w:t>
      </w:r>
      <w:r>
        <w:rPr>
          <w:rFonts w:hint="eastAsia" w:ascii="宋体" w:hAnsi="宋体" w:eastAsia="宋体" w:cs="宋体"/>
          <w:color w:val="auto"/>
          <w:sz w:val="24"/>
          <w:szCs w:val="24"/>
          <w:highlight w:val="none"/>
        </w:rPr>
        <w:t>投标人加密打包投标文件</w:t>
      </w:r>
      <w:r>
        <w:rPr>
          <w:rFonts w:hint="eastAsia" w:ascii="宋体" w:hAnsi="宋体" w:eastAsia="宋体" w:cs="宋体"/>
          <w:color w:val="auto"/>
          <w:sz w:val="24"/>
          <w:szCs w:val="24"/>
          <w:highlight w:val="none"/>
          <w:lang w:eastAsia="zh-CN"/>
        </w:rPr>
        <w:t>工程量清单编制</w:t>
      </w:r>
      <w:r>
        <w:rPr>
          <w:rFonts w:hint="eastAsia" w:ascii="宋体" w:hAnsi="宋体" w:eastAsia="宋体" w:cs="宋体"/>
          <w:color w:val="auto"/>
          <w:sz w:val="24"/>
          <w:szCs w:val="24"/>
          <w:highlight w:val="none"/>
        </w:rPr>
        <w:t>机器</w:t>
      </w:r>
      <w:r>
        <w:rPr>
          <w:rFonts w:hint="eastAsia" w:ascii="宋体" w:hAnsi="宋体" w:eastAsia="宋体" w:cs="宋体"/>
          <w:color w:val="auto"/>
          <w:sz w:val="24"/>
          <w:szCs w:val="24"/>
          <w:highlight w:val="none"/>
          <w:lang w:eastAsia="zh-CN"/>
        </w:rPr>
        <w:t>硬件信息</w:t>
      </w:r>
      <w:r>
        <w:rPr>
          <w:rFonts w:hint="eastAsia" w:ascii="宋体" w:hAnsi="宋体" w:eastAsia="宋体" w:cs="宋体"/>
          <w:color w:val="auto"/>
          <w:sz w:val="24"/>
          <w:szCs w:val="24"/>
          <w:highlight w:val="none"/>
        </w:rPr>
        <w:t>一致的</w:t>
      </w:r>
      <w:r>
        <w:rPr>
          <w:rFonts w:hint="eastAsia" w:ascii="宋体" w:hAnsi="宋体" w:eastAsia="宋体" w:cs="宋体"/>
          <w:color w:val="auto"/>
          <w:sz w:val="24"/>
          <w:szCs w:val="24"/>
          <w:highlight w:val="none"/>
          <w:lang w:eastAsia="zh-CN"/>
        </w:rPr>
        <w:t>。</w:t>
      </w:r>
    </w:p>
    <w:p w14:paraId="45F91E13">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371DC766">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（1）投标文件中的大写金额与小写金额不一致的，以大写金额为准；</w:t>
      </w:r>
    </w:p>
    <w:p w14:paraId="1A4DD190">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（2）总价金额与单价金额不一致的，以单价金额为准，但单价金额小数点有明显错误的除外。</w:t>
      </w:r>
    </w:p>
    <w:p w14:paraId="7B619DDB">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124" w:name="bookmark90"/>
      <w:bookmarkEnd w:id="124"/>
      <w:r>
        <w:rPr>
          <w:rFonts w:hint="eastAsia" w:ascii="宋体" w:hAnsi="宋体" w:eastAsia="宋体" w:cs="宋体"/>
          <w:color w:val="auto"/>
          <w:highlight w:val="none"/>
        </w:rPr>
        <w:t>3.2  详细评审</w:t>
      </w:r>
    </w:p>
    <w:p w14:paraId="0907C4BB">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评标委员会按本章第 2.2 款规定的量化因素和分值进行打分，并计算出综合评估得分。</w:t>
      </w:r>
    </w:p>
    <w:p w14:paraId="29C5CF72">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（1）按本章第 2.2.4（1）目规定的评审因素和分值对商务</w:t>
      </w:r>
      <w:r>
        <w:rPr>
          <w:rFonts w:hint="eastAsia" w:cs="宋体"/>
          <w:color w:val="auto"/>
          <w:sz w:val="24"/>
          <w:szCs w:val="24"/>
          <w:highlight w:val="none"/>
          <w:lang w:eastAsia="zh-CN"/>
        </w:rPr>
        <w:t>技术</w:t>
      </w:r>
      <w:r>
        <w:rPr>
          <w:rFonts w:hint="eastAsia" w:ascii="宋体" w:hAnsi="宋体" w:eastAsia="宋体" w:cs="宋体"/>
          <w:color w:val="auto"/>
          <w:sz w:val="24"/>
          <w:szCs w:val="24"/>
          <w:highlight w:val="none"/>
        </w:rPr>
        <w:t>部分计算出得分 A；</w:t>
      </w:r>
    </w:p>
    <w:p w14:paraId="0710AE3A">
      <w:pPr>
        <w:pStyle w:val="14"/>
        <w:tabs>
          <w:tab w:val="left" w:pos="1343"/>
          <w:tab w:val="left" w:pos="2697"/>
          <w:tab w:val="left" w:pos="3264"/>
          <w:tab w:val="left" w:pos="4896"/>
          <w:tab w:val="left" w:pos="6005"/>
          <w:tab w:val="left" w:pos="7085"/>
          <w:tab w:val="left" w:pos="7498"/>
        </w:tabs>
        <w:kinsoku w:val="0"/>
        <w:overflowPunct w:val="0"/>
        <w:spacing w:line="351" w:lineRule="auto"/>
        <w:ind w:left="0" w:right="-288" w:rightChars="-12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（2）按本章第 2.2.4（2）目规定的评审因素和分值对投标报价部分计算出得分</w:t>
      </w:r>
      <w:r>
        <w:rPr>
          <w:rFonts w:hint="eastAsia" w:cs="宋体"/>
          <w:color w:val="auto"/>
          <w:sz w:val="24"/>
          <w:szCs w:val="24"/>
          <w:highlight w:val="none"/>
          <w:lang w:val="en-US" w:eastAsia="zh-CN"/>
        </w:rPr>
        <w:t>B</w:t>
      </w:r>
      <w:r>
        <w:rPr>
          <w:rFonts w:hint="eastAsia" w:ascii="宋体" w:hAnsi="宋体" w:eastAsia="宋体" w:cs="宋体"/>
          <w:color w:val="auto"/>
          <w:sz w:val="24"/>
          <w:szCs w:val="24"/>
          <w:highlight w:val="none"/>
        </w:rPr>
        <w:t>。</w:t>
      </w:r>
    </w:p>
    <w:p w14:paraId="38693991">
      <w:pPr>
        <w:pStyle w:val="14"/>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评分分值计算保留小数点后两位，小数点后第三位“四舍五入”。</w:t>
      </w:r>
    </w:p>
    <w:p w14:paraId="17CAB846">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投标人得分=A+B。</w:t>
      </w:r>
    </w:p>
    <w:p w14:paraId="7E682E3C">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41F109E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125" w:name="bookmark91"/>
      <w:bookmarkEnd w:id="125"/>
      <w:r>
        <w:rPr>
          <w:rFonts w:hint="eastAsia" w:ascii="宋体" w:hAnsi="宋体" w:eastAsia="宋体" w:cs="宋体"/>
          <w:color w:val="auto"/>
          <w:highlight w:val="none"/>
        </w:rPr>
        <w:t>3.3  投标文件的澄清</w:t>
      </w:r>
    </w:p>
    <w:p w14:paraId="3586A8EA">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在评标过程中，</w:t>
      </w:r>
      <w:r>
        <w:rPr>
          <w:rFonts w:hint="eastAsia" w:ascii="宋体" w:hAnsi="宋体" w:eastAsia="宋体" w:cs="宋体"/>
          <w:color w:val="auto"/>
          <w:sz w:val="24"/>
          <w:highlight w:val="none"/>
        </w:rPr>
        <w:t>经评标委员会中两人以上（含两人）以书面形式提出动议，评标委员会</w:t>
      </w:r>
      <w:r>
        <w:rPr>
          <w:rFonts w:hint="eastAsia" w:ascii="宋体" w:hAnsi="宋体" w:eastAsia="宋体" w:cs="宋体"/>
          <w:color w:val="auto"/>
          <w:sz w:val="24"/>
          <w:szCs w:val="24"/>
          <w:highlight w:val="none"/>
        </w:rPr>
        <w:t>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14:paraId="756837C5">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澄清、说明或补正不得超出投标文件的范围且不得改变投标文件的实质性内容，并构成投标文件的组成部分。</w:t>
      </w:r>
    </w:p>
    <w:p w14:paraId="36391625">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评标委员会对投标人提交的澄清、说明或补正有疑问的，可以要求投标人进一步澄清、说明或补正，直至满足评标委员会的要求。</w:t>
      </w:r>
    </w:p>
    <w:p w14:paraId="46B9BC1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126" w:name="bookmark92"/>
      <w:bookmarkEnd w:id="126"/>
      <w:r>
        <w:rPr>
          <w:rFonts w:hint="eastAsia" w:ascii="宋体" w:hAnsi="宋体" w:eastAsia="宋体" w:cs="宋体"/>
          <w:color w:val="auto"/>
          <w:highlight w:val="none"/>
        </w:rPr>
        <w:t>3.4  评标结果</w:t>
      </w:r>
    </w:p>
    <w:p w14:paraId="5725E9C5">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除第二章“投标人须知”前附表授权直接确定中标人外，评标委员会按照得分由高到低的顺序推荐中标候选人，并标明排序。</w:t>
      </w:r>
    </w:p>
    <w:p w14:paraId="39CBDA6D">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评标委员会完成评标后，应当向招标人提交书面评标报告和中标候选人名单。</w:t>
      </w:r>
    </w:p>
    <w:p w14:paraId="41D466BA">
      <w:pPr>
        <w:rPr>
          <w:rFonts w:hint="eastAsia" w:ascii="宋体" w:hAnsi="宋体" w:eastAsia="宋体" w:cs="宋体"/>
          <w:color w:val="auto"/>
          <w:sz w:val="24"/>
          <w:szCs w:val="24"/>
          <w:highlight w:val="none"/>
        </w:rPr>
      </w:pPr>
    </w:p>
    <w:p w14:paraId="7924256A">
      <w:pPr>
        <w:rPr>
          <w:rFonts w:hint="eastAsia" w:ascii="宋体" w:hAnsi="宋体" w:eastAsia="宋体" w:cs="宋体"/>
          <w:color w:val="auto"/>
          <w:sz w:val="24"/>
          <w:szCs w:val="24"/>
          <w:highlight w:val="none"/>
        </w:rPr>
      </w:pPr>
    </w:p>
    <w:p w14:paraId="6F9DF048">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sectPr>
          <w:headerReference r:id="rId8" w:type="default"/>
          <w:pgSz w:w="11905" w:h="16838"/>
          <w:pgMar w:top="1417" w:right="1417" w:bottom="1417" w:left="1417" w:header="992" w:footer="992" w:gutter="0"/>
          <w:lnNumType w:countBy="0" w:distance="360"/>
          <w:pgNumType w:fmt="decimal"/>
          <w:cols w:space="720" w:num="1"/>
        </w:sectPr>
      </w:pPr>
    </w:p>
    <w:p w14:paraId="01BE705A">
      <w:pPr>
        <w:pStyle w:val="6"/>
        <w:outlineLvl w:val="0"/>
        <w:rPr>
          <w:rFonts w:hint="eastAsia" w:ascii="宋体" w:hAnsi="宋体" w:eastAsia="宋体" w:cs="宋体"/>
          <w:color w:val="auto"/>
          <w:sz w:val="44"/>
          <w:szCs w:val="24"/>
          <w:highlight w:val="none"/>
        </w:rPr>
      </w:pPr>
      <w:bookmarkStart w:id="127" w:name="bookmark93"/>
      <w:bookmarkEnd w:id="127"/>
      <w:bookmarkStart w:id="128" w:name="_Toc14321"/>
      <w:r>
        <w:rPr>
          <w:rFonts w:hint="eastAsia" w:ascii="宋体" w:hAnsi="宋体" w:eastAsia="宋体" w:cs="宋体"/>
          <w:color w:val="auto"/>
          <w:sz w:val="44"/>
          <w:szCs w:val="24"/>
          <w:highlight w:val="none"/>
        </w:rPr>
        <w:t>第四章</w:t>
      </w:r>
      <w:r>
        <w:rPr>
          <w:rFonts w:hint="eastAsia" w:ascii="宋体" w:hAnsi="宋体" w:eastAsia="宋体" w:cs="宋体"/>
          <w:color w:val="auto"/>
          <w:sz w:val="44"/>
          <w:szCs w:val="24"/>
          <w:highlight w:val="none"/>
          <w:lang w:val="en-US" w:eastAsia="zh-CN"/>
        </w:rPr>
        <w:t xml:space="preserve"> </w:t>
      </w:r>
      <w:r>
        <w:rPr>
          <w:rFonts w:hint="eastAsia" w:ascii="宋体" w:hAnsi="宋体" w:eastAsia="宋体" w:cs="宋体"/>
          <w:color w:val="auto"/>
          <w:sz w:val="44"/>
          <w:szCs w:val="24"/>
          <w:highlight w:val="none"/>
        </w:rPr>
        <w:t>合同条款及格式</w:t>
      </w:r>
      <w:bookmarkEnd w:id="128"/>
    </w:p>
    <w:p w14:paraId="7681FA30">
      <w:pPr>
        <w:pStyle w:val="14"/>
        <w:kinsoku w:val="0"/>
        <w:overflowPunct w:val="0"/>
        <w:ind w:left="0"/>
        <w:rPr>
          <w:rFonts w:hint="eastAsia" w:ascii="宋体" w:hAnsi="宋体" w:eastAsia="宋体" w:cs="宋体"/>
          <w:b/>
          <w:color w:val="auto"/>
          <w:sz w:val="20"/>
          <w:szCs w:val="24"/>
          <w:highlight w:val="none"/>
        </w:rPr>
      </w:pPr>
    </w:p>
    <w:p w14:paraId="08CE35E8">
      <w:pPr>
        <w:pStyle w:val="14"/>
        <w:kinsoku w:val="0"/>
        <w:overflowPunct w:val="0"/>
        <w:ind w:left="0"/>
        <w:rPr>
          <w:rFonts w:hint="eastAsia" w:ascii="宋体" w:hAnsi="宋体" w:eastAsia="宋体" w:cs="宋体"/>
          <w:b/>
          <w:color w:val="auto"/>
          <w:sz w:val="20"/>
          <w:szCs w:val="24"/>
          <w:highlight w:val="none"/>
        </w:rPr>
      </w:pPr>
    </w:p>
    <w:p w14:paraId="0C2202C3">
      <w:pPr>
        <w:wordWrap w:val="0"/>
        <w:spacing w:line="400" w:lineRule="exact"/>
        <w:jc w:val="right"/>
        <w:rPr>
          <w:rFonts w:hint="eastAsia" w:ascii="宋体" w:hAnsi="宋体" w:eastAsia="宋体" w:cs="宋体"/>
          <w:color w:val="auto"/>
          <w:highlight w:val="none"/>
        </w:rPr>
      </w:pPr>
    </w:p>
    <w:p w14:paraId="179F0DD0">
      <w:pPr>
        <w:widowControl/>
        <w:wordWrap/>
        <w:spacing w:line="640" w:lineRule="exact"/>
        <w:jc w:val="right"/>
        <w:rPr>
          <w:rFonts w:ascii="方正楷体_GBK" w:hAnsi="方正楷体_GBK" w:eastAsia="方正楷体_GBK" w:cs="方正楷体_GBK"/>
          <w:color w:val="auto"/>
          <w:sz w:val="28"/>
          <w:szCs w:val="28"/>
          <w:highlight w:val="none"/>
          <w:u w:val="single"/>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【标准文本】合同-</w:t>
      </w:r>
      <w:r>
        <w:rPr>
          <w:rFonts w:hint="eastAsia" w:ascii="仿宋_GB2312" w:hAnsi="仿宋_GB2312" w:eastAsia="仿宋_GB2312" w:cs="仿宋_GB2312"/>
          <w:color w:val="auto"/>
          <w:sz w:val="28"/>
          <w:szCs w:val="28"/>
          <w:highlight w:val="none"/>
          <w:lang w:val="en-US" w:eastAsia="zh-CN"/>
        </w:rPr>
        <w:t>FW</w:t>
      </w:r>
      <w:r>
        <w:rPr>
          <w:rFonts w:hint="eastAsia" w:ascii="仿宋_GB2312" w:hAnsi="仿宋_GB2312" w:eastAsia="仿宋_GB2312" w:cs="仿宋_GB2312"/>
          <w:color w:val="auto"/>
          <w:sz w:val="28"/>
          <w:szCs w:val="28"/>
          <w:highlight w:val="none"/>
        </w:rPr>
        <w:t>-20240</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-0</w:t>
      </w:r>
      <w:r>
        <w:rPr>
          <w:rFonts w:hint="eastAsia" w:ascii="仿宋_GB2312" w:hAnsi="仿宋_GB2312" w:eastAsia="仿宋_GB2312" w:cs="仿宋_GB2312"/>
          <w:color w:val="auto"/>
          <w:sz w:val="28"/>
          <w:szCs w:val="28"/>
          <w:highlight w:val="none"/>
          <w:lang w:val="en-US" w:eastAsia="zh-CN"/>
        </w:rPr>
        <w:t>1</w:t>
      </w:r>
      <w:r>
        <w:rPr>
          <w:rFonts w:hint="eastAsia" w:ascii="方正楷体_GBK" w:hAnsi="方正楷体_GBK" w:eastAsia="方正楷体_GBK" w:cs="方正楷体_GBK"/>
          <w:color w:val="auto"/>
          <w:sz w:val="28"/>
          <w:szCs w:val="28"/>
          <w:highlight w:val="none"/>
        </w:rPr>
        <w:t xml:space="preserve">          </w:t>
      </w:r>
    </w:p>
    <w:p w14:paraId="1F5BDD0D">
      <w:pPr>
        <w:tabs>
          <w:tab w:val="left" w:pos="3900"/>
          <w:tab w:val="right" w:pos="10245"/>
        </w:tabs>
        <w:wordWrap w:val="0"/>
        <w:spacing w:line="360" w:lineRule="auto"/>
        <w:jc w:val="left"/>
        <w:rPr>
          <w:rFonts w:ascii="宋体" w:hAnsi="Calibri" w:cs="Times New Roman"/>
          <w:color w:val="auto"/>
          <w:sz w:val="32"/>
          <w:szCs w:val="32"/>
          <w:highlight w:val="none"/>
          <w:u w:val="single"/>
        </w:rPr>
      </w:pPr>
    </w:p>
    <w:p w14:paraId="0D52D34A">
      <w:pPr>
        <w:spacing w:line="360" w:lineRule="auto"/>
        <w:jc w:val="right"/>
        <w:rPr>
          <w:rFonts w:ascii="宋体" w:hAnsi="Calibri" w:cs="Times New Roman"/>
          <w:color w:val="auto"/>
          <w:spacing w:val="0"/>
          <w:sz w:val="32"/>
          <w:szCs w:val="32"/>
          <w:highlight w:val="none"/>
          <w:u w:val="single"/>
        </w:rPr>
      </w:pPr>
    </w:p>
    <w:p w14:paraId="32E54F7B">
      <w:pPr>
        <w:spacing w:line="960" w:lineRule="exact"/>
        <w:jc w:val="center"/>
        <w:rPr>
          <w:rFonts w:ascii="方正小标宋简体" w:hAnsi="方正小标宋简体" w:eastAsia="方正小标宋简体" w:cs="方正小标宋简体"/>
          <w:color w:val="auto"/>
          <w:spacing w:val="0"/>
          <w:kern w:val="0"/>
          <w:sz w:val="72"/>
          <w:szCs w:val="72"/>
          <w:highlight w:val="none"/>
        </w:rPr>
      </w:pPr>
      <w:r>
        <w:rPr>
          <w:rFonts w:hint="eastAsia" w:ascii="方正小标宋简体" w:hAnsi="方正小标宋简体" w:eastAsia="方正小标宋简体" w:cs="方正小标宋简体"/>
          <w:color w:val="auto"/>
          <w:spacing w:val="0"/>
          <w:kern w:val="0"/>
          <w:sz w:val="72"/>
          <w:szCs w:val="72"/>
          <w:highlight w:val="none"/>
        </w:rPr>
        <w:t>广州市自来水有限公司</w:t>
      </w:r>
    </w:p>
    <w:p w14:paraId="46D67F20">
      <w:pPr>
        <w:spacing w:line="960" w:lineRule="exact"/>
        <w:jc w:val="center"/>
        <w:rPr>
          <w:rFonts w:ascii="方正小标宋简体" w:hAnsi="方正小标宋简体" w:eastAsia="方正小标宋简体" w:cs="方正小标宋简体"/>
          <w:color w:val="auto"/>
          <w:spacing w:val="0"/>
          <w:kern w:val="0"/>
          <w:sz w:val="72"/>
          <w:szCs w:val="72"/>
          <w:highlight w:val="none"/>
        </w:rPr>
      </w:pPr>
      <w:r>
        <w:rPr>
          <w:rFonts w:hint="eastAsia" w:ascii="方正小标宋简体" w:hAnsi="方正小标宋简体" w:eastAsia="方正小标宋简体" w:cs="方正小标宋简体"/>
          <w:color w:val="auto"/>
          <w:spacing w:val="0"/>
          <w:kern w:val="0"/>
          <w:sz w:val="72"/>
          <w:szCs w:val="72"/>
          <w:highlight w:val="none"/>
        </w:rPr>
        <w:t>建设工程</w:t>
      </w:r>
      <w:r>
        <w:rPr>
          <w:rFonts w:hint="eastAsia" w:ascii="方正小标宋简体" w:hAnsi="方正小标宋简体" w:eastAsia="方正小标宋简体" w:cs="方正小标宋简体"/>
          <w:color w:val="auto"/>
          <w:spacing w:val="0"/>
          <w:kern w:val="0"/>
          <w:sz w:val="72"/>
          <w:szCs w:val="72"/>
          <w:highlight w:val="none"/>
          <w:lang w:val="en-US" w:eastAsia="zh-CN"/>
        </w:rPr>
        <w:t>质量检测、监测</w:t>
      </w:r>
      <w:r>
        <w:rPr>
          <w:rFonts w:hint="eastAsia" w:ascii="方正小标宋简体" w:hAnsi="方正小标宋简体" w:eastAsia="方正小标宋简体" w:cs="方正小标宋简体"/>
          <w:color w:val="auto"/>
          <w:spacing w:val="0"/>
          <w:kern w:val="0"/>
          <w:sz w:val="72"/>
          <w:szCs w:val="72"/>
          <w:highlight w:val="none"/>
        </w:rPr>
        <w:t>合同</w:t>
      </w:r>
    </w:p>
    <w:p w14:paraId="077D23FF">
      <w:pPr>
        <w:widowControl/>
        <w:spacing w:line="640" w:lineRule="exact"/>
        <w:jc w:val="center"/>
        <w:rPr>
          <w:rFonts w:ascii="方正楷体_GBK" w:hAnsi="方正楷体_GBK" w:eastAsia="方正楷体_GBK" w:cs="方正楷体_GBK"/>
          <w:color w:val="auto"/>
          <w:sz w:val="28"/>
          <w:szCs w:val="28"/>
          <w:highlight w:val="none"/>
        </w:rPr>
      </w:pPr>
      <w:r>
        <w:rPr>
          <w:rFonts w:hint="eastAsia" w:ascii="仿宋_GB2312" w:hAnsi="仿宋_GB2312" w:eastAsia="仿宋_GB2312" w:cs="仿宋_GB2312"/>
          <w:color w:val="auto"/>
          <w:sz w:val="28"/>
          <w:szCs w:val="28"/>
          <w:highlight w:val="none"/>
        </w:rPr>
        <w:t>（2024年修订版标准文本）</w:t>
      </w:r>
    </w:p>
    <w:p w14:paraId="7A62DC7E">
      <w:pPr>
        <w:pStyle w:val="46"/>
        <w:spacing w:line="640" w:lineRule="exact"/>
        <w:ind w:left="298" w:leftChars="124" w:firstLine="835" w:firstLineChars="160"/>
        <w:rPr>
          <w:rFonts w:ascii="宋体" w:hAnsi="宋体"/>
          <w:b/>
          <w:bCs/>
          <w:color w:val="auto"/>
          <w:sz w:val="52"/>
          <w:szCs w:val="52"/>
          <w:highlight w:val="none"/>
        </w:rPr>
      </w:pPr>
    </w:p>
    <w:p w14:paraId="37B8004B">
      <w:pPr>
        <w:spacing w:line="640" w:lineRule="exact"/>
        <w:jc w:val="both"/>
        <w:rPr>
          <w:rFonts w:ascii="仿宋" w:hAnsi="仿宋" w:eastAsia="仿宋" w:cs="Times New Roman"/>
          <w:color w:val="auto"/>
          <w:sz w:val="32"/>
          <w:szCs w:val="32"/>
          <w:highlight w:val="none"/>
        </w:rPr>
      </w:pPr>
    </w:p>
    <w:p w14:paraId="3686DA72">
      <w:pPr>
        <w:spacing w:line="640" w:lineRule="exact"/>
        <w:jc w:val="center"/>
        <w:rPr>
          <w:rFonts w:ascii="仿宋" w:hAnsi="仿宋" w:eastAsia="仿宋" w:cs="Times New Roman"/>
          <w:color w:val="auto"/>
          <w:sz w:val="32"/>
          <w:szCs w:val="32"/>
          <w:highlight w:val="none"/>
        </w:rPr>
      </w:pPr>
    </w:p>
    <w:p w14:paraId="6DC09EE8">
      <w:pPr>
        <w:pStyle w:val="14"/>
        <w:rPr>
          <w:color w:val="auto"/>
          <w:sz w:val="21"/>
          <w:szCs w:val="21"/>
          <w:highlight w:val="none"/>
        </w:rPr>
      </w:pPr>
    </w:p>
    <w:p w14:paraId="6CFFC899">
      <w:pPr>
        <w:keepNext w:val="0"/>
        <w:keepLines w:val="0"/>
        <w:pageBreakBefore w:val="0"/>
        <w:widowControl w:val="0"/>
        <w:kinsoku/>
        <w:wordWrap/>
        <w:overflowPunct/>
        <w:topLinePunct w:val="0"/>
        <w:autoSpaceDE w:val="0"/>
        <w:autoSpaceDN w:val="0"/>
        <w:bidi w:val="0"/>
        <w:adjustRightInd w:val="0"/>
        <w:snapToGrid/>
        <w:spacing w:line="640" w:lineRule="exact"/>
        <w:ind w:left="2240" w:leftChars="350" w:hanging="1400" w:hangingChars="500"/>
        <w:jc w:val="left"/>
        <w:textAlignment w:val="auto"/>
        <w:rPr>
          <w:rFonts w:hint="eastAsia" w:ascii="仿宋_GB2312" w:hAnsi="仿宋_GB2312" w:eastAsia="仿宋_GB2312" w:cs="仿宋_GB2312"/>
          <w:color w:val="auto"/>
          <w:sz w:val="28"/>
          <w:szCs w:val="28"/>
          <w:highlight w:val="none"/>
          <w:u w:val="single"/>
          <w:lang w:eastAsia="zh-CN"/>
        </w:rPr>
      </w:pPr>
      <w:r>
        <w:rPr>
          <w:rFonts w:hint="eastAsia" w:ascii="仿宋_GB2312" w:hAnsi="仿宋_GB2312" w:eastAsia="仿宋_GB2312" w:cs="仿宋_GB2312"/>
          <w:color w:val="auto"/>
          <w:sz w:val="28"/>
          <w:szCs w:val="28"/>
          <w:highlight w:val="none"/>
          <w:lang w:val="en-US" w:eastAsia="zh-CN"/>
        </w:rPr>
        <w:t>项目</w:t>
      </w:r>
      <w:r>
        <w:rPr>
          <w:rFonts w:hint="eastAsia" w:ascii="仿宋_GB2312" w:hAnsi="仿宋_GB2312" w:eastAsia="仿宋_GB2312" w:cs="仿宋_GB2312"/>
          <w:color w:val="auto"/>
          <w:sz w:val="28"/>
          <w:szCs w:val="28"/>
          <w:highlight w:val="none"/>
        </w:rPr>
        <w:t>名称：</w:t>
      </w:r>
      <w:r>
        <w:rPr>
          <w:rFonts w:hint="eastAsia" w:ascii="仿宋_GB2312" w:hAnsi="仿宋_GB2312" w:eastAsia="仿宋_GB2312" w:cs="仿宋_GB2312"/>
          <w:color w:val="auto"/>
          <w:sz w:val="28"/>
          <w:szCs w:val="28"/>
          <w:highlight w:val="none"/>
          <w:u w:val="single"/>
        </w:rPr>
        <w:t>2025-2027年广州市自来水有限公司</w:t>
      </w:r>
      <w:r>
        <w:rPr>
          <w:rFonts w:hint="eastAsia" w:ascii="仿宋_GB2312" w:hAnsi="仿宋_GB2312" w:eastAsia="仿宋_GB2312" w:cs="仿宋_GB2312"/>
          <w:color w:val="auto"/>
          <w:sz w:val="28"/>
          <w:szCs w:val="28"/>
          <w:highlight w:val="none"/>
          <w:u w:val="single"/>
          <w:lang w:eastAsia="zh-CN"/>
        </w:rPr>
        <w:t>管网</w:t>
      </w:r>
      <w:r>
        <w:rPr>
          <w:rFonts w:hint="eastAsia" w:ascii="仿宋_GB2312" w:hAnsi="仿宋_GB2312" w:eastAsia="仿宋_GB2312" w:cs="仿宋_GB2312"/>
          <w:color w:val="auto"/>
          <w:sz w:val="28"/>
          <w:szCs w:val="28"/>
          <w:highlight w:val="none"/>
          <w:u w:val="single"/>
        </w:rPr>
        <w:t>建设工程检测、监测服务项目</w:t>
      </w:r>
    </w:p>
    <w:p w14:paraId="23DC0414">
      <w:pPr>
        <w:spacing w:line="640" w:lineRule="exact"/>
        <w:ind w:firstLine="840" w:firstLineChars="3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广州市自来水有限公司     </w:t>
      </w:r>
    </w:p>
    <w:p w14:paraId="36393C82">
      <w:pPr>
        <w:spacing w:line="640" w:lineRule="exact"/>
        <w:ind w:firstLine="840" w:firstLineChars="3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受托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p>
    <w:p w14:paraId="78FC5D75">
      <w:pPr>
        <w:spacing w:line="640" w:lineRule="exact"/>
        <w:ind w:firstLine="840" w:firstLineChars="300"/>
        <w:jc w:val="left"/>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合同编号：</w:t>
      </w:r>
      <w:r>
        <w:rPr>
          <w:rFonts w:hint="eastAsia" w:ascii="仿宋_GB2312" w:hAnsi="仿宋_GB2312" w:eastAsia="仿宋_GB2312" w:cs="仿宋_GB2312"/>
          <w:color w:val="auto"/>
          <w:sz w:val="28"/>
          <w:szCs w:val="28"/>
          <w:highlight w:val="none"/>
          <w:u w:val="single"/>
        </w:rPr>
        <w:t xml:space="preserve">                                   </w:t>
      </w:r>
    </w:p>
    <w:p w14:paraId="361A7C3F">
      <w:pPr>
        <w:spacing w:line="640" w:lineRule="exact"/>
        <w:ind w:firstLine="840" w:firstLineChars="3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签订日期：</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日</w:t>
      </w:r>
      <w:r>
        <w:rPr>
          <w:rFonts w:hint="eastAsia" w:ascii="仿宋_GB2312" w:hAnsi="仿宋_GB2312" w:eastAsia="仿宋_GB2312" w:cs="仿宋_GB2312"/>
          <w:color w:val="auto"/>
          <w:sz w:val="28"/>
          <w:szCs w:val="28"/>
          <w:highlight w:val="none"/>
          <w:u w:val="single"/>
        </w:rPr>
        <w:t xml:space="preserve"> </w:t>
      </w:r>
    </w:p>
    <w:p w14:paraId="2CBF0619">
      <w:pPr>
        <w:pStyle w:val="20"/>
        <w:spacing w:before="120" w:after="120" w:line="240" w:lineRule="auto"/>
        <w:ind w:left="0" w:leftChars="0" w:right="0" w:rightChars="0"/>
        <w:rPr>
          <w:rFonts w:hint="default" w:ascii="Calibri" w:hAnsi="Calibri" w:eastAsia="宋体" w:cs="Times New Roman"/>
          <w:b/>
          <w:bCs/>
          <w:caps/>
          <w:color w:val="auto"/>
          <w:spacing w:val="0"/>
          <w:sz w:val="36"/>
          <w:szCs w:val="36"/>
          <w:highlight w:val="none"/>
          <w:lang w:val="en-US" w:eastAsia="zh-CN"/>
        </w:rPr>
      </w:pPr>
      <w:r>
        <w:rPr>
          <w:rFonts w:hint="eastAsia" w:ascii="Calibri" w:hAnsi="Calibri" w:eastAsia="宋体" w:cs="Times New Roman"/>
          <w:b/>
          <w:bCs/>
          <w:caps/>
          <w:color w:val="auto"/>
          <w:spacing w:val="0"/>
          <w:sz w:val="36"/>
          <w:szCs w:val="36"/>
          <w:highlight w:val="none"/>
          <w:lang w:val="en-US" w:eastAsia="zh-CN"/>
        </w:rPr>
        <w:t xml:space="preserve"> </w:t>
      </w:r>
    </w:p>
    <w:p w14:paraId="3565AC3D">
      <w:pPr>
        <w:rPr>
          <w:rFonts w:hint="eastAsia"/>
          <w:color w:val="auto"/>
          <w:sz w:val="21"/>
          <w:szCs w:val="21"/>
          <w:highlight w:val="none"/>
        </w:rPr>
      </w:pPr>
    </w:p>
    <w:p w14:paraId="067FB62F">
      <w:pPr>
        <w:pStyle w:val="14"/>
        <w:rPr>
          <w:rFonts w:hint="eastAsia"/>
          <w:color w:val="auto"/>
          <w:sz w:val="21"/>
          <w:szCs w:val="21"/>
          <w:highlight w:val="none"/>
        </w:rPr>
      </w:pPr>
    </w:p>
    <w:p w14:paraId="28C8DAF4">
      <w:pPr>
        <w:rPr>
          <w:rFonts w:hint="eastAsia"/>
          <w:color w:val="auto"/>
          <w:sz w:val="21"/>
          <w:szCs w:val="21"/>
          <w:highlight w:val="none"/>
        </w:rPr>
      </w:pPr>
      <w:r>
        <w:rPr>
          <w:rFonts w:hint="eastAsia"/>
          <w:color w:val="auto"/>
          <w:sz w:val="21"/>
          <w:szCs w:val="21"/>
          <w:highlight w:val="none"/>
        </w:rPr>
        <w:br w:type="page"/>
      </w:r>
    </w:p>
    <w:p w14:paraId="3D0ACFD2">
      <w:pPr>
        <w:pStyle w:val="14"/>
        <w:rPr>
          <w:rFonts w:hint="eastAsia"/>
          <w:color w:val="auto"/>
          <w:sz w:val="21"/>
          <w:szCs w:val="21"/>
          <w:highlight w:val="none"/>
        </w:rPr>
      </w:pPr>
    </w:p>
    <w:p w14:paraId="1C94BA2A">
      <w:pPr>
        <w:pStyle w:val="14"/>
        <w:rPr>
          <w:rFonts w:hint="eastAsia"/>
          <w:color w:val="auto"/>
          <w:sz w:val="21"/>
          <w:szCs w:val="21"/>
          <w:highlight w:val="none"/>
        </w:rPr>
      </w:pPr>
    </w:p>
    <w:p w14:paraId="36BF7AD7">
      <w:pPr>
        <w:spacing w:line="360" w:lineRule="auto"/>
        <w:jc w:val="center"/>
        <w:outlineLvl w:val="0"/>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填写说明</w:t>
      </w:r>
    </w:p>
    <w:p w14:paraId="5BCD7A40">
      <w:pPr>
        <w:spacing w:line="360" w:lineRule="auto"/>
        <w:rPr>
          <w:rFonts w:hint="eastAsia" w:ascii="宋体" w:hAnsi="宋体" w:eastAsia="仿宋_GB2312" w:cs="Times New Roman"/>
          <w:color w:val="auto"/>
          <w:sz w:val="28"/>
          <w:szCs w:val="32"/>
          <w:highlight w:val="none"/>
        </w:rPr>
      </w:pPr>
    </w:p>
    <w:p w14:paraId="7B6A60BC">
      <w:pPr>
        <w:spacing w:line="560" w:lineRule="exact"/>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32"/>
          <w:szCs w:val="32"/>
          <w:highlight w:val="none"/>
        </w:rPr>
        <w:t xml:space="preserve">   </w:t>
      </w:r>
      <w:r>
        <w:rPr>
          <w:rFonts w:hint="eastAsia" w:ascii="仿宋_GB2312" w:hAnsi="宋体" w:eastAsia="仿宋_GB2312" w:cs="Times New Roman"/>
          <w:color w:val="auto"/>
          <w:sz w:val="28"/>
          <w:szCs w:val="28"/>
          <w:highlight w:val="none"/>
        </w:rPr>
        <w:t xml:space="preserve"> 一、本合同参照广州市住房和城乡建设局</w:t>
      </w:r>
      <w:r>
        <w:rPr>
          <w:rFonts w:hint="eastAsia" w:ascii="仿宋_GB2312" w:hAnsi="宋体" w:eastAsia="仿宋_GB2312" w:cs="Times New Roman"/>
          <w:color w:val="auto"/>
          <w:sz w:val="28"/>
          <w:szCs w:val="28"/>
          <w:highlight w:val="none"/>
          <w:lang w:val="en-US" w:eastAsia="zh-CN"/>
        </w:rPr>
        <w:t>及广州市市场监督管理局</w:t>
      </w:r>
      <w:r>
        <w:rPr>
          <w:rFonts w:hint="eastAsia" w:ascii="仿宋_GB2312" w:hAnsi="宋体" w:eastAsia="仿宋_GB2312" w:cs="Times New Roman"/>
          <w:color w:val="auto"/>
          <w:sz w:val="28"/>
          <w:szCs w:val="28"/>
          <w:highlight w:val="none"/>
        </w:rPr>
        <w:t>联合制定的建设工程质量检测合同示范文本进行编制。</w:t>
      </w:r>
    </w:p>
    <w:p w14:paraId="6F38F626">
      <w:pPr>
        <w:spacing w:line="560" w:lineRule="exact"/>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 xml:space="preserve">    二、本合同书适用于一方当事人（受托方）为另一方（委托方）就建设工程的新建、扩建、改建、装修、修缮等项目</w:t>
      </w:r>
      <w:r>
        <w:rPr>
          <w:rFonts w:hint="eastAsia" w:ascii="仿宋_GB2312" w:hAnsi="宋体" w:eastAsia="仿宋_GB2312" w:cs="Times New Roman"/>
          <w:color w:val="auto"/>
          <w:sz w:val="28"/>
          <w:szCs w:val="28"/>
          <w:highlight w:val="none"/>
          <w:lang w:eastAsia="zh-CN"/>
        </w:rPr>
        <w:t>的</w:t>
      </w:r>
      <w:r>
        <w:rPr>
          <w:rFonts w:hint="eastAsia" w:ascii="仿宋_GB2312" w:hAnsi="宋体" w:eastAsia="仿宋_GB2312" w:cs="Times New Roman"/>
          <w:color w:val="auto"/>
          <w:sz w:val="28"/>
          <w:szCs w:val="28"/>
          <w:highlight w:val="none"/>
        </w:rPr>
        <w:t>检测</w:t>
      </w:r>
      <w:r>
        <w:rPr>
          <w:rFonts w:hint="eastAsia" w:ascii="仿宋_GB2312" w:hAnsi="宋体" w:eastAsia="仿宋_GB2312" w:cs="Times New Roman"/>
          <w:color w:val="auto"/>
          <w:sz w:val="28"/>
          <w:szCs w:val="28"/>
          <w:highlight w:val="none"/>
          <w:lang w:val="en-US" w:eastAsia="zh-CN"/>
        </w:rPr>
        <w:t>及监测</w:t>
      </w:r>
      <w:r>
        <w:rPr>
          <w:rFonts w:hint="eastAsia" w:ascii="仿宋_GB2312" w:hAnsi="宋体" w:eastAsia="仿宋_GB2312" w:cs="Times New Roman"/>
          <w:color w:val="auto"/>
          <w:sz w:val="28"/>
          <w:szCs w:val="28"/>
          <w:highlight w:val="none"/>
        </w:rPr>
        <w:t>服务所订立的合同。</w:t>
      </w:r>
    </w:p>
    <w:p w14:paraId="3980B978">
      <w:pPr>
        <w:spacing w:line="560" w:lineRule="exact"/>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 xml:space="preserve">    三、签约一方为多个当事人的，可按各自在合同关系中的作用等，在“委托方”“受托方”项下（增页）分别排列为共同委托人或共同受托人。</w:t>
      </w:r>
    </w:p>
    <w:p w14:paraId="21F5E362">
      <w:pPr>
        <w:spacing w:line="560" w:lineRule="exact"/>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 xml:space="preserve">    四、本合同书未尽事项，可由当事人附页另行约定，并作为本合同的组成部分。</w:t>
      </w:r>
    </w:p>
    <w:p w14:paraId="5E6948F8">
      <w:pPr>
        <w:widowControl/>
        <w:adjustRightInd w:val="0"/>
        <w:snapToGrid w:val="0"/>
        <w:spacing w:line="560" w:lineRule="exact"/>
        <w:ind w:firstLine="570"/>
        <w:jc w:val="left"/>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五、当事人使用本合同书时约定无需填写的条款，应在该条款处注明“无”等字样。</w:t>
      </w:r>
    </w:p>
    <w:p w14:paraId="6F8AED5C">
      <w:pPr>
        <w:widowControl/>
        <w:adjustRightInd w:val="0"/>
        <w:snapToGrid w:val="0"/>
        <w:spacing w:line="560" w:lineRule="exact"/>
        <w:ind w:firstLine="570"/>
        <w:jc w:val="left"/>
        <w:rPr>
          <w:rFonts w:hint="eastAsia" w:eastAsia="仿宋_GB2312"/>
          <w:color w:val="auto"/>
          <w:sz w:val="28"/>
          <w:szCs w:val="28"/>
          <w:highlight w:val="none"/>
          <w:lang w:val="en-US" w:eastAsia="zh-CN"/>
        </w:rPr>
      </w:pPr>
      <w:r>
        <w:rPr>
          <w:rFonts w:hint="eastAsia" w:ascii="仿宋_GB2312" w:hAnsi="宋体" w:eastAsia="仿宋_GB2312" w:cs="Times New Roman"/>
          <w:color w:val="auto"/>
          <w:sz w:val="28"/>
          <w:szCs w:val="28"/>
          <w:highlight w:val="none"/>
          <w:lang w:val="en-US" w:eastAsia="zh-CN"/>
        </w:rPr>
        <w:t>六、文本开头带“</w:t>
      </w:r>
      <w:r>
        <w:rPr>
          <w:rFonts w:hint="eastAsia" w:ascii="仿宋_GB2312" w:hAnsi="仿宋_GB2312" w:eastAsia="仿宋_GB2312" w:cs="仿宋_GB2312"/>
          <w:color w:val="auto"/>
          <w:sz w:val="28"/>
          <w:szCs w:val="28"/>
          <w:highlight w:val="none"/>
          <w:lang w:val="en-US" w:eastAsia="zh-CN"/>
        </w:rPr>
        <w:t>□</w:t>
      </w:r>
      <w:r>
        <w:rPr>
          <w:rFonts w:hint="eastAsia" w:ascii="仿宋_GB2312" w:hAnsi="宋体" w:eastAsia="仿宋_GB2312" w:cs="Times New Roman"/>
          <w:color w:val="auto"/>
          <w:sz w:val="28"/>
          <w:szCs w:val="28"/>
          <w:highlight w:val="none"/>
          <w:lang w:val="en-US" w:eastAsia="zh-CN"/>
        </w:rPr>
        <w:t>”的条款为选择性条款，由合同承办单位根据项目的具体特点和实际在内打“</w:t>
      </w:r>
      <w:r>
        <w:rPr>
          <w:rFonts w:hint="default" w:ascii="Arial" w:hAnsi="Arial" w:eastAsia="仿宋_GB2312" w:cs="Arial"/>
          <w:color w:val="auto"/>
          <w:sz w:val="28"/>
          <w:szCs w:val="28"/>
          <w:highlight w:val="none"/>
          <w:lang w:val="en-US" w:eastAsia="zh-CN"/>
        </w:rPr>
        <w:t>√</w:t>
      </w:r>
      <w:r>
        <w:rPr>
          <w:rFonts w:hint="eastAsia" w:ascii="仿宋_GB2312" w:hAnsi="宋体" w:eastAsia="仿宋_GB2312" w:cs="Times New Roman"/>
          <w:color w:val="auto"/>
          <w:sz w:val="28"/>
          <w:szCs w:val="28"/>
          <w:highlight w:val="none"/>
          <w:lang w:val="en-US" w:eastAsia="zh-CN"/>
        </w:rPr>
        <w:t>”或打“</w:t>
      </w:r>
      <w:r>
        <w:rPr>
          <w:rFonts w:hint="default" w:ascii="Arial" w:hAnsi="Arial" w:eastAsia="仿宋_GB2312" w:cs="Arial"/>
          <w:color w:val="auto"/>
          <w:sz w:val="28"/>
          <w:szCs w:val="28"/>
          <w:highlight w:val="none"/>
          <w:lang w:val="en-US" w:eastAsia="zh-CN"/>
        </w:rPr>
        <w:t>×</w:t>
      </w:r>
      <w:r>
        <w:rPr>
          <w:rFonts w:hint="eastAsia" w:ascii="仿宋_GB2312" w:hAnsi="宋体" w:eastAsia="仿宋_GB2312" w:cs="Times New Roman"/>
          <w:color w:val="auto"/>
          <w:sz w:val="28"/>
          <w:szCs w:val="28"/>
          <w:highlight w:val="none"/>
          <w:lang w:val="en-US" w:eastAsia="zh-CN"/>
        </w:rPr>
        <w:t>”。</w:t>
      </w:r>
    </w:p>
    <w:p w14:paraId="6C40B067">
      <w:pPr>
        <w:rPr>
          <w:rFonts w:cs="Times New Roman"/>
          <w:color w:val="auto"/>
          <w:sz w:val="28"/>
          <w:szCs w:val="28"/>
          <w:highlight w:val="none"/>
        </w:rPr>
        <w:sectPr>
          <w:footerReference r:id="rId11" w:type="first"/>
          <w:headerReference r:id="rId9" w:type="default"/>
          <w:footerReference r:id="rId10" w:type="default"/>
          <w:pgSz w:w="11906" w:h="16838"/>
          <w:pgMar w:top="1440" w:right="1134" w:bottom="1440" w:left="1134" w:header="851" w:footer="992" w:gutter="0"/>
          <w:pgNumType w:fmt="decimal"/>
          <w:cols w:space="720" w:num="1"/>
          <w:titlePg/>
          <w:docGrid w:type="lines" w:linePitch="312" w:charSpace="0"/>
        </w:sectPr>
      </w:pPr>
    </w:p>
    <w:p w14:paraId="0A90184E">
      <w:pPr>
        <w:pStyle w:val="5"/>
        <w:pageBreakBefore w:val="0"/>
        <w:kinsoku/>
        <w:wordWrap/>
        <w:overflowPunct/>
        <w:topLinePunct w:val="0"/>
        <w:bidi w:val="0"/>
        <w:spacing w:line="560" w:lineRule="exact"/>
        <w:jc w:val="center"/>
        <w:textAlignment w:val="auto"/>
        <w:rPr>
          <w:rFonts w:ascii="仿宋" w:hAnsi="仿宋" w:eastAsia="仿宋" w:cs="Times New Roman"/>
          <w:b w:val="0"/>
          <w:bCs/>
          <w:color w:val="auto"/>
          <w:sz w:val="40"/>
          <w:szCs w:val="40"/>
          <w:highlight w:val="none"/>
        </w:rPr>
      </w:pPr>
      <w:bookmarkStart w:id="129" w:name="_Toc10627387"/>
      <w:r>
        <w:rPr>
          <w:rFonts w:hint="eastAsia" w:ascii="方正小标宋简体" w:hAnsi="方正小标宋简体" w:eastAsia="方正小标宋简体" w:cs="方正小标宋简体"/>
          <w:b w:val="0"/>
          <w:bCs/>
          <w:color w:val="auto"/>
          <w:kern w:val="2"/>
          <w:sz w:val="44"/>
          <w:szCs w:val="28"/>
          <w:highlight w:val="none"/>
        </w:rPr>
        <w:t xml:space="preserve">第一部分 </w:t>
      </w:r>
      <w:r>
        <w:rPr>
          <w:rFonts w:hint="eastAsia" w:ascii="方正小标宋简体" w:hAnsi="方正小标宋简体" w:eastAsia="方正小标宋简体" w:cs="方正小标宋简体"/>
          <w:b w:val="0"/>
          <w:bCs/>
          <w:color w:val="auto"/>
          <w:kern w:val="2"/>
          <w:sz w:val="44"/>
          <w:szCs w:val="28"/>
          <w:highlight w:val="none"/>
          <w:lang w:val="en-US" w:eastAsia="zh-CN"/>
        </w:rPr>
        <w:t>合同</w:t>
      </w:r>
      <w:r>
        <w:rPr>
          <w:rFonts w:hint="eastAsia" w:ascii="方正小标宋简体" w:hAnsi="方正小标宋简体" w:eastAsia="方正小标宋简体" w:cs="方正小标宋简体"/>
          <w:b w:val="0"/>
          <w:bCs/>
          <w:color w:val="auto"/>
          <w:kern w:val="2"/>
          <w:sz w:val="44"/>
          <w:szCs w:val="28"/>
          <w:highlight w:val="none"/>
        </w:rPr>
        <w:t>协议书</w:t>
      </w:r>
      <w:bookmarkEnd w:id="129"/>
    </w:p>
    <w:p w14:paraId="3191E367">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color w:val="auto"/>
          <w:sz w:val="28"/>
          <w:szCs w:val="28"/>
          <w:highlight w:val="none"/>
        </w:rPr>
        <w:t>委托人（甲方）：</w:t>
      </w:r>
      <w:r>
        <w:rPr>
          <w:rFonts w:hint="eastAsia" w:ascii="仿宋_GB2312" w:hAnsi="仿宋_GB2312" w:eastAsia="仿宋_GB2312" w:cs="仿宋_GB2312"/>
          <w:color w:val="auto"/>
          <w:sz w:val="28"/>
          <w:szCs w:val="28"/>
          <w:highlight w:val="none"/>
          <w:u w:val="single"/>
        </w:rPr>
        <w:t xml:space="preserve">   广州市自来水有限公司  </w:t>
      </w:r>
      <w:r>
        <w:rPr>
          <w:rFonts w:hint="eastAsia" w:ascii="仿宋_GB2312" w:hAnsi="仿宋_GB2312" w:eastAsia="仿宋_GB2312" w:cs="仿宋_GB2312"/>
          <w:color w:val="auto"/>
          <w:sz w:val="28"/>
          <w:szCs w:val="28"/>
          <w:highlight w:val="none"/>
          <w:u w:val="single"/>
          <w:lang w:val="en-US" w:eastAsia="zh-CN"/>
        </w:rPr>
        <w:t xml:space="preserve"> </w:t>
      </w:r>
    </w:p>
    <w:p w14:paraId="13A85D0D">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受托人（乙方）：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14:paraId="10395B24">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根据《中华人民共和国</w:t>
      </w:r>
      <w:r>
        <w:rPr>
          <w:rFonts w:hint="eastAsia" w:ascii="仿宋_GB2312" w:hAnsi="仿宋_GB2312" w:eastAsia="仿宋_GB2312" w:cs="仿宋_GB2312"/>
          <w:color w:val="auto"/>
          <w:sz w:val="28"/>
          <w:szCs w:val="28"/>
          <w:highlight w:val="none"/>
          <w:lang w:eastAsia="zh-CN"/>
        </w:rPr>
        <w:t>民法典</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《中华人民共和国建筑法》、《建筑工程质量检测管理办法》及其他有关法律、法规，甲、乙双方在遵循平等、自愿、公平、互利和诚实信用的原则下，就下述建设工程委托质量</w:t>
      </w:r>
      <w:r>
        <w:rPr>
          <w:rFonts w:hint="eastAsia" w:ascii="仿宋_GB2312" w:hAnsi="仿宋_GB2312" w:eastAsia="仿宋_GB2312" w:cs="仿宋_GB2312"/>
          <w:color w:val="auto"/>
          <w:sz w:val="28"/>
          <w:szCs w:val="28"/>
          <w:highlight w:val="none"/>
          <w:lang w:val="en-US" w:eastAsia="zh-CN"/>
        </w:rPr>
        <w:t>检测、监测</w:t>
      </w:r>
      <w:r>
        <w:rPr>
          <w:rFonts w:hint="eastAsia" w:ascii="仿宋_GB2312" w:hAnsi="仿宋_GB2312" w:eastAsia="仿宋_GB2312" w:cs="仿宋_GB2312"/>
          <w:color w:val="auto"/>
          <w:sz w:val="28"/>
          <w:szCs w:val="28"/>
          <w:highlight w:val="none"/>
        </w:rPr>
        <w:t>及相关服务事项协商一致，订立本合同。</w:t>
      </w:r>
    </w:p>
    <w:p w14:paraId="3D4BF7B1">
      <w:pPr>
        <w:pStyle w:val="6"/>
        <w:pageBreakBefore w:val="0"/>
        <w:numPr>
          <w:ilvl w:val="0"/>
          <w:numId w:val="0"/>
        </w:numPr>
        <w:kinsoku/>
        <w:wordWrap/>
        <w:overflowPunct/>
        <w:topLinePunct w:val="0"/>
        <w:bidi w:val="0"/>
        <w:spacing w:line="560" w:lineRule="exact"/>
        <w:jc w:val="left"/>
        <w:textAlignment w:val="auto"/>
        <w:rPr>
          <w:rFonts w:hint="eastAsia" w:ascii="黑体" w:hAnsi="黑体" w:eastAsia="黑体" w:cs="黑体"/>
          <w:b w:val="0"/>
          <w:bCs/>
          <w:color w:val="auto"/>
          <w:sz w:val="32"/>
          <w:szCs w:val="32"/>
          <w:highlight w:val="none"/>
        </w:rPr>
      </w:pPr>
      <w:bookmarkStart w:id="130" w:name="_Toc10627388"/>
      <w:r>
        <w:rPr>
          <w:rFonts w:hint="eastAsia" w:ascii="黑体" w:hAnsi="黑体" w:eastAsia="黑体" w:cs="黑体"/>
          <w:b w:val="0"/>
          <w:bCs/>
          <w:color w:val="auto"/>
          <w:sz w:val="32"/>
          <w:szCs w:val="32"/>
          <w:highlight w:val="none"/>
        </w:rPr>
        <w:t>一、工程概况</w:t>
      </w:r>
      <w:bookmarkEnd w:id="130"/>
    </w:p>
    <w:p w14:paraId="2421C6C5">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sz w:val="28"/>
          <w:szCs w:val="28"/>
          <w:highlight w:val="none"/>
          <w:u w:val="single"/>
          <w:lang w:eastAsia="zh-CN"/>
        </w:rPr>
      </w:pPr>
      <w:r>
        <w:rPr>
          <w:rFonts w:hint="eastAsia" w:ascii="仿宋_GB2312" w:hAnsi="仿宋_GB2312" w:eastAsia="仿宋_GB2312" w:cs="仿宋_GB2312"/>
          <w:color w:val="auto"/>
          <w:sz w:val="28"/>
          <w:szCs w:val="22"/>
          <w:highlight w:val="none"/>
        </w:rPr>
        <w:t>项目名称：</w:t>
      </w:r>
      <w:r>
        <w:rPr>
          <w:rFonts w:hint="eastAsia" w:ascii="仿宋_GB2312" w:hAnsi="仿宋_GB2312" w:eastAsia="仿宋_GB2312" w:cs="仿宋_GB2312"/>
          <w:color w:val="auto"/>
          <w:sz w:val="28"/>
          <w:szCs w:val="28"/>
          <w:highlight w:val="none"/>
          <w:u w:val="single"/>
        </w:rPr>
        <w:t>2025-2027年广州市自来水有限公司</w:t>
      </w:r>
      <w:r>
        <w:rPr>
          <w:rFonts w:hint="eastAsia" w:ascii="仿宋_GB2312" w:hAnsi="仿宋_GB2312" w:eastAsia="仿宋_GB2312" w:cs="仿宋_GB2312"/>
          <w:color w:val="auto"/>
          <w:sz w:val="28"/>
          <w:szCs w:val="28"/>
          <w:highlight w:val="none"/>
          <w:u w:val="single"/>
          <w:lang w:eastAsia="zh-CN"/>
        </w:rPr>
        <w:t>管网</w:t>
      </w:r>
      <w:r>
        <w:rPr>
          <w:rFonts w:hint="eastAsia" w:ascii="仿宋_GB2312" w:hAnsi="仿宋_GB2312" w:eastAsia="仿宋_GB2312" w:cs="仿宋_GB2312"/>
          <w:color w:val="auto"/>
          <w:sz w:val="28"/>
          <w:szCs w:val="28"/>
          <w:highlight w:val="none"/>
          <w:u w:val="single"/>
        </w:rPr>
        <w:t>建设工程检测、监测服务项目</w:t>
      </w:r>
    </w:p>
    <w:p w14:paraId="020380AA">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sz w:val="28"/>
          <w:szCs w:val="28"/>
          <w:highlight w:val="none"/>
          <w:u w:val="single"/>
          <w:lang w:eastAsia="zh-CN"/>
        </w:rPr>
      </w:pPr>
      <w:r>
        <w:rPr>
          <w:rFonts w:hint="eastAsia" w:ascii="仿宋_GB2312" w:hAnsi="仿宋_GB2312" w:eastAsia="仿宋_GB2312" w:cs="仿宋_GB2312"/>
          <w:color w:val="auto"/>
          <w:sz w:val="28"/>
          <w:szCs w:val="28"/>
          <w:highlight w:val="none"/>
        </w:rPr>
        <w:t>工程地点：</w:t>
      </w:r>
      <w:r>
        <w:rPr>
          <w:rFonts w:hint="eastAsia" w:ascii="仿宋_GB2312" w:hAnsi="仿宋_GB2312" w:eastAsia="仿宋_GB2312" w:cs="仿宋_GB2312"/>
          <w:color w:val="auto"/>
          <w:sz w:val="28"/>
          <w:szCs w:val="28"/>
          <w:highlight w:val="none"/>
          <w:u w:val="single"/>
          <w:lang w:eastAsia="zh-CN"/>
        </w:rPr>
        <w:t>广州市</w:t>
      </w:r>
    </w:p>
    <w:p w14:paraId="11F5CBDD">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工程规模：</w:t>
      </w:r>
      <w:r>
        <w:rPr>
          <w:rFonts w:hint="eastAsia" w:ascii="仿宋_GB2312" w:hAnsi="仿宋_GB2312" w:eastAsia="仿宋_GB2312" w:cs="仿宋_GB2312"/>
          <w:color w:val="auto"/>
          <w:sz w:val="28"/>
          <w:szCs w:val="28"/>
          <w:highlight w:val="none"/>
          <w:u w:val="single"/>
        </w:rPr>
        <w:t>2025-2027年</w:t>
      </w:r>
      <w:r>
        <w:rPr>
          <w:rFonts w:hint="eastAsia" w:ascii="仿宋_GB2312" w:hAnsi="仿宋_GB2312" w:eastAsia="仿宋_GB2312" w:cs="仿宋_GB2312"/>
          <w:color w:val="auto"/>
          <w:sz w:val="28"/>
          <w:szCs w:val="28"/>
          <w:highlight w:val="none"/>
          <w:u w:val="single"/>
          <w:lang w:eastAsia="zh-CN"/>
        </w:rPr>
        <w:t>甲方管网</w:t>
      </w:r>
      <w:r>
        <w:rPr>
          <w:rFonts w:hint="eastAsia" w:ascii="仿宋_GB2312" w:hAnsi="仿宋_GB2312" w:eastAsia="仿宋_GB2312" w:cs="仿宋_GB2312"/>
          <w:color w:val="auto"/>
          <w:sz w:val="28"/>
          <w:szCs w:val="28"/>
          <w:highlight w:val="none"/>
          <w:u w:val="single"/>
        </w:rPr>
        <w:t>建设工程检测、监测服务工作，涉及周边地表沉降、管线沉降等，基坑安全等级涉及</w:t>
      </w:r>
      <w:r>
        <w:rPr>
          <w:rFonts w:hint="eastAsia" w:ascii="仿宋_GB2312" w:hAnsi="仿宋_GB2312" w:eastAsia="仿宋_GB2312" w:cs="仿宋_GB2312"/>
          <w:color w:val="auto"/>
          <w:sz w:val="28"/>
          <w:szCs w:val="28"/>
          <w:highlight w:val="none"/>
          <w:u w:val="single"/>
          <w:lang w:eastAsia="zh-CN"/>
        </w:rPr>
        <w:t>二级、</w:t>
      </w:r>
      <w:r>
        <w:rPr>
          <w:rFonts w:hint="eastAsia" w:ascii="仿宋_GB2312" w:hAnsi="仿宋_GB2312" w:eastAsia="仿宋_GB2312" w:cs="仿宋_GB2312"/>
          <w:color w:val="auto"/>
          <w:sz w:val="28"/>
          <w:szCs w:val="28"/>
          <w:highlight w:val="none"/>
          <w:u w:val="single"/>
        </w:rPr>
        <w:t>三级</w:t>
      </w:r>
      <w:r>
        <w:rPr>
          <w:rFonts w:hint="eastAsia" w:ascii="仿宋_GB2312" w:hAnsi="仿宋_GB2312" w:eastAsia="仿宋_GB2312" w:cs="仿宋_GB2312"/>
          <w:color w:val="auto"/>
          <w:sz w:val="28"/>
          <w:szCs w:val="28"/>
          <w:highlight w:val="none"/>
          <w:u w:val="single"/>
          <w:lang w:eastAsia="zh-CN"/>
        </w:rPr>
        <w:t>。</w:t>
      </w:r>
    </w:p>
    <w:p w14:paraId="413B199F">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sz w:val="28"/>
          <w:szCs w:val="22"/>
          <w:highlight w:val="none"/>
        </w:rPr>
      </w:pPr>
      <w:r>
        <w:rPr>
          <w:rFonts w:hint="eastAsia" w:ascii="仿宋_GB2312" w:hAnsi="仿宋_GB2312" w:eastAsia="仿宋_GB2312" w:cs="仿宋_GB2312"/>
          <w:color w:val="auto"/>
          <w:sz w:val="28"/>
          <w:szCs w:val="28"/>
          <w:highlight w:val="none"/>
        </w:rPr>
        <w:t>其他：</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u w:val="single"/>
        </w:rPr>
        <w:t xml:space="preserve">                  </w:t>
      </w:r>
    </w:p>
    <w:p w14:paraId="3AE1276E">
      <w:pPr>
        <w:pStyle w:val="6"/>
        <w:pageBreakBefore w:val="0"/>
        <w:numPr>
          <w:ilvl w:val="0"/>
          <w:numId w:val="0"/>
        </w:numPr>
        <w:kinsoku/>
        <w:wordWrap/>
        <w:overflowPunct/>
        <w:topLinePunct w:val="0"/>
        <w:bidi w:val="0"/>
        <w:spacing w:line="560" w:lineRule="exact"/>
        <w:jc w:val="left"/>
        <w:textAlignment w:val="auto"/>
        <w:rPr>
          <w:rFonts w:hint="eastAsia" w:ascii="黑体" w:hAnsi="黑体" w:eastAsia="黑体" w:cs="黑体"/>
          <w:b w:val="0"/>
          <w:bCs/>
          <w:color w:val="auto"/>
          <w:sz w:val="32"/>
          <w:szCs w:val="32"/>
          <w:highlight w:val="none"/>
        </w:rPr>
      </w:pPr>
      <w:bookmarkStart w:id="131" w:name="_Toc10627389"/>
      <w:r>
        <w:rPr>
          <w:rFonts w:hint="eastAsia" w:ascii="黑体" w:hAnsi="黑体" w:eastAsia="黑体" w:cs="黑体"/>
          <w:b w:val="0"/>
          <w:bCs/>
          <w:color w:val="auto"/>
          <w:sz w:val="32"/>
          <w:szCs w:val="32"/>
          <w:highlight w:val="none"/>
        </w:rPr>
        <w:t>二、服务范围及工作内容</w:t>
      </w:r>
      <w:bookmarkEnd w:id="131"/>
    </w:p>
    <w:p w14:paraId="1BA9739B">
      <w:pPr>
        <w:pageBreakBefore w:val="0"/>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2"/>
          <w:highlight w:val="none"/>
          <w:lang w:val="en-US" w:eastAsia="zh-CN"/>
        </w:rPr>
      </w:pPr>
      <w:r>
        <w:rPr>
          <w:rFonts w:hint="eastAsia" w:ascii="仿宋_GB2312" w:hAnsi="仿宋_GB2312" w:eastAsia="仿宋_GB2312" w:cs="仿宋_GB2312"/>
          <w:color w:val="auto"/>
          <w:sz w:val="28"/>
          <w:szCs w:val="22"/>
          <w:highlight w:val="none"/>
          <w:lang w:val="en-US" w:eastAsia="zh-CN"/>
        </w:rPr>
        <w:t>受甲方委托，按照国家有关规范的要求，由乙方承担</w:t>
      </w:r>
      <w:r>
        <w:rPr>
          <w:rFonts w:hint="eastAsia" w:ascii="仿宋_GB2312" w:hAnsi="仿宋_GB2312" w:eastAsia="仿宋_GB2312" w:cs="仿宋_GB2312"/>
          <w:color w:val="auto"/>
          <w:sz w:val="28"/>
          <w:szCs w:val="28"/>
          <w:highlight w:val="none"/>
        </w:rPr>
        <w:sym w:font="Wingdings 2" w:char="0052"/>
      </w:r>
      <w:r>
        <w:rPr>
          <w:rFonts w:hint="eastAsia" w:ascii="仿宋_GB2312" w:hAnsi="仿宋_GB2312" w:eastAsia="仿宋_GB2312" w:cs="仿宋_GB2312"/>
          <w:color w:val="auto"/>
          <w:sz w:val="28"/>
          <w:szCs w:val="28"/>
          <w:highlight w:val="none"/>
          <w:lang w:val="en-US" w:eastAsia="zh-CN"/>
        </w:rPr>
        <w:t>质量检测、</w:t>
      </w:r>
      <w:r>
        <w:rPr>
          <w:rFonts w:hint="eastAsia" w:ascii="仿宋_GB2312" w:hAnsi="仿宋_GB2312" w:eastAsia="仿宋_GB2312" w:cs="仿宋_GB2312"/>
          <w:color w:val="auto"/>
          <w:sz w:val="28"/>
          <w:szCs w:val="28"/>
          <w:highlight w:val="none"/>
        </w:rPr>
        <w:sym w:font="Wingdings 2" w:char="0052"/>
      </w:r>
      <w:r>
        <w:rPr>
          <w:rFonts w:hint="eastAsia" w:ascii="仿宋_GB2312" w:hAnsi="仿宋_GB2312" w:eastAsia="仿宋_GB2312" w:cs="仿宋_GB2312"/>
          <w:color w:val="auto"/>
          <w:sz w:val="28"/>
          <w:szCs w:val="28"/>
          <w:highlight w:val="none"/>
          <w:lang w:val="en-US" w:eastAsia="zh-CN"/>
        </w:rPr>
        <w:t>质量监测的工作任务。</w:t>
      </w:r>
    </w:p>
    <w:p w14:paraId="0D472F76">
      <w:pPr>
        <w:pageBreakBefore w:val="0"/>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2"/>
          <w:highlight w:val="none"/>
        </w:rPr>
      </w:pPr>
      <w:r>
        <w:rPr>
          <w:rFonts w:hint="eastAsia" w:ascii="仿宋_GB2312" w:hAnsi="仿宋_GB2312" w:eastAsia="仿宋_GB2312" w:cs="仿宋_GB2312"/>
          <w:color w:val="auto"/>
          <w:sz w:val="28"/>
          <w:szCs w:val="22"/>
          <w:highlight w:val="none"/>
        </w:rPr>
        <w:t>双方约定的服务范围</w:t>
      </w:r>
      <w:r>
        <w:rPr>
          <w:rFonts w:hint="eastAsia" w:ascii="仿宋_GB2312" w:hAnsi="仿宋_GB2312" w:eastAsia="仿宋_GB2312" w:cs="仿宋_GB2312"/>
          <w:color w:val="auto"/>
          <w:sz w:val="28"/>
          <w:szCs w:val="22"/>
          <w:highlight w:val="none"/>
          <w:lang w:val="en-US" w:eastAsia="zh-CN"/>
        </w:rPr>
        <w:t>及</w:t>
      </w:r>
      <w:r>
        <w:rPr>
          <w:rFonts w:hint="eastAsia" w:ascii="仿宋_GB2312" w:hAnsi="仿宋_GB2312" w:eastAsia="仿宋_GB2312" w:cs="仿宋_GB2312"/>
          <w:color w:val="auto"/>
          <w:sz w:val="28"/>
          <w:szCs w:val="22"/>
          <w:highlight w:val="none"/>
        </w:rPr>
        <w:t>工作内容：</w:t>
      </w:r>
    </w:p>
    <w:p w14:paraId="4E29DA7B">
      <w:pPr>
        <w:pageBreakBefore w:val="0"/>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检测监测工作包括但不限于：检测监测方案编制、方案送审（有关行政管理部门）、试验及相关需要的配套工作、编制并提交检测监测成果报告等全部工作。</w:t>
      </w:r>
    </w:p>
    <w:p w14:paraId="45668DB7">
      <w:pPr>
        <w:tabs>
          <w:tab w:val="left" w:pos="7513"/>
        </w:tabs>
        <w:spacing w:line="560" w:lineRule="exact"/>
        <w:ind w:firstLine="560" w:firstLineChars="200"/>
        <w:jc w:val="both"/>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lang w:eastAsia="zh-CN"/>
        </w:rPr>
        <w:t>（一）</w:t>
      </w:r>
      <w:r>
        <w:rPr>
          <w:rFonts w:hint="eastAsia" w:ascii="仿宋_GB2312" w:hAnsi="仿宋_GB2312" w:eastAsia="仿宋_GB2312" w:cs="仿宋_GB2312"/>
          <w:color w:val="auto"/>
          <w:sz w:val="28"/>
          <w:szCs w:val="28"/>
          <w:highlight w:val="none"/>
          <w:u w:val="single"/>
        </w:rPr>
        <w:t>主要检测、监测内容包括：基坑监测、地基基础检测、结构实体检测（含焊缝超声波探伤、X射线检测及涂层厚度检测）、路基路面检测、常规材料检测、甲供管材复验检测等水务工程主管部门、工程质监部门、</w:t>
      </w:r>
      <w:r>
        <w:rPr>
          <w:rFonts w:hint="eastAsia" w:ascii="仿宋_GB2312" w:hAnsi="仿宋_GB2312" w:eastAsia="仿宋_GB2312" w:cs="仿宋_GB2312"/>
          <w:color w:val="auto"/>
          <w:sz w:val="28"/>
          <w:szCs w:val="28"/>
          <w:highlight w:val="none"/>
          <w:u w:val="single"/>
          <w:lang w:eastAsia="zh-CN"/>
        </w:rPr>
        <w:t>甲方</w:t>
      </w:r>
      <w:r>
        <w:rPr>
          <w:rFonts w:hint="eastAsia" w:ascii="仿宋_GB2312" w:hAnsi="仿宋_GB2312" w:eastAsia="仿宋_GB2312" w:cs="仿宋_GB2312"/>
          <w:color w:val="auto"/>
          <w:sz w:val="28"/>
          <w:szCs w:val="28"/>
          <w:highlight w:val="none"/>
          <w:u w:val="single"/>
        </w:rPr>
        <w:t>要求检测的项目。</w:t>
      </w:r>
    </w:p>
    <w:p w14:paraId="05F4E8CE">
      <w:pPr>
        <w:tabs>
          <w:tab w:val="left" w:pos="7513"/>
        </w:tabs>
        <w:spacing w:line="560" w:lineRule="exact"/>
        <w:ind w:firstLine="560" w:firstLineChars="200"/>
        <w:jc w:val="both"/>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（二）检测监测方案编制：</w:t>
      </w:r>
    </w:p>
    <w:p w14:paraId="213ACC70">
      <w:pPr>
        <w:tabs>
          <w:tab w:val="left" w:pos="7513"/>
        </w:tabs>
        <w:spacing w:line="560" w:lineRule="exact"/>
        <w:ind w:firstLine="560" w:firstLineChars="200"/>
        <w:jc w:val="both"/>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1.根据项目特征及类型、相关标准及规范、施工图、施组方案、施工计划、检测监测技术要求等编制对应项目的第三方检测监测方案，报监理单位组织设计单位、施工单位审核确认后，在工作任务书发出后10日内向</w:t>
      </w:r>
      <w:r>
        <w:rPr>
          <w:rFonts w:hint="eastAsia" w:ascii="仿宋_GB2312" w:hAnsi="仿宋_GB2312" w:eastAsia="仿宋_GB2312" w:cs="仿宋_GB2312"/>
          <w:color w:val="auto"/>
          <w:sz w:val="28"/>
          <w:szCs w:val="28"/>
          <w:highlight w:val="none"/>
          <w:u w:val="single"/>
          <w:lang w:eastAsia="zh-CN"/>
        </w:rPr>
        <w:t>甲方</w:t>
      </w:r>
      <w:r>
        <w:rPr>
          <w:rFonts w:hint="eastAsia" w:ascii="仿宋_GB2312" w:hAnsi="仿宋_GB2312" w:eastAsia="仿宋_GB2312" w:cs="仿宋_GB2312"/>
          <w:color w:val="auto"/>
          <w:sz w:val="28"/>
          <w:szCs w:val="28"/>
          <w:highlight w:val="none"/>
          <w:u w:val="single"/>
        </w:rPr>
        <w:t>备案，并经监理单位下达执行指令方可实施。</w:t>
      </w:r>
    </w:p>
    <w:p w14:paraId="58880A66">
      <w:pPr>
        <w:tabs>
          <w:tab w:val="left" w:pos="7513"/>
        </w:tabs>
        <w:spacing w:line="560" w:lineRule="exact"/>
        <w:ind w:firstLine="560" w:firstLineChars="200"/>
        <w:jc w:val="both"/>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2.原则上单项工程检测监测方案预算不得高于该单项工程概算对应检测监测费用，若出现非</w:t>
      </w:r>
      <w:r>
        <w:rPr>
          <w:rFonts w:hint="eastAsia" w:ascii="仿宋_GB2312" w:hAnsi="仿宋_GB2312" w:eastAsia="仿宋_GB2312" w:cs="仿宋_GB2312"/>
          <w:color w:val="auto"/>
          <w:sz w:val="28"/>
          <w:szCs w:val="28"/>
          <w:highlight w:val="none"/>
          <w:u w:val="single"/>
          <w:lang w:eastAsia="zh-CN"/>
        </w:rPr>
        <w:t>乙方</w:t>
      </w:r>
      <w:r>
        <w:rPr>
          <w:rFonts w:hint="eastAsia" w:ascii="仿宋_GB2312" w:hAnsi="仿宋_GB2312" w:eastAsia="仿宋_GB2312" w:cs="仿宋_GB2312"/>
          <w:color w:val="auto"/>
          <w:sz w:val="28"/>
          <w:szCs w:val="28"/>
          <w:highlight w:val="none"/>
          <w:u w:val="single"/>
        </w:rPr>
        <w:t>原因导致超概算对应检测监测费用情况，</w:t>
      </w:r>
      <w:r>
        <w:rPr>
          <w:rFonts w:hint="eastAsia" w:ascii="仿宋_GB2312" w:hAnsi="仿宋_GB2312" w:eastAsia="仿宋_GB2312" w:cs="仿宋_GB2312"/>
          <w:color w:val="auto"/>
          <w:sz w:val="28"/>
          <w:szCs w:val="28"/>
          <w:highlight w:val="none"/>
          <w:u w:val="single"/>
          <w:lang w:eastAsia="zh-CN"/>
        </w:rPr>
        <w:t>乙方</w:t>
      </w:r>
      <w:r>
        <w:rPr>
          <w:rFonts w:hint="eastAsia" w:ascii="仿宋_GB2312" w:hAnsi="仿宋_GB2312" w:eastAsia="仿宋_GB2312" w:cs="仿宋_GB2312"/>
          <w:color w:val="auto"/>
          <w:sz w:val="28"/>
          <w:szCs w:val="28"/>
          <w:highlight w:val="none"/>
          <w:u w:val="single"/>
        </w:rPr>
        <w:t>必须分析查找原因，采取措施进行控制，并将方案报监理单位组织审核。</w:t>
      </w:r>
    </w:p>
    <w:p w14:paraId="0E7777F7">
      <w:pPr>
        <w:tabs>
          <w:tab w:val="left" w:pos="7513"/>
        </w:tabs>
        <w:spacing w:line="560" w:lineRule="exact"/>
        <w:ind w:firstLine="560" w:firstLineChars="200"/>
        <w:jc w:val="both"/>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3.编制的检测监测方案必须符合国家及地方现行有关技术规范或规定以及设计单位的技术要求，一经确认，不得随意更改，由</w:t>
      </w:r>
      <w:r>
        <w:rPr>
          <w:rFonts w:hint="eastAsia" w:ascii="仿宋_GB2312" w:hAnsi="仿宋_GB2312" w:eastAsia="仿宋_GB2312" w:cs="仿宋_GB2312"/>
          <w:color w:val="auto"/>
          <w:sz w:val="28"/>
          <w:szCs w:val="28"/>
          <w:highlight w:val="none"/>
          <w:u w:val="single"/>
          <w:lang w:eastAsia="zh-CN"/>
        </w:rPr>
        <w:t>甲方</w:t>
      </w:r>
      <w:r>
        <w:rPr>
          <w:rFonts w:hint="eastAsia" w:ascii="仿宋_GB2312" w:hAnsi="仿宋_GB2312" w:eastAsia="仿宋_GB2312" w:cs="仿宋_GB2312"/>
          <w:color w:val="auto"/>
          <w:sz w:val="28"/>
          <w:szCs w:val="28"/>
          <w:highlight w:val="none"/>
          <w:u w:val="single"/>
        </w:rPr>
        <w:t>留存，并根据需要向工程质量监管部门办理备案手续。如需调整方案，各方需按照原审批流程办理审核及确认手续，方可执行新方案</w:t>
      </w:r>
      <w:r>
        <w:rPr>
          <w:rFonts w:hint="eastAsia" w:ascii="仿宋_GB2312" w:hAnsi="仿宋_GB2312" w:eastAsia="仿宋_GB2312" w:cs="仿宋_GB2312"/>
          <w:color w:val="auto"/>
          <w:sz w:val="28"/>
          <w:szCs w:val="28"/>
          <w:highlight w:val="none"/>
          <w:u w:val="single"/>
          <w:lang w:eastAsia="zh-CN"/>
        </w:rPr>
        <w:t>。</w:t>
      </w:r>
    </w:p>
    <w:p w14:paraId="6003F23F">
      <w:pPr>
        <w:tabs>
          <w:tab w:val="left" w:pos="7513"/>
        </w:tabs>
        <w:spacing w:line="560" w:lineRule="exact"/>
        <w:ind w:firstLine="560" w:firstLineChars="200"/>
        <w:jc w:val="both"/>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（三）在进行检测任务的过程中与该工程相关的施工单位、监理单位、设计单位、</w:t>
      </w:r>
      <w:r>
        <w:rPr>
          <w:rFonts w:hint="eastAsia" w:ascii="仿宋_GB2312" w:hAnsi="仿宋_GB2312" w:eastAsia="仿宋_GB2312" w:cs="仿宋_GB2312"/>
          <w:color w:val="auto"/>
          <w:sz w:val="28"/>
          <w:szCs w:val="28"/>
          <w:highlight w:val="none"/>
          <w:u w:val="single"/>
          <w:lang w:eastAsia="zh-CN"/>
        </w:rPr>
        <w:t>甲方</w:t>
      </w:r>
      <w:r>
        <w:rPr>
          <w:rFonts w:hint="eastAsia" w:ascii="仿宋_GB2312" w:hAnsi="仿宋_GB2312" w:eastAsia="仿宋_GB2312" w:cs="仿宋_GB2312"/>
          <w:color w:val="auto"/>
          <w:sz w:val="28"/>
          <w:szCs w:val="28"/>
          <w:highlight w:val="none"/>
          <w:u w:val="single"/>
        </w:rPr>
        <w:t>、建设主管部门等相关单位的协调工作。</w:t>
      </w:r>
    </w:p>
    <w:p w14:paraId="51287904">
      <w:pPr>
        <w:tabs>
          <w:tab w:val="left" w:pos="7513"/>
        </w:tabs>
        <w:spacing w:line="560" w:lineRule="exact"/>
        <w:ind w:firstLine="560" w:firstLineChars="200"/>
        <w:jc w:val="both"/>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（四）检测数据的有关信息根据需要通过市水务监管系统进行传输报送。</w:t>
      </w:r>
    </w:p>
    <w:p w14:paraId="003936AF">
      <w:pPr>
        <w:tabs>
          <w:tab w:val="left" w:pos="7513"/>
        </w:tabs>
        <w:spacing w:line="560" w:lineRule="exact"/>
        <w:ind w:firstLine="560" w:firstLineChars="200"/>
        <w:jc w:val="both"/>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（五）确保施工阶段及验收阶段的各项验收及质量评定所必须的全部质量检测工作根据有关规范及规定按要求出具合法有效的检测成果报告，项目不因检测工作影响工程建设进度及验收。</w:t>
      </w:r>
    </w:p>
    <w:p w14:paraId="7CA04340">
      <w:pPr>
        <w:tabs>
          <w:tab w:val="left" w:pos="7513"/>
        </w:tabs>
        <w:spacing w:line="560" w:lineRule="exact"/>
        <w:ind w:firstLine="560" w:firstLineChars="200"/>
        <w:jc w:val="both"/>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（六）自合同签订之日起至所有服务项目完成期间，每批次于现场取样后3天内提交检测初步报告，10天内提交正式检测报告。部分检测内容须待场地问题解决后方能开始实施，服务周期必须满足实际施工要求。</w:t>
      </w:r>
    </w:p>
    <w:p w14:paraId="682D5EF1">
      <w:pPr>
        <w:tabs>
          <w:tab w:val="left" w:pos="7513"/>
        </w:tabs>
        <w:spacing w:line="560" w:lineRule="exact"/>
        <w:ind w:firstLine="560" w:firstLineChars="200"/>
        <w:jc w:val="both"/>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（七）服务范围除上述检测、监测工作外，包括但不限于：</w:t>
      </w:r>
    </w:p>
    <w:p w14:paraId="7B50DBE4">
      <w:pPr>
        <w:tabs>
          <w:tab w:val="left" w:pos="7513"/>
        </w:tabs>
        <w:spacing w:line="560" w:lineRule="exact"/>
        <w:ind w:firstLine="560" w:firstLineChars="200"/>
        <w:jc w:val="both"/>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①与工程所在行政区域的相关水务行政主管部门和监督部门进行检测工作的协调，申报检测技术成果的审批。保证技术成果能够通过相关部门认可，确保不因检测工作影响本工程项目的建设进度和竣工验收。</w:t>
      </w:r>
    </w:p>
    <w:p w14:paraId="054D10F8">
      <w:pPr>
        <w:tabs>
          <w:tab w:val="left" w:pos="7513"/>
        </w:tabs>
        <w:spacing w:line="560" w:lineRule="exact"/>
        <w:ind w:firstLine="560" w:firstLineChars="200"/>
        <w:jc w:val="both"/>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②定期召开例会协调解决、汇报工作过程中存在的问题，并于每月25日提交月报、每三个月提交一次季报、工作小结等阶段性报告。</w:t>
      </w:r>
    </w:p>
    <w:p w14:paraId="0510D505">
      <w:pPr>
        <w:tabs>
          <w:tab w:val="left" w:pos="7513"/>
        </w:tabs>
        <w:spacing w:line="560" w:lineRule="exact"/>
        <w:ind w:firstLine="560" w:firstLineChars="200"/>
        <w:jc w:val="both"/>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③建立检测监测工作记录台账及不合格检验记录台账，主要应包括检测监测的时间、对应施工点、检测监测内容、报告出具时间、对应内容单价（合同单价）及合价、累计完成合同总价占比等情况，每月与施工、监理单位对数并更新。</w:t>
      </w:r>
    </w:p>
    <w:p w14:paraId="115C2495">
      <w:pPr>
        <w:tabs>
          <w:tab w:val="left" w:pos="7513"/>
        </w:tabs>
        <w:spacing w:line="560" w:lineRule="exact"/>
        <w:ind w:firstLine="560" w:firstLineChars="200"/>
        <w:jc w:val="both"/>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④当预估产生的检测监测费用与现场施工进度偏差超10%时，应触发预警动作，提醒监理单位及</w:t>
      </w:r>
      <w:r>
        <w:rPr>
          <w:rFonts w:hint="eastAsia" w:ascii="仿宋_GB2312" w:hAnsi="仿宋_GB2312" w:eastAsia="仿宋_GB2312" w:cs="仿宋_GB2312"/>
          <w:color w:val="auto"/>
          <w:sz w:val="28"/>
          <w:szCs w:val="28"/>
          <w:highlight w:val="none"/>
          <w:u w:val="single"/>
          <w:lang w:eastAsia="zh-CN"/>
        </w:rPr>
        <w:t>甲方</w:t>
      </w:r>
      <w:r>
        <w:rPr>
          <w:rFonts w:hint="eastAsia" w:ascii="仿宋_GB2312" w:hAnsi="仿宋_GB2312" w:eastAsia="仿宋_GB2312" w:cs="仿宋_GB2312"/>
          <w:color w:val="auto"/>
          <w:sz w:val="28"/>
          <w:szCs w:val="28"/>
          <w:highlight w:val="none"/>
          <w:u w:val="single"/>
        </w:rPr>
        <w:t>。</w:t>
      </w:r>
    </w:p>
    <w:p w14:paraId="6508496A">
      <w:pPr>
        <w:tabs>
          <w:tab w:val="left" w:pos="7513"/>
        </w:tabs>
        <w:spacing w:line="560" w:lineRule="exact"/>
        <w:ind w:firstLine="560" w:firstLineChars="200"/>
        <w:jc w:val="both"/>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⑤对监测资料进行记录并存档以备查用，结合施工工况、天气情况、周围环境变化综合分析和判断，并提出相关建议。</w:t>
      </w:r>
    </w:p>
    <w:p w14:paraId="22E743BC">
      <w:pPr>
        <w:tabs>
          <w:tab w:val="left" w:pos="7513"/>
        </w:tabs>
        <w:spacing w:line="560" w:lineRule="exact"/>
        <w:ind w:firstLine="560" w:firstLineChars="200"/>
        <w:jc w:val="both"/>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⑥严格按《广州市水务局关于严格规范落实水务工程建设质量终身责任制有关规定的通知》、《广州市水务局转发关于水利工程建设质量终身责任的管理办法（试行）的通知》（穗水质安〔2018〕139号）等文件要求，落实工程质量终身责任管理工作。</w:t>
      </w:r>
    </w:p>
    <w:p w14:paraId="7841B3F0">
      <w:pPr>
        <w:pageBreakBefore w:val="0"/>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u w:val="single"/>
          <w:lang w:eastAsia="zh-CN"/>
        </w:rPr>
      </w:pPr>
      <w:r>
        <w:rPr>
          <w:rFonts w:hint="eastAsia" w:ascii="仿宋_GB2312" w:hAnsi="仿宋_GB2312" w:eastAsia="仿宋_GB2312" w:cs="仿宋_GB2312"/>
          <w:color w:val="auto"/>
          <w:sz w:val="28"/>
          <w:szCs w:val="28"/>
          <w:highlight w:val="none"/>
          <w:u w:val="single"/>
          <w:lang w:eastAsia="zh-CN"/>
        </w:rPr>
        <w:t>（八）本次检测、监测招标内容如涉及在消防、公路、铁路、桥梁等其它行政管理部门管辖范围内的专项检测、监测服务，但承包人不具备专项专业检测、监测资质，经甲方审批同意后，乙方可将该部分检测、监测工作分包给具备相应消防、公路、铁路、桥梁等其它专业工程检测、监测资质的单位实施，并在分包合同签订之日起7天内向甲方和监理单位各提交一份分包合同。</w:t>
      </w:r>
    </w:p>
    <w:p w14:paraId="5397A3BF">
      <w:pPr>
        <w:pageBreakBefore w:val="0"/>
        <w:kinsoku/>
        <w:wordWrap/>
        <w:overflowPunct/>
        <w:topLinePunct w:val="0"/>
        <w:bidi w:val="0"/>
        <w:adjustRightInd w:val="0"/>
        <w:snapToGrid w:val="0"/>
        <w:spacing w:line="560" w:lineRule="exact"/>
        <w:ind w:firstLine="554" w:firstLineChars="198"/>
        <w:jc w:val="left"/>
        <w:textAlignment w:val="auto"/>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2"/>
          <w:highlight w:val="none"/>
          <w:lang w:val="en-US" w:eastAsia="zh-CN"/>
        </w:rPr>
        <w:t>检测、监测</w:t>
      </w:r>
      <w:r>
        <w:rPr>
          <w:rFonts w:hint="eastAsia" w:ascii="仿宋_GB2312" w:hAnsi="仿宋_GB2312" w:eastAsia="仿宋_GB2312" w:cs="仿宋_GB2312"/>
          <w:color w:val="auto"/>
          <w:sz w:val="28"/>
          <w:szCs w:val="22"/>
          <w:highlight w:val="none"/>
        </w:rPr>
        <w:t>标准：</w:t>
      </w:r>
      <w:r>
        <w:rPr>
          <w:rFonts w:hint="eastAsia" w:ascii="仿宋_GB2312" w:hAnsi="仿宋_GB2312" w:eastAsia="仿宋_GB2312" w:cs="仿宋_GB2312"/>
          <w:color w:val="auto"/>
          <w:sz w:val="28"/>
          <w:szCs w:val="28"/>
          <w:highlight w:val="none"/>
          <w:u w:val="single"/>
        </w:rPr>
        <w:t>国家及地方现行有关技术规范或规定以及设计单位的技术要求。</w:t>
      </w:r>
    </w:p>
    <w:p w14:paraId="49408E3A">
      <w:pPr>
        <w:pageBreakBefore w:val="0"/>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2"/>
          <w:highlight w:val="none"/>
          <w:u w:val="single"/>
        </w:rPr>
      </w:pPr>
      <w:r>
        <w:rPr>
          <w:rFonts w:hint="eastAsia" w:ascii="仿宋_GB2312" w:hAnsi="仿宋_GB2312" w:eastAsia="仿宋_GB2312" w:cs="仿宋_GB2312"/>
          <w:color w:val="auto"/>
          <w:sz w:val="28"/>
          <w:szCs w:val="22"/>
          <w:highlight w:val="none"/>
        </w:rPr>
        <w:t>服务要求：</w:t>
      </w:r>
      <w:r>
        <w:rPr>
          <w:rFonts w:hint="eastAsia" w:ascii="仿宋_GB2312" w:hAnsi="仿宋_GB2312" w:eastAsia="仿宋_GB2312" w:cs="仿宋_GB2312"/>
          <w:color w:val="auto"/>
          <w:sz w:val="28"/>
          <w:szCs w:val="22"/>
          <w:highlight w:val="none"/>
          <w:u w:val="single"/>
        </w:rPr>
        <w:t>确保施工阶段及验收阶段的各项验收及质量评定所必须的全部质量检测</w:t>
      </w:r>
      <w:r>
        <w:rPr>
          <w:rFonts w:hint="eastAsia" w:ascii="仿宋_GB2312" w:hAnsi="仿宋_GB2312" w:eastAsia="仿宋_GB2312" w:cs="仿宋_GB2312"/>
          <w:color w:val="auto"/>
          <w:sz w:val="28"/>
          <w:szCs w:val="22"/>
          <w:highlight w:val="none"/>
          <w:u w:val="single"/>
          <w:lang w:eastAsia="zh-CN"/>
        </w:rPr>
        <w:t>、</w:t>
      </w:r>
      <w:r>
        <w:rPr>
          <w:rFonts w:hint="eastAsia" w:ascii="仿宋_GB2312" w:hAnsi="仿宋_GB2312" w:eastAsia="仿宋_GB2312" w:cs="仿宋_GB2312"/>
          <w:color w:val="auto"/>
          <w:sz w:val="28"/>
          <w:szCs w:val="22"/>
          <w:highlight w:val="none"/>
          <w:u w:val="single"/>
        </w:rPr>
        <w:t>监测工作根据有关规范及规定按要求出具合法有效的检测</w:t>
      </w:r>
      <w:r>
        <w:rPr>
          <w:rFonts w:hint="eastAsia" w:ascii="仿宋_GB2312" w:hAnsi="仿宋_GB2312" w:eastAsia="仿宋_GB2312" w:cs="仿宋_GB2312"/>
          <w:color w:val="auto"/>
          <w:sz w:val="28"/>
          <w:szCs w:val="22"/>
          <w:highlight w:val="none"/>
          <w:u w:val="single"/>
          <w:lang w:eastAsia="zh-CN"/>
        </w:rPr>
        <w:t>、</w:t>
      </w:r>
      <w:r>
        <w:rPr>
          <w:rFonts w:hint="eastAsia" w:ascii="仿宋_GB2312" w:hAnsi="仿宋_GB2312" w:eastAsia="仿宋_GB2312" w:cs="仿宋_GB2312"/>
          <w:color w:val="auto"/>
          <w:sz w:val="28"/>
          <w:szCs w:val="22"/>
          <w:highlight w:val="none"/>
          <w:u w:val="single"/>
        </w:rPr>
        <w:t>监测成果报告，项目不因检测</w:t>
      </w:r>
      <w:r>
        <w:rPr>
          <w:rFonts w:hint="eastAsia" w:ascii="仿宋_GB2312" w:hAnsi="仿宋_GB2312" w:eastAsia="仿宋_GB2312" w:cs="仿宋_GB2312"/>
          <w:color w:val="auto"/>
          <w:sz w:val="28"/>
          <w:szCs w:val="22"/>
          <w:highlight w:val="none"/>
          <w:u w:val="single"/>
          <w:lang w:eastAsia="zh-CN"/>
        </w:rPr>
        <w:t>、</w:t>
      </w:r>
      <w:r>
        <w:rPr>
          <w:rFonts w:hint="eastAsia" w:ascii="仿宋_GB2312" w:hAnsi="仿宋_GB2312" w:eastAsia="仿宋_GB2312" w:cs="仿宋_GB2312"/>
          <w:color w:val="auto"/>
          <w:sz w:val="28"/>
          <w:szCs w:val="22"/>
          <w:highlight w:val="none"/>
          <w:u w:val="single"/>
        </w:rPr>
        <w:t>监测工作影响工程建设进度及验收。</w:t>
      </w:r>
    </w:p>
    <w:p w14:paraId="3C2AFD3E">
      <w:pPr>
        <w:pStyle w:val="6"/>
        <w:pageBreakBefore w:val="0"/>
        <w:numPr>
          <w:ilvl w:val="0"/>
          <w:numId w:val="0"/>
        </w:numPr>
        <w:kinsoku/>
        <w:wordWrap/>
        <w:overflowPunct/>
        <w:topLinePunct w:val="0"/>
        <w:bidi w:val="0"/>
        <w:spacing w:line="560" w:lineRule="exact"/>
        <w:jc w:val="left"/>
        <w:textAlignment w:val="auto"/>
        <w:rPr>
          <w:rFonts w:hint="eastAsia" w:ascii="黑体" w:hAnsi="黑体" w:eastAsia="黑体" w:cs="黑体"/>
          <w:b w:val="0"/>
          <w:bCs/>
          <w:color w:val="auto"/>
          <w:sz w:val="32"/>
          <w:szCs w:val="32"/>
          <w:highlight w:val="none"/>
        </w:rPr>
      </w:pPr>
      <w:bookmarkStart w:id="132" w:name="_Toc10627390"/>
      <w:r>
        <w:rPr>
          <w:rFonts w:hint="eastAsia" w:ascii="黑体" w:hAnsi="黑体" w:eastAsia="黑体" w:cs="黑体"/>
          <w:b w:val="0"/>
          <w:bCs/>
          <w:color w:val="auto"/>
          <w:sz w:val="32"/>
          <w:szCs w:val="32"/>
          <w:highlight w:val="none"/>
        </w:rPr>
        <w:t>三、服务期限</w:t>
      </w:r>
      <w:bookmarkEnd w:id="132"/>
    </w:p>
    <w:p w14:paraId="42636E61">
      <w:pPr>
        <w:pageBreakBefore w:val="0"/>
        <w:kinsoku/>
        <w:wordWrap/>
        <w:overflowPunct/>
        <w:topLinePunct w:val="0"/>
        <w:bidi w:val="0"/>
        <w:adjustRightInd w:val="0"/>
        <w:snapToGrid w:val="0"/>
        <w:spacing w:before="156" w:beforeLines="50"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自合同签订之日起满两年或实际委托的金额达到暂定合同总额（二者以先到为准），</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终止向</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委托工程项目。</w:t>
      </w:r>
    </w:p>
    <w:p w14:paraId="424BBBA3">
      <w:pPr>
        <w:pageBreakBefore w:val="0"/>
        <w:kinsoku/>
        <w:wordWrap/>
        <w:overflowPunct/>
        <w:topLinePunct w:val="0"/>
        <w:bidi w:val="0"/>
        <w:adjustRightInd w:val="0"/>
        <w:snapToGrid w:val="0"/>
        <w:spacing w:before="156" w:beforeLines="50"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单项工程的质量检测、监测服务期自委托后各工程竣工并验收合格两年，并且质量检测档案经档案馆验收合格，二者须同时满足并以后到者为准。</w:t>
      </w:r>
    </w:p>
    <w:p w14:paraId="7B7506F0">
      <w:pPr>
        <w:pStyle w:val="6"/>
        <w:pageBreakBefore w:val="0"/>
        <w:numPr>
          <w:ilvl w:val="0"/>
          <w:numId w:val="0"/>
        </w:numPr>
        <w:kinsoku/>
        <w:wordWrap/>
        <w:overflowPunct/>
        <w:topLinePunct w:val="0"/>
        <w:bidi w:val="0"/>
        <w:spacing w:line="560" w:lineRule="exact"/>
        <w:jc w:val="left"/>
        <w:textAlignment w:val="auto"/>
        <w:rPr>
          <w:rFonts w:hint="eastAsia" w:ascii="黑体" w:hAnsi="黑体" w:eastAsia="黑体" w:cs="黑体"/>
          <w:b w:val="0"/>
          <w:bCs/>
          <w:color w:val="auto"/>
          <w:sz w:val="32"/>
          <w:szCs w:val="32"/>
          <w:highlight w:val="none"/>
        </w:rPr>
      </w:pPr>
      <w:bookmarkStart w:id="133" w:name="_Toc10627391"/>
      <w:r>
        <w:rPr>
          <w:rFonts w:hint="eastAsia" w:ascii="黑体" w:hAnsi="黑体" w:eastAsia="黑体" w:cs="黑体"/>
          <w:b w:val="0"/>
          <w:bCs/>
          <w:color w:val="auto"/>
          <w:sz w:val="32"/>
          <w:szCs w:val="32"/>
          <w:highlight w:val="none"/>
        </w:rPr>
        <w:t>四、</w:t>
      </w:r>
      <w:bookmarkEnd w:id="133"/>
      <w:r>
        <w:rPr>
          <w:rFonts w:hint="eastAsia" w:ascii="黑体" w:hAnsi="黑体" w:eastAsia="黑体" w:cs="黑体"/>
          <w:b w:val="0"/>
          <w:bCs/>
          <w:color w:val="auto"/>
          <w:sz w:val="32"/>
          <w:szCs w:val="32"/>
          <w:highlight w:val="none"/>
          <w:lang w:val="en-US" w:eastAsia="zh-CN"/>
        </w:rPr>
        <w:t>合同金额</w:t>
      </w:r>
    </w:p>
    <w:p w14:paraId="56214F9C">
      <w:pPr>
        <w:pageBreakBefore w:val="0"/>
        <w:kinsoku/>
        <w:wordWrap/>
        <w:overflowPunct/>
        <w:topLinePunct w:val="0"/>
        <w:bidi w:val="0"/>
        <w:adjustRightInd w:val="0"/>
        <w:snapToGrid w:val="0"/>
        <w:spacing w:before="156" w:beforeLines="50" w:line="560" w:lineRule="exact"/>
        <w:ind w:firstLine="554" w:firstLineChars="198"/>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本合同暂定金额为</w:t>
      </w:r>
      <w:r>
        <w:rPr>
          <w:rFonts w:hint="eastAsia" w:ascii="仿宋_GB2312" w:hAnsi="仿宋_GB2312" w:eastAsia="仿宋_GB2312" w:cs="仿宋_GB2312"/>
          <w:color w:val="auto"/>
          <w:sz w:val="28"/>
          <w:szCs w:val="28"/>
          <w:highlight w:val="none"/>
        </w:rPr>
        <w:t>￥</w:t>
      </w:r>
      <w:r>
        <w:rPr>
          <w:rFonts w:hint="default" w:ascii="Times New Roman" w:hAnsi="Times New Roman" w:eastAsia="仿宋_GB2312" w:cs="Times New Roman"/>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元（人民币大写：</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lang w:val="en-US" w:eastAsia="zh-CN"/>
        </w:rPr>
        <w:t>投标下浮率为</w:t>
      </w:r>
      <w:r>
        <w:rPr>
          <w:rFonts w:hint="eastAsia" w:ascii="Times New Roman" w:hAnsi="Times New Roman" w:eastAsia="仿宋_GB2312" w:cs="Times New Roman"/>
          <w:color w:val="auto"/>
          <w:sz w:val="28"/>
          <w:szCs w:val="28"/>
          <w:highlight w:val="none"/>
          <w:u w:val="single"/>
          <w:lang w:val="en-US" w:eastAsia="zh-CN"/>
        </w:rPr>
        <w:t xml:space="preserve"> </w:t>
      </w:r>
      <w:r>
        <w:rPr>
          <w:rFonts w:hint="eastAsia" w:eastAsia="仿宋_GB2312" w:cs="Times New Roman"/>
          <w:color w:val="auto"/>
          <w:sz w:val="28"/>
          <w:szCs w:val="28"/>
          <w:highlight w:val="none"/>
          <w:u w:val="single"/>
          <w:lang w:val="en-US" w:eastAsia="zh-CN"/>
        </w:rPr>
        <w:t xml:space="preserve">  </w:t>
      </w:r>
      <w:r>
        <w:rPr>
          <w:rFonts w:hint="eastAsia" w:ascii="Times New Roman" w:hAnsi="Times New Roman" w:eastAsia="仿宋_GB2312" w:cs="Times New Roman"/>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计算方式</w:t>
      </w:r>
      <w:r>
        <w:rPr>
          <w:rFonts w:hint="eastAsia" w:ascii="仿宋_GB2312" w:hAnsi="仿宋_GB2312" w:eastAsia="仿宋_GB2312" w:cs="仿宋_GB2312"/>
          <w:color w:val="auto"/>
          <w:sz w:val="28"/>
          <w:szCs w:val="28"/>
          <w:highlight w:val="none"/>
          <w:lang w:val="en-US" w:eastAsia="zh-CN"/>
        </w:rPr>
        <w:t>为</w:t>
      </w:r>
      <w:r>
        <w:rPr>
          <w:rFonts w:hint="eastAsia" w:ascii="仿宋_GB2312" w:hAnsi="仿宋_GB2312" w:eastAsia="仿宋_GB2312" w:cs="仿宋_GB2312"/>
          <w:color w:val="auto"/>
          <w:sz w:val="28"/>
          <w:szCs w:val="28"/>
          <w:highlight w:val="none"/>
        </w:rPr>
        <w:sym w:font="Wingdings 2" w:char="0052"/>
      </w:r>
      <w:r>
        <w:rPr>
          <w:rFonts w:hint="eastAsia" w:ascii="仿宋_GB2312" w:hAnsi="仿宋_GB2312" w:eastAsia="仿宋_GB2312" w:cs="仿宋_GB2312"/>
          <w:color w:val="auto"/>
          <w:sz w:val="28"/>
          <w:szCs w:val="28"/>
          <w:highlight w:val="none"/>
        </w:rPr>
        <w:t>单价包干</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 ☒总价包干</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☒其它：</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          </w:t>
      </w:r>
    </w:p>
    <w:p w14:paraId="1B5EAAA0">
      <w:pPr>
        <w:pageBreakBefore w:val="0"/>
        <w:kinsoku/>
        <w:wordWrap/>
        <w:overflowPunct/>
        <w:topLinePunct w:val="0"/>
        <w:bidi w:val="0"/>
        <w:adjustRightInd w:val="0"/>
        <w:snapToGrid w:val="0"/>
        <w:spacing w:before="156" w:beforeLines="50" w:line="560" w:lineRule="exact"/>
        <w:ind w:firstLine="554" w:firstLineChars="198"/>
        <w:jc w:val="left"/>
        <w:textAlignment w:val="auto"/>
        <w:rPr>
          <w:rFonts w:hint="default"/>
          <w:color w:val="auto"/>
          <w:highlight w:val="none"/>
          <w:lang w:val="en-US" w:eastAsia="zh-CN"/>
        </w:rPr>
      </w:pPr>
      <w:bookmarkStart w:id="134" w:name="_Toc10627392"/>
      <w:r>
        <w:rPr>
          <w:rFonts w:hint="eastAsia" w:ascii="仿宋_GB2312" w:hAnsi="仿宋_GB2312" w:eastAsia="仿宋_GB2312" w:cs="仿宋_GB2312"/>
          <w:color w:val="auto"/>
          <w:sz w:val="28"/>
          <w:szCs w:val="28"/>
          <w:highlight w:val="none"/>
        </w:rPr>
        <w:t>具体</w:t>
      </w:r>
      <w:r>
        <w:rPr>
          <w:rFonts w:hint="eastAsia" w:ascii="仿宋_GB2312" w:hAnsi="仿宋_GB2312" w:eastAsia="仿宋_GB2312" w:cs="仿宋_GB2312"/>
          <w:color w:val="auto"/>
          <w:sz w:val="28"/>
          <w:szCs w:val="28"/>
          <w:highlight w:val="none"/>
          <w:lang w:val="en-US" w:eastAsia="zh-CN"/>
        </w:rPr>
        <w:t>检测、监测服务费用单价</w:t>
      </w:r>
      <w:r>
        <w:rPr>
          <w:rFonts w:hint="eastAsia" w:ascii="仿宋_GB2312" w:hAnsi="仿宋_GB2312" w:eastAsia="仿宋_GB2312" w:cs="仿宋_GB2312"/>
          <w:color w:val="auto"/>
          <w:sz w:val="28"/>
          <w:szCs w:val="28"/>
          <w:highlight w:val="none"/>
        </w:rPr>
        <w:t>清单详见</w:t>
      </w:r>
      <w:r>
        <w:rPr>
          <w:rFonts w:hint="eastAsia" w:ascii="仿宋_GB2312" w:hAnsi="仿宋_GB2312" w:eastAsia="仿宋_GB2312" w:cs="仿宋_GB2312"/>
          <w:color w:val="auto"/>
          <w:sz w:val="28"/>
          <w:szCs w:val="28"/>
          <w:highlight w:val="none"/>
          <w:lang w:val="en-US" w:eastAsia="zh-CN"/>
        </w:rPr>
        <w:t>附件1。</w:t>
      </w:r>
    </w:p>
    <w:p w14:paraId="5921CC3D">
      <w:pPr>
        <w:pStyle w:val="6"/>
        <w:pageBreakBefore w:val="0"/>
        <w:numPr>
          <w:ilvl w:val="0"/>
          <w:numId w:val="0"/>
        </w:numPr>
        <w:kinsoku/>
        <w:wordWrap/>
        <w:overflowPunct/>
        <w:topLinePunct w:val="0"/>
        <w:bidi w:val="0"/>
        <w:spacing w:line="560" w:lineRule="exact"/>
        <w:jc w:val="left"/>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五、合同文件的构成</w:t>
      </w:r>
      <w:bookmarkEnd w:id="134"/>
    </w:p>
    <w:p w14:paraId="6F83D7F3">
      <w:pPr>
        <w:pageBreakBefore w:val="0"/>
        <w:kinsoku/>
        <w:wordWrap/>
        <w:overflowPunct/>
        <w:topLinePunct w:val="0"/>
        <w:bidi w:val="0"/>
        <w:adjustRightInd w:val="0"/>
        <w:snapToGrid w:val="0"/>
        <w:spacing w:before="156" w:beforeLines="50" w:line="560" w:lineRule="exact"/>
        <w:ind w:firstLine="554" w:firstLineChars="198"/>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合同文件的构成及其优先解释顺序与本合同第二部分《通用条款》第1.3款赋予的规定一致。</w:t>
      </w:r>
    </w:p>
    <w:p w14:paraId="425B26C1">
      <w:pPr>
        <w:pStyle w:val="6"/>
        <w:pageBreakBefore w:val="0"/>
        <w:numPr>
          <w:ilvl w:val="0"/>
          <w:numId w:val="0"/>
        </w:numPr>
        <w:kinsoku/>
        <w:wordWrap/>
        <w:overflowPunct/>
        <w:topLinePunct w:val="0"/>
        <w:bidi w:val="0"/>
        <w:spacing w:line="560" w:lineRule="exact"/>
        <w:jc w:val="left"/>
        <w:textAlignment w:val="auto"/>
        <w:rPr>
          <w:rFonts w:hint="eastAsia" w:ascii="黑体" w:hAnsi="黑体" w:eastAsia="黑体" w:cs="黑体"/>
          <w:b w:val="0"/>
          <w:bCs/>
          <w:color w:val="auto"/>
          <w:sz w:val="32"/>
          <w:szCs w:val="32"/>
          <w:highlight w:val="none"/>
          <w:lang w:val="en-US" w:eastAsia="zh-CN"/>
        </w:rPr>
      </w:pPr>
      <w:bookmarkStart w:id="135" w:name="_Toc10627393"/>
      <w:r>
        <w:rPr>
          <w:rFonts w:hint="eastAsia" w:ascii="黑体" w:hAnsi="黑体" w:eastAsia="黑体" w:cs="黑体"/>
          <w:b w:val="0"/>
          <w:bCs/>
          <w:color w:val="auto"/>
          <w:sz w:val="32"/>
          <w:szCs w:val="32"/>
          <w:highlight w:val="none"/>
          <w:lang w:val="en-US" w:eastAsia="zh-CN"/>
        </w:rPr>
        <w:t>六、词语定义</w:t>
      </w:r>
      <w:bookmarkEnd w:id="135"/>
    </w:p>
    <w:p w14:paraId="7AA88F1E">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本协议书中相关词语的含义与本合同第二部分《通用条款》第1条赋予它们的定义相同。</w:t>
      </w:r>
    </w:p>
    <w:p w14:paraId="4D1BEACF">
      <w:pPr>
        <w:pStyle w:val="6"/>
        <w:pageBreakBefore w:val="0"/>
        <w:numPr>
          <w:ilvl w:val="0"/>
          <w:numId w:val="0"/>
        </w:numPr>
        <w:kinsoku/>
        <w:wordWrap/>
        <w:overflowPunct/>
        <w:topLinePunct w:val="0"/>
        <w:bidi w:val="0"/>
        <w:spacing w:line="560" w:lineRule="exact"/>
        <w:jc w:val="left"/>
        <w:textAlignment w:val="auto"/>
        <w:rPr>
          <w:rFonts w:hint="eastAsia" w:ascii="黑体" w:hAnsi="黑体" w:eastAsia="黑体" w:cs="黑体"/>
          <w:b w:val="0"/>
          <w:bCs/>
          <w:color w:val="auto"/>
          <w:sz w:val="32"/>
          <w:szCs w:val="32"/>
          <w:highlight w:val="none"/>
          <w:lang w:val="en-US" w:eastAsia="zh-CN"/>
        </w:rPr>
      </w:pPr>
      <w:bookmarkStart w:id="136" w:name="_Toc10627394"/>
      <w:r>
        <w:rPr>
          <w:rFonts w:hint="eastAsia" w:ascii="黑体" w:hAnsi="黑体" w:eastAsia="黑体" w:cs="黑体"/>
          <w:b w:val="0"/>
          <w:bCs/>
          <w:color w:val="auto"/>
          <w:sz w:val="32"/>
          <w:szCs w:val="32"/>
          <w:highlight w:val="none"/>
          <w:lang w:val="en-US" w:eastAsia="zh-CN"/>
        </w:rPr>
        <w:t>七、合同生效</w:t>
      </w:r>
      <w:bookmarkEnd w:id="136"/>
    </w:p>
    <w:p w14:paraId="7282C1C0">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本合同订立地点：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广州市</w:t>
      </w:r>
      <w:r>
        <w:rPr>
          <w:rFonts w:hint="eastAsia" w:ascii="仿宋_GB2312" w:hAnsi="仿宋_GB2312" w:eastAsia="仿宋_GB2312" w:cs="仿宋_GB2312"/>
          <w:color w:val="auto"/>
          <w:sz w:val="28"/>
          <w:szCs w:val="28"/>
          <w:highlight w:val="none"/>
          <w:u w:val="single"/>
        </w:rPr>
        <w:t xml:space="preserve">    </w:t>
      </w:r>
    </w:p>
    <w:p w14:paraId="5EF3E878">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2"/>
          <w:highlight w:val="none"/>
        </w:rPr>
      </w:pPr>
      <w:r>
        <w:rPr>
          <w:rFonts w:hint="eastAsia" w:ascii="仿宋_GB2312" w:hAnsi="仿宋_GB2312" w:eastAsia="仿宋_GB2312" w:cs="仿宋_GB2312"/>
          <w:color w:val="auto"/>
          <w:sz w:val="28"/>
          <w:szCs w:val="22"/>
          <w:highlight w:val="none"/>
        </w:rPr>
        <w:t>合同双方当事人约定本合同自双方</w:t>
      </w:r>
      <w:r>
        <w:rPr>
          <w:rFonts w:hint="eastAsia" w:ascii="仿宋_GB2312" w:hAnsi="仿宋_GB2312" w:eastAsia="仿宋_GB2312" w:cs="仿宋_GB2312"/>
          <w:color w:val="auto"/>
          <w:sz w:val="28"/>
          <w:szCs w:val="22"/>
          <w:highlight w:val="none"/>
          <w:lang w:val="en-US" w:eastAsia="zh-CN"/>
        </w:rPr>
        <w:t>法定代表人或委托代理人</w:t>
      </w:r>
      <w:r>
        <w:rPr>
          <w:rFonts w:hint="eastAsia" w:ascii="仿宋_GB2312" w:hAnsi="仿宋_GB2312" w:eastAsia="仿宋_GB2312" w:cs="仿宋_GB2312"/>
          <w:color w:val="auto"/>
          <w:sz w:val="28"/>
          <w:szCs w:val="22"/>
          <w:highlight w:val="none"/>
        </w:rPr>
        <w:t>签字、盖章后生效。</w:t>
      </w:r>
    </w:p>
    <w:p w14:paraId="446D89C3">
      <w:pPr>
        <w:pStyle w:val="6"/>
        <w:pageBreakBefore w:val="0"/>
        <w:numPr>
          <w:ilvl w:val="0"/>
          <w:numId w:val="0"/>
        </w:numPr>
        <w:kinsoku/>
        <w:wordWrap/>
        <w:overflowPunct/>
        <w:topLinePunct w:val="0"/>
        <w:bidi w:val="0"/>
        <w:spacing w:line="560" w:lineRule="exact"/>
        <w:jc w:val="left"/>
        <w:textAlignment w:val="auto"/>
        <w:rPr>
          <w:rFonts w:hint="eastAsia" w:ascii="黑体" w:hAnsi="黑体" w:eastAsia="黑体" w:cs="黑体"/>
          <w:b w:val="0"/>
          <w:bCs/>
          <w:color w:val="auto"/>
          <w:sz w:val="32"/>
          <w:szCs w:val="32"/>
          <w:highlight w:val="none"/>
          <w:lang w:val="en-US" w:eastAsia="zh-CN"/>
        </w:rPr>
      </w:pPr>
      <w:bookmarkStart w:id="137" w:name="_Toc10627395"/>
      <w:r>
        <w:rPr>
          <w:rFonts w:hint="eastAsia" w:ascii="黑体" w:hAnsi="黑体" w:eastAsia="黑体" w:cs="黑体"/>
          <w:b w:val="0"/>
          <w:bCs/>
          <w:color w:val="auto"/>
          <w:sz w:val="32"/>
          <w:szCs w:val="32"/>
          <w:highlight w:val="none"/>
          <w:lang w:val="en-US" w:eastAsia="zh-CN"/>
        </w:rPr>
        <w:t>八、合同份数</w:t>
      </w:r>
      <w:bookmarkEnd w:id="137"/>
    </w:p>
    <w:p w14:paraId="2C5B4909">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本合同一式</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份，具有同等法律效力，其中甲方执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份，乙方执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w:t>
      </w:r>
    </w:p>
    <w:tbl>
      <w:tblPr>
        <w:tblStyle w:val="25"/>
        <w:tblpPr w:leftFromText="180" w:rightFromText="180" w:vertAnchor="text" w:horzAnchor="page" w:tblpX="2035" w:tblpY="33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79D90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4261" w:type="dxa"/>
          </w:tcPr>
          <w:p w14:paraId="6AD956BF">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sz w:val="28"/>
                <w:szCs w:val="28"/>
                <w:highlight w:val="none"/>
              </w:rPr>
            </w:pPr>
            <w:bookmarkStart w:id="138" w:name="_Toc10627396"/>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：（盖章）</w:t>
            </w:r>
          </w:p>
          <w:p w14:paraId="15876FDD">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sz w:val="28"/>
                <w:szCs w:val="28"/>
                <w:highlight w:val="none"/>
                <w:vertAlign w:val="baseline"/>
                <w:lang w:eastAsia="zh-CN"/>
              </w:rPr>
            </w:pPr>
            <w:r>
              <w:rPr>
                <w:rFonts w:hint="eastAsia" w:ascii="仿宋_GB2312" w:hAnsi="仿宋_GB2312" w:eastAsia="仿宋_GB2312" w:cs="仿宋_GB2312"/>
                <w:color w:val="auto"/>
                <w:sz w:val="28"/>
                <w:szCs w:val="28"/>
                <w:highlight w:val="none"/>
                <w:lang w:eastAsia="zh-CN"/>
              </w:rPr>
              <w:t>广州市自来水有限公司</w:t>
            </w:r>
          </w:p>
        </w:tc>
        <w:tc>
          <w:tcPr>
            <w:tcW w:w="4261" w:type="dxa"/>
          </w:tcPr>
          <w:p w14:paraId="08534227">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：（盖章）</w:t>
            </w:r>
          </w:p>
        </w:tc>
      </w:tr>
      <w:tr w14:paraId="091B3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4261" w:type="dxa"/>
          </w:tcPr>
          <w:p w14:paraId="2E4C71EE">
            <w:pPr>
              <w:pageBreakBefore w:val="0"/>
              <w:kinsoku/>
              <w:wordWrap/>
              <w:overflowPunct/>
              <w:topLinePunct w:val="0"/>
              <w:bidi w:val="0"/>
              <w:adjustRightInd w:val="0"/>
              <w:snapToGrid w:val="0"/>
              <w:spacing w:line="560" w:lineRule="exact"/>
              <w:jc w:val="left"/>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lang w:eastAsia="zh-CN"/>
              </w:rPr>
              <w:t>广州市中山一路</w:t>
            </w:r>
            <w:r>
              <w:rPr>
                <w:rFonts w:hint="eastAsia" w:ascii="仿宋_GB2312" w:hAnsi="仿宋_GB2312" w:eastAsia="仿宋_GB2312" w:cs="仿宋_GB2312"/>
                <w:color w:val="auto"/>
                <w:sz w:val="28"/>
                <w:szCs w:val="28"/>
                <w:highlight w:val="none"/>
                <w:lang w:val="en-US" w:eastAsia="zh-CN"/>
              </w:rPr>
              <w:t>12号</w:t>
            </w:r>
          </w:p>
        </w:tc>
        <w:tc>
          <w:tcPr>
            <w:tcW w:w="4261" w:type="dxa"/>
            <w:vAlign w:val="top"/>
          </w:tcPr>
          <w:p w14:paraId="7C4763C7">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sz w:val="28"/>
                <w:szCs w:val="28"/>
                <w:highlight w:val="none"/>
              </w:rPr>
              <w:t>地址：</w:t>
            </w:r>
          </w:p>
        </w:tc>
      </w:tr>
      <w:tr w14:paraId="71FD1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4261" w:type="dxa"/>
          </w:tcPr>
          <w:p w14:paraId="0E4F4245">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或</w:t>
            </w:r>
            <w:r>
              <w:rPr>
                <w:rFonts w:hint="eastAsia" w:ascii="仿宋_GB2312" w:hAnsi="仿宋_GB2312" w:eastAsia="仿宋_GB2312" w:cs="仿宋_GB2312"/>
                <w:color w:val="auto"/>
                <w:sz w:val="28"/>
                <w:szCs w:val="28"/>
                <w:highlight w:val="none"/>
              </w:rPr>
              <w:t>委托代理人：</w:t>
            </w:r>
          </w:p>
        </w:tc>
        <w:tc>
          <w:tcPr>
            <w:tcW w:w="4261" w:type="dxa"/>
            <w:vAlign w:val="top"/>
          </w:tcPr>
          <w:p w14:paraId="51A5F66B">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或</w:t>
            </w:r>
            <w:r>
              <w:rPr>
                <w:rFonts w:hint="eastAsia" w:ascii="仿宋_GB2312" w:hAnsi="仿宋_GB2312" w:eastAsia="仿宋_GB2312" w:cs="仿宋_GB2312"/>
                <w:color w:val="auto"/>
                <w:sz w:val="28"/>
                <w:szCs w:val="28"/>
                <w:highlight w:val="none"/>
              </w:rPr>
              <w:t>委托代理人：</w:t>
            </w:r>
          </w:p>
        </w:tc>
      </w:tr>
      <w:tr w14:paraId="06FD9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4261" w:type="dxa"/>
          </w:tcPr>
          <w:p w14:paraId="3DD4345C">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lang w:val="en-US" w:eastAsia="zh-CN"/>
              </w:rPr>
              <w:t>联系方式</w:t>
            </w:r>
            <w:r>
              <w:rPr>
                <w:rFonts w:hint="eastAsia" w:ascii="仿宋_GB2312" w:hAnsi="仿宋_GB2312" w:eastAsia="仿宋_GB2312" w:cs="仿宋_GB2312"/>
                <w:color w:val="auto"/>
                <w:sz w:val="28"/>
                <w:szCs w:val="28"/>
                <w:highlight w:val="none"/>
              </w:rPr>
              <w:t xml:space="preserve">： </w:t>
            </w:r>
          </w:p>
        </w:tc>
        <w:tc>
          <w:tcPr>
            <w:tcW w:w="4261" w:type="dxa"/>
            <w:vAlign w:val="top"/>
          </w:tcPr>
          <w:p w14:paraId="48733643">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sz w:val="28"/>
                <w:szCs w:val="28"/>
                <w:highlight w:val="none"/>
                <w:lang w:val="en-US" w:eastAsia="zh-CN"/>
              </w:rPr>
              <w:t>联系方式</w:t>
            </w:r>
            <w:r>
              <w:rPr>
                <w:rFonts w:hint="eastAsia" w:ascii="仿宋_GB2312" w:hAnsi="仿宋_GB2312" w:eastAsia="仿宋_GB2312" w:cs="仿宋_GB2312"/>
                <w:color w:val="auto"/>
                <w:sz w:val="28"/>
                <w:szCs w:val="28"/>
                <w:highlight w:val="none"/>
              </w:rPr>
              <w:t xml:space="preserve">： </w:t>
            </w:r>
          </w:p>
        </w:tc>
      </w:tr>
      <w:tr w14:paraId="6BC99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4261" w:type="dxa"/>
          </w:tcPr>
          <w:p w14:paraId="532ABFB2">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lang w:val="en-US" w:eastAsia="zh-CN"/>
              </w:rPr>
              <w:t>联系人：</w:t>
            </w:r>
          </w:p>
        </w:tc>
        <w:tc>
          <w:tcPr>
            <w:tcW w:w="4261" w:type="dxa"/>
            <w:vAlign w:val="top"/>
          </w:tcPr>
          <w:p w14:paraId="4BD47197">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sz w:val="28"/>
                <w:szCs w:val="28"/>
                <w:highlight w:val="none"/>
                <w:lang w:val="en-US" w:eastAsia="zh-CN"/>
              </w:rPr>
              <w:t>联系人：</w:t>
            </w:r>
          </w:p>
        </w:tc>
      </w:tr>
      <w:tr w14:paraId="2ADF4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4261" w:type="dxa"/>
            <w:vAlign w:val="top"/>
          </w:tcPr>
          <w:p w14:paraId="396BD4F0">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kern w:val="2"/>
                <w:sz w:val="28"/>
                <w:szCs w:val="28"/>
                <w:highlight w:val="none"/>
                <w:vertAlign w:val="baseline"/>
                <w:lang w:val="en-US" w:eastAsia="zh-CN" w:bidi="ar-SA"/>
              </w:rPr>
            </w:pPr>
          </w:p>
        </w:tc>
        <w:tc>
          <w:tcPr>
            <w:tcW w:w="4261" w:type="dxa"/>
            <w:vAlign w:val="top"/>
          </w:tcPr>
          <w:p w14:paraId="791855FC">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sz w:val="28"/>
                <w:szCs w:val="28"/>
                <w:highlight w:val="none"/>
              </w:rPr>
              <w:t>开户银行：</w:t>
            </w:r>
          </w:p>
        </w:tc>
      </w:tr>
      <w:tr w14:paraId="3FC43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4261" w:type="dxa"/>
            <w:vAlign w:val="top"/>
          </w:tcPr>
          <w:p w14:paraId="49A13EB8">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kern w:val="2"/>
                <w:sz w:val="28"/>
                <w:szCs w:val="28"/>
                <w:highlight w:val="none"/>
                <w:vertAlign w:val="baseline"/>
                <w:lang w:val="en-US" w:eastAsia="zh-CN" w:bidi="ar-SA"/>
              </w:rPr>
            </w:pPr>
          </w:p>
        </w:tc>
        <w:tc>
          <w:tcPr>
            <w:tcW w:w="4261" w:type="dxa"/>
            <w:vAlign w:val="top"/>
          </w:tcPr>
          <w:p w14:paraId="3ADABE31">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sz w:val="28"/>
                <w:szCs w:val="28"/>
                <w:highlight w:val="none"/>
                <w:lang w:val="en-US" w:eastAsia="zh-CN"/>
              </w:rPr>
              <w:t>银行</w:t>
            </w:r>
            <w:r>
              <w:rPr>
                <w:rFonts w:hint="eastAsia" w:ascii="仿宋_GB2312" w:hAnsi="仿宋_GB2312" w:eastAsia="仿宋_GB2312" w:cs="仿宋_GB2312"/>
                <w:color w:val="auto"/>
                <w:sz w:val="28"/>
                <w:szCs w:val="28"/>
                <w:highlight w:val="none"/>
              </w:rPr>
              <w:t>账号：</w:t>
            </w:r>
          </w:p>
        </w:tc>
      </w:tr>
    </w:tbl>
    <w:p w14:paraId="3C5EB32E">
      <w:pPr>
        <w:rPr>
          <w:rFonts w:hint="eastAsia" w:ascii="方正小标宋简体" w:hAnsi="方正小标宋简体" w:eastAsia="方正小标宋简体" w:cs="方正小标宋简体"/>
          <w:b w:val="0"/>
          <w:bCs w:val="0"/>
          <w:color w:val="auto"/>
          <w:sz w:val="44"/>
          <w:szCs w:val="44"/>
          <w:highlight w:val="none"/>
        </w:rPr>
      </w:pPr>
    </w:p>
    <w:p w14:paraId="733DC681">
      <w:pP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br w:type="page"/>
      </w:r>
    </w:p>
    <w:p w14:paraId="6E0A7EA7">
      <w:pPr>
        <w:pStyle w:val="5"/>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方正小标宋简体" w:hAnsi="方正小标宋简体" w:eastAsia="方正小标宋简体" w:cs="方正小标宋简体"/>
          <w:b w:val="0"/>
          <w:bCs w:val="0"/>
          <w:color w:val="auto"/>
          <w:sz w:val="44"/>
          <w:szCs w:val="44"/>
          <w:highlight w:val="none"/>
        </w:rPr>
        <w:t>第二部分  通用条款</w:t>
      </w:r>
      <w:bookmarkEnd w:id="138"/>
    </w:p>
    <w:p w14:paraId="3786D13E">
      <w:pPr>
        <w:pStyle w:val="7"/>
        <w:pageBreakBefore w:val="0"/>
        <w:numPr>
          <w:ilvl w:val="0"/>
          <w:numId w:val="0"/>
        </w:numPr>
        <w:kinsoku/>
        <w:wordWrap/>
        <w:overflowPunct/>
        <w:topLinePunct w:val="0"/>
        <w:bidi w:val="0"/>
        <w:spacing w:line="560" w:lineRule="exact"/>
        <w:ind w:left="1150" w:hanging="720"/>
        <w:jc w:val="left"/>
        <w:textAlignment w:val="auto"/>
        <w:rPr>
          <w:rFonts w:hint="eastAsia" w:ascii="黑体" w:hAnsi="黑体" w:eastAsia="黑体" w:cs="黑体"/>
          <w:b w:val="0"/>
          <w:bCs w:val="0"/>
          <w:color w:val="auto"/>
          <w:sz w:val="32"/>
          <w:szCs w:val="32"/>
          <w:highlight w:val="none"/>
        </w:rPr>
      </w:pPr>
      <w:bookmarkStart w:id="139" w:name="_Toc10627397"/>
      <w:r>
        <w:rPr>
          <w:rFonts w:hint="eastAsia" w:ascii="黑体" w:hAnsi="黑体" w:eastAsia="黑体" w:cs="黑体"/>
          <w:b w:val="0"/>
          <w:bCs w:val="0"/>
          <w:color w:val="auto"/>
          <w:sz w:val="32"/>
          <w:szCs w:val="32"/>
          <w:highlight w:val="none"/>
        </w:rPr>
        <w:t>1. 词语定义、语言、解释顺序与适用法律</w:t>
      </w:r>
      <w:bookmarkEnd w:id="139"/>
      <w:bookmarkStart w:id="140" w:name="_Toc10627398"/>
    </w:p>
    <w:p w14:paraId="2C8E8C0B">
      <w:pPr>
        <w:pStyle w:val="7"/>
        <w:pageBreakBefore w:val="0"/>
        <w:numPr>
          <w:ilvl w:val="0"/>
          <w:numId w:val="0"/>
        </w:numPr>
        <w:kinsoku/>
        <w:wordWrap/>
        <w:overflowPunct/>
        <w:topLinePunct w:val="0"/>
        <w:bidi w:val="0"/>
        <w:spacing w:line="560" w:lineRule="exact"/>
        <w:ind w:left="1150" w:hanging="720"/>
        <w:jc w:val="left"/>
        <w:textAlignment w:val="auto"/>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1.1词语定义</w:t>
      </w:r>
      <w:bookmarkEnd w:id="140"/>
    </w:p>
    <w:p w14:paraId="37067BAF">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组成本合同的全部文件中的下列名词和用语应具有本款所赋予的含义：</w:t>
      </w:r>
    </w:p>
    <w:p w14:paraId="75E8A955">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default" w:ascii="Times New Roman" w:hAnsi="Times New Roman" w:eastAsia="仿宋_GB2312" w:cs="Times New Roman"/>
          <w:color w:val="auto"/>
          <w:sz w:val="28"/>
          <w:szCs w:val="28"/>
          <w:highlight w:val="none"/>
        </w:rPr>
        <w:t xml:space="preserve">1.1.1 </w:t>
      </w:r>
      <w:r>
        <w:rPr>
          <w:rFonts w:hint="eastAsia" w:ascii="仿宋_GB2312" w:hAnsi="仿宋_GB2312" w:eastAsia="仿宋_GB2312" w:cs="仿宋_GB2312"/>
          <w:color w:val="auto"/>
          <w:sz w:val="28"/>
          <w:szCs w:val="28"/>
          <w:highlight w:val="none"/>
        </w:rPr>
        <w:t>“工程”是指按照本合同约定实施质量</w:t>
      </w:r>
      <w:r>
        <w:rPr>
          <w:rFonts w:hint="eastAsia" w:ascii="仿宋_GB2312" w:hAnsi="仿宋_GB2312" w:eastAsia="仿宋_GB2312" w:cs="仿宋_GB2312"/>
          <w:color w:val="auto"/>
          <w:sz w:val="28"/>
          <w:szCs w:val="28"/>
          <w:highlight w:val="none"/>
          <w:lang w:val="en-US" w:eastAsia="zh-CN"/>
        </w:rPr>
        <w:t>检测、监测</w:t>
      </w:r>
      <w:r>
        <w:rPr>
          <w:rFonts w:hint="eastAsia" w:ascii="仿宋_GB2312" w:hAnsi="仿宋_GB2312" w:eastAsia="仿宋_GB2312" w:cs="仿宋_GB2312"/>
          <w:color w:val="auto"/>
          <w:sz w:val="28"/>
          <w:szCs w:val="28"/>
          <w:highlight w:val="none"/>
        </w:rPr>
        <w:t>服务的建设工程。</w:t>
      </w:r>
    </w:p>
    <w:p w14:paraId="521A57B1">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Times New Roman" w:hAnsi="Times New Roman" w:eastAsia="仿宋_GB2312" w:cs="Times New Roman"/>
          <w:color w:val="auto"/>
          <w:sz w:val="28"/>
          <w:szCs w:val="28"/>
          <w:highlight w:val="none"/>
        </w:rPr>
        <w:t xml:space="preserve">1.1.2 </w:t>
      </w:r>
      <w:r>
        <w:rPr>
          <w:rFonts w:hint="eastAsia" w:ascii="仿宋_GB2312" w:hAnsi="仿宋_GB2312" w:eastAsia="仿宋_GB2312" w:cs="仿宋_GB2312"/>
          <w:color w:val="auto"/>
          <w:sz w:val="28"/>
          <w:szCs w:val="28"/>
          <w:highlight w:val="none"/>
        </w:rPr>
        <w:t>“工程质量检测”是指工程质量检测机构（以下简称机构）接受委托，依据国家有关法律、法规和工程建设强制性标准，对涉及结构安全项目的抽样检测和对进入施工现场的建筑材料、构配件的见证取样检测</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工程质量</w:t>
      </w:r>
      <w:r>
        <w:rPr>
          <w:rFonts w:hint="eastAsia" w:ascii="仿宋_GB2312" w:hAnsi="仿宋_GB2312" w:eastAsia="仿宋_GB2312" w:cs="仿宋_GB2312"/>
          <w:color w:val="auto"/>
          <w:sz w:val="28"/>
          <w:szCs w:val="28"/>
          <w:highlight w:val="none"/>
          <w:lang w:val="en-US" w:eastAsia="zh-CN"/>
        </w:rPr>
        <w:t>监测</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是指机构</w:t>
      </w:r>
      <w:r>
        <w:rPr>
          <w:rFonts w:hint="eastAsia" w:ascii="仿宋_GB2312" w:hAnsi="仿宋_GB2312" w:eastAsia="仿宋_GB2312" w:cs="仿宋_GB2312"/>
          <w:color w:val="auto"/>
          <w:sz w:val="28"/>
          <w:szCs w:val="28"/>
          <w:highlight w:val="none"/>
        </w:rPr>
        <w:t>接受委托，依据国家有关法律、法规和工程建设强制性标准，</w:t>
      </w:r>
      <w:r>
        <w:rPr>
          <w:rFonts w:hint="eastAsia" w:ascii="仿宋_GB2312" w:hAnsi="仿宋_GB2312" w:eastAsia="仿宋_GB2312" w:cs="仿宋_GB2312"/>
          <w:color w:val="auto"/>
          <w:sz w:val="28"/>
          <w:szCs w:val="28"/>
          <w:highlight w:val="none"/>
          <w:lang w:val="en-US" w:eastAsia="zh-CN"/>
        </w:rPr>
        <w:t>在建构筑物施工、使用、维护及改建过程中，通过对工程结构和环境参数的连续观测和数据采集，利用相关仪器设备和技术手段，对工程质量、安全性、使用寿命等进行监测、分析和评估。</w:t>
      </w:r>
    </w:p>
    <w:p w14:paraId="21B4E349">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 xml:space="preserve">1.1.3 </w:t>
      </w:r>
      <w:r>
        <w:rPr>
          <w:rFonts w:hint="eastAsia" w:ascii="仿宋_GB2312" w:hAnsi="仿宋_GB2312" w:eastAsia="仿宋_GB2312" w:cs="仿宋_GB2312"/>
          <w:color w:val="auto"/>
          <w:sz w:val="28"/>
          <w:szCs w:val="28"/>
          <w:highlight w:val="none"/>
        </w:rPr>
        <w:t>“甲方”是指委托单位，即本合同中委托质量</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 xml:space="preserve">与其他服务的一方。 </w:t>
      </w:r>
    </w:p>
    <w:p w14:paraId="541AD309">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 xml:space="preserve">1.1.4 </w:t>
      </w:r>
      <w:r>
        <w:rPr>
          <w:rFonts w:hint="eastAsia" w:ascii="仿宋_GB2312" w:hAnsi="仿宋_GB2312" w:eastAsia="仿宋_GB2312" w:cs="仿宋_GB2312"/>
          <w:color w:val="auto"/>
          <w:sz w:val="28"/>
          <w:szCs w:val="28"/>
          <w:highlight w:val="none"/>
        </w:rPr>
        <w:t>“乙方”是指</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单位，即本合同中提供工程质量</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与其他服务的一方。</w:t>
      </w:r>
    </w:p>
    <w:p w14:paraId="295398A3">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 xml:space="preserve">1.1.5 </w:t>
      </w:r>
      <w:r>
        <w:rPr>
          <w:rFonts w:hint="eastAsia" w:ascii="仿宋_GB2312" w:hAnsi="仿宋_GB2312" w:eastAsia="仿宋_GB2312" w:cs="仿宋_GB2312"/>
          <w:color w:val="auto"/>
          <w:sz w:val="28"/>
          <w:szCs w:val="28"/>
          <w:highlight w:val="none"/>
        </w:rPr>
        <w:t>“正常工作”是指本合同订立时通用条款和专用条款中约定的乙方的工作。</w:t>
      </w:r>
    </w:p>
    <w:p w14:paraId="428A362E">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 xml:space="preserve">1.1.6 </w:t>
      </w:r>
      <w:r>
        <w:rPr>
          <w:rFonts w:hint="eastAsia" w:ascii="仿宋_GB2312" w:hAnsi="仿宋_GB2312" w:eastAsia="仿宋_GB2312" w:cs="仿宋_GB2312"/>
          <w:color w:val="auto"/>
          <w:sz w:val="28"/>
          <w:szCs w:val="28"/>
          <w:highlight w:val="none"/>
        </w:rPr>
        <w:t>“项目负责人”是指由甲方和乙方的法定代表人书面授权，在授权范围内负责履行本合同、主持项目</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工作的负责人。</w:t>
      </w:r>
    </w:p>
    <w:p w14:paraId="3AEA033B">
      <w:pPr>
        <w:pageBreakBefore w:val="0"/>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1.1.7</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费用”是指乙方履行本合同义务，甲方按照本合同约定支付给乙方的金额。</w:t>
      </w:r>
    </w:p>
    <w:p w14:paraId="5F3BEAE4">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1.1.8</w:t>
      </w:r>
      <w:r>
        <w:rPr>
          <w:rFonts w:hint="eastAsia" w:ascii="仿宋_GB2312" w:hAnsi="仿宋_GB2312" w:eastAsia="仿宋_GB2312" w:cs="仿宋_GB2312"/>
          <w:color w:val="auto"/>
          <w:sz w:val="28"/>
          <w:szCs w:val="28"/>
          <w:highlight w:val="none"/>
        </w:rPr>
        <w:t>“书面形式”是指合同书、信件和数据电文（包括电报、电传、传真、电子数据交换和电子邮件）等可以有形地表现所载内容的形式。</w:t>
      </w:r>
    </w:p>
    <w:p w14:paraId="7B24B24D">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1.1.9</w:t>
      </w:r>
      <w:r>
        <w:rPr>
          <w:rFonts w:hint="eastAsia" w:ascii="仿宋_GB2312" w:hAnsi="仿宋_GB2312" w:eastAsia="仿宋_GB2312" w:cs="仿宋_GB2312"/>
          <w:color w:val="auto"/>
          <w:sz w:val="28"/>
          <w:szCs w:val="28"/>
          <w:highlight w:val="none"/>
        </w:rPr>
        <w:t xml:space="preserve"> “天”是指第一天零时至第二天零时的时间。</w:t>
      </w:r>
    </w:p>
    <w:p w14:paraId="17F90D30">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1.1.10</w:t>
      </w:r>
      <w:r>
        <w:rPr>
          <w:rFonts w:hint="eastAsia" w:ascii="仿宋_GB2312" w:hAnsi="仿宋_GB2312" w:eastAsia="仿宋_GB2312" w:cs="仿宋_GB2312"/>
          <w:color w:val="auto"/>
          <w:sz w:val="28"/>
          <w:szCs w:val="28"/>
          <w:highlight w:val="none"/>
        </w:rPr>
        <w:t>“月”是指按公历从一个月中任何一天开始的一个公历月时间。</w:t>
      </w:r>
    </w:p>
    <w:p w14:paraId="11AFC0C3">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1.1.11</w:t>
      </w:r>
      <w:r>
        <w:rPr>
          <w:rFonts w:hint="eastAsia" w:ascii="仿宋_GB2312" w:hAnsi="仿宋_GB2312" w:eastAsia="仿宋_GB2312" w:cs="仿宋_GB2312"/>
          <w:color w:val="auto"/>
          <w:kern w:val="0"/>
          <w:sz w:val="28"/>
          <w:szCs w:val="28"/>
          <w:highlight w:val="none"/>
        </w:rPr>
        <w:t>不可抗力是指合同当事人在签订合同时不可预见，在合同履行过程中不可避免且不能克服的自然灾害和社会性突发事件，如地震、海啸、瘟疫、骚乱、戒严、暴动、战争</w:t>
      </w:r>
      <w:r>
        <w:rPr>
          <w:rFonts w:hint="eastAsia" w:ascii="仿宋_GB2312" w:hAnsi="仿宋_GB2312" w:eastAsia="仿宋_GB2312" w:cs="仿宋_GB2312"/>
          <w:color w:val="auto"/>
          <w:sz w:val="28"/>
          <w:szCs w:val="28"/>
          <w:highlight w:val="none"/>
        </w:rPr>
        <w:t>等。</w:t>
      </w:r>
    </w:p>
    <w:p w14:paraId="14827AD7">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rPr>
      </w:pPr>
      <w:bookmarkStart w:id="141" w:name="_Toc10627399"/>
      <w:r>
        <w:rPr>
          <w:rFonts w:hint="eastAsia" w:ascii="黑体" w:hAnsi="黑体" w:eastAsia="黑体" w:cs="黑体"/>
          <w:b w:val="0"/>
          <w:bCs w:val="0"/>
          <w:color w:val="auto"/>
          <w:sz w:val="28"/>
          <w:szCs w:val="28"/>
          <w:highlight w:val="none"/>
        </w:rPr>
        <w:t>1.2语言</w:t>
      </w:r>
      <w:bookmarkEnd w:id="141"/>
    </w:p>
    <w:p w14:paraId="765986B2">
      <w:pPr>
        <w:pageBreakBefore w:val="0"/>
        <w:kinsoku/>
        <w:wordWrap/>
        <w:overflowPunct/>
        <w:topLinePunct w:val="0"/>
        <w:bidi w:val="0"/>
        <w:adjustRightInd w:val="0"/>
        <w:snapToGrid w:val="0"/>
        <w:spacing w:line="560" w:lineRule="exact"/>
        <w:ind w:left="240" w:leftChars="100"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本合同使用中文书写、解释和说明。如专用条款约定使用两种及以上语言文字时，应以中文为准。</w:t>
      </w:r>
    </w:p>
    <w:p w14:paraId="5C99EAE1">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rPr>
      </w:pPr>
      <w:bookmarkStart w:id="142" w:name="_Toc10627400"/>
      <w:r>
        <w:rPr>
          <w:rFonts w:hint="eastAsia" w:ascii="黑体" w:hAnsi="黑体" w:eastAsia="黑体" w:cs="黑体"/>
          <w:b w:val="0"/>
          <w:bCs w:val="0"/>
          <w:color w:val="auto"/>
          <w:sz w:val="28"/>
          <w:szCs w:val="28"/>
          <w:highlight w:val="none"/>
        </w:rPr>
        <w:t>1.3合同文件的优先顺序</w:t>
      </w:r>
      <w:bookmarkEnd w:id="142"/>
    </w:p>
    <w:p w14:paraId="40D4AD29">
      <w:pPr>
        <w:pageBreakBefore w:val="0"/>
        <w:tabs>
          <w:tab w:val="left" w:pos="6140"/>
        </w:tabs>
        <w:kinsoku/>
        <w:wordWrap/>
        <w:overflowPunct/>
        <w:topLinePunct w:val="0"/>
        <w:bidi w:val="0"/>
        <w:adjustRightInd w:val="0"/>
        <w:snapToGrid w:val="0"/>
        <w:spacing w:before="156" w:beforeLines="50"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组成本合同的下列文件彼此应能相互解释、互为说明。本合同文件的解释顺序如下：</w:t>
      </w:r>
    </w:p>
    <w:p w14:paraId="723448E3">
      <w:pPr>
        <w:pageBreakBefore w:val="0"/>
        <w:tabs>
          <w:tab w:val="left" w:pos="6140"/>
        </w:tabs>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(1)履行本合同的相关补充协议（含工程洽商记录、会议纪要、变更、现场签证、索赔和合同价款调整报告等修正文件）；</w:t>
      </w:r>
    </w:p>
    <w:p w14:paraId="7D5B3A76">
      <w:pPr>
        <w:pageBreakBefore w:val="0"/>
        <w:tabs>
          <w:tab w:val="left" w:pos="6140"/>
        </w:tabs>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(2)协议书；</w:t>
      </w:r>
    </w:p>
    <w:p w14:paraId="1DC857DC">
      <w:pPr>
        <w:pageBreakBefore w:val="0"/>
        <w:tabs>
          <w:tab w:val="left" w:pos="6140"/>
        </w:tabs>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(3)中标通知书（适用于招标工程）或委托书（适用于非招标工程）；</w:t>
      </w:r>
    </w:p>
    <w:p w14:paraId="0803607B">
      <w:pPr>
        <w:pageBreakBefore w:val="0"/>
        <w:tabs>
          <w:tab w:val="left" w:pos="6140"/>
        </w:tabs>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(4)投标函及投标函附录（适用于招标工程）或质量</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服务建议书（适用于非招标工程）；</w:t>
      </w:r>
    </w:p>
    <w:p w14:paraId="7F3E046E">
      <w:pPr>
        <w:pageBreakBefore w:val="0"/>
        <w:tabs>
          <w:tab w:val="left" w:pos="6140"/>
        </w:tabs>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(5)专用条款及附件；</w:t>
      </w:r>
    </w:p>
    <w:p w14:paraId="2E7E7D24">
      <w:pPr>
        <w:pageBreakBefore w:val="0"/>
        <w:tabs>
          <w:tab w:val="left" w:pos="6140"/>
        </w:tabs>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(6)通用条款；</w:t>
      </w:r>
    </w:p>
    <w:p w14:paraId="3BCB3EDA">
      <w:pPr>
        <w:pageBreakBefore w:val="0"/>
        <w:tabs>
          <w:tab w:val="left" w:pos="6140"/>
        </w:tabs>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(7)招标文件（包括补充、修改、澄清的文件、答疑纪要及总说明等）；</w:t>
      </w:r>
    </w:p>
    <w:p w14:paraId="2B9BA34A">
      <w:pPr>
        <w:pageBreakBefore w:val="0"/>
        <w:tabs>
          <w:tab w:val="left" w:pos="6140"/>
        </w:tabs>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(8)专用条款约定的其他文件；</w:t>
      </w:r>
    </w:p>
    <w:p w14:paraId="5D1C50D6">
      <w:pPr>
        <w:pageBreakBefore w:val="0"/>
        <w:tabs>
          <w:tab w:val="left" w:pos="6140"/>
        </w:tabs>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上述各项合同文件包括合同当事人就该项合同文件所作出的补充和修改，属于同一类内容的文件，应以最新签署的为准。</w:t>
      </w:r>
    </w:p>
    <w:p w14:paraId="17ACF379">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rPr>
      </w:pPr>
      <w:bookmarkStart w:id="143" w:name="_Toc10627401"/>
      <w:r>
        <w:rPr>
          <w:rFonts w:hint="eastAsia" w:ascii="黑体" w:hAnsi="黑体" w:eastAsia="黑体" w:cs="黑体"/>
          <w:b w:val="0"/>
          <w:bCs w:val="0"/>
          <w:color w:val="auto"/>
          <w:sz w:val="28"/>
          <w:szCs w:val="28"/>
          <w:highlight w:val="none"/>
        </w:rPr>
        <w:t>1.4适用法律</w:t>
      </w:r>
      <w:bookmarkEnd w:id="143"/>
    </w:p>
    <w:p w14:paraId="4CC573EA">
      <w:pPr>
        <w:pageBreakBefore w:val="0"/>
        <w:tabs>
          <w:tab w:val="left" w:pos="6140"/>
        </w:tabs>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本合同适用中华人民共和国法律、行政法规、部门规章以及工程所在地的地方性法规、地方政府规章和地方规范性文件等。合同当事人可以在专用条款中约定本合同适用的其他规范、规程、技术标准等文件。</w:t>
      </w:r>
    </w:p>
    <w:p w14:paraId="028AEA6C">
      <w:pPr>
        <w:pStyle w:val="7"/>
        <w:pageBreakBefore w:val="0"/>
        <w:numPr>
          <w:ilvl w:val="0"/>
          <w:numId w:val="0"/>
        </w:numPr>
        <w:kinsoku/>
        <w:wordWrap/>
        <w:overflowPunct/>
        <w:topLinePunct w:val="0"/>
        <w:bidi w:val="0"/>
        <w:spacing w:line="560" w:lineRule="exact"/>
        <w:ind w:left="1222" w:leftChars="320" w:hanging="454" w:hangingChars="142"/>
        <w:jc w:val="left"/>
        <w:textAlignment w:val="auto"/>
        <w:rPr>
          <w:rFonts w:hint="eastAsia" w:ascii="黑体" w:hAnsi="黑体" w:eastAsia="黑体" w:cs="黑体"/>
          <w:b w:val="0"/>
          <w:bCs w:val="0"/>
          <w:color w:val="auto"/>
          <w:sz w:val="32"/>
          <w:szCs w:val="32"/>
          <w:highlight w:val="none"/>
        </w:rPr>
      </w:pPr>
      <w:bookmarkStart w:id="144" w:name="_Toc10627402"/>
      <w:r>
        <w:rPr>
          <w:rFonts w:hint="eastAsia" w:ascii="黑体" w:hAnsi="黑体" w:eastAsia="黑体" w:cs="黑体"/>
          <w:b w:val="0"/>
          <w:bCs w:val="0"/>
          <w:color w:val="auto"/>
          <w:sz w:val="32"/>
          <w:szCs w:val="32"/>
          <w:highlight w:val="none"/>
        </w:rPr>
        <w:t>2. 甲方的权利、义务</w:t>
      </w:r>
      <w:bookmarkEnd w:id="144"/>
    </w:p>
    <w:p w14:paraId="10F15E69">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rPr>
      </w:pPr>
      <w:bookmarkStart w:id="145" w:name="_Toc10627403"/>
      <w:r>
        <w:rPr>
          <w:rFonts w:hint="eastAsia" w:ascii="黑体" w:hAnsi="黑体" w:eastAsia="黑体" w:cs="黑体"/>
          <w:b w:val="0"/>
          <w:bCs w:val="0"/>
          <w:color w:val="auto"/>
          <w:sz w:val="28"/>
          <w:szCs w:val="28"/>
          <w:highlight w:val="none"/>
        </w:rPr>
        <w:t>2.1现场监督</w:t>
      </w:r>
      <w:bookmarkEnd w:id="145"/>
    </w:p>
    <w:p w14:paraId="560391A7">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甲方有权亲自或派人在工程作业现场实施旁站监督。</w:t>
      </w:r>
    </w:p>
    <w:p w14:paraId="11D243AA">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rPr>
      </w:pPr>
      <w:bookmarkStart w:id="146" w:name="_Toc10627404"/>
      <w:r>
        <w:rPr>
          <w:rFonts w:hint="eastAsia" w:ascii="黑体" w:hAnsi="黑体" w:eastAsia="黑体" w:cs="黑体"/>
          <w:b w:val="0"/>
          <w:bCs w:val="0"/>
          <w:color w:val="auto"/>
          <w:sz w:val="28"/>
          <w:szCs w:val="28"/>
          <w:highlight w:val="none"/>
        </w:rPr>
        <w:t>2.2提供资料和工作条件</w:t>
      </w:r>
      <w:bookmarkEnd w:id="146"/>
    </w:p>
    <w:p w14:paraId="7357A72A">
      <w:pPr>
        <w:pageBreakBefore w:val="0"/>
        <w:kinsoku/>
        <w:wordWrap/>
        <w:overflowPunct/>
        <w:topLinePunct w:val="0"/>
        <w:bidi w:val="0"/>
        <w:adjustRightInd w:val="0"/>
        <w:snapToGrid w:val="0"/>
        <w:spacing w:line="560" w:lineRule="exact"/>
        <w:ind w:left="240" w:leftChars="100" w:firstLine="280" w:firstLineChars="1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2.2.1</w:t>
      </w:r>
      <w:r>
        <w:rPr>
          <w:rFonts w:hint="eastAsia" w:ascii="仿宋_GB2312" w:hAnsi="仿宋_GB2312" w:eastAsia="仿宋_GB2312" w:cs="仿宋_GB2312"/>
          <w:color w:val="auto"/>
          <w:sz w:val="28"/>
          <w:szCs w:val="28"/>
          <w:highlight w:val="none"/>
        </w:rPr>
        <w:t>甲方应当在专用条款约定范围内向乙方提供与本合同</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业务有关的资料。在本合同履行过程中，甲方应及时向乙方提供最新的与本合同</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业务有关的资料。</w:t>
      </w:r>
    </w:p>
    <w:p w14:paraId="2BD38EE7">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2.2.2</w:t>
      </w:r>
      <w:r>
        <w:rPr>
          <w:rFonts w:hint="eastAsia" w:ascii="仿宋_GB2312" w:hAnsi="仿宋_GB2312" w:eastAsia="仿宋_GB2312" w:cs="仿宋_GB2312"/>
          <w:color w:val="auto"/>
          <w:sz w:val="28"/>
          <w:szCs w:val="28"/>
          <w:highlight w:val="none"/>
        </w:rPr>
        <w:t>甲方应提供监督抽检通知书或见证记录等相关资料，并指派专人填写送检委托单，确保样品的真实性；若样品信息发生变更时，应及时以书面形式通知乙方。</w:t>
      </w:r>
      <w:r>
        <w:rPr>
          <w:rFonts w:hint="eastAsia" w:ascii="仿宋_GB2312" w:hAnsi="仿宋_GB2312" w:eastAsia="仿宋_GB2312" w:cs="仿宋_GB2312"/>
          <w:color w:val="auto"/>
          <w:sz w:val="28"/>
          <w:szCs w:val="28"/>
          <w:highlight w:val="none"/>
        </w:rPr>
        <w:br w:type="textWrapping"/>
      </w:r>
      <w:r>
        <w:rPr>
          <w:rFonts w:hint="eastAsia" w:ascii="Times New Roman" w:hAnsi="Times New Roman" w:eastAsia="仿宋_GB2312" w:cs="Times New Roman"/>
          <w:color w:val="auto"/>
          <w:sz w:val="28"/>
          <w:szCs w:val="28"/>
          <w:highlight w:val="none"/>
        </w:rPr>
        <w:t xml:space="preserve">    2.2.3</w:t>
      </w:r>
      <w:r>
        <w:rPr>
          <w:rFonts w:hint="eastAsia" w:ascii="仿宋_GB2312" w:hAnsi="仿宋_GB2312" w:eastAsia="仿宋_GB2312" w:cs="仿宋_GB2312"/>
          <w:color w:val="auto"/>
          <w:sz w:val="28"/>
          <w:szCs w:val="28"/>
          <w:highlight w:val="none"/>
        </w:rPr>
        <w:t>甲方应在</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前向乙方提供</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规范要求的有关工程资料，并对其准确性、可靠性、真实性负责。必要时提供经建设工程质量监督部门批复的</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方案。对</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有特别技术要求的，应以书面形式提出。</w:t>
      </w:r>
    </w:p>
    <w:p w14:paraId="2E911FE4">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2.2.4</w:t>
      </w:r>
      <w:r>
        <w:rPr>
          <w:rFonts w:hint="eastAsia" w:ascii="仿宋_GB2312" w:hAnsi="仿宋_GB2312" w:eastAsia="仿宋_GB2312" w:cs="仿宋_GB2312"/>
          <w:color w:val="auto"/>
          <w:sz w:val="28"/>
          <w:szCs w:val="28"/>
          <w:highlight w:val="none"/>
        </w:rPr>
        <w:t>甲方应为乙方完成质量</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提供必要的现场条件，及时为乙方提供并解决</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现场的工作条件和出现的问题（包含但不限于拆除地上地下障碍物、处理扰民及影响</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正常进行的有关问题、平整作业现场、修好通行道路、接通电源水源等），并承担其费用。</w:t>
      </w:r>
    </w:p>
    <w:p w14:paraId="2B949B0F">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2.2.5</w:t>
      </w:r>
      <w:r>
        <w:rPr>
          <w:rFonts w:hint="eastAsia" w:ascii="仿宋_GB2312" w:hAnsi="仿宋_GB2312" w:eastAsia="仿宋_GB2312" w:cs="仿宋_GB2312"/>
          <w:color w:val="auto"/>
          <w:sz w:val="28"/>
          <w:szCs w:val="28"/>
          <w:highlight w:val="none"/>
        </w:rPr>
        <w:t>甲方负责确定</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项目、受检工程部位及数量，按</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方案做好进场</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的现场准备工作。</w:t>
      </w:r>
    </w:p>
    <w:p w14:paraId="7D8D7410">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2.2.6</w:t>
      </w:r>
      <w:r>
        <w:rPr>
          <w:rFonts w:hint="eastAsia" w:ascii="仿宋_GB2312" w:hAnsi="仿宋_GB2312" w:eastAsia="仿宋_GB2312" w:cs="仿宋_GB2312"/>
          <w:color w:val="auto"/>
          <w:sz w:val="28"/>
          <w:szCs w:val="28"/>
          <w:highlight w:val="none"/>
        </w:rPr>
        <w:t>甲方应及时将</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项目的进度、质量等要求书面通知乙方，以保证乙方正常开展</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 xml:space="preserve">工作。 </w:t>
      </w:r>
    </w:p>
    <w:p w14:paraId="387E4760">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rPr>
      </w:pPr>
      <w:bookmarkStart w:id="147" w:name="_Toc10627405"/>
      <w:r>
        <w:rPr>
          <w:rFonts w:hint="eastAsia" w:ascii="黑体" w:hAnsi="黑体" w:eastAsia="黑体" w:cs="黑体"/>
          <w:b w:val="0"/>
          <w:bCs w:val="0"/>
          <w:color w:val="auto"/>
          <w:sz w:val="28"/>
          <w:szCs w:val="28"/>
          <w:highlight w:val="none"/>
        </w:rPr>
        <w:t>2.3成果确认及验收支付</w:t>
      </w:r>
      <w:bookmarkEnd w:id="147"/>
    </w:p>
    <w:p w14:paraId="58BD5464">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2.3.1</w:t>
      </w:r>
      <w:r>
        <w:rPr>
          <w:rFonts w:hint="eastAsia" w:ascii="仿宋_GB2312" w:hAnsi="仿宋_GB2312" w:eastAsia="仿宋_GB2312" w:cs="仿宋_GB2312"/>
          <w:color w:val="auto"/>
          <w:sz w:val="28"/>
          <w:szCs w:val="28"/>
          <w:highlight w:val="none"/>
        </w:rPr>
        <w:t>甲方项目负责人应对乙方按要求完成的工作量予以签字确认。</w:t>
      </w:r>
    </w:p>
    <w:p w14:paraId="7573244F">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2.3.2</w:t>
      </w:r>
      <w:r>
        <w:rPr>
          <w:rFonts w:hint="eastAsia" w:ascii="仿宋_GB2312" w:hAnsi="仿宋_GB2312" w:eastAsia="仿宋_GB2312" w:cs="仿宋_GB2312"/>
          <w:color w:val="auto"/>
          <w:sz w:val="28"/>
          <w:szCs w:val="28"/>
          <w:highlight w:val="none"/>
        </w:rPr>
        <w:t>若</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内容或工作量等要求发生变化时，甲方应及时以书面的形式通知乙方，否则乙方仍按原要求进行</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，甲方应认可乙方在接到书面通知前所产生的工作量。上述变化导致本项目</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费用减少的，应征得乙方书面同意，否则乙方有权按本合同的约定收取</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w:t>
      </w:r>
    </w:p>
    <w:p w14:paraId="2AA1A569">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2.3.3</w:t>
      </w:r>
      <w:r>
        <w:rPr>
          <w:rFonts w:hint="eastAsia" w:ascii="仿宋_GB2312" w:hAnsi="仿宋_GB2312" w:eastAsia="仿宋_GB2312" w:cs="仿宋_GB2312"/>
          <w:color w:val="auto"/>
          <w:sz w:val="28"/>
          <w:szCs w:val="28"/>
          <w:highlight w:val="none"/>
        </w:rPr>
        <w:t>甲方应按约定的期限验收</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成果报告，审核结算，支付乙方应得款项。</w:t>
      </w:r>
    </w:p>
    <w:p w14:paraId="6815AA85">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rPr>
      </w:pPr>
      <w:bookmarkStart w:id="148" w:name="_Toc10627406"/>
      <w:r>
        <w:rPr>
          <w:rFonts w:hint="eastAsia" w:ascii="黑体" w:hAnsi="黑体" w:eastAsia="黑体" w:cs="黑体"/>
          <w:b w:val="0"/>
          <w:bCs w:val="0"/>
          <w:color w:val="auto"/>
          <w:sz w:val="28"/>
          <w:szCs w:val="28"/>
          <w:highlight w:val="none"/>
        </w:rPr>
        <w:t>2.4 其它</w:t>
      </w:r>
      <w:bookmarkEnd w:id="148"/>
    </w:p>
    <w:p w14:paraId="1D9C428F">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2.4.1</w:t>
      </w:r>
      <w:r>
        <w:rPr>
          <w:rFonts w:hint="eastAsia" w:ascii="仿宋_GB2312" w:hAnsi="仿宋_GB2312" w:eastAsia="仿宋_GB2312" w:cs="仿宋_GB2312"/>
          <w:color w:val="auto"/>
          <w:sz w:val="28"/>
          <w:szCs w:val="28"/>
          <w:highlight w:val="none"/>
        </w:rPr>
        <w:t>甲方应负责与本工程质量</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业务有关的所有外部关系的协调，为乙方履行本合同提供必要的外部条件。</w:t>
      </w:r>
    </w:p>
    <w:p w14:paraId="7DD1CE62">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2.4.2</w:t>
      </w:r>
      <w:r>
        <w:rPr>
          <w:rFonts w:hint="eastAsia"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工作范围内，因甲方原因而发生安全事故，造成人员伤亡、</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设备损坏或造成经济损失时，由甲方承担相应的损害赔偿责任。</w:t>
      </w:r>
    </w:p>
    <w:p w14:paraId="66BF695A">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28"/>
          <w:szCs w:val="28"/>
          <w:highlight w:val="none"/>
        </w:rPr>
        <w:t>2.4.3</w:t>
      </w:r>
      <w:r>
        <w:rPr>
          <w:rFonts w:hint="eastAsia" w:ascii="仿宋_GB2312" w:hAnsi="仿宋_GB2312" w:eastAsia="仿宋_GB2312" w:cs="仿宋_GB2312"/>
          <w:color w:val="auto"/>
          <w:sz w:val="28"/>
          <w:szCs w:val="28"/>
          <w:highlight w:val="none"/>
        </w:rPr>
        <w:t>甲方应保护乙方的投标书、</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技术方案、报告书、文件、资料图纸、数据、专利技术和合理化建议，未经乙方同意，不得泄露、不得擅自修改或向与该项目无关的人员转让或用于本合同外的项目。</w:t>
      </w:r>
    </w:p>
    <w:p w14:paraId="31A01C90">
      <w:pPr>
        <w:pStyle w:val="7"/>
        <w:pageBreakBefore w:val="0"/>
        <w:numPr>
          <w:ilvl w:val="0"/>
          <w:numId w:val="0"/>
        </w:numPr>
        <w:kinsoku/>
        <w:wordWrap/>
        <w:overflowPunct/>
        <w:topLinePunct w:val="0"/>
        <w:bidi w:val="0"/>
        <w:spacing w:line="560" w:lineRule="exact"/>
        <w:ind w:left="1222" w:leftChars="320" w:hanging="454" w:hangingChars="142"/>
        <w:jc w:val="left"/>
        <w:textAlignment w:val="auto"/>
        <w:rPr>
          <w:rFonts w:hint="eastAsia" w:ascii="黑体" w:hAnsi="黑体" w:eastAsia="黑体" w:cs="黑体"/>
          <w:b w:val="0"/>
          <w:bCs w:val="0"/>
          <w:color w:val="auto"/>
          <w:sz w:val="32"/>
          <w:szCs w:val="32"/>
          <w:highlight w:val="none"/>
        </w:rPr>
      </w:pPr>
      <w:bookmarkStart w:id="149" w:name="_Toc10627407"/>
      <w:r>
        <w:rPr>
          <w:rFonts w:hint="eastAsia" w:ascii="黑体" w:hAnsi="黑体" w:eastAsia="黑体" w:cs="黑体"/>
          <w:b w:val="0"/>
          <w:bCs w:val="0"/>
          <w:color w:val="auto"/>
          <w:sz w:val="32"/>
          <w:szCs w:val="32"/>
          <w:highlight w:val="none"/>
        </w:rPr>
        <w:t>3．乙方的权利、义务</w:t>
      </w:r>
      <w:bookmarkEnd w:id="149"/>
    </w:p>
    <w:p w14:paraId="018FF896">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rPr>
      </w:pPr>
      <w:bookmarkStart w:id="150" w:name="_Toc10627408"/>
      <w:r>
        <w:rPr>
          <w:rFonts w:hint="eastAsia" w:ascii="黑体" w:hAnsi="黑体" w:eastAsia="黑体" w:cs="黑体"/>
          <w:b w:val="0"/>
          <w:bCs w:val="0"/>
          <w:color w:val="auto"/>
          <w:sz w:val="28"/>
          <w:szCs w:val="28"/>
          <w:highlight w:val="none"/>
        </w:rPr>
        <w:t>3.1人员配备</w:t>
      </w:r>
      <w:bookmarkEnd w:id="150"/>
    </w:p>
    <w:p w14:paraId="6AB63032">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3.1.1</w:t>
      </w:r>
      <w:r>
        <w:rPr>
          <w:rFonts w:hint="eastAsia" w:ascii="仿宋_GB2312" w:hAnsi="仿宋_GB2312" w:eastAsia="仿宋_GB2312" w:cs="仿宋_GB2312"/>
          <w:color w:val="auto"/>
          <w:sz w:val="28"/>
          <w:szCs w:val="28"/>
          <w:highlight w:val="none"/>
        </w:rPr>
        <w:t>乙方应选派具备相应</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能力的人员作为项目负责人，负责本合同的履行，并跟进</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事宜。</w:t>
      </w:r>
    </w:p>
    <w:p w14:paraId="00459E67">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3.1.2</w:t>
      </w:r>
      <w:r>
        <w:rPr>
          <w:rFonts w:hint="eastAsia" w:ascii="仿宋_GB2312" w:hAnsi="仿宋_GB2312" w:eastAsia="仿宋_GB2312" w:cs="仿宋_GB2312"/>
          <w:color w:val="auto"/>
          <w:sz w:val="28"/>
          <w:szCs w:val="28"/>
          <w:highlight w:val="none"/>
        </w:rPr>
        <w:t>在本合同履行过程中，乙方人员应保持相对稳定，以保证</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工作正常进行。乙方可根据工程进展和工作需要等情形调整</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人员，更换项目负责人时应征得甲方同意后方可更换。</w:t>
      </w:r>
    </w:p>
    <w:p w14:paraId="4CF3F3B9">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rPr>
      </w:pPr>
      <w:bookmarkStart w:id="151" w:name="_Toc10627409"/>
      <w:r>
        <w:rPr>
          <w:rFonts w:hint="eastAsia" w:ascii="黑体" w:hAnsi="黑体" w:eastAsia="黑体" w:cs="黑体"/>
          <w:b w:val="0"/>
          <w:bCs w:val="0"/>
          <w:color w:val="auto"/>
          <w:sz w:val="28"/>
          <w:szCs w:val="28"/>
          <w:highlight w:val="none"/>
        </w:rPr>
        <w:t>3.2 资质条件</w:t>
      </w:r>
      <w:bookmarkEnd w:id="151"/>
    </w:p>
    <w:p w14:paraId="37692DEC">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乙方须具有政府有关部门的资质，并向甲方提供相关资质复印件，以备查。</w:t>
      </w:r>
    </w:p>
    <w:p w14:paraId="54E618B8">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rPr>
      </w:pPr>
      <w:bookmarkStart w:id="152" w:name="_Toc10627410"/>
      <w:r>
        <w:rPr>
          <w:rFonts w:hint="eastAsia" w:ascii="黑体" w:hAnsi="黑体" w:eastAsia="黑体" w:cs="黑体"/>
          <w:b w:val="0"/>
          <w:bCs w:val="0"/>
          <w:color w:val="auto"/>
          <w:sz w:val="28"/>
          <w:szCs w:val="28"/>
          <w:highlight w:val="none"/>
        </w:rPr>
        <w:t>3.3工作要求</w:t>
      </w:r>
      <w:bookmarkEnd w:id="152"/>
    </w:p>
    <w:p w14:paraId="717C3454">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3.3.1</w:t>
      </w:r>
      <w:r>
        <w:rPr>
          <w:rFonts w:hint="eastAsia" w:ascii="仿宋_GB2312" w:hAnsi="仿宋_GB2312" w:eastAsia="仿宋_GB2312" w:cs="仿宋_GB2312"/>
          <w:color w:val="auto"/>
          <w:sz w:val="28"/>
          <w:szCs w:val="28"/>
          <w:highlight w:val="none"/>
        </w:rPr>
        <w:t>乙方应按合同要求，接到</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通知后，及时将</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需做的准备工作提前通知甲方,以便甲方做好准备。</w:t>
      </w:r>
    </w:p>
    <w:p w14:paraId="5082888A">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3.3.2</w:t>
      </w:r>
      <w:r>
        <w:rPr>
          <w:rFonts w:hint="eastAsia" w:ascii="仿宋_GB2312" w:hAnsi="仿宋_GB2312" w:eastAsia="仿宋_GB2312" w:cs="仿宋_GB2312"/>
          <w:color w:val="auto"/>
          <w:sz w:val="28"/>
          <w:szCs w:val="28"/>
          <w:highlight w:val="none"/>
        </w:rPr>
        <w:t>乙方应组织具有相应</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资格的技术人员、经检定合格的仪器设备按约定的时间进场，并按合同要求及国家技术规范、标准、规程和甲方的任务委托书、技术要求按期进行工程质量</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w:t>
      </w:r>
    </w:p>
    <w:p w14:paraId="21DF0A16">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3.3.3</w:t>
      </w:r>
      <w:r>
        <w:rPr>
          <w:rFonts w:hint="eastAsia"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过程中，发现初步结果异常时，乙方应及时告知甲方及监理单位，并根据结果异常的程度同时向建设工程监督部门报告。</w:t>
      </w:r>
    </w:p>
    <w:p w14:paraId="453E56C8">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rPr>
      </w:pPr>
      <w:bookmarkStart w:id="153" w:name="_Toc10627411"/>
      <w:r>
        <w:rPr>
          <w:rFonts w:hint="eastAsia" w:ascii="黑体" w:hAnsi="黑体" w:eastAsia="黑体" w:cs="黑体"/>
          <w:b w:val="0"/>
          <w:bCs w:val="0"/>
          <w:color w:val="auto"/>
          <w:sz w:val="28"/>
          <w:szCs w:val="28"/>
          <w:highlight w:val="none"/>
        </w:rPr>
        <w:t>3.4</w:t>
      </w:r>
      <w:r>
        <w:rPr>
          <w:rFonts w:hint="eastAsia" w:ascii="黑体" w:hAnsi="黑体" w:eastAsia="黑体" w:cs="黑体"/>
          <w:b w:val="0"/>
          <w:bCs w:val="0"/>
          <w:color w:val="auto"/>
          <w:sz w:val="28"/>
          <w:szCs w:val="28"/>
          <w:highlight w:val="none"/>
          <w:lang w:eastAsia="zh-CN"/>
        </w:rPr>
        <w:t>检测、监测</w:t>
      </w:r>
      <w:r>
        <w:rPr>
          <w:rFonts w:hint="eastAsia" w:ascii="黑体" w:hAnsi="黑体" w:eastAsia="黑体" w:cs="黑体"/>
          <w:b w:val="0"/>
          <w:bCs w:val="0"/>
          <w:color w:val="auto"/>
          <w:sz w:val="28"/>
          <w:szCs w:val="28"/>
          <w:highlight w:val="none"/>
        </w:rPr>
        <w:t>成果</w:t>
      </w:r>
      <w:bookmarkEnd w:id="153"/>
    </w:p>
    <w:p w14:paraId="51BCC566">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乙方应当按照专用条款约定的份数、组成，在单项</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完成后，按照国家技术规范、标准、规程及任务委托书的有关要求出具书面</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成果，按本合同的约定提交甲方，并对其</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结果和结论的真实性、正确性负责任。</w:t>
      </w:r>
    </w:p>
    <w:p w14:paraId="4C324319">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rPr>
      </w:pPr>
      <w:bookmarkStart w:id="154" w:name="_Toc10627412"/>
      <w:r>
        <w:rPr>
          <w:rFonts w:hint="eastAsia" w:ascii="黑体" w:hAnsi="黑体" w:eastAsia="黑体" w:cs="黑体"/>
          <w:b w:val="0"/>
          <w:bCs w:val="0"/>
          <w:color w:val="auto"/>
          <w:sz w:val="28"/>
          <w:szCs w:val="28"/>
          <w:highlight w:val="none"/>
        </w:rPr>
        <w:t>3.5工期顺延</w:t>
      </w:r>
      <w:bookmarkEnd w:id="154"/>
    </w:p>
    <w:p w14:paraId="45B44848">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在以下情况下，乙方进场日期可顺延：</w:t>
      </w:r>
    </w:p>
    <w:p w14:paraId="5D7DD56A">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1.</w:t>
      </w:r>
      <w:r>
        <w:rPr>
          <w:rFonts w:hint="eastAsia" w:ascii="仿宋_GB2312" w:hAnsi="仿宋_GB2312" w:eastAsia="仿宋_GB2312" w:cs="仿宋_GB2312"/>
          <w:color w:val="auto"/>
          <w:sz w:val="28"/>
          <w:szCs w:val="28"/>
          <w:highlight w:val="none"/>
        </w:rPr>
        <w:t>因雷雨、台风、道路阻隔等情况；</w:t>
      </w:r>
    </w:p>
    <w:p w14:paraId="54BE8595">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2.</w:t>
      </w:r>
      <w:r>
        <w:rPr>
          <w:rFonts w:hint="eastAsia" w:ascii="仿宋_GB2312" w:hAnsi="仿宋_GB2312" w:eastAsia="仿宋_GB2312" w:cs="仿宋_GB2312"/>
          <w:color w:val="auto"/>
          <w:sz w:val="28"/>
          <w:szCs w:val="28"/>
          <w:highlight w:val="none"/>
        </w:rPr>
        <w:t>经由甲方确认的其它外部因素影响或现场不具备</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条件等。</w:t>
      </w:r>
    </w:p>
    <w:p w14:paraId="76FEC2A6">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3.</w:t>
      </w:r>
      <w:r>
        <w:rPr>
          <w:rFonts w:hint="eastAsia" w:ascii="仿宋_GB2312" w:hAnsi="仿宋_GB2312" w:eastAsia="仿宋_GB2312" w:cs="仿宋_GB2312"/>
          <w:color w:val="auto"/>
          <w:sz w:val="28"/>
          <w:szCs w:val="28"/>
          <w:highlight w:val="none"/>
        </w:rPr>
        <w:t>出现不可抗力因素，或由于甲方无法提供必要</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工作面以及非乙方原因而使得本工程的</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无法继续进行的，工期可以顺延，双方各自承担自己的损失，不得向对方索赔。</w:t>
      </w:r>
    </w:p>
    <w:p w14:paraId="6E166B28">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rPr>
      </w:pPr>
      <w:bookmarkStart w:id="155" w:name="_Toc10627413"/>
      <w:r>
        <w:rPr>
          <w:rFonts w:hint="eastAsia" w:ascii="黑体" w:hAnsi="黑体" w:eastAsia="黑体" w:cs="黑体"/>
          <w:b w:val="0"/>
          <w:bCs w:val="0"/>
          <w:color w:val="auto"/>
          <w:sz w:val="28"/>
          <w:szCs w:val="28"/>
          <w:highlight w:val="none"/>
        </w:rPr>
        <w:t>3.6其它</w:t>
      </w:r>
      <w:bookmarkEnd w:id="155"/>
    </w:p>
    <w:p w14:paraId="5C681767">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3.6.1</w:t>
      </w:r>
      <w:r>
        <w:rPr>
          <w:rFonts w:hint="eastAsia" w:ascii="仿宋_GB2312" w:hAnsi="仿宋_GB2312" w:eastAsia="仿宋_GB2312" w:cs="仿宋_GB2312"/>
          <w:color w:val="auto"/>
          <w:sz w:val="28"/>
          <w:szCs w:val="28"/>
          <w:highlight w:val="none"/>
        </w:rPr>
        <w:t>在现场工作的乙方人员，应遵守甲方的安全保卫及其它有关的规章制度。</w:t>
      </w:r>
    </w:p>
    <w:p w14:paraId="772D9C29">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3.6.2</w:t>
      </w:r>
      <w:r>
        <w:rPr>
          <w:rFonts w:hint="eastAsia"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工作中，由于乙方原因发生安全事故，造成人员人身伤害、</w:t>
      </w:r>
      <w:r>
        <w:rPr>
          <w:rFonts w:hint="eastAsia" w:ascii="仿宋_GB2312" w:hAnsi="仿宋_GB2312" w:eastAsia="仿宋_GB2312" w:cs="仿宋_GB2312"/>
          <w:color w:val="auto"/>
          <w:sz w:val="28"/>
          <w:szCs w:val="28"/>
          <w:highlight w:val="none"/>
          <w:lang w:eastAsia="zh-CN"/>
        </w:rPr>
        <w:t>监测</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lang w:eastAsia="zh-CN"/>
        </w:rPr>
        <w:t>检测</w:t>
      </w:r>
      <w:r>
        <w:rPr>
          <w:rFonts w:hint="eastAsia" w:ascii="仿宋_GB2312" w:hAnsi="仿宋_GB2312" w:eastAsia="仿宋_GB2312" w:cs="仿宋_GB2312"/>
          <w:color w:val="auto"/>
          <w:sz w:val="28"/>
          <w:szCs w:val="28"/>
          <w:highlight w:val="none"/>
        </w:rPr>
        <w:t>设备损坏或造成经济损失时，由乙方承担相应的损害赔偿责任。</w:t>
      </w:r>
    </w:p>
    <w:p w14:paraId="0BD0D6BD">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3.6.3</w:t>
      </w:r>
      <w:r>
        <w:rPr>
          <w:rFonts w:hint="eastAsia" w:ascii="仿宋_GB2312" w:hAnsi="仿宋_GB2312" w:eastAsia="仿宋_GB2312" w:cs="仿宋_GB2312"/>
          <w:color w:val="auto"/>
          <w:sz w:val="28"/>
          <w:szCs w:val="28"/>
          <w:highlight w:val="none"/>
        </w:rPr>
        <w:t>双方可在专用条款中约定履约保函的具体内容。应</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需求，</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在合同签订期间向</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提交银行金融机构出具的履约保函。如果</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日后未能在</w:t>
      </w:r>
      <w:r>
        <w:rPr>
          <w:rFonts w:hint="eastAsia" w:ascii="仿宋_GB2312" w:hAnsi="仿宋_GB2312" w:eastAsia="仿宋_GB2312" w:cs="仿宋_GB2312"/>
          <w:color w:val="auto"/>
          <w:sz w:val="28"/>
          <w:szCs w:val="28"/>
          <w:highlight w:val="none"/>
          <w:lang w:val="en-US" w:eastAsia="zh-CN"/>
        </w:rPr>
        <w:t>约定期限</w:t>
      </w:r>
      <w:r>
        <w:rPr>
          <w:rFonts w:hint="eastAsia" w:ascii="仿宋_GB2312" w:hAnsi="仿宋_GB2312" w:eastAsia="仿宋_GB2312" w:cs="仿宋_GB2312"/>
          <w:color w:val="auto"/>
          <w:sz w:val="28"/>
          <w:szCs w:val="28"/>
          <w:highlight w:val="none"/>
        </w:rPr>
        <w:t>内按合同约定完成其所</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的工作内容，则</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可根据责任情况与</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协商确认违约金，可从履约保函中扣除。</w:t>
      </w:r>
    </w:p>
    <w:p w14:paraId="7E31E1CA">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Times New Roman" w:hAnsi="Times New Roman" w:eastAsia="仿宋_GB2312" w:cs="Times New Roman"/>
          <w:color w:val="auto"/>
          <w:sz w:val="28"/>
          <w:szCs w:val="28"/>
          <w:highlight w:val="none"/>
        </w:rPr>
        <w:t xml:space="preserve"> 3.6.4 </w:t>
      </w:r>
      <w:r>
        <w:rPr>
          <w:rFonts w:hint="eastAsia" w:ascii="仿宋_GB2312" w:hAnsi="仿宋_GB2312" w:eastAsia="仿宋_GB2312" w:cs="仿宋_GB2312"/>
          <w:color w:val="auto"/>
          <w:sz w:val="28"/>
          <w:szCs w:val="28"/>
          <w:highlight w:val="none"/>
        </w:rPr>
        <w:t>乙方应服从甲方或项目各施工单位的有关现场安全管理。</w:t>
      </w:r>
    </w:p>
    <w:p w14:paraId="5E959F55">
      <w:pPr>
        <w:pStyle w:val="7"/>
        <w:pageBreakBefore w:val="0"/>
        <w:numPr>
          <w:ilvl w:val="0"/>
          <w:numId w:val="0"/>
        </w:numPr>
        <w:kinsoku/>
        <w:wordWrap/>
        <w:overflowPunct/>
        <w:topLinePunct w:val="0"/>
        <w:bidi w:val="0"/>
        <w:spacing w:line="560" w:lineRule="exact"/>
        <w:ind w:left="1222" w:leftChars="320" w:hanging="454" w:hangingChars="142"/>
        <w:jc w:val="left"/>
        <w:textAlignment w:val="auto"/>
        <w:rPr>
          <w:rFonts w:hint="eastAsia" w:ascii="黑体" w:hAnsi="黑体" w:eastAsia="黑体" w:cs="黑体"/>
          <w:b w:val="0"/>
          <w:bCs w:val="0"/>
          <w:color w:val="auto"/>
          <w:sz w:val="32"/>
          <w:szCs w:val="32"/>
          <w:highlight w:val="none"/>
        </w:rPr>
      </w:pPr>
      <w:bookmarkStart w:id="156" w:name="_Toc10627414"/>
      <w:r>
        <w:rPr>
          <w:rFonts w:hint="eastAsia" w:ascii="黑体" w:hAnsi="黑体" w:eastAsia="黑体" w:cs="黑体"/>
          <w:b w:val="0"/>
          <w:bCs w:val="0"/>
          <w:color w:val="auto"/>
          <w:sz w:val="32"/>
          <w:szCs w:val="32"/>
          <w:highlight w:val="none"/>
        </w:rPr>
        <w:t>4. 违约责任</w:t>
      </w:r>
      <w:bookmarkEnd w:id="156"/>
    </w:p>
    <w:p w14:paraId="50DEF1B9">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4.1</w:t>
      </w:r>
      <w:r>
        <w:rPr>
          <w:rFonts w:hint="eastAsia" w:ascii="仿宋_GB2312" w:hAnsi="仿宋_GB2312" w:eastAsia="仿宋_GB2312" w:cs="仿宋_GB2312"/>
          <w:color w:val="auto"/>
          <w:sz w:val="28"/>
          <w:szCs w:val="28"/>
          <w:highlight w:val="none"/>
        </w:rPr>
        <w:t>由于甲方提供的资料、文件错误、不准确，造成工期延误或返工时，除工期顺延外，甲方应向乙方支付返工费，造成质量、安全事故时，由甲方承担相应的法律责任和经济责任。</w:t>
      </w:r>
    </w:p>
    <w:p w14:paraId="2FF2069A">
      <w:pPr>
        <w:pageBreakBefore w:val="0"/>
        <w:kinsoku/>
        <w:wordWrap/>
        <w:overflowPunct/>
        <w:topLinePunct w:val="0"/>
        <w:bidi w:val="0"/>
        <w:spacing w:before="156" w:beforeLines="50"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4.2</w:t>
      </w:r>
      <w:r>
        <w:rPr>
          <w:rFonts w:hint="eastAsia" w:ascii="仿宋_GB2312" w:hAnsi="仿宋_GB2312" w:eastAsia="仿宋_GB2312" w:cs="仿宋_GB2312"/>
          <w:color w:val="auto"/>
          <w:sz w:val="28"/>
          <w:szCs w:val="28"/>
          <w:highlight w:val="none"/>
        </w:rPr>
        <w:t>在合同履行期间，甲方要求终止或解除合同，乙方已进行工作的，甲方应按实际完成的工作量支付乙方</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费用，并向乙方支付违约金，否则，乙方有权停发</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报告至费用缴清。</w:t>
      </w:r>
    </w:p>
    <w:p w14:paraId="3A9781C0">
      <w:pPr>
        <w:pageBreakBefore w:val="0"/>
        <w:kinsoku/>
        <w:wordWrap/>
        <w:overflowPunct/>
        <w:topLinePunct w:val="0"/>
        <w:bidi w:val="0"/>
        <w:spacing w:before="156" w:beforeLines="50"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4.3</w:t>
      </w:r>
      <w:r>
        <w:rPr>
          <w:rFonts w:hint="eastAsia" w:ascii="仿宋_GB2312" w:hAnsi="仿宋_GB2312" w:eastAsia="仿宋_GB2312" w:cs="仿宋_GB2312"/>
          <w:color w:val="auto"/>
          <w:sz w:val="28"/>
          <w:szCs w:val="28"/>
          <w:highlight w:val="none"/>
        </w:rPr>
        <w:t>甲方未按合同规定时间（日期）支付</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费用，应按照拖欠金额的每日万分之五向乙方支付逾期违约金，甲方支付</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费用时间以乙方收到甲方付款的时间为准。</w:t>
      </w:r>
    </w:p>
    <w:p w14:paraId="3F3E62F9">
      <w:pPr>
        <w:pageBreakBefore w:val="0"/>
        <w:kinsoku/>
        <w:wordWrap/>
        <w:overflowPunct/>
        <w:topLinePunct w:val="0"/>
        <w:bidi w:val="0"/>
        <w:spacing w:before="156" w:beforeLines="50"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4.4</w:t>
      </w:r>
      <w:r>
        <w:rPr>
          <w:rFonts w:hint="eastAsia" w:ascii="仿宋_GB2312" w:hAnsi="仿宋_GB2312" w:eastAsia="仿宋_GB2312" w:cs="仿宋_GB2312"/>
          <w:color w:val="auto"/>
          <w:sz w:val="28"/>
          <w:szCs w:val="28"/>
          <w:highlight w:val="none"/>
        </w:rPr>
        <w:t>由于甲方原因，要求乙方紧急进场而发生的额外费用（包括但不限于设备转场费用）由甲方承担。</w:t>
      </w:r>
    </w:p>
    <w:p w14:paraId="2E1CD118">
      <w:pPr>
        <w:pageBreakBefore w:val="0"/>
        <w:kinsoku/>
        <w:wordWrap/>
        <w:overflowPunct/>
        <w:topLinePunct w:val="0"/>
        <w:bidi w:val="0"/>
        <w:spacing w:before="156" w:beforeLines="50"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4.5</w:t>
      </w:r>
      <w:r>
        <w:rPr>
          <w:rFonts w:hint="eastAsia" w:ascii="仿宋_GB2312" w:hAnsi="仿宋_GB2312" w:eastAsia="仿宋_GB2312" w:cs="仿宋_GB2312"/>
          <w:color w:val="auto"/>
          <w:sz w:val="28"/>
          <w:szCs w:val="28"/>
          <w:highlight w:val="none"/>
        </w:rPr>
        <w:t>由于乙方原因造成</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成果报告不符合国家技术规范、标准、规程及任务委托书的有关要求，乙方必须在甲方要求的时间内负责无偿给予修正、补充和完善。</w:t>
      </w:r>
    </w:p>
    <w:p w14:paraId="12CAA1C2">
      <w:pPr>
        <w:pageBreakBefore w:val="0"/>
        <w:kinsoku/>
        <w:wordWrap/>
        <w:overflowPunct/>
        <w:topLinePunct w:val="0"/>
        <w:bidi w:val="0"/>
        <w:spacing w:before="156" w:beforeLines="50"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4.6</w:t>
      </w:r>
      <w:r>
        <w:rPr>
          <w:rFonts w:hint="eastAsia" w:ascii="仿宋_GB2312" w:hAnsi="仿宋_GB2312" w:eastAsia="仿宋_GB2312" w:cs="仿宋_GB2312"/>
          <w:color w:val="auto"/>
          <w:sz w:val="28"/>
          <w:szCs w:val="28"/>
          <w:highlight w:val="none"/>
        </w:rPr>
        <w:t>乙方未按照合同约定时间提交</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报告，应向甲方支付违约金。</w:t>
      </w:r>
    </w:p>
    <w:p w14:paraId="0C28C5F0">
      <w:pPr>
        <w:pageBreakBefore w:val="0"/>
        <w:kinsoku/>
        <w:wordWrap/>
        <w:overflowPunct/>
        <w:topLinePunct w:val="0"/>
        <w:bidi w:val="0"/>
        <w:spacing w:before="156" w:beforeLines="50"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4.7</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报告信息错误、未按照约定</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依据进行</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或者</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结论判断错误的，乙方应进行更正或免费重新进行</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，给甲方造成损失的应予以赔偿，因甲方原因造成上述错误的除外。</w:t>
      </w:r>
    </w:p>
    <w:p w14:paraId="3663B4C1">
      <w:pPr>
        <w:pageBreakBefore w:val="0"/>
        <w:kinsoku/>
        <w:wordWrap/>
        <w:overflowPunct/>
        <w:topLinePunct w:val="0"/>
        <w:bidi w:val="0"/>
        <w:spacing w:before="156" w:beforeLines="50"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4.8</w:t>
      </w:r>
      <w:r>
        <w:rPr>
          <w:rFonts w:hint="eastAsia" w:ascii="仿宋_GB2312" w:hAnsi="仿宋_GB2312" w:eastAsia="仿宋_GB2312" w:cs="仿宋_GB2312"/>
          <w:color w:val="auto"/>
          <w:sz w:val="28"/>
          <w:szCs w:val="28"/>
          <w:highlight w:val="none"/>
        </w:rPr>
        <w:t>乙方未按照合同约定时间进场</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，应向甲方支付违约金。</w:t>
      </w:r>
    </w:p>
    <w:p w14:paraId="48FE9E26">
      <w:pPr>
        <w:pageBreakBefore w:val="0"/>
        <w:kinsoku/>
        <w:wordWrap/>
        <w:overflowPunct/>
        <w:topLinePunct w:val="0"/>
        <w:bidi w:val="0"/>
        <w:spacing w:before="156" w:beforeLines="50"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4.9</w:t>
      </w:r>
      <w:r>
        <w:rPr>
          <w:rFonts w:hint="eastAsia" w:ascii="仿宋_GB2312" w:hAnsi="仿宋_GB2312" w:eastAsia="仿宋_GB2312" w:cs="仿宋_GB2312"/>
          <w:color w:val="auto"/>
          <w:sz w:val="28"/>
          <w:szCs w:val="28"/>
          <w:highlight w:val="none"/>
        </w:rPr>
        <w:t>安全方面的违约责任</w:t>
      </w:r>
    </w:p>
    <w:p w14:paraId="1E490DA7">
      <w:pPr>
        <w:pageBreakBefore w:val="0"/>
        <w:kinsoku/>
        <w:wordWrap/>
        <w:overflowPunct/>
        <w:topLinePunct w:val="0"/>
        <w:bidi w:val="0"/>
        <w:spacing w:before="156" w:beforeLines="50"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由于乙方的</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工作不及时或测量、</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资料不准确而导致事故发生，给甲方造成损失的，应赔偿甲方损失。</w:t>
      </w:r>
    </w:p>
    <w:p w14:paraId="54DE3740">
      <w:pPr>
        <w:pageBreakBefore w:val="0"/>
        <w:kinsoku/>
        <w:wordWrap/>
        <w:overflowPunct/>
        <w:topLinePunct w:val="0"/>
        <w:bidi w:val="0"/>
        <w:spacing w:before="156" w:beforeLines="50"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4.10</w:t>
      </w:r>
      <w:r>
        <w:rPr>
          <w:rFonts w:hint="eastAsia" w:ascii="仿宋_GB2312" w:hAnsi="仿宋_GB2312" w:eastAsia="仿宋_GB2312" w:cs="仿宋_GB2312"/>
          <w:color w:val="auto"/>
          <w:sz w:val="28"/>
          <w:szCs w:val="28"/>
          <w:highlight w:val="none"/>
        </w:rPr>
        <w:t>分包、转包方面的违约责任</w:t>
      </w:r>
    </w:p>
    <w:p w14:paraId="6F45118A">
      <w:pPr>
        <w:pageBreakBefore w:val="0"/>
        <w:kinsoku/>
        <w:wordWrap/>
        <w:overflowPunct/>
        <w:topLinePunct w:val="0"/>
        <w:bidi w:val="0"/>
        <w:spacing w:before="156" w:beforeLines="50"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乙方擅自分包或者转包项目的，甲方有权解除合同，并要求乙方承担违约责任，若因此造成甲方损失还须赔偿相关损失。</w:t>
      </w:r>
    </w:p>
    <w:p w14:paraId="15367F45">
      <w:pPr>
        <w:pageBreakBefore w:val="0"/>
        <w:kinsoku/>
        <w:wordWrap/>
        <w:overflowPunct/>
        <w:topLinePunct w:val="0"/>
        <w:bidi w:val="0"/>
        <w:spacing w:before="156" w:beforeLines="50"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4.11</w:t>
      </w:r>
      <w:r>
        <w:rPr>
          <w:rFonts w:hint="eastAsia" w:ascii="仿宋_GB2312" w:hAnsi="仿宋_GB2312" w:eastAsia="仿宋_GB2312" w:cs="仿宋_GB2312"/>
          <w:color w:val="auto"/>
          <w:sz w:val="28"/>
          <w:szCs w:val="28"/>
          <w:highlight w:val="none"/>
        </w:rPr>
        <w:t>乙方投入的人员与本合同约定及其投标（或报价）文件、</w:t>
      </w:r>
      <w:r>
        <w:rPr>
          <w:rFonts w:hint="eastAsia" w:ascii="仿宋_GB2312" w:hAnsi="仿宋_GB2312" w:eastAsia="仿宋_GB2312" w:cs="仿宋_GB2312"/>
          <w:color w:val="auto"/>
          <w:sz w:val="28"/>
          <w:szCs w:val="28"/>
          <w:highlight w:val="none"/>
          <w:lang w:eastAsia="zh-CN"/>
        </w:rPr>
        <w:t>监测及检测</w:t>
      </w:r>
      <w:r>
        <w:rPr>
          <w:rFonts w:hint="eastAsia" w:ascii="仿宋_GB2312" w:hAnsi="仿宋_GB2312" w:eastAsia="仿宋_GB2312" w:cs="仿宋_GB2312"/>
          <w:color w:val="auto"/>
          <w:sz w:val="28"/>
          <w:szCs w:val="28"/>
          <w:highlight w:val="none"/>
        </w:rPr>
        <w:t>实施方案的承诺不符或未经甲方同意擅自更换的，乙方需支付违约金。</w:t>
      </w:r>
    </w:p>
    <w:p w14:paraId="07814F0B">
      <w:pPr>
        <w:pageBreakBefore w:val="0"/>
        <w:kinsoku/>
        <w:wordWrap/>
        <w:overflowPunct/>
        <w:topLinePunct w:val="0"/>
        <w:bidi w:val="0"/>
        <w:spacing w:before="156" w:beforeLines="50"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4.12</w:t>
      </w:r>
      <w:r>
        <w:rPr>
          <w:rFonts w:hint="eastAsia" w:ascii="仿宋_GB2312" w:hAnsi="仿宋_GB2312" w:eastAsia="仿宋_GB2312" w:cs="仿宋_GB2312"/>
          <w:color w:val="auto"/>
          <w:sz w:val="28"/>
          <w:szCs w:val="28"/>
          <w:highlight w:val="none"/>
        </w:rPr>
        <w:t>乙方人员对不合格工程出具合格</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报告或结论，甲方有权单方解除合同，并要求乙方承担违约责任，若因此造成甲方损失还须赔偿相关损失。</w:t>
      </w:r>
    </w:p>
    <w:p w14:paraId="7D05F0F5">
      <w:pPr>
        <w:pStyle w:val="7"/>
        <w:pageBreakBefore w:val="0"/>
        <w:numPr>
          <w:ilvl w:val="0"/>
          <w:numId w:val="0"/>
        </w:numPr>
        <w:kinsoku/>
        <w:wordWrap/>
        <w:overflowPunct/>
        <w:topLinePunct w:val="0"/>
        <w:bidi w:val="0"/>
        <w:spacing w:line="560" w:lineRule="exact"/>
        <w:ind w:left="1222" w:leftChars="320" w:hanging="454" w:hangingChars="142"/>
        <w:jc w:val="left"/>
        <w:textAlignment w:val="auto"/>
        <w:rPr>
          <w:rFonts w:hint="eastAsia" w:ascii="黑体" w:hAnsi="黑体" w:eastAsia="黑体" w:cs="黑体"/>
          <w:b w:val="0"/>
          <w:bCs w:val="0"/>
          <w:color w:val="auto"/>
          <w:sz w:val="32"/>
          <w:szCs w:val="32"/>
          <w:highlight w:val="none"/>
        </w:rPr>
      </w:pPr>
      <w:bookmarkStart w:id="157" w:name="_Toc10627415"/>
      <w:r>
        <w:rPr>
          <w:rFonts w:hint="eastAsia" w:ascii="黑体" w:hAnsi="黑体" w:eastAsia="黑体" w:cs="黑体"/>
          <w:b w:val="0"/>
          <w:bCs w:val="0"/>
          <w:color w:val="auto"/>
          <w:sz w:val="32"/>
          <w:szCs w:val="32"/>
          <w:highlight w:val="none"/>
        </w:rPr>
        <w:t>5. 支付</w:t>
      </w:r>
      <w:bookmarkEnd w:id="157"/>
    </w:p>
    <w:p w14:paraId="313F8780">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rPr>
      </w:pPr>
      <w:bookmarkStart w:id="158" w:name="_Toc10627416"/>
      <w:r>
        <w:rPr>
          <w:rFonts w:hint="eastAsia" w:ascii="黑体" w:hAnsi="黑体" w:eastAsia="黑体" w:cs="黑体"/>
          <w:b w:val="0"/>
          <w:bCs w:val="0"/>
          <w:color w:val="auto"/>
          <w:sz w:val="28"/>
          <w:szCs w:val="28"/>
          <w:highlight w:val="none"/>
        </w:rPr>
        <w:t>5.1 支付货币</w:t>
      </w:r>
      <w:bookmarkEnd w:id="158"/>
    </w:p>
    <w:p w14:paraId="7EAE8B74">
      <w:pPr>
        <w:pageBreakBefore w:val="0"/>
        <w:kinsoku/>
        <w:wordWrap/>
        <w:overflowPunct/>
        <w:topLinePunct w:val="0"/>
        <w:bidi w:val="0"/>
        <w:snapToGrid w:val="0"/>
        <w:spacing w:line="560" w:lineRule="exact"/>
        <w:ind w:left="240" w:leftChars="100"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除专用条款另有约定外，</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费用均以人民币支付。</w:t>
      </w:r>
    </w:p>
    <w:p w14:paraId="72DBFCD9">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rPr>
      </w:pPr>
      <w:bookmarkStart w:id="159" w:name="_Toc10627417"/>
      <w:r>
        <w:rPr>
          <w:rFonts w:hint="eastAsia" w:ascii="黑体" w:hAnsi="黑体" w:eastAsia="黑体" w:cs="黑体"/>
          <w:b w:val="0"/>
          <w:bCs w:val="0"/>
          <w:color w:val="auto"/>
          <w:sz w:val="28"/>
          <w:szCs w:val="28"/>
          <w:highlight w:val="none"/>
        </w:rPr>
        <w:t>5.2</w:t>
      </w:r>
      <w:r>
        <w:rPr>
          <w:rFonts w:hint="eastAsia" w:ascii="黑体" w:hAnsi="黑体" w:eastAsia="黑体" w:cs="黑体"/>
          <w:b w:val="0"/>
          <w:bCs w:val="0"/>
          <w:color w:val="auto"/>
          <w:sz w:val="28"/>
          <w:szCs w:val="28"/>
          <w:highlight w:val="none"/>
          <w:lang w:eastAsia="zh-CN"/>
        </w:rPr>
        <w:t>检测、监测</w:t>
      </w:r>
      <w:r>
        <w:rPr>
          <w:rFonts w:hint="eastAsia" w:ascii="黑体" w:hAnsi="黑体" w:eastAsia="黑体" w:cs="黑体"/>
          <w:b w:val="0"/>
          <w:bCs w:val="0"/>
          <w:color w:val="auto"/>
          <w:sz w:val="28"/>
          <w:szCs w:val="28"/>
          <w:highlight w:val="none"/>
        </w:rPr>
        <w:t>项目费用计算方式、金额</w:t>
      </w:r>
      <w:bookmarkEnd w:id="159"/>
    </w:p>
    <w:p w14:paraId="15CB4A43">
      <w:pPr>
        <w:pageBreakBefore w:val="0"/>
        <w:kinsoku/>
        <w:wordWrap/>
        <w:overflowPunct/>
        <w:topLinePunct w:val="0"/>
        <w:bidi w:val="0"/>
        <w:snapToGrid w:val="0"/>
        <w:spacing w:line="560" w:lineRule="exact"/>
        <w:ind w:left="240" w:leftChars="100"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5.2.1</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费用的计算方式可采用单价包干或总价包干，具体计算方式及结算金额在专用条款中明确。</w:t>
      </w:r>
    </w:p>
    <w:p w14:paraId="28595285">
      <w:pPr>
        <w:pageBreakBefore w:val="0"/>
        <w:kinsoku/>
        <w:wordWrap/>
        <w:overflowPunct/>
        <w:topLinePunct w:val="0"/>
        <w:bidi w:val="0"/>
        <w:spacing w:line="560" w:lineRule="exact"/>
        <w:ind w:firstLine="700" w:firstLineChars="25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5.2.2</w:t>
      </w:r>
      <w:r>
        <w:rPr>
          <w:rFonts w:hint="eastAsia" w:ascii="仿宋_GB2312" w:hAnsi="仿宋_GB2312" w:eastAsia="仿宋_GB2312" w:cs="仿宋_GB2312"/>
          <w:color w:val="auto"/>
          <w:sz w:val="28"/>
          <w:szCs w:val="28"/>
          <w:highlight w:val="none"/>
        </w:rPr>
        <w:t>计算方式为单价包干性质的，具体内容包括人工费、设备使用费、设备进出场费、检测试验费、报告编写费、各项管理费、利润、及所有因工程质量</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应交纳的政府规费、税金等，不论实际费用有无发生，亦不论各项费用有无涨落，结算时均不再调整。</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现场不提供办公及住宿等条件，所有费用由</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在投标报价中综合考虑。</w:t>
      </w:r>
    </w:p>
    <w:p w14:paraId="25531D75">
      <w:pPr>
        <w:pageBreakBefore w:val="0"/>
        <w:kinsoku/>
        <w:wordWrap/>
        <w:overflowPunct/>
        <w:topLinePunct w:val="0"/>
        <w:bidi w:val="0"/>
        <w:spacing w:line="560" w:lineRule="exact"/>
        <w:ind w:firstLine="700" w:firstLineChars="25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5.2.3</w:t>
      </w:r>
      <w:r>
        <w:rPr>
          <w:rFonts w:hint="eastAsia" w:ascii="仿宋_GB2312" w:hAnsi="仿宋_GB2312" w:eastAsia="仿宋_GB2312" w:cs="仿宋_GB2312"/>
          <w:color w:val="auto"/>
          <w:sz w:val="28"/>
          <w:szCs w:val="28"/>
          <w:highlight w:val="none"/>
        </w:rPr>
        <w:t>计算方式为总价包干性质的，具体内容包括人工费、设备使用费、设备进出场费、检测试验费、报告编写费、各项管理费、利润、及所有因工程质量</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应交纳的政府规费、税金等，不论实际费用有无发生，亦不论各项费用有无涨落，结算时均不再调整。</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现场不提供办公及住宿等条件，所有费用由</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在投标报价中综合考虑。</w:t>
      </w:r>
    </w:p>
    <w:p w14:paraId="6D088E81">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eastAsia="zh-CN"/>
        </w:rPr>
      </w:pPr>
      <w:bookmarkStart w:id="160" w:name="_Toc10627418"/>
      <w:r>
        <w:rPr>
          <w:rFonts w:hint="eastAsia" w:ascii="黑体" w:hAnsi="黑体" w:eastAsia="黑体" w:cs="黑体"/>
          <w:b w:val="0"/>
          <w:bCs w:val="0"/>
          <w:color w:val="auto"/>
          <w:sz w:val="28"/>
          <w:szCs w:val="28"/>
          <w:highlight w:val="none"/>
          <w:lang w:eastAsia="zh-CN"/>
        </w:rPr>
        <w:t>5.3支付方式</w:t>
      </w:r>
      <w:bookmarkEnd w:id="160"/>
    </w:p>
    <w:p w14:paraId="58EFF130">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费用支付方式在专用条款中约定。</w:t>
      </w:r>
    </w:p>
    <w:p w14:paraId="7F55A6AC">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eastAsia="zh-CN"/>
        </w:rPr>
      </w:pPr>
      <w:bookmarkStart w:id="161" w:name="_Toc10627419"/>
      <w:r>
        <w:rPr>
          <w:rFonts w:hint="eastAsia" w:ascii="黑体" w:hAnsi="黑体" w:eastAsia="黑体" w:cs="黑体"/>
          <w:b w:val="0"/>
          <w:bCs w:val="0"/>
          <w:color w:val="auto"/>
          <w:sz w:val="28"/>
          <w:szCs w:val="28"/>
          <w:highlight w:val="none"/>
          <w:lang w:eastAsia="zh-CN"/>
        </w:rPr>
        <w:t>5.4 支付申请资料</w:t>
      </w:r>
      <w:bookmarkEnd w:id="161"/>
    </w:p>
    <w:p w14:paraId="211505D8">
      <w:pPr>
        <w:pageBreakBefore w:val="0"/>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乙方向甲方申请进度款或结算款时，应提供以下资料：</w:t>
      </w:r>
    </w:p>
    <w:p w14:paraId="3C746694">
      <w:pPr>
        <w:pageBreakBefore w:val="0"/>
        <w:kinsoku/>
        <w:wordWrap/>
        <w:overflowPunct/>
        <w:topLinePunct w:val="0"/>
        <w:bidi w:val="0"/>
        <w:spacing w:line="560" w:lineRule="exact"/>
        <w:ind w:firstLine="548" w:firstLineChars="196"/>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1.</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费用请款书；</w:t>
      </w:r>
    </w:p>
    <w:p w14:paraId="440710F5">
      <w:pPr>
        <w:pageBreakBefore w:val="0"/>
        <w:kinsoku/>
        <w:wordWrap/>
        <w:overflowPunct/>
        <w:topLinePunct w:val="0"/>
        <w:bidi w:val="0"/>
        <w:spacing w:line="560" w:lineRule="exact"/>
        <w:ind w:firstLine="548" w:firstLineChars="196"/>
        <w:jc w:val="left"/>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w:t>
      </w:r>
      <w:r>
        <w:rPr>
          <w:rFonts w:hint="eastAsia" w:ascii="仿宋_GB2312" w:hAnsi="仿宋_GB2312" w:eastAsia="仿宋_GB2312" w:cs="仿宋_GB2312"/>
          <w:color w:val="auto"/>
          <w:sz w:val="28"/>
          <w:szCs w:val="28"/>
          <w:highlight w:val="none"/>
        </w:rPr>
        <w:t>经甲方现场代表或经甲方授权的现场监理代表签字确认</w:t>
      </w:r>
      <w:r>
        <w:rPr>
          <w:rFonts w:hint="eastAsia" w:ascii="Times New Roman" w:hAnsi="Times New Roman" w:eastAsia="仿宋_GB2312" w:cs="Times New Roman"/>
          <w:color w:val="auto"/>
          <w:sz w:val="28"/>
          <w:szCs w:val="28"/>
          <w:highlight w:val="none"/>
        </w:rPr>
        <w:t>的现场工程签证表；</w:t>
      </w:r>
    </w:p>
    <w:p w14:paraId="5F9358EA">
      <w:pPr>
        <w:pageBreakBefore w:val="0"/>
        <w:kinsoku/>
        <w:wordWrap/>
        <w:overflowPunct/>
        <w:topLinePunct w:val="0"/>
        <w:bidi w:val="0"/>
        <w:spacing w:line="560" w:lineRule="exact"/>
        <w:ind w:firstLine="548" w:firstLineChars="196"/>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3.</w:t>
      </w:r>
      <w:r>
        <w:rPr>
          <w:rFonts w:hint="eastAsia" w:ascii="仿宋_GB2312" w:hAnsi="仿宋_GB2312" w:eastAsia="仿宋_GB2312" w:cs="仿宋_GB2312"/>
          <w:color w:val="auto"/>
          <w:kern w:val="0"/>
          <w:sz w:val="28"/>
          <w:szCs w:val="28"/>
          <w:highlight w:val="none"/>
        </w:rPr>
        <w:t>经甲方现场代表或经甲方授权的现场监理代表签字的</w:t>
      </w:r>
      <w:r>
        <w:rPr>
          <w:rFonts w:hint="eastAsia" w:ascii="仿宋_GB2312" w:hAnsi="仿宋_GB2312" w:eastAsia="仿宋_GB2312" w:cs="仿宋_GB2312"/>
          <w:color w:val="auto"/>
          <w:kern w:val="0"/>
          <w:sz w:val="28"/>
          <w:szCs w:val="28"/>
          <w:highlight w:val="none"/>
          <w:lang w:eastAsia="zh-CN"/>
        </w:rPr>
        <w:t>检测、监测</w:t>
      </w:r>
      <w:r>
        <w:rPr>
          <w:rFonts w:hint="eastAsia" w:ascii="仿宋_GB2312" w:hAnsi="仿宋_GB2312" w:eastAsia="仿宋_GB2312" w:cs="仿宋_GB2312"/>
          <w:color w:val="auto"/>
          <w:kern w:val="0"/>
          <w:sz w:val="28"/>
          <w:szCs w:val="28"/>
          <w:highlight w:val="none"/>
        </w:rPr>
        <w:t>工作量汇总表</w:t>
      </w:r>
      <w:r>
        <w:rPr>
          <w:rFonts w:hint="eastAsia" w:ascii="仿宋_GB2312" w:hAnsi="仿宋_GB2312" w:eastAsia="仿宋_GB2312" w:cs="仿宋_GB2312"/>
          <w:color w:val="auto"/>
          <w:sz w:val="28"/>
          <w:szCs w:val="28"/>
          <w:highlight w:val="none"/>
        </w:rPr>
        <w:t>（含报告编号，不提供</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报告）；</w:t>
      </w:r>
    </w:p>
    <w:p w14:paraId="11D5BDCF">
      <w:pPr>
        <w:pageBreakBefore w:val="0"/>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4.</w:t>
      </w:r>
      <w:r>
        <w:rPr>
          <w:rFonts w:hint="eastAsia" w:ascii="仿宋_GB2312" w:hAnsi="仿宋_GB2312" w:eastAsia="仿宋_GB2312" w:cs="仿宋_GB2312"/>
          <w:color w:val="auto"/>
          <w:sz w:val="28"/>
          <w:szCs w:val="28"/>
          <w:highlight w:val="none"/>
        </w:rPr>
        <w:t>双方约定的其它资料，可在专用条款中明确。</w:t>
      </w:r>
    </w:p>
    <w:p w14:paraId="47EEB398">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eastAsia="zh-CN"/>
        </w:rPr>
      </w:pPr>
      <w:bookmarkStart w:id="162" w:name="_Toc10627420"/>
      <w:r>
        <w:rPr>
          <w:rFonts w:hint="eastAsia" w:ascii="黑体" w:hAnsi="黑体" w:eastAsia="黑体" w:cs="黑体"/>
          <w:b w:val="0"/>
          <w:bCs w:val="0"/>
          <w:color w:val="auto"/>
          <w:sz w:val="28"/>
          <w:szCs w:val="28"/>
          <w:highlight w:val="none"/>
          <w:lang w:eastAsia="zh-CN"/>
        </w:rPr>
        <w:t>5.5有异议部分的支付</w:t>
      </w:r>
      <w:bookmarkEnd w:id="162"/>
    </w:p>
    <w:p w14:paraId="1E531067">
      <w:pPr>
        <w:pageBreakBefore w:val="0"/>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甲方对乙方提交的支付申请书有异议时，应当在收到乙方提交的支付申请书后 7天内，以书面形式向乙方发出异议通知。无异议部分的款项应按期支付，有异议部分的款项按通用条款第7条约定办理。</w:t>
      </w:r>
    </w:p>
    <w:p w14:paraId="054A078D">
      <w:pPr>
        <w:pStyle w:val="7"/>
        <w:pageBreakBefore w:val="0"/>
        <w:numPr>
          <w:ilvl w:val="0"/>
          <w:numId w:val="0"/>
        </w:numPr>
        <w:kinsoku/>
        <w:wordWrap/>
        <w:overflowPunct/>
        <w:topLinePunct w:val="0"/>
        <w:bidi w:val="0"/>
        <w:spacing w:line="560" w:lineRule="exact"/>
        <w:ind w:left="1222" w:leftChars="320" w:hanging="454" w:hangingChars="142"/>
        <w:jc w:val="left"/>
        <w:textAlignment w:val="auto"/>
        <w:rPr>
          <w:rFonts w:hint="eastAsia" w:ascii="黑体" w:hAnsi="黑体" w:eastAsia="黑体" w:cs="黑体"/>
          <w:b w:val="0"/>
          <w:bCs w:val="0"/>
          <w:color w:val="auto"/>
          <w:sz w:val="32"/>
          <w:szCs w:val="32"/>
          <w:highlight w:val="none"/>
          <w:lang w:eastAsia="zh-CN"/>
        </w:rPr>
      </w:pPr>
      <w:bookmarkStart w:id="163" w:name="_Toc10627421"/>
      <w:r>
        <w:rPr>
          <w:rFonts w:hint="eastAsia" w:ascii="黑体" w:hAnsi="黑体" w:eastAsia="黑体" w:cs="黑体"/>
          <w:b w:val="0"/>
          <w:bCs w:val="0"/>
          <w:color w:val="auto"/>
          <w:sz w:val="32"/>
          <w:szCs w:val="32"/>
          <w:highlight w:val="none"/>
          <w:lang w:eastAsia="zh-CN"/>
        </w:rPr>
        <w:t>6.合同变更、解除与终止</w:t>
      </w:r>
      <w:bookmarkEnd w:id="163"/>
    </w:p>
    <w:p w14:paraId="2C84207B">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eastAsia="zh-CN"/>
        </w:rPr>
      </w:pPr>
      <w:bookmarkStart w:id="164" w:name="_Toc10627422"/>
      <w:r>
        <w:rPr>
          <w:rFonts w:hint="eastAsia" w:ascii="黑体" w:hAnsi="黑体" w:eastAsia="黑体" w:cs="黑体"/>
          <w:b w:val="0"/>
          <w:bCs w:val="0"/>
          <w:color w:val="auto"/>
          <w:sz w:val="28"/>
          <w:szCs w:val="28"/>
          <w:highlight w:val="none"/>
          <w:lang w:eastAsia="zh-CN"/>
        </w:rPr>
        <w:t>6.1合同变更</w:t>
      </w:r>
      <w:bookmarkEnd w:id="164"/>
    </w:p>
    <w:p w14:paraId="17C25FC2">
      <w:pPr>
        <w:pageBreakBefore w:val="0"/>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6.1.1</w:t>
      </w:r>
      <w:r>
        <w:rPr>
          <w:rFonts w:hint="eastAsia" w:ascii="仿宋_GB2312" w:hAnsi="仿宋_GB2312" w:eastAsia="仿宋_GB2312" w:cs="仿宋_GB2312"/>
          <w:color w:val="auto"/>
          <w:sz w:val="28"/>
          <w:szCs w:val="28"/>
          <w:highlight w:val="none"/>
        </w:rPr>
        <w:t>任何一方以书面形式提出变更请求时，双方经协商一致后可进行变更。</w:t>
      </w:r>
    </w:p>
    <w:p w14:paraId="1983EF3D">
      <w:pPr>
        <w:pageBreakBefore w:val="0"/>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6.1.2</w:t>
      </w:r>
      <w:r>
        <w:rPr>
          <w:rFonts w:hint="eastAsia" w:ascii="仿宋_GB2312" w:hAnsi="仿宋_GB2312" w:eastAsia="仿宋_GB2312" w:cs="仿宋_GB2312"/>
          <w:color w:val="auto"/>
          <w:sz w:val="28"/>
          <w:szCs w:val="28"/>
          <w:highlight w:val="none"/>
        </w:rPr>
        <w:t>除不可抗力外，因非乙方原因导致乙方履行合同新增工程量时，乙方应当将此情况与可能产生的影响及时通知甲方，增加的工程量甲方应予以确认。新增</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费用的确定方法由双方根据委托的服务范围及工作内容在专用条款中约定。</w:t>
      </w:r>
    </w:p>
    <w:p w14:paraId="2676CE1F">
      <w:pPr>
        <w:pageBreakBefore w:val="0"/>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6.1.3</w:t>
      </w:r>
      <w:r>
        <w:rPr>
          <w:rFonts w:hint="eastAsia" w:ascii="仿宋_GB2312" w:hAnsi="仿宋_GB2312" w:eastAsia="仿宋_GB2312" w:cs="仿宋_GB2312"/>
          <w:color w:val="auto"/>
          <w:sz w:val="28"/>
          <w:szCs w:val="28"/>
          <w:highlight w:val="none"/>
        </w:rPr>
        <w:t>合同履行过程中，遇国家、地方政府以及行业主管部门现行有效的规范、标准、规程和文件发生变化而引起质量</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的服务范围及工程量变化的，双方应通过协商确定调整方法。</w:t>
      </w:r>
    </w:p>
    <w:p w14:paraId="1365F9E8">
      <w:pPr>
        <w:pageBreakBefore w:val="0"/>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6.1.4</w:t>
      </w:r>
      <w:r>
        <w:rPr>
          <w:rFonts w:hint="eastAsia" w:ascii="仿宋_GB2312" w:hAnsi="仿宋_GB2312" w:eastAsia="仿宋_GB2312" w:cs="仿宋_GB2312"/>
          <w:color w:val="auto"/>
          <w:sz w:val="28"/>
          <w:szCs w:val="28"/>
          <w:highlight w:val="none"/>
        </w:rPr>
        <w:t>因工程规模、服务范围及工作内容的变化等导致乙方的工作量增减时，</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费用应作相应调整，调整方法由双方在专用条款中约定。</w:t>
      </w:r>
    </w:p>
    <w:p w14:paraId="490A48E9">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eastAsia="zh-CN"/>
        </w:rPr>
      </w:pPr>
      <w:bookmarkStart w:id="165" w:name="_Toc10627423"/>
      <w:r>
        <w:rPr>
          <w:rFonts w:hint="eastAsia" w:ascii="黑体" w:hAnsi="黑体" w:eastAsia="黑体" w:cs="黑体"/>
          <w:b w:val="0"/>
          <w:bCs w:val="0"/>
          <w:color w:val="auto"/>
          <w:sz w:val="28"/>
          <w:szCs w:val="28"/>
          <w:highlight w:val="none"/>
          <w:lang w:eastAsia="zh-CN"/>
        </w:rPr>
        <w:t>6.2合同解除</w:t>
      </w:r>
      <w:bookmarkEnd w:id="165"/>
    </w:p>
    <w:p w14:paraId="4FB59FE0">
      <w:pPr>
        <w:pageBreakBefore w:val="0"/>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6.2.1</w:t>
      </w:r>
      <w:r>
        <w:rPr>
          <w:rFonts w:hint="eastAsia" w:ascii="仿宋_GB2312" w:hAnsi="仿宋_GB2312" w:eastAsia="仿宋_GB2312" w:cs="仿宋_GB2312"/>
          <w:color w:val="auto"/>
          <w:sz w:val="28"/>
          <w:szCs w:val="28"/>
          <w:highlight w:val="none"/>
        </w:rPr>
        <w:t>甲方与乙方协商一致，可以解除合同。</w:t>
      </w:r>
    </w:p>
    <w:p w14:paraId="666FC65F">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6.2.2</w:t>
      </w:r>
      <w:r>
        <w:rPr>
          <w:rFonts w:hint="eastAsia" w:ascii="仿宋_GB2312" w:hAnsi="仿宋_GB2312" w:eastAsia="仿宋_GB2312" w:cs="仿宋_GB2312"/>
          <w:color w:val="auto"/>
          <w:sz w:val="28"/>
          <w:szCs w:val="28"/>
          <w:highlight w:val="none"/>
        </w:rPr>
        <w:t>有下列情形之一的，合同当事人一方或双方可以解除合同：</w:t>
      </w:r>
    </w:p>
    <w:p w14:paraId="63354EC3">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1.</w:t>
      </w:r>
      <w:r>
        <w:rPr>
          <w:rFonts w:hint="eastAsia" w:ascii="仿宋_GB2312" w:hAnsi="仿宋_GB2312" w:eastAsia="仿宋_GB2312" w:cs="仿宋_GB2312"/>
          <w:color w:val="auto"/>
          <w:sz w:val="28"/>
          <w:szCs w:val="28"/>
          <w:highlight w:val="none"/>
        </w:rPr>
        <w:t>乙方提供的质量</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服务不符合合同约定的要求，经甲方催告仍不能达到合同约定要求的，甲方可以解除合同；</w:t>
      </w:r>
    </w:p>
    <w:p w14:paraId="00F5910B">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2.</w:t>
      </w:r>
      <w:r>
        <w:rPr>
          <w:rFonts w:hint="eastAsia" w:ascii="仿宋_GB2312" w:hAnsi="仿宋_GB2312" w:eastAsia="仿宋_GB2312" w:cs="仿宋_GB2312"/>
          <w:color w:val="auto"/>
          <w:sz w:val="28"/>
          <w:szCs w:val="28"/>
          <w:highlight w:val="none"/>
        </w:rPr>
        <w:t>甲方未按合同约定支付</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费用，经乙方催告后，在 28天内仍未支付的，乙方可以解除合同；</w:t>
      </w:r>
    </w:p>
    <w:p w14:paraId="5D3B1A39">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3.</w:t>
      </w:r>
      <w:r>
        <w:rPr>
          <w:rFonts w:hint="eastAsia" w:ascii="仿宋_GB2312" w:hAnsi="仿宋_GB2312" w:eastAsia="仿宋_GB2312" w:cs="仿宋_GB2312"/>
          <w:color w:val="auto"/>
          <w:sz w:val="28"/>
          <w:szCs w:val="28"/>
          <w:highlight w:val="none"/>
        </w:rPr>
        <w:t>因不可抗力致使合同无法履行；</w:t>
      </w:r>
    </w:p>
    <w:p w14:paraId="7A533772">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4.</w:t>
      </w:r>
      <w:r>
        <w:rPr>
          <w:rFonts w:hint="eastAsia" w:ascii="仿宋_GB2312" w:hAnsi="仿宋_GB2312" w:eastAsia="仿宋_GB2312" w:cs="仿宋_GB2312"/>
          <w:color w:val="auto"/>
          <w:sz w:val="28"/>
          <w:szCs w:val="28"/>
          <w:highlight w:val="none"/>
        </w:rPr>
        <w:t>因一方违约致使合同无法实际履行或实际履行已无必要。</w:t>
      </w:r>
    </w:p>
    <w:p w14:paraId="1D7C63EB">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除上述情形外，双方可以根据委托的服务范围及工作内容，在专用条款中约定解除合同的其他条件。</w:t>
      </w:r>
    </w:p>
    <w:p w14:paraId="4206DE1A">
      <w:pPr>
        <w:pageBreakBefore w:val="0"/>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6.2.3</w:t>
      </w:r>
      <w:r>
        <w:rPr>
          <w:rFonts w:hint="eastAsia" w:ascii="仿宋_GB2312" w:hAnsi="仿宋_GB2312" w:eastAsia="仿宋_GB2312" w:cs="仿宋_GB2312"/>
          <w:color w:val="auto"/>
          <w:sz w:val="28"/>
          <w:szCs w:val="28"/>
          <w:highlight w:val="none"/>
        </w:rPr>
        <w:t>因甲方原因导致合同解除的，甲方应按照合同约定向乙方支付已完成部分的</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w:t>
      </w:r>
    </w:p>
    <w:p w14:paraId="1CF22A2F">
      <w:pPr>
        <w:pageBreakBefore w:val="0"/>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6.2.4</w:t>
      </w:r>
      <w:r>
        <w:rPr>
          <w:rFonts w:hint="eastAsia" w:ascii="仿宋_GB2312" w:hAnsi="仿宋_GB2312" w:eastAsia="仿宋_GB2312" w:cs="仿宋_GB2312"/>
          <w:color w:val="auto"/>
          <w:sz w:val="28"/>
          <w:szCs w:val="28"/>
          <w:highlight w:val="none"/>
        </w:rPr>
        <w:t>因不可抗力导致的合同解除，其损失的分担按照合理分担的原则由合同当事人在专用条款中自行约定。因乙方自身原因导致的合同解除，按照违约责任处理。</w:t>
      </w:r>
    </w:p>
    <w:p w14:paraId="68238D22">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6.2.</w:t>
      </w:r>
      <w:r>
        <w:rPr>
          <w:rFonts w:hint="eastAsia" w:ascii="Times New Roman" w:hAnsi="Times New Roman" w:eastAsia="仿宋_GB2312" w:cs="Times New Roman"/>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本合同解除后，本合同约定的有关结算、争议解决方式的条款仍然有效。</w:t>
      </w:r>
    </w:p>
    <w:p w14:paraId="3F8A04D8">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eastAsia="zh-CN"/>
        </w:rPr>
      </w:pPr>
      <w:bookmarkStart w:id="166" w:name="_Toc10627424"/>
      <w:r>
        <w:rPr>
          <w:rFonts w:hint="eastAsia" w:ascii="黑体" w:hAnsi="黑体" w:eastAsia="黑体" w:cs="黑体"/>
          <w:b w:val="0"/>
          <w:bCs w:val="0"/>
          <w:color w:val="auto"/>
          <w:sz w:val="28"/>
          <w:szCs w:val="28"/>
          <w:highlight w:val="none"/>
          <w:lang w:eastAsia="zh-CN"/>
        </w:rPr>
        <w:t>6.3合同终止条件</w:t>
      </w:r>
      <w:bookmarkEnd w:id="166"/>
    </w:p>
    <w:p w14:paraId="0749E051">
      <w:pPr>
        <w:pageBreakBefore w:val="0"/>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除合同解除外，以下条件全部满足时，本合同终止：</w:t>
      </w:r>
    </w:p>
    <w:p w14:paraId="085DBA27">
      <w:pPr>
        <w:pageBreakBefore w:val="0"/>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1.</w:t>
      </w:r>
      <w:r>
        <w:rPr>
          <w:rFonts w:hint="eastAsia" w:ascii="仿宋_GB2312" w:hAnsi="仿宋_GB2312" w:eastAsia="仿宋_GB2312" w:cs="仿宋_GB2312"/>
          <w:color w:val="auto"/>
          <w:sz w:val="28"/>
          <w:szCs w:val="28"/>
          <w:highlight w:val="none"/>
        </w:rPr>
        <w:t>乙方完成本合同约定的全部工作；</w:t>
      </w:r>
    </w:p>
    <w:p w14:paraId="2725B474">
      <w:pPr>
        <w:pageBreakBefore w:val="0"/>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2.</w:t>
      </w:r>
      <w:r>
        <w:rPr>
          <w:rFonts w:hint="eastAsia" w:ascii="仿宋_GB2312" w:hAnsi="仿宋_GB2312" w:eastAsia="仿宋_GB2312" w:cs="仿宋_GB2312"/>
          <w:color w:val="auto"/>
          <w:sz w:val="28"/>
          <w:szCs w:val="28"/>
          <w:highlight w:val="none"/>
        </w:rPr>
        <w:t>甲方与乙方结清并支付</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w:t>
      </w:r>
    </w:p>
    <w:p w14:paraId="3ACC23AE">
      <w:pPr>
        <w:pStyle w:val="7"/>
        <w:pageBreakBefore w:val="0"/>
        <w:numPr>
          <w:ilvl w:val="0"/>
          <w:numId w:val="0"/>
        </w:numPr>
        <w:kinsoku/>
        <w:wordWrap/>
        <w:overflowPunct/>
        <w:topLinePunct w:val="0"/>
        <w:bidi w:val="0"/>
        <w:spacing w:line="560" w:lineRule="exact"/>
        <w:ind w:left="1222" w:leftChars="320" w:hanging="454" w:hangingChars="142"/>
        <w:jc w:val="left"/>
        <w:textAlignment w:val="auto"/>
        <w:rPr>
          <w:rFonts w:hint="eastAsia" w:ascii="黑体" w:hAnsi="黑体" w:eastAsia="黑体" w:cs="黑体"/>
          <w:b w:val="0"/>
          <w:bCs w:val="0"/>
          <w:color w:val="auto"/>
          <w:sz w:val="32"/>
          <w:szCs w:val="32"/>
          <w:highlight w:val="none"/>
          <w:lang w:eastAsia="zh-CN"/>
        </w:rPr>
      </w:pPr>
      <w:bookmarkStart w:id="167" w:name="_Toc10627425"/>
      <w:r>
        <w:rPr>
          <w:rFonts w:hint="eastAsia" w:ascii="黑体" w:hAnsi="黑体" w:eastAsia="黑体" w:cs="黑体"/>
          <w:b w:val="0"/>
          <w:bCs w:val="0"/>
          <w:color w:val="auto"/>
          <w:sz w:val="32"/>
          <w:szCs w:val="32"/>
          <w:highlight w:val="none"/>
          <w:lang w:eastAsia="zh-CN"/>
        </w:rPr>
        <w:t>7. 争议解决</w:t>
      </w:r>
      <w:bookmarkEnd w:id="167"/>
    </w:p>
    <w:p w14:paraId="13EC78A3">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eastAsia="zh-CN"/>
        </w:rPr>
      </w:pPr>
      <w:bookmarkStart w:id="168" w:name="_Toc10627426"/>
      <w:r>
        <w:rPr>
          <w:rFonts w:hint="eastAsia" w:ascii="黑体" w:hAnsi="黑体" w:eastAsia="黑体" w:cs="黑体"/>
          <w:b w:val="0"/>
          <w:bCs w:val="0"/>
          <w:color w:val="auto"/>
          <w:sz w:val="28"/>
          <w:szCs w:val="28"/>
          <w:highlight w:val="none"/>
          <w:lang w:eastAsia="zh-CN"/>
        </w:rPr>
        <w:t>7.1协商</w:t>
      </w:r>
      <w:bookmarkEnd w:id="168"/>
    </w:p>
    <w:p w14:paraId="0DCE7DD2">
      <w:pPr>
        <w:pageBreakBefore w:val="0"/>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双方应本着诚实信用的原则协商解决本合同履行过程中发生的争议。</w:t>
      </w:r>
    </w:p>
    <w:p w14:paraId="0FAB398A">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eastAsia="zh-CN"/>
        </w:rPr>
      </w:pPr>
      <w:bookmarkStart w:id="169" w:name="_Toc10627427"/>
      <w:r>
        <w:rPr>
          <w:rFonts w:hint="eastAsia" w:ascii="黑体" w:hAnsi="黑体" w:eastAsia="黑体" w:cs="黑体"/>
          <w:b w:val="0"/>
          <w:bCs w:val="0"/>
          <w:color w:val="auto"/>
          <w:sz w:val="28"/>
          <w:szCs w:val="28"/>
          <w:highlight w:val="none"/>
          <w:lang w:eastAsia="zh-CN"/>
        </w:rPr>
        <w:t>7.2仲裁或诉讼</w:t>
      </w:r>
      <w:bookmarkEnd w:id="169"/>
    </w:p>
    <w:p w14:paraId="0AC10A24">
      <w:pPr>
        <w:pageBreakBefore w:val="0"/>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28"/>
          <w:szCs w:val="28"/>
          <w:highlight w:val="none"/>
        </w:rPr>
        <w:t>协商不成时，双方有权向专用条款约定的仲裁机构申请仲裁或向有管辖权的人民法院提起诉讼。</w:t>
      </w:r>
    </w:p>
    <w:p w14:paraId="1AC7FEFE">
      <w:pPr>
        <w:pStyle w:val="7"/>
        <w:pageBreakBefore w:val="0"/>
        <w:numPr>
          <w:ilvl w:val="0"/>
          <w:numId w:val="0"/>
        </w:numPr>
        <w:kinsoku/>
        <w:wordWrap/>
        <w:overflowPunct/>
        <w:topLinePunct w:val="0"/>
        <w:bidi w:val="0"/>
        <w:spacing w:line="560" w:lineRule="exact"/>
        <w:ind w:left="1222" w:leftChars="320" w:hanging="454" w:hangingChars="142"/>
        <w:jc w:val="left"/>
        <w:textAlignment w:val="auto"/>
        <w:rPr>
          <w:rFonts w:hint="eastAsia" w:ascii="黑体" w:hAnsi="黑体" w:eastAsia="黑体" w:cs="黑体"/>
          <w:b w:val="0"/>
          <w:bCs w:val="0"/>
          <w:color w:val="auto"/>
          <w:sz w:val="32"/>
          <w:szCs w:val="32"/>
          <w:highlight w:val="none"/>
          <w:lang w:eastAsia="zh-CN"/>
        </w:rPr>
      </w:pPr>
      <w:bookmarkStart w:id="170" w:name="_Toc10627428"/>
      <w:r>
        <w:rPr>
          <w:rFonts w:hint="eastAsia" w:ascii="黑体" w:hAnsi="黑体" w:eastAsia="黑体" w:cs="黑体"/>
          <w:b w:val="0"/>
          <w:bCs w:val="0"/>
          <w:color w:val="auto"/>
          <w:sz w:val="32"/>
          <w:szCs w:val="32"/>
          <w:highlight w:val="none"/>
          <w:lang w:eastAsia="zh-CN"/>
        </w:rPr>
        <w:t>8. 其它</w:t>
      </w:r>
      <w:bookmarkEnd w:id="170"/>
    </w:p>
    <w:p w14:paraId="66982C24">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eastAsia="zh-CN"/>
        </w:rPr>
      </w:pPr>
      <w:bookmarkStart w:id="171" w:name="_Toc10627429"/>
      <w:r>
        <w:rPr>
          <w:rFonts w:hint="eastAsia" w:ascii="黑体" w:hAnsi="黑体" w:eastAsia="黑体" w:cs="黑体"/>
          <w:b w:val="0"/>
          <w:bCs w:val="0"/>
          <w:color w:val="auto"/>
          <w:sz w:val="28"/>
          <w:szCs w:val="28"/>
          <w:highlight w:val="none"/>
          <w:lang w:eastAsia="zh-CN"/>
        </w:rPr>
        <w:t>8.1 保密</w:t>
      </w:r>
      <w:bookmarkEnd w:id="171"/>
    </w:p>
    <w:p w14:paraId="0D1B96B5">
      <w:pPr>
        <w:pageBreakBefore w:val="0"/>
        <w:tabs>
          <w:tab w:val="left" w:pos="540"/>
        </w:tabs>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在本合同履行期间或专用条款约定的期限内，双方不得泄露对方申明的保密资料，亦不得泄露与实施工程有关的第三人所提供的保密资料。保密事项在专用条款中约定。</w:t>
      </w:r>
    </w:p>
    <w:p w14:paraId="6C8182FF">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eastAsia="zh-CN"/>
        </w:rPr>
      </w:pPr>
      <w:bookmarkStart w:id="172" w:name="_Toc10627430"/>
      <w:r>
        <w:rPr>
          <w:rFonts w:hint="eastAsia" w:ascii="黑体" w:hAnsi="黑体" w:eastAsia="黑体" w:cs="黑体"/>
          <w:b w:val="0"/>
          <w:bCs w:val="0"/>
          <w:color w:val="auto"/>
          <w:sz w:val="28"/>
          <w:szCs w:val="28"/>
          <w:highlight w:val="none"/>
          <w:lang w:eastAsia="zh-CN"/>
        </w:rPr>
        <w:t>8.2 通知与送达</w:t>
      </w:r>
      <w:bookmarkEnd w:id="172"/>
    </w:p>
    <w:p w14:paraId="216B4CE7">
      <w:pPr>
        <w:pageBreakBefore w:val="0"/>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8.2.1</w:t>
      </w:r>
      <w:r>
        <w:rPr>
          <w:rFonts w:hint="eastAsia" w:ascii="仿宋_GB2312" w:hAnsi="仿宋_GB2312" w:eastAsia="仿宋_GB2312" w:cs="仿宋_GB2312"/>
          <w:color w:val="auto"/>
          <w:sz w:val="28"/>
          <w:szCs w:val="28"/>
          <w:highlight w:val="none"/>
        </w:rPr>
        <w:t>与合同有关的通知、指示、要求、决定等，均应采用书面形式，并应在专用条款约定的期限内送达接收人和送达地点。</w:t>
      </w:r>
    </w:p>
    <w:p w14:paraId="7A451A3F">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8.2.2</w:t>
      </w:r>
      <w:r>
        <w:rPr>
          <w:rFonts w:hint="eastAsia" w:ascii="仿宋_GB2312" w:hAnsi="仿宋_GB2312" w:eastAsia="仿宋_GB2312" w:cs="仿宋_GB2312"/>
          <w:color w:val="auto"/>
          <w:sz w:val="28"/>
          <w:szCs w:val="28"/>
          <w:highlight w:val="none"/>
        </w:rPr>
        <w:t>甲方和乙方应在专用条款中约定各自的送达接收人、送达地点、电子邮箱。任何一方指定的接收人或送达地点或电子邮箱发生变动的，应提前 3天以书面形式通知对方，否则视为未发生变动。</w:t>
      </w:r>
    </w:p>
    <w:p w14:paraId="652151AE">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8.2.3</w:t>
      </w:r>
      <w:r>
        <w:rPr>
          <w:rFonts w:hint="eastAsia" w:ascii="仿宋_GB2312" w:hAnsi="仿宋_GB2312" w:eastAsia="仿宋_GB2312" w:cs="仿宋_GB2312"/>
          <w:color w:val="auto"/>
          <w:sz w:val="28"/>
          <w:szCs w:val="28"/>
          <w:highlight w:val="none"/>
        </w:rPr>
        <w:t>甲方和乙方应当及时签收另一方送达至送达地点和指定接收人的往来函件，如逾期未答复或确有充分证据证明一方无正当理由拒签的，视为认可往来函件的内容。</w:t>
      </w:r>
    </w:p>
    <w:p w14:paraId="0E2F362D">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eastAsia="zh-CN"/>
        </w:rPr>
      </w:pPr>
      <w:bookmarkStart w:id="173" w:name="_Toc10627431"/>
      <w:r>
        <w:rPr>
          <w:rFonts w:hint="eastAsia" w:ascii="黑体" w:hAnsi="黑体" w:eastAsia="黑体" w:cs="黑体"/>
          <w:b w:val="0"/>
          <w:bCs w:val="0"/>
          <w:color w:val="auto"/>
          <w:sz w:val="28"/>
          <w:szCs w:val="28"/>
          <w:highlight w:val="none"/>
          <w:lang w:eastAsia="zh-CN"/>
        </w:rPr>
        <w:t>8.3知识产权</w:t>
      </w:r>
      <w:bookmarkEnd w:id="173"/>
    </w:p>
    <w:p w14:paraId="313061C4">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合同涉及的知识产权的归属由双方在专用条款另行约定。</w:t>
      </w:r>
    </w:p>
    <w:p w14:paraId="61BB060C">
      <w:pPr>
        <w:pStyle w:val="5"/>
        <w:pageBreakBefore w:val="0"/>
        <w:tabs>
          <w:tab w:val="left" w:pos="420"/>
        </w:tabs>
        <w:kinsoku/>
        <w:wordWrap/>
        <w:overflowPunct/>
        <w:topLinePunct w:val="0"/>
        <w:bidi w:val="0"/>
        <w:spacing w:line="560" w:lineRule="exact"/>
        <w:ind w:left="494" w:leftChars="206" w:firstLine="177" w:firstLineChars="49"/>
        <w:jc w:val="center"/>
        <w:textAlignment w:val="auto"/>
        <w:rPr>
          <w:rFonts w:hint="eastAsia" w:ascii="仿宋_GB2312" w:hAnsi="仿宋_GB2312" w:eastAsia="仿宋_GB2312" w:cs="仿宋_GB2312"/>
          <w:b/>
          <w:bCs/>
          <w:color w:val="auto"/>
          <w:sz w:val="40"/>
          <w:szCs w:val="40"/>
          <w:highlight w:val="none"/>
        </w:rPr>
      </w:pPr>
      <w:r>
        <w:rPr>
          <w:rFonts w:hint="eastAsia" w:ascii="仿宋_GB2312" w:hAnsi="仿宋_GB2312" w:eastAsia="仿宋_GB2312" w:cs="仿宋_GB2312"/>
          <w:color w:val="auto"/>
          <w:sz w:val="36"/>
          <w:szCs w:val="36"/>
          <w:highlight w:val="none"/>
        </w:rPr>
        <w:br w:type="page"/>
      </w:r>
      <w:bookmarkStart w:id="174" w:name="_Toc10627432"/>
      <w:r>
        <w:rPr>
          <w:rFonts w:hint="eastAsia" w:ascii="方正小标宋简体" w:hAnsi="方正小标宋简体" w:eastAsia="方正小标宋简体" w:cs="方正小标宋简体"/>
          <w:b w:val="0"/>
          <w:bCs w:val="0"/>
          <w:color w:val="auto"/>
          <w:sz w:val="44"/>
          <w:szCs w:val="44"/>
          <w:highlight w:val="none"/>
        </w:rPr>
        <w:t>第三部分  专用条款</w:t>
      </w:r>
      <w:bookmarkEnd w:id="174"/>
    </w:p>
    <w:p w14:paraId="72E875DE">
      <w:pPr>
        <w:pStyle w:val="7"/>
        <w:pageBreakBefore w:val="0"/>
        <w:numPr>
          <w:ilvl w:val="0"/>
          <w:numId w:val="0"/>
        </w:numPr>
        <w:kinsoku/>
        <w:wordWrap/>
        <w:overflowPunct/>
        <w:topLinePunct w:val="0"/>
        <w:bidi w:val="0"/>
        <w:spacing w:line="560" w:lineRule="exact"/>
        <w:ind w:left="1222" w:leftChars="320" w:hanging="454" w:hangingChars="142"/>
        <w:jc w:val="left"/>
        <w:textAlignment w:val="auto"/>
        <w:rPr>
          <w:rFonts w:hint="eastAsia" w:ascii="黑体" w:hAnsi="黑体" w:eastAsia="黑体" w:cs="黑体"/>
          <w:b w:val="0"/>
          <w:bCs w:val="0"/>
          <w:color w:val="auto"/>
          <w:sz w:val="32"/>
          <w:szCs w:val="32"/>
          <w:highlight w:val="none"/>
          <w:lang w:eastAsia="zh-CN"/>
        </w:rPr>
      </w:pPr>
      <w:bookmarkStart w:id="175" w:name="_Toc10627433"/>
      <w:r>
        <w:rPr>
          <w:rFonts w:hint="eastAsia" w:ascii="黑体" w:hAnsi="黑体" w:eastAsia="黑体" w:cs="黑体"/>
          <w:b w:val="0"/>
          <w:bCs w:val="0"/>
          <w:color w:val="auto"/>
          <w:sz w:val="32"/>
          <w:szCs w:val="32"/>
          <w:highlight w:val="none"/>
          <w:lang w:eastAsia="zh-CN"/>
        </w:rPr>
        <w:t>1. 词语定义、语言、解释顺序与适用法律</w:t>
      </w:r>
      <w:bookmarkEnd w:id="175"/>
    </w:p>
    <w:p w14:paraId="2DF0AEE6">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eastAsia="zh-CN"/>
        </w:rPr>
      </w:pPr>
      <w:bookmarkStart w:id="176" w:name="_Toc10627434"/>
      <w:r>
        <w:rPr>
          <w:rFonts w:hint="eastAsia" w:ascii="黑体" w:hAnsi="黑体" w:eastAsia="黑体" w:cs="黑体"/>
          <w:b w:val="0"/>
          <w:bCs w:val="0"/>
          <w:color w:val="auto"/>
          <w:sz w:val="28"/>
          <w:szCs w:val="28"/>
          <w:highlight w:val="none"/>
          <w:lang w:eastAsia="zh-CN"/>
        </w:rPr>
        <w:t>1.2语言</w:t>
      </w:r>
      <w:bookmarkEnd w:id="176"/>
    </w:p>
    <w:p w14:paraId="380D9DF6">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本合同文件除使用中文外，还可用</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16CD6B89">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eastAsia="zh-CN"/>
        </w:rPr>
      </w:pPr>
      <w:bookmarkStart w:id="177" w:name="_Toc10627435"/>
      <w:r>
        <w:rPr>
          <w:rFonts w:hint="eastAsia" w:ascii="黑体" w:hAnsi="黑体" w:eastAsia="黑体" w:cs="黑体"/>
          <w:b w:val="0"/>
          <w:bCs w:val="0"/>
          <w:color w:val="auto"/>
          <w:sz w:val="28"/>
          <w:szCs w:val="28"/>
          <w:highlight w:val="none"/>
          <w:lang w:eastAsia="zh-CN"/>
        </w:rPr>
        <w:t>1.4适用法律</w:t>
      </w:r>
      <w:bookmarkEnd w:id="177"/>
    </w:p>
    <w:p w14:paraId="522E512A">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本合同适用的其他规范性文件包括：</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63BB8360">
      <w:pPr>
        <w:pStyle w:val="7"/>
        <w:pageBreakBefore w:val="0"/>
        <w:numPr>
          <w:ilvl w:val="0"/>
          <w:numId w:val="0"/>
        </w:numPr>
        <w:kinsoku/>
        <w:wordWrap/>
        <w:overflowPunct/>
        <w:topLinePunct w:val="0"/>
        <w:bidi w:val="0"/>
        <w:spacing w:line="560" w:lineRule="exact"/>
        <w:ind w:left="1222" w:leftChars="320" w:hanging="454" w:hangingChars="142"/>
        <w:jc w:val="left"/>
        <w:textAlignment w:val="auto"/>
        <w:rPr>
          <w:rFonts w:hint="eastAsia" w:ascii="黑体" w:hAnsi="黑体" w:eastAsia="黑体" w:cs="黑体"/>
          <w:b w:val="0"/>
          <w:bCs w:val="0"/>
          <w:color w:val="auto"/>
          <w:sz w:val="32"/>
          <w:szCs w:val="32"/>
          <w:highlight w:val="none"/>
          <w:lang w:eastAsia="zh-CN"/>
        </w:rPr>
      </w:pPr>
      <w:bookmarkStart w:id="178" w:name="_Toc10627436"/>
      <w:r>
        <w:rPr>
          <w:rFonts w:hint="eastAsia" w:ascii="黑体" w:hAnsi="黑体" w:eastAsia="黑体" w:cs="黑体"/>
          <w:b w:val="0"/>
          <w:bCs w:val="0"/>
          <w:color w:val="auto"/>
          <w:sz w:val="32"/>
          <w:szCs w:val="32"/>
          <w:highlight w:val="none"/>
          <w:lang w:eastAsia="zh-CN"/>
        </w:rPr>
        <w:t>2. 甲方的权利、义务</w:t>
      </w:r>
      <w:bookmarkEnd w:id="178"/>
    </w:p>
    <w:p w14:paraId="565C17A5">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eastAsia="zh-CN"/>
        </w:rPr>
      </w:pPr>
      <w:bookmarkStart w:id="179" w:name="_Toc10627437"/>
      <w:r>
        <w:rPr>
          <w:rFonts w:hint="eastAsia" w:ascii="黑体" w:hAnsi="黑体" w:eastAsia="黑体" w:cs="黑体"/>
          <w:b w:val="0"/>
          <w:bCs w:val="0"/>
          <w:color w:val="auto"/>
          <w:sz w:val="28"/>
          <w:szCs w:val="28"/>
          <w:highlight w:val="none"/>
          <w:lang w:eastAsia="zh-CN"/>
        </w:rPr>
        <w:t>2.1现场监督</w:t>
      </w:r>
      <w:bookmarkEnd w:id="179"/>
    </w:p>
    <w:p w14:paraId="5EA59173">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甲方选派姓名：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、联系电话：</w:t>
      </w:r>
      <w:r>
        <w:rPr>
          <w:rFonts w:hint="eastAsia" w:ascii="Times New Roman" w:hAnsi="Times New Roman" w:eastAsia="仿宋_GB2312" w:cs="Times New Roman"/>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为本项目负责人，负责本合同履行的有关事项，包括但不限于布置</w:t>
      </w:r>
      <w:r>
        <w:rPr>
          <w:rFonts w:hint="eastAsia" w:ascii="仿宋_GB2312" w:hAnsi="仿宋_GB2312" w:eastAsia="仿宋_GB2312" w:cs="仿宋_GB2312"/>
          <w:color w:val="auto"/>
          <w:sz w:val="28"/>
          <w:szCs w:val="28"/>
          <w:highlight w:val="none"/>
          <w:lang w:eastAsia="zh-CN"/>
        </w:rPr>
        <w:t>检测</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lang w:eastAsia="zh-CN"/>
        </w:rPr>
        <w:t>监测</w:t>
      </w:r>
      <w:r>
        <w:rPr>
          <w:rFonts w:hint="eastAsia" w:ascii="仿宋_GB2312" w:hAnsi="仿宋_GB2312" w:eastAsia="仿宋_GB2312" w:cs="仿宋_GB2312"/>
          <w:color w:val="auto"/>
          <w:sz w:val="28"/>
          <w:szCs w:val="28"/>
          <w:highlight w:val="none"/>
        </w:rPr>
        <w:t>任务、指挥联络、现场监督、确认</w:t>
      </w:r>
      <w:r>
        <w:rPr>
          <w:rFonts w:hint="eastAsia" w:ascii="仿宋_GB2312" w:hAnsi="仿宋_GB2312" w:eastAsia="仿宋_GB2312" w:cs="仿宋_GB2312"/>
          <w:color w:val="auto"/>
          <w:sz w:val="28"/>
          <w:szCs w:val="28"/>
          <w:highlight w:val="none"/>
          <w:lang w:eastAsia="zh-CN"/>
        </w:rPr>
        <w:t>检测</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lang w:eastAsia="zh-CN"/>
        </w:rPr>
        <w:t>监测</w:t>
      </w:r>
      <w:r>
        <w:rPr>
          <w:rFonts w:hint="eastAsia" w:ascii="仿宋_GB2312" w:hAnsi="仿宋_GB2312" w:eastAsia="仿宋_GB2312" w:cs="仿宋_GB2312"/>
          <w:color w:val="auto"/>
          <w:sz w:val="28"/>
          <w:szCs w:val="28"/>
          <w:highlight w:val="none"/>
        </w:rPr>
        <w:t>工作量、跟进送检等工作。</w:t>
      </w:r>
    </w:p>
    <w:p w14:paraId="4FB80DF0">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eastAsia="zh-CN"/>
        </w:rPr>
      </w:pPr>
      <w:bookmarkStart w:id="180" w:name="_Toc10627438"/>
      <w:r>
        <w:rPr>
          <w:rFonts w:hint="eastAsia" w:ascii="黑体" w:hAnsi="黑体" w:eastAsia="黑体" w:cs="黑体"/>
          <w:b w:val="0"/>
          <w:bCs w:val="0"/>
          <w:color w:val="auto"/>
          <w:sz w:val="28"/>
          <w:szCs w:val="28"/>
          <w:highlight w:val="none"/>
          <w:lang w:eastAsia="zh-CN"/>
        </w:rPr>
        <w:t>2.2提供资料及工作条件</w:t>
      </w:r>
      <w:bookmarkEnd w:id="180"/>
    </w:p>
    <w:p w14:paraId="7BB03BDB">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2.2.6</w:t>
      </w:r>
      <w:r>
        <w:rPr>
          <w:rFonts w:hint="eastAsia" w:ascii="仿宋_GB2312" w:hAnsi="仿宋_GB2312" w:eastAsia="仿宋_GB2312" w:cs="仿宋_GB2312"/>
          <w:color w:val="auto"/>
          <w:sz w:val="28"/>
          <w:szCs w:val="28"/>
          <w:highlight w:val="none"/>
        </w:rPr>
        <w:t>甲方应至少提前</w:t>
      </w:r>
      <w:r>
        <w:rPr>
          <w:rFonts w:hint="eastAsia" w:ascii="Times New Roman" w:hAnsi="Times New Roman" w:eastAsia="仿宋_GB2312" w:cs="Times New Roman"/>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天将</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项目的进度、质量等要求通知乙方，特殊情况不得少于</w:t>
      </w:r>
      <w:r>
        <w:rPr>
          <w:rFonts w:hint="eastAsia" w:ascii="Times New Roman" w:hAnsi="Times New Roman" w:eastAsia="仿宋_GB2312" w:cs="Times New Roman"/>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天。</w:t>
      </w:r>
    </w:p>
    <w:p w14:paraId="5C40476F">
      <w:pPr>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2.2.7</w:t>
      </w:r>
      <w:r>
        <w:rPr>
          <w:rFonts w:hint="eastAsia" w:ascii="仿宋_GB2312" w:hAnsi="仿宋_GB2312" w:eastAsia="仿宋_GB2312" w:cs="仿宋_GB2312"/>
          <w:color w:val="auto"/>
          <w:sz w:val="28"/>
          <w:szCs w:val="28"/>
          <w:highlight w:val="none"/>
          <w:lang w:val="en-US" w:eastAsia="zh-CN"/>
        </w:rPr>
        <w:t>现场检测、监测或者检测试样送检时，应当由检测、监测内容提供单位、送检单位等填写委托单。委托单应当由送检人员、见证人员等签字确认。</w:t>
      </w:r>
      <w:bookmarkStart w:id="181" w:name="_Toc10627439"/>
    </w:p>
    <w:p w14:paraId="78745523">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eastAsia="zh-CN"/>
        </w:rPr>
      </w:pPr>
      <w:r>
        <w:rPr>
          <w:rFonts w:hint="eastAsia" w:ascii="黑体" w:hAnsi="黑体" w:eastAsia="黑体" w:cs="黑体"/>
          <w:b w:val="0"/>
          <w:bCs w:val="0"/>
          <w:color w:val="auto"/>
          <w:sz w:val="28"/>
          <w:szCs w:val="28"/>
          <w:highlight w:val="none"/>
          <w:lang w:eastAsia="zh-CN"/>
        </w:rPr>
        <w:t>2.3成果确认及验收支付</w:t>
      </w:r>
      <w:bookmarkEnd w:id="181"/>
    </w:p>
    <w:p w14:paraId="20D1379B">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2.3.3</w:t>
      </w:r>
      <w:r>
        <w:rPr>
          <w:rFonts w:hint="eastAsia" w:ascii="仿宋_GB2312" w:hAnsi="仿宋_GB2312" w:eastAsia="仿宋_GB2312" w:cs="仿宋_GB2312"/>
          <w:color w:val="auto"/>
          <w:sz w:val="28"/>
          <w:szCs w:val="28"/>
          <w:highlight w:val="none"/>
        </w:rPr>
        <w:t>甲方应自领取</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报告之日起</w:t>
      </w:r>
      <w:r>
        <w:rPr>
          <w:rFonts w:hint="eastAsia" w:ascii="Times New Roman" w:hAnsi="Times New Roman" w:eastAsia="仿宋_GB2312" w:cs="Times New Roman"/>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天内对</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报告进行验收、审核结算并支付乙方应得款项，若有异议的，在收到报告之日起</w:t>
      </w:r>
      <w:r>
        <w:rPr>
          <w:rFonts w:hint="eastAsia" w:ascii="Times New Roman" w:hAnsi="Times New Roman" w:eastAsia="仿宋_GB2312" w:cs="Times New Roman"/>
          <w:color w:val="auto"/>
          <w:sz w:val="28"/>
          <w:szCs w:val="28"/>
          <w:highlight w:val="none"/>
          <w:u w:val="single"/>
          <w:lang w:val="en-US" w:eastAsia="zh-CN"/>
        </w:rPr>
        <w:t>15</w:t>
      </w:r>
      <w:r>
        <w:rPr>
          <w:rFonts w:hint="eastAsia" w:ascii="仿宋_GB2312" w:hAnsi="仿宋_GB2312" w:eastAsia="仿宋_GB2312" w:cs="仿宋_GB2312"/>
          <w:color w:val="auto"/>
          <w:sz w:val="28"/>
          <w:szCs w:val="28"/>
          <w:highlight w:val="none"/>
        </w:rPr>
        <w:t>天内以书面形式向乙方提出，由双方共同认可或相关行政主管部门制定的</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机构复检。复检结论与原</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结论相同，由甲方支付复检费用；复检结论与原</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结论不相同，则由乙方承担复检费用。</w:t>
      </w:r>
    </w:p>
    <w:p w14:paraId="45E675CD">
      <w:pPr>
        <w:pStyle w:val="7"/>
        <w:pageBreakBefore w:val="0"/>
        <w:numPr>
          <w:ilvl w:val="0"/>
          <w:numId w:val="0"/>
        </w:numPr>
        <w:kinsoku/>
        <w:wordWrap/>
        <w:overflowPunct/>
        <w:topLinePunct w:val="0"/>
        <w:bidi w:val="0"/>
        <w:spacing w:line="560" w:lineRule="exact"/>
        <w:ind w:left="1222" w:leftChars="320" w:hanging="454" w:hangingChars="142"/>
        <w:jc w:val="left"/>
        <w:textAlignment w:val="auto"/>
        <w:rPr>
          <w:rFonts w:hint="eastAsia" w:ascii="黑体" w:hAnsi="黑体" w:eastAsia="黑体" w:cs="黑体"/>
          <w:b w:val="0"/>
          <w:bCs w:val="0"/>
          <w:color w:val="auto"/>
          <w:sz w:val="32"/>
          <w:szCs w:val="32"/>
          <w:highlight w:val="none"/>
          <w:lang w:eastAsia="zh-CN"/>
        </w:rPr>
      </w:pPr>
      <w:bookmarkStart w:id="182" w:name="_Toc10627440"/>
      <w:r>
        <w:rPr>
          <w:rFonts w:hint="eastAsia" w:ascii="黑体" w:hAnsi="黑体" w:eastAsia="黑体" w:cs="黑体"/>
          <w:b w:val="0"/>
          <w:bCs w:val="0"/>
          <w:color w:val="auto"/>
          <w:sz w:val="32"/>
          <w:szCs w:val="32"/>
          <w:highlight w:val="none"/>
          <w:lang w:eastAsia="zh-CN"/>
        </w:rPr>
        <w:t>3. 乙方的权利、义务</w:t>
      </w:r>
      <w:bookmarkEnd w:id="182"/>
    </w:p>
    <w:p w14:paraId="4921B65E">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eastAsia="zh-CN"/>
        </w:rPr>
      </w:pPr>
      <w:bookmarkStart w:id="183" w:name="_Toc10627441"/>
      <w:r>
        <w:rPr>
          <w:rFonts w:hint="eastAsia" w:ascii="黑体" w:hAnsi="黑体" w:eastAsia="黑体" w:cs="黑体"/>
          <w:b w:val="0"/>
          <w:bCs w:val="0"/>
          <w:color w:val="auto"/>
          <w:sz w:val="28"/>
          <w:szCs w:val="28"/>
          <w:highlight w:val="none"/>
          <w:lang w:eastAsia="zh-CN"/>
        </w:rPr>
        <w:t>3.1人员配备</w:t>
      </w:r>
      <w:bookmarkEnd w:id="183"/>
    </w:p>
    <w:p w14:paraId="47D082E8">
      <w:pPr>
        <w:pageBreakBefore w:val="0"/>
        <w:tabs>
          <w:tab w:val="left" w:pos="420"/>
          <w:tab w:val="left" w:pos="630"/>
        </w:tabs>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lang w:eastAsia="zh-CN"/>
        </w:rPr>
      </w:pPr>
      <w:r>
        <w:rPr>
          <w:rFonts w:hint="eastAsia" w:ascii="Times New Roman" w:hAnsi="Times New Roman" w:eastAsia="仿宋_GB2312" w:cs="Times New Roman"/>
          <w:color w:val="auto"/>
          <w:sz w:val="28"/>
          <w:szCs w:val="28"/>
          <w:highlight w:val="none"/>
        </w:rPr>
        <w:t>3.1.1</w:t>
      </w:r>
      <w:r>
        <w:rPr>
          <w:rFonts w:hint="eastAsia" w:ascii="仿宋_GB2312" w:hAnsi="仿宋_GB2312" w:eastAsia="仿宋_GB2312" w:cs="仿宋_GB2312"/>
          <w:color w:val="auto"/>
          <w:kern w:val="0"/>
          <w:sz w:val="28"/>
          <w:szCs w:val="28"/>
          <w:highlight w:val="none"/>
        </w:rPr>
        <w:t>乙方</w:t>
      </w:r>
      <w:r>
        <w:rPr>
          <w:rFonts w:hint="eastAsia" w:ascii="仿宋_GB2312" w:hAnsi="仿宋_GB2312" w:eastAsia="仿宋_GB2312" w:cs="仿宋_GB2312"/>
          <w:color w:val="auto"/>
          <w:sz w:val="28"/>
          <w:szCs w:val="28"/>
          <w:highlight w:val="none"/>
        </w:rPr>
        <w:t>选派姓名：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、联系电话：</w:t>
      </w:r>
      <w:r>
        <w:rPr>
          <w:rFonts w:hint="eastAsia" w:ascii="Times New Roman" w:hAnsi="Times New Roman" w:eastAsia="仿宋_GB2312" w:cs="Times New Roman"/>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为本项目负责人</w:t>
      </w:r>
      <w:r>
        <w:rPr>
          <w:rFonts w:hint="eastAsia" w:ascii="仿宋_GB2312" w:hAnsi="仿宋_GB2312" w:eastAsia="仿宋_GB2312" w:cs="仿宋_GB2312"/>
          <w:color w:val="auto"/>
          <w:sz w:val="28"/>
          <w:szCs w:val="28"/>
          <w:highlight w:val="none"/>
          <w:lang w:eastAsia="zh-CN"/>
        </w:rPr>
        <w:t>，且须与投标文件投报的项目负责人一致。</w:t>
      </w:r>
    </w:p>
    <w:p w14:paraId="1884D1E7">
      <w:pPr>
        <w:pageBreakBefore w:val="0"/>
        <w:tabs>
          <w:tab w:val="left" w:pos="420"/>
          <w:tab w:val="left" w:pos="630"/>
        </w:tabs>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3.1.2</w:t>
      </w:r>
      <w:r>
        <w:rPr>
          <w:rFonts w:hint="eastAsia" w:ascii="仿宋_GB2312" w:hAnsi="仿宋_GB2312" w:eastAsia="仿宋_GB2312" w:cs="仿宋_GB2312"/>
          <w:color w:val="auto"/>
          <w:sz w:val="28"/>
          <w:szCs w:val="28"/>
          <w:highlight w:val="none"/>
          <w:lang w:eastAsia="zh-CN"/>
        </w:rPr>
        <w:t>乙方更换负责人及主要技术人员的必须事先征得甲方的书面同意。甲方要求或同意更换的质量检测、监测技术人员，其代替的质量检测、监测技术人员的资质仍应不低于投标文件中的人员资质。</w:t>
      </w:r>
    </w:p>
    <w:p w14:paraId="1CDA1889">
      <w:pPr>
        <w:pageBreakBefore w:val="0"/>
        <w:tabs>
          <w:tab w:val="left" w:pos="420"/>
          <w:tab w:val="left" w:pos="630"/>
        </w:tabs>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3.1.3</w:t>
      </w:r>
      <w:r>
        <w:rPr>
          <w:rFonts w:hint="eastAsia" w:ascii="仿宋_GB2312" w:hAnsi="仿宋_GB2312" w:eastAsia="仿宋_GB2312" w:cs="仿宋_GB2312"/>
          <w:color w:val="auto"/>
          <w:sz w:val="28"/>
          <w:szCs w:val="28"/>
          <w:highlight w:val="none"/>
          <w:lang w:eastAsia="zh-CN"/>
        </w:rPr>
        <w:t>考虑本项目投资估算工程费及项目实施量，本项目可能会存在多个委托任务的检测监测点、检测监测数量和检测监测类别。乙方人员应确保在工期要求内按质按量完成检测、监测工作进行相应配置，不得以人手不足为由推迟服务交付时间。</w:t>
      </w:r>
    </w:p>
    <w:p w14:paraId="3255C1AC">
      <w:pPr>
        <w:pageBreakBefore w:val="0"/>
        <w:tabs>
          <w:tab w:val="left" w:pos="420"/>
          <w:tab w:val="left" w:pos="630"/>
        </w:tabs>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3.1.4由于</w:t>
      </w:r>
      <w:r>
        <w:rPr>
          <w:rFonts w:hint="eastAsia" w:ascii="仿宋_GB2312" w:hAnsi="仿宋_GB2312" w:eastAsia="仿宋_GB2312" w:cs="仿宋_GB2312"/>
          <w:color w:val="auto"/>
          <w:sz w:val="28"/>
          <w:szCs w:val="28"/>
          <w:highlight w:val="none"/>
          <w:lang w:eastAsia="zh-CN"/>
        </w:rPr>
        <w:t>本服务项目由多个工程项目组成，每个工程项目有多个施工点。实施期间每个工程项目乙方需配置1名检测监测单位项目负责人，每个施工点需配置1名技术人员，本项目若多片区多点开工，乙方需增加人员，确保按上述要求配备。</w:t>
      </w:r>
    </w:p>
    <w:p w14:paraId="09EECA59">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3.3工作要求</w:t>
      </w:r>
    </w:p>
    <w:p w14:paraId="29974DB5">
      <w:pPr>
        <w:pageBreakBefore w:val="0"/>
        <w:tabs>
          <w:tab w:val="left" w:pos="420"/>
          <w:tab w:val="left" w:pos="630"/>
        </w:tabs>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3.3.4</w:t>
      </w:r>
      <w:r>
        <w:rPr>
          <w:rFonts w:hint="eastAsia" w:ascii="仿宋_GB2312" w:hAnsi="仿宋_GB2312" w:eastAsia="仿宋_GB2312" w:cs="仿宋_GB2312"/>
          <w:color w:val="auto"/>
          <w:sz w:val="28"/>
          <w:szCs w:val="28"/>
          <w:highlight w:val="none"/>
          <w:lang w:val="en-US" w:eastAsia="zh-CN"/>
        </w:rPr>
        <w:t>为确保能提供可靠、连续的质量检测、监测资料，各质量检测、监测项目应能相互校验，以利于进行质量检测、监测数据的处理计算、变形分析和变形体的变形状态及规律的研究。</w:t>
      </w:r>
    </w:p>
    <w:p w14:paraId="3B5A145D">
      <w:pPr>
        <w:tabs>
          <w:tab w:val="left" w:pos="420"/>
          <w:tab w:val="left" w:pos="630"/>
        </w:tabs>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3.3.5</w:t>
      </w:r>
      <w:r>
        <w:rPr>
          <w:rFonts w:hint="eastAsia" w:ascii="仿宋_GB2312" w:hAnsi="仿宋_GB2312" w:eastAsia="仿宋_GB2312" w:cs="仿宋_GB2312"/>
          <w:color w:val="auto"/>
          <w:sz w:val="28"/>
          <w:szCs w:val="28"/>
          <w:highlight w:val="none"/>
          <w:lang w:val="en-US" w:eastAsia="zh-CN"/>
        </w:rPr>
        <w:t>质量检测、监测方案应在满足质量检测性能和精度要求的前提下，力求减少质量检测、监测元件的数量和各测试用电缆的长度，</w:t>
      </w:r>
      <w:r>
        <w:rPr>
          <w:rFonts w:hint="eastAsia" w:ascii="Times New Roman" w:hAnsi="Times New Roman" w:eastAsia="仿宋_GB2312" w:cs="Times New Roman"/>
          <w:color w:val="auto"/>
          <w:sz w:val="28"/>
          <w:szCs w:val="28"/>
          <w:highlight w:val="none"/>
          <w:lang w:val="en-US" w:eastAsia="zh-CN"/>
        </w:rPr>
        <w:t>减低</w:t>
      </w:r>
      <w:r>
        <w:rPr>
          <w:rFonts w:hint="eastAsia" w:ascii="仿宋_GB2312" w:hAnsi="仿宋_GB2312" w:eastAsia="仿宋_GB2312" w:cs="仿宋_GB2312"/>
          <w:color w:val="auto"/>
          <w:sz w:val="28"/>
          <w:szCs w:val="28"/>
          <w:highlight w:val="none"/>
          <w:lang w:val="en-US" w:eastAsia="zh-CN"/>
        </w:rPr>
        <w:t>质量检测、监测频率，以降低质量检测、监测工作总费用成本。</w:t>
      </w:r>
    </w:p>
    <w:p w14:paraId="3B9423D5">
      <w:pPr>
        <w:tabs>
          <w:tab w:val="left" w:pos="420"/>
          <w:tab w:val="left" w:pos="630"/>
        </w:tabs>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3.3.6</w:t>
      </w:r>
      <w:r>
        <w:rPr>
          <w:rFonts w:hint="eastAsia" w:ascii="仿宋_GB2312" w:hAnsi="仿宋_GB2312" w:eastAsia="仿宋_GB2312" w:cs="仿宋_GB2312"/>
          <w:color w:val="auto"/>
          <w:sz w:val="28"/>
          <w:szCs w:val="28"/>
          <w:highlight w:val="none"/>
        </w:rPr>
        <w:t>本项目需根据工程需求配置驻场检测</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监测</w:t>
      </w:r>
      <w:r>
        <w:rPr>
          <w:rFonts w:hint="eastAsia" w:ascii="仿宋_GB2312" w:hAnsi="仿宋_GB2312" w:eastAsia="仿宋_GB2312" w:cs="仿宋_GB2312"/>
          <w:color w:val="auto"/>
          <w:sz w:val="28"/>
          <w:szCs w:val="28"/>
          <w:highlight w:val="none"/>
        </w:rPr>
        <w:t>技术人员，在施工期间必须全天</w:t>
      </w:r>
      <w:r>
        <w:rPr>
          <w:rFonts w:hint="eastAsia" w:ascii="Times New Roman" w:hAnsi="Times New Roman" w:eastAsia="仿宋_GB2312" w:cs="Times New Roman"/>
          <w:color w:val="auto"/>
          <w:sz w:val="28"/>
          <w:szCs w:val="28"/>
          <w:highlight w:val="none"/>
        </w:rPr>
        <w:t>24</w:t>
      </w:r>
      <w:r>
        <w:rPr>
          <w:rFonts w:hint="eastAsia" w:ascii="仿宋_GB2312" w:hAnsi="仿宋_GB2312" w:eastAsia="仿宋_GB2312" w:cs="仿宋_GB2312"/>
          <w:color w:val="auto"/>
          <w:sz w:val="28"/>
          <w:szCs w:val="28"/>
          <w:highlight w:val="none"/>
        </w:rPr>
        <w:t>小时保持通讯工具畅通，确保施工现场各方能及时与技术人员取得联系。</w:t>
      </w:r>
    </w:p>
    <w:p w14:paraId="7B7A7FEA">
      <w:pPr>
        <w:tabs>
          <w:tab w:val="left" w:pos="420"/>
          <w:tab w:val="left" w:pos="630"/>
        </w:tabs>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3.3.7</w:t>
      </w:r>
      <w:r>
        <w:rPr>
          <w:rFonts w:hint="eastAsia" w:ascii="仿宋_GB2312" w:hAnsi="仿宋_GB2312" w:eastAsia="仿宋_GB2312" w:cs="仿宋_GB2312"/>
          <w:color w:val="auto"/>
          <w:sz w:val="28"/>
          <w:szCs w:val="28"/>
          <w:highlight w:val="none"/>
        </w:rPr>
        <w:t>本项目可能会存在多个检测监测点、检测监测数量和检测监测类别，乙方应确保在工期要求内按质按量完成检测、监测工作，不得以人手不足为由推迟服务交付时间。</w:t>
      </w:r>
    </w:p>
    <w:p w14:paraId="09862E4D">
      <w:pPr>
        <w:tabs>
          <w:tab w:val="left" w:pos="420"/>
          <w:tab w:val="left" w:pos="630"/>
        </w:tabs>
        <w:snapToGrid w:val="0"/>
        <w:spacing w:line="560" w:lineRule="exact"/>
        <w:ind w:firstLine="554" w:firstLineChars="198"/>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3.3.8</w:t>
      </w:r>
      <w:r>
        <w:rPr>
          <w:rFonts w:hint="eastAsia" w:ascii="仿宋_GB2312" w:hAnsi="仿宋_GB2312" w:eastAsia="仿宋_GB2312" w:cs="仿宋_GB2312"/>
          <w:b w:val="0"/>
          <w:bCs w:val="0"/>
          <w:color w:val="auto"/>
          <w:sz w:val="28"/>
          <w:szCs w:val="28"/>
          <w:highlight w:val="none"/>
          <w:lang w:val="en-US" w:eastAsia="zh-CN"/>
        </w:rPr>
        <w:t>乙方按第三部分3.4.2条款要求每批次于现场取样后3天内提交检测初步报告，每周定期向甲方提交本周所完成的质量检测、监测内容的成果资料（即正式报告），发现异常情况或观测数据接近警戒值时必须即时向甲方报告。部分检测内容须待场地问题解决后方能开始实施，服务周期必须满足实际施工要求。</w:t>
      </w:r>
    </w:p>
    <w:p w14:paraId="27576BF1">
      <w:pPr>
        <w:tabs>
          <w:tab w:val="left" w:pos="420"/>
          <w:tab w:val="left" w:pos="630"/>
        </w:tabs>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3.3.9</w:t>
      </w:r>
      <w:r>
        <w:rPr>
          <w:rFonts w:hint="eastAsia" w:ascii="Times New Roman" w:hAnsi="Times New Roman" w:eastAsia="仿宋_GB2312" w:cs="Times New Roman"/>
          <w:color w:val="auto"/>
          <w:sz w:val="28"/>
          <w:szCs w:val="28"/>
          <w:highlight w:val="none"/>
        </w:rPr>
        <w:t>甲</w:t>
      </w:r>
      <w:r>
        <w:rPr>
          <w:rFonts w:hint="eastAsia" w:ascii="仿宋_GB2312" w:hAnsi="仿宋_GB2312" w:eastAsia="仿宋_GB2312" w:cs="仿宋_GB2312"/>
          <w:color w:val="auto"/>
          <w:sz w:val="28"/>
          <w:szCs w:val="28"/>
          <w:highlight w:val="none"/>
        </w:rPr>
        <w:t>方对进度、工作量等有调整和新的工作要求时，乙方必须满足甲方要求，如：配合工程设计和施工的需要，提供相应的技术服务，以及质量检测、监测成果的解释、现场交接、现场实际问题的处理、施工过程的回访等，应及时沟通联系。</w:t>
      </w:r>
    </w:p>
    <w:p w14:paraId="3264E4D9">
      <w:pPr>
        <w:tabs>
          <w:tab w:val="left" w:pos="420"/>
          <w:tab w:val="left" w:pos="630"/>
        </w:tabs>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3.3.10</w:t>
      </w:r>
      <w:r>
        <w:rPr>
          <w:rFonts w:hint="eastAsia" w:ascii="仿宋_GB2312" w:hAnsi="仿宋_GB2312" w:eastAsia="仿宋_GB2312" w:cs="仿宋_GB2312"/>
          <w:color w:val="auto"/>
          <w:sz w:val="28"/>
          <w:szCs w:val="28"/>
          <w:highlight w:val="none"/>
        </w:rPr>
        <w:t>乙方应及时与施工单位进行质量检测、监测数据交流。但甲方委托乙方进行质量检测、监测并不能免除施工单位自行质量管理的责任，亦不能免除施工单位任何施工安全或施工质量的责任。</w:t>
      </w:r>
    </w:p>
    <w:p w14:paraId="41F6A96E">
      <w:pPr>
        <w:tabs>
          <w:tab w:val="left" w:pos="420"/>
          <w:tab w:val="left" w:pos="630"/>
        </w:tabs>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3.3.11</w:t>
      </w:r>
      <w:r>
        <w:rPr>
          <w:rFonts w:hint="eastAsia" w:ascii="仿宋_GB2312" w:hAnsi="仿宋_GB2312" w:eastAsia="仿宋_GB2312" w:cs="仿宋_GB2312"/>
          <w:color w:val="auto"/>
          <w:sz w:val="28"/>
          <w:szCs w:val="28"/>
          <w:highlight w:val="none"/>
        </w:rPr>
        <w:t>乙方严格按《广州市水务局关于严格规范落实水务工程建设质量终身责任制有关规定的通知》、《广州市水务局转发关于水利工程建设质量终身责任的管理办法（试行）的通知》(穗水质安〔2018〕139号)等文件要求,落实工程质量终身责任管理工作。</w:t>
      </w:r>
    </w:p>
    <w:p w14:paraId="7CBEA589">
      <w:pPr>
        <w:tabs>
          <w:tab w:val="left" w:pos="420"/>
          <w:tab w:val="left" w:pos="630"/>
        </w:tabs>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3.3.12</w:t>
      </w:r>
      <w:r>
        <w:rPr>
          <w:rFonts w:hint="default" w:ascii="仿宋_GB2312" w:hAnsi="仿宋_GB2312" w:eastAsia="仿宋_GB2312" w:cs="仿宋_GB2312"/>
          <w:color w:val="auto"/>
          <w:sz w:val="28"/>
          <w:szCs w:val="28"/>
          <w:highlight w:val="none"/>
        </w:rPr>
        <w:t>建立检测监测工作记录台账及不合格检验记录台账，主要应包括检测监测的时间、对应施工点、检测监测内容、报告出具时间、对应内容单价（合同综合单价）及合价、累计完成合同总价占比等情况，每月与施工单位、监理单位对数并更新。</w:t>
      </w:r>
    </w:p>
    <w:p w14:paraId="322F6509">
      <w:pPr>
        <w:tabs>
          <w:tab w:val="left" w:pos="420"/>
          <w:tab w:val="left" w:pos="630"/>
        </w:tabs>
        <w:snapToGrid w:val="0"/>
        <w:spacing w:line="560" w:lineRule="exact"/>
        <w:ind w:firstLine="554" w:firstLineChars="198"/>
        <w:jc w:val="left"/>
        <w:textAlignment w:val="auto"/>
        <w:rPr>
          <w:rFonts w:hint="default"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eastAsia="zh-CN"/>
        </w:rPr>
        <w:t>3</w:t>
      </w:r>
      <w:r>
        <w:rPr>
          <w:rFonts w:hint="eastAsia" w:ascii="Times New Roman" w:hAnsi="Times New Roman" w:eastAsia="仿宋_GB2312" w:cs="Times New Roman"/>
          <w:color w:val="auto"/>
          <w:sz w:val="28"/>
          <w:szCs w:val="28"/>
          <w:highlight w:val="none"/>
          <w:lang w:val="en-US" w:eastAsia="zh-CN"/>
        </w:rPr>
        <w:t>.3.13</w:t>
      </w:r>
      <w:r>
        <w:rPr>
          <w:rFonts w:hint="default" w:ascii="仿宋_GB2312" w:hAnsi="仿宋_GB2312" w:eastAsia="仿宋_GB2312" w:cs="仿宋_GB2312"/>
          <w:color w:val="auto"/>
          <w:sz w:val="28"/>
          <w:szCs w:val="28"/>
          <w:highlight w:val="none"/>
        </w:rPr>
        <w:t>当预估产生的检测监测费用与现场施工进度偏差超10%时，应触发预警动作，提醒监理单位</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如有</w:t>
      </w:r>
      <w:r>
        <w:rPr>
          <w:rFonts w:hint="eastAsia" w:ascii="仿宋_GB2312" w:hAnsi="仿宋_GB2312" w:eastAsia="仿宋_GB2312" w:cs="仿宋_GB2312"/>
          <w:color w:val="auto"/>
          <w:sz w:val="28"/>
          <w:szCs w:val="28"/>
          <w:highlight w:val="none"/>
          <w:lang w:eastAsia="zh-CN"/>
        </w:rPr>
        <w:t>）</w:t>
      </w:r>
      <w:r>
        <w:rPr>
          <w:rFonts w:hint="default" w:ascii="仿宋_GB2312" w:hAnsi="仿宋_GB2312" w:eastAsia="仿宋_GB2312" w:cs="仿宋_GB2312"/>
          <w:color w:val="auto"/>
          <w:sz w:val="28"/>
          <w:szCs w:val="28"/>
          <w:highlight w:val="none"/>
        </w:rPr>
        <w:t>及甲方。</w:t>
      </w:r>
    </w:p>
    <w:p w14:paraId="4AEC41D4">
      <w:pPr>
        <w:tabs>
          <w:tab w:val="left" w:pos="420"/>
          <w:tab w:val="left" w:pos="630"/>
        </w:tabs>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3.3.14</w:t>
      </w:r>
      <w:r>
        <w:rPr>
          <w:rFonts w:hint="eastAsia" w:ascii="仿宋_GB2312" w:hAnsi="仿宋_GB2312" w:eastAsia="仿宋_GB2312" w:cs="仿宋_GB2312"/>
          <w:color w:val="auto"/>
          <w:sz w:val="28"/>
          <w:szCs w:val="28"/>
          <w:highlight w:val="none"/>
        </w:rPr>
        <w:t>根据项目特征及类型、相关标准及规范、施工图、施组方案、施工计划、检测监测技术要求等编制对应项目的第三方检测监测方案，报监理单位组织设计单位、施工单位审核确认后，在甲方出具单项工程工作任务书起10日内向甲方备案，并经监理单位下达执行指令方可实施。乙方提交的质量检测、监测方案应符合以下要求：</w:t>
      </w:r>
    </w:p>
    <w:p w14:paraId="21FCDD51">
      <w:pPr>
        <w:tabs>
          <w:tab w:val="left" w:pos="420"/>
          <w:tab w:val="left" w:pos="630"/>
        </w:tabs>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按照国家现行的有关规定、规范、技术要求编制质量检测、监测方案，不得与国家规定、规范相抵触。符合国家档案验收标准。一经确认，不得随意更改，由甲方留存并向工程质量监管部门办理备案手续。如需调整方案，各方需按照原审批流程办理审核及确认手续，方可执行新方案。</w:t>
      </w:r>
    </w:p>
    <w:p w14:paraId="700E08FA">
      <w:pPr>
        <w:tabs>
          <w:tab w:val="left" w:pos="420"/>
          <w:tab w:val="left" w:pos="630"/>
        </w:tabs>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w:t>
      </w:r>
      <w:r>
        <w:rPr>
          <w:rFonts w:hint="eastAsia" w:ascii="仿宋_GB2312" w:hAnsi="仿宋_GB2312" w:eastAsia="仿宋_GB2312" w:cs="仿宋_GB2312"/>
          <w:color w:val="auto"/>
          <w:sz w:val="28"/>
          <w:szCs w:val="28"/>
          <w:highlight w:val="none"/>
        </w:rPr>
        <w:t>原则上各单项工程项目方案总价不得超过对应的《工作任务书》中的质量检测项目暂定价，若出现非乙方原因导致超过各单项工程质量检测项目暂定价</w:t>
      </w:r>
      <w:r>
        <w:rPr>
          <w:rFonts w:hint="eastAsia" w:ascii="仿宋_GB2312" w:hAnsi="仿宋_GB2312" w:eastAsia="仿宋_GB2312" w:cs="仿宋_GB2312"/>
          <w:color w:val="auto"/>
          <w:sz w:val="28"/>
          <w:szCs w:val="28"/>
          <w:highlight w:val="none"/>
          <w:lang w:eastAsia="zh-CN"/>
        </w:rPr>
        <w:t>的</w:t>
      </w:r>
      <w:r>
        <w:rPr>
          <w:rFonts w:hint="eastAsia" w:ascii="仿宋_GB2312" w:hAnsi="仿宋_GB2312" w:eastAsia="仿宋_GB2312" w:cs="仿宋_GB2312"/>
          <w:color w:val="auto"/>
          <w:sz w:val="28"/>
          <w:szCs w:val="28"/>
          <w:highlight w:val="none"/>
        </w:rPr>
        <w:t>情况，乙方必须分析查找原因，采取措施进行控制，并将方案报监理单位组织审核。</w:t>
      </w:r>
    </w:p>
    <w:p w14:paraId="5D234629">
      <w:pPr>
        <w:tabs>
          <w:tab w:val="left" w:pos="420"/>
          <w:tab w:val="left" w:pos="630"/>
        </w:tabs>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w:t>
      </w:r>
      <w:r>
        <w:rPr>
          <w:rFonts w:hint="eastAsia" w:ascii="仿宋_GB2312" w:hAnsi="仿宋_GB2312" w:eastAsia="仿宋_GB2312" w:cs="仿宋_GB2312"/>
          <w:color w:val="auto"/>
          <w:sz w:val="28"/>
          <w:szCs w:val="28"/>
          <w:highlight w:val="none"/>
        </w:rPr>
        <w:t>质量检测、监测方案应在满足质量检测性能和精度要求的前提下，力求减少质量检测、监测元件的数量和各测试用电缆的长度，减低质量检测、监测频率，以降低质量检测、监测工作总费用成本。</w:t>
      </w:r>
    </w:p>
    <w:p w14:paraId="70280AD9">
      <w:pPr>
        <w:keepNext w:val="0"/>
        <w:keepLines w:val="0"/>
        <w:pageBreakBefore w:val="0"/>
        <w:widowControl w:val="0"/>
        <w:tabs>
          <w:tab w:val="left" w:pos="420"/>
          <w:tab w:val="left" w:pos="630"/>
        </w:tabs>
        <w:kinsoku/>
        <w:wordWrap w:val="0"/>
        <w:overflowPunct/>
        <w:topLinePunct/>
        <w:autoSpaceDE/>
        <w:autoSpaceDN/>
        <w:bidi w:val="0"/>
        <w:adjustRightInd/>
        <w:snapToGrid w:val="0"/>
        <w:spacing w:line="560" w:lineRule="exact"/>
        <w:ind w:leftChars="0" w:firstLine="560" w:firstLineChars="20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3.3.15</w:t>
      </w:r>
      <w:r>
        <w:rPr>
          <w:rFonts w:hint="eastAsia" w:ascii="仿宋_GB2312" w:hAnsi="仿宋_GB2312" w:eastAsia="仿宋_GB2312" w:cs="仿宋_GB2312"/>
          <w:b w:val="0"/>
          <w:bCs w:val="0"/>
          <w:color w:val="auto"/>
          <w:sz w:val="28"/>
          <w:szCs w:val="28"/>
          <w:highlight w:val="none"/>
          <w:lang w:val="en-US" w:eastAsia="zh-CN"/>
        </w:rPr>
        <w:t>定期召开例会协调解决、汇报工作过程中存在的问题，并每三个月提交一次季报、工作小结等阶段性报告。</w:t>
      </w:r>
    </w:p>
    <w:p w14:paraId="06B40998">
      <w:pPr>
        <w:keepNext w:val="0"/>
        <w:keepLines w:val="0"/>
        <w:pageBreakBefore w:val="0"/>
        <w:widowControl w:val="0"/>
        <w:tabs>
          <w:tab w:val="left" w:pos="420"/>
          <w:tab w:val="left" w:pos="630"/>
        </w:tabs>
        <w:kinsoku/>
        <w:wordWrap w:val="0"/>
        <w:overflowPunct/>
        <w:topLinePunct/>
        <w:autoSpaceDE/>
        <w:autoSpaceDN/>
        <w:bidi w:val="0"/>
        <w:adjustRightInd/>
        <w:snapToGrid w:val="0"/>
        <w:spacing w:line="560" w:lineRule="exact"/>
        <w:ind w:leftChars="0" w:firstLine="560" w:firstLineChars="20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3.3.16</w:t>
      </w:r>
      <w:r>
        <w:rPr>
          <w:rFonts w:hint="eastAsia" w:ascii="仿宋_GB2312" w:hAnsi="仿宋_GB2312" w:eastAsia="仿宋_GB2312" w:cs="仿宋_GB2312"/>
          <w:b w:val="0"/>
          <w:bCs w:val="0"/>
          <w:color w:val="auto"/>
          <w:sz w:val="28"/>
          <w:szCs w:val="28"/>
          <w:highlight w:val="none"/>
          <w:lang w:val="en-US" w:eastAsia="zh-CN"/>
        </w:rPr>
        <w:t>乙方应对其质量检测、监测报告及数据的真实性、准确性、完整性、科学性、预见性及法律效力负责，必要时应向甲方或相关方进行解释和答疑。</w:t>
      </w:r>
    </w:p>
    <w:p w14:paraId="49A22D16">
      <w:pPr>
        <w:tabs>
          <w:tab w:val="left" w:pos="420"/>
          <w:tab w:val="left" w:pos="630"/>
        </w:tabs>
        <w:wordWrap w:val="0"/>
        <w:topLinePunct/>
        <w:snapToGrid w:val="0"/>
        <w:spacing w:line="560" w:lineRule="exact"/>
        <w:ind w:leftChars="0" w:firstLine="560" w:firstLineChars="200"/>
        <w:jc w:val="left"/>
        <w:rPr>
          <w:rFonts w:hint="eastAsia" w:ascii="仿宋_GB2312" w:hAnsi="仿宋_GB2312" w:eastAsia="仿宋_GB2312" w:cs="仿宋_GB2312"/>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3.3.17</w:t>
      </w:r>
      <w:r>
        <w:rPr>
          <w:rFonts w:hint="eastAsia" w:ascii="仿宋_GB2312" w:hAnsi="仿宋_GB2312" w:eastAsia="仿宋_GB2312" w:cs="仿宋_GB2312"/>
          <w:b w:val="0"/>
          <w:bCs w:val="0"/>
          <w:color w:val="auto"/>
          <w:sz w:val="28"/>
          <w:szCs w:val="28"/>
          <w:highlight w:val="none"/>
          <w:lang w:val="en-US" w:eastAsia="zh-CN"/>
        </w:rPr>
        <w:t>乙方应在质量检测、监测工作结束之日起28日内按当地档案馆的要求将有关质量检测、监测资料整理归档。</w:t>
      </w:r>
    </w:p>
    <w:p w14:paraId="7224455C">
      <w:pPr>
        <w:tabs>
          <w:tab w:val="left" w:pos="420"/>
          <w:tab w:val="left" w:pos="630"/>
        </w:tabs>
        <w:wordWrap w:val="0"/>
        <w:topLinePunct/>
        <w:snapToGrid w:val="0"/>
        <w:spacing w:line="560" w:lineRule="exact"/>
        <w:ind w:leftChars="0" w:firstLine="560" w:firstLineChars="200"/>
        <w:jc w:val="left"/>
        <w:rPr>
          <w:rFonts w:hint="eastAsia" w:ascii="仿宋_GB2312" w:hAnsi="仿宋_GB2312" w:eastAsia="仿宋_GB2312" w:cs="仿宋_GB2312"/>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3.3.18</w:t>
      </w:r>
      <w:r>
        <w:rPr>
          <w:rFonts w:hint="eastAsia" w:ascii="仿宋_GB2312" w:hAnsi="仿宋_GB2312" w:eastAsia="仿宋_GB2312" w:cs="仿宋_GB2312"/>
          <w:b w:val="0"/>
          <w:bCs w:val="0"/>
          <w:color w:val="auto"/>
          <w:sz w:val="28"/>
          <w:szCs w:val="28"/>
          <w:highlight w:val="none"/>
          <w:lang w:val="en-US" w:eastAsia="zh-CN"/>
        </w:rPr>
        <w:t>与工程所在行政区域的相关水务行政主管部门和监督部门进行检测工作的协调，申报检测技术成果的审批。保证技术成果能够通过相关部门认可，确保不因检测、监测工作影响本工程项目的建设进度和竣工验收。</w:t>
      </w:r>
    </w:p>
    <w:p w14:paraId="14415E2C">
      <w:pPr>
        <w:tabs>
          <w:tab w:val="left" w:pos="420"/>
          <w:tab w:val="left" w:pos="630"/>
        </w:tabs>
        <w:wordWrap w:val="0"/>
        <w:topLinePunct/>
        <w:snapToGrid w:val="0"/>
        <w:spacing w:line="560" w:lineRule="exact"/>
        <w:ind w:leftChars="0" w:firstLine="560" w:firstLineChars="20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3.3.19在进行检测任务的过程中与该工程相关的施工单位、监理单位、设计单位、甲方、建设主管部门等相关单位的协调工作。</w:t>
      </w:r>
    </w:p>
    <w:p w14:paraId="5A7ECF31">
      <w:pPr>
        <w:tabs>
          <w:tab w:val="left" w:pos="420"/>
          <w:tab w:val="left" w:pos="630"/>
        </w:tabs>
        <w:wordWrap w:val="0"/>
        <w:topLinePunct/>
        <w:snapToGrid w:val="0"/>
        <w:spacing w:line="560" w:lineRule="exact"/>
        <w:ind w:leftChars="0" w:firstLine="560" w:firstLineChars="200"/>
        <w:jc w:val="lef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3.3.20检测数据的有关信息通过市水务监管系统进行传输报送。</w:t>
      </w:r>
    </w:p>
    <w:p w14:paraId="0C4B44A6">
      <w:pPr>
        <w:pStyle w:val="7"/>
        <w:pageBreakBefore w:val="0"/>
        <w:numPr>
          <w:ilvl w:val="-1"/>
          <w:numId w:val="0"/>
        </w:numPr>
        <w:kinsoku/>
        <w:wordWrap/>
        <w:overflowPunct/>
        <w:topLinePunct w:val="0"/>
        <w:bidi w:val="0"/>
        <w:spacing w:line="560" w:lineRule="exact"/>
        <w:ind w:left="567" w:leftChars="0" w:firstLine="0" w:firstLineChars="0"/>
        <w:jc w:val="left"/>
        <w:textAlignment w:val="auto"/>
        <w:rPr>
          <w:rFonts w:hint="eastAsia" w:ascii="黑体" w:hAnsi="黑体" w:eastAsia="黑体" w:cs="黑体"/>
          <w:b w:val="0"/>
          <w:bCs w:val="0"/>
          <w:color w:val="auto"/>
          <w:sz w:val="28"/>
          <w:szCs w:val="28"/>
          <w:highlight w:val="none"/>
          <w:lang w:val="en-US" w:eastAsia="zh-CN"/>
        </w:rPr>
      </w:pPr>
      <w:bookmarkStart w:id="184" w:name="_Toc10627442"/>
      <w:r>
        <w:rPr>
          <w:rFonts w:hint="eastAsia" w:ascii="黑体" w:hAnsi="黑体" w:eastAsia="黑体" w:cs="黑体"/>
          <w:b w:val="0"/>
          <w:bCs w:val="0"/>
          <w:color w:val="auto"/>
          <w:sz w:val="28"/>
          <w:szCs w:val="28"/>
          <w:highlight w:val="none"/>
          <w:lang w:val="en-US" w:eastAsia="zh-CN"/>
        </w:rPr>
        <w:t>3.4检测、监测成果</w:t>
      </w:r>
      <w:bookmarkEnd w:id="184"/>
    </w:p>
    <w:p w14:paraId="33C0DAD0">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3.4.1</w:t>
      </w:r>
      <w:r>
        <w:rPr>
          <w:rFonts w:hint="eastAsia" w:ascii="仿宋_GB2312" w:hAnsi="仿宋_GB2312" w:eastAsia="仿宋_GB2312" w:cs="仿宋_GB2312"/>
          <w:color w:val="auto"/>
          <w:sz w:val="28"/>
          <w:szCs w:val="28"/>
          <w:highlight w:val="none"/>
        </w:rPr>
        <w:t>按照国家、地方政府以及行业主管部门现行有效的规范、标准、规程和文件，本合同约定的质量</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服务适用的技术标准、规范等依据为：</w:t>
      </w:r>
      <w:r>
        <w:rPr>
          <w:rFonts w:hint="eastAsia" w:ascii="仿宋_GB2312" w:hAnsi="仿宋_GB2312" w:eastAsia="仿宋_GB2312" w:cs="仿宋_GB2312"/>
          <w:color w:val="auto"/>
          <w:sz w:val="28"/>
          <w:szCs w:val="28"/>
          <w:highlight w:val="none"/>
          <w:u w:val="single"/>
        </w:rPr>
        <w:t>国家及地方现行有关技术规范或规定以及设计单位的技术要求</w:t>
      </w:r>
      <w:r>
        <w:rPr>
          <w:rFonts w:hint="eastAsia" w:ascii="仿宋_GB2312" w:hAnsi="仿宋_GB2312" w:eastAsia="仿宋_GB2312" w:cs="仿宋_GB2312"/>
          <w:color w:val="auto"/>
          <w:sz w:val="28"/>
          <w:szCs w:val="28"/>
          <w:highlight w:val="none"/>
        </w:rPr>
        <w:t>。</w:t>
      </w:r>
    </w:p>
    <w:p w14:paraId="69DC7882">
      <w:pPr>
        <w:pageBreakBefore w:val="0"/>
        <w:tabs>
          <w:tab w:val="left" w:pos="420"/>
          <w:tab w:val="left" w:pos="630"/>
        </w:tabs>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3.4.2</w:t>
      </w:r>
      <w:r>
        <w:rPr>
          <w:rFonts w:hint="eastAsia" w:ascii="仿宋_GB2312" w:hAnsi="仿宋_GB2312" w:eastAsia="仿宋_GB2312" w:cs="仿宋_GB2312"/>
          <w:color w:val="auto"/>
          <w:sz w:val="28"/>
          <w:szCs w:val="28"/>
          <w:highlight w:val="none"/>
        </w:rPr>
        <w:t>在单项</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完成后，乙方按照国家技术规范、标准、规程及任务委托书的有关要求和</w:t>
      </w:r>
      <w:r>
        <w:rPr>
          <w:rFonts w:hint="eastAsia" w:ascii="仿宋_GB2312" w:hAnsi="仿宋_GB2312" w:eastAsia="仿宋_GB2312" w:cs="仿宋_GB2312"/>
          <w:color w:val="auto"/>
          <w:sz w:val="28"/>
          <w:szCs w:val="28"/>
          <w:highlight w:val="none"/>
          <w:lang w:eastAsia="zh-CN"/>
        </w:rPr>
        <w:t>在</w:t>
      </w:r>
      <w:r>
        <w:rPr>
          <w:rFonts w:hint="eastAsia" w:ascii="仿宋_GB2312" w:hAnsi="仿宋_GB2312" w:eastAsia="仿宋_GB2312" w:cs="仿宋_GB2312"/>
          <w:color w:val="auto"/>
          <w:sz w:val="28"/>
          <w:szCs w:val="28"/>
          <w:highlight w:val="none"/>
        </w:rPr>
        <w:t>规定的时间内提交具有法律效力的质量检测、监测成果报告，报告应当包括检测项目代表数量（批次）、检测依据、检测场所地址、检测数据、检测结果、见证人员单位及姓名等相关信息，经检测人员、审核人员、检测机构法定代表人或者其授权的签字人等签署，须盖有该乙方的“计量认证”（即CMA）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乙方须</w:t>
      </w:r>
      <w:r>
        <w:rPr>
          <w:rFonts w:hint="eastAsia" w:ascii="仿宋_GB2312" w:hAnsi="仿宋_GB2312" w:eastAsia="仿宋_GB2312" w:cs="仿宋_GB2312"/>
          <w:color w:val="auto"/>
          <w:sz w:val="28"/>
          <w:szCs w:val="28"/>
          <w:highlight w:val="none"/>
        </w:rPr>
        <w:t>出具书面</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报告</w:t>
      </w:r>
      <w:r>
        <w:rPr>
          <w:rFonts w:hint="eastAsia" w:ascii="仿宋_GB2312" w:hAnsi="仿宋_GB2312" w:eastAsia="仿宋_GB2312" w:cs="仿宋_GB2312"/>
          <w:color w:val="auto"/>
          <w:sz w:val="28"/>
          <w:szCs w:val="28"/>
          <w:highlight w:val="none"/>
          <w:u w:val="single"/>
          <w:lang w:val="en-US" w:eastAsia="zh-CN"/>
        </w:rPr>
        <w:t>一</w:t>
      </w:r>
      <w:r>
        <w:rPr>
          <w:rFonts w:hint="eastAsia" w:ascii="仿宋_GB2312" w:hAnsi="仿宋_GB2312" w:eastAsia="仿宋_GB2312" w:cs="仿宋_GB2312"/>
          <w:color w:val="auto"/>
          <w:sz w:val="28"/>
          <w:szCs w:val="28"/>
          <w:highlight w:val="none"/>
        </w:rPr>
        <w:t>式</w:t>
      </w:r>
      <w:r>
        <w:rPr>
          <w:rFonts w:hint="eastAsia" w:ascii="仿宋_GB2312" w:hAnsi="仿宋_GB2312" w:eastAsia="仿宋_GB2312" w:cs="仿宋_GB2312"/>
          <w:color w:val="auto"/>
          <w:sz w:val="28"/>
          <w:szCs w:val="28"/>
          <w:highlight w:val="none"/>
          <w:u w:val="single"/>
          <w:lang w:val="en-US" w:eastAsia="zh-CN"/>
        </w:rPr>
        <w:t>十二</w:t>
      </w:r>
      <w:r>
        <w:rPr>
          <w:rFonts w:hint="eastAsia" w:ascii="仿宋_GB2312" w:hAnsi="仿宋_GB2312" w:eastAsia="仿宋_GB2312" w:cs="仿宋_GB2312"/>
          <w:color w:val="auto"/>
          <w:sz w:val="28"/>
          <w:szCs w:val="28"/>
          <w:highlight w:val="none"/>
        </w:rPr>
        <w:t>份</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光盘电子文件一份</w:t>
      </w:r>
      <w:r>
        <w:rPr>
          <w:rFonts w:hint="eastAsia" w:ascii="仿宋_GB2312" w:hAnsi="仿宋_GB2312" w:eastAsia="仿宋_GB2312" w:cs="仿宋_GB2312"/>
          <w:color w:val="auto"/>
          <w:sz w:val="28"/>
          <w:szCs w:val="28"/>
          <w:highlight w:val="none"/>
        </w:rPr>
        <w:t>。若</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需要增加份数，增加报告份数的费用另行支付。按时提交质量检测、监测成果报告，负责文整、打印、复印、装订等工作。资料装订规格必须符合档案归档规定。</w:t>
      </w:r>
    </w:p>
    <w:p w14:paraId="286A70B8">
      <w:pPr>
        <w:pageBreakBefore w:val="0"/>
        <w:kinsoku/>
        <w:wordWrap/>
        <w:overflowPunct/>
        <w:topLinePunct w:val="0"/>
        <w:bidi w:val="0"/>
        <w:spacing w:line="560" w:lineRule="exact"/>
        <w:ind w:left="240" w:leftChars="100"/>
        <w:jc w:val="left"/>
        <w:textAlignment w:val="auto"/>
        <w:outlineLvl w:val="2"/>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bookmarkStart w:id="185" w:name="_Toc10627443"/>
      <w:r>
        <w:rPr>
          <w:rFonts w:hint="eastAsia" w:ascii="Times New Roman" w:hAnsi="Times New Roman" w:eastAsia="仿宋_GB2312" w:cs="Times New Roman"/>
          <w:color w:val="auto"/>
          <w:sz w:val="28"/>
          <w:szCs w:val="28"/>
          <w:highlight w:val="none"/>
          <w:lang w:val="en-US" w:eastAsia="zh-CN"/>
        </w:rPr>
        <w:t>3.6.3</w:t>
      </w:r>
      <w:r>
        <w:rPr>
          <w:rFonts w:hint="eastAsia" w:ascii="仿宋_GB2312" w:hAnsi="仿宋_GB2312" w:eastAsia="仿宋_GB2312" w:cs="仿宋_GB2312"/>
          <w:color w:val="auto"/>
          <w:sz w:val="28"/>
          <w:szCs w:val="28"/>
          <w:highlight w:val="none"/>
        </w:rPr>
        <w:t>履约保函</w:t>
      </w:r>
      <w:bookmarkEnd w:id="185"/>
    </w:p>
    <w:p w14:paraId="0D1D4292">
      <w:pPr>
        <w:pageBreakBefore w:val="0"/>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履约保函按下列方式</w:t>
      </w:r>
      <w:r>
        <w:rPr>
          <w:rFonts w:hint="eastAsia" w:ascii="仿宋_GB2312" w:hAnsi="仿宋_GB2312" w:eastAsia="仿宋_GB2312" w:cs="仿宋_GB2312"/>
          <w:color w:val="auto"/>
          <w:sz w:val="28"/>
          <w:szCs w:val="28"/>
          <w:highlight w:val="none"/>
          <w:u w:val="single"/>
          <w:lang w:val="en-US" w:eastAsia="zh-CN"/>
        </w:rPr>
        <w:t xml:space="preserve">  2  </w:t>
      </w:r>
      <w:r>
        <w:rPr>
          <w:rFonts w:hint="eastAsia" w:ascii="仿宋_GB2312" w:hAnsi="仿宋_GB2312" w:eastAsia="仿宋_GB2312" w:cs="仿宋_GB2312"/>
          <w:color w:val="auto"/>
          <w:sz w:val="28"/>
          <w:szCs w:val="28"/>
          <w:highlight w:val="none"/>
        </w:rPr>
        <w:t>进行办理：</w:t>
      </w:r>
    </w:p>
    <w:p w14:paraId="4308596D">
      <w:pPr>
        <w:pageBreakBefore w:val="0"/>
        <w:kinsoku/>
        <w:wordWrap/>
        <w:overflowPunct/>
        <w:topLinePunct w:val="0"/>
        <w:bidi w:val="0"/>
        <w:snapToGrid w:val="0"/>
        <w:spacing w:line="56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（1）</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不需要</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出具履约保函；</w:t>
      </w:r>
    </w:p>
    <w:p w14:paraId="699D54E4">
      <w:pPr>
        <w:pageBreakBefore w:val="0"/>
        <w:tabs>
          <w:tab w:val="left" w:pos="420"/>
          <w:tab w:val="left" w:pos="630"/>
        </w:tabs>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需要</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出具履约保函的，</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应在签订本合同后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30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天内向</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提交在中国注册的银行开出的担保金额为合同价款的</w:t>
      </w:r>
      <w:r>
        <w:rPr>
          <w:rFonts w:hint="eastAsia" w:ascii="仿宋_GB2312" w:hAnsi="仿宋_GB2312" w:eastAsia="仿宋_GB2312" w:cs="仿宋_GB2312"/>
          <w:color w:val="auto"/>
          <w:sz w:val="28"/>
          <w:szCs w:val="28"/>
          <w:highlight w:val="none"/>
          <w:u w:val="single"/>
          <w:lang w:val="en-US" w:eastAsia="zh-CN"/>
        </w:rPr>
        <w:t>5</w:t>
      </w:r>
      <w:r>
        <w:rPr>
          <w:rFonts w:hint="eastAsia" w:ascii="仿宋_GB2312" w:hAnsi="仿宋_GB2312" w:eastAsia="仿宋_GB2312" w:cs="仿宋_GB2312"/>
          <w:color w:val="auto"/>
          <w:sz w:val="28"/>
          <w:szCs w:val="28"/>
          <w:highlight w:val="none"/>
        </w:rPr>
        <w:t>%（不高于10%）,即人民币</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元的履约保函原件。保函期限以壹年为期限根据工期每年到期后再续开下一年度的保函，可连续出具。</w:t>
      </w:r>
    </w:p>
    <w:p w14:paraId="63D0DFE9">
      <w:pPr>
        <w:pageBreakBefore w:val="0"/>
        <w:tabs>
          <w:tab w:val="left" w:pos="420"/>
          <w:tab w:val="left" w:pos="630"/>
        </w:tabs>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28"/>
          <w:szCs w:val="28"/>
          <w:highlight w:val="none"/>
        </w:rPr>
        <w:t>如果乙方没有违约行为，在所有单项工程完工后180天内，发包人将履约保函一次性无息退还给乙方；如果乙方有违约行为，发包人有权从保函中扣除乙方应承担的违约赔偿部分后无息退还。</w:t>
      </w:r>
    </w:p>
    <w:p w14:paraId="6DCB1FC3">
      <w:pPr>
        <w:pStyle w:val="7"/>
        <w:pageBreakBefore w:val="0"/>
        <w:numPr>
          <w:ilvl w:val="0"/>
          <w:numId w:val="0"/>
        </w:numPr>
        <w:kinsoku/>
        <w:wordWrap/>
        <w:overflowPunct/>
        <w:topLinePunct w:val="0"/>
        <w:bidi w:val="0"/>
        <w:spacing w:line="560" w:lineRule="exact"/>
        <w:ind w:left="1222" w:leftChars="320" w:hanging="454" w:hangingChars="142"/>
        <w:jc w:val="left"/>
        <w:textAlignment w:val="auto"/>
        <w:rPr>
          <w:rFonts w:hint="eastAsia" w:ascii="黑体" w:hAnsi="黑体" w:eastAsia="黑体" w:cs="黑体"/>
          <w:b w:val="0"/>
          <w:bCs w:val="0"/>
          <w:color w:val="auto"/>
          <w:sz w:val="32"/>
          <w:szCs w:val="32"/>
          <w:highlight w:val="none"/>
          <w:lang w:val="en-US" w:eastAsia="zh-CN"/>
        </w:rPr>
      </w:pPr>
      <w:bookmarkStart w:id="186" w:name="_Toc10627444"/>
      <w:r>
        <w:rPr>
          <w:rFonts w:hint="eastAsia" w:ascii="黑体" w:hAnsi="黑体" w:eastAsia="黑体" w:cs="黑体"/>
          <w:b w:val="0"/>
          <w:bCs w:val="0"/>
          <w:color w:val="auto"/>
          <w:sz w:val="32"/>
          <w:szCs w:val="32"/>
          <w:highlight w:val="none"/>
          <w:lang w:val="en-US" w:eastAsia="zh-CN"/>
        </w:rPr>
        <w:t>4. 违约责任</w:t>
      </w:r>
      <w:bookmarkEnd w:id="186"/>
    </w:p>
    <w:p w14:paraId="586FAD70">
      <w:pPr>
        <w:pageBreakBefore w:val="0"/>
        <w:kinsoku/>
        <w:wordWrap/>
        <w:overflowPunct/>
        <w:topLinePunct w:val="0"/>
        <w:bidi w:val="0"/>
        <w:adjustRightInd w:val="0"/>
        <w:snapToGrid w:val="0"/>
        <w:spacing w:line="560" w:lineRule="exact"/>
        <w:ind w:firstLine="420" w:firstLineChars="150"/>
        <w:jc w:val="left"/>
        <w:textAlignment w:val="auto"/>
        <w:rPr>
          <w:rFonts w:hint="eastAsia" w:ascii="仿宋_GB2312" w:hAnsi="仿宋_GB2312" w:eastAsia="仿宋_GB2312" w:cs="仿宋_GB2312"/>
          <w:color w:val="auto"/>
          <w:kern w:val="0"/>
          <w:sz w:val="28"/>
          <w:szCs w:val="28"/>
          <w:highlight w:val="none"/>
          <w:u w:val="single"/>
        </w:rPr>
      </w:pPr>
      <w:r>
        <w:rPr>
          <w:rFonts w:hint="eastAsia" w:ascii="Times New Roman" w:hAnsi="Times New Roman" w:eastAsia="仿宋_GB2312" w:cs="Times New Roman"/>
          <w:color w:val="auto"/>
          <w:sz w:val="28"/>
          <w:szCs w:val="28"/>
          <w:highlight w:val="none"/>
          <w:lang w:val="en-US" w:eastAsia="zh-CN"/>
        </w:rPr>
        <w:t>4.1</w:t>
      </w:r>
      <w:r>
        <w:rPr>
          <w:rFonts w:hint="eastAsia" w:ascii="仿宋_GB2312" w:hAnsi="仿宋_GB2312" w:eastAsia="仿宋_GB2312" w:cs="仿宋_GB2312"/>
          <w:color w:val="auto"/>
          <w:kern w:val="0"/>
          <w:sz w:val="28"/>
          <w:szCs w:val="28"/>
          <w:highlight w:val="none"/>
        </w:rPr>
        <w:t>乙方返工费按下列方法确定并支付</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u w:val="single"/>
          <w:lang w:val="en-US" w:eastAsia="zh-CN"/>
        </w:rPr>
        <w:t>按需返工的工作内容结算价的</w:t>
      </w:r>
      <w:r>
        <w:rPr>
          <w:rFonts w:hint="eastAsia" w:ascii="Times New Roman" w:hAnsi="Times New Roman" w:eastAsia="仿宋_GB2312" w:cs="Times New Roman"/>
          <w:color w:val="auto"/>
          <w:sz w:val="28"/>
          <w:szCs w:val="28"/>
          <w:highlight w:val="none"/>
          <w:u w:val="single"/>
          <w:lang w:val="en-US" w:eastAsia="zh-CN"/>
        </w:rPr>
        <w:t>10%</w:t>
      </w:r>
      <w:r>
        <w:rPr>
          <w:rFonts w:hint="eastAsia" w:ascii="仿宋_GB2312" w:hAnsi="仿宋_GB2312" w:eastAsia="仿宋_GB2312" w:cs="仿宋_GB2312"/>
          <w:color w:val="auto"/>
          <w:kern w:val="0"/>
          <w:sz w:val="28"/>
          <w:szCs w:val="28"/>
          <w:highlight w:val="none"/>
          <w:u w:val="single"/>
          <w:lang w:val="en-US" w:eastAsia="zh-CN"/>
        </w:rPr>
        <w:t>计算。</w:t>
      </w:r>
    </w:p>
    <w:p w14:paraId="7DFDFE6C">
      <w:pPr>
        <w:pageBreakBefore w:val="0"/>
        <w:kinsoku/>
        <w:wordWrap/>
        <w:overflowPunct/>
        <w:topLinePunct w:val="0"/>
        <w:bidi w:val="0"/>
        <w:spacing w:before="156" w:beforeLines="50" w:line="560" w:lineRule="exact"/>
        <w:ind w:firstLine="420" w:firstLineChars="15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4.2</w:t>
      </w:r>
      <w:r>
        <w:rPr>
          <w:rFonts w:hint="eastAsia" w:ascii="仿宋_GB2312" w:hAnsi="仿宋_GB2312" w:eastAsia="仿宋_GB2312" w:cs="仿宋_GB2312"/>
          <w:color w:val="auto"/>
          <w:sz w:val="28"/>
          <w:szCs w:val="28"/>
          <w:highlight w:val="none"/>
        </w:rPr>
        <w:t>本合同履行期间，因甲方原因造成合同终止或解除，乙方已开始</w:t>
      </w:r>
      <w:r>
        <w:rPr>
          <w:rFonts w:hint="eastAsia" w:ascii="仿宋_GB2312" w:hAnsi="仿宋_GB2312" w:eastAsia="仿宋_GB2312" w:cs="仿宋_GB2312"/>
          <w:color w:val="auto"/>
          <w:sz w:val="28"/>
          <w:szCs w:val="28"/>
          <w:highlight w:val="none"/>
          <w:lang w:val="en-US" w:eastAsia="zh-CN"/>
        </w:rPr>
        <w:t>检测、监测</w:t>
      </w:r>
      <w:r>
        <w:rPr>
          <w:rFonts w:hint="eastAsia" w:ascii="仿宋_GB2312" w:hAnsi="仿宋_GB2312" w:eastAsia="仿宋_GB2312" w:cs="仿宋_GB2312"/>
          <w:color w:val="auto"/>
          <w:sz w:val="28"/>
          <w:szCs w:val="28"/>
          <w:highlight w:val="none"/>
        </w:rPr>
        <w:t>工作的，甲方应按实际完成的工作量支付乙方检测、监测费用。同时，乙方应将已完成的</w:t>
      </w:r>
      <w:r>
        <w:rPr>
          <w:rFonts w:hint="eastAsia" w:ascii="仿宋_GB2312" w:hAnsi="仿宋_GB2312" w:eastAsia="仿宋_GB2312" w:cs="仿宋_GB2312"/>
          <w:color w:val="auto"/>
          <w:sz w:val="28"/>
          <w:szCs w:val="28"/>
          <w:highlight w:val="none"/>
          <w:lang w:val="en-US" w:eastAsia="zh-CN"/>
        </w:rPr>
        <w:t>检测、监测</w:t>
      </w:r>
      <w:r>
        <w:rPr>
          <w:rFonts w:hint="eastAsia" w:ascii="仿宋_GB2312" w:hAnsi="仿宋_GB2312" w:eastAsia="仿宋_GB2312" w:cs="仿宋_GB2312"/>
          <w:color w:val="auto"/>
          <w:sz w:val="28"/>
          <w:szCs w:val="28"/>
          <w:highlight w:val="none"/>
        </w:rPr>
        <w:t>报告移交给甲方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且所有</w:t>
      </w:r>
      <w:r>
        <w:rPr>
          <w:rFonts w:hint="eastAsia" w:ascii="仿宋_GB2312" w:hAnsi="仿宋_GB2312" w:eastAsia="仿宋_GB2312" w:cs="仿宋_GB2312"/>
          <w:color w:val="auto"/>
          <w:sz w:val="28"/>
          <w:szCs w:val="28"/>
          <w:highlight w:val="none"/>
          <w:lang w:eastAsia="zh-CN"/>
        </w:rPr>
        <w:t>成果全部归</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eastAsia="zh-CN"/>
        </w:rPr>
        <w:t>所有</w:t>
      </w:r>
      <w:r>
        <w:rPr>
          <w:rFonts w:hint="eastAsia" w:ascii="仿宋_GB2312" w:hAnsi="仿宋_GB2312" w:eastAsia="仿宋_GB2312" w:cs="仿宋_GB2312"/>
          <w:color w:val="auto"/>
          <w:sz w:val="28"/>
          <w:szCs w:val="28"/>
          <w:highlight w:val="none"/>
        </w:rPr>
        <w:t>。</w:t>
      </w:r>
    </w:p>
    <w:p w14:paraId="723F94E5">
      <w:pPr>
        <w:pageBreakBefore w:val="0"/>
        <w:kinsoku/>
        <w:wordWrap/>
        <w:overflowPunct/>
        <w:topLinePunct w:val="0"/>
        <w:bidi w:val="0"/>
        <w:spacing w:before="156" w:beforeLines="50" w:line="560" w:lineRule="exact"/>
        <w:ind w:firstLine="420" w:firstLineChars="15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4.3</w:t>
      </w:r>
      <w:r>
        <w:rPr>
          <w:rFonts w:hint="eastAsia" w:ascii="仿宋_GB2312" w:hAnsi="仿宋_GB2312" w:eastAsia="仿宋_GB2312" w:cs="仿宋_GB2312"/>
          <w:color w:val="auto"/>
          <w:sz w:val="28"/>
          <w:szCs w:val="28"/>
          <w:highlight w:val="none"/>
        </w:rPr>
        <w:t>甲方逾期违约金按下列方法确定并支付：每逾期一天，应向乙方偿付未支付</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费的</w:t>
      </w:r>
      <w:r>
        <w:rPr>
          <w:rFonts w:hint="eastAsia" w:ascii="Times New Roman" w:hAnsi="Times New Roman" w:eastAsia="仿宋_GB2312" w:cs="Times New Roman"/>
          <w:color w:val="auto"/>
          <w:sz w:val="28"/>
          <w:szCs w:val="28"/>
          <w:highlight w:val="none"/>
          <w:u w:val="single"/>
          <w:lang w:val="en-US" w:eastAsia="zh-CN"/>
        </w:rPr>
        <w:t xml:space="preserve">  0.1  %</w:t>
      </w:r>
      <w:r>
        <w:rPr>
          <w:rFonts w:hint="eastAsia" w:ascii="仿宋_GB2312" w:hAnsi="仿宋_GB2312" w:eastAsia="仿宋_GB2312" w:cs="仿宋_GB2312"/>
          <w:color w:val="auto"/>
          <w:sz w:val="28"/>
          <w:szCs w:val="28"/>
          <w:highlight w:val="none"/>
        </w:rPr>
        <w:t>作为逾期违约金。</w:t>
      </w:r>
    </w:p>
    <w:p w14:paraId="1A0A841F">
      <w:pPr>
        <w:pageBreakBefore w:val="0"/>
        <w:kinsoku/>
        <w:wordWrap/>
        <w:overflowPunct/>
        <w:topLinePunct w:val="0"/>
        <w:bidi w:val="0"/>
        <w:spacing w:before="156" w:beforeLines="50" w:line="560" w:lineRule="exact"/>
        <w:ind w:firstLine="420" w:firstLineChars="15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4.4</w:t>
      </w:r>
      <w:r>
        <w:rPr>
          <w:rFonts w:hint="eastAsia" w:ascii="仿宋_GB2312" w:hAnsi="仿宋_GB2312" w:eastAsia="仿宋_GB2312" w:cs="仿宋_GB2312"/>
          <w:color w:val="auto"/>
          <w:sz w:val="28"/>
          <w:szCs w:val="28"/>
          <w:highlight w:val="none"/>
          <w:lang w:val="en-US" w:eastAsia="zh-CN"/>
        </w:rPr>
        <w:t>不适用。</w:t>
      </w:r>
    </w:p>
    <w:p w14:paraId="27F8CC38">
      <w:pPr>
        <w:pageBreakBefore w:val="0"/>
        <w:kinsoku/>
        <w:wordWrap/>
        <w:overflowPunct/>
        <w:topLinePunct w:val="0"/>
        <w:bidi w:val="0"/>
        <w:spacing w:before="156" w:beforeLines="50" w:line="560" w:lineRule="exact"/>
        <w:ind w:firstLine="420" w:firstLineChars="15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4.5</w:t>
      </w:r>
      <w:r>
        <w:rPr>
          <w:rFonts w:hint="eastAsia" w:ascii="仿宋_GB2312" w:hAnsi="仿宋_GB2312" w:eastAsia="仿宋_GB2312" w:cs="仿宋_GB2312"/>
          <w:color w:val="auto"/>
          <w:sz w:val="28"/>
          <w:szCs w:val="28"/>
          <w:highlight w:val="none"/>
          <w:lang w:val="en-US" w:eastAsia="zh-CN"/>
        </w:rPr>
        <w:t>由于乙方原因造成检测、监测成果报告不符合工程建设强制性标准、国家技术规范、标准、规程及任务委托书的有关要求，乙方必须在甲方要求的时间内负责无偿给予修正、补充和完善，</w:t>
      </w:r>
      <w:r>
        <w:rPr>
          <w:rFonts w:hint="eastAsia" w:ascii="仿宋_GB2312" w:hAnsi="仿宋_GB2312" w:eastAsia="仿宋_GB2312" w:cs="仿宋_GB2312"/>
          <w:color w:val="auto"/>
          <w:sz w:val="28"/>
          <w:szCs w:val="28"/>
          <w:highlight w:val="none"/>
        </w:rPr>
        <w:t>并向甲方支付本合同项下</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Times New Roman" w:hAnsi="Times New Roman" w:eastAsia="仿宋_GB2312" w:cs="Times New Roman"/>
          <w:color w:val="auto"/>
          <w:sz w:val="28"/>
          <w:szCs w:val="28"/>
          <w:highlight w:val="none"/>
          <w:u w:val="single"/>
          <w:lang w:val="en-US" w:eastAsia="zh-CN"/>
        </w:rPr>
        <w:t>1 %</w:t>
      </w:r>
      <w:r>
        <w:rPr>
          <w:rFonts w:hint="eastAsia" w:ascii="仿宋_GB2312" w:hAnsi="仿宋_GB2312" w:eastAsia="仿宋_GB2312" w:cs="仿宋_GB2312"/>
          <w:color w:val="auto"/>
          <w:sz w:val="28"/>
          <w:szCs w:val="28"/>
          <w:highlight w:val="none"/>
        </w:rPr>
        <w:t>的违约金</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如乙方无法按</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lang w:val="en-US" w:eastAsia="zh-CN"/>
        </w:rPr>
        <w:t>要求完成工作，甲方</w:t>
      </w:r>
      <w:r>
        <w:rPr>
          <w:rFonts w:hint="eastAsia" w:ascii="仿宋_GB2312" w:hAnsi="仿宋_GB2312" w:eastAsia="仿宋_GB2312" w:cs="仿宋_GB2312"/>
          <w:color w:val="auto"/>
          <w:sz w:val="28"/>
          <w:szCs w:val="28"/>
          <w:highlight w:val="none"/>
          <w:lang w:eastAsia="zh-CN"/>
        </w:rPr>
        <w:t>有权解除合同，</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eastAsia="zh-CN"/>
        </w:rPr>
        <w:t>应全额返还</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eastAsia="zh-CN"/>
        </w:rPr>
        <w:t>已付款项并赔偿</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eastAsia="zh-CN"/>
        </w:rPr>
        <w:t>相关损失</w:t>
      </w:r>
      <w:r>
        <w:rPr>
          <w:rFonts w:hint="eastAsia" w:ascii="仿宋_GB2312" w:hAnsi="仿宋_GB2312" w:eastAsia="仿宋_GB2312" w:cs="仿宋_GB2312"/>
          <w:color w:val="auto"/>
          <w:sz w:val="28"/>
          <w:szCs w:val="28"/>
          <w:highlight w:val="none"/>
        </w:rPr>
        <w:t>。</w:t>
      </w:r>
    </w:p>
    <w:p w14:paraId="32A24C64">
      <w:pPr>
        <w:pageBreakBefore w:val="0"/>
        <w:kinsoku/>
        <w:wordWrap/>
        <w:overflowPunct/>
        <w:topLinePunct w:val="0"/>
        <w:bidi w:val="0"/>
        <w:spacing w:before="156" w:beforeLines="50" w:line="560" w:lineRule="exact"/>
        <w:ind w:firstLine="420" w:firstLineChars="15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4.6</w:t>
      </w:r>
      <w:r>
        <w:rPr>
          <w:rFonts w:hint="eastAsia" w:ascii="仿宋_GB2312" w:hAnsi="仿宋_GB2312" w:eastAsia="仿宋_GB2312" w:cs="仿宋_GB2312"/>
          <w:color w:val="auto"/>
          <w:sz w:val="28"/>
          <w:szCs w:val="28"/>
          <w:highlight w:val="none"/>
        </w:rPr>
        <w:t>乙方未按照合同约定时间提交</w:t>
      </w:r>
      <w:r>
        <w:rPr>
          <w:rFonts w:hint="eastAsia" w:ascii="仿宋_GB2312" w:hAnsi="仿宋_GB2312" w:eastAsia="仿宋_GB2312" w:cs="仿宋_GB2312"/>
          <w:color w:val="auto"/>
          <w:sz w:val="28"/>
          <w:szCs w:val="28"/>
          <w:highlight w:val="none"/>
          <w:lang w:val="en-US" w:eastAsia="zh-CN"/>
        </w:rPr>
        <w:t>第三方检测方案或</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报告，每逾期一天应按相关项目</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费用的</w:t>
      </w:r>
      <w:r>
        <w:rPr>
          <w:rFonts w:hint="eastAsia" w:ascii="仿宋_GB2312" w:hAnsi="仿宋_GB2312" w:eastAsia="仿宋_GB2312" w:cs="仿宋_GB2312"/>
          <w:color w:val="auto"/>
          <w:sz w:val="28"/>
          <w:szCs w:val="28"/>
          <w:highlight w:val="none"/>
          <w:u w:val="single"/>
        </w:rPr>
        <w:t xml:space="preserve"> </w:t>
      </w:r>
      <w:r>
        <w:rPr>
          <w:rFonts w:hint="eastAsia" w:ascii="Times New Roman" w:hAnsi="Times New Roman" w:eastAsia="仿宋_GB2312" w:cs="Times New Roman"/>
          <w:color w:val="auto"/>
          <w:sz w:val="28"/>
          <w:szCs w:val="28"/>
          <w:highlight w:val="none"/>
          <w:u w:val="single"/>
          <w:lang w:val="en-US" w:eastAsia="zh-CN"/>
        </w:rPr>
        <w:t>0.1 %</w:t>
      </w:r>
      <w:r>
        <w:rPr>
          <w:rFonts w:hint="eastAsia" w:ascii="Times New Roman" w:hAnsi="Times New Roman" w:eastAsia="仿宋_GB2312" w:cs="Times New Roman"/>
          <w:color w:val="auto"/>
          <w:sz w:val="28"/>
          <w:szCs w:val="28"/>
          <w:highlight w:val="none"/>
          <w:u w:val="none"/>
          <w:lang w:val="en-US" w:eastAsia="zh-CN"/>
        </w:rPr>
        <w:t>向</w:t>
      </w:r>
      <w:r>
        <w:rPr>
          <w:rFonts w:hint="eastAsia" w:ascii="仿宋_GB2312" w:hAnsi="仿宋_GB2312" w:eastAsia="仿宋_GB2312" w:cs="仿宋_GB2312"/>
          <w:color w:val="auto"/>
          <w:sz w:val="28"/>
          <w:szCs w:val="28"/>
          <w:highlight w:val="none"/>
        </w:rPr>
        <w:t>甲方支付违约金，迟延超过</w:t>
      </w:r>
      <w:r>
        <w:rPr>
          <w:rFonts w:hint="eastAsia" w:ascii="Times New Roman" w:hAnsi="Times New Roman" w:eastAsia="仿宋_GB2312" w:cs="Times New Roman"/>
          <w:color w:val="auto"/>
          <w:sz w:val="28"/>
          <w:szCs w:val="28"/>
          <w:highlight w:val="none"/>
          <w:u w:val="single"/>
          <w:lang w:val="en-US" w:eastAsia="zh-CN"/>
        </w:rPr>
        <w:t>30</w:t>
      </w:r>
      <w:r>
        <w:rPr>
          <w:rFonts w:hint="eastAsia" w:ascii="仿宋_GB2312" w:hAnsi="仿宋_GB2312" w:eastAsia="仿宋_GB2312" w:cs="仿宋_GB2312"/>
          <w:color w:val="auto"/>
          <w:sz w:val="28"/>
          <w:szCs w:val="28"/>
          <w:highlight w:val="none"/>
        </w:rPr>
        <w:t>天的，甲方有权解除合同，并有权将本项目另行委托其它</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机构</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eastAsia="zh-CN"/>
        </w:rPr>
        <w:t>应全额返还</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eastAsia="zh-CN"/>
        </w:rPr>
        <w:t>已付款项并赔偿</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eastAsia="zh-CN"/>
        </w:rPr>
        <w:t>相关损失</w:t>
      </w:r>
      <w:r>
        <w:rPr>
          <w:rFonts w:hint="eastAsia" w:ascii="仿宋_GB2312" w:hAnsi="仿宋_GB2312" w:eastAsia="仿宋_GB2312" w:cs="仿宋_GB2312"/>
          <w:color w:val="auto"/>
          <w:sz w:val="28"/>
          <w:szCs w:val="28"/>
          <w:highlight w:val="none"/>
        </w:rPr>
        <w:t>。</w:t>
      </w:r>
    </w:p>
    <w:p w14:paraId="096B8475">
      <w:pPr>
        <w:pageBreakBefore w:val="0"/>
        <w:kinsoku/>
        <w:wordWrap/>
        <w:overflowPunct/>
        <w:topLinePunct w:val="0"/>
        <w:bidi w:val="0"/>
        <w:spacing w:before="156" w:beforeLines="50" w:line="560" w:lineRule="exact"/>
        <w:ind w:firstLine="420" w:firstLineChars="15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4.8</w:t>
      </w:r>
      <w:r>
        <w:rPr>
          <w:rFonts w:hint="eastAsia" w:ascii="仿宋_GB2312" w:hAnsi="仿宋_GB2312" w:eastAsia="仿宋_GB2312" w:cs="仿宋_GB2312"/>
          <w:color w:val="auto"/>
          <w:sz w:val="28"/>
          <w:szCs w:val="28"/>
          <w:highlight w:val="none"/>
        </w:rPr>
        <w:t>乙方无正当理由违反本合同约定延期进场的，每迟延进场1天，必须向甲方支付本合同项下</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w:t>
      </w:r>
      <w:r>
        <w:rPr>
          <w:rFonts w:hint="eastAsia" w:ascii="Times New Roman" w:hAnsi="Times New Roman" w:eastAsia="仿宋_GB2312" w:cs="Times New Roman"/>
          <w:color w:val="auto"/>
          <w:sz w:val="28"/>
          <w:szCs w:val="28"/>
          <w:highlight w:val="none"/>
          <w:u w:val="single"/>
          <w:lang w:val="en-US" w:eastAsia="zh-CN"/>
        </w:rPr>
        <w:t xml:space="preserve"> 0.1 %</w:t>
      </w:r>
      <w:r>
        <w:rPr>
          <w:rFonts w:hint="eastAsia" w:ascii="仿宋_GB2312" w:hAnsi="仿宋_GB2312" w:eastAsia="仿宋_GB2312" w:cs="仿宋_GB2312"/>
          <w:color w:val="auto"/>
          <w:sz w:val="28"/>
          <w:szCs w:val="28"/>
          <w:highlight w:val="none"/>
        </w:rPr>
        <w:t>的违约金；迟延进场超过</w:t>
      </w:r>
      <w:r>
        <w:rPr>
          <w:rFonts w:hint="eastAsia" w:ascii="Times New Roman" w:hAnsi="Times New Roman" w:eastAsia="仿宋_GB2312" w:cs="Times New Roman"/>
          <w:color w:val="auto"/>
          <w:sz w:val="28"/>
          <w:szCs w:val="28"/>
          <w:highlight w:val="none"/>
          <w:u w:val="single"/>
          <w:lang w:val="en-US" w:eastAsia="zh-CN"/>
        </w:rPr>
        <w:t>30</w:t>
      </w:r>
      <w:r>
        <w:rPr>
          <w:rFonts w:hint="eastAsia" w:ascii="仿宋_GB2312" w:hAnsi="仿宋_GB2312" w:eastAsia="仿宋_GB2312" w:cs="仿宋_GB2312"/>
          <w:color w:val="auto"/>
          <w:sz w:val="28"/>
          <w:szCs w:val="28"/>
          <w:highlight w:val="none"/>
        </w:rPr>
        <w:t>天</w:t>
      </w:r>
      <w:r>
        <w:rPr>
          <w:rFonts w:hint="eastAsia" w:ascii="仿宋_GB2312" w:hAnsi="仿宋_GB2312" w:eastAsia="仿宋_GB2312" w:cs="仿宋_GB2312"/>
          <w:color w:val="auto"/>
          <w:sz w:val="28"/>
          <w:szCs w:val="28"/>
          <w:highlight w:val="none"/>
          <w:lang w:val="en-US" w:eastAsia="zh-CN"/>
        </w:rPr>
        <w:t>或进场后三次未能及时提交满足合同约定标准的检测、监测报告的</w:t>
      </w:r>
      <w:r>
        <w:rPr>
          <w:rFonts w:hint="eastAsia" w:ascii="仿宋_GB2312" w:hAnsi="仿宋_GB2312" w:eastAsia="仿宋_GB2312" w:cs="仿宋_GB2312"/>
          <w:color w:val="auto"/>
          <w:sz w:val="28"/>
          <w:szCs w:val="28"/>
          <w:highlight w:val="none"/>
        </w:rPr>
        <w:t>，甲方有权解除合同，并有权将本项目另行委托其它</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机构</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eastAsia="zh-CN"/>
        </w:rPr>
        <w:t>应全额返还</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eastAsia="zh-CN"/>
        </w:rPr>
        <w:t>已付款项并赔偿</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eastAsia="zh-CN"/>
        </w:rPr>
        <w:t>相关损失</w:t>
      </w:r>
      <w:r>
        <w:rPr>
          <w:rFonts w:hint="eastAsia" w:ascii="仿宋_GB2312" w:hAnsi="仿宋_GB2312" w:eastAsia="仿宋_GB2312" w:cs="仿宋_GB2312"/>
          <w:color w:val="auto"/>
          <w:sz w:val="28"/>
          <w:szCs w:val="28"/>
          <w:highlight w:val="none"/>
        </w:rPr>
        <w:t>。</w:t>
      </w:r>
    </w:p>
    <w:p w14:paraId="22738A8B">
      <w:pPr>
        <w:pageBreakBefore w:val="0"/>
        <w:kinsoku/>
        <w:wordWrap/>
        <w:overflowPunct/>
        <w:topLinePunct w:val="0"/>
        <w:bidi w:val="0"/>
        <w:spacing w:before="156" w:beforeLines="50" w:line="560" w:lineRule="exact"/>
        <w:ind w:firstLine="420" w:firstLineChars="15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4.9</w:t>
      </w:r>
      <w:r>
        <w:rPr>
          <w:rFonts w:hint="eastAsia" w:ascii="仿宋_GB2312" w:hAnsi="仿宋_GB2312" w:eastAsia="仿宋_GB2312" w:cs="仿宋_GB2312"/>
          <w:color w:val="auto"/>
          <w:sz w:val="28"/>
          <w:szCs w:val="28"/>
          <w:highlight w:val="none"/>
        </w:rPr>
        <w:t>安全方面的违约责任</w:t>
      </w:r>
    </w:p>
    <w:p w14:paraId="340CF4EA">
      <w:pPr>
        <w:pageBreakBefore w:val="0"/>
        <w:kinsoku/>
        <w:wordWrap/>
        <w:overflowPunct/>
        <w:topLinePunct w:val="0"/>
        <w:bidi w:val="0"/>
        <w:spacing w:before="156" w:beforeLines="50" w:line="560" w:lineRule="exact"/>
        <w:ind w:firstLine="420" w:firstLineChars="15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乙方提供的相关检测成果应真实可靠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若</w:t>
      </w:r>
      <w:r>
        <w:rPr>
          <w:rFonts w:hint="eastAsia" w:ascii="仿宋_GB2312" w:hAnsi="仿宋_GB2312" w:eastAsia="仿宋_GB2312" w:cs="仿宋_GB2312"/>
          <w:color w:val="auto"/>
          <w:sz w:val="28"/>
          <w:szCs w:val="28"/>
          <w:highlight w:val="none"/>
        </w:rPr>
        <w:t>由于乙方的</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工作不及时或提供的检测</w:t>
      </w:r>
      <w:r>
        <w:rPr>
          <w:rFonts w:hint="eastAsia" w:ascii="仿宋_GB2312" w:hAnsi="仿宋_GB2312" w:eastAsia="仿宋_GB2312" w:cs="仿宋_GB2312"/>
          <w:color w:val="auto"/>
          <w:sz w:val="28"/>
          <w:szCs w:val="28"/>
          <w:highlight w:val="none"/>
          <w:lang w:val="en-US" w:eastAsia="zh-CN"/>
        </w:rPr>
        <w:t>监测</w:t>
      </w:r>
      <w:r>
        <w:rPr>
          <w:rFonts w:hint="eastAsia" w:ascii="仿宋_GB2312" w:hAnsi="仿宋_GB2312" w:eastAsia="仿宋_GB2312" w:cs="仿宋_GB2312"/>
          <w:color w:val="auto"/>
          <w:sz w:val="28"/>
          <w:szCs w:val="28"/>
          <w:highlight w:val="none"/>
        </w:rPr>
        <w:t>成果不准确或分析、报告不及时而导致事故发生，给甲方造成损失的，由乙方承担因此导致的所有经济与法律损失，并向甲方支付本合同项下</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w:t>
      </w:r>
      <w:r>
        <w:rPr>
          <w:rFonts w:hint="eastAsia" w:ascii="Times New Roman" w:hAnsi="Times New Roman" w:eastAsia="仿宋_GB2312" w:cs="Times New Roman"/>
          <w:color w:val="auto"/>
          <w:sz w:val="28"/>
          <w:szCs w:val="28"/>
          <w:highlight w:val="none"/>
          <w:u w:val="single"/>
          <w:lang w:val="en-US" w:eastAsia="zh-CN"/>
        </w:rPr>
        <w:t>30%</w:t>
      </w:r>
      <w:r>
        <w:rPr>
          <w:rFonts w:hint="eastAsia" w:ascii="仿宋_GB2312" w:hAnsi="仿宋_GB2312" w:eastAsia="仿宋_GB2312" w:cs="仿宋_GB2312"/>
          <w:color w:val="auto"/>
          <w:sz w:val="28"/>
          <w:szCs w:val="28"/>
          <w:highlight w:val="none"/>
        </w:rPr>
        <w:t>的违约金</w:t>
      </w:r>
      <w:r>
        <w:rPr>
          <w:rFonts w:hint="eastAsia" w:ascii="仿宋_GB2312" w:hAnsi="仿宋_GB2312" w:eastAsia="仿宋_GB2312" w:cs="仿宋_GB2312"/>
          <w:color w:val="auto"/>
          <w:sz w:val="28"/>
          <w:szCs w:val="28"/>
          <w:highlight w:val="none"/>
          <w:lang w:eastAsia="zh-CN"/>
        </w:rPr>
        <w:t>，且甲方有权解除合同</w:t>
      </w:r>
      <w:r>
        <w:rPr>
          <w:rFonts w:hint="eastAsia" w:ascii="仿宋_GB2312" w:hAnsi="仿宋_GB2312" w:eastAsia="仿宋_GB2312" w:cs="仿宋_GB2312"/>
          <w:color w:val="auto"/>
          <w:sz w:val="28"/>
          <w:szCs w:val="28"/>
          <w:highlight w:val="none"/>
        </w:rPr>
        <w:t>。</w:t>
      </w:r>
    </w:p>
    <w:p w14:paraId="037A4EC4">
      <w:pPr>
        <w:pageBreakBefore w:val="0"/>
        <w:kinsoku/>
        <w:wordWrap/>
        <w:overflowPunct/>
        <w:topLinePunct w:val="0"/>
        <w:bidi w:val="0"/>
        <w:spacing w:before="156" w:beforeLines="50" w:line="560" w:lineRule="exact"/>
        <w:ind w:firstLine="420" w:firstLineChars="150"/>
        <w:jc w:val="left"/>
        <w:textAlignment w:val="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4.10分包、转包方面的违约责任</w:t>
      </w:r>
    </w:p>
    <w:p w14:paraId="542C7954">
      <w:pPr>
        <w:pageBreakBefore w:val="0"/>
        <w:kinsoku/>
        <w:wordWrap/>
        <w:overflowPunct/>
        <w:topLinePunct w:val="0"/>
        <w:bidi w:val="0"/>
        <w:spacing w:before="156" w:beforeLines="50" w:line="560" w:lineRule="exact"/>
        <w:ind w:firstLine="420" w:firstLineChars="15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乙方擅自分包</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违法分包</w:t>
      </w:r>
      <w:r>
        <w:rPr>
          <w:rFonts w:hint="eastAsia" w:ascii="仿宋_GB2312" w:hAnsi="仿宋_GB2312" w:eastAsia="仿宋_GB2312" w:cs="仿宋_GB2312"/>
          <w:color w:val="auto"/>
          <w:sz w:val="28"/>
          <w:szCs w:val="28"/>
          <w:highlight w:val="none"/>
        </w:rPr>
        <w:t>或者转包项目的，甲方有权单方部分解除合同或全部解除合同，并要求乙方承担本合同项下</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w:t>
      </w:r>
      <w:r>
        <w:rPr>
          <w:rFonts w:hint="eastAsia" w:ascii="Times New Roman" w:hAnsi="Times New Roman" w:eastAsia="仿宋_GB2312" w:cs="Times New Roman"/>
          <w:color w:val="auto"/>
          <w:sz w:val="28"/>
          <w:szCs w:val="28"/>
          <w:highlight w:val="none"/>
          <w:u w:val="single"/>
          <w:lang w:val="en-US" w:eastAsia="zh-CN"/>
        </w:rPr>
        <w:t>30%</w:t>
      </w:r>
      <w:r>
        <w:rPr>
          <w:rFonts w:hint="eastAsia" w:ascii="仿宋_GB2312" w:hAnsi="仿宋_GB2312" w:eastAsia="仿宋_GB2312" w:cs="仿宋_GB2312"/>
          <w:color w:val="auto"/>
          <w:sz w:val="28"/>
          <w:szCs w:val="28"/>
          <w:highlight w:val="none"/>
        </w:rPr>
        <w:t>的违约金，若因此造成甲方损失还须赔偿相关损失。</w:t>
      </w:r>
    </w:p>
    <w:p w14:paraId="7B64CF34">
      <w:pPr>
        <w:pageBreakBefore w:val="0"/>
        <w:kinsoku/>
        <w:wordWrap/>
        <w:overflowPunct/>
        <w:topLinePunct w:val="0"/>
        <w:bidi w:val="0"/>
        <w:spacing w:before="156" w:beforeLines="50" w:line="560" w:lineRule="exact"/>
        <w:ind w:firstLine="420" w:firstLineChars="15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4.11在本工作验收前乙方不得更换项目负责人。如项目负责人发生人身意外、突发重大疾病、行政或刑事拘留等特殊情况，乙方确需更换项目负责人的，应至少提前7天以书面形式通知甲方，并征得甲方书面同意，通知中应当载明继任项目负责人的注册执业资格或职称、管理经验等资料，继任项目负责人继续履行合同约定的职责，拟更换人员的资质、学历、职称、业绩、实际工作能力不得低于原投标书中所承诺人员的综合素质。</w:t>
      </w:r>
      <w:r>
        <w:rPr>
          <w:rFonts w:hint="eastAsia" w:ascii="仿宋_GB2312" w:hAnsi="仿宋_GB2312" w:eastAsia="仿宋_GB2312" w:cs="仿宋_GB2312"/>
          <w:color w:val="auto"/>
          <w:sz w:val="28"/>
          <w:szCs w:val="28"/>
          <w:highlight w:val="none"/>
        </w:rPr>
        <w:t>如</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未经</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同意擅自更换项目负责人的，或由于项目负责人辞职、调换岗位等除</w:t>
      </w:r>
      <w:r>
        <w:rPr>
          <w:rFonts w:hint="eastAsia" w:ascii="仿宋_GB2312" w:hAnsi="仿宋_GB2312" w:eastAsia="仿宋_GB2312" w:cs="仿宋_GB2312"/>
          <w:color w:val="auto"/>
          <w:sz w:val="28"/>
          <w:szCs w:val="28"/>
          <w:highlight w:val="none"/>
          <w:lang w:val="en-US" w:eastAsia="zh-CN"/>
        </w:rPr>
        <w:t>上述</w:t>
      </w:r>
      <w:r>
        <w:rPr>
          <w:rFonts w:hint="eastAsia" w:ascii="仿宋_GB2312" w:hAnsi="仿宋_GB2312" w:eastAsia="仿宋_GB2312" w:cs="仿宋_GB2312"/>
          <w:color w:val="auto"/>
          <w:sz w:val="28"/>
          <w:szCs w:val="28"/>
          <w:highlight w:val="none"/>
        </w:rPr>
        <w:t>约定的情形以外的原因更换项目负责人的，或因项目负责人不称职</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要求更换而</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拒不更换的，</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须按合同价款的</w:t>
      </w:r>
      <w:r>
        <w:rPr>
          <w:rFonts w:hint="eastAsia" w:ascii="仿宋_GB2312" w:hAnsi="仿宋_GB2312" w:eastAsia="仿宋_GB2312" w:cs="仿宋_GB2312"/>
          <w:color w:val="auto"/>
          <w:sz w:val="28"/>
          <w:szCs w:val="28"/>
          <w:highlight w:val="none"/>
          <w:u w:val="single"/>
        </w:rPr>
        <w:t xml:space="preserve"> </w:t>
      </w:r>
      <w:r>
        <w:rPr>
          <w:rFonts w:hint="eastAsia" w:ascii="Times New Roman" w:hAnsi="Times New Roman" w:eastAsia="仿宋_GB2312" w:cs="Times New Roman"/>
          <w:color w:val="auto"/>
          <w:sz w:val="28"/>
          <w:szCs w:val="28"/>
          <w:highlight w:val="none"/>
          <w:u w:val="single"/>
          <w:lang w:val="en-US" w:eastAsia="zh-CN"/>
        </w:rPr>
        <w:t>10%</w:t>
      </w:r>
      <w:r>
        <w:rPr>
          <w:rFonts w:hint="eastAsia" w:ascii="仿宋_GB2312" w:hAnsi="仿宋_GB2312" w:eastAsia="仿宋_GB2312" w:cs="仿宋_GB2312"/>
          <w:color w:val="auto"/>
          <w:sz w:val="28"/>
          <w:szCs w:val="28"/>
          <w:highlight w:val="none"/>
          <w:u w:val="single"/>
        </w:rPr>
        <w:t>（不高于</w:t>
      </w:r>
      <w:r>
        <w:rPr>
          <w:rFonts w:hint="eastAsia" w:ascii="Times New Roman" w:hAnsi="Times New Roman" w:eastAsia="仿宋_GB2312" w:cs="Times New Roman"/>
          <w:color w:val="auto"/>
          <w:sz w:val="28"/>
          <w:szCs w:val="28"/>
          <w:highlight w:val="none"/>
          <w:u w:val="single"/>
          <w:lang w:val="en-US" w:eastAsia="zh-CN"/>
        </w:rPr>
        <w:t>50</w:t>
      </w:r>
      <w:r>
        <w:rPr>
          <w:rFonts w:hint="eastAsia" w:ascii="仿宋_GB2312" w:hAnsi="仿宋_GB2312" w:eastAsia="仿宋_GB2312" w:cs="仿宋_GB2312"/>
          <w:color w:val="auto"/>
          <w:sz w:val="28"/>
          <w:szCs w:val="28"/>
          <w:highlight w:val="none"/>
          <w:u w:val="single"/>
        </w:rPr>
        <w:t xml:space="preserve">万元）/次/人 </w:t>
      </w:r>
      <w:r>
        <w:rPr>
          <w:rFonts w:hint="eastAsia" w:ascii="仿宋_GB2312" w:hAnsi="仿宋_GB2312" w:eastAsia="仿宋_GB2312" w:cs="仿宋_GB2312"/>
          <w:color w:val="auto"/>
          <w:sz w:val="28"/>
          <w:szCs w:val="28"/>
          <w:highlight w:val="none"/>
        </w:rPr>
        <w:t>的标准向发包人支付违约金</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更换</w:t>
      </w:r>
      <w:r>
        <w:rPr>
          <w:rFonts w:hint="eastAsia" w:ascii="Times New Roman" w:hAnsi="Times New Roman" w:eastAsia="仿宋_GB2312" w:cs="Times New Roman"/>
          <w:color w:val="auto"/>
          <w:sz w:val="28"/>
          <w:szCs w:val="28"/>
          <w:highlight w:val="none"/>
          <w:lang w:val="en-US" w:eastAsia="zh-CN"/>
        </w:rPr>
        <w:t>项目负责人不得影响正常质量检测、监测工作</w:t>
      </w:r>
      <w:r>
        <w:rPr>
          <w:rFonts w:hint="eastAsia" w:ascii="仿宋_GB2312" w:hAnsi="仿宋_GB2312" w:eastAsia="仿宋_GB2312" w:cs="仿宋_GB2312"/>
          <w:color w:val="auto"/>
          <w:sz w:val="28"/>
          <w:szCs w:val="28"/>
          <w:highlight w:val="none"/>
        </w:rPr>
        <w:t>。</w:t>
      </w:r>
    </w:p>
    <w:p w14:paraId="293D67F2">
      <w:pPr>
        <w:pageBreakBefore w:val="0"/>
        <w:kinsoku/>
        <w:wordWrap/>
        <w:overflowPunct/>
        <w:topLinePunct w:val="0"/>
        <w:bidi w:val="0"/>
        <w:spacing w:before="156" w:beforeLines="50" w:line="560" w:lineRule="exact"/>
        <w:ind w:firstLine="420" w:firstLineChars="15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4.12</w:t>
      </w:r>
      <w:r>
        <w:rPr>
          <w:rFonts w:hint="eastAsia" w:ascii="仿宋_GB2312" w:hAnsi="仿宋_GB2312" w:eastAsia="仿宋_GB2312" w:cs="仿宋_GB2312"/>
          <w:color w:val="auto"/>
          <w:sz w:val="28"/>
          <w:szCs w:val="28"/>
          <w:highlight w:val="none"/>
        </w:rPr>
        <w:t>发现乙方人员与施工单位串通，对不合格工程出具合格</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报告或结论，甲方有权单方解除合同，并要求乙方承担本合同项下</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w:t>
      </w:r>
      <w:r>
        <w:rPr>
          <w:rFonts w:hint="eastAsia" w:ascii="Times New Roman" w:hAnsi="Times New Roman" w:eastAsia="仿宋_GB2312" w:cs="Times New Roman"/>
          <w:color w:val="auto"/>
          <w:sz w:val="28"/>
          <w:szCs w:val="28"/>
          <w:highlight w:val="none"/>
          <w:u w:val="single"/>
          <w:lang w:val="en-US" w:eastAsia="zh-CN"/>
        </w:rPr>
        <w:t>30%</w:t>
      </w:r>
      <w:r>
        <w:rPr>
          <w:rFonts w:hint="eastAsia" w:ascii="仿宋_GB2312" w:hAnsi="仿宋_GB2312" w:eastAsia="仿宋_GB2312" w:cs="仿宋_GB2312"/>
          <w:color w:val="auto"/>
          <w:sz w:val="28"/>
          <w:szCs w:val="28"/>
          <w:highlight w:val="none"/>
        </w:rPr>
        <w:t>的违约金，若因此造成甲方损失还须赔偿相关损失。</w:t>
      </w:r>
    </w:p>
    <w:p w14:paraId="346486A4">
      <w:pPr>
        <w:pageBreakBefore w:val="0"/>
        <w:kinsoku/>
        <w:wordWrap/>
        <w:overflowPunct/>
        <w:topLinePunct w:val="0"/>
        <w:bidi w:val="0"/>
        <w:spacing w:before="156" w:beforeLines="50" w:line="560" w:lineRule="exact"/>
        <w:ind w:firstLine="420" w:firstLineChars="15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4.13</w:t>
      </w:r>
      <w:r>
        <w:rPr>
          <w:rFonts w:hint="eastAsia" w:ascii="仿宋_GB2312" w:hAnsi="仿宋_GB2312" w:eastAsia="仿宋_GB2312" w:cs="仿宋_GB2312"/>
          <w:color w:val="auto"/>
          <w:sz w:val="28"/>
          <w:szCs w:val="28"/>
          <w:highlight w:val="none"/>
          <w:lang w:val="en-US" w:eastAsia="zh-CN"/>
        </w:rPr>
        <w:t>由乙方原因造成，提交的检测、监测报告不能满足工程建设需要的，乙方应自负费用继续完善，直到满足甲方需求时为止。</w:t>
      </w:r>
    </w:p>
    <w:p w14:paraId="74AC447C">
      <w:pPr>
        <w:pageBreakBefore w:val="0"/>
        <w:kinsoku/>
        <w:wordWrap/>
        <w:overflowPunct/>
        <w:topLinePunct w:val="0"/>
        <w:bidi w:val="0"/>
        <w:spacing w:before="156" w:beforeLines="50" w:line="560" w:lineRule="exact"/>
        <w:ind w:firstLine="420" w:firstLineChars="15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4.14</w:t>
      </w:r>
      <w:r>
        <w:rPr>
          <w:rFonts w:hint="eastAsia" w:ascii="仿宋_GB2312" w:hAnsi="仿宋_GB2312" w:eastAsia="仿宋_GB2312" w:cs="仿宋_GB2312"/>
          <w:color w:val="auto"/>
          <w:sz w:val="28"/>
          <w:szCs w:val="28"/>
          <w:highlight w:val="none"/>
          <w:lang w:val="en-US" w:eastAsia="zh-CN"/>
        </w:rPr>
        <w:t>乙方泄露甲方秘密或侵犯他人或甲方知识产权的，乙方应承担本合同项下检测、监测费用</w:t>
      </w:r>
      <w:r>
        <w:rPr>
          <w:rFonts w:hint="eastAsia" w:ascii="Times New Roman" w:hAnsi="Times New Roman" w:eastAsia="仿宋_GB2312" w:cs="Times New Roman"/>
          <w:color w:val="auto"/>
          <w:sz w:val="28"/>
          <w:szCs w:val="28"/>
          <w:highlight w:val="none"/>
          <w:u w:val="single"/>
          <w:lang w:val="en-US" w:eastAsia="zh-CN"/>
        </w:rPr>
        <w:t>30%</w:t>
      </w:r>
      <w:r>
        <w:rPr>
          <w:rFonts w:hint="eastAsia" w:ascii="仿宋_GB2312" w:hAnsi="仿宋_GB2312" w:eastAsia="仿宋_GB2312" w:cs="仿宋_GB2312"/>
          <w:color w:val="auto"/>
          <w:sz w:val="28"/>
          <w:szCs w:val="28"/>
          <w:highlight w:val="none"/>
          <w:lang w:val="en-US" w:eastAsia="zh-CN"/>
        </w:rPr>
        <w:t>的违约金，若因此造成甲方损失还须赔偿相关损失。情节严重的，甲方有权部分或全部解除合同。</w:t>
      </w:r>
    </w:p>
    <w:p w14:paraId="2348EBB0">
      <w:pPr>
        <w:pageBreakBefore w:val="0"/>
        <w:kinsoku/>
        <w:wordWrap/>
        <w:overflowPunct/>
        <w:topLinePunct w:val="0"/>
        <w:bidi w:val="0"/>
        <w:spacing w:before="156" w:beforeLines="50" w:line="560" w:lineRule="exact"/>
        <w:ind w:firstLine="420" w:firstLineChars="15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4.15</w:t>
      </w:r>
      <w:r>
        <w:rPr>
          <w:rFonts w:hint="eastAsia" w:ascii="仿宋_GB2312" w:hAnsi="仿宋_GB2312" w:eastAsia="仿宋_GB2312" w:cs="仿宋_GB2312"/>
          <w:color w:val="auto"/>
          <w:sz w:val="28"/>
          <w:szCs w:val="28"/>
          <w:highlight w:val="none"/>
          <w:lang w:val="en-US" w:eastAsia="zh-CN"/>
        </w:rPr>
        <w:t>乙方因吊销营业执照或破产的，甲方有权解除合同。乙方应承担本合同项下检测、监测费用</w:t>
      </w:r>
      <w:r>
        <w:rPr>
          <w:rFonts w:hint="eastAsia" w:ascii="Times New Roman" w:hAnsi="Times New Roman" w:eastAsia="仿宋_GB2312" w:cs="Times New Roman"/>
          <w:color w:val="auto"/>
          <w:sz w:val="28"/>
          <w:szCs w:val="28"/>
          <w:highlight w:val="none"/>
          <w:u w:val="single"/>
          <w:lang w:val="en-US" w:eastAsia="zh-CN"/>
        </w:rPr>
        <w:t>30%</w:t>
      </w:r>
      <w:r>
        <w:rPr>
          <w:rFonts w:hint="eastAsia" w:ascii="仿宋_GB2312" w:hAnsi="仿宋_GB2312" w:eastAsia="仿宋_GB2312" w:cs="仿宋_GB2312"/>
          <w:color w:val="auto"/>
          <w:sz w:val="28"/>
          <w:szCs w:val="28"/>
          <w:highlight w:val="none"/>
          <w:lang w:val="en-US" w:eastAsia="zh-CN"/>
        </w:rPr>
        <w:t>的违约金，乙方还须承诺放弃没有结算未付的服务报酬，不得异议。若造成损失，乙方还应赔偿损失。</w:t>
      </w:r>
    </w:p>
    <w:p w14:paraId="338FE318">
      <w:pPr>
        <w:pageBreakBefore w:val="0"/>
        <w:kinsoku/>
        <w:wordWrap/>
        <w:overflowPunct/>
        <w:topLinePunct w:val="0"/>
        <w:bidi w:val="0"/>
        <w:spacing w:before="156" w:beforeLines="50" w:line="560" w:lineRule="exact"/>
        <w:ind w:firstLine="420" w:firstLineChars="15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4.16</w:t>
      </w:r>
      <w:r>
        <w:rPr>
          <w:rFonts w:hint="eastAsia" w:ascii="仿宋_GB2312" w:hAnsi="仿宋_GB2312" w:eastAsia="仿宋_GB2312" w:cs="仿宋_GB2312"/>
          <w:color w:val="auto"/>
          <w:sz w:val="28"/>
          <w:szCs w:val="28"/>
          <w:highlight w:val="none"/>
          <w:lang w:val="en-US" w:eastAsia="zh-CN"/>
        </w:rPr>
        <w:t>乙方无正当理由单方要求解除本合同，或以消极履行的方式变相不履行本合同的，甲方有权解除本合同，乙方应向甲方支付本合同项下检测、监测费用</w:t>
      </w:r>
      <w:r>
        <w:rPr>
          <w:rFonts w:hint="eastAsia" w:ascii="Times New Roman" w:hAnsi="Times New Roman" w:eastAsia="仿宋_GB2312" w:cs="Times New Roman"/>
          <w:color w:val="auto"/>
          <w:sz w:val="28"/>
          <w:szCs w:val="28"/>
          <w:highlight w:val="none"/>
          <w:u w:val="single"/>
          <w:lang w:val="en-US" w:eastAsia="zh-CN"/>
        </w:rPr>
        <w:t>30%</w:t>
      </w:r>
      <w:r>
        <w:rPr>
          <w:rFonts w:hint="eastAsia" w:ascii="仿宋_GB2312" w:hAnsi="仿宋_GB2312" w:eastAsia="仿宋_GB2312" w:cs="仿宋_GB2312"/>
          <w:color w:val="auto"/>
          <w:sz w:val="28"/>
          <w:szCs w:val="28"/>
          <w:highlight w:val="none"/>
          <w:lang w:val="en-US" w:eastAsia="zh-CN"/>
        </w:rPr>
        <w:t>的违约金。若造成损失，乙方还应赔偿损失。</w:t>
      </w:r>
    </w:p>
    <w:p w14:paraId="0231FC62">
      <w:pPr>
        <w:spacing w:before="156" w:beforeLines="50" w:line="560" w:lineRule="exact"/>
        <w:ind w:firstLineChars="15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4.17</w:t>
      </w:r>
      <w:r>
        <w:rPr>
          <w:rFonts w:hint="eastAsia" w:ascii="仿宋_GB2312" w:hAnsi="仿宋_GB2312" w:eastAsia="仿宋_GB2312" w:cs="仿宋_GB2312"/>
          <w:color w:val="auto"/>
          <w:sz w:val="28"/>
          <w:szCs w:val="28"/>
          <w:highlight w:val="none"/>
          <w:lang w:val="en-US" w:eastAsia="zh-CN"/>
        </w:rPr>
        <w:t>在甲方书面通知乙方进场后</w:t>
      </w:r>
      <w:r>
        <w:rPr>
          <w:rFonts w:hint="eastAsia" w:ascii="Times New Roman" w:hAnsi="Times New Roman" w:eastAsia="仿宋_GB2312" w:cs="Times New Roman"/>
          <w:color w:val="auto"/>
          <w:sz w:val="28"/>
          <w:szCs w:val="28"/>
          <w:highlight w:val="none"/>
          <w:u w:val="single"/>
          <w:lang w:val="en-US" w:eastAsia="zh-CN"/>
        </w:rPr>
        <w:t>7</w:t>
      </w:r>
      <w:r>
        <w:rPr>
          <w:rFonts w:hint="eastAsia" w:ascii="仿宋_GB2312" w:hAnsi="仿宋_GB2312" w:eastAsia="仿宋_GB2312" w:cs="仿宋_GB2312"/>
          <w:color w:val="auto"/>
          <w:sz w:val="28"/>
          <w:szCs w:val="28"/>
          <w:highlight w:val="none"/>
          <w:lang w:val="en-US" w:eastAsia="zh-CN"/>
        </w:rPr>
        <w:t>日内，乙方的项目负责人或技术负责人不到位或到位后又离开，造成该岗位空缺，甲方一旦发现，将要求乙方做出书面解释并保证人员限期到位。人员未到位前，每逾期一天应按相关项目检测、监测费用的</w:t>
      </w:r>
      <w:r>
        <w:rPr>
          <w:rFonts w:hint="eastAsia" w:ascii="Times New Roman" w:hAnsi="Times New Roman" w:eastAsia="仿宋_GB2312" w:cs="Times New Roman"/>
          <w:color w:val="auto"/>
          <w:sz w:val="28"/>
          <w:szCs w:val="28"/>
          <w:highlight w:val="none"/>
          <w:u w:val="single"/>
          <w:lang w:val="en-US" w:eastAsia="zh-CN"/>
        </w:rPr>
        <w:t xml:space="preserve"> 0.2 %</w:t>
      </w:r>
      <w:r>
        <w:rPr>
          <w:rFonts w:hint="eastAsia" w:ascii="仿宋_GB2312" w:hAnsi="仿宋_GB2312" w:eastAsia="仿宋_GB2312" w:cs="仿宋_GB2312"/>
          <w:color w:val="auto"/>
          <w:sz w:val="28"/>
          <w:szCs w:val="28"/>
          <w:highlight w:val="none"/>
          <w:lang w:val="en-US" w:eastAsia="zh-CN"/>
        </w:rPr>
        <w:t>向甲方支付违约金；如果乙方拒不配合，未在甲方提出限期改正的期限内进行整改的，每逾期一天应按相关项目检测、监测费用的</w:t>
      </w:r>
      <w:r>
        <w:rPr>
          <w:rFonts w:hint="eastAsia" w:ascii="Times New Roman" w:hAnsi="Times New Roman" w:eastAsia="仿宋_GB2312" w:cs="Times New Roman"/>
          <w:color w:val="auto"/>
          <w:sz w:val="28"/>
          <w:szCs w:val="28"/>
          <w:highlight w:val="none"/>
          <w:u w:val="single"/>
          <w:lang w:val="en-US" w:eastAsia="zh-CN"/>
        </w:rPr>
        <w:t xml:space="preserve"> 0.4 %</w:t>
      </w:r>
      <w:r>
        <w:rPr>
          <w:rFonts w:hint="eastAsia" w:ascii="仿宋_GB2312" w:hAnsi="仿宋_GB2312" w:eastAsia="仿宋_GB2312" w:cs="仿宋_GB2312"/>
          <w:color w:val="auto"/>
          <w:sz w:val="28"/>
          <w:szCs w:val="28"/>
          <w:highlight w:val="none"/>
          <w:lang w:val="en-US" w:eastAsia="zh-CN"/>
        </w:rPr>
        <w:t>向甲方支付违约金，且甲方有权单方提出解除合同，并要求乙方承担由此造成的甲方损失。</w:t>
      </w:r>
    </w:p>
    <w:p w14:paraId="2A2C5A8C">
      <w:pPr>
        <w:spacing w:before="156" w:beforeLines="50" w:line="560" w:lineRule="exact"/>
        <w:ind w:firstLineChars="15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4.18</w:t>
      </w:r>
      <w:r>
        <w:rPr>
          <w:rFonts w:hint="eastAsia" w:ascii="仿宋_GB2312" w:hAnsi="仿宋_GB2312" w:eastAsia="仿宋_GB2312" w:cs="仿宋_GB2312"/>
          <w:color w:val="auto"/>
          <w:sz w:val="28"/>
          <w:szCs w:val="28"/>
          <w:highlight w:val="none"/>
          <w:lang w:val="en-US" w:eastAsia="zh-CN"/>
        </w:rPr>
        <w:t>在甲方书面通知乙方进场后</w:t>
      </w:r>
      <w:r>
        <w:rPr>
          <w:rFonts w:hint="eastAsia" w:ascii="Times New Roman" w:hAnsi="Times New Roman" w:eastAsia="仿宋_GB2312" w:cs="Times New Roman"/>
          <w:color w:val="auto"/>
          <w:sz w:val="28"/>
          <w:szCs w:val="28"/>
          <w:highlight w:val="none"/>
          <w:u w:val="single"/>
          <w:lang w:val="en-US" w:eastAsia="zh-CN"/>
        </w:rPr>
        <w:t>7</w:t>
      </w:r>
      <w:r>
        <w:rPr>
          <w:rFonts w:hint="eastAsia" w:ascii="仿宋_GB2312" w:hAnsi="仿宋_GB2312" w:eastAsia="仿宋_GB2312" w:cs="仿宋_GB2312"/>
          <w:color w:val="auto"/>
          <w:sz w:val="28"/>
          <w:szCs w:val="28"/>
          <w:highlight w:val="none"/>
          <w:lang w:val="en-US" w:eastAsia="zh-CN"/>
        </w:rPr>
        <w:t>日内，乙方在投标文件中承诺的主要质量检测、监测技术人员未能足额到位，或到位后又离开，造成该岗位空缺，或同时受聘于两家或者两家以上检测机构，以及未按承诺依时足额投入有关设备，甲方一旦发现将要求乙方做出书面解释并保证人员、设备限期到位；上述情况每发生1次，乙方应按相关项目检测、监测费用的</w:t>
      </w:r>
      <w:r>
        <w:rPr>
          <w:rFonts w:hint="eastAsia" w:ascii="Times New Roman" w:hAnsi="Times New Roman" w:eastAsia="仿宋_GB2312" w:cs="Times New Roman"/>
          <w:color w:val="auto"/>
          <w:sz w:val="28"/>
          <w:szCs w:val="28"/>
          <w:highlight w:val="none"/>
          <w:u w:val="single"/>
          <w:lang w:val="en-US" w:eastAsia="zh-CN"/>
        </w:rPr>
        <w:t xml:space="preserve"> 0.1 %</w:t>
      </w:r>
      <w:r>
        <w:rPr>
          <w:rFonts w:hint="eastAsia" w:ascii="仿宋_GB2312" w:hAnsi="仿宋_GB2312" w:eastAsia="仿宋_GB2312" w:cs="仿宋_GB2312"/>
          <w:color w:val="auto"/>
          <w:sz w:val="28"/>
          <w:szCs w:val="28"/>
          <w:highlight w:val="none"/>
          <w:lang w:val="en-US" w:eastAsia="zh-CN"/>
        </w:rPr>
        <w:t>向甲方支付违约金；如果乙方拒不配合，未在甲方提出限期改正的期限内进行整改的，乙方应按相关项目检测、监测费用的</w:t>
      </w:r>
      <w:r>
        <w:rPr>
          <w:rFonts w:hint="eastAsia" w:ascii="Times New Roman" w:hAnsi="Times New Roman" w:eastAsia="仿宋_GB2312" w:cs="Times New Roman"/>
          <w:color w:val="auto"/>
          <w:sz w:val="28"/>
          <w:szCs w:val="28"/>
          <w:highlight w:val="none"/>
          <w:u w:val="single"/>
          <w:lang w:val="en-US" w:eastAsia="zh-CN"/>
        </w:rPr>
        <w:t xml:space="preserve"> 0.2 %</w:t>
      </w:r>
      <w:r>
        <w:rPr>
          <w:rFonts w:hint="eastAsia" w:ascii="仿宋_GB2312" w:hAnsi="仿宋_GB2312" w:eastAsia="仿宋_GB2312" w:cs="仿宋_GB2312"/>
          <w:color w:val="auto"/>
          <w:sz w:val="28"/>
          <w:szCs w:val="28"/>
          <w:highlight w:val="none"/>
          <w:lang w:val="en-US" w:eastAsia="zh-CN"/>
        </w:rPr>
        <w:t>向甲方支付违约金，直至解除合同，乙方应承担由此造成的甲方损失。</w:t>
      </w:r>
    </w:p>
    <w:p w14:paraId="7597806F">
      <w:pPr>
        <w:spacing w:before="156" w:beforeLines="50" w:line="560" w:lineRule="exact"/>
        <w:ind w:firstLineChars="15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4.19</w:t>
      </w:r>
      <w:r>
        <w:rPr>
          <w:rFonts w:hint="eastAsia" w:ascii="仿宋_GB2312" w:hAnsi="仿宋_GB2312" w:eastAsia="仿宋_GB2312" w:cs="仿宋_GB2312"/>
          <w:color w:val="auto"/>
          <w:sz w:val="28"/>
          <w:szCs w:val="28"/>
          <w:highlight w:val="none"/>
        </w:rPr>
        <w:t xml:space="preserve">甲方或甲方委托的监理单位召集工程会议书面通知乙方必须派出项目负责人或技术负责人依时参加会议时，乙方必须派员到会，未经甲方同意不到会者，每发生一次按本合同项下检测、监测费用 </w:t>
      </w:r>
      <w:r>
        <w:rPr>
          <w:rFonts w:hint="eastAsia" w:ascii="Times New Roman" w:hAnsi="Times New Roman" w:eastAsia="仿宋_GB2312" w:cs="Times New Roman"/>
          <w:color w:val="auto"/>
          <w:sz w:val="28"/>
          <w:szCs w:val="28"/>
          <w:highlight w:val="none"/>
          <w:u w:val="single"/>
        </w:rPr>
        <w:t xml:space="preserve">0.1 </w:t>
      </w:r>
      <w:r>
        <w:rPr>
          <w:rFonts w:hint="eastAsia" w:ascii="仿宋_GB2312" w:hAnsi="仿宋_GB2312" w:eastAsia="仿宋_GB2312" w:cs="仿宋_GB2312"/>
          <w:color w:val="auto"/>
          <w:sz w:val="28"/>
          <w:szCs w:val="28"/>
          <w:highlight w:val="none"/>
        </w:rPr>
        <w:t>%的计算违约金。</w:t>
      </w:r>
    </w:p>
    <w:p w14:paraId="4435F005">
      <w:pPr>
        <w:spacing w:before="156" w:beforeLines="50" w:line="560" w:lineRule="exact"/>
        <w:ind w:firstLineChars="15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4.20</w:t>
      </w:r>
      <w:r>
        <w:rPr>
          <w:rFonts w:hint="eastAsia" w:ascii="仿宋_GB2312" w:hAnsi="仿宋_GB2312" w:eastAsia="仿宋_GB2312" w:cs="仿宋_GB2312"/>
          <w:b w:val="0"/>
          <w:bCs w:val="0"/>
          <w:color w:val="auto"/>
          <w:kern w:val="2"/>
          <w:sz w:val="28"/>
          <w:szCs w:val="28"/>
          <w:highlight w:val="none"/>
          <w:lang w:val="en-US" w:eastAsia="zh-CN" w:bidi="ar-SA"/>
        </w:rPr>
        <w:t>乙方在工程完成相应内容并收齐有关资料后的</w:t>
      </w:r>
      <w:r>
        <w:rPr>
          <w:rFonts w:hint="eastAsia" w:ascii="Times New Roman" w:hAnsi="Times New Roman" w:eastAsia="仿宋_GB2312" w:cs="Times New Roman"/>
          <w:b w:val="0"/>
          <w:bCs w:val="0"/>
          <w:color w:val="auto"/>
          <w:kern w:val="2"/>
          <w:sz w:val="28"/>
          <w:szCs w:val="28"/>
          <w:highlight w:val="none"/>
          <w:u w:val="single"/>
          <w:lang w:val="en-US" w:eastAsia="zh-CN" w:bidi="ar-SA"/>
        </w:rPr>
        <w:t>28</w:t>
      </w:r>
      <w:r>
        <w:rPr>
          <w:rFonts w:hint="eastAsia" w:ascii="仿宋_GB2312" w:hAnsi="仿宋_GB2312" w:eastAsia="仿宋_GB2312" w:cs="仿宋_GB2312"/>
          <w:b w:val="0"/>
          <w:bCs w:val="0"/>
          <w:color w:val="auto"/>
          <w:kern w:val="2"/>
          <w:sz w:val="28"/>
          <w:szCs w:val="28"/>
          <w:highlight w:val="none"/>
          <w:lang w:val="en-US" w:eastAsia="zh-CN" w:bidi="ar-SA"/>
        </w:rPr>
        <w:t>日内，必须完成应由乙方填写的各种资料归档。否则，每迟交一天，乙方应按服务报酬结算价总额的</w:t>
      </w:r>
      <w:r>
        <w:rPr>
          <w:rFonts w:hint="eastAsia" w:ascii="Times New Roman" w:hAnsi="Times New Roman" w:eastAsia="仿宋_GB2312" w:cs="Times New Roman"/>
          <w:color w:val="auto"/>
          <w:sz w:val="28"/>
          <w:szCs w:val="28"/>
          <w:highlight w:val="none"/>
          <w:u w:val="single"/>
          <w:lang w:val="en-US" w:eastAsia="zh-CN"/>
        </w:rPr>
        <w:t xml:space="preserve"> 0.1 %</w:t>
      </w:r>
      <w:r>
        <w:rPr>
          <w:rFonts w:hint="eastAsia" w:ascii="Times New Roman" w:hAnsi="Times New Roman" w:eastAsia="仿宋_GB2312" w:cs="Times New Roman"/>
          <w:color w:val="auto"/>
          <w:sz w:val="28"/>
          <w:szCs w:val="28"/>
          <w:highlight w:val="none"/>
          <w:u w:val="none"/>
          <w:lang w:val="en-US" w:eastAsia="zh-CN"/>
        </w:rPr>
        <w:t>/</w:t>
      </w:r>
      <w:r>
        <w:rPr>
          <w:rFonts w:hint="eastAsia" w:ascii="仿宋_GB2312" w:hAnsi="仿宋_GB2312" w:eastAsia="仿宋_GB2312" w:cs="仿宋_GB2312"/>
          <w:b w:val="0"/>
          <w:bCs w:val="0"/>
          <w:color w:val="auto"/>
          <w:kern w:val="2"/>
          <w:sz w:val="28"/>
          <w:szCs w:val="28"/>
          <w:highlight w:val="none"/>
          <w:lang w:val="en-US" w:eastAsia="zh-CN" w:bidi="ar-SA"/>
        </w:rPr>
        <w:t>日向甲方支付违约金。</w:t>
      </w:r>
    </w:p>
    <w:p w14:paraId="1B1C9A3F">
      <w:pPr>
        <w:pStyle w:val="7"/>
        <w:pageBreakBefore w:val="0"/>
        <w:numPr>
          <w:ilvl w:val="0"/>
          <w:numId w:val="0"/>
        </w:numPr>
        <w:kinsoku/>
        <w:wordWrap/>
        <w:overflowPunct/>
        <w:topLinePunct w:val="0"/>
        <w:bidi w:val="0"/>
        <w:spacing w:line="560" w:lineRule="exact"/>
        <w:ind w:left="1222" w:leftChars="320" w:hanging="454" w:hangingChars="142"/>
        <w:jc w:val="left"/>
        <w:textAlignment w:val="auto"/>
        <w:rPr>
          <w:rFonts w:hint="eastAsia" w:ascii="黑体" w:hAnsi="黑体" w:eastAsia="黑体" w:cs="黑体"/>
          <w:b w:val="0"/>
          <w:bCs w:val="0"/>
          <w:color w:val="auto"/>
          <w:sz w:val="32"/>
          <w:szCs w:val="32"/>
          <w:highlight w:val="none"/>
          <w:lang w:val="en-US" w:eastAsia="zh-CN"/>
        </w:rPr>
      </w:pPr>
      <w:bookmarkStart w:id="187" w:name="_Toc10627445"/>
      <w:r>
        <w:rPr>
          <w:rFonts w:hint="eastAsia" w:ascii="黑体" w:hAnsi="黑体" w:eastAsia="黑体" w:cs="黑体"/>
          <w:b w:val="0"/>
          <w:bCs w:val="0"/>
          <w:color w:val="auto"/>
          <w:sz w:val="32"/>
          <w:szCs w:val="32"/>
          <w:highlight w:val="none"/>
          <w:lang w:val="en-US" w:eastAsia="zh-CN"/>
        </w:rPr>
        <w:t>5.支付</w:t>
      </w:r>
      <w:bookmarkEnd w:id="187"/>
    </w:p>
    <w:p w14:paraId="58B42A91">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val="en-US" w:eastAsia="zh-CN"/>
        </w:rPr>
      </w:pPr>
      <w:bookmarkStart w:id="188" w:name="_Toc10627446"/>
      <w:r>
        <w:rPr>
          <w:rFonts w:hint="eastAsia" w:ascii="黑体" w:hAnsi="黑体" w:eastAsia="黑体" w:cs="黑体"/>
          <w:b w:val="0"/>
          <w:bCs w:val="0"/>
          <w:color w:val="auto"/>
          <w:sz w:val="28"/>
          <w:szCs w:val="28"/>
          <w:highlight w:val="none"/>
          <w:lang w:val="en-US" w:eastAsia="zh-CN"/>
        </w:rPr>
        <w:t>5.2检测、监测项目费用计算方式、金额</w:t>
      </w:r>
      <w:bookmarkEnd w:id="188"/>
    </w:p>
    <w:p w14:paraId="21770DC9">
      <w:pPr>
        <w:pageBreakBefore w:val="0"/>
        <w:kinsoku/>
        <w:wordWrap/>
        <w:overflowPunct/>
        <w:topLinePunct w:val="0"/>
        <w:bidi w:val="0"/>
        <w:adjustRightInd w:val="0"/>
        <w:snapToGrid w:val="0"/>
        <w:spacing w:line="560" w:lineRule="exact"/>
        <w:ind w:firstLine="700" w:firstLineChars="25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5.2.1</w:t>
      </w:r>
      <w:r>
        <w:rPr>
          <w:rFonts w:hint="eastAsia" w:ascii="仿宋_GB2312" w:hAnsi="仿宋_GB2312" w:eastAsia="仿宋_GB2312" w:cs="仿宋_GB2312"/>
          <w:color w:val="auto"/>
          <w:sz w:val="28"/>
          <w:szCs w:val="28"/>
          <w:highlight w:val="none"/>
        </w:rPr>
        <w:t>本合同</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项目费用的计算方式为：</w:t>
      </w:r>
    </w:p>
    <w:p w14:paraId="473E5C49">
      <w:pPr>
        <w:pageBreakBefore w:val="0"/>
        <w:kinsoku/>
        <w:wordWrap/>
        <w:overflowPunct/>
        <w:topLinePunct w:val="0"/>
        <w:bidi w:val="0"/>
        <w:adjustRightInd w:val="0"/>
        <w:snapToGrid w:val="0"/>
        <w:spacing w:line="560" w:lineRule="exact"/>
        <w:ind w:firstLine="700" w:firstLineChars="25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2" w:char="0052"/>
      </w:r>
      <w:r>
        <w:rPr>
          <w:rFonts w:hint="eastAsia" w:ascii="仿宋_GB2312" w:hAnsi="仿宋_GB2312" w:eastAsia="仿宋_GB2312" w:cs="仿宋_GB2312"/>
          <w:color w:val="auto"/>
          <w:sz w:val="28"/>
          <w:szCs w:val="28"/>
          <w:highlight w:val="none"/>
        </w:rPr>
        <w:t>单价包干；☒总价包干；☒其它</w:t>
      </w:r>
    </w:p>
    <w:p w14:paraId="3312256F">
      <w:pPr>
        <w:pageBreakBefore w:val="0"/>
        <w:kinsoku/>
        <w:wordWrap/>
        <w:overflowPunct/>
        <w:topLinePunct w:val="0"/>
        <w:bidi w:val="0"/>
        <w:adjustRightInd w:val="0"/>
        <w:snapToGrid w:val="0"/>
        <w:spacing w:line="560" w:lineRule="exact"/>
        <w:ind w:firstLine="700" w:firstLineChars="250"/>
        <w:jc w:val="left"/>
        <w:textAlignment w:val="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5.2.2</w:t>
      </w:r>
      <w:r>
        <w:rPr>
          <w:rFonts w:hint="eastAsia" w:ascii="仿宋_GB2312" w:hAnsi="仿宋_GB2312" w:eastAsia="仿宋_GB2312" w:cs="仿宋_GB2312"/>
          <w:color w:val="auto"/>
          <w:sz w:val="28"/>
          <w:szCs w:val="28"/>
          <w:highlight w:val="none"/>
        </w:rPr>
        <w:t>本项目检测</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监测</w:t>
      </w:r>
      <w:r>
        <w:rPr>
          <w:rFonts w:hint="eastAsia" w:ascii="仿宋_GB2312" w:hAnsi="仿宋_GB2312" w:eastAsia="仿宋_GB2312" w:cs="仿宋_GB2312"/>
          <w:color w:val="auto"/>
          <w:sz w:val="28"/>
          <w:szCs w:val="28"/>
          <w:highlight w:val="none"/>
        </w:rPr>
        <w:t>费</w:t>
      </w:r>
      <w:r>
        <w:rPr>
          <w:rFonts w:hint="eastAsia" w:ascii="仿宋_GB2312" w:hAnsi="仿宋_GB2312" w:eastAsia="仿宋_GB2312" w:cs="仿宋_GB2312"/>
          <w:color w:val="auto"/>
          <w:sz w:val="28"/>
          <w:szCs w:val="28"/>
          <w:highlight w:val="none"/>
          <w:lang w:val="en-US" w:eastAsia="zh-CN"/>
        </w:rPr>
        <w:t>用</w:t>
      </w:r>
      <w:r>
        <w:rPr>
          <w:rFonts w:hint="eastAsia" w:ascii="仿宋_GB2312" w:hAnsi="仿宋_GB2312" w:eastAsia="仿宋_GB2312" w:cs="仿宋_GB2312"/>
          <w:color w:val="auto"/>
          <w:sz w:val="28"/>
          <w:szCs w:val="28"/>
          <w:highlight w:val="none"/>
        </w:rPr>
        <w:t>合计金额为：¥</w:t>
      </w:r>
      <w:r>
        <w:rPr>
          <w:rFonts w:hint="eastAsia" w:ascii="Times New Roman" w:hAnsi="Times New Roman" w:eastAsia="仿宋_GB2312" w:cs="Times New Roman"/>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,金额大写(人民币</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，投标下浮率为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rPr>
        <w:t>本项目实行全费用含税综合单价包干，最终结算以经批准的检测监测方案为依据，按经甲方确认的实际发生工程量*《投标报价表》中的综合单价限价*（1-</w:t>
      </w: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下浮率）计算。各单项工程竣工验收合格后按单项工程办理检测监测费结算,</w:t>
      </w:r>
      <w:r>
        <w:rPr>
          <w:rFonts w:hint="eastAsia" w:ascii="仿宋_GB2312" w:hAnsi="仿宋_GB2312" w:eastAsia="仿宋_GB2312" w:cs="仿宋_GB2312"/>
          <w:color w:val="auto"/>
          <w:sz w:val="28"/>
          <w:szCs w:val="28"/>
          <w:highlight w:val="none"/>
          <w:lang w:eastAsia="zh-CN"/>
        </w:rPr>
        <w:t>最终结算价不得超该单项工程概算对应的检测监测费。最终结算价以</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eastAsia="zh-CN"/>
        </w:rPr>
        <w:t>委托的第三方审价机构或广州市财政局财政评审中心审定的结算价为准。</w:t>
      </w:r>
    </w:p>
    <w:p w14:paraId="56C8A254">
      <w:pPr>
        <w:pageBreakBefore w:val="0"/>
        <w:kinsoku/>
        <w:wordWrap/>
        <w:overflowPunct/>
        <w:topLinePunct w:val="0"/>
        <w:bidi w:val="0"/>
        <w:adjustRightInd w:val="0"/>
        <w:snapToGrid w:val="0"/>
        <w:spacing w:line="560" w:lineRule="exact"/>
        <w:ind w:firstLine="700" w:firstLineChars="25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5.2.2.1</w:t>
      </w:r>
      <w:r>
        <w:rPr>
          <w:rFonts w:hint="eastAsia" w:ascii="仿宋_GB2312" w:hAnsi="仿宋_GB2312" w:eastAsia="仿宋_GB2312" w:cs="仿宋_GB2312"/>
          <w:color w:val="auto"/>
          <w:sz w:val="28"/>
          <w:szCs w:val="28"/>
          <w:highlight w:val="none"/>
        </w:rPr>
        <w:t>本合同服务报酬是由</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按招标文件的规定、采用清单报价形式，根据</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自身的条件和能力，结合工程现场实际情况，考虑风险后编制，除</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对原设计要求或同意变更外，</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 xml:space="preserve">必须按综合单价形式报价。综合单价须包含但不限于质量检测监测方案设计和预算、质量检测监测方案优化及实施、质量检测监测设备安装施工、质量检测监测结果的及时反馈报告、包工期、包质量、包人工、包设备、包材料、包技术、采取有效措施不发生安全事故、包档案、包工作费用等一切费用。 </w:t>
      </w:r>
    </w:p>
    <w:p w14:paraId="1322AECE">
      <w:pPr>
        <w:pageBreakBefore w:val="0"/>
        <w:kinsoku/>
        <w:wordWrap/>
        <w:overflowPunct/>
        <w:topLinePunct w:val="0"/>
        <w:bidi w:val="0"/>
        <w:adjustRightInd w:val="0"/>
        <w:snapToGrid w:val="0"/>
        <w:spacing w:line="560" w:lineRule="exact"/>
        <w:ind w:firstLine="700" w:firstLineChars="25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5.2.2.2</w:t>
      </w:r>
      <w:r>
        <w:rPr>
          <w:rFonts w:hint="eastAsia" w:ascii="仿宋_GB2312" w:hAnsi="仿宋_GB2312" w:eastAsia="仿宋_GB2312" w:cs="仿宋_GB2312"/>
          <w:color w:val="auto"/>
          <w:sz w:val="28"/>
          <w:szCs w:val="28"/>
          <w:highlight w:val="none"/>
        </w:rPr>
        <w:t>服务报酬中已包括质量检测、监测过程中全部费用</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除建设行政主管部门规定可调整外的所有风险</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包括但不限于乙方的雇员费用及意外风险费用、设备仪器材料费用、质量检测、监测点设点费用、租赁费用、专家聘请费用、知识产权费用、交通通讯费用、赔偿费用、保险费用、文件费用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运输费用</w:t>
      </w:r>
      <w:r>
        <w:rPr>
          <w:rFonts w:hint="eastAsia" w:ascii="仿宋_GB2312" w:hAnsi="仿宋_GB2312" w:eastAsia="仿宋_GB2312" w:cs="仿宋_GB2312"/>
          <w:color w:val="auto"/>
          <w:sz w:val="28"/>
          <w:szCs w:val="28"/>
          <w:highlight w:val="none"/>
        </w:rPr>
        <w:t>等。</w:t>
      </w:r>
    </w:p>
    <w:p w14:paraId="4BE3DC3A">
      <w:pPr>
        <w:pageBreakBefore w:val="0"/>
        <w:kinsoku/>
        <w:wordWrap/>
        <w:overflowPunct/>
        <w:topLinePunct w:val="0"/>
        <w:bidi w:val="0"/>
        <w:adjustRightInd w:val="0"/>
        <w:snapToGrid w:val="0"/>
        <w:spacing w:line="560" w:lineRule="exact"/>
        <w:ind w:firstLine="700" w:firstLineChars="25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5.2.2.3</w:t>
      </w:r>
      <w:r>
        <w:rPr>
          <w:rFonts w:hint="eastAsia" w:ascii="仿宋_GB2312" w:hAnsi="仿宋_GB2312" w:eastAsia="仿宋_GB2312" w:cs="仿宋_GB2312"/>
          <w:color w:val="auto"/>
          <w:sz w:val="28"/>
          <w:szCs w:val="28"/>
          <w:highlight w:val="none"/>
        </w:rPr>
        <w:t>暂列金额不作为结算依据，其使用须经过</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批准。除经</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批准使用部分外，其余部分结算时扣除。</w:t>
      </w:r>
    </w:p>
    <w:p w14:paraId="7325A61E">
      <w:pPr>
        <w:pageBreakBefore w:val="0"/>
        <w:kinsoku/>
        <w:wordWrap/>
        <w:overflowPunct/>
        <w:topLinePunct w:val="0"/>
        <w:bidi w:val="0"/>
        <w:spacing w:line="560" w:lineRule="exact"/>
        <w:ind w:firstLine="700" w:firstLineChars="25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5.2.3</w:t>
      </w:r>
      <w:r>
        <w:rPr>
          <w:rFonts w:hint="eastAsia" w:ascii="仿宋_GB2312" w:hAnsi="仿宋_GB2312" w:eastAsia="仿宋_GB2312" w:cs="仿宋_GB2312"/>
          <w:color w:val="auto"/>
          <w:sz w:val="28"/>
          <w:szCs w:val="28"/>
          <w:highlight w:val="none"/>
        </w:rPr>
        <w:t xml:space="preserve">本项目合同包干总价：￥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元（人民币大写：</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）。如有合同变更的内容，结算时另按专用条款6.1条计算。</w:t>
      </w:r>
    </w:p>
    <w:p w14:paraId="74204E2C">
      <w:pPr>
        <w:pageBreakBefore w:val="0"/>
        <w:kinsoku/>
        <w:wordWrap/>
        <w:overflowPunct/>
        <w:topLinePunct w:val="0"/>
        <w:bidi w:val="0"/>
        <w:spacing w:line="560" w:lineRule="exact"/>
        <w:ind w:firstLine="700" w:firstLineChars="25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5.2.4</w:t>
      </w:r>
      <w:r>
        <w:rPr>
          <w:rFonts w:hint="eastAsia" w:ascii="仿宋_GB2312" w:hAnsi="仿宋_GB2312" w:eastAsia="仿宋_GB2312" w:cs="仿宋_GB2312"/>
          <w:color w:val="auto"/>
          <w:sz w:val="28"/>
          <w:szCs w:val="28"/>
          <w:highlight w:val="none"/>
        </w:rPr>
        <w:t>其它：</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u w:val="single"/>
        </w:rPr>
        <w:t xml:space="preserve">        </w:t>
      </w:r>
    </w:p>
    <w:p w14:paraId="3B29621B">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val="en-US" w:eastAsia="zh-CN"/>
        </w:rPr>
      </w:pPr>
      <w:bookmarkStart w:id="189" w:name="_Toc10627447"/>
      <w:r>
        <w:rPr>
          <w:rFonts w:hint="eastAsia" w:ascii="黑体" w:hAnsi="黑体" w:eastAsia="黑体" w:cs="黑体"/>
          <w:b w:val="0"/>
          <w:bCs w:val="0"/>
          <w:color w:val="auto"/>
          <w:sz w:val="28"/>
          <w:szCs w:val="28"/>
          <w:highlight w:val="none"/>
          <w:lang w:val="en-US" w:eastAsia="zh-CN"/>
        </w:rPr>
        <w:t>5.3支付方式</w:t>
      </w:r>
      <w:bookmarkEnd w:id="189"/>
    </w:p>
    <w:p w14:paraId="397E031D">
      <w:pPr>
        <w:pStyle w:val="3"/>
        <w:pageBreakBefore w:val="0"/>
        <w:kinsoku/>
        <w:wordWrap/>
        <w:overflowPunct/>
        <w:topLinePunct w:val="0"/>
        <w:bidi w:val="0"/>
        <w:spacing w:line="560" w:lineRule="exact"/>
        <w:ind w:left="0" w:leftChars="0"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经双方协商一致，双方约定本项目的</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费用的采用以下</w:t>
      </w:r>
      <w:r>
        <w:rPr>
          <w:rFonts w:hint="eastAsia" w:ascii="仿宋_GB2312" w:hAnsi="仿宋_GB2312" w:eastAsia="仿宋_GB2312" w:cs="仿宋_GB2312"/>
          <w:color w:val="auto"/>
          <w:sz w:val="28"/>
          <w:szCs w:val="28"/>
          <w:highlight w:val="none"/>
          <w:lang w:val="en-US" w:eastAsia="zh-CN"/>
        </w:rPr>
        <w:t>方式</w:t>
      </w:r>
      <w:r>
        <w:rPr>
          <w:rFonts w:hint="eastAsia" w:ascii="仿宋_GB2312" w:hAnsi="仿宋_GB2312" w:eastAsia="仿宋_GB2312" w:cs="仿宋_GB2312"/>
          <w:color w:val="auto"/>
          <w:sz w:val="28"/>
          <w:szCs w:val="28"/>
          <w:highlight w:val="none"/>
          <w:u w:val="single"/>
          <w:lang w:val="en-US" w:eastAsia="zh-CN"/>
        </w:rPr>
        <w:t xml:space="preserve"> 四  </w:t>
      </w:r>
      <w:r>
        <w:rPr>
          <w:rFonts w:hint="eastAsia" w:ascii="仿宋_GB2312" w:hAnsi="仿宋_GB2312" w:eastAsia="仿宋_GB2312" w:cs="仿宋_GB2312"/>
          <w:color w:val="auto"/>
          <w:sz w:val="28"/>
          <w:szCs w:val="28"/>
          <w:highlight w:val="none"/>
        </w:rPr>
        <w:t>进行支付。</w:t>
      </w:r>
    </w:p>
    <w:p w14:paraId="1BF7392A">
      <w:pPr>
        <w:pStyle w:val="3"/>
        <w:pageBreakBefore w:val="0"/>
        <w:kinsoku/>
        <w:wordWrap/>
        <w:overflowPunct/>
        <w:topLinePunct w:val="0"/>
        <w:bidi w:val="0"/>
        <w:spacing w:line="560" w:lineRule="exact"/>
        <w:ind w:left="0" w:leftChars="0" w:firstLine="56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方式一：</w:t>
      </w:r>
      <w:r>
        <w:rPr>
          <w:rFonts w:hint="eastAsia" w:ascii="仿宋_GB2312" w:hAnsi="仿宋_GB2312" w:eastAsia="仿宋_GB2312" w:cs="仿宋_GB2312"/>
          <w:color w:val="auto"/>
          <w:sz w:val="28"/>
          <w:szCs w:val="28"/>
          <w:highlight w:val="none"/>
        </w:rPr>
        <w:t>合同签订生效且取得乙方提交的等额有效增值税普通发票后，在甲方领取全部</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报告时一次性向乙方支付全部</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w:t>
      </w:r>
    </w:p>
    <w:p w14:paraId="62FE4E16">
      <w:pPr>
        <w:pStyle w:val="3"/>
        <w:pageBreakBefore w:val="0"/>
        <w:kinsoku/>
        <w:wordWrap/>
        <w:overflowPunct/>
        <w:topLinePunct w:val="0"/>
        <w:bidi w:val="0"/>
        <w:spacing w:line="560" w:lineRule="exact"/>
        <w:ind w:left="0" w:leftChars="0" w:firstLine="56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方式二：</w:t>
      </w:r>
      <w:r>
        <w:rPr>
          <w:rFonts w:hint="eastAsia" w:ascii="仿宋_GB2312" w:hAnsi="仿宋_GB2312" w:eastAsia="仿宋_GB2312" w:cs="仿宋_GB2312"/>
          <w:color w:val="auto"/>
          <w:sz w:val="28"/>
          <w:szCs w:val="28"/>
          <w:highlight w:val="none"/>
        </w:rPr>
        <w:t>按月结算，每月</w:t>
      </w:r>
      <w:r>
        <w:rPr>
          <w:rFonts w:hint="eastAsia" w:ascii="Times New Roman" w:hAnsi="Times New Roman" w:eastAsia="仿宋_GB2312" w:cs="Times New Roman"/>
          <w:color w:val="auto"/>
          <w:kern w:val="2"/>
          <w:sz w:val="28"/>
          <w:szCs w:val="28"/>
          <w:highlight w:val="none"/>
          <w:u w:val="single"/>
          <w:lang w:val="en-US" w:eastAsia="zh-CN" w:bidi="ar-SA"/>
        </w:rPr>
        <w:t>10</w:t>
      </w:r>
      <w:r>
        <w:rPr>
          <w:rFonts w:hint="eastAsia" w:ascii="仿宋_GB2312" w:hAnsi="仿宋_GB2312" w:eastAsia="仿宋_GB2312" w:cs="仿宋_GB2312"/>
          <w:color w:val="auto"/>
          <w:sz w:val="28"/>
          <w:szCs w:val="28"/>
          <w:highlight w:val="none"/>
        </w:rPr>
        <w:t>号之前结清上月发生费用。</w:t>
      </w:r>
    </w:p>
    <w:p w14:paraId="1D694623">
      <w:pPr>
        <w:pStyle w:val="3"/>
        <w:pageBreakBefore w:val="0"/>
        <w:kinsoku/>
        <w:wordWrap/>
        <w:overflowPunct/>
        <w:topLinePunct w:val="0"/>
        <w:bidi w:val="0"/>
        <w:spacing w:line="560" w:lineRule="exact"/>
        <w:ind w:left="0" w:leftChars="0" w:firstLine="56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方式三：</w:t>
      </w:r>
      <w:r>
        <w:rPr>
          <w:rFonts w:hint="eastAsia" w:ascii="仿宋_GB2312" w:hAnsi="仿宋_GB2312" w:eastAsia="仿宋_GB2312" w:cs="仿宋_GB2312"/>
          <w:color w:val="auto"/>
          <w:sz w:val="28"/>
          <w:szCs w:val="28"/>
          <w:highlight w:val="none"/>
        </w:rPr>
        <w:t>1.合同签订生效且取得乙方提交的等额有效增值税普通发票后，甲方在</w:t>
      </w:r>
      <w:r>
        <w:rPr>
          <w:rFonts w:hint="eastAsia" w:ascii="Times New Roman" w:eastAsia="仿宋_GB2312" w:cs="Times New Roman"/>
          <w:color w:val="auto"/>
          <w:kern w:val="2"/>
          <w:sz w:val="28"/>
          <w:szCs w:val="28"/>
          <w:highlight w:val="none"/>
          <w:u w:val="single"/>
          <w:lang w:val="en-US" w:eastAsia="zh-CN" w:bidi="ar-SA"/>
        </w:rPr>
        <w:t>7</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内向乙方支付</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费用暂定总额（扣除暂列金）的</w:t>
      </w:r>
      <w:r>
        <w:rPr>
          <w:rFonts w:hint="eastAsia" w:ascii="Times New Roman" w:hAnsi="Times New Roman" w:eastAsia="仿宋_GB2312" w:cs="Times New Roman"/>
          <w:color w:val="auto"/>
          <w:kern w:val="2"/>
          <w:sz w:val="28"/>
          <w:szCs w:val="28"/>
          <w:highlight w:val="none"/>
          <w:u w:val="single"/>
          <w:lang w:val="en-US" w:eastAsia="zh-CN" w:bidi="ar-SA"/>
        </w:rPr>
        <w:t xml:space="preserve">  15%  </w:t>
      </w:r>
      <w:r>
        <w:rPr>
          <w:rFonts w:hint="eastAsia" w:ascii="仿宋_GB2312" w:hAnsi="仿宋_GB2312" w:eastAsia="仿宋_GB2312" w:cs="仿宋_GB2312"/>
          <w:color w:val="auto"/>
          <w:sz w:val="28"/>
          <w:szCs w:val="28"/>
          <w:highlight w:val="none"/>
        </w:rPr>
        <w:t>（不低于</w:t>
      </w:r>
      <w:r>
        <w:rPr>
          <w:rFonts w:hint="eastAsia" w:ascii="Times New Roman" w:hAnsi="Times New Roman" w:eastAsia="仿宋_GB2312" w:cs="Times New Roman"/>
          <w:color w:val="auto"/>
          <w:kern w:val="2"/>
          <w:sz w:val="28"/>
          <w:szCs w:val="28"/>
          <w:highlight w:val="none"/>
          <w:u w:val="none"/>
          <w:lang w:val="en-US" w:eastAsia="zh-CN" w:bidi="ar-SA"/>
        </w:rPr>
        <w:t>15％</w:t>
      </w:r>
      <w:r>
        <w:rPr>
          <w:rFonts w:hint="eastAsia" w:ascii="仿宋_GB2312" w:hAnsi="仿宋_GB2312" w:eastAsia="仿宋_GB2312" w:cs="仿宋_GB2312"/>
          <w:color w:val="auto"/>
          <w:sz w:val="28"/>
          <w:szCs w:val="28"/>
          <w:highlight w:val="none"/>
        </w:rPr>
        <w:t>）作为预付款。</w:t>
      </w:r>
    </w:p>
    <w:p w14:paraId="0C467293">
      <w:pPr>
        <w:pStyle w:val="3"/>
        <w:pageBreakBefore w:val="0"/>
        <w:kinsoku/>
        <w:wordWrap/>
        <w:overflowPunct/>
        <w:topLinePunct w:val="0"/>
        <w:bidi w:val="0"/>
        <w:spacing w:line="560" w:lineRule="exact"/>
        <w:ind w:left="0" w:leftChars="0"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2.乙方在完成</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报告后，向甲方送达或邮寄</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费用请款书，甲方应在</w:t>
      </w:r>
      <w:r>
        <w:rPr>
          <w:rFonts w:hint="eastAsia" w:ascii="仿宋_GB2312" w:hAnsi="仿宋_GB2312" w:eastAsia="仿宋_GB2312" w:cs="仿宋_GB2312"/>
          <w:color w:val="auto"/>
          <w:sz w:val="28"/>
          <w:szCs w:val="28"/>
          <w:highlight w:val="none"/>
          <w:lang w:val="en-US" w:eastAsia="zh-CN"/>
        </w:rPr>
        <w:t>项目完成结算后</w:t>
      </w:r>
      <w:r>
        <w:rPr>
          <w:rFonts w:hint="eastAsia" w:ascii="Times New Roman" w:hAnsi="Times New Roman" w:eastAsia="仿宋_GB2312" w:cs="Times New Roman"/>
          <w:color w:val="auto"/>
          <w:kern w:val="2"/>
          <w:sz w:val="28"/>
          <w:szCs w:val="28"/>
          <w:highlight w:val="none"/>
          <w:u w:val="single"/>
          <w:lang w:val="en-US" w:eastAsia="zh-CN" w:bidi="ar-SA"/>
        </w:rPr>
        <w:t>30</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内向乙方支付相关</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w:t>
      </w:r>
      <w:r>
        <w:rPr>
          <w:rFonts w:hint="eastAsia" w:ascii="仿宋_GB2312" w:hAnsi="仿宋_GB2312" w:eastAsia="仿宋_GB2312" w:cs="仿宋_GB2312"/>
          <w:color w:val="auto"/>
          <w:sz w:val="28"/>
          <w:szCs w:val="28"/>
          <w:highlight w:val="none"/>
          <w:lang w:val="en-US" w:eastAsia="zh-CN"/>
        </w:rPr>
        <w:t>结算尾款并</w:t>
      </w:r>
      <w:r>
        <w:rPr>
          <w:rFonts w:hint="eastAsia" w:ascii="仿宋_GB2312" w:hAnsi="仿宋_GB2312" w:eastAsia="仿宋_GB2312" w:cs="仿宋_GB2312"/>
          <w:color w:val="auto"/>
          <w:sz w:val="28"/>
          <w:szCs w:val="28"/>
          <w:highlight w:val="none"/>
        </w:rPr>
        <w:t>领取</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报告。</w:t>
      </w:r>
    </w:p>
    <w:p w14:paraId="29D7FAC1">
      <w:pPr>
        <w:pStyle w:val="3"/>
        <w:pageBreakBefore w:val="0"/>
        <w:kinsoku/>
        <w:wordWrap/>
        <w:overflowPunct/>
        <w:topLinePunct w:val="0"/>
        <w:bidi w:val="0"/>
        <w:spacing w:line="560" w:lineRule="exact"/>
        <w:ind w:left="0" w:leftChars="0" w:firstLine="56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方式四：</w:t>
      </w:r>
      <w:r>
        <w:rPr>
          <w:rFonts w:hint="eastAsia" w:ascii="仿宋_GB2312" w:hAnsi="仿宋_GB2312" w:eastAsia="仿宋_GB2312" w:cs="仿宋_GB2312"/>
          <w:color w:val="auto"/>
          <w:sz w:val="28"/>
          <w:szCs w:val="28"/>
          <w:highlight w:val="none"/>
        </w:rPr>
        <w:t>1.合同签订生效且取得乙方提交的等额有效增值税普通发票后，甲方在</w:t>
      </w:r>
      <w:r>
        <w:rPr>
          <w:rFonts w:hint="eastAsia" w:ascii="Times New Roman" w:hAnsi="Times New Roman" w:eastAsia="仿宋_GB2312" w:cs="Times New Roman"/>
          <w:color w:val="auto"/>
          <w:kern w:val="2"/>
          <w:sz w:val="28"/>
          <w:szCs w:val="28"/>
          <w:highlight w:val="none"/>
          <w:u w:val="single"/>
          <w:lang w:val="en-US" w:eastAsia="zh-CN" w:bidi="ar-SA"/>
        </w:rPr>
        <w:t>7</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内向乙方支付</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费用暂定总额（扣除暂列金）的</w:t>
      </w:r>
      <w:r>
        <w:rPr>
          <w:rFonts w:hint="eastAsia" w:ascii="Times New Roman" w:hAnsi="Times New Roman" w:eastAsia="仿宋_GB2312" w:cs="Times New Roman"/>
          <w:color w:val="auto"/>
          <w:kern w:val="2"/>
          <w:sz w:val="28"/>
          <w:szCs w:val="28"/>
          <w:highlight w:val="none"/>
          <w:u w:val="single"/>
          <w:lang w:val="en-US" w:eastAsia="zh-CN" w:bidi="ar-SA"/>
        </w:rPr>
        <w:t xml:space="preserve">  15%  </w:t>
      </w:r>
      <w:r>
        <w:rPr>
          <w:rFonts w:hint="eastAsia" w:ascii="仿宋_GB2312" w:hAnsi="仿宋_GB2312" w:eastAsia="仿宋_GB2312" w:cs="仿宋_GB2312"/>
          <w:color w:val="auto"/>
          <w:sz w:val="28"/>
          <w:szCs w:val="28"/>
          <w:highlight w:val="none"/>
        </w:rPr>
        <w:t>（不低于</w:t>
      </w:r>
      <w:r>
        <w:rPr>
          <w:rFonts w:hint="eastAsia" w:ascii="Times New Roman" w:hAnsi="Times New Roman" w:eastAsia="仿宋_GB2312" w:cs="Times New Roman"/>
          <w:color w:val="auto"/>
          <w:kern w:val="2"/>
          <w:sz w:val="28"/>
          <w:szCs w:val="28"/>
          <w:highlight w:val="none"/>
          <w:u w:val="none"/>
          <w:lang w:val="en-US" w:eastAsia="zh-CN" w:bidi="ar-SA"/>
        </w:rPr>
        <w:t>15％</w:t>
      </w:r>
      <w:r>
        <w:rPr>
          <w:rFonts w:hint="eastAsia" w:ascii="仿宋_GB2312" w:hAnsi="仿宋_GB2312" w:eastAsia="仿宋_GB2312" w:cs="仿宋_GB2312"/>
          <w:color w:val="auto"/>
          <w:sz w:val="28"/>
          <w:szCs w:val="28"/>
          <w:highlight w:val="none"/>
        </w:rPr>
        <w:t>）作为预付款。</w:t>
      </w:r>
    </w:p>
    <w:p w14:paraId="0C80CD39">
      <w:pPr>
        <w:pStyle w:val="3"/>
        <w:pageBreakBefore w:val="0"/>
        <w:kinsoku/>
        <w:wordWrap/>
        <w:overflowPunct/>
        <w:topLinePunct w:val="0"/>
        <w:bidi w:val="0"/>
        <w:spacing w:line="560" w:lineRule="exact"/>
        <w:ind w:left="0" w:leftChars="0"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费用原则上每季度按实际完成的</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lang w:val="en-US" w:eastAsia="zh-CN"/>
        </w:rPr>
        <w:t>工作</w:t>
      </w:r>
      <w:r>
        <w:rPr>
          <w:rFonts w:hint="eastAsia" w:ascii="仿宋_GB2312" w:hAnsi="仿宋_GB2312" w:eastAsia="仿宋_GB2312" w:cs="仿宋_GB2312"/>
          <w:color w:val="auto"/>
          <w:sz w:val="28"/>
          <w:szCs w:val="28"/>
          <w:highlight w:val="none"/>
        </w:rPr>
        <w:t>量支付，可支付累计完成</w:t>
      </w:r>
      <w:r>
        <w:rPr>
          <w:rFonts w:hint="eastAsia" w:ascii="仿宋_GB2312" w:hAnsi="仿宋_GB2312" w:eastAsia="仿宋_GB2312" w:cs="仿宋_GB2312"/>
          <w:color w:val="auto"/>
          <w:sz w:val="28"/>
          <w:szCs w:val="28"/>
          <w:highlight w:val="none"/>
          <w:lang w:val="en-US" w:eastAsia="zh-CN"/>
        </w:rPr>
        <w:t>工作</w:t>
      </w:r>
      <w:r>
        <w:rPr>
          <w:rFonts w:hint="eastAsia" w:ascii="仿宋_GB2312" w:hAnsi="仿宋_GB2312" w:eastAsia="仿宋_GB2312" w:cs="仿宋_GB2312"/>
          <w:color w:val="auto"/>
          <w:sz w:val="28"/>
          <w:szCs w:val="28"/>
          <w:highlight w:val="none"/>
        </w:rPr>
        <w:t>量的</w:t>
      </w:r>
      <w:r>
        <w:rPr>
          <w:rFonts w:hint="eastAsia" w:ascii="Times New Roman" w:hAnsi="Times New Roman" w:eastAsia="仿宋_GB2312" w:cs="Times New Roman"/>
          <w:color w:val="auto"/>
          <w:kern w:val="2"/>
          <w:sz w:val="28"/>
          <w:szCs w:val="28"/>
          <w:highlight w:val="none"/>
          <w:u w:val="single"/>
          <w:lang w:val="en-US" w:eastAsia="zh-CN" w:bidi="ar-SA"/>
        </w:rPr>
        <w:t xml:space="preserve"> 80% </w:t>
      </w:r>
      <w:r>
        <w:rPr>
          <w:rFonts w:hint="eastAsia" w:ascii="仿宋_GB2312" w:hAnsi="仿宋_GB2312" w:eastAsia="仿宋_GB2312" w:cs="仿宋_GB2312"/>
          <w:color w:val="auto"/>
          <w:sz w:val="28"/>
          <w:szCs w:val="28"/>
          <w:highlight w:val="none"/>
        </w:rPr>
        <w:t>（不低于</w:t>
      </w:r>
      <w:r>
        <w:rPr>
          <w:rFonts w:hint="eastAsia" w:ascii="Times New Roman" w:hAnsi="Times New Roman" w:eastAsia="仿宋_GB2312" w:cs="Times New Roman"/>
          <w:color w:val="auto"/>
          <w:kern w:val="2"/>
          <w:sz w:val="28"/>
          <w:szCs w:val="28"/>
          <w:highlight w:val="none"/>
          <w:u w:val="none"/>
          <w:lang w:val="en-US" w:eastAsia="zh-CN" w:bidi="ar-SA"/>
        </w:rPr>
        <w:t>80％</w:t>
      </w:r>
      <w:r>
        <w:rPr>
          <w:rFonts w:hint="eastAsia" w:ascii="仿宋_GB2312" w:hAnsi="仿宋_GB2312" w:eastAsia="仿宋_GB2312" w:cs="仿宋_GB2312"/>
          <w:color w:val="auto"/>
          <w:sz w:val="28"/>
          <w:szCs w:val="28"/>
          <w:highlight w:val="none"/>
        </w:rPr>
        <w:t>）。合同价款为￥1000万元以下的，</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在第一次进度款计价支付时一次性扣回预付款，合同价款为￥1000万元以上（含￥1000万元）的，</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从第一次进度款计价支付时起分两次等额扣回预付款。</w:t>
      </w:r>
    </w:p>
    <w:p w14:paraId="0F27A69E">
      <w:pPr>
        <w:pStyle w:val="3"/>
        <w:pageBreakBefore w:val="0"/>
        <w:kinsoku/>
        <w:wordWrap/>
        <w:overflowPunct/>
        <w:topLinePunct w:val="0"/>
        <w:bidi w:val="0"/>
        <w:spacing w:line="560" w:lineRule="exact"/>
        <w:ind w:left="0" w:leftChars="0"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3.乙方在完成</w:t>
      </w:r>
      <w:r>
        <w:rPr>
          <w:rFonts w:hint="eastAsia" w:ascii="仿宋_GB2312" w:hAnsi="仿宋_GB2312" w:eastAsia="仿宋_GB2312" w:cs="仿宋_GB2312"/>
          <w:color w:val="auto"/>
          <w:sz w:val="28"/>
          <w:szCs w:val="28"/>
          <w:highlight w:val="none"/>
          <w:lang w:eastAsia="zh-CN"/>
        </w:rPr>
        <w:t>单项工程检测、监测</w:t>
      </w:r>
      <w:r>
        <w:rPr>
          <w:rFonts w:hint="eastAsia" w:ascii="仿宋_GB2312" w:hAnsi="仿宋_GB2312" w:eastAsia="仿宋_GB2312" w:cs="仿宋_GB2312"/>
          <w:color w:val="auto"/>
          <w:sz w:val="28"/>
          <w:szCs w:val="28"/>
          <w:highlight w:val="none"/>
        </w:rPr>
        <w:t>报告后</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向</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提交</w:t>
      </w:r>
      <w:r>
        <w:rPr>
          <w:rFonts w:hint="eastAsia" w:ascii="仿宋_GB2312" w:hAnsi="仿宋_GB2312" w:eastAsia="仿宋_GB2312" w:cs="仿宋_GB2312"/>
          <w:color w:val="auto"/>
          <w:sz w:val="28"/>
          <w:szCs w:val="28"/>
          <w:highlight w:val="none"/>
          <w:lang w:eastAsia="zh-CN"/>
        </w:rPr>
        <w:t>该单项工程</w:t>
      </w:r>
      <w:r>
        <w:rPr>
          <w:rFonts w:hint="eastAsia" w:ascii="仿宋_GB2312" w:hAnsi="仿宋_GB2312" w:eastAsia="仿宋_GB2312" w:cs="仿宋_GB2312"/>
          <w:color w:val="auto"/>
          <w:sz w:val="28"/>
          <w:szCs w:val="28"/>
          <w:highlight w:val="none"/>
        </w:rPr>
        <w:t>结算资料（结算资料包括且不限于费用请款书</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本项目完整的检测</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监测报告，通过相关质量监督部门的检测</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监测审查备案资料等），项目完成结算后，甲方应在</w:t>
      </w:r>
      <w:r>
        <w:rPr>
          <w:rFonts w:hint="eastAsia" w:ascii="Times New Roman" w:hAnsi="Times New Roman" w:eastAsia="仿宋_GB2312" w:cs="Times New Roman"/>
          <w:color w:val="auto"/>
          <w:kern w:val="2"/>
          <w:sz w:val="28"/>
          <w:szCs w:val="28"/>
          <w:highlight w:val="none"/>
          <w:u w:val="single"/>
          <w:lang w:val="en-US" w:eastAsia="zh-CN" w:bidi="ar-SA"/>
        </w:rPr>
        <w:t>30</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内向乙方支付</w:t>
      </w:r>
      <w:r>
        <w:rPr>
          <w:rFonts w:hint="eastAsia" w:ascii="仿宋_GB2312" w:hAnsi="仿宋_GB2312" w:eastAsia="仿宋_GB2312" w:cs="仿宋_GB2312"/>
          <w:color w:val="auto"/>
          <w:sz w:val="28"/>
          <w:szCs w:val="28"/>
          <w:highlight w:val="none"/>
          <w:lang w:eastAsia="zh-CN"/>
        </w:rPr>
        <w:t>该单项工程</w:t>
      </w:r>
      <w:r>
        <w:rPr>
          <w:rFonts w:hint="eastAsia" w:ascii="仿宋_GB2312" w:hAnsi="仿宋_GB2312" w:eastAsia="仿宋_GB2312" w:cs="仿宋_GB2312"/>
          <w:color w:val="auto"/>
          <w:sz w:val="28"/>
          <w:szCs w:val="28"/>
          <w:highlight w:val="none"/>
        </w:rPr>
        <w:t>剩余</w:t>
      </w:r>
      <w:r>
        <w:rPr>
          <w:rFonts w:hint="eastAsia" w:ascii="仿宋_GB2312" w:hAnsi="仿宋_GB2312" w:eastAsia="仿宋_GB2312" w:cs="仿宋_GB2312"/>
          <w:color w:val="auto"/>
          <w:sz w:val="28"/>
          <w:szCs w:val="28"/>
          <w:highlight w:val="none"/>
          <w:lang w:eastAsia="zh-CN"/>
        </w:rPr>
        <w:t>的检测、监测</w:t>
      </w:r>
      <w:r>
        <w:rPr>
          <w:rFonts w:hint="eastAsia" w:ascii="仿宋_GB2312" w:hAnsi="仿宋_GB2312" w:eastAsia="仿宋_GB2312" w:cs="仿宋_GB2312"/>
          <w:color w:val="auto"/>
          <w:sz w:val="28"/>
          <w:szCs w:val="28"/>
          <w:highlight w:val="none"/>
        </w:rPr>
        <w:t>费用。</w:t>
      </w:r>
    </w:p>
    <w:p w14:paraId="71BE3F43">
      <w:pPr>
        <w:pStyle w:val="3"/>
        <w:pageBreakBefore w:val="0"/>
        <w:kinsoku/>
        <w:wordWrap/>
        <w:overflowPunct/>
        <w:topLinePunct w:val="0"/>
        <w:bidi w:val="0"/>
        <w:spacing w:line="560" w:lineRule="exact"/>
        <w:ind w:left="0" w:leftChars="0" w:firstLine="56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方式五：</w:t>
      </w:r>
      <w:r>
        <w:rPr>
          <w:rFonts w:hint="eastAsia" w:ascii="仿宋_GB2312" w:hAnsi="仿宋_GB2312" w:eastAsia="仿宋_GB2312" w:cs="仿宋_GB2312"/>
          <w:color w:val="auto"/>
          <w:sz w:val="28"/>
          <w:szCs w:val="28"/>
          <w:highlight w:val="none"/>
        </w:rPr>
        <w:t>1.每季度按实际完成的工程量支付，可支付累计完成工程量</w:t>
      </w:r>
      <w:r>
        <w:rPr>
          <w:rFonts w:hint="eastAsia" w:ascii="仿宋_GB2312" w:hAnsi="仿宋_GB2312" w:eastAsia="仿宋_GB2312" w:cs="仿宋_GB2312"/>
          <w:color w:val="auto"/>
          <w:sz w:val="28"/>
          <w:szCs w:val="28"/>
          <w:highlight w:val="none"/>
          <w:u w:val="single"/>
        </w:rPr>
        <w:t xml:space="preserve"> </w:t>
      </w:r>
      <w:r>
        <w:rPr>
          <w:rFonts w:hint="eastAsia" w:ascii="Times New Roman" w:hAnsi="Times New Roman" w:eastAsia="仿宋_GB2312" w:cs="Times New Roman"/>
          <w:color w:val="auto"/>
          <w:kern w:val="2"/>
          <w:sz w:val="28"/>
          <w:szCs w:val="28"/>
          <w:highlight w:val="none"/>
          <w:u w:val="single"/>
          <w:lang w:val="en-US" w:eastAsia="zh-CN" w:bidi="ar-SA"/>
        </w:rPr>
        <w:t xml:space="preserve">80% </w:t>
      </w:r>
      <w:r>
        <w:rPr>
          <w:rFonts w:hint="eastAsia" w:ascii="仿宋_GB2312" w:hAnsi="仿宋_GB2312" w:eastAsia="仿宋_GB2312" w:cs="仿宋_GB2312"/>
          <w:color w:val="auto"/>
          <w:sz w:val="28"/>
          <w:szCs w:val="28"/>
          <w:highlight w:val="none"/>
        </w:rPr>
        <w:t>（不低于</w:t>
      </w:r>
      <w:r>
        <w:rPr>
          <w:rFonts w:hint="eastAsia" w:ascii="Times New Roman" w:hAnsi="Times New Roman" w:eastAsia="仿宋_GB2312" w:cs="Times New Roman"/>
          <w:color w:val="auto"/>
          <w:kern w:val="2"/>
          <w:sz w:val="28"/>
          <w:szCs w:val="28"/>
          <w:highlight w:val="none"/>
          <w:u w:val="none"/>
          <w:lang w:val="en-US" w:eastAsia="zh-CN" w:bidi="ar-SA"/>
        </w:rPr>
        <w:t>80％</w:t>
      </w:r>
      <w:r>
        <w:rPr>
          <w:rFonts w:hint="eastAsia" w:ascii="仿宋_GB2312" w:hAnsi="仿宋_GB2312" w:eastAsia="仿宋_GB2312" w:cs="仿宋_GB2312"/>
          <w:color w:val="auto"/>
          <w:sz w:val="28"/>
          <w:szCs w:val="28"/>
          <w:highlight w:val="none"/>
        </w:rPr>
        <w:t>）。</w:t>
      </w:r>
    </w:p>
    <w:p w14:paraId="17B8B79B">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2.乙方在完成</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报告后，向甲方送达或邮寄</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费用请款书，甲方应在30天内向乙方支付剩余</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费用后领取</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报告。</w:t>
      </w:r>
    </w:p>
    <w:p w14:paraId="13B522F0">
      <w:pPr>
        <w:pStyle w:val="3"/>
        <w:pageBreakBefore w:val="0"/>
        <w:kinsoku/>
        <w:wordWrap/>
        <w:overflowPunct/>
        <w:topLinePunct w:val="0"/>
        <w:bidi w:val="0"/>
        <w:spacing w:line="560" w:lineRule="exact"/>
        <w:ind w:left="0" w:leftChars="0" w:firstLine="56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方式六：</w:t>
      </w:r>
      <w:r>
        <w:rPr>
          <w:rFonts w:hint="eastAsia" w:ascii="仿宋_GB2312" w:hAnsi="仿宋_GB2312" w:eastAsia="仿宋_GB2312" w:cs="仿宋_GB2312"/>
          <w:color w:val="auto"/>
          <w:sz w:val="28"/>
          <w:szCs w:val="28"/>
          <w:highlight w:val="none"/>
        </w:rPr>
        <w:t>其它支付方式：</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3F124C22">
      <w:pPr>
        <w:pStyle w:val="7"/>
        <w:pageBreakBefore w:val="0"/>
        <w:numPr>
          <w:ilvl w:val="0"/>
          <w:numId w:val="0"/>
        </w:numPr>
        <w:kinsoku/>
        <w:wordWrap/>
        <w:overflowPunct/>
        <w:topLinePunct w:val="0"/>
        <w:bidi w:val="0"/>
        <w:spacing w:line="560" w:lineRule="exact"/>
        <w:ind w:left="1222" w:leftChars="320" w:hanging="454" w:hangingChars="142"/>
        <w:jc w:val="left"/>
        <w:textAlignment w:val="auto"/>
        <w:rPr>
          <w:rFonts w:hint="eastAsia" w:ascii="黑体" w:hAnsi="黑体" w:eastAsia="黑体" w:cs="黑体"/>
          <w:b w:val="0"/>
          <w:bCs w:val="0"/>
          <w:color w:val="auto"/>
          <w:sz w:val="32"/>
          <w:szCs w:val="32"/>
          <w:highlight w:val="none"/>
          <w:lang w:val="en-US" w:eastAsia="zh-CN"/>
        </w:rPr>
      </w:pPr>
      <w:bookmarkStart w:id="190" w:name="_Toc10627448"/>
      <w:r>
        <w:rPr>
          <w:rFonts w:hint="eastAsia" w:ascii="黑体" w:hAnsi="黑体" w:eastAsia="黑体" w:cs="黑体"/>
          <w:b w:val="0"/>
          <w:bCs w:val="0"/>
          <w:color w:val="auto"/>
          <w:sz w:val="32"/>
          <w:szCs w:val="32"/>
          <w:highlight w:val="none"/>
          <w:lang w:val="en-US" w:eastAsia="zh-CN"/>
        </w:rPr>
        <w:t>6. 合同变更、解除与终止</w:t>
      </w:r>
      <w:bookmarkEnd w:id="190"/>
    </w:p>
    <w:p w14:paraId="19CEB548">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val="en-US" w:eastAsia="zh-CN"/>
        </w:rPr>
      </w:pPr>
      <w:bookmarkStart w:id="191" w:name="_Toc10627449"/>
      <w:r>
        <w:rPr>
          <w:rFonts w:hint="eastAsia" w:ascii="黑体" w:hAnsi="黑体" w:eastAsia="黑体" w:cs="黑体"/>
          <w:b w:val="0"/>
          <w:bCs w:val="0"/>
          <w:color w:val="auto"/>
          <w:sz w:val="28"/>
          <w:szCs w:val="28"/>
          <w:highlight w:val="none"/>
          <w:lang w:val="en-US" w:eastAsia="zh-CN"/>
        </w:rPr>
        <w:t>6.1 合同变更</w:t>
      </w:r>
      <w:bookmarkEnd w:id="191"/>
    </w:p>
    <w:p w14:paraId="151D60BA">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6.1.2</w:t>
      </w:r>
      <w:r>
        <w:rPr>
          <w:rFonts w:hint="eastAsia" w:ascii="仿宋_GB2312" w:hAnsi="仿宋_GB2312" w:eastAsia="仿宋_GB2312" w:cs="仿宋_GB2312"/>
          <w:color w:val="auto"/>
          <w:sz w:val="28"/>
          <w:szCs w:val="28"/>
          <w:highlight w:val="none"/>
        </w:rPr>
        <w:t>除不可抗力外，因非乙方原因导致本合同履行新增工程量时，新增工程量的</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费用按下列方法确定：</w:t>
      </w:r>
    </w:p>
    <w:p w14:paraId="32752D30">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工程量的确定方法：</w:t>
      </w:r>
      <w:r>
        <w:rPr>
          <w:rFonts w:hint="eastAsia" w:ascii="仿宋_GB2312" w:hAnsi="仿宋_GB2312" w:eastAsia="仿宋_GB2312" w:cs="仿宋_GB2312"/>
          <w:color w:val="auto"/>
          <w:sz w:val="28"/>
          <w:szCs w:val="28"/>
          <w:highlight w:val="none"/>
          <w:u w:val="single"/>
        </w:rPr>
        <w:t xml:space="preserve">以经批准的检测监测方案为依据，按经甲方确认的实际发生工程量 </w:t>
      </w:r>
      <w:r>
        <w:rPr>
          <w:rFonts w:hint="eastAsia" w:ascii="仿宋_GB2312" w:hAnsi="仿宋_GB2312" w:eastAsia="仿宋_GB2312" w:cs="仿宋_GB2312"/>
          <w:color w:val="auto"/>
          <w:sz w:val="28"/>
          <w:szCs w:val="28"/>
          <w:highlight w:val="none"/>
        </w:rPr>
        <w:t>；</w:t>
      </w:r>
    </w:p>
    <w:p w14:paraId="31C434CB">
      <w:pPr>
        <w:pageBreakBefore w:val="0"/>
        <w:kinsoku/>
        <w:wordWrap/>
        <w:overflowPunct/>
        <w:topLinePunct w:val="0"/>
        <w:bidi w:val="0"/>
        <w:spacing w:line="560" w:lineRule="exact"/>
        <w:ind w:firstLine="560" w:firstLineChars="200"/>
        <w:jc w:val="left"/>
        <w:textAlignment w:val="auto"/>
        <w:rPr>
          <w:rFonts w:hint="eastAsia" w:ascii="Times New Roman" w:hAnsi="Times New Roman" w:eastAsia="仿宋_GB2312" w:cs="Times New Roman"/>
          <w:color w:val="auto"/>
          <w:sz w:val="28"/>
          <w:szCs w:val="28"/>
          <w:highlight w:val="none"/>
          <w:lang w:val="en-US" w:eastAsia="zh-CN"/>
        </w:rPr>
      </w:pPr>
      <w:r>
        <w:rPr>
          <w:rFonts w:hint="eastAsia" w:ascii="仿宋_GB2312" w:hAnsi="仿宋_GB2312" w:eastAsia="仿宋_GB2312" w:cs="仿宋_GB2312"/>
          <w:color w:val="auto"/>
          <w:sz w:val="28"/>
          <w:szCs w:val="28"/>
          <w:highlight w:val="none"/>
        </w:rPr>
        <w:t>价格的确定方法：新增项目综合单价依据国家发展计划委员会、建设部监测颁发的《工程勘察设计收费标准》（2002年修订本）与《广东省物价局关于建筑工程质量检测收费标准的复函》（粤价函[2004]428号）及《广东省房屋建筑和市政工程质量安全检测收费指导价》（粤建检协﹝2015﹞8号文）、《广东省建筑工程质量检测收费项目及标准表（2014年适用）》、《广东省交通建设工程现场检测和工程材料试验收费标准》（粤价函[2012]1490号）等的有关的检测收费规定并按约定“综合下浮”，按经确认的实际成果数量进行结算。其中，“综合下浮”通过“（1-标准下浮率）×（1-响应报价下浮率）”公式进行计算（标准下浮率为</w:t>
      </w:r>
      <w:r>
        <w:rPr>
          <w:rFonts w:hint="eastAsia" w:ascii="Times New Roman" w:hAnsi="Times New Roman" w:eastAsia="仿宋_GB2312" w:cs="Times New Roman"/>
          <w:color w:val="auto"/>
          <w:sz w:val="28"/>
          <w:szCs w:val="28"/>
          <w:highlight w:val="none"/>
          <w:u w:val="single"/>
        </w:rPr>
        <w:t>20%</w:t>
      </w:r>
      <w:r>
        <w:rPr>
          <w:rFonts w:hint="eastAsia" w:ascii="仿宋_GB2312" w:hAnsi="仿宋_GB2312" w:eastAsia="仿宋_GB2312" w:cs="仿宋_GB2312"/>
          <w:color w:val="auto"/>
          <w:sz w:val="28"/>
          <w:szCs w:val="28"/>
          <w:highlight w:val="none"/>
        </w:rPr>
        <w:t>，响应报价下浮率</w:t>
      </w:r>
      <w:r>
        <w:rPr>
          <w:rFonts w:hint="eastAsia" w:ascii="Times New Roman" w:hAnsi="Times New Roman" w:eastAsia="仿宋_GB2312" w:cs="Times New Roman"/>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，计算得综合下浮为</w:t>
      </w:r>
      <w:r>
        <w:rPr>
          <w:rFonts w:hint="eastAsia" w:ascii="Times New Roman" w:hAnsi="Times New Roman" w:eastAsia="仿宋_GB2312" w:cs="Times New Roman"/>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上述不同收费标准中有相同检测项目及内容的则以最低的费用标准作为依据，若无对应收费标准可参考，则双方结合市场价协商确定。</w:t>
      </w:r>
    </w:p>
    <w:p w14:paraId="739F182C">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6.1.3</w:t>
      </w:r>
      <w:r>
        <w:rPr>
          <w:rFonts w:hint="eastAsia" w:ascii="仿宋_GB2312" w:hAnsi="仿宋_GB2312" w:eastAsia="仿宋_GB2312" w:cs="仿宋_GB2312"/>
          <w:color w:val="auto"/>
          <w:sz w:val="28"/>
          <w:szCs w:val="28"/>
          <w:highlight w:val="none"/>
        </w:rPr>
        <w:t>因国家、地方政府以及行业主管部门现行有效的规范、标准、规程和文件等发生变化引起质量</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服务范围及工程量变化时的调整方法：</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09C957DE">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6.1.4</w:t>
      </w:r>
      <w:r>
        <w:rPr>
          <w:rFonts w:hint="eastAsia" w:ascii="仿宋_GB2312" w:hAnsi="仿宋_GB2312" w:eastAsia="仿宋_GB2312" w:cs="仿宋_GB2312"/>
          <w:color w:val="auto"/>
          <w:sz w:val="28"/>
          <w:szCs w:val="28"/>
          <w:highlight w:val="none"/>
        </w:rPr>
        <w:t>因工程规模、服务范围及工作内容的变化等导致乙方的工作量增减时，</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费用的调整方法：</w:t>
      </w:r>
      <w:r>
        <w:rPr>
          <w:rFonts w:hint="eastAsia" w:ascii="仿宋_GB2312" w:hAnsi="仿宋_GB2312" w:eastAsia="仿宋_GB2312" w:cs="仿宋_GB2312"/>
          <w:color w:val="auto"/>
          <w:sz w:val="28"/>
          <w:szCs w:val="28"/>
          <w:highlight w:val="none"/>
          <w:u w:val="single"/>
        </w:rPr>
        <w:t>按实际发生量结算，以最终审定的结算价为准</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u w:val="single"/>
        </w:rPr>
        <w:t>双方经协商一致后</w:t>
      </w:r>
      <w:r>
        <w:rPr>
          <w:rFonts w:hint="eastAsia" w:ascii="仿宋_GB2312" w:hAnsi="仿宋_GB2312" w:eastAsia="仿宋_GB2312" w:cs="仿宋_GB2312"/>
          <w:color w:val="auto"/>
          <w:sz w:val="28"/>
          <w:szCs w:val="28"/>
          <w:highlight w:val="none"/>
          <w:u w:val="single"/>
          <w:lang w:val="en-US" w:eastAsia="zh-CN"/>
        </w:rPr>
        <w:t>需签订补充协议确认变更</w:t>
      </w:r>
      <w:r>
        <w:rPr>
          <w:rFonts w:hint="eastAsia" w:ascii="仿宋_GB2312" w:hAnsi="仿宋_GB2312" w:eastAsia="仿宋_GB2312" w:cs="仿宋_GB2312"/>
          <w:color w:val="auto"/>
          <w:sz w:val="28"/>
          <w:szCs w:val="28"/>
          <w:highlight w:val="none"/>
        </w:rPr>
        <w:t>。</w:t>
      </w:r>
    </w:p>
    <w:p w14:paraId="0E50E1A0">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val="en-US" w:eastAsia="zh-CN"/>
        </w:rPr>
      </w:pPr>
      <w:bookmarkStart w:id="192" w:name="_Toc10627450"/>
      <w:r>
        <w:rPr>
          <w:rFonts w:hint="eastAsia" w:ascii="黑体" w:hAnsi="黑体" w:eastAsia="黑体" w:cs="黑体"/>
          <w:b w:val="0"/>
          <w:bCs w:val="0"/>
          <w:color w:val="auto"/>
          <w:sz w:val="28"/>
          <w:szCs w:val="28"/>
          <w:highlight w:val="none"/>
          <w:lang w:val="en-US" w:eastAsia="zh-CN"/>
        </w:rPr>
        <w:t>6.2合同解除</w:t>
      </w:r>
      <w:bookmarkEnd w:id="192"/>
    </w:p>
    <w:p w14:paraId="03F17935">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6.2.2</w:t>
      </w:r>
      <w:r>
        <w:rPr>
          <w:rFonts w:hint="eastAsia" w:ascii="仿宋_GB2312" w:hAnsi="仿宋_GB2312" w:eastAsia="仿宋_GB2312" w:cs="仿宋_GB2312"/>
          <w:color w:val="auto"/>
          <w:sz w:val="28"/>
          <w:szCs w:val="28"/>
          <w:highlight w:val="none"/>
        </w:rPr>
        <w:t>双方约定解除合同的条件还包括：</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0AF8930C">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0"/>
          <w:szCs w:val="20"/>
          <w:highlight w:val="none"/>
        </w:rPr>
      </w:pPr>
      <w:r>
        <w:rPr>
          <w:rFonts w:hint="eastAsia" w:ascii="Times New Roman" w:hAnsi="Times New Roman" w:eastAsia="仿宋_GB2312" w:cs="Times New Roman"/>
          <w:color w:val="auto"/>
          <w:sz w:val="28"/>
          <w:szCs w:val="28"/>
          <w:highlight w:val="none"/>
          <w:lang w:val="en-US" w:eastAsia="zh-CN"/>
        </w:rPr>
        <w:t>6.2.6</w:t>
      </w:r>
      <w:r>
        <w:rPr>
          <w:rFonts w:hint="eastAsia" w:ascii="仿宋_GB2312" w:hAnsi="仿宋_GB2312" w:eastAsia="仿宋_GB2312" w:cs="仿宋_GB2312"/>
          <w:color w:val="auto"/>
          <w:sz w:val="28"/>
          <w:szCs w:val="28"/>
          <w:highlight w:val="none"/>
          <w:lang w:val="en-US" w:eastAsia="zh-CN"/>
        </w:rPr>
        <w:t>本合同若部分解除或全部解除后，乙方已经完成的且经甲方认可接收的检测监测成果在双方进行结算后，成果全部归甲方所有。</w:t>
      </w:r>
    </w:p>
    <w:p w14:paraId="24F0353B">
      <w:pPr>
        <w:pStyle w:val="7"/>
        <w:pageBreakBefore w:val="0"/>
        <w:numPr>
          <w:ilvl w:val="0"/>
          <w:numId w:val="0"/>
        </w:numPr>
        <w:kinsoku/>
        <w:wordWrap/>
        <w:overflowPunct/>
        <w:topLinePunct w:val="0"/>
        <w:bidi w:val="0"/>
        <w:spacing w:line="560" w:lineRule="exact"/>
        <w:ind w:left="1222" w:leftChars="320" w:hanging="454" w:hangingChars="142"/>
        <w:jc w:val="left"/>
        <w:textAlignment w:val="auto"/>
        <w:rPr>
          <w:rFonts w:hint="eastAsia" w:ascii="黑体" w:hAnsi="黑体" w:eastAsia="黑体" w:cs="黑体"/>
          <w:b w:val="0"/>
          <w:bCs w:val="0"/>
          <w:color w:val="auto"/>
          <w:sz w:val="32"/>
          <w:szCs w:val="32"/>
          <w:highlight w:val="none"/>
          <w:lang w:val="en-US" w:eastAsia="zh-CN"/>
        </w:rPr>
      </w:pPr>
      <w:bookmarkStart w:id="193" w:name="_Toc10627451"/>
      <w:r>
        <w:rPr>
          <w:rFonts w:hint="eastAsia" w:ascii="黑体" w:hAnsi="黑体" w:eastAsia="黑体" w:cs="黑体"/>
          <w:b w:val="0"/>
          <w:bCs w:val="0"/>
          <w:color w:val="auto"/>
          <w:sz w:val="32"/>
          <w:szCs w:val="32"/>
          <w:highlight w:val="none"/>
          <w:lang w:val="en-US" w:eastAsia="zh-CN"/>
        </w:rPr>
        <w:t>7. 争议解决</w:t>
      </w:r>
      <w:bookmarkEnd w:id="193"/>
    </w:p>
    <w:p w14:paraId="1870EBCA">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val="en-US" w:eastAsia="zh-CN"/>
        </w:rPr>
      </w:pPr>
      <w:bookmarkStart w:id="194" w:name="_Toc10627452"/>
      <w:r>
        <w:rPr>
          <w:rFonts w:hint="eastAsia" w:ascii="黑体" w:hAnsi="黑体" w:eastAsia="黑体" w:cs="黑体"/>
          <w:b w:val="0"/>
          <w:bCs w:val="0"/>
          <w:color w:val="auto"/>
          <w:sz w:val="28"/>
          <w:szCs w:val="28"/>
          <w:highlight w:val="none"/>
          <w:lang w:val="en-US" w:eastAsia="zh-CN"/>
        </w:rPr>
        <w:t>7.2 仲裁或诉讼</w:t>
      </w:r>
      <w:bookmarkEnd w:id="194"/>
    </w:p>
    <w:p w14:paraId="6041B77D">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合同争议的最终解决方式为下列第</w:t>
      </w:r>
      <w:r>
        <w:rPr>
          <w:rFonts w:hint="eastAsia" w:ascii="仿宋_GB2312" w:hAnsi="仿宋_GB2312" w:eastAsia="仿宋_GB2312" w:cs="仿宋_GB2312"/>
          <w:color w:val="auto"/>
          <w:sz w:val="28"/>
          <w:szCs w:val="28"/>
          <w:highlight w:val="none"/>
          <w:u w:val="single"/>
        </w:rPr>
        <w:t xml:space="preserve"> （2） </w:t>
      </w:r>
      <w:r>
        <w:rPr>
          <w:rFonts w:hint="eastAsia" w:ascii="仿宋_GB2312" w:hAnsi="仿宋_GB2312" w:eastAsia="仿宋_GB2312" w:cs="仿宋_GB2312"/>
          <w:color w:val="auto"/>
          <w:sz w:val="28"/>
          <w:szCs w:val="28"/>
          <w:highlight w:val="none"/>
        </w:rPr>
        <w:t>种方式：</w:t>
      </w:r>
    </w:p>
    <w:p w14:paraId="5F3A24A5">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（1）提请中国广州仲裁委员会进行仲裁。</w:t>
      </w:r>
    </w:p>
    <w:p w14:paraId="2BC7D411">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（2）向</w:t>
      </w:r>
      <w:r>
        <w:rPr>
          <w:rFonts w:hint="eastAsia" w:ascii="仿宋_GB2312" w:hAnsi="仿宋_GB2312" w:eastAsia="仿宋_GB2312" w:cs="仿宋_GB2312"/>
          <w:color w:val="auto"/>
          <w:sz w:val="28"/>
          <w:szCs w:val="28"/>
          <w:highlight w:val="none"/>
          <w:u w:val="single"/>
          <w:lang w:val="en-US" w:eastAsia="zh-CN"/>
        </w:rPr>
        <w:t>甲方住所地</w:t>
      </w:r>
      <w:r>
        <w:rPr>
          <w:rFonts w:hint="eastAsia" w:ascii="仿宋_GB2312" w:hAnsi="仿宋_GB2312" w:eastAsia="仿宋_GB2312" w:cs="仿宋_GB2312"/>
          <w:color w:val="auto"/>
          <w:sz w:val="28"/>
          <w:szCs w:val="28"/>
          <w:highlight w:val="none"/>
        </w:rPr>
        <w:t>人民法院提起诉讼。</w:t>
      </w:r>
    </w:p>
    <w:p w14:paraId="16B67932">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7.3</w:t>
      </w:r>
      <w:r>
        <w:rPr>
          <w:rFonts w:hint="eastAsia" w:ascii="仿宋_GB2312" w:hAnsi="仿宋_GB2312" w:eastAsia="仿宋_GB2312" w:cs="仿宋_GB2312"/>
          <w:color w:val="auto"/>
          <w:sz w:val="28"/>
          <w:szCs w:val="28"/>
          <w:highlight w:val="none"/>
          <w:lang w:val="en-US" w:eastAsia="zh-CN"/>
        </w:rPr>
        <w:t>上述争议发生期间以及协商、诉讼期间，除与争议有关的事项外，本合同双方仍应当行使各自在本合同项下的其他权利并履行各自在本合同项下的其他义务。</w:t>
      </w:r>
      <w:bookmarkStart w:id="195" w:name="_Toc10627453"/>
      <w:r>
        <w:rPr>
          <w:rFonts w:hint="eastAsia" w:ascii="仿宋_GB2312" w:hAnsi="仿宋_GB2312" w:eastAsia="仿宋_GB2312" w:cs="仿宋_GB2312"/>
          <w:color w:val="auto"/>
          <w:sz w:val="28"/>
          <w:szCs w:val="28"/>
          <w:highlight w:val="none"/>
          <w:lang w:val="en-US" w:eastAsia="zh-CN"/>
        </w:rPr>
        <w:t>但诉讼期间不影响甲方仍有权同其他乙方另行签订质量检测、监测合同。</w:t>
      </w:r>
    </w:p>
    <w:p w14:paraId="6CE6AF29">
      <w:pPr>
        <w:pStyle w:val="7"/>
        <w:pageBreakBefore w:val="0"/>
        <w:numPr>
          <w:ilvl w:val="0"/>
          <w:numId w:val="0"/>
        </w:numPr>
        <w:kinsoku/>
        <w:wordWrap/>
        <w:overflowPunct/>
        <w:topLinePunct w:val="0"/>
        <w:bidi w:val="0"/>
        <w:spacing w:line="560" w:lineRule="exact"/>
        <w:ind w:left="1222" w:leftChars="320" w:hanging="454" w:hangingChars="142"/>
        <w:jc w:val="left"/>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8. 其它</w:t>
      </w:r>
      <w:bookmarkEnd w:id="195"/>
      <w:bookmarkStart w:id="196" w:name="_Toc10627454"/>
    </w:p>
    <w:p w14:paraId="0F3D5032">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8.1保密</w:t>
      </w:r>
      <w:bookmarkEnd w:id="196"/>
      <w:bookmarkStart w:id="197" w:name="_Toc10627455"/>
    </w:p>
    <w:p w14:paraId="4FE33B77">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8.1.1</w:t>
      </w:r>
      <w:r>
        <w:rPr>
          <w:rFonts w:hint="eastAsia" w:ascii="仿宋_GB2312" w:hAnsi="仿宋_GB2312" w:eastAsia="仿宋_GB2312" w:cs="仿宋_GB2312"/>
          <w:b w:val="0"/>
          <w:bCs w:val="0"/>
          <w:color w:val="auto"/>
          <w:sz w:val="28"/>
          <w:szCs w:val="28"/>
          <w:highlight w:val="none"/>
        </w:rPr>
        <w:t>乙方应采取有效措施，保守甲方提供的</w:t>
      </w:r>
      <w:r>
        <w:rPr>
          <w:rFonts w:hint="eastAsia" w:ascii="仿宋_GB2312" w:hAnsi="仿宋_GB2312" w:eastAsia="仿宋_GB2312" w:cs="仿宋_GB2312"/>
          <w:b w:val="0"/>
          <w:bCs w:val="0"/>
          <w:color w:val="auto"/>
          <w:sz w:val="28"/>
          <w:szCs w:val="28"/>
          <w:highlight w:val="none"/>
          <w:lang w:val="en-US" w:eastAsia="zh-CN"/>
        </w:rPr>
        <w:t>项目</w:t>
      </w:r>
      <w:r>
        <w:rPr>
          <w:rFonts w:hint="eastAsia" w:ascii="仿宋_GB2312" w:hAnsi="仿宋_GB2312" w:eastAsia="仿宋_GB2312" w:cs="仿宋_GB2312"/>
          <w:b w:val="0"/>
          <w:bCs w:val="0"/>
          <w:color w:val="auto"/>
          <w:sz w:val="28"/>
          <w:szCs w:val="28"/>
          <w:highlight w:val="none"/>
        </w:rPr>
        <w:t>资料及有关技术、数据及服务报告等资料的秘密，未经甲方书面同意，乙方不得将由甲方为履行本合同提供的条文、规格、计划、图纸、模型、样品、资料、报价、材料来源或工程的构思要求等提供给与本合同无关的任何第三方</w:t>
      </w:r>
      <w:r>
        <w:rPr>
          <w:rFonts w:hint="eastAsia" w:ascii="仿宋_GB2312" w:hAnsi="仿宋_GB2312" w:eastAsia="仿宋_GB2312" w:cs="仿宋_GB2312"/>
          <w:b w:val="0"/>
          <w:bCs w:val="0"/>
          <w:color w:val="auto"/>
          <w:sz w:val="28"/>
          <w:szCs w:val="28"/>
          <w:highlight w:val="none"/>
          <w:lang w:val="en-US" w:eastAsia="zh-CN"/>
        </w:rPr>
        <w:t>或公开披露</w:t>
      </w:r>
      <w:r>
        <w:rPr>
          <w:rFonts w:hint="eastAsia" w:ascii="仿宋_GB2312" w:hAnsi="仿宋_GB2312" w:eastAsia="仿宋_GB2312" w:cs="仿宋_GB2312"/>
          <w:b w:val="0"/>
          <w:bCs w:val="0"/>
          <w:color w:val="auto"/>
          <w:sz w:val="28"/>
          <w:szCs w:val="28"/>
          <w:highlight w:val="none"/>
        </w:rPr>
        <w:t>，不得将其用于履行本合同之外的其它用途。即使向与履行本合同有关的人员提供，也应注意保密并限于履行合同所必需的范围。</w:t>
      </w:r>
    </w:p>
    <w:p w14:paraId="045A299A">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但下列信息不属于保密信息：</w:t>
      </w:r>
    </w:p>
    <w:p w14:paraId="0C3A226F">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8.1.1.1</w:t>
      </w:r>
      <w:r>
        <w:rPr>
          <w:rFonts w:hint="eastAsia" w:ascii="仿宋_GB2312" w:hAnsi="仿宋_GB2312" w:eastAsia="仿宋_GB2312" w:cs="仿宋_GB2312"/>
          <w:b w:val="0"/>
          <w:bCs w:val="0"/>
          <w:color w:val="auto"/>
          <w:sz w:val="28"/>
          <w:szCs w:val="28"/>
          <w:highlight w:val="none"/>
        </w:rPr>
        <w:t>通过合法程序被公众所共知的信息，包括但不限于由甲方向不特定的公众公开的信息。</w:t>
      </w:r>
    </w:p>
    <w:p w14:paraId="25ADC10F">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8.1.1.2</w:t>
      </w:r>
      <w:r>
        <w:rPr>
          <w:rFonts w:hint="eastAsia" w:ascii="仿宋_GB2312" w:hAnsi="仿宋_GB2312" w:eastAsia="仿宋_GB2312" w:cs="仿宋_GB2312"/>
          <w:b w:val="0"/>
          <w:bCs w:val="0"/>
          <w:color w:val="auto"/>
          <w:sz w:val="28"/>
          <w:szCs w:val="28"/>
          <w:highlight w:val="none"/>
        </w:rPr>
        <w:t>经甲方书面同意可以公开的信息。</w:t>
      </w:r>
    </w:p>
    <w:p w14:paraId="314AAB4A">
      <w:pPr>
        <w:pageBreakBefore w:val="0"/>
        <w:kinsoku/>
        <w:wordWrap/>
        <w:overflowPunct/>
        <w:topLinePunct w:val="0"/>
        <w:bidi w:val="0"/>
        <w:spacing w:line="560" w:lineRule="exact"/>
        <w:ind w:firstLine="560" w:firstLineChars="200"/>
        <w:jc w:val="left"/>
        <w:textAlignment w:val="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8.1.1.3</w:t>
      </w:r>
      <w:r>
        <w:rPr>
          <w:rFonts w:hint="eastAsia" w:ascii="仿宋_GB2312" w:hAnsi="仿宋_GB2312" w:eastAsia="仿宋_GB2312" w:cs="仿宋_GB2312"/>
          <w:b w:val="0"/>
          <w:bCs w:val="0"/>
          <w:color w:val="auto"/>
          <w:sz w:val="28"/>
          <w:szCs w:val="28"/>
          <w:highlight w:val="none"/>
        </w:rPr>
        <w:t>乙方通过其他方式从第三方获得的信息（就乙方所知，该第三方向乙方披露有关信息并不违反该第三方所负</w:t>
      </w:r>
      <w:r>
        <w:rPr>
          <w:rFonts w:hint="eastAsia" w:ascii="Times New Roman" w:hAnsi="Times New Roman" w:eastAsia="仿宋_GB2312" w:cs="Times New Roman"/>
          <w:color w:val="auto"/>
          <w:sz w:val="28"/>
          <w:szCs w:val="28"/>
          <w:highlight w:val="none"/>
          <w:lang w:val="en-US" w:eastAsia="zh-CN"/>
        </w:rPr>
        <w:t>有的法律或合同义务）。</w:t>
      </w:r>
    </w:p>
    <w:p w14:paraId="742340B8">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8.1.2</w:t>
      </w:r>
      <w:r>
        <w:rPr>
          <w:rFonts w:hint="eastAsia" w:ascii="仿宋_GB2312" w:hAnsi="仿宋_GB2312" w:eastAsia="仿宋_GB2312" w:cs="仿宋_GB2312"/>
          <w:b w:val="0"/>
          <w:bCs w:val="0"/>
          <w:color w:val="auto"/>
          <w:sz w:val="28"/>
          <w:szCs w:val="28"/>
          <w:highlight w:val="none"/>
        </w:rPr>
        <w:t>乙方在提交</w:t>
      </w:r>
      <w:r>
        <w:rPr>
          <w:rFonts w:hint="eastAsia" w:ascii="仿宋_GB2312" w:hAnsi="仿宋_GB2312" w:eastAsia="仿宋_GB2312" w:cs="仿宋_GB2312"/>
          <w:b w:val="0"/>
          <w:bCs w:val="0"/>
          <w:color w:val="auto"/>
          <w:sz w:val="28"/>
          <w:szCs w:val="28"/>
          <w:highlight w:val="none"/>
          <w:lang w:val="en-US" w:eastAsia="zh-CN"/>
        </w:rPr>
        <w:t>检测、监测</w:t>
      </w:r>
      <w:r>
        <w:rPr>
          <w:rFonts w:hint="eastAsia" w:ascii="仿宋_GB2312" w:hAnsi="仿宋_GB2312" w:eastAsia="仿宋_GB2312" w:cs="仿宋_GB2312"/>
          <w:b w:val="0"/>
          <w:bCs w:val="0"/>
          <w:color w:val="auto"/>
          <w:sz w:val="28"/>
          <w:szCs w:val="28"/>
          <w:highlight w:val="none"/>
        </w:rPr>
        <w:t>报告时，应将甲方提供的</w:t>
      </w:r>
      <w:r>
        <w:rPr>
          <w:rFonts w:hint="eastAsia" w:ascii="仿宋_GB2312" w:hAnsi="仿宋_GB2312" w:eastAsia="仿宋_GB2312" w:cs="仿宋_GB2312"/>
          <w:b w:val="0"/>
          <w:bCs w:val="0"/>
          <w:color w:val="auto"/>
          <w:sz w:val="28"/>
          <w:szCs w:val="28"/>
          <w:highlight w:val="none"/>
          <w:lang w:val="en-US" w:eastAsia="zh-CN"/>
        </w:rPr>
        <w:t>项目</w:t>
      </w:r>
      <w:r>
        <w:rPr>
          <w:rFonts w:hint="eastAsia" w:ascii="仿宋_GB2312" w:hAnsi="仿宋_GB2312" w:eastAsia="仿宋_GB2312" w:cs="仿宋_GB2312"/>
          <w:b w:val="0"/>
          <w:bCs w:val="0"/>
          <w:color w:val="auto"/>
          <w:sz w:val="28"/>
          <w:szCs w:val="28"/>
          <w:highlight w:val="none"/>
        </w:rPr>
        <w:t>资料及有关技术、数据全部返还给甲方。</w:t>
      </w:r>
    </w:p>
    <w:p w14:paraId="6759CBAE">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8.1.3</w:t>
      </w:r>
      <w:r>
        <w:rPr>
          <w:rFonts w:hint="eastAsia" w:ascii="仿宋_GB2312" w:hAnsi="仿宋_GB2312" w:eastAsia="仿宋_GB2312" w:cs="仿宋_GB2312"/>
          <w:b w:val="0"/>
          <w:bCs w:val="0"/>
          <w:color w:val="auto"/>
          <w:sz w:val="28"/>
          <w:szCs w:val="28"/>
          <w:highlight w:val="none"/>
        </w:rPr>
        <w:t>未经乙方书面同意，甲方不得在本合同项目以外，使用乙方提供的</w:t>
      </w:r>
      <w:r>
        <w:rPr>
          <w:rFonts w:hint="eastAsia" w:ascii="仿宋_GB2312" w:hAnsi="仿宋_GB2312" w:eastAsia="仿宋_GB2312" w:cs="仿宋_GB2312"/>
          <w:b w:val="0"/>
          <w:bCs w:val="0"/>
          <w:color w:val="auto"/>
          <w:sz w:val="28"/>
          <w:szCs w:val="28"/>
          <w:highlight w:val="none"/>
          <w:lang w:val="en-US" w:eastAsia="zh-CN"/>
        </w:rPr>
        <w:t>项目</w:t>
      </w:r>
      <w:r>
        <w:rPr>
          <w:rFonts w:hint="eastAsia" w:ascii="仿宋_GB2312" w:hAnsi="仿宋_GB2312" w:eastAsia="仿宋_GB2312" w:cs="仿宋_GB2312"/>
          <w:b w:val="0"/>
          <w:bCs w:val="0"/>
          <w:color w:val="auto"/>
          <w:sz w:val="28"/>
          <w:szCs w:val="28"/>
          <w:highlight w:val="none"/>
        </w:rPr>
        <w:t>资料及有关技术、数据和乙方提交的</w:t>
      </w:r>
      <w:r>
        <w:rPr>
          <w:rFonts w:hint="eastAsia" w:ascii="仿宋_GB2312" w:hAnsi="仿宋_GB2312" w:eastAsia="仿宋_GB2312" w:cs="仿宋_GB2312"/>
          <w:b w:val="0"/>
          <w:bCs w:val="0"/>
          <w:color w:val="auto"/>
          <w:sz w:val="28"/>
          <w:szCs w:val="28"/>
          <w:highlight w:val="none"/>
          <w:lang w:val="en-US" w:eastAsia="zh-CN"/>
        </w:rPr>
        <w:t>检测、监测</w:t>
      </w:r>
      <w:r>
        <w:rPr>
          <w:rFonts w:hint="eastAsia" w:ascii="仿宋_GB2312" w:hAnsi="仿宋_GB2312" w:eastAsia="仿宋_GB2312" w:cs="仿宋_GB2312"/>
          <w:b w:val="0"/>
          <w:bCs w:val="0"/>
          <w:color w:val="auto"/>
          <w:sz w:val="28"/>
          <w:szCs w:val="28"/>
          <w:highlight w:val="none"/>
        </w:rPr>
        <w:t>报告，亦不得对上述资料进行复制、引用和发表。</w:t>
      </w:r>
    </w:p>
    <w:p w14:paraId="195E1566">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8.1.4</w:t>
      </w:r>
      <w:r>
        <w:rPr>
          <w:rFonts w:hint="eastAsia" w:ascii="仿宋_GB2312" w:hAnsi="仿宋_GB2312" w:eastAsia="仿宋_GB2312" w:cs="仿宋_GB2312"/>
          <w:b w:val="0"/>
          <w:bCs w:val="0"/>
          <w:color w:val="auto"/>
          <w:sz w:val="28"/>
          <w:szCs w:val="28"/>
          <w:highlight w:val="none"/>
        </w:rPr>
        <w:t>本保密条款不受合同有效期约束，在本合同终止后仍长期具有法律约束力。</w:t>
      </w:r>
    </w:p>
    <w:p w14:paraId="41372998">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8.2通知与送达</w:t>
      </w:r>
      <w:bookmarkEnd w:id="197"/>
    </w:p>
    <w:p w14:paraId="143CD6D5">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8.2.1</w:t>
      </w:r>
      <w:r>
        <w:rPr>
          <w:rFonts w:hint="eastAsia" w:ascii="仿宋_GB2312" w:hAnsi="仿宋_GB2312" w:eastAsia="仿宋_GB2312" w:cs="仿宋_GB2312"/>
          <w:color w:val="auto"/>
          <w:sz w:val="28"/>
          <w:szCs w:val="28"/>
          <w:highlight w:val="none"/>
        </w:rPr>
        <w:t>任何一方与合同有关的通知、指示、要求、决定等，均应在</w:t>
      </w:r>
      <w:r>
        <w:rPr>
          <w:rFonts w:hint="eastAsia" w:ascii="Times New Roman" w:hAnsi="Times New Roman" w:eastAsia="仿宋_GB2312" w:cs="Times New Roman"/>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sz w:val="28"/>
          <w:szCs w:val="28"/>
          <w:highlight w:val="none"/>
        </w:rPr>
        <w:t>天内送达对方指定的接收人和送达地点。</w:t>
      </w:r>
    </w:p>
    <w:p w14:paraId="4BCA5FE4">
      <w:pPr>
        <w:pStyle w:val="46"/>
        <w:pageBreakBefore w:val="0"/>
        <w:kinsoku/>
        <w:wordWrap/>
        <w:overflowPunct/>
        <w:topLinePunct w:val="0"/>
        <w:bidi w:val="0"/>
        <w:spacing w:line="560" w:lineRule="exact"/>
        <w:ind w:left="206" w:leftChars="86" w:firstLine="420" w:firstLineChars="150"/>
        <w:jc w:val="left"/>
        <w:textAlignment w:val="auto"/>
        <w:rPr>
          <w:rFonts w:hint="eastAsia" w:ascii="仿宋_GB2312" w:hAnsi="仿宋_GB2312" w:eastAsia="仿宋_GB2312" w:cs="仿宋_GB2312"/>
          <w:color w:val="auto"/>
          <w:kern w:val="2"/>
          <w:sz w:val="28"/>
          <w:szCs w:val="28"/>
          <w:highlight w:val="none"/>
        </w:rPr>
      </w:pPr>
      <w:r>
        <w:rPr>
          <w:rFonts w:hint="eastAsia" w:ascii="Times New Roman" w:hAnsi="Times New Roman" w:eastAsia="仿宋_GB2312" w:cs="Times New Roman"/>
          <w:color w:val="auto"/>
          <w:kern w:val="2"/>
          <w:sz w:val="28"/>
          <w:szCs w:val="28"/>
          <w:highlight w:val="none"/>
          <w:lang w:val="en-US" w:eastAsia="zh-CN" w:bidi="ar-SA"/>
        </w:rPr>
        <w:t>8.2.2</w:t>
      </w:r>
      <w:r>
        <w:rPr>
          <w:rFonts w:hint="eastAsia" w:ascii="仿宋_GB2312" w:hAnsi="仿宋_GB2312" w:eastAsia="仿宋_GB2312" w:cs="仿宋_GB2312"/>
          <w:color w:val="auto"/>
          <w:kern w:val="2"/>
          <w:sz w:val="28"/>
          <w:szCs w:val="28"/>
          <w:highlight w:val="none"/>
        </w:rPr>
        <w:t>甲方指定的送达接收人：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kern w:val="2"/>
          <w:sz w:val="28"/>
          <w:szCs w:val="28"/>
          <w:highlight w:val="none"/>
        </w:rPr>
        <w:t>，送达地点：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kern w:val="2"/>
          <w:sz w:val="28"/>
          <w:szCs w:val="28"/>
          <w:highlight w:val="none"/>
        </w:rPr>
        <w:t>，电子邮箱：</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kern w:val="2"/>
          <w:sz w:val="28"/>
          <w:szCs w:val="28"/>
          <w:highlight w:val="none"/>
        </w:rPr>
        <w:t>。</w:t>
      </w:r>
    </w:p>
    <w:p w14:paraId="04C6CCC8">
      <w:pPr>
        <w:pStyle w:val="47"/>
        <w:pageBreakBefore w:val="0"/>
        <w:kinsoku/>
        <w:wordWrap/>
        <w:overflowPunct/>
        <w:topLinePunct w:val="0"/>
        <w:bidi w:val="0"/>
        <w:spacing w:line="560" w:lineRule="exact"/>
        <w:ind w:firstLine="618" w:firstLineChars="221"/>
        <w:jc w:val="left"/>
        <w:textAlignment w:val="auto"/>
        <w:rPr>
          <w:rFonts w:hint="eastAsia" w:ascii="仿宋_GB2312" w:hAnsi="仿宋_GB2312" w:eastAsia="仿宋_GB2312" w:cs="仿宋_GB2312"/>
          <w:kern w:val="2"/>
          <w:sz w:val="28"/>
          <w:szCs w:val="28"/>
          <w:highlight w:val="none"/>
        </w:rPr>
      </w:pPr>
      <w:r>
        <w:rPr>
          <w:rFonts w:hint="eastAsia" w:ascii="Times New Roman" w:hAnsi="Times New Roman" w:eastAsia="仿宋_GB2312" w:cs="Times New Roman"/>
          <w:color w:val="auto"/>
          <w:kern w:val="2"/>
          <w:sz w:val="28"/>
          <w:szCs w:val="28"/>
          <w:highlight w:val="none"/>
          <w:lang w:val="en-US" w:eastAsia="zh-CN" w:bidi="ar-SA"/>
        </w:rPr>
        <w:t>8.2.3</w:t>
      </w:r>
      <w:r>
        <w:rPr>
          <w:rFonts w:hint="eastAsia" w:ascii="仿宋_GB2312" w:hAnsi="仿宋_GB2312" w:eastAsia="仿宋_GB2312" w:cs="仿宋_GB2312"/>
          <w:kern w:val="2"/>
          <w:sz w:val="28"/>
          <w:szCs w:val="28"/>
          <w:highlight w:val="none"/>
        </w:rPr>
        <w:t>乙方指定的送达接收人：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kern w:val="2"/>
          <w:sz w:val="28"/>
          <w:szCs w:val="28"/>
          <w:highlight w:val="none"/>
        </w:rPr>
        <w:t>，送达地点：</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kern w:val="2"/>
          <w:sz w:val="28"/>
          <w:szCs w:val="28"/>
          <w:highlight w:val="none"/>
        </w:rPr>
        <w:t>，电子邮箱：</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kern w:val="2"/>
          <w:sz w:val="28"/>
          <w:szCs w:val="28"/>
          <w:highlight w:val="none"/>
        </w:rPr>
        <w:t>。</w:t>
      </w:r>
    </w:p>
    <w:p w14:paraId="70557072">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val="en-US" w:eastAsia="zh-CN"/>
        </w:rPr>
      </w:pPr>
      <w:bookmarkStart w:id="198" w:name="_Toc10627456"/>
      <w:r>
        <w:rPr>
          <w:rFonts w:hint="eastAsia" w:ascii="黑体" w:hAnsi="黑体" w:eastAsia="黑体" w:cs="黑体"/>
          <w:b w:val="0"/>
          <w:bCs w:val="0"/>
          <w:color w:val="auto"/>
          <w:sz w:val="28"/>
          <w:szCs w:val="28"/>
          <w:highlight w:val="none"/>
          <w:lang w:val="en-US" w:eastAsia="zh-CN"/>
        </w:rPr>
        <w:t>8.3知识产权</w:t>
      </w:r>
      <w:bookmarkEnd w:id="198"/>
    </w:p>
    <w:p w14:paraId="59ADB32F">
      <w:pPr>
        <w:pageBreakBefore w:val="0"/>
        <w:kinsoku/>
        <w:wordWrap/>
        <w:overflowPunct/>
        <w:topLinePunct w:val="0"/>
        <w:bidi w:val="0"/>
        <w:adjustRightInd w:val="0"/>
        <w:snapToGrid w:val="0"/>
        <w:spacing w:before="156" w:beforeLines="50" w:after="156" w:afterLines="50" w:line="560" w:lineRule="exact"/>
        <w:ind w:firstLine="560" w:firstLineChars="200"/>
        <w:jc w:val="left"/>
        <w:textAlignment w:val="auto"/>
        <w:rPr>
          <w:rFonts w:hint="eastAsia" w:ascii="仿宋_GB2312" w:hAnsi="仿宋_GB2312" w:eastAsia="仿宋_GB2312" w:cs="仿宋_GB2312"/>
          <w:color w:val="auto"/>
          <w:sz w:val="28"/>
          <w:szCs w:val="28"/>
          <w:highlight w:val="none"/>
          <w:u w:val="none"/>
        </w:rPr>
      </w:pPr>
      <w:r>
        <w:rPr>
          <w:rFonts w:hint="eastAsia" w:ascii="Times New Roman" w:hAnsi="Times New Roman" w:eastAsia="仿宋_GB2312" w:cs="Times New Roman"/>
          <w:color w:val="auto"/>
          <w:kern w:val="2"/>
          <w:sz w:val="28"/>
          <w:szCs w:val="28"/>
          <w:highlight w:val="none"/>
          <w:lang w:val="en-US" w:eastAsia="zh-CN" w:bidi="ar-SA"/>
        </w:rPr>
        <w:t>8.3.1</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在质量检测、监测服务中所使用的专业技术若涉及他人知识产权的，</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应取得相关权利人的授权，</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应保证</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不会遭受到相关权利人或其代理人警告或追索。若造成</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损失的，</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应承担赔偿责任。</w:t>
      </w:r>
    </w:p>
    <w:p w14:paraId="7A68E0C3">
      <w:pPr>
        <w:pageBreakBefore w:val="0"/>
        <w:kinsoku/>
        <w:wordWrap/>
        <w:overflowPunct/>
        <w:topLinePunct w:val="0"/>
        <w:bidi w:val="0"/>
        <w:adjustRightInd w:val="0"/>
        <w:snapToGrid w:val="0"/>
        <w:spacing w:before="156" w:beforeLines="50" w:after="156" w:afterLines="50" w:line="560" w:lineRule="exact"/>
        <w:ind w:firstLine="560" w:firstLineChars="200"/>
        <w:jc w:val="left"/>
        <w:textAlignment w:val="auto"/>
        <w:rPr>
          <w:rFonts w:hint="eastAsia" w:ascii="仿宋_GB2312" w:hAnsi="仿宋_GB2312" w:eastAsia="仿宋_GB2312" w:cs="仿宋_GB2312"/>
          <w:color w:val="auto"/>
          <w:sz w:val="28"/>
          <w:szCs w:val="28"/>
          <w:highlight w:val="none"/>
          <w:u w:val="none"/>
        </w:rPr>
      </w:pPr>
      <w:r>
        <w:rPr>
          <w:rFonts w:hint="eastAsia" w:ascii="Times New Roman" w:hAnsi="Times New Roman" w:eastAsia="仿宋_GB2312" w:cs="Times New Roman"/>
          <w:color w:val="auto"/>
          <w:kern w:val="2"/>
          <w:sz w:val="28"/>
          <w:szCs w:val="28"/>
          <w:highlight w:val="none"/>
          <w:lang w:val="en-US" w:eastAsia="zh-CN" w:bidi="ar-SA"/>
        </w:rPr>
        <w:t>8.3.2</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向</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提交的质量检测、监测报告及质量检测、监测数据归</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所有，相关知识产权或因此而演变出知识产权（版权和全部使用权）也归</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所有。</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未经</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同意，不得将有关质量检测、监测报告及质量检测、监测数据交任何第三方使用或参考。</w:t>
      </w:r>
    </w:p>
    <w:p w14:paraId="7046E563">
      <w:pPr>
        <w:pageBreakBefore w:val="0"/>
        <w:kinsoku/>
        <w:wordWrap/>
        <w:overflowPunct/>
        <w:topLinePunct w:val="0"/>
        <w:bidi w:val="0"/>
        <w:adjustRightInd w:val="0"/>
        <w:snapToGrid w:val="0"/>
        <w:spacing w:before="156" w:beforeLines="50" w:after="156" w:afterLines="50" w:line="560" w:lineRule="exact"/>
        <w:ind w:firstLine="560" w:firstLineChars="200"/>
        <w:jc w:val="left"/>
        <w:textAlignment w:val="auto"/>
        <w:rPr>
          <w:rFonts w:hint="eastAsia" w:ascii="仿宋_GB2312" w:hAnsi="仿宋_GB2312" w:eastAsia="仿宋_GB2312" w:cs="仿宋_GB2312"/>
          <w:color w:val="auto"/>
          <w:sz w:val="28"/>
          <w:szCs w:val="28"/>
          <w:highlight w:val="none"/>
          <w:u w:val="none"/>
        </w:rPr>
      </w:pPr>
      <w:r>
        <w:rPr>
          <w:rFonts w:hint="eastAsia" w:ascii="Times New Roman" w:hAnsi="Times New Roman" w:eastAsia="仿宋_GB2312" w:cs="Times New Roman"/>
          <w:color w:val="auto"/>
          <w:kern w:val="2"/>
          <w:sz w:val="28"/>
          <w:szCs w:val="28"/>
          <w:highlight w:val="none"/>
          <w:lang w:val="en-US" w:eastAsia="zh-CN" w:bidi="ar-SA"/>
        </w:rPr>
        <w:t>8.3.3</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向</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提交的质量检测、监测报告及质量检测、监测数据虽归</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所有，但</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及其主要质量检测、监测技术人员仍享有署名的权利。</w:t>
      </w:r>
    </w:p>
    <w:p w14:paraId="5659BE6A">
      <w:pPr>
        <w:pStyle w:val="7"/>
        <w:pageBreakBefore w:val="0"/>
        <w:numPr>
          <w:ilvl w:val="0"/>
          <w:numId w:val="0"/>
        </w:numPr>
        <w:kinsoku/>
        <w:wordWrap/>
        <w:overflowPunct/>
        <w:topLinePunct w:val="0"/>
        <w:bidi w:val="0"/>
        <w:spacing w:line="560" w:lineRule="exact"/>
        <w:ind w:left="1222" w:leftChars="320" w:hanging="454" w:hangingChars="142"/>
        <w:jc w:val="left"/>
        <w:textAlignment w:val="auto"/>
        <w:rPr>
          <w:rFonts w:hint="eastAsia" w:ascii="黑体" w:hAnsi="黑体" w:eastAsia="黑体" w:cs="黑体"/>
          <w:b w:val="0"/>
          <w:bCs w:val="0"/>
          <w:color w:val="auto"/>
          <w:highlight w:val="none"/>
        </w:rPr>
      </w:pPr>
      <w:r>
        <w:rPr>
          <w:rFonts w:hint="eastAsia" w:ascii="黑体" w:hAnsi="黑体" w:eastAsia="黑体" w:cs="黑体"/>
          <w:b w:val="0"/>
          <w:bCs w:val="0"/>
          <w:color w:val="auto"/>
          <w:sz w:val="32"/>
          <w:szCs w:val="32"/>
          <w:highlight w:val="none"/>
          <w:lang w:val="en-US" w:eastAsia="zh-CN"/>
        </w:rPr>
        <w:t>9.</w:t>
      </w:r>
      <w:r>
        <w:rPr>
          <w:rFonts w:hint="eastAsia" w:ascii="黑体" w:hAnsi="黑体" w:eastAsia="黑体" w:cs="黑体"/>
          <w:b w:val="0"/>
          <w:bCs w:val="0"/>
          <w:color w:val="auto"/>
          <w:highlight w:val="none"/>
        </w:rPr>
        <w:t>转让和分包</w:t>
      </w:r>
    </w:p>
    <w:p w14:paraId="2660B013">
      <w:pPr>
        <w:adjustRightInd w:val="0"/>
        <w:snapToGrid w:val="0"/>
        <w:spacing w:before="156" w:beforeLines="50" w:after="156" w:afterLines="50" w:line="560" w:lineRule="exact"/>
        <w:ind w:firstLine="560" w:firstLineChars="200"/>
        <w:jc w:val="left"/>
        <w:rPr>
          <w:rFonts w:hint="eastAsia" w:ascii="仿宋_GB2312" w:hAnsi="仿宋_GB2312" w:eastAsia="仿宋_GB2312" w:cs="仿宋_GB2312"/>
          <w:color w:val="auto"/>
          <w:sz w:val="28"/>
          <w:szCs w:val="28"/>
          <w:highlight w:val="none"/>
          <w:u w:val="none"/>
        </w:rPr>
      </w:pPr>
      <w:r>
        <w:rPr>
          <w:rFonts w:hint="eastAsia" w:ascii="Times New Roman" w:hAnsi="Times New Roman" w:eastAsia="仿宋_GB2312" w:cs="Times New Roman"/>
          <w:color w:val="auto"/>
          <w:sz w:val="28"/>
          <w:szCs w:val="28"/>
          <w:highlight w:val="none"/>
          <w:u w:val="none"/>
          <w:lang w:eastAsia="zh-CN"/>
        </w:rPr>
        <w:t>9</w:t>
      </w:r>
      <w:r>
        <w:rPr>
          <w:rFonts w:hint="eastAsia" w:ascii="Times New Roman" w:hAnsi="Times New Roman" w:eastAsia="仿宋_GB2312" w:cs="Times New Roman"/>
          <w:color w:val="auto"/>
          <w:sz w:val="28"/>
          <w:szCs w:val="28"/>
          <w:highlight w:val="none"/>
        </w:rPr>
        <w:t>.1</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不得将本质量检测、监测合同规定的权利、义务和责任予以转让。未经发包人书面同意的权利、义务和责任转让均无效。</w:t>
      </w:r>
    </w:p>
    <w:p w14:paraId="7EF382B4">
      <w:pPr>
        <w:adjustRightInd w:val="0"/>
        <w:snapToGrid w:val="0"/>
        <w:spacing w:before="156" w:beforeLines="50" w:after="156" w:afterLines="50" w:line="560" w:lineRule="exact"/>
        <w:ind w:firstLine="560" w:firstLineChars="200"/>
        <w:jc w:val="left"/>
        <w:rPr>
          <w:rFonts w:hint="eastAsia" w:ascii="仿宋_GB2312" w:hAnsi="仿宋_GB2312" w:eastAsia="仿宋_GB2312" w:cs="仿宋_GB2312"/>
          <w:color w:val="auto"/>
          <w:sz w:val="28"/>
          <w:szCs w:val="28"/>
          <w:highlight w:val="none"/>
          <w:u w:val="none"/>
        </w:rPr>
      </w:pPr>
      <w:r>
        <w:rPr>
          <w:rFonts w:hint="eastAsia" w:ascii="Times New Roman" w:hAnsi="Times New Roman" w:eastAsia="仿宋_GB2312" w:cs="Times New Roman"/>
          <w:color w:val="auto"/>
          <w:sz w:val="28"/>
          <w:szCs w:val="28"/>
          <w:highlight w:val="none"/>
          <w:u w:val="none"/>
          <w:lang w:eastAsia="zh-CN"/>
        </w:rPr>
        <w:t>9</w:t>
      </w:r>
      <w:r>
        <w:rPr>
          <w:rFonts w:hint="eastAsia" w:ascii="Times New Roman" w:hAnsi="Times New Roman" w:eastAsia="仿宋_GB2312" w:cs="Times New Roman"/>
          <w:color w:val="auto"/>
          <w:sz w:val="28"/>
          <w:szCs w:val="28"/>
          <w:highlight w:val="none"/>
          <w:u w:val="none"/>
        </w:rPr>
        <w:t>.2</w:t>
      </w:r>
      <w:r>
        <w:rPr>
          <w:rFonts w:hint="eastAsia" w:ascii="仿宋_GB2312" w:hAnsi="仿宋_GB2312" w:eastAsia="仿宋_GB2312" w:cs="仿宋_GB2312"/>
          <w:color w:val="auto"/>
          <w:sz w:val="28"/>
          <w:szCs w:val="28"/>
          <w:highlight w:val="none"/>
          <w:u w:val="none"/>
        </w:rPr>
        <w:t>没有发包人的同意，</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不得将质量检测、监测服务的任何部分予以分包。未经发包人同意的分包无效，</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应向发包人承担违约责任。</w:t>
      </w:r>
    </w:p>
    <w:p w14:paraId="058DA453">
      <w:pPr>
        <w:adjustRightInd w:val="0"/>
        <w:snapToGrid w:val="0"/>
        <w:spacing w:before="156" w:beforeLines="50" w:after="156" w:afterLines="50" w:line="560" w:lineRule="exact"/>
        <w:ind w:firstLine="560" w:firstLineChars="200"/>
        <w:jc w:val="left"/>
        <w:rPr>
          <w:rFonts w:hint="eastAsia" w:ascii="仿宋_GB2312" w:hAnsi="仿宋_GB2312" w:eastAsia="仿宋_GB2312" w:cs="仿宋_GB2312"/>
          <w:color w:val="auto"/>
          <w:sz w:val="28"/>
          <w:szCs w:val="28"/>
          <w:highlight w:val="none"/>
          <w:u w:val="none"/>
        </w:rPr>
      </w:pPr>
      <w:r>
        <w:rPr>
          <w:rFonts w:hint="eastAsia" w:ascii="Times New Roman" w:hAnsi="Times New Roman" w:eastAsia="仿宋_GB2312" w:cs="Times New Roman"/>
          <w:color w:val="auto"/>
          <w:sz w:val="28"/>
          <w:szCs w:val="28"/>
          <w:highlight w:val="none"/>
          <w:u w:val="none"/>
          <w:lang w:eastAsia="zh-CN"/>
        </w:rPr>
        <w:t>9</w:t>
      </w:r>
      <w:r>
        <w:rPr>
          <w:rFonts w:hint="eastAsia" w:ascii="Times New Roman" w:hAnsi="Times New Roman" w:eastAsia="仿宋_GB2312" w:cs="Times New Roman"/>
          <w:color w:val="auto"/>
          <w:sz w:val="28"/>
          <w:szCs w:val="28"/>
          <w:highlight w:val="none"/>
          <w:u w:val="none"/>
        </w:rPr>
        <w:t>.3</w:t>
      </w:r>
      <w:r>
        <w:rPr>
          <w:rFonts w:hint="eastAsia" w:ascii="仿宋_GB2312" w:hAnsi="仿宋_GB2312" w:eastAsia="仿宋_GB2312" w:cs="仿宋_GB2312"/>
          <w:color w:val="auto"/>
          <w:sz w:val="28"/>
          <w:szCs w:val="28"/>
          <w:highlight w:val="none"/>
          <w:u w:val="none"/>
        </w:rPr>
        <w:t>根据质量检测监测部门、水务管理部门、公路管理部门等要求，如</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不具备某项质量检测、监测服务资质</w:t>
      </w:r>
      <w:r>
        <w:rPr>
          <w:rFonts w:hint="eastAsia" w:ascii="仿宋_GB2312" w:hAnsi="仿宋_GB2312" w:eastAsia="仿宋_GB2312" w:cs="仿宋_GB2312"/>
          <w:b w:val="0"/>
          <w:bCs w:val="0"/>
          <w:color w:val="auto"/>
          <w:kern w:val="2"/>
          <w:sz w:val="28"/>
          <w:szCs w:val="28"/>
          <w:highlight w:val="none"/>
          <w:u w:val="none"/>
          <w:lang w:val="en-US" w:eastAsia="zh-CN" w:bidi="ar-SA"/>
        </w:rPr>
        <w:t>（涉及消防、公路、铁路、桥梁方面等）</w:t>
      </w:r>
      <w:r>
        <w:rPr>
          <w:rFonts w:hint="eastAsia" w:ascii="仿宋_GB2312" w:hAnsi="仿宋_GB2312" w:eastAsia="仿宋_GB2312" w:cs="仿宋_GB2312"/>
          <w:color w:val="auto"/>
          <w:sz w:val="28"/>
          <w:szCs w:val="28"/>
          <w:highlight w:val="none"/>
          <w:u w:val="none"/>
        </w:rPr>
        <w:t>，经发包人同意，可进行专业分包，</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应与分包人签订分包合同，并在分包合同签订之日起7天内向发包人和工程监理人</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如有</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各提交一份分包合同。</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有义务禁止分包人将分包工程质量检测、监测再次分包。</w:t>
      </w:r>
    </w:p>
    <w:p w14:paraId="38703C9D">
      <w:pPr>
        <w:adjustRightInd w:val="0"/>
        <w:snapToGrid w:val="0"/>
        <w:spacing w:before="156" w:beforeLines="50" w:after="156" w:afterLines="50" w:line="560" w:lineRule="exact"/>
        <w:ind w:firstLine="560" w:firstLineChars="200"/>
        <w:jc w:val="left"/>
        <w:rPr>
          <w:rFonts w:hint="eastAsia" w:ascii="仿宋_GB2312" w:hAnsi="仿宋_GB2312" w:eastAsia="仿宋_GB2312" w:cs="仿宋_GB2312"/>
          <w:color w:val="auto"/>
          <w:sz w:val="28"/>
          <w:szCs w:val="28"/>
          <w:highlight w:val="none"/>
          <w:u w:val="none"/>
        </w:rPr>
      </w:pPr>
      <w:r>
        <w:rPr>
          <w:rFonts w:hint="eastAsia" w:ascii="Times New Roman" w:hAnsi="Times New Roman" w:eastAsia="仿宋_GB2312" w:cs="Times New Roman"/>
          <w:color w:val="auto"/>
          <w:sz w:val="28"/>
          <w:szCs w:val="28"/>
          <w:highlight w:val="none"/>
          <w:u w:val="none"/>
          <w:lang w:eastAsia="zh-CN"/>
        </w:rPr>
        <w:t>9</w:t>
      </w:r>
      <w:r>
        <w:rPr>
          <w:rFonts w:hint="eastAsia" w:ascii="Times New Roman" w:hAnsi="Times New Roman" w:eastAsia="仿宋_GB2312" w:cs="Times New Roman"/>
          <w:color w:val="auto"/>
          <w:sz w:val="28"/>
          <w:szCs w:val="28"/>
          <w:highlight w:val="none"/>
          <w:u w:val="none"/>
        </w:rPr>
        <w:t>.3.1</w:t>
      </w:r>
      <w:r>
        <w:rPr>
          <w:rFonts w:hint="eastAsia" w:ascii="仿宋_GB2312" w:hAnsi="仿宋_GB2312" w:eastAsia="仿宋_GB2312" w:cs="仿宋_GB2312"/>
          <w:color w:val="auto"/>
          <w:sz w:val="28"/>
          <w:szCs w:val="28"/>
          <w:highlight w:val="none"/>
          <w:u w:val="none"/>
        </w:rPr>
        <w:t>分包工程质量检测、监测审批资料要求：</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要将分包人的技术力量、装备以及社会信誉等情况报送给发包人审批，经发包人书面同意后方可分包。</w:t>
      </w:r>
    </w:p>
    <w:p w14:paraId="681BC78F">
      <w:pPr>
        <w:adjustRightInd w:val="0"/>
        <w:snapToGrid w:val="0"/>
        <w:spacing w:before="156" w:beforeLines="50" w:after="156" w:afterLines="50" w:line="560" w:lineRule="exact"/>
        <w:ind w:firstLine="560" w:firstLineChars="200"/>
        <w:jc w:val="left"/>
        <w:rPr>
          <w:rFonts w:hint="eastAsia" w:ascii="仿宋_GB2312" w:hAnsi="仿宋_GB2312" w:eastAsia="仿宋_GB2312" w:cs="仿宋_GB2312"/>
          <w:color w:val="auto"/>
          <w:sz w:val="28"/>
          <w:szCs w:val="28"/>
          <w:highlight w:val="none"/>
          <w:u w:val="none"/>
        </w:rPr>
      </w:pPr>
      <w:r>
        <w:rPr>
          <w:rFonts w:hint="eastAsia" w:ascii="Times New Roman" w:hAnsi="Times New Roman" w:eastAsia="仿宋_GB2312" w:cs="Times New Roman"/>
          <w:color w:val="auto"/>
          <w:sz w:val="28"/>
          <w:szCs w:val="28"/>
          <w:highlight w:val="none"/>
          <w:u w:val="none"/>
          <w:lang w:eastAsia="zh-CN"/>
        </w:rPr>
        <w:t>9</w:t>
      </w:r>
      <w:r>
        <w:rPr>
          <w:rFonts w:hint="eastAsia" w:ascii="Times New Roman" w:hAnsi="Times New Roman" w:eastAsia="仿宋_GB2312" w:cs="Times New Roman"/>
          <w:color w:val="auto"/>
          <w:sz w:val="28"/>
          <w:szCs w:val="28"/>
          <w:highlight w:val="none"/>
          <w:u w:val="none"/>
        </w:rPr>
        <w:t>.3.2</w:t>
      </w:r>
      <w:r>
        <w:rPr>
          <w:rFonts w:hint="eastAsia" w:ascii="仿宋_GB2312" w:hAnsi="仿宋_GB2312" w:eastAsia="仿宋_GB2312" w:cs="仿宋_GB2312"/>
          <w:color w:val="auto"/>
          <w:sz w:val="28"/>
          <w:szCs w:val="28"/>
          <w:highlight w:val="none"/>
          <w:u w:val="none"/>
        </w:rPr>
        <w:t>分包资质要求：分包人应具有分包服务所需的相应资质。</w:t>
      </w:r>
    </w:p>
    <w:p w14:paraId="0E512E26">
      <w:pPr>
        <w:adjustRightInd w:val="0"/>
        <w:snapToGrid w:val="0"/>
        <w:spacing w:before="156" w:beforeLines="50" w:after="156" w:afterLines="50" w:line="560" w:lineRule="exact"/>
        <w:ind w:firstLine="560" w:firstLineChars="200"/>
        <w:jc w:val="left"/>
        <w:rPr>
          <w:rFonts w:hint="eastAsia" w:ascii="仿宋_GB2312" w:hAnsi="仿宋_GB2312" w:eastAsia="仿宋_GB2312" w:cs="仿宋_GB2312"/>
          <w:color w:val="auto"/>
          <w:sz w:val="28"/>
          <w:szCs w:val="28"/>
          <w:highlight w:val="none"/>
          <w:u w:val="none"/>
        </w:rPr>
      </w:pPr>
      <w:r>
        <w:rPr>
          <w:rFonts w:hint="eastAsia" w:ascii="Times New Roman" w:hAnsi="Times New Roman" w:eastAsia="仿宋_GB2312" w:cs="Times New Roman"/>
          <w:color w:val="auto"/>
          <w:sz w:val="28"/>
          <w:szCs w:val="28"/>
          <w:highlight w:val="none"/>
          <w:u w:val="none"/>
          <w:lang w:eastAsia="zh-CN"/>
        </w:rPr>
        <w:t>9</w:t>
      </w:r>
      <w:r>
        <w:rPr>
          <w:rFonts w:hint="eastAsia" w:ascii="Times New Roman" w:hAnsi="Times New Roman" w:eastAsia="仿宋_GB2312" w:cs="Times New Roman"/>
          <w:color w:val="auto"/>
          <w:sz w:val="28"/>
          <w:szCs w:val="28"/>
          <w:highlight w:val="none"/>
          <w:u w:val="none"/>
        </w:rPr>
        <w:t>.4</w:t>
      </w:r>
      <w:r>
        <w:rPr>
          <w:rFonts w:hint="eastAsia" w:ascii="仿宋_GB2312" w:hAnsi="仿宋_GB2312" w:eastAsia="仿宋_GB2312" w:cs="仿宋_GB2312"/>
          <w:color w:val="auto"/>
          <w:sz w:val="28"/>
          <w:szCs w:val="28"/>
          <w:highlight w:val="none"/>
          <w:u w:val="none"/>
        </w:rPr>
        <w:t>分包质量检测、监测服务报酬款由</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与分包人结算。除合同另有约定或取得</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的同意外，发包人应将分包服务报酬款按合同条款约定的支付方式全部支付给</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，禁止发包人直接向分包人支付任何服务报酬款。</w:t>
      </w:r>
    </w:p>
    <w:p w14:paraId="1D67F663">
      <w:pPr>
        <w:adjustRightInd w:val="0"/>
        <w:snapToGrid w:val="0"/>
        <w:spacing w:before="156" w:beforeLines="50" w:after="156" w:afterLines="50" w:line="560" w:lineRule="exact"/>
        <w:ind w:firstLine="560" w:firstLineChars="200"/>
        <w:jc w:val="left"/>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如发包人有要求时，</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应提供能证明自己已向分包人支付其分包服务报酬款等证明资料。否则，发包人有权直接向分包人支付</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应支付而未支付的分包服务报酬款，并在</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得到的服务报酬款中扣除。</w:t>
      </w:r>
    </w:p>
    <w:p w14:paraId="09004CC5">
      <w:pPr>
        <w:adjustRightInd w:val="0"/>
        <w:snapToGrid w:val="0"/>
        <w:spacing w:before="156" w:beforeLines="50" w:after="156" w:afterLines="50" w:line="560" w:lineRule="exact"/>
        <w:ind w:firstLine="560" w:firstLineChars="200"/>
        <w:jc w:val="left"/>
        <w:rPr>
          <w:rFonts w:hint="eastAsia" w:ascii="仿宋_GB2312" w:hAnsi="仿宋_GB2312" w:eastAsia="仿宋_GB2312" w:cs="仿宋_GB2312"/>
          <w:color w:val="auto"/>
          <w:sz w:val="28"/>
          <w:szCs w:val="28"/>
          <w:highlight w:val="none"/>
          <w:u w:val="none"/>
        </w:rPr>
      </w:pPr>
      <w:r>
        <w:rPr>
          <w:rFonts w:hint="eastAsia" w:ascii="Times New Roman" w:hAnsi="Times New Roman" w:eastAsia="仿宋_GB2312" w:cs="Times New Roman"/>
          <w:color w:val="auto"/>
          <w:sz w:val="28"/>
          <w:szCs w:val="28"/>
          <w:highlight w:val="none"/>
          <w:u w:val="none"/>
          <w:lang w:eastAsia="zh-CN"/>
        </w:rPr>
        <w:t>9</w:t>
      </w:r>
      <w:r>
        <w:rPr>
          <w:rFonts w:hint="eastAsia" w:ascii="Times New Roman" w:hAnsi="Times New Roman" w:eastAsia="仿宋_GB2312" w:cs="Times New Roman"/>
          <w:color w:val="auto"/>
          <w:sz w:val="28"/>
          <w:szCs w:val="28"/>
          <w:highlight w:val="none"/>
          <w:u w:val="none"/>
        </w:rPr>
        <w:t>.5</w:t>
      </w:r>
      <w:r>
        <w:rPr>
          <w:rFonts w:hint="eastAsia" w:ascii="仿宋_GB2312" w:hAnsi="仿宋_GB2312" w:eastAsia="仿宋_GB2312" w:cs="仿宋_GB2312"/>
          <w:color w:val="auto"/>
          <w:sz w:val="28"/>
          <w:szCs w:val="28"/>
          <w:highlight w:val="none"/>
          <w:u w:val="none"/>
        </w:rPr>
        <w:t>专业分包不能免除</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应承担的任何责任和应履行的任何义务。</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应在分包场地派驻相应管理人员保证本合同的履行。</w:t>
      </w:r>
    </w:p>
    <w:p w14:paraId="1F969346">
      <w:pPr>
        <w:adjustRightInd w:val="0"/>
        <w:snapToGrid w:val="0"/>
        <w:spacing w:before="156" w:beforeLines="50" w:after="156" w:afterLines="50" w:line="560" w:lineRule="exact"/>
        <w:ind w:firstLine="560" w:firstLineChars="200"/>
        <w:jc w:val="left"/>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分包人应对分包服务负责。分包人的任何违约行为或疏忽导致工程损坏、损害或给发包人造成损失的，</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应承担连带责任。</w:t>
      </w:r>
    </w:p>
    <w:p w14:paraId="6CBE183C">
      <w:pPr>
        <w:adjustRightInd w:val="0"/>
        <w:snapToGrid w:val="0"/>
        <w:spacing w:before="156" w:beforeLines="50" w:after="156" w:afterLines="50" w:line="560" w:lineRule="exact"/>
        <w:ind w:firstLine="560" w:firstLineChars="200"/>
        <w:jc w:val="left"/>
        <w:rPr>
          <w:rFonts w:hint="eastAsia" w:ascii="仿宋_GB2312" w:hAnsi="仿宋_GB2312" w:eastAsia="仿宋_GB2312" w:cs="仿宋_GB2312"/>
          <w:color w:val="auto"/>
          <w:sz w:val="28"/>
          <w:szCs w:val="28"/>
          <w:highlight w:val="none"/>
          <w:u w:val="none"/>
          <w:lang w:val="en-US" w:eastAsia="zh-CN"/>
        </w:rPr>
      </w:pPr>
      <w:r>
        <w:rPr>
          <w:rFonts w:hint="eastAsia" w:ascii="Times New Roman" w:hAnsi="Times New Roman" w:eastAsia="仿宋_GB2312" w:cs="Times New Roman"/>
          <w:color w:val="auto"/>
          <w:sz w:val="28"/>
          <w:szCs w:val="28"/>
          <w:highlight w:val="none"/>
          <w:u w:val="none"/>
          <w:lang w:eastAsia="zh-CN"/>
        </w:rPr>
        <w:t>9</w:t>
      </w:r>
      <w:r>
        <w:rPr>
          <w:rFonts w:hint="eastAsia" w:ascii="Times New Roman" w:hAnsi="Times New Roman" w:eastAsia="仿宋_GB2312" w:cs="Times New Roman"/>
          <w:color w:val="auto"/>
          <w:sz w:val="28"/>
          <w:szCs w:val="28"/>
          <w:highlight w:val="none"/>
          <w:u w:val="none"/>
        </w:rPr>
        <w:t>.6</w:t>
      </w:r>
      <w:r>
        <w:rPr>
          <w:rFonts w:hint="eastAsia" w:ascii="仿宋_GB2312" w:hAnsi="仿宋_GB2312" w:eastAsia="仿宋_GB2312" w:cs="仿宋_GB2312"/>
          <w:color w:val="auto"/>
          <w:sz w:val="28"/>
          <w:szCs w:val="28"/>
          <w:highlight w:val="none"/>
          <w:u w:val="none"/>
        </w:rPr>
        <w:t>无论何种原因，当本合同终止时，分包人与</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签订的分包合同也随即终止。</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应在本合同终止前向分包人支付分包人应得所有款项。</w:t>
      </w:r>
    </w:p>
    <w:p w14:paraId="37C74715">
      <w:pPr>
        <w:pStyle w:val="7"/>
        <w:pageBreakBefore w:val="0"/>
        <w:numPr>
          <w:ilvl w:val="0"/>
          <w:numId w:val="0"/>
        </w:numPr>
        <w:kinsoku/>
        <w:wordWrap/>
        <w:overflowPunct/>
        <w:topLinePunct w:val="0"/>
        <w:bidi w:val="0"/>
        <w:spacing w:line="560" w:lineRule="exact"/>
        <w:ind w:left="1222" w:leftChars="320" w:hanging="454" w:hangingChars="142"/>
        <w:jc w:val="left"/>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10.不可抗力</w:t>
      </w:r>
    </w:p>
    <w:p w14:paraId="18B380EB">
      <w:pPr>
        <w:pStyle w:val="6"/>
        <w:pageBreakBefore w:val="0"/>
        <w:numPr>
          <w:ilvl w:val="1"/>
          <w:numId w:val="0"/>
        </w:numPr>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u w:val="none"/>
        </w:rPr>
      </w:pPr>
      <w:r>
        <w:rPr>
          <w:rFonts w:hint="eastAsia" w:ascii="Times New Roman" w:hAnsi="Times New Roman" w:eastAsia="仿宋_GB2312" w:cs="Times New Roman"/>
          <w:color w:val="auto"/>
          <w:kern w:val="2"/>
          <w:sz w:val="28"/>
          <w:szCs w:val="28"/>
          <w:highlight w:val="none"/>
          <w:lang w:val="en-US" w:eastAsia="zh-CN" w:bidi="ar-SA"/>
        </w:rPr>
        <w:t>10.1</w:t>
      </w:r>
      <w:r>
        <w:rPr>
          <w:rFonts w:hint="eastAsia" w:ascii="仿宋_GB2312" w:hAnsi="仿宋_GB2312" w:eastAsia="仿宋_GB2312" w:cs="仿宋_GB2312"/>
          <w:color w:val="auto"/>
          <w:sz w:val="28"/>
          <w:szCs w:val="28"/>
          <w:highlight w:val="none"/>
          <w:u w:val="none"/>
        </w:rPr>
        <w:t>本合同所称不可抗力事件，系指合同双方在缔结合同时无法预料或即使可预料到也不可避免且无法克服，并于本合同签订日之后出现的，使该方对本合同全部或部分的履行在客观上成为不可能或不实际的任何事件。此等事件包括但不限于水灾、火灾、旱灾、台风、暴雪、地震以及其他自然灾害、疫情防控等。</w:t>
      </w:r>
    </w:p>
    <w:p w14:paraId="42984C24">
      <w:pPr>
        <w:pStyle w:val="6"/>
        <w:pageBreakBefore w:val="0"/>
        <w:numPr>
          <w:ilvl w:val="1"/>
          <w:numId w:val="0"/>
        </w:numPr>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u w:val="none"/>
        </w:rPr>
      </w:pPr>
      <w:r>
        <w:rPr>
          <w:rFonts w:hint="eastAsia" w:ascii="Times New Roman" w:hAnsi="Times New Roman" w:eastAsia="仿宋_GB2312" w:cs="Times New Roman"/>
          <w:color w:val="auto"/>
          <w:kern w:val="2"/>
          <w:sz w:val="28"/>
          <w:szCs w:val="28"/>
          <w:highlight w:val="none"/>
          <w:lang w:val="en-US" w:eastAsia="zh-CN" w:bidi="ar-SA"/>
        </w:rPr>
        <w:t>10.2</w:t>
      </w:r>
      <w:r>
        <w:rPr>
          <w:rFonts w:hint="eastAsia" w:ascii="仿宋_GB2312" w:hAnsi="仿宋_GB2312" w:eastAsia="仿宋_GB2312" w:cs="仿宋_GB2312"/>
          <w:color w:val="auto"/>
          <w:sz w:val="28"/>
          <w:szCs w:val="28"/>
          <w:highlight w:val="none"/>
          <w:u w:val="none"/>
        </w:rPr>
        <w:t>由于不可抗力事件致使一方当事人不能履行本合同的，受不可抗力影响一方应在不可抗力事件发生后</w:t>
      </w:r>
      <w:r>
        <w:rPr>
          <w:rFonts w:hint="eastAsia" w:ascii="Times New Roman" w:hAnsi="Times New Roman" w:eastAsia="仿宋_GB2312" w:cs="Times New Roman"/>
          <w:color w:val="auto"/>
          <w:kern w:val="2"/>
          <w:sz w:val="28"/>
          <w:szCs w:val="28"/>
          <w:highlight w:val="none"/>
          <w:u w:val="none"/>
          <w:lang w:val="en-US" w:eastAsia="zh-CN" w:bidi="ar-SA"/>
        </w:rPr>
        <w:t>48</w:t>
      </w:r>
      <w:r>
        <w:rPr>
          <w:rFonts w:hint="eastAsia" w:ascii="仿宋_GB2312" w:hAnsi="仿宋_GB2312" w:eastAsia="仿宋_GB2312" w:cs="仿宋_GB2312"/>
          <w:color w:val="auto"/>
          <w:sz w:val="28"/>
          <w:szCs w:val="28"/>
          <w:highlight w:val="none"/>
          <w:u w:val="none"/>
        </w:rPr>
        <w:t>小时内通过书面形式将不可抗力事件的发生通知另一方，并在该不可抗力事件发生后</w:t>
      </w:r>
      <w:r>
        <w:rPr>
          <w:rFonts w:hint="eastAsia" w:ascii="Times New Roman" w:hAnsi="Times New Roman" w:eastAsia="仿宋_GB2312" w:cs="Times New Roman"/>
          <w:color w:val="auto"/>
          <w:kern w:val="2"/>
          <w:sz w:val="28"/>
          <w:szCs w:val="28"/>
          <w:highlight w:val="none"/>
          <w:u w:val="none"/>
          <w:lang w:val="en-US" w:eastAsia="zh-CN" w:bidi="ar-SA"/>
        </w:rPr>
        <w:t>15</w:t>
      </w:r>
      <w:r>
        <w:rPr>
          <w:rFonts w:hint="eastAsia" w:ascii="仿宋_GB2312" w:hAnsi="仿宋_GB2312" w:eastAsia="仿宋_GB2312" w:cs="仿宋_GB2312"/>
          <w:color w:val="auto"/>
          <w:sz w:val="28"/>
          <w:szCs w:val="28"/>
          <w:highlight w:val="none"/>
          <w:u w:val="none"/>
        </w:rPr>
        <w:t>日内以挂号或特快专递等形式向另一方提供有关机构关于此种不可抗力事件及其持续时间的书面证明。声称不可抗力事件导致其对本合同的履行在客观上成为不可能或不实际的一方应当向对方提供书面证明，并有责任尽一切合理的努力消除或减轻此等不可抗力事件的影响。</w:t>
      </w:r>
    </w:p>
    <w:p w14:paraId="37C05841">
      <w:pPr>
        <w:pStyle w:val="6"/>
        <w:pageBreakBefore w:val="0"/>
        <w:numPr>
          <w:ilvl w:val="1"/>
          <w:numId w:val="0"/>
        </w:numPr>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u w:val="none"/>
          <w:lang w:eastAsia="zh-CN"/>
        </w:rPr>
      </w:pPr>
      <w:r>
        <w:rPr>
          <w:rFonts w:hint="eastAsia" w:ascii="Times New Roman" w:hAnsi="Times New Roman" w:eastAsia="仿宋_GB2312" w:cs="Times New Roman"/>
          <w:color w:val="auto"/>
          <w:kern w:val="2"/>
          <w:sz w:val="28"/>
          <w:szCs w:val="28"/>
          <w:highlight w:val="none"/>
          <w:lang w:val="en-US" w:eastAsia="zh-CN" w:bidi="ar-SA"/>
        </w:rPr>
        <w:t>10.3</w:t>
      </w:r>
      <w:r>
        <w:rPr>
          <w:rFonts w:hint="eastAsia" w:ascii="仿宋_GB2312" w:hAnsi="仿宋_GB2312" w:eastAsia="仿宋_GB2312" w:cs="仿宋_GB2312"/>
          <w:color w:val="auto"/>
          <w:sz w:val="28"/>
          <w:szCs w:val="28"/>
          <w:highlight w:val="none"/>
          <w:u w:val="none"/>
        </w:rPr>
        <w:t>受不可抗力影响一方未履行通知义务，</w:t>
      </w:r>
      <w:r>
        <w:rPr>
          <w:rFonts w:hint="eastAsia" w:ascii="仿宋_GB2312" w:hAnsi="仿宋_GB2312" w:eastAsia="仿宋_GB2312" w:cs="仿宋_GB2312"/>
          <w:color w:val="auto"/>
          <w:sz w:val="28"/>
          <w:szCs w:val="28"/>
          <w:highlight w:val="none"/>
          <w:u w:val="single"/>
        </w:rPr>
        <w:t>和/或</w:t>
      </w:r>
      <w:r>
        <w:rPr>
          <w:rFonts w:hint="eastAsia" w:ascii="仿宋_GB2312" w:hAnsi="仿宋_GB2312" w:eastAsia="仿宋_GB2312" w:cs="仿宋_GB2312"/>
          <w:color w:val="auto"/>
          <w:sz w:val="28"/>
          <w:szCs w:val="28"/>
          <w:highlight w:val="none"/>
          <w:u w:val="none"/>
        </w:rPr>
        <w:t>任一方未积极采取减损措施，致使损失扩大的，该方应就扩大的损失向另一方承担赔偿责任</w:t>
      </w:r>
      <w:r>
        <w:rPr>
          <w:rFonts w:hint="eastAsia" w:ascii="仿宋_GB2312" w:hAnsi="仿宋_GB2312" w:eastAsia="仿宋_GB2312" w:cs="仿宋_GB2312"/>
          <w:color w:val="auto"/>
          <w:sz w:val="28"/>
          <w:szCs w:val="28"/>
          <w:highlight w:val="none"/>
          <w:u w:val="none"/>
          <w:lang w:eastAsia="zh-CN"/>
        </w:rPr>
        <w:t>。</w:t>
      </w:r>
    </w:p>
    <w:p w14:paraId="2627A21C">
      <w:pPr>
        <w:pStyle w:val="6"/>
        <w:pageBreakBefore w:val="0"/>
        <w:numPr>
          <w:ilvl w:val="1"/>
          <w:numId w:val="0"/>
        </w:numPr>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u w:val="none"/>
          <w:lang w:val="en-US" w:eastAsia="zh-CN"/>
        </w:rPr>
      </w:pPr>
      <w:r>
        <w:rPr>
          <w:rFonts w:hint="eastAsia" w:ascii="Times New Roman" w:hAnsi="Times New Roman" w:eastAsia="仿宋_GB2312" w:cs="Times New Roman"/>
          <w:color w:val="auto"/>
          <w:kern w:val="2"/>
          <w:sz w:val="28"/>
          <w:szCs w:val="28"/>
          <w:highlight w:val="none"/>
          <w:lang w:val="en-US" w:eastAsia="zh-CN" w:bidi="ar-SA"/>
        </w:rPr>
        <w:t>10.4</w:t>
      </w:r>
      <w:r>
        <w:rPr>
          <w:rFonts w:hint="eastAsia" w:ascii="仿宋_GB2312" w:hAnsi="仿宋_GB2312" w:eastAsia="仿宋_GB2312" w:cs="仿宋_GB2312"/>
          <w:color w:val="auto"/>
          <w:sz w:val="28"/>
          <w:szCs w:val="28"/>
          <w:highlight w:val="none"/>
          <w:u w:val="none"/>
          <w:lang w:val="en-US" w:eastAsia="zh-CN"/>
        </w:rPr>
        <w:t>双方确定，发生不可抗力致使本合同的履行成为不必要或不可能的，可以解除本合同。因发生不可抗力导致违约的，不追究违约方的违约责任。</w:t>
      </w:r>
    </w:p>
    <w:p w14:paraId="4F4D3554">
      <w:pPr>
        <w:pStyle w:val="6"/>
        <w:pageBreakBefore w:val="0"/>
        <w:numPr>
          <w:ilvl w:val="1"/>
          <w:numId w:val="0"/>
        </w:numPr>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u w:val="none"/>
          <w:lang w:val="en-US" w:eastAsia="zh-CN"/>
        </w:rPr>
      </w:pPr>
      <w:r>
        <w:rPr>
          <w:rFonts w:hint="eastAsia" w:ascii="Times New Roman" w:hAnsi="Times New Roman" w:eastAsia="仿宋_GB2312" w:cs="Times New Roman"/>
          <w:color w:val="auto"/>
          <w:kern w:val="2"/>
          <w:sz w:val="28"/>
          <w:szCs w:val="28"/>
          <w:highlight w:val="none"/>
          <w:lang w:val="en-US" w:eastAsia="zh-CN" w:bidi="ar-SA"/>
        </w:rPr>
        <w:t>10.5</w:t>
      </w:r>
      <w:r>
        <w:rPr>
          <w:rFonts w:hint="eastAsia" w:ascii="仿宋_GB2312" w:hAnsi="仿宋_GB2312" w:eastAsia="仿宋_GB2312" w:cs="仿宋_GB2312"/>
          <w:color w:val="auto"/>
          <w:sz w:val="28"/>
          <w:szCs w:val="28"/>
          <w:highlight w:val="none"/>
          <w:u w:val="none"/>
          <w:lang w:val="en-US" w:eastAsia="zh-CN"/>
        </w:rPr>
        <w:t>因不可抗力引起质量检测、监测暂停的费用按以下原则承担：</w:t>
      </w:r>
    </w:p>
    <w:p w14:paraId="5496ED10">
      <w:pPr>
        <w:pStyle w:val="6"/>
        <w:pageBreakBefore w:val="0"/>
        <w:numPr>
          <w:ilvl w:val="1"/>
          <w:numId w:val="0"/>
        </w:numPr>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（1）质量检测、监测工程本身的损害及因质量检测、监测工程损害导致第三方人员伤亡和财产损失由责任方各自承担。</w:t>
      </w:r>
    </w:p>
    <w:p w14:paraId="555B884B">
      <w:pPr>
        <w:pStyle w:val="6"/>
        <w:pageBreakBefore w:val="0"/>
        <w:numPr>
          <w:ilvl w:val="1"/>
          <w:numId w:val="0"/>
        </w:numPr>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（2）甲方、乙方人员伤亡由其所单位负责，并承担相应费用；</w:t>
      </w:r>
    </w:p>
    <w:p w14:paraId="00FDCC38">
      <w:pPr>
        <w:pStyle w:val="6"/>
        <w:pageBreakBefore w:val="0"/>
        <w:numPr>
          <w:ilvl w:val="1"/>
          <w:numId w:val="0"/>
        </w:numPr>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（3）乙方的设施、设备、仪器的损坏及停工损失，由乙方承担；</w:t>
      </w:r>
    </w:p>
    <w:p w14:paraId="03067DC7">
      <w:pPr>
        <w:pStyle w:val="6"/>
        <w:pageBreakBefore w:val="0"/>
        <w:numPr>
          <w:ilvl w:val="1"/>
          <w:numId w:val="0"/>
        </w:numPr>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（4）停工期间，乙方应按甲方的要求留有质量检测、监测场地的必要管理人员及保卫人员并承担费用；</w:t>
      </w:r>
    </w:p>
    <w:p w14:paraId="6AF6EF3C">
      <w:pPr>
        <w:pStyle w:val="6"/>
        <w:pageBreakBefore w:val="0"/>
        <w:numPr>
          <w:ilvl w:val="1"/>
          <w:numId w:val="0"/>
        </w:numPr>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（5）质量检测、监测工程所需清理、修复费用由乙方承担；</w:t>
      </w:r>
    </w:p>
    <w:p w14:paraId="62955F07">
      <w:pPr>
        <w:pStyle w:val="6"/>
        <w:pageBreakBefore w:val="0"/>
        <w:numPr>
          <w:ilvl w:val="1"/>
          <w:numId w:val="0"/>
        </w:numPr>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（6）由于政府部门举行特殊活动引起停工的，因停工产生的费用由乙方承担。</w:t>
      </w:r>
    </w:p>
    <w:p w14:paraId="79DD9888">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br w:type="page"/>
      </w:r>
    </w:p>
    <w:p w14:paraId="6021FD81">
      <w:pPr>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val="en-US" w:eastAsia="zh-CN"/>
        </w:rPr>
        <w:t>附件目录</w:t>
      </w:r>
    </w:p>
    <w:p w14:paraId="453C1420">
      <w:pPr>
        <w:pStyle w:val="2"/>
        <w:rPr>
          <w:rFonts w:hint="eastAsia"/>
          <w:color w:val="auto"/>
          <w:highlight w:val="none"/>
          <w:lang w:val="en-US" w:eastAsia="zh-CN"/>
        </w:rPr>
      </w:pPr>
    </w:p>
    <w:p w14:paraId="14A8FF7B">
      <w:pPr>
        <w:pageBreakBefore w:val="0"/>
        <w:kinsoku/>
        <w:wordWrap/>
        <w:overflowPunct/>
        <w:topLinePunct w:val="0"/>
        <w:bidi w:val="0"/>
        <w:spacing w:line="560" w:lineRule="exact"/>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附件1：投标报价表（工程量清单）</w:t>
      </w:r>
    </w:p>
    <w:p w14:paraId="080C0A9A">
      <w:pPr>
        <w:pageBreakBefore w:val="0"/>
        <w:kinsoku/>
        <w:wordWrap/>
        <w:overflowPunct/>
        <w:topLinePunct w:val="0"/>
        <w:bidi w:val="0"/>
        <w:spacing w:line="560" w:lineRule="exact"/>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附件2：廉洁责任书</w:t>
      </w:r>
    </w:p>
    <w:p w14:paraId="3F27325B">
      <w:pPr>
        <w:pageBreakBefore w:val="0"/>
        <w:kinsoku/>
        <w:wordWrap/>
        <w:overflowPunct/>
        <w:topLinePunct w:val="0"/>
        <w:bidi w:val="0"/>
        <w:spacing w:line="560" w:lineRule="exact"/>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附件3：服务安全生产协议书</w:t>
      </w:r>
    </w:p>
    <w:p w14:paraId="7A8A3DEA">
      <w:pPr>
        <w:pageBreakBefore w:val="0"/>
        <w:kinsoku/>
        <w:wordWrap/>
        <w:overflowPunct/>
        <w:topLinePunct w:val="0"/>
        <w:bidi w:val="0"/>
        <w:spacing w:line="560" w:lineRule="exact"/>
        <w:jc w:val="left"/>
        <w:textAlignment w:val="auto"/>
        <w:outlineLvl w:val="1"/>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附件4：拟投入本项目的人员汇总表</w:t>
      </w:r>
    </w:p>
    <w:p w14:paraId="56C3286A">
      <w:pPr>
        <w:pageBreakBefore w:val="0"/>
        <w:kinsoku/>
        <w:wordWrap/>
        <w:overflowPunct/>
        <w:topLinePunct w:val="0"/>
        <w:bidi w:val="0"/>
        <w:spacing w:line="560" w:lineRule="exact"/>
        <w:jc w:val="left"/>
        <w:textAlignment w:val="auto"/>
        <w:outlineLvl w:val="1"/>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附件5：拟投入本项目的人员简历表</w:t>
      </w:r>
    </w:p>
    <w:p w14:paraId="329FD509">
      <w:pPr>
        <w:pStyle w:val="2"/>
        <w:rPr>
          <w:rFonts w:hint="eastAsia" w:ascii="仿宋_GB2312" w:hAnsi="仿宋_GB2312" w:eastAsia="仿宋_GB2312" w:cs="仿宋_GB2312"/>
          <w:color w:val="auto"/>
          <w:highlight w:val="none"/>
          <w:lang w:val="en-US" w:eastAsia="zh-CN"/>
        </w:rPr>
      </w:pPr>
    </w:p>
    <w:p w14:paraId="40BC3798">
      <w:pPr>
        <w:rPr>
          <w:rFonts w:hint="default" w:ascii="宋体" w:hAnsi="宋体" w:eastAsia="宋体"/>
          <w:b/>
          <w:color w:val="auto"/>
          <w:sz w:val="44"/>
          <w:szCs w:val="44"/>
          <w:highlight w:val="none"/>
          <w:lang w:val="en-US" w:eastAsia="zh-CN"/>
        </w:rPr>
      </w:pPr>
      <w:r>
        <w:rPr>
          <w:rFonts w:hint="eastAsia" w:ascii="宋体" w:hAnsi="宋体"/>
          <w:b/>
          <w:color w:val="auto"/>
          <w:sz w:val="44"/>
          <w:szCs w:val="44"/>
          <w:highlight w:val="none"/>
        </w:rPr>
        <w:br w:type="page"/>
      </w:r>
      <w:r>
        <w:rPr>
          <w:rFonts w:hint="eastAsia" w:ascii="黑体" w:hAnsi="黑体" w:eastAsia="黑体" w:cs="黑体"/>
          <w:b w:val="0"/>
          <w:bCs/>
          <w:color w:val="auto"/>
          <w:sz w:val="28"/>
          <w:szCs w:val="28"/>
          <w:highlight w:val="none"/>
          <w:lang w:val="en-US" w:eastAsia="zh-CN"/>
        </w:rPr>
        <w:t>附件1</w:t>
      </w:r>
    </w:p>
    <w:p w14:paraId="4D260E42">
      <w:pPr>
        <w:jc w:val="center"/>
        <w:rPr>
          <w:rFonts w:hint="eastAsia" w:ascii="方正小标宋简体" w:hAnsi="方正小标宋简体" w:eastAsia="方正小标宋简体" w:cs="方正小标宋简体"/>
          <w:b w:val="0"/>
          <w:bCs/>
          <w:color w:val="auto"/>
          <w:kern w:val="0"/>
          <w:sz w:val="40"/>
          <w:szCs w:val="40"/>
          <w:highlight w:val="none"/>
          <w:lang w:val="en-US" w:eastAsia="zh-CN" w:bidi="ar-SA"/>
        </w:rPr>
      </w:pPr>
      <w:r>
        <w:rPr>
          <w:rFonts w:hint="eastAsia" w:ascii="方正小标宋简体" w:hAnsi="方正小标宋简体" w:eastAsia="方正小标宋简体" w:cs="方正小标宋简体"/>
          <w:b w:val="0"/>
          <w:bCs/>
          <w:color w:val="auto"/>
          <w:kern w:val="0"/>
          <w:sz w:val="40"/>
          <w:szCs w:val="40"/>
          <w:highlight w:val="none"/>
          <w:lang w:val="en-US" w:eastAsia="zh-CN" w:bidi="ar-SA"/>
        </w:rPr>
        <w:t>投标报价表（工程量清单）</w:t>
      </w:r>
    </w:p>
    <w:p w14:paraId="6382B873">
      <w:pPr>
        <w:pageBreakBefore w:val="0"/>
        <w:kinsoku/>
        <w:wordWrap/>
        <w:overflowPunct/>
        <w:topLinePunct w:val="0"/>
        <w:bidi w:val="0"/>
        <w:spacing w:line="560" w:lineRule="exact"/>
        <w:jc w:val="left"/>
        <w:textAlignment w:val="auto"/>
        <w:outlineLvl w:val="1"/>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（招标/采购文件中要求投标单位/供应商提供的投标报价表/工程量清单应作为此处附件）</w:t>
      </w:r>
    </w:p>
    <w:p w14:paraId="14C76AB8">
      <w:pPr>
        <w:jc w:val="left"/>
        <w:rPr>
          <w:rFonts w:hint="eastAsia" w:ascii="宋体" w:hAnsi="宋体"/>
          <w:b/>
          <w:color w:val="auto"/>
          <w:sz w:val="44"/>
          <w:szCs w:val="44"/>
          <w:highlight w:val="none"/>
        </w:rPr>
      </w:pPr>
    </w:p>
    <w:p w14:paraId="35ECB402">
      <w:pPr>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br w:type="page"/>
      </w:r>
    </w:p>
    <w:p w14:paraId="4D90EBB0">
      <w:pPr>
        <w:rPr>
          <w:rFonts w:hint="default" w:ascii="宋体" w:hAnsi="宋体" w:eastAsia="宋体"/>
          <w:b/>
          <w:color w:val="auto"/>
          <w:sz w:val="44"/>
          <w:szCs w:val="44"/>
          <w:highlight w:val="none"/>
          <w:lang w:val="en-US" w:eastAsia="zh-CN"/>
        </w:rPr>
      </w:pPr>
      <w:r>
        <w:rPr>
          <w:rFonts w:hint="eastAsia" w:ascii="黑体" w:hAnsi="黑体" w:eastAsia="黑体" w:cs="黑体"/>
          <w:b w:val="0"/>
          <w:bCs/>
          <w:color w:val="auto"/>
          <w:sz w:val="28"/>
          <w:szCs w:val="28"/>
          <w:highlight w:val="none"/>
          <w:lang w:val="en-US" w:eastAsia="zh-CN"/>
        </w:rPr>
        <w:t>附件2</w:t>
      </w:r>
    </w:p>
    <w:p w14:paraId="277B403C">
      <w:pPr>
        <w:tabs>
          <w:tab w:val="left" w:pos="709"/>
        </w:tabs>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廉洁责任书</w:t>
      </w:r>
    </w:p>
    <w:p w14:paraId="4124F781">
      <w:pPr>
        <w:jc w:val="center"/>
        <w:rPr>
          <w:rFonts w:hAnsi="宋体"/>
          <w:color w:val="auto"/>
          <w:sz w:val="24"/>
          <w:szCs w:val="24"/>
          <w:highlight w:val="none"/>
        </w:rPr>
      </w:pPr>
      <w:r>
        <w:rPr>
          <w:rFonts w:hint="eastAsia" w:ascii="仿宋_GB2312" w:hAnsi="宋体" w:eastAsia="仿宋_GB2312"/>
          <w:color w:val="auto"/>
          <w:sz w:val="32"/>
          <w:szCs w:val="32"/>
          <w:highlight w:val="none"/>
        </w:rPr>
        <w:t>（20</w:t>
      </w:r>
      <w:r>
        <w:rPr>
          <w:rFonts w:hint="eastAsia" w:ascii="仿宋_GB2312" w:hAnsi="宋体" w:eastAsia="仿宋_GB2312"/>
          <w:color w:val="auto"/>
          <w:sz w:val="32"/>
          <w:szCs w:val="32"/>
          <w:highlight w:val="none"/>
          <w:lang w:val="en-US" w:eastAsia="zh-CN"/>
        </w:rPr>
        <w:t>23</w:t>
      </w:r>
      <w:r>
        <w:rPr>
          <w:rFonts w:hint="eastAsia" w:ascii="仿宋_GB2312" w:hAnsi="宋体" w:eastAsia="仿宋_GB2312"/>
          <w:color w:val="auto"/>
          <w:sz w:val="32"/>
          <w:szCs w:val="32"/>
          <w:highlight w:val="none"/>
        </w:rPr>
        <w:t>年修订版标准文本）</w:t>
      </w:r>
    </w:p>
    <w:p w14:paraId="6B5CE923">
      <w:pPr>
        <w:spacing w:line="54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发包人（甲方）： 广州市自来水</w:t>
      </w:r>
      <w:r>
        <w:rPr>
          <w:rFonts w:hint="eastAsia" w:ascii="仿宋_GB2312" w:hAnsi="仿宋_GB2312" w:eastAsia="仿宋_GB2312" w:cs="仿宋_GB2312"/>
          <w:color w:val="auto"/>
          <w:sz w:val="24"/>
          <w:szCs w:val="24"/>
          <w:highlight w:val="none"/>
          <w:lang w:eastAsia="zh-CN"/>
        </w:rPr>
        <w:t>有限</w:t>
      </w:r>
      <w:r>
        <w:rPr>
          <w:rFonts w:hint="eastAsia" w:ascii="仿宋_GB2312" w:hAnsi="仿宋_GB2312" w:eastAsia="仿宋_GB2312" w:cs="仿宋_GB2312"/>
          <w:color w:val="auto"/>
          <w:sz w:val="24"/>
          <w:szCs w:val="24"/>
          <w:highlight w:val="none"/>
        </w:rPr>
        <w:t xml:space="preserve">公司                                              </w:t>
      </w:r>
    </w:p>
    <w:p w14:paraId="78B1CFDF">
      <w:pPr>
        <w:spacing w:line="540" w:lineRule="exac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承包人（乙方）：</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0B4002A0">
      <w:pPr>
        <w:tabs>
          <w:tab w:val="left" w:pos="709"/>
        </w:tabs>
        <w:spacing w:line="54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为加强廉洁建设，防止主合同履约过程中发生各种谋取不正当利益的违法违纪行为，甲、乙双方经共同协商，在双方签订的</w:t>
      </w:r>
      <w:r>
        <w:rPr>
          <w:rFonts w:hint="eastAsia" w:ascii="仿宋_GB2312" w:hAnsi="仿宋_GB2312" w:eastAsia="仿宋_GB2312" w:cs="仿宋_GB2312"/>
          <w:color w:val="auto"/>
          <w:highlight w:val="none"/>
          <w:u w:val="single"/>
          <w:lang w:val="en-US" w:eastAsia="zh-CN"/>
        </w:rPr>
        <w:t>2025-2027年广州市自来水有限公司管网建设工程检测、监测服务</w:t>
      </w:r>
      <w:r>
        <w:rPr>
          <w:rFonts w:hint="eastAsia" w:ascii="仿宋_GB2312" w:hAnsi="仿宋_GB2312" w:eastAsia="仿宋_GB2312" w:cs="仿宋_GB2312"/>
          <w:color w:val="auto"/>
          <w:sz w:val="24"/>
          <w:szCs w:val="24"/>
          <w:highlight w:val="none"/>
        </w:rPr>
        <w:t>项目（以下简称“本项目”）合同（合同编号：</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，以下简称“主合同”）约定条款的基础上，根据国家有关法律法规和廉政建设的有关规定，特订立本廉洁责任书，以资共同遵守。</w:t>
      </w:r>
    </w:p>
    <w:p w14:paraId="69D315B3">
      <w:pPr>
        <w:spacing w:beforeLines="30" w:line="540" w:lineRule="exact"/>
        <w:ind w:firstLine="477" w:firstLineChars="19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一、双方的责任</w:t>
      </w:r>
    </w:p>
    <w:p w14:paraId="2FF0ED54">
      <w:pPr>
        <w:spacing w:line="540" w:lineRule="exact"/>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（一）严格遵守国家关于</w:t>
      </w:r>
      <w:r>
        <w:rPr>
          <w:rFonts w:hint="eastAsia" w:ascii="仿宋_GB2312" w:hAnsi="仿宋_GB2312" w:eastAsia="仿宋_GB2312" w:cs="仿宋_GB2312"/>
          <w:color w:val="auto"/>
          <w:sz w:val="24"/>
          <w:szCs w:val="24"/>
          <w:highlight w:val="none"/>
        </w:rPr>
        <w:sym w:font="Wingdings 2" w:char="0052"/>
      </w:r>
      <w:r>
        <w:rPr>
          <w:rFonts w:hint="eastAsia" w:ascii="仿宋_GB2312" w:hAnsi="仿宋_GB2312" w:eastAsia="仿宋_GB2312" w:cs="仿宋_GB2312"/>
          <w:color w:val="auto"/>
          <w:sz w:val="24"/>
          <w:szCs w:val="24"/>
          <w:highlight w:val="none"/>
          <w:u w:val="none"/>
        </w:rPr>
        <w:t>建设工程、☒物资采购、☒营运类服务</w:t>
      </w:r>
      <w:r>
        <w:rPr>
          <w:rFonts w:hint="eastAsia" w:ascii="仿宋_GB2312" w:hAnsi="仿宋_GB2312" w:eastAsia="仿宋_GB2312" w:cs="仿宋_GB2312"/>
          <w:color w:val="auto"/>
          <w:sz w:val="24"/>
          <w:szCs w:val="24"/>
          <w:highlight w:val="none"/>
        </w:rPr>
        <w:t>等有关法律法规、相关政策以及廉政建设的各项规定。</w:t>
      </w:r>
    </w:p>
    <w:p w14:paraId="29BA9D75">
      <w:pPr>
        <w:spacing w:line="540" w:lineRule="exact"/>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（二）严格执行主合同条款，自觉按合同办事。</w:t>
      </w:r>
    </w:p>
    <w:p w14:paraId="61AE7E9D">
      <w:pPr>
        <w:spacing w:line="540" w:lineRule="exact"/>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（三）业务活动必须坚持公开、公平、公正、诚信的原则，</w:t>
      </w:r>
      <w:r>
        <w:rPr>
          <w:rFonts w:hint="eastAsia" w:ascii="仿宋_GB2312" w:hAnsi="仿宋_GB2312" w:eastAsia="仿宋_GB2312" w:cs="仿宋_GB2312"/>
          <w:color w:val="auto"/>
          <w:sz w:val="24"/>
          <w:szCs w:val="24"/>
          <w:highlight w:val="none"/>
          <w:lang w:val="en-US" w:eastAsia="zh-CN"/>
        </w:rPr>
        <w:t>不得</w:t>
      </w:r>
      <w:r>
        <w:rPr>
          <w:rFonts w:hint="eastAsia" w:ascii="仿宋_GB2312" w:hAnsi="仿宋_GB2312" w:eastAsia="仿宋_GB2312" w:cs="仿宋_GB2312"/>
          <w:color w:val="auto"/>
          <w:sz w:val="24"/>
          <w:szCs w:val="24"/>
          <w:highlight w:val="none"/>
        </w:rPr>
        <w:t>损害国家、集体和对方利益，不得违反</w:t>
      </w:r>
      <w:r>
        <w:rPr>
          <w:rFonts w:hint="eastAsia" w:ascii="仿宋_GB2312" w:hAnsi="仿宋_GB2312" w:eastAsia="仿宋_GB2312" w:cs="仿宋_GB2312"/>
          <w:color w:val="auto"/>
          <w:sz w:val="24"/>
          <w:szCs w:val="24"/>
          <w:highlight w:val="none"/>
        </w:rPr>
        <w:sym w:font="Wingdings 2" w:char="0052"/>
      </w:r>
      <w:r>
        <w:rPr>
          <w:rFonts w:hint="eastAsia" w:ascii="仿宋_GB2312" w:hAnsi="仿宋_GB2312" w:eastAsia="仿宋_GB2312" w:cs="仿宋_GB2312"/>
          <w:color w:val="auto"/>
          <w:sz w:val="24"/>
          <w:szCs w:val="24"/>
          <w:highlight w:val="none"/>
          <w:u w:val="none"/>
        </w:rPr>
        <w:t>建设工程、☒物资采购、☒营运类服务</w:t>
      </w:r>
      <w:r>
        <w:rPr>
          <w:rFonts w:hint="eastAsia" w:ascii="仿宋_GB2312" w:hAnsi="仿宋_GB2312" w:eastAsia="仿宋_GB2312" w:cs="仿宋_GB2312"/>
          <w:color w:val="auto"/>
          <w:sz w:val="24"/>
          <w:szCs w:val="24"/>
          <w:highlight w:val="none"/>
        </w:rPr>
        <w:t>管理的规章制度。</w:t>
      </w:r>
    </w:p>
    <w:p w14:paraId="443E45D2">
      <w:pPr>
        <w:tabs>
          <w:tab w:val="left" w:pos="709"/>
        </w:tabs>
        <w:spacing w:line="540" w:lineRule="exact"/>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（四）在业务活动中任何一方如发现单位或人员有违规、违纪、违法行为的，均有义务向其上级主管部门或纪检监察、司法等机关举报。</w:t>
      </w:r>
    </w:p>
    <w:p w14:paraId="1667C081">
      <w:pPr>
        <w:tabs>
          <w:tab w:val="left" w:pos="709"/>
        </w:tabs>
        <w:spacing w:line="540" w:lineRule="exact"/>
        <w:ind w:firstLine="352" w:firstLineChars="147"/>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五）</w:t>
      </w:r>
      <w:r>
        <w:rPr>
          <w:rFonts w:hint="eastAsia" w:ascii="仿宋_GB2312" w:hAnsi="仿宋_GB2312" w:eastAsia="仿宋_GB2312" w:cs="仿宋_GB2312"/>
          <w:b w:val="0"/>
          <w:bCs w:val="0"/>
          <w:color w:val="auto"/>
          <w:sz w:val="24"/>
          <w:szCs w:val="24"/>
          <w:highlight w:val="none"/>
        </w:rPr>
        <w:t>建立健全廉洁从业制度，开展</w:t>
      </w:r>
      <w:r>
        <w:rPr>
          <w:rFonts w:hint="eastAsia" w:ascii="仿宋_GB2312" w:hAnsi="仿宋_GB2312" w:eastAsia="仿宋_GB2312" w:cs="仿宋_GB2312"/>
          <w:b w:val="0"/>
          <w:bCs w:val="0"/>
          <w:color w:val="auto"/>
          <w:sz w:val="24"/>
          <w:szCs w:val="24"/>
          <w:highlight w:val="none"/>
          <w:lang w:val="en-US" w:eastAsia="zh-CN"/>
        </w:rPr>
        <w:t>项目人员</w:t>
      </w:r>
      <w:r>
        <w:rPr>
          <w:rFonts w:hint="eastAsia" w:ascii="仿宋_GB2312" w:hAnsi="仿宋_GB2312" w:eastAsia="仿宋_GB2312" w:cs="仿宋_GB2312"/>
          <w:b w:val="0"/>
          <w:bCs w:val="0"/>
          <w:color w:val="auto"/>
          <w:sz w:val="24"/>
          <w:szCs w:val="24"/>
          <w:highlight w:val="none"/>
        </w:rPr>
        <w:t>廉洁教育，公布</w:t>
      </w:r>
      <w:r>
        <w:rPr>
          <w:rFonts w:hint="eastAsia" w:ascii="仿宋_GB2312" w:hAnsi="仿宋_GB2312" w:eastAsia="仿宋_GB2312" w:cs="仿宋_GB2312"/>
          <w:b w:val="0"/>
          <w:bCs w:val="0"/>
          <w:color w:val="auto"/>
          <w:sz w:val="24"/>
          <w:szCs w:val="24"/>
          <w:highlight w:val="none"/>
          <w:lang w:val="en-US" w:eastAsia="zh-CN"/>
        </w:rPr>
        <w:t>监督</w:t>
      </w:r>
      <w:r>
        <w:rPr>
          <w:rFonts w:hint="eastAsia" w:ascii="仿宋_GB2312" w:hAnsi="仿宋_GB2312" w:eastAsia="仿宋_GB2312" w:cs="仿宋_GB2312"/>
          <w:b w:val="0"/>
          <w:bCs w:val="0"/>
          <w:color w:val="auto"/>
          <w:sz w:val="24"/>
          <w:szCs w:val="24"/>
          <w:highlight w:val="none"/>
        </w:rPr>
        <w:t>举报电话，</w:t>
      </w:r>
      <w:r>
        <w:rPr>
          <w:rFonts w:hint="eastAsia" w:ascii="仿宋_GB2312" w:hAnsi="仿宋_GB2312" w:eastAsia="仿宋_GB2312" w:cs="仿宋_GB2312"/>
          <w:b w:val="0"/>
          <w:bCs w:val="0"/>
          <w:color w:val="auto"/>
          <w:sz w:val="24"/>
          <w:szCs w:val="24"/>
          <w:highlight w:val="none"/>
          <w:lang w:val="en-US" w:eastAsia="zh-CN"/>
        </w:rPr>
        <w:t>接受群众监督</w:t>
      </w:r>
      <w:r>
        <w:rPr>
          <w:rFonts w:hint="eastAsia" w:ascii="仿宋_GB2312" w:hAnsi="仿宋_GB2312" w:eastAsia="仿宋_GB2312" w:cs="仿宋_GB2312"/>
          <w:b w:val="0"/>
          <w:bCs w:val="0"/>
          <w:color w:val="auto"/>
          <w:sz w:val="24"/>
          <w:szCs w:val="24"/>
          <w:highlight w:val="none"/>
        </w:rPr>
        <w:t>。</w:t>
      </w:r>
    </w:p>
    <w:p w14:paraId="27991BED">
      <w:pPr>
        <w:spacing w:beforeLines="30" w:line="540" w:lineRule="exact"/>
        <w:ind w:firstLine="477" w:firstLineChars="19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二、甲方责任 </w:t>
      </w:r>
    </w:p>
    <w:p w14:paraId="5E06294C">
      <w:pPr>
        <w:spacing w:line="540" w:lineRule="exact"/>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（一）甲方须向乙方介绍本单位有关廉政建设的各项制度和规定，并有权监督乙方履行主合同的廉洁情况。</w:t>
      </w:r>
    </w:p>
    <w:p w14:paraId="4F4B1221">
      <w:pPr>
        <w:spacing w:line="540" w:lineRule="exact"/>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（二）甲方须对本单位</w:t>
      </w:r>
      <w:r>
        <w:rPr>
          <w:rFonts w:hint="eastAsia" w:ascii="仿宋_GB2312" w:hAnsi="仿宋_GB2312" w:eastAsia="仿宋_GB2312" w:cs="仿宋_GB2312"/>
          <w:color w:val="auto"/>
          <w:sz w:val="24"/>
          <w:szCs w:val="24"/>
          <w:highlight w:val="none"/>
          <w:lang w:val="en-US" w:eastAsia="zh-CN"/>
        </w:rPr>
        <w:t>项目相关</w:t>
      </w:r>
      <w:r>
        <w:rPr>
          <w:rFonts w:hint="eastAsia" w:ascii="仿宋_GB2312" w:hAnsi="仿宋_GB2312" w:eastAsia="仿宋_GB2312" w:cs="仿宋_GB2312"/>
          <w:color w:val="auto"/>
          <w:sz w:val="24"/>
          <w:szCs w:val="24"/>
          <w:highlight w:val="none"/>
        </w:rPr>
        <w:t>人员开展廉洁</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"http://www.jianshe99.com/web/wangxiao/" \t "_blank" \o "教育"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教育</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t>,督促本单位从业人员遵守以下规定：</w:t>
      </w:r>
    </w:p>
    <w:p w14:paraId="484D8845">
      <w:pPr>
        <w:spacing w:line="5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1.不得利用职务之便向乙方索要或接受回扣、礼金、有价证券、贵重物品</w:t>
      </w:r>
      <w:r>
        <w:rPr>
          <w:rFonts w:hint="eastAsia" w:ascii="仿宋_GB2312" w:hAnsi="仿宋_GB2312" w:eastAsia="仿宋_GB2312" w:cs="仿宋_GB2312"/>
          <w:color w:val="auto"/>
          <w:sz w:val="24"/>
          <w:szCs w:val="24"/>
          <w:highlight w:val="none"/>
          <w:lang w:eastAsia="zh-CN"/>
        </w:rPr>
        <w:t>、手续费、加班费、咨询费、劳务费、协调费、辛苦费</w:t>
      </w:r>
      <w:r>
        <w:rPr>
          <w:rFonts w:hint="eastAsia" w:ascii="仿宋_GB2312" w:hAnsi="仿宋_GB2312" w:eastAsia="仿宋_GB2312" w:cs="仿宋_GB2312"/>
          <w:color w:val="auto"/>
          <w:sz w:val="24"/>
          <w:szCs w:val="24"/>
          <w:highlight w:val="none"/>
        </w:rPr>
        <w:t>等各种名义给予或赠送的钱物，难以拒收的，必须登记上交。</w:t>
      </w:r>
    </w:p>
    <w:p w14:paraId="26061A70">
      <w:pPr>
        <w:spacing w:line="5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2.不得要求乙方报销任何应由甲方或其工作人员支付的费用。</w:t>
      </w:r>
    </w:p>
    <w:p w14:paraId="2518915F">
      <w:pPr>
        <w:spacing w:line="5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3.不得要求、暗示或接受乙方为甲方工作人员的住房装修、婚丧嫁娶、配偶子女工作安排以及出国（境）、旅游等事项提供方便。</w:t>
      </w:r>
    </w:p>
    <w:p w14:paraId="4FF22B49">
      <w:pPr>
        <w:spacing w:line="5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4.不得参加有可能影响公正履行岗位职责</w:t>
      </w:r>
      <w:r>
        <w:rPr>
          <w:rFonts w:hint="eastAsia" w:ascii="仿宋_GB2312" w:hAnsi="仿宋_GB2312" w:eastAsia="仿宋_GB2312" w:cs="仿宋_GB2312"/>
          <w:color w:val="auto"/>
          <w:sz w:val="24"/>
          <w:szCs w:val="24"/>
          <w:highlight w:val="none"/>
          <w:lang w:val="en-US" w:eastAsia="zh-CN"/>
        </w:rPr>
        <w:t>或相关业务公平公正开展的</w:t>
      </w:r>
      <w:r>
        <w:rPr>
          <w:rFonts w:hint="eastAsia" w:ascii="仿宋_GB2312" w:hAnsi="仿宋_GB2312" w:eastAsia="仿宋_GB2312" w:cs="仿宋_GB2312"/>
          <w:color w:val="auto"/>
          <w:sz w:val="24"/>
          <w:szCs w:val="24"/>
          <w:highlight w:val="none"/>
        </w:rPr>
        <w:t>乙方安排的宴请、健身、娱乐等活动。</w:t>
      </w:r>
    </w:p>
    <w:p w14:paraId="51BE1F6C">
      <w:pPr>
        <w:spacing w:line="5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5.不得向乙方推荐与主合同有关的劳务分包单位。</w:t>
      </w:r>
    </w:p>
    <w:p w14:paraId="1D004FE4">
      <w:pPr>
        <w:spacing w:line="5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6.不得向乙方推荐甲方工作人员的配偶、子女、亲属参与</w:t>
      </w:r>
      <w:r>
        <w:rPr>
          <w:rFonts w:hint="eastAsia" w:ascii="仿宋_GB2312" w:hAnsi="仿宋_GB2312" w:eastAsia="仿宋_GB2312" w:cs="仿宋_GB2312"/>
          <w:color w:val="auto"/>
          <w:sz w:val="24"/>
          <w:szCs w:val="24"/>
          <w:highlight w:val="none"/>
          <w:lang w:val="en-US" w:eastAsia="zh-CN"/>
        </w:rPr>
        <w:t>双方</w:t>
      </w:r>
      <w:r>
        <w:rPr>
          <w:rFonts w:hint="eastAsia" w:ascii="仿宋_GB2312" w:hAnsi="仿宋_GB2312" w:eastAsia="仿宋_GB2312" w:cs="仿宋_GB2312"/>
          <w:color w:val="auto"/>
          <w:sz w:val="24"/>
          <w:szCs w:val="24"/>
          <w:highlight w:val="none"/>
        </w:rPr>
        <w:t>合同</w:t>
      </w:r>
      <w:r>
        <w:rPr>
          <w:rFonts w:hint="eastAsia" w:ascii="仿宋_GB2312" w:hAnsi="仿宋_GB2312" w:eastAsia="仿宋_GB2312" w:cs="仿宋_GB2312"/>
          <w:color w:val="auto"/>
          <w:sz w:val="24"/>
          <w:szCs w:val="24"/>
          <w:highlight w:val="none"/>
          <w:lang w:val="en-US" w:eastAsia="zh-CN"/>
        </w:rPr>
        <w:t>履行有关</w:t>
      </w:r>
      <w:r>
        <w:rPr>
          <w:rFonts w:hint="eastAsia" w:ascii="仿宋_GB2312" w:hAnsi="仿宋_GB2312" w:eastAsia="仿宋_GB2312" w:cs="仿宋_GB2312"/>
          <w:color w:val="auto"/>
          <w:sz w:val="24"/>
          <w:szCs w:val="24"/>
          <w:highlight w:val="none"/>
        </w:rPr>
        <w:t>的经济活动。</w:t>
      </w:r>
    </w:p>
    <w:p w14:paraId="28BA5FF2">
      <w:pPr>
        <w:spacing w:line="5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7.不得参与任何形式的赌博，并通过赌博方式收受乙方财物；不得接受乙方提供的通讯工具、交通工具（合同约定除外）和高档办公用品等。</w:t>
      </w:r>
    </w:p>
    <w:p w14:paraId="09C60400">
      <w:pPr>
        <w:spacing w:line="5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不得有其他可能影响公正履行岗位职责的行为</w:t>
      </w:r>
      <w:r>
        <w:rPr>
          <w:rFonts w:hint="eastAsia" w:ascii="仿宋_GB2312" w:hAnsi="仿宋_GB2312" w:eastAsia="仿宋_GB2312" w:cs="仿宋_GB2312"/>
          <w:color w:val="auto"/>
          <w:sz w:val="24"/>
          <w:szCs w:val="24"/>
          <w:highlight w:val="none"/>
          <w:lang w:val="en-US" w:eastAsia="zh-CN"/>
        </w:rPr>
        <w:t>或其他违反廉洁的规定</w:t>
      </w:r>
      <w:r>
        <w:rPr>
          <w:rFonts w:hint="eastAsia" w:ascii="仿宋_GB2312" w:hAnsi="仿宋_GB2312" w:eastAsia="仿宋_GB2312" w:cs="仿宋_GB2312"/>
          <w:color w:val="auto"/>
          <w:sz w:val="24"/>
          <w:szCs w:val="24"/>
          <w:highlight w:val="none"/>
        </w:rPr>
        <w:t>。</w:t>
      </w:r>
    </w:p>
    <w:p w14:paraId="5E894664">
      <w:pPr>
        <w:spacing w:beforeLines="30" w:line="540" w:lineRule="exact"/>
        <w:ind w:firstLine="477" w:firstLineChars="19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三、乙方责任</w:t>
      </w:r>
    </w:p>
    <w:p w14:paraId="31B5A2CB">
      <w:pPr>
        <w:spacing w:line="540" w:lineRule="exact"/>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（一）乙方应了解并</w:t>
      </w:r>
      <w:r>
        <w:rPr>
          <w:rFonts w:hint="eastAsia" w:ascii="仿宋_GB2312" w:hAnsi="仿宋_GB2312" w:eastAsia="仿宋_GB2312" w:cs="仿宋_GB2312"/>
          <w:color w:val="auto"/>
          <w:sz w:val="24"/>
          <w:szCs w:val="24"/>
          <w:highlight w:val="none"/>
          <w:lang w:val="en-US" w:eastAsia="zh-CN"/>
        </w:rPr>
        <w:t>配合</w:t>
      </w:r>
      <w:r>
        <w:rPr>
          <w:rFonts w:hint="eastAsia" w:ascii="仿宋_GB2312" w:hAnsi="仿宋_GB2312" w:eastAsia="仿宋_GB2312" w:cs="仿宋_GB2312"/>
          <w:color w:val="auto"/>
          <w:sz w:val="24"/>
          <w:szCs w:val="24"/>
          <w:highlight w:val="none"/>
        </w:rPr>
        <w:t>执行甲方有关廉</w:t>
      </w:r>
      <w:r>
        <w:rPr>
          <w:rFonts w:hint="eastAsia" w:ascii="仿宋_GB2312" w:hAnsi="仿宋_GB2312" w:eastAsia="仿宋_GB2312" w:cs="仿宋_GB2312"/>
          <w:color w:val="auto"/>
          <w:sz w:val="24"/>
          <w:szCs w:val="24"/>
          <w:highlight w:val="none"/>
          <w:lang w:val="en-US" w:eastAsia="zh-CN"/>
        </w:rPr>
        <w:t>洁</w:t>
      </w:r>
      <w:r>
        <w:rPr>
          <w:rFonts w:hint="eastAsia" w:ascii="仿宋_GB2312" w:hAnsi="仿宋_GB2312" w:eastAsia="仿宋_GB2312" w:cs="仿宋_GB2312"/>
          <w:color w:val="auto"/>
          <w:sz w:val="24"/>
          <w:szCs w:val="24"/>
          <w:highlight w:val="none"/>
        </w:rPr>
        <w:t>建设的各项制度和规定。</w:t>
      </w:r>
    </w:p>
    <w:p w14:paraId="77C4B8AD">
      <w:pPr>
        <w:spacing w:line="540" w:lineRule="exact"/>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（二）乙方应对本单位工作人员开展廉洁教育（包括甲方制定的有关廉</w:t>
      </w:r>
      <w:r>
        <w:rPr>
          <w:rFonts w:hint="eastAsia" w:ascii="仿宋_GB2312" w:hAnsi="仿宋_GB2312" w:eastAsia="仿宋_GB2312" w:cs="仿宋_GB2312"/>
          <w:color w:val="auto"/>
          <w:sz w:val="24"/>
          <w:szCs w:val="24"/>
          <w:highlight w:val="none"/>
          <w:lang w:val="en-US" w:eastAsia="zh-CN"/>
        </w:rPr>
        <w:t>洁</w:t>
      </w:r>
      <w:r>
        <w:rPr>
          <w:rFonts w:hint="eastAsia" w:ascii="仿宋_GB2312" w:hAnsi="仿宋_GB2312" w:eastAsia="仿宋_GB2312" w:cs="仿宋_GB2312"/>
          <w:color w:val="auto"/>
          <w:sz w:val="24"/>
          <w:szCs w:val="24"/>
          <w:highlight w:val="none"/>
        </w:rPr>
        <w:t>建设方面的各项制度和规定），按时出席甲方召集的有关会议。</w:t>
      </w:r>
    </w:p>
    <w:p w14:paraId="7C65FB29">
      <w:pPr>
        <w:spacing w:line="540" w:lineRule="exact"/>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（三）乙方应与甲方保持正常的业务交往，按照有关法律法规和程序开展业务工作，严格执行有关政策规定，并遵守以下规定：</w:t>
      </w:r>
    </w:p>
    <w:p w14:paraId="668DC0C9">
      <w:pPr>
        <w:spacing w:line="5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1.不得向甲方及其工作人员</w:t>
      </w:r>
      <w:r>
        <w:rPr>
          <w:rFonts w:hint="eastAsia" w:ascii="仿宋_GB2312" w:hAnsi="仿宋_GB2312" w:eastAsia="仿宋_GB2312" w:cs="仿宋_GB2312"/>
          <w:color w:val="auto"/>
          <w:sz w:val="24"/>
          <w:szCs w:val="24"/>
          <w:highlight w:val="none"/>
          <w:lang w:val="en-US" w:eastAsia="zh-CN"/>
        </w:rPr>
        <w:t>以</w:t>
      </w:r>
      <w:r>
        <w:rPr>
          <w:rFonts w:hint="eastAsia" w:ascii="仿宋_GB2312" w:hAnsi="仿宋_GB2312" w:eastAsia="仿宋_GB2312" w:cs="仿宋_GB2312"/>
          <w:color w:val="auto"/>
          <w:sz w:val="24"/>
          <w:szCs w:val="24"/>
          <w:highlight w:val="none"/>
        </w:rPr>
        <w:t>赠送回扣、礼金、有价证券、贵重物品</w:t>
      </w:r>
      <w:r>
        <w:rPr>
          <w:rFonts w:hint="eastAsia" w:ascii="仿宋_GB2312" w:hAnsi="仿宋_GB2312" w:eastAsia="仿宋_GB2312" w:cs="仿宋_GB2312"/>
          <w:color w:val="auto"/>
          <w:sz w:val="24"/>
          <w:szCs w:val="24"/>
          <w:highlight w:val="none"/>
          <w:lang w:eastAsia="zh-CN"/>
        </w:rPr>
        <w:t>、手续费、加班费、咨询费、劳务费、协调费、辛苦费</w:t>
      </w:r>
      <w:r>
        <w:rPr>
          <w:rFonts w:hint="eastAsia" w:ascii="仿宋_GB2312" w:hAnsi="仿宋_GB2312" w:eastAsia="仿宋_GB2312" w:cs="仿宋_GB2312"/>
          <w:color w:val="auto"/>
          <w:sz w:val="24"/>
          <w:szCs w:val="24"/>
          <w:highlight w:val="none"/>
        </w:rPr>
        <w:t>等各种名义给予或赠送的钱物。</w:t>
      </w:r>
    </w:p>
    <w:p w14:paraId="3ABCBCDE">
      <w:pPr>
        <w:spacing w:line="5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2.不得为甲方报销应由甲方或其工作人员支付的费用。</w:t>
      </w:r>
    </w:p>
    <w:p w14:paraId="1D0C889B">
      <w:pPr>
        <w:spacing w:line="5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3.不得接受为甲方工作人员的住房装修、婚丧嫁娶、配偶子女工作安排以及出国（境）、旅游等事项提供便</w:t>
      </w:r>
      <w:r>
        <w:rPr>
          <w:rFonts w:hint="eastAsia" w:ascii="仿宋_GB2312" w:hAnsi="仿宋_GB2312" w:eastAsia="仿宋_GB2312" w:cs="仿宋_GB2312"/>
          <w:color w:val="auto"/>
          <w:sz w:val="24"/>
          <w:szCs w:val="24"/>
          <w:highlight w:val="none"/>
          <w:lang w:val="en-US" w:eastAsia="zh-CN"/>
        </w:rPr>
        <w:t>利</w:t>
      </w:r>
      <w:r>
        <w:rPr>
          <w:rFonts w:hint="eastAsia" w:ascii="仿宋_GB2312" w:hAnsi="仿宋_GB2312" w:eastAsia="仿宋_GB2312" w:cs="仿宋_GB2312"/>
          <w:color w:val="auto"/>
          <w:sz w:val="24"/>
          <w:szCs w:val="24"/>
          <w:highlight w:val="none"/>
        </w:rPr>
        <w:t>。</w:t>
      </w:r>
    </w:p>
    <w:p w14:paraId="266A1AA9">
      <w:pPr>
        <w:spacing w:line="5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4.不得为甲方及其工作人员安排、组织有可能影响公正履行岗位职责的宴请、健身、娱乐等活动。</w:t>
      </w:r>
    </w:p>
    <w:p w14:paraId="2512CB42">
      <w:pPr>
        <w:spacing w:line="5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5.不得接受甲方推荐的与主合同有关的劳务分包单位。</w:t>
      </w:r>
    </w:p>
    <w:p w14:paraId="7ADD195D">
      <w:pPr>
        <w:spacing w:line="5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6.不得接受甲方工作人员推荐其配偶、子女、亲属参与主合同的设备材料、劳务分包等经济活动。</w:t>
      </w:r>
    </w:p>
    <w:p w14:paraId="2DADB1B5">
      <w:pPr>
        <w:spacing w:line="5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7.乙方不得为甲方单位和个人购置或提供通讯工具和高档办公用品等物品，也不得为甲方提供与工作无关的房屋、汽车等。</w:t>
      </w:r>
    </w:p>
    <w:p w14:paraId="230AB48A">
      <w:pPr>
        <w:spacing w:line="54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乙方不得擅自与甲方工作人员就主合同中的质量、数量、价格、工程量、验收等条款进行私下商谈或者达成默契。</w:t>
      </w:r>
    </w:p>
    <w:p w14:paraId="67D02081">
      <w:pPr>
        <w:spacing w:line="54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乙方不得向甲方工作人员提供干股或红利。</w:t>
      </w:r>
    </w:p>
    <w:p w14:paraId="701B3CF5">
      <w:pPr>
        <w:spacing w:line="5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不得有其他可能影响甲方工作人员公正履行岗位职责的行为</w:t>
      </w:r>
      <w:r>
        <w:rPr>
          <w:rFonts w:hint="eastAsia" w:ascii="仿宋_GB2312" w:hAnsi="仿宋_GB2312" w:eastAsia="仿宋_GB2312" w:cs="仿宋_GB2312"/>
          <w:color w:val="auto"/>
          <w:sz w:val="24"/>
          <w:szCs w:val="24"/>
          <w:highlight w:val="none"/>
          <w:lang w:val="en-US" w:eastAsia="zh-CN"/>
        </w:rPr>
        <w:t>或其他违反廉洁规定</w:t>
      </w:r>
      <w:r>
        <w:rPr>
          <w:rFonts w:hint="eastAsia" w:ascii="仿宋_GB2312" w:hAnsi="仿宋_GB2312" w:eastAsia="仿宋_GB2312" w:cs="仿宋_GB2312"/>
          <w:color w:val="auto"/>
          <w:sz w:val="24"/>
          <w:szCs w:val="24"/>
          <w:highlight w:val="none"/>
        </w:rPr>
        <w:t>。</w:t>
      </w:r>
    </w:p>
    <w:p w14:paraId="1180CD76">
      <w:pPr>
        <w:spacing w:beforeLines="30" w:line="540" w:lineRule="exact"/>
        <w:ind w:firstLine="477" w:firstLineChars="19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四、违约责任及处理</w:t>
      </w:r>
    </w:p>
    <w:p w14:paraId="046D78BA">
      <w:pPr>
        <w:spacing w:line="540" w:lineRule="exact"/>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（一）甲方工作人员有违反本责任书“一”“二”款约定的，视情节轻重，依据有关法律法规和甲方相关制度规定给予组织处理、党纪政纪处分；涉嫌犯罪的，移交司法机关追究刑事责任</w:t>
      </w:r>
      <w:r>
        <w:rPr>
          <w:rFonts w:hint="eastAsia" w:ascii="仿宋_GB2312" w:hAnsi="仿宋_GB2312" w:eastAsia="仿宋_GB2312" w:cs="仿宋_GB2312"/>
          <w:color w:val="auto"/>
          <w:sz w:val="24"/>
          <w:szCs w:val="24"/>
          <w:highlight w:val="none"/>
          <w:lang w:eastAsia="zh-CN"/>
        </w:rPr>
        <w:t>。</w:t>
      </w:r>
    </w:p>
    <w:p w14:paraId="19A2CAD8">
      <w:pPr>
        <w:adjustRightInd w:val="0"/>
        <w:snapToGrid w:val="0"/>
        <w:spacing w:line="560" w:lineRule="exact"/>
        <w:ind w:firstLine="420" w:firstLineChars="175"/>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甲方举报投诉联系部门：</w:t>
      </w:r>
      <w:r>
        <w:rPr>
          <w:rFonts w:hint="eastAsia" w:ascii="仿宋_GB2312" w:hAnsi="仿宋_GB2312" w:eastAsia="仿宋_GB2312" w:cs="仿宋_GB2312"/>
          <w:color w:val="auto"/>
          <w:sz w:val="24"/>
          <w:szCs w:val="24"/>
          <w:highlight w:val="none"/>
          <w:lang w:val="en-US" w:eastAsia="zh-CN"/>
        </w:rPr>
        <w:t>广州市自来水</w:t>
      </w:r>
      <w:r>
        <w:rPr>
          <w:rFonts w:hint="eastAsia" w:ascii="仿宋_GB2312" w:hAnsi="仿宋_GB2312" w:eastAsia="仿宋_GB2312" w:cs="仿宋_GB2312"/>
          <w:color w:val="auto"/>
          <w:sz w:val="24"/>
          <w:szCs w:val="24"/>
          <w:highlight w:val="none"/>
        </w:rPr>
        <w:t>有限公司纪检室，联系电话：</w:t>
      </w:r>
      <w:r>
        <w:rPr>
          <w:rFonts w:hint="eastAsia" w:ascii="仿宋_GB2312" w:hAnsi="仿宋_GB2312" w:eastAsia="仿宋_GB2312" w:cs="仿宋_GB2312"/>
          <w:color w:val="auto"/>
          <w:sz w:val="24"/>
          <w:szCs w:val="24"/>
          <w:highlight w:val="none"/>
          <w:u w:val="single"/>
          <w:lang w:val="en-US" w:eastAsia="zh-CN"/>
        </w:rPr>
        <w:t>020-87159082</w:t>
      </w:r>
      <w:r>
        <w:rPr>
          <w:rFonts w:hint="eastAsia" w:ascii="仿宋_GB2312" w:hAnsi="仿宋_GB2312" w:eastAsia="仿宋_GB2312" w:cs="仿宋_GB2312"/>
          <w:color w:val="auto"/>
          <w:sz w:val="24"/>
          <w:szCs w:val="24"/>
          <w:highlight w:val="none"/>
          <w:lang w:val="en-US" w:eastAsia="zh-CN"/>
        </w:rPr>
        <w:t>，电子邮箱：</w:t>
      </w:r>
      <w:r>
        <w:rPr>
          <w:rFonts w:hint="eastAsia" w:ascii="仿宋_GB2312" w:hAnsi="仿宋_GB2312" w:eastAsia="仿宋_GB2312" w:cs="仿宋_GB2312"/>
          <w:color w:val="auto"/>
          <w:sz w:val="24"/>
          <w:szCs w:val="24"/>
          <w:highlight w:val="none"/>
          <w:u w:val="single"/>
        </w:rPr>
        <w:t>jjs@gzwatersupply.com</w:t>
      </w:r>
      <w:r>
        <w:rPr>
          <w:rFonts w:hint="eastAsia" w:ascii="仿宋_GB2312" w:hAnsi="仿宋_GB2312" w:eastAsia="仿宋_GB2312" w:cs="仿宋_GB2312"/>
          <w:color w:val="auto"/>
          <w:sz w:val="24"/>
          <w:szCs w:val="24"/>
          <w:highlight w:val="none"/>
          <w:lang w:val="en-US" w:eastAsia="zh-CN"/>
        </w:rPr>
        <w:t>。</w:t>
      </w:r>
    </w:p>
    <w:p w14:paraId="7286CC45">
      <w:pPr>
        <w:numPr>
          <w:ilvl w:val="0"/>
          <w:numId w:val="1"/>
        </w:numPr>
        <w:adjustRightInd w:val="0"/>
        <w:snapToGrid w:val="0"/>
        <w:spacing w:line="560" w:lineRule="exact"/>
        <w:ind w:firstLine="420" w:firstLineChars="17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乙方工作人员有违反本责任书“一”、“三”款约定的，甲方均有权根据具体情节和造成的后果，对乙方采取以下处理方式：</w:t>
      </w:r>
    </w:p>
    <w:p w14:paraId="4CD2C3EB">
      <w:pPr>
        <w:numPr>
          <w:ilvl w:val="0"/>
          <w:numId w:val="0"/>
        </w:numPr>
        <w:adjustRightInd w:val="0"/>
        <w:snapToGrid w:val="0"/>
        <w:spacing w:line="560" w:lineRule="exact"/>
        <w:ind w:firstLine="420" w:firstLineChars="17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扣除主合同的全部履约保证金</w:t>
      </w:r>
      <w:r>
        <w:rPr>
          <w:rFonts w:hint="eastAsia" w:ascii="仿宋_GB2312" w:hAnsi="仿宋_GB2312" w:eastAsia="仿宋_GB2312" w:cs="仿宋_GB2312"/>
          <w:color w:val="auto"/>
          <w:sz w:val="24"/>
          <w:szCs w:val="24"/>
          <w:highlight w:val="none"/>
          <w:lang w:eastAsia="zh-CN"/>
        </w:rPr>
        <w:t>。</w:t>
      </w:r>
    </w:p>
    <w:p w14:paraId="1ED9432C">
      <w:pPr>
        <w:numPr>
          <w:ilvl w:val="0"/>
          <w:numId w:val="0"/>
        </w:numPr>
        <w:adjustRightInd w:val="0"/>
        <w:snapToGrid w:val="0"/>
        <w:spacing w:line="560" w:lineRule="exact"/>
        <w:ind w:firstLine="420" w:firstLineChars="17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2.对违纪违法相关责任人依规依法进行处理和更换，并取消乙方单位服务资格。</w:t>
      </w:r>
    </w:p>
    <w:p w14:paraId="055B5EEE">
      <w:pPr>
        <w:numPr>
          <w:ilvl w:val="0"/>
          <w:numId w:val="0"/>
        </w:numPr>
        <w:adjustRightInd w:val="0"/>
        <w:snapToGrid w:val="0"/>
        <w:spacing w:line="560" w:lineRule="exact"/>
        <w:ind w:firstLine="420" w:firstLineChars="175"/>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追究乙方其他违约责任和损失赔偿。</w:t>
      </w:r>
    </w:p>
    <w:p w14:paraId="733A5E29">
      <w:pPr>
        <w:numPr>
          <w:ilvl w:val="0"/>
          <w:numId w:val="0"/>
        </w:numPr>
        <w:adjustRightInd w:val="0"/>
        <w:snapToGrid w:val="0"/>
        <w:spacing w:line="560" w:lineRule="exact"/>
        <w:ind w:firstLine="420" w:firstLineChars="17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trike w:val="0"/>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甲方有权向乙方单位上级纪检监察部门、有关行政管理部门等提出对乙方相关责任人进行责任追究和处罚；涉嫌犯罪的，移送司法机关追究刑事责任。</w:t>
      </w:r>
    </w:p>
    <w:p w14:paraId="6E31D198">
      <w:pPr>
        <w:numPr>
          <w:ilvl w:val="0"/>
          <w:numId w:val="0"/>
        </w:numPr>
        <w:adjustRightInd w:val="0"/>
        <w:snapToGrid w:val="0"/>
        <w:spacing w:line="560" w:lineRule="exact"/>
        <w:ind w:firstLine="420" w:firstLineChars="175"/>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5.针对典型案例，形成廉洁问题专报，视情节严重程度上报上级管理部门，或在甲乙双方单位进行情况通报。</w:t>
      </w:r>
    </w:p>
    <w:p w14:paraId="4488584C">
      <w:pPr>
        <w:tabs>
          <w:tab w:val="left" w:pos="709"/>
        </w:tabs>
        <w:spacing w:line="540" w:lineRule="exact"/>
        <w:ind w:firstLine="592" w:firstLineChars="247"/>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sym w:font="Wingdings 2" w:char="0052"/>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b/>
          <w:bCs/>
          <w:color w:val="auto"/>
          <w:sz w:val="24"/>
          <w:szCs w:val="24"/>
          <w:highlight w:val="none"/>
        </w:rPr>
        <w:t>工程建设项目选择此项</w:t>
      </w:r>
    </w:p>
    <w:p w14:paraId="0D2C8944">
      <w:pPr>
        <w:tabs>
          <w:tab w:val="left" w:pos="709"/>
        </w:tabs>
        <w:spacing w:line="540" w:lineRule="exact"/>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乙方应严格执行有关勘察设计、建筑施工安装的强制性标准和规范，以及监理法规，根据广州市及甲方关于水务工程勘察设计、施工和监理企业诚信评价的有关规定，如乙方存在被纪检监察部门认定有行贿行为、被法院判决犯有行贿罪记录等违反廉政规定的，甲方书面提请水务行政主管部门处理。</w:t>
      </w:r>
    </w:p>
    <w:p w14:paraId="026C87FB">
      <w:pPr>
        <w:tabs>
          <w:tab w:val="left" w:pos="7513"/>
        </w:tabs>
        <w:spacing w:beforeLines="30" w:line="540" w:lineRule="exact"/>
        <w:ind w:firstLine="477" w:firstLineChars="19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五、责任书有效期</w:t>
      </w:r>
    </w:p>
    <w:p w14:paraId="086190B0">
      <w:pPr>
        <w:spacing w:line="540" w:lineRule="exact"/>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（一）本责任书作为主合同组成部分，与主合同具有同等法律效力。经双方签署后立即生效。</w:t>
      </w:r>
    </w:p>
    <w:p w14:paraId="7FBBD97D">
      <w:pPr>
        <w:spacing w:line="540" w:lineRule="exact"/>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（二）本责任书的有效期为合同生效之日起至主合同履约结束时止。</w:t>
      </w:r>
    </w:p>
    <w:p w14:paraId="463EA4C6">
      <w:pPr>
        <w:spacing w:line="560" w:lineRule="exact"/>
        <w:rPr>
          <w:rFonts w:hint="eastAsia" w:ascii="仿宋_GB2312" w:hAnsi="仿宋_GB2312" w:eastAsia="仿宋_GB2312" w:cs="仿宋_GB2312"/>
          <w:color w:val="auto"/>
          <w:sz w:val="24"/>
          <w:szCs w:val="24"/>
          <w:highlight w:val="none"/>
        </w:rPr>
      </w:pPr>
    </w:p>
    <w:p w14:paraId="73232EE0">
      <w:pPr>
        <w:spacing w:line="5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tbl>
      <w:tblPr>
        <w:tblStyle w:val="25"/>
        <w:tblW w:w="8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70"/>
        <w:gridCol w:w="4270"/>
      </w:tblGrid>
      <w:tr w14:paraId="2841B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4270" w:type="dxa"/>
          </w:tcPr>
          <w:p w14:paraId="47528C91">
            <w:pPr>
              <w:jc w:val="both"/>
              <w:rPr>
                <w:rFonts w:hint="eastAsia" w:ascii="仿宋_GB2312" w:hAnsi="仿宋" w:eastAsia="仿宋_GB2312" w:cs="仿宋"/>
                <w:color w:val="auto"/>
                <w:sz w:val="24"/>
                <w:szCs w:val="24"/>
                <w:highlight w:val="none"/>
                <w:vertAlign w:val="baseline"/>
              </w:rPr>
            </w:pPr>
            <w:r>
              <w:rPr>
                <w:rFonts w:hint="eastAsia" w:ascii="仿宋_GB2312" w:hAnsi="仿宋_GB2312" w:eastAsia="仿宋_GB2312" w:cs="仿宋_GB2312"/>
                <w:color w:val="auto"/>
                <w:sz w:val="24"/>
                <w:szCs w:val="24"/>
                <w:highlight w:val="none"/>
              </w:rPr>
              <w:t>甲方单位：（盖章）</w:t>
            </w:r>
          </w:p>
        </w:tc>
        <w:tc>
          <w:tcPr>
            <w:tcW w:w="4270" w:type="dxa"/>
          </w:tcPr>
          <w:p w14:paraId="7C374F0F">
            <w:pPr>
              <w:jc w:val="both"/>
              <w:rPr>
                <w:rFonts w:hint="eastAsia" w:ascii="仿宋_GB2312" w:hAnsi="仿宋" w:eastAsia="仿宋_GB2312" w:cs="仿宋"/>
                <w:color w:val="auto"/>
                <w:sz w:val="24"/>
                <w:szCs w:val="24"/>
                <w:highlight w:val="none"/>
                <w:vertAlign w:val="baseline"/>
              </w:rPr>
            </w:pPr>
            <w:r>
              <w:rPr>
                <w:rFonts w:hint="eastAsia" w:ascii="仿宋_GB2312" w:hAnsi="仿宋_GB2312" w:eastAsia="仿宋_GB2312" w:cs="仿宋_GB2312"/>
                <w:color w:val="auto"/>
                <w:sz w:val="24"/>
                <w:szCs w:val="24"/>
                <w:highlight w:val="none"/>
              </w:rPr>
              <w:t>乙方单位：（盖章）</w:t>
            </w:r>
          </w:p>
        </w:tc>
      </w:tr>
      <w:tr w14:paraId="533D0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4270" w:type="dxa"/>
          </w:tcPr>
          <w:p w14:paraId="47574EF9">
            <w:pPr>
              <w:spacing w:line="560" w:lineRule="exact"/>
              <w:jc w:val="both"/>
              <w:rPr>
                <w:rFonts w:hint="eastAsia" w:ascii="仿宋_GB2312" w:hAnsi="仿宋" w:eastAsia="仿宋_GB2312" w:cs="仿宋"/>
                <w:color w:val="auto"/>
                <w:sz w:val="24"/>
                <w:szCs w:val="24"/>
                <w:highlight w:val="none"/>
                <w:vertAlign w:val="baseline"/>
              </w:rPr>
            </w:pPr>
            <w:r>
              <w:rPr>
                <w:rFonts w:hint="eastAsia" w:ascii="仿宋_GB2312" w:hAnsi="仿宋_GB2312" w:eastAsia="仿宋_GB2312" w:cs="仿宋_GB2312"/>
                <w:color w:val="auto"/>
                <w:sz w:val="24"/>
                <w:szCs w:val="24"/>
                <w:highlight w:val="none"/>
              </w:rPr>
              <w:t>甲方监督单位：广州市自来水</w:t>
            </w:r>
            <w:r>
              <w:rPr>
                <w:rFonts w:hint="eastAsia" w:ascii="仿宋_GB2312" w:hAnsi="仿宋_GB2312" w:eastAsia="仿宋_GB2312" w:cs="仿宋_GB2312"/>
                <w:color w:val="auto"/>
                <w:sz w:val="24"/>
                <w:szCs w:val="24"/>
                <w:highlight w:val="none"/>
                <w:lang w:eastAsia="zh-CN"/>
              </w:rPr>
              <w:t>有限</w:t>
            </w:r>
            <w:r>
              <w:rPr>
                <w:rFonts w:hint="eastAsia" w:ascii="仿宋_GB2312" w:hAnsi="仿宋_GB2312" w:eastAsia="仿宋_GB2312" w:cs="仿宋_GB2312"/>
                <w:color w:val="auto"/>
                <w:sz w:val="24"/>
                <w:szCs w:val="24"/>
                <w:highlight w:val="none"/>
              </w:rPr>
              <w:t>公司纪检室</w:t>
            </w:r>
          </w:p>
        </w:tc>
        <w:tc>
          <w:tcPr>
            <w:tcW w:w="4270" w:type="dxa"/>
          </w:tcPr>
          <w:p w14:paraId="2E62B330">
            <w:pPr>
              <w:jc w:val="both"/>
              <w:rPr>
                <w:rFonts w:hint="eastAsia" w:ascii="仿宋_GB2312" w:hAnsi="仿宋" w:eastAsia="仿宋_GB2312" w:cs="仿宋"/>
                <w:color w:val="auto"/>
                <w:sz w:val="24"/>
                <w:szCs w:val="24"/>
                <w:highlight w:val="none"/>
                <w:vertAlign w:val="baseline"/>
              </w:rPr>
            </w:pPr>
            <w:r>
              <w:rPr>
                <w:rFonts w:hint="eastAsia" w:ascii="仿宋_GB2312" w:hAnsi="仿宋_GB2312" w:eastAsia="仿宋_GB2312" w:cs="仿宋_GB2312"/>
                <w:color w:val="auto"/>
                <w:sz w:val="24"/>
                <w:szCs w:val="24"/>
                <w:highlight w:val="none"/>
              </w:rPr>
              <w:t>乙方监督单位：</w:t>
            </w:r>
          </w:p>
        </w:tc>
      </w:tr>
      <w:tr w14:paraId="43A43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4270" w:type="dxa"/>
          </w:tcPr>
          <w:p w14:paraId="1CFEFC68">
            <w:pPr>
              <w:jc w:val="both"/>
              <w:rPr>
                <w:rFonts w:hint="eastAsia" w:ascii="仿宋_GB2312" w:hAnsi="仿宋" w:eastAsia="仿宋_GB2312" w:cs="仿宋"/>
                <w:color w:val="auto"/>
                <w:sz w:val="24"/>
                <w:szCs w:val="24"/>
                <w:highlight w:val="none"/>
                <w:vertAlign w:val="baseline"/>
              </w:rPr>
            </w:pPr>
            <w:r>
              <w:rPr>
                <w:rFonts w:hint="eastAsia" w:ascii="仿宋_GB2312" w:hAnsi="仿宋_GB2312" w:eastAsia="仿宋_GB2312" w:cs="仿宋_GB2312"/>
                <w:color w:val="auto"/>
                <w:sz w:val="24"/>
                <w:szCs w:val="24"/>
                <w:highlight w:val="none"/>
              </w:rPr>
              <w:t>甲方监督电话：020-87159082</w:t>
            </w:r>
          </w:p>
        </w:tc>
        <w:tc>
          <w:tcPr>
            <w:tcW w:w="4270" w:type="dxa"/>
          </w:tcPr>
          <w:p w14:paraId="2ADDF236">
            <w:pPr>
              <w:jc w:val="both"/>
              <w:rPr>
                <w:rFonts w:hint="eastAsia" w:ascii="仿宋_GB2312" w:hAnsi="仿宋" w:eastAsia="仿宋_GB2312" w:cs="仿宋"/>
                <w:color w:val="auto"/>
                <w:sz w:val="24"/>
                <w:szCs w:val="24"/>
                <w:highlight w:val="none"/>
                <w:vertAlign w:val="baseline"/>
              </w:rPr>
            </w:pPr>
            <w:r>
              <w:rPr>
                <w:rFonts w:hint="eastAsia" w:ascii="仿宋_GB2312" w:hAnsi="仿宋_GB2312" w:eastAsia="仿宋_GB2312" w:cs="仿宋_GB2312"/>
                <w:color w:val="auto"/>
                <w:sz w:val="24"/>
                <w:szCs w:val="24"/>
                <w:highlight w:val="none"/>
              </w:rPr>
              <w:t>乙方监督电话：</w:t>
            </w:r>
          </w:p>
        </w:tc>
      </w:tr>
    </w:tbl>
    <w:p w14:paraId="01B1E7C6">
      <w:pPr>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br w:type="page"/>
      </w:r>
    </w:p>
    <w:p w14:paraId="4B43F62B">
      <w:pPr>
        <w:spacing w:line="500" w:lineRule="exact"/>
        <w:jc w:val="left"/>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附件3</w:t>
      </w:r>
    </w:p>
    <w:p w14:paraId="16F121BB">
      <w:pPr>
        <w:spacing w:line="500" w:lineRule="exact"/>
        <w:jc w:val="right"/>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rPr>
        <w:t>【标准文本】合同-FW-</w:t>
      </w:r>
      <w:r>
        <w:rPr>
          <w:rFonts w:hint="eastAsia" w:ascii="仿宋_GB2312" w:hAnsi="仿宋_GB2312" w:eastAsia="仿宋_GB2312" w:cs="仿宋_GB2312"/>
          <w:color w:val="auto"/>
          <w:sz w:val="30"/>
          <w:szCs w:val="30"/>
          <w:highlight w:val="none"/>
          <w:lang w:val="en-US" w:eastAsia="zh-CN"/>
        </w:rPr>
        <w:t>202201</w:t>
      </w:r>
    </w:p>
    <w:p w14:paraId="672C8AE9">
      <w:pPr>
        <w:spacing w:line="500" w:lineRule="exact"/>
        <w:jc w:val="right"/>
        <w:rPr>
          <w:rFonts w:hint="eastAsia" w:ascii="仿宋_GB2312" w:hAnsi="仿宋_GB2312" w:eastAsia="仿宋_GB2312" w:cs="仿宋_GB2312"/>
          <w:color w:val="auto"/>
          <w:sz w:val="30"/>
          <w:szCs w:val="30"/>
          <w:highlight w:val="none"/>
        </w:rPr>
      </w:pPr>
    </w:p>
    <w:p w14:paraId="7D963594">
      <w:pPr>
        <w:spacing w:line="500" w:lineRule="exact"/>
        <w:jc w:val="center"/>
        <w:rPr>
          <w:rFonts w:ascii="宋体" w:hAnsi="宋体" w:eastAsia="仿宋_GB2312" w:cs="Times New Roman"/>
          <w:b/>
          <w:bCs/>
          <w:color w:val="auto"/>
          <w:kern w:val="0"/>
          <w:sz w:val="44"/>
          <w:szCs w:val="44"/>
          <w:highlight w:val="none"/>
        </w:rPr>
      </w:pPr>
      <w:r>
        <w:rPr>
          <w:rFonts w:hint="eastAsia" w:ascii="宋体" w:hAnsi="宋体" w:eastAsia="仿宋_GB2312" w:cs="Times New Roman"/>
          <w:b/>
          <w:bCs/>
          <w:color w:val="auto"/>
          <w:kern w:val="0"/>
          <w:sz w:val="44"/>
          <w:szCs w:val="44"/>
          <w:highlight w:val="none"/>
        </w:rPr>
        <w:t>服务安全生产协议书</w:t>
      </w:r>
    </w:p>
    <w:p w14:paraId="6C4A75D8">
      <w:pPr>
        <w:spacing w:line="500" w:lineRule="exact"/>
        <w:jc w:val="center"/>
        <w:rPr>
          <w:rFonts w:ascii="宋体" w:hAnsi="宋体" w:eastAsia="仿宋_GB2312" w:cs="Times New Roman"/>
          <w:b/>
          <w:bCs/>
          <w:color w:val="auto"/>
          <w:kern w:val="0"/>
          <w:sz w:val="44"/>
          <w:szCs w:val="44"/>
          <w:highlight w:val="none"/>
        </w:rPr>
      </w:pPr>
    </w:p>
    <w:p w14:paraId="01828777">
      <w:pPr>
        <w:spacing w:line="400" w:lineRule="exact"/>
        <w:ind w:firstLine="480" w:firstLineChars="200"/>
        <w:rPr>
          <w:rFonts w:ascii="宋体" w:hAnsi="宋体" w:eastAsia="仿宋_GB2312" w:cs="Times New Roman"/>
          <w:color w:val="auto"/>
          <w:sz w:val="24"/>
          <w:szCs w:val="32"/>
          <w:highlight w:val="none"/>
        </w:rPr>
      </w:pPr>
    </w:p>
    <w:p w14:paraId="3F1FFAB8">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宋体" w:hAnsi="宋体" w:eastAsia="仿宋_GB2312" w:cs="Times New Roman"/>
          <w:b/>
          <w:color w:val="auto"/>
          <w:sz w:val="24"/>
          <w:szCs w:val="32"/>
          <w:highlight w:val="none"/>
          <w:u w:val="single"/>
          <w:lang w:val="en-US" w:eastAsia="zh-CN"/>
        </w:rPr>
      </w:pPr>
      <w:r>
        <w:rPr>
          <w:rFonts w:hint="eastAsia" w:ascii="宋体" w:hAnsi="宋体" w:eastAsia="仿宋_GB2312" w:cs="Times New Roman"/>
          <w:b/>
          <w:color w:val="auto"/>
          <w:sz w:val="24"/>
          <w:szCs w:val="32"/>
          <w:highlight w:val="none"/>
        </w:rPr>
        <w:t>发包方：</w:t>
      </w:r>
      <w:r>
        <w:rPr>
          <w:rFonts w:hint="eastAsia" w:ascii="宋体" w:hAnsi="宋体" w:eastAsia="仿宋_GB2312" w:cs="Times New Roman"/>
          <w:b/>
          <w:color w:val="auto"/>
          <w:sz w:val="24"/>
          <w:szCs w:val="32"/>
          <w:highlight w:val="none"/>
          <w:u w:val="single"/>
          <w:lang w:val="en-US" w:eastAsia="zh-CN"/>
        </w:rPr>
        <w:t xml:space="preserve">   </w:t>
      </w:r>
      <w:r>
        <w:rPr>
          <w:rFonts w:hint="eastAsia" w:ascii="宋体" w:hAnsi="宋体" w:eastAsia="仿宋_GB2312" w:cs="Times New Roman"/>
          <w:b w:val="0"/>
          <w:bCs/>
          <w:color w:val="auto"/>
          <w:sz w:val="24"/>
          <w:szCs w:val="32"/>
          <w:highlight w:val="none"/>
          <w:u w:val="single"/>
          <w:lang w:val="en-US" w:eastAsia="zh-CN"/>
        </w:rPr>
        <w:t xml:space="preserve">广州市自来水有限公司   </w:t>
      </w:r>
    </w:p>
    <w:p w14:paraId="63BCD4A0">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ascii="宋体" w:hAnsi="宋体" w:eastAsia="仿宋_GB2312" w:cs="Times New Roman"/>
          <w:b/>
          <w:color w:val="auto"/>
          <w:sz w:val="24"/>
          <w:szCs w:val="32"/>
          <w:highlight w:val="none"/>
          <w:u w:val="single"/>
        </w:rPr>
      </w:pPr>
      <w:r>
        <w:rPr>
          <w:rFonts w:hint="eastAsia" w:ascii="宋体" w:hAnsi="宋体" w:eastAsia="仿宋_GB2312" w:cs="Times New Roman"/>
          <w:b/>
          <w:color w:val="auto"/>
          <w:sz w:val="24"/>
          <w:szCs w:val="32"/>
          <w:highlight w:val="none"/>
        </w:rPr>
        <w:t>承包方：</w:t>
      </w:r>
      <w:r>
        <w:rPr>
          <w:rFonts w:hint="eastAsia" w:ascii="宋体" w:hAnsi="宋体" w:eastAsia="仿宋_GB2312" w:cs="Times New Roman"/>
          <w:b/>
          <w:color w:val="auto"/>
          <w:sz w:val="24"/>
          <w:szCs w:val="32"/>
          <w:highlight w:val="none"/>
          <w:u w:val="single"/>
        </w:rPr>
        <w:t xml:space="preserve">              </w:t>
      </w:r>
      <w:r>
        <w:rPr>
          <w:rFonts w:hint="eastAsia" w:ascii="宋体" w:hAnsi="宋体" w:eastAsia="仿宋_GB2312" w:cs="Times New Roman"/>
          <w:b/>
          <w:color w:val="auto"/>
          <w:sz w:val="24"/>
          <w:szCs w:val="32"/>
          <w:highlight w:val="none"/>
          <w:u w:val="single"/>
          <w:lang w:val="en-US" w:eastAsia="zh-CN"/>
        </w:rPr>
        <w:t xml:space="preserve">       </w:t>
      </w:r>
      <w:r>
        <w:rPr>
          <w:rFonts w:hint="eastAsia" w:ascii="宋体" w:hAnsi="宋体" w:eastAsia="仿宋_GB2312" w:cs="Times New Roman"/>
          <w:b/>
          <w:color w:val="auto"/>
          <w:sz w:val="24"/>
          <w:szCs w:val="32"/>
          <w:highlight w:val="none"/>
          <w:u w:val="single"/>
        </w:rPr>
        <w:t xml:space="preserve">      </w:t>
      </w:r>
    </w:p>
    <w:p w14:paraId="6657A575">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ascii="宋体" w:hAnsi="宋体" w:eastAsia="仿宋_GB2312" w:cs="Times New Roman"/>
          <w:b/>
          <w:color w:val="auto"/>
          <w:sz w:val="24"/>
          <w:szCs w:val="32"/>
          <w:highlight w:val="none"/>
          <w:u w:val="single"/>
        </w:rPr>
      </w:pPr>
      <w:r>
        <w:rPr>
          <w:rFonts w:hint="eastAsia" w:ascii="宋体" w:hAnsi="宋体" w:eastAsia="仿宋_GB2312" w:cs="Times New Roman"/>
          <w:b/>
          <w:color w:val="auto"/>
          <w:sz w:val="24"/>
          <w:szCs w:val="32"/>
          <w:highlight w:val="none"/>
        </w:rPr>
        <w:t>项目名称：</w:t>
      </w:r>
      <w:r>
        <w:rPr>
          <w:rFonts w:hint="eastAsia" w:ascii="宋体" w:hAnsi="宋体" w:eastAsia="仿宋_GB2312"/>
          <w:b/>
          <w:color w:val="auto"/>
          <w:szCs w:val="32"/>
          <w:highlight w:val="none"/>
          <w:u w:val="single"/>
        </w:rPr>
        <w:t>2025-2027年广州市自来水有限公司管网建设工程检测、监测服务项目</w:t>
      </w:r>
    </w:p>
    <w:p w14:paraId="53B873C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为贯彻“安全第一，预防为主，综合治理”、“百年大计，质量第一”的方针，努力提高服务安全管理水平，根据《中华人民共和国安全生产法》，结合本工程具体情况，为确保该项目的实施安全，</w:t>
      </w:r>
      <w:r>
        <w:rPr>
          <w:rFonts w:ascii="宋体" w:hAnsi="宋体" w:eastAsia="仿宋_GB2312" w:cs="Times New Roman"/>
          <w:color w:val="auto"/>
          <w:sz w:val="24"/>
          <w:szCs w:val="32"/>
          <w:highlight w:val="none"/>
        </w:rPr>
        <w:t>双方协商一致，特制定本协议书。</w:t>
      </w:r>
      <w:r>
        <w:rPr>
          <w:rFonts w:hint="eastAsia" w:ascii="宋体" w:hAnsi="宋体" w:eastAsia="仿宋_GB2312" w:cs="Times New Roman"/>
          <w:color w:val="auto"/>
          <w:sz w:val="24"/>
          <w:szCs w:val="32"/>
          <w:highlight w:val="none"/>
        </w:rPr>
        <w:t xml:space="preserve"> </w:t>
      </w:r>
      <w:r>
        <w:rPr>
          <w:rFonts w:ascii="宋体" w:hAnsi="宋体" w:eastAsia="仿宋_GB2312" w:cs="Times New Roman"/>
          <w:color w:val="auto"/>
          <w:sz w:val="24"/>
          <w:szCs w:val="32"/>
          <w:highlight w:val="none"/>
        </w:rPr>
        <w:br w:type="textWrapping"/>
      </w:r>
      <w:r>
        <w:rPr>
          <w:rFonts w:hint="eastAsia" w:ascii="宋体" w:hAnsi="宋体" w:eastAsia="仿宋_GB2312" w:cs="Times New Roman"/>
          <w:color w:val="auto"/>
          <w:sz w:val="24"/>
          <w:szCs w:val="32"/>
          <w:highlight w:val="none"/>
        </w:rPr>
        <w:t xml:space="preserve">    </w:t>
      </w:r>
      <w:r>
        <w:rPr>
          <w:rFonts w:hint="eastAsia" w:ascii="黑体" w:hAnsi="黑体" w:eastAsia="黑体" w:cs="黑体"/>
          <w:color w:val="auto"/>
          <w:sz w:val="24"/>
          <w:szCs w:val="32"/>
          <w:highlight w:val="none"/>
        </w:rPr>
        <w:t>一、发包方的责任、权利和义务</w:t>
      </w:r>
      <w:r>
        <w:rPr>
          <w:rFonts w:hint="eastAsia" w:ascii="宋体" w:hAnsi="宋体" w:eastAsia="仿宋_GB2312" w:cs="黑体"/>
          <w:color w:val="auto"/>
          <w:sz w:val="24"/>
          <w:szCs w:val="32"/>
          <w:highlight w:val="none"/>
        </w:rPr>
        <w:br w:type="textWrapping"/>
      </w:r>
      <w:r>
        <w:rPr>
          <w:rFonts w:hint="eastAsia" w:ascii="宋体" w:hAnsi="宋体" w:eastAsia="仿宋_GB2312" w:cs="Times New Roman"/>
          <w:color w:val="auto"/>
          <w:sz w:val="24"/>
          <w:szCs w:val="32"/>
          <w:highlight w:val="none"/>
        </w:rPr>
        <w:t xml:space="preserve">    （一）贯彻执行国家和地方有关安全生产、文明施工、法律法规，支持和监督</w:t>
      </w:r>
      <w:r>
        <w:rPr>
          <w:rFonts w:ascii="宋体" w:hAnsi="宋体" w:eastAsia="仿宋_GB2312" w:cs="Times New Roman"/>
          <w:color w:val="auto"/>
          <w:sz w:val="24"/>
          <w:szCs w:val="32"/>
          <w:highlight w:val="none"/>
        </w:rPr>
        <w:t>承包方</w:t>
      </w:r>
      <w:r>
        <w:rPr>
          <w:rFonts w:hint="eastAsia" w:ascii="宋体" w:hAnsi="宋体" w:eastAsia="仿宋_GB2312" w:cs="Times New Roman"/>
          <w:color w:val="auto"/>
          <w:sz w:val="24"/>
          <w:szCs w:val="32"/>
          <w:highlight w:val="none"/>
        </w:rPr>
        <w:t>依法履行安全生产工作。</w:t>
      </w:r>
    </w:p>
    <w:p w14:paraId="45DAC20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（二）定期或不定期组织检查</w:t>
      </w:r>
      <w:r>
        <w:rPr>
          <w:rFonts w:ascii="宋体" w:hAnsi="宋体" w:eastAsia="仿宋_GB2312" w:cs="Times New Roman"/>
          <w:color w:val="auto"/>
          <w:sz w:val="24"/>
          <w:szCs w:val="32"/>
          <w:highlight w:val="none"/>
        </w:rPr>
        <w:t>承包方</w:t>
      </w:r>
      <w:r>
        <w:rPr>
          <w:rFonts w:hint="eastAsia" w:ascii="宋体" w:hAnsi="宋体" w:eastAsia="仿宋_GB2312" w:cs="Times New Roman"/>
          <w:color w:val="auto"/>
          <w:sz w:val="24"/>
          <w:szCs w:val="32"/>
          <w:highlight w:val="none"/>
        </w:rPr>
        <w:t>安全生产、文明施工状况，提出对存在隐患的整改措施，</w:t>
      </w:r>
      <w:r>
        <w:rPr>
          <w:rFonts w:ascii="宋体" w:hAnsi="宋体" w:eastAsia="仿宋_GB2312" w:cs="Times New Roman"/>
          <w:color w:val="auto"/>
          <w:sz w:val="24"/>
          <w:szCs w:val="32"/>
          <w:highlight w:val="none"/>
        </w:rPr>
        <w:t>对存在的</w:t>
      </w:r>
      <w:r>
        <w:rPr>
          <w:rFonts w:hint="eastAsia" w:ascii="宋体" w:hAnsi="宋体" w:eastAsia="仿宋_GB2312" w:cs="Times New Roman"/>
          <w:color w:val="auto"/>
          <w:sz w:val="24"/>
          <w:szCs w:val="32"/>
          <w:highlight w:val="none"/>
        </w:rPr>
        <w:t>重大</w:t>
      </w:r>
      <w:r>
        <w:rPr>
          <w:rFonts w:ascii="宋体" w:hAnsi="宋体" w:eastAsia="仿宋_GB2312" w:cs="Times New Roman"/>
          <w:color w:val="auto"/>
          <w:sz w:val="24"/>
          <w:szCs w:val="32"/>
          <w:highlight w:val="none"/>
        </w:rPr>
        <w:t>安全隐患</w:t>
      </w:r>
      <w:r>
        <w:rPr>
          <w:rFonts w:hint="eastAsia" w:ascii="宋体" w:hAnsi="宋体" w:eastAsia="仿宋_GB2312" w:cs="Times New Roman"/>
          <w:color w:val="auto"/>
          <w:sz w:val="24"/>
          <w:szCs w:val="32"/>
          <w:highlight w:val="none"/>
        </w:rPr>
        <w:t>或</w:t>
      </w:r>
      <w:r>
        <w:rPr>
          <w:rFonts w:ascii="宋体" w:hAnsi="宋体" w:eastAsia="仿宋_GB2312" w:cs="Times New Roman"/>
          <w:color w:val="auto"/>
          <w:sz w:val="24"/>
          <w:szCs w:val="32"/>
          <w:highlight w:val="none"/>
        </w:rPr>
        <w:t>承包方</w:t>
      </w:r>
      <w:r>
        <w:rPr>
          <w:rFonts w:hint="eastAsia" w:ascii="宋体" w:hAnsi="宋体" w:eastAsia="仿宋_GB2312" w:cs="Times New Roman"/>
          <w:color w:val="auto"/>
          <w:sz w:val="24"/>
          <w:szCs w:val="32"/>
          <w:highlight w:val="none"/>
        </w:rPr>
        <w:t>对一般隐患</w:t>
      </w:r>
      <w:r>
        <w:rPr>
          <w:rFonts w:ascii="宋体" w:hAnsi="宋体" w:eastAsia="仿宋_GB2312" w:cs="Times New Roman"/>
          <w:color w:val="auto"/>
          <w:sz w:val="24"/>
          <w:szCs w:val="32"/>
          <w:highlight w:val="none"/>
        </w:rPr>
        <w:t>整改</w:t>
      </w:r>
      <w:r>
        <w:rPr>
          <w:rFonts w:hint="eastAsia" w:ascii="宋体" w:hAnsi="宋体" w:eastAsia="仿宋_GB2312" w:cs="Times New Roman"/>
          <w:color w:val="auto"/>
          <w:sz w:val="24"/>
          <w:szCs w:val="32"/>
          <w:highlight w:val="none"/>
        </w:rPr>
        <w:t>不力，</w:t>
      </w:r>
      <w:r>
        <w:rPr>
          <w:rFonts w:ascii="宋体" w:hAnsi="宋体" w:eastAsia="仿宋_GB2312" w:cs="Times New Roman"/>
          <w:color w:val="auto"/>
          <w:sz w:val="24"/>
          <w:szCs w:val="32"/>
          <w:highlight w:val="none"/>
        </w:rPr>
        <w:t>发包方</w:t>
      </w:r>
      <w:r>
        <w:rPr>
          <w:rFonts w:hint="eastAsia" w:ascii="宋体" w:hAnsi="宋体" w:eastAsia="仿宋_GB2312" w:cs="Times New Roman"/>
          <w:color w:val="auto"/>
          <w:sz w:val="24"/>
          <w:szCs w:val="32"/>
          <w:highlight w:val="none"/>
        </w:rPr>
        <w:t>有权责令</w:t>
      </w:r>
      <w:r>
        <w:rPr>
          <w:rFonts w:ascii="宋体" w:hAnsi="宋体" w:eastAsia="仿宋_GB2312" w:cs="Times New Roman"/>
          <w:color w:val="auto"/>
          <w:sz w:val="24"/>
          <w:szCs w:val="32"/>
          <w:highlight w:val="none"/>
        </w:rPr>
        <w:t>承包方</w:t>
      </w:r>
      <w:r>
        <w:rPr>
          <w:rFonts w:hint="eastAsia" w:ascii="宋体" w:hAnsi="宋体" w:eastAsia="仿宋_GB2312" w:cs="Times New Roman"/>
          <w:color w:val="auto"/>
          <w:sz w:val="24"/>
          <w:szCs w:val="32"/>
          <w:highlight w:val="none"/>
        </w:rPr>
        <w:t>停工整改，直至隐患排除。</w:t>
      </w:r>
    </w:p>
    <w:p w14:paraId="30647FD6">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黑体" w:hAnsi="黑体" w:eastAsia="黑体" w:cs="黑体"/>
          <w:color w:val="auto"/>
          <w:sz w:val="24"/>
          <w:szCs w:val="32"/>
          <w:highlight w:val="none"/>
        </w:rPr>
      </w:pPr>
      <w:r>
        <w:rPr>
          <w:rFonts w:hint="eastAsia" w:ascii="黑体" w:hAnsi="黑体" w:eastAsia="黑体" w:cs="黑体"/>
          <w:color w:val="auto"/>
          <w:sz w:val="24"/>
          <w:szCs w:val="32"/>
          <w:highlight w:val="none"/>
        </w:rPr>
        <w:t>二、承包方的责任、权利和义务</w:t>
      </w:r>
    </w:p>
    <w:p w14:paraId="09ACDA41">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jc w:val="left"/>
        <w:textAlignment w:val="auto"/>
        <w:rPr>
          <w:rFonts w:ascii="宋体" w:hAnsi="宋体" w:eastAsia="仿宋_GB2312" w:cs="Times New Roman"/>
          <w:color w:val="auto"/>
          <w:sz w:val="24"/>
          <w:szCs w:val="32"/>
          <w:highlight w:val="none"/>
        </w:rPr>
      </w:pPr>
      <w:r>
        <w:rPr>
          <w:rFonts w:ascii="宋体" w:hAnsi="宋体" w:eastAsia="仿宋_GB2312" w:cs="Times New Roman"/>
          <w:color w:val="auto"/>
          <w:sz w:val="24"/>
          <w:szCs w:val="32"/>
          <w:highlight w:val="none"/>
        </w:rPr>
        <w:t>承包方应当具备《安全生产法》和有关</w:t>
      </w:r>
      <w:r>
        <w:rPr>
          <w:rFonts w:ascii="Calibri" w:hAnsi="Calibri" w:eastAsia="仿宋_GB2312" w:cs="Times New Roman"/>
          <w:color w:val="auto"/>
          <w:kern w:val="0"/>
          <w:sz w:val="22"/>
          <w:szCs w:val="22"/>
          <w:highlight w:val="none"/>
          <w:lang w:eastAsia="en-US"/>
        </w:rPr>
        <w:fldChar w:fldCharType="begin"/>
      </w:r>
      <w:r>
        <w:rPr>
          <w:rFonts w:ascii="Calibri" w:hAnsi="Calibri" w:eastAsia="仿宋_GB2312" w:cs="Times New Roman"/>
          <w:color w:val="auto"/>
          <w:kern w:val="0"/>
          <w:sz w:val="22"/>
          <w:szCs w:val="22"/>
          <w:highlight w:val="none"/>
        </w:rPr>
        <w:instrText xml:space="preserve"> HYPERLINK "http://www.govyi.com/html/gongwenxiezuo/gongjianfa/Index.shtml" </w:instrText>
      </w:r>
      <w:r>
        <w:rPr>
          <w:rFonts w:ascii="Calibri" w:hAnsi="Calibri" w:eastAsia="仿宋_GB2312" w:cs="Times New Roman"/>
          <w:color w:val="auto"/>
          <w:kern w:val="0"/>
          <w:sz w:val="22"/>
          <w:szCs w:val="22"/>
          <w:highlight w:val="none"/>
          <w:lang w:eastAsia="en-US"/>
        </w:rPr>
        <w:fldChar w:fldCharType="separate"/>
      </w:r>
      <w:r>
        <w:rPr>
          <w:rFonts w:ascii="宋体" w:hAnsi="宋体" w:eastAsia="仿宋_GB2312" w:cs="Times New Roman"/>
          <w:color w:val="auto"/>
          <w:sz w:val="24"/>
          <w:szCs w:val="32"/>
          <w:highlight w:val="none"/>
        </w:rPr>
        <w:t>法律</w:t>
      </w:r>
      <w:r>
        <w:rPr>
          <w:rFonts w:ascii="宋体" w:hAnsi="宋体" w:eastAsia="仿宋_GB2312" w:cs="Times New Roman"/>
          <w:color w:val="auto"/>
          <w:sz w:val="24"/>
          <w:szCs w:val="32"/>
          <w:highlight w:val="none"/>
        </w:rPr>
        <w:fldChar w:fldCharType="end"/>
      </w:r>
      <w:r>
        <w:rPr>
          <w:rFonts w:ascii="宋体" w:hAnsi="宋体" w:eastAsia="仿宋_GB2312" w:cs="Times New Roman"/>
          <w:color w:val="auto"/>
          <w:sz w:val="24"/>
          <w:szCs w:val="32"/>
          <w:highlight w:val="none"/>
        </w:rPr>
        <w:t>、行政法规和国家标准规定的安全生产条件，不具备安全条件的不得进行施工作业。</w:t>
      </w:r>
    </w:p>
    <w:p w14:paraId="4FAAEAFB">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jc w:val="left"/>
        <w:textAlignment w:val="auto"/>
        <w:rPr>
          <w:rFonts w:ascii="宋体" w:hAnsi="宋体" w:eastAsia="仿宋_GB2312" w:cs="Times New Roman"/>
          <w:color w:val="auto"/>
          <w:sz w:val="24"/>
          <w:szCs w:val="32"/>
          <w:highlight w:val="none"/>
        </w:rPr>
      </w:pPr>
      <w:r>
        <w:rPr>
          <w:rFonts w:ascii="宋体" w:hAnsi="宋体" w:eastAsia="仿宋_GB2312" w:cs="Times New Roman"/>
          <w:color w:val="auto"/>
          <w:sz w:val="24"/>
          <w:szCs w:val="32"/>
          <w:highlight w:val="none"/>
        </w:rPr>
        <w:t>严格执行《</w:t>
      </w:r>
      <w:r>
        <w:rPr>
          <w:rFonts w:hint="eastAsia" w:ascii="宋体" w:hAnsi="宋体" w:eastAsia="仿宋_GB2312" w:cs="Times New Roman"/>
          <w:color w:val="auto"/>
          <w:sz w:val="24"/>
          <w:szCs w:val="32"/>
          <w:highlight w:val="none"/>
        </w:rPr>
        <w:t>国家和地方有关</w:t>
      </w:r>
      <w:r>
        <w:rPr>
          <w:rFonts w:ascii="宋体" w:hAnsi="宋体" w:eastAsia="仿宋_GB2312" w:cs="Times New Roman"/>
          <w:color w:val="auto"/>
          <w:sz w:val="24"/>
          <w:szCs w:val="32"/>
          <w:highlight w:val="none"/>
        </w:rPr>
        <w:t>安全生产、文明施工</w:t>
      </w:r>
      <w:r>
        <w:rPr>
          <w:rFonts w:hint="eastAsia" w:ascii="宋体" w:hAnsi="宋体" w:eastAsia="仿宋_GB2312" w:cs="Times New Roman"/>
          <w:color w:val="auto"/>
          <w:sz w:val="24"/>
          <w:szCs w:val="32"/>
          <w:highlight w:val="none"/>
        </w:rPr>
        <w:t>法律法规</w:t>
      </w:r>
      <w:r>
        <w:rPr>
          <w:rFonts w:ascii="宋体" w:hAnsi="宋体" w:eastAsia="仿宋_GB2312" w:cs="Times New Roman"/>
          <w:color w:val="auto"/>
          <w:sz w:val="24"/>
          <w:szCs w:val="32"/>
          <w:highlight w:val="none"/>
        </w:rPr>
        <w:t>》，并接受发包方和</w:t>
      </w:r>
      <w:r>
        <w:rPr>
          <w:rFonts w:hint="eastAsia" w:ascii="宋体" w:hAnsi="宋体" w:eastAsia="仿宋_GB2312" w:cs="Times New Roman"/>
          <w:color w:val="auto"/>
          <w:sz w:val="24"/>
          <w:szCs w:val="32"/>
          <w:highlight w:val="none"/>
        </w:rPr>
        <w:t>政府相关</w:t>
      </w:r>
      <w:r>
        <w:rPr>
          <w:rFonts w:ascii="宋体" w:hAnsi="宋体" w:eastAsia="仿宋_GB2312" w:cs="Times New Roman"/>
          <w:color w:val="auto"/>
          <w:sz w:val="24"/>
          <w:szCs w:val="32"/>
          <w:highlight w:val="none"/>
        </w:rPr>
        <w:t>部门的检查考核。</w:t>
      </w:r>
    </w:p>
    <w:p w14:paraId="361B2FD2">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jc w:val="left"/>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承包方应进一步</w:t>
      </w:r>
      <w:r>
        <w:rPr>
          <w:rFonts w:ascii="宋体" w:hAnsi="宋体" w:eastAsia="仿宋_GB2312" w:cs="Times New Roman"/>
          <w:color w:val="auto"/>
          <w:sz w:val="24"/>
          <w:szCs w:val="32"/>
          <w:highlight w:val="none"/>
        </w:rPr>
        <w:t>建立、健全</w:t>
      </w:r>
      <w:r>
        <w:rPr>
          <w:rFonts w:hint="eastAsia" w:ascii="宋体" w:hAnsi="宋体" w:eastAsia="仿宋_GB2312" w:cs="Times New Roman"/>
          <w:color w:val="auto"/>
          <w:sz w:val="24"/>
          <w:szCs w:val="32"/>
          <w:highlight w:val="none"/>
        </w:rPr>
        <w:t>本工程安全生产管理架构和</w:t>
      </w:r>
      <w:r>
        <w:rPr>
          <w:rFonts w:ascii="宋体" w:hAnsi="宋体" w:eastAsia="仿宋_GB2312" w:cs="Times New Roman"/>
          <w:color w:val="auto"/>
          <w:sz w:val="24"/>
          <w:szCs w:val="32"/>
          <w:highlight w:val="none"/>
        </w:rPr>
        <w:t>安全生产责任制，制定</w:t>
      </w:r>
      <w:r>
        <w:rPr>
          <w:rFonts w:hint="eastAsia" w:ascii="宋体" w:hAnsi="宋体" w:eastAsia="仿宋_GB2312" w:cs="Times New Roman"/>
          <w:color w:val="auto"/>
          <w:sz w:val="24"/>
          <w:szCs w:val="32"/>
          <w:highlight w:val="none"/>
        </w:rPr>
        <w:t>和完善各项</w:t>
      </w:r>
      <w:r>
        <w:rPr>
          <w:rFonts w:ascii="宋体" w:hAnsi="宋体" w:eastAsia="仿宋_GB2312" w:cs="Times New Roman"/>
          <w:color w:val="auto"/>
          <w:sz w:val="24"/>
          <w:szCs w:val="32"/>
          <w:highlight w:val="none"/>
        </w:rPr>
        <w:t>安全生产</w:t>
      </w:r>
      <w:r>
        <w:rPr>
          <w:rFonts w:ascii="Calibri" w:hAnsi="Calibri" w:eastAsia="仿宋_GB2312" w:cs="Times New Roman"/>
          <w:color w:val="auto"/>
          <w:kern w:val="0"/>
          <w:sz w:val="22"/>
          <w:szCs w:val="22"/>
          <w:highlight w:val="none"/>
          <w:lang w:eastAsia="en-US"/>
        </w:rPr>
        <w:fldChar w:fldCharType="begin"/>
      </w:r>
      <w:r>
        <w:rPr>
          <w:rFonts w:ascii="Calibri" w:hAnsi="Calibri" w:eastAsia="仿宋_GB2312" w:cs="Times New Roman"/>
          <w:color w:val="auto"/>
          <w:kern w:val="0"/>
          <w:sz w:val="22"/>
          <w:szCs w:val="22"/>
          <w:highlight w:val="none"/>
        </w:rPr>
        <w:instrText xml:space="preserve"> HYPERLINK "http://www.govyi.com/html/gongwenxiezuo/guanlizhidu/Index.shtml" </w:instrText>
      </w:r>
      <w:r>
        <w:rPr>
          <w:rFonts w:ascii="Calibri" w:hAnsi="Calibri" w:eastAsia="仿宋_GB2312" w:cs="Times New Roman"/>
          <w:color w:val="auto"/>
          <w:kern w:val="0"/>
          <w:sz w:val="22"/>
          <w:szCs w:val="22"/>
          <w:highlight w:val="none"/>
          <w:lang w:eastAsia="en-US"/>
        </w:rPr>
        <w:fldChar w:fldCharType="separate"/>
      </w:r>
      <w:r>
        <w:rPr>
          <w:rFonts w:ascii="宋体" w:hAnsi="宋体" w:eastAsia="仿宋_GB2312" w:cs="Times New Roman"/>
          <w:color w:val="auto"/>
          <w:sz w:val="24"/>
          <w:szCs w:val="32"/>
          <w:highlight w:val="none"/>
        </w:rPr>
        <w:t>规章</w:t>
      </w:r>
      <w:r>
        <w:rPr>
          <w:rFonts w:ascii="宋体" w:hAnsi="宋体" w:eastAsia="仿宋_GB2312" w:cs="Times New Roman"/>
          <w:color w:val="auto"/>
          <w:sz w:val="24"/>
          <w:szCs w:val="32"/>
          <w:highlight w:val="none"/>
        </w:rPr>
        <w:fldChar w:fldCharType="end"/>
      </w:r>
      <w:r>
        <w:rPr>
          <w:rFonts w:ascii="Calibri" w:hAnsi="Calibri" w:eastAsia="仿宋_GB2312" w:cs="Times New Roman"/>
          <w:color w:val="auto"/>
          <w:kern w:val="0"/>
          <w:sz w:val="22"/>
          <w:szCs w:val="22"/>
          <w:highlight w:val="none"/>
          <w:lang w:eastAsia="en-US"/>
        </w:rPr>
        <w:fldChar w:fldCharType="begin"/>
      </w:r>
      <w:r>
        <w:rPr>
          <w:rFonts w:ascii="Calibri" w:hAnsi="Calibri" w:eastAsia="仿宋_GB2312" w:cs="Times New Roman"/>
          <w:color w:val="auto"/>
          <w:kern w:val="0"/>
          <w:sz w:val="22"/>
          <w:szCs w:val="22"/>
          <w:highlight w:val="none"/>
        </w:rPr>
        <w:instrText xml:space="preserve"> HYPERLINK "http://www.govyi.com/html/gongwenxiezuo/guanlizhidu/Index.shtml" </w:instrText>
      </w:r>
      <w:r>
        <w:rPr>
          <w:rFonts w:ascii="Calibri" w:hAnsi="Calibri" w:eastAsia="仿宋_GB2312" w:cs="Times New Roman"/>
          <w:color w:val="auto"/>
          <w:kern w:val="0"/>
          <w:sz w:val="22"/>
          <w:szCs w:val="22"/>
          <w:highlight w:val="none"/>
          <w:lang w:eastAsia="en-US"/>
        </w:rPr>
        <w:fldChar w:fldCharType="separate"/>
      </w:r>
      <w:r>
        <w:rPr>
          <w:rFonts w:ascii="宋体" w:hAnsi="宋体" w:eastAsia="仿宋_GB2312" w:cs="Times New Roman"/>
          <w:color w:val="auto"/>
          <w:sz w:val="24"/>
          <w:szCs w:val="32"/>
          <w:highlight w:val="none"/>
        </w:rPr>
        <w:t>制度</w:t>
      </w:r>
      <w:r>
        <w:rPr>
          <w:rFonts w:ascii="宋体" w:hAnsi="宋体" w:eastAsia="仿宋_GB2312" w:cs="Times New Roman"/>
          <w:color w:val="auto"/>
          <w:sz w:val="24"/>
          <w:szCs w:val="32"/>
          <w:highlight w:val="none"/>
        </w:rPr>
        <w:fldChar w:fldCharType="end"/>
      </w:r>
      <w:r>
        <w:rPr>
          <w:rFonts w:ascii="宋体" w:hAnsi="宋体" w:eastAsia="仿宋_GB2312" w:cs="Times New Roman"/>
          <w:color w:val="auto"/>
          <w:sz w:val="24"/>
          <w:szCs w:val="32"/>
          <w:highlight w:val="none"/>
        </w:rPr>
        <w:t>和操作规程</w:t>
      </w:r>
      <w:r>
        <w:rPr>
          <w:rFonts w:hint="eastAsia" w:ascii="宋体" w:hAnsi="宋体" w:eastAsia="仿宋_GB2312" w:cs="Times New Roman"/>
          <w:color w:val="auto"/>
          <w:sz w:val="24"/>
          <w:szCs w:val="32"/>
          <w:highlight w:val="none"/>
        </w:rPr>
        <w:t>，落实施工安全责任</w:t>
      </w:r>
      <w:r>
        <w:rPr>
          <w:rFonts w:ascii="宋体" w:hAnsi="宋体" w:eastAsia="仿宋_GB2312" w:cs="Times New Roman"/>
          <w:color w:val="auto"/>
          <w:sz w:val="24"/>
          <w:szCs w:val="32"/>
          <w:highlight w:val="none"/>
        </w:rPr>
        <w:t>。</w:t>
      </w:r>
    </w:p>
    <w:p w14:paraId="2724CA85">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jc w:val="left"/>
        <w:textAlignment w:val="auto"/>
        <w:rPr>
          <w:rFonts w:hint="eastAsia"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承包方应当按照《安全生产法》规定建立安全风险分级管控制度，针对所承建工程可能发生的生产安全事故的特点和危害，自行组织或委托第三方服务机构、专家进行风险评估，全面开展危险源辨识和风险评价，落实安全风险管控措施，做好安全风险管控各项工作；建立健全并落实生产安全事故隐患排查治理制度，采取技术、管理措施，及时发现并消除事故隐患。</w:t>
      </w:r>
    </w:p>
    <w:p w14:paraId="177E83C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jc w:val="left"/>
        <w:textAlignment w:val="auto"/>
        <w:rPr>
          <w:rFonts w:hint="eastAsia"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发包方或第三方安全监督机构将全面排查安全隐患，</w:t>
      </w:r>
      <w:r>
        <w:rPr>
          <w:rFonts w:ascii="宋体" w:hAnsi="宋体" w:eastAsia="仿宋_GB2312" w:cs="Times New Roman"/>
          <w:color w:val="auto"/>
          <w:sz w:val="24"/>
          <w:szCs w:val="32"/>
          <w:highlight w:val="none"/>
        </w:rPr>
        <w:t>督促、检查本</w:t>
      </w:r>
      <w:r>
        <w:rPr>
          <w:rFonts w:hint="eastAsia" w:ascii="宋体" w:hAnsi="宋体" w:eastAsia="仿宋_GB2312" w:cs="Times New Roman"/>
          <w:color w:val="auto"/>
          <w:sz w:val="24"/>
          <w:szCs w:val="32"/>
          <w:highlight w:val="none"/>
        </w:rPr>
        <w:t>工程</w:t>
      </w:r>
      <w:r>
        <w:rPr>
          <w:rFonts w:ascii="宋体" w:hAnsi="宋体" w:eastAsia="仿宋_GB2312" w:cs="Times New Roman"/>
          <w:color w:val="auto"/>
          <w:sz w:val="24"/>
          <w:szCs w:val="32"/>
          <w:highlight w:val="none"/>
        </w:rPr>
        <w:t>的安全生产工作，</w:t>
      </w:r>
      <w:r>
        <w:rPr>
          <w:rFonts w:hint="eastAsia" w:ascii="宋体" w:hAnsi="宋体" w:eastAsia="仿宋_GB2312" w:cs="Times New Roman"/>
          <w:color w:val="auto"/>
          <w:sz w:val="24"/>
          <w:szCs w:val="32"/>
          <w:highlight w:val="none"/>
        </w:rPr>
        <w:t>检查时发现的隐患问题，承包方必须在规定的时限内整改完毕，无条件服从发包方或第三方安全监督机构的整改指令，对于隐患整改不及时，现场管理未到位或反复出现同性质的整改问题的，发包方将严格按合同约定进行违约处罚，同时报送行政主管部门进行通报批评和诚信扣分。</w:t>
      </w:r>
    </w:p>
    <w:p w14:paraId="073D3B32">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jc w:val="left"/>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承包方必须建立和健全事故应急救援机制，根据本工程项目特点，制定事故应急救援预案并开展演练，告知从业人员和相关人员在紧急情况下应当采取的应急措施。</w:t>
      </w:r>
      <w:r>
        <w:rPr>
          <w:rFonts w:ascii="宋体" w:hAnsi="宋体" w:eastAsia="仿宋_GB2312" w:cs="Times New Roman"/>
          <w:color w:val="auto"/>
          <w:sz w:val="24"/>
          <w:szCs w:val="32"/>
          <w:highlight w:val="none"/>
        </w:rPr>
        <w:t>。</w:t>
      </w:r>
    </w:p>
    <w:p w14:paraId="58D06D5C">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jc w:val="left"/>
        <w:textAlignment w:val="auto"/>
        <w:rPr>
          <w:rFonts w:ascii="宋体" w:hAnsi="宋体" w:eastAsia="仿宋_GB2312" w:cs="Times New Roman"/>
          <w:color w:val="auto"/>
          <w:sz w:val="24"/>
          <w:szCs w:val="32"/>
          <w:highlight w:val="none"/>
        </w:rPr>
      </w:pPr>
      <w:r>
        <w:rPr>
          <w:rFonts w:ascii="宋体" w:hAnsi="宋体" w:eastAsia="仿宋_GB2312" w:cs="Times New Roman"/>
          <w:color w:val="auto"/>
          <w:sz w:val="24"/>
          <w:szCs w:val="32"/>
          <w:highlight w:val="none"/>
        </w:rPr>
        <w:t>保证对具备安全生产条件所必需资金的投入，并对由于安全生产所必须的资金投入不足</w:t>
      </w:r>
      <w:r>
        <w:rPr>
          <w:rFonts w:hint="eastAsia" w:ascii="宋体" w:hAnsi="宋体" w:eastAsia="仿宋_GB2312" w:cs="Times New Roman"/>
          <w:color w:val="auto"/>
          <w:sz w:val="24"/>
          <w:szCs w:val="32"/>
          <w:highlight w:val="none"/>
        </w:rPr>
        <w:t>而</w:t>
      </w:r>
      <w:r>
        <w:rPr>
          <w:rFonts w:ascii="宋体" w:hAnsi="宋体" w:eastAsia="仿宋_GB2312" w:cs="Times New Roman"/>
          <w:color w:val="auto"/>
          <w:sz w:val="24"/>
          <w:szCs w:val="32"/>
          <w:highlight w:val="none"/>
        </w:rPr>
        <w:t>导致的后果承担</w:t>
      </w:r>
      <w:r>
        <w:rPr>
          <w:rFonts w:hint="eastAsia" w:ascii="宋体" w:hAnsi="宋体" w:eastAsia="仿宋_GB2312" w:cs="Times New Roman"/>
          <w:color w:val="auto"/>
          <w:sz w:val="24"/>
          <w:szCs w:val="32"/>
          <w:highlight w:val="none"/>
        </w:rPr>
        <w:t>全部</w:t>
      </w:r>
      <w:r>
        <w:rPr>
          <w:rFonts w:ascii="宋体" w:hAnsi="宋体" w:eastAsia="仿宋_GB2312" w:cs="Times New Roman"/>
          <w:color w:val="auto"/>
          <w:sz w:val="24"/>
          <w:szCs w:val="32"/>
          <w:highlight w:val="none"/>
        </w:rPr>
        <w:t>责任。</w:t>
      </w:r>
    </w:p>
    <w:p w14:paraId="26E09B70">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jc w:val="left"/>
        <w:textAlignment w:val="auto"/>
        <w:rPr>
          <w:rFonts w:ascii="宋体" w:hAnsi="宋体" w:eastAsia="仿宋_GB2312" w:cs="Times New Roman"/>
          <w:color w:val="auto"/>
          <w:sz w:val="24"/>
          <w:szCs w:val="32"/>
          <w:highlight w:val="none"/>
        </w:rPr>
      </w:pPr>
      <w:r>
        <w:rPr>
          <w:rFonts w:ascii="宋体" w:hAnsi="宋体" w:eastAsia="仿宋_GB2312" w:cs="Times New Roman"/>
          <w:color w:val="auto"/>
          <w:sz w:val="24"/>
          <w:szCs w:val="32"/>
          <w:highlight w:val="none"/>
        </w:rPr>
        <w:t>承包方按照国家规定配备专职或兼职的安全管理人员。</w:t>
      </w:r>
    </w:p>
    <w:p w14:paraId="4B63DF89">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jc w:val="left"/>
        <w:textAlignment w:val="auto"/>
        <w:rPr>
          <w:rFonts w:ascii="宋体" w:hAnsi="宋体" w:eastAsia="仿宋_GB2312" w:cs="Times New Roman"/>
          <w:color w:val="auto"/>
          <w:sz w:val="24"/>
          <w:szCs w:val="32"/>
          <w:highlight w:val="none"/>
        </w:rPr>
      </w:pPr>
      <w:r>
        <w:rPr>
          <w:rFonts w:ascii="宋体" w:hAnsi="宋体" w:eastAsia="仿宋_GB2312" w:cs="Times New Roman"/>
          <w:color w:val="auto"/>
          <w:sz w:val="24"/>
          <w:szCs w:val="32"/>
          <w:highlight w:val="none"/>
        </w:rPr>
        <w:t>承包方主要负责人和安全生产管理人员必须具备与本</w:t>
      </w:r>
      <w:r>
        <w:rPr>
          <w:rFonts w:hint="eastAsia" w:ascii="宋体" w:hAnsi="宋体" w:eastAsia="仿宋_GB2312" w:cs="Times New Roman"/>
          <w:color w:val="auto"/>
          <w:sz w:val="24"/>
          <w:szCs w:val="32"/>
          <w:highlight w:val="none"/>
        </w:rPr>
        <w:t>工程项目</w:t>
      </w:r>
      <w:r>
        <w:rPr>
          <w:rFonts w:ascii="宋体" w:hAnsi="宋体" w:eastAsia="仿宋_GB2312" w:cs="Times New Roman"/>
          <w:color w:val="auto"/>
          <w:sz w:val="24"/>
          <w:szCs w:val="32"/>
          <w:highlight w:val="none"/>
        </w:rPr>
        <w:t>相适应的安全生产知识和管理能力，并</w:t>
      </w:r>
      <w:r>
        <w:rPr>
          <w:rFonts w:hint="eastAsia" w:ascii="宋体" w:hAnsi="宋体" w:eastAsia="仿宋_GB2312" w:cs="Times New Roman"/>
          <w:color w:val="auto"/>
          <w:sz w:val="24"/>
          <w:szCs w:val="32"/>
          <w:highlight w:val="none"/>
        </w:rPr>
        <w:t>经专门培训</w:t>
      </w:r>
      <w:r>
        <w:rPr>
          <w:rFonts w:ascii="宋体" w:hAnsi="宋体" w:eastAsia="仿宋_GB2312" w:cs="Times New Roman"/>
          <w:color w:val="auto"/>
          <w:sz w:val="24"/>
          <w:szCs w:val="32"/>
          <w:highlight w:val="none"/>
        </w:rPr>
        <w:t>考核合格后方可</w:t>
      </w:r>
      <w:r>
        <w:rPr>
          <w:rFonts w:hint="eastAsia" w:ascii="宋体" w:hAnsi="宋体" w:eastAsia="仿宋_GB2312" w:cs="Times New Roman"/>
          <w:color w:val="auto"/>
          <w:sz w:val="24"/>
          <w:szCs w:val="32"/>
          <w:highlight w:val="none"/>
        </w:rPr>
        <w:t>上岗</w:t>
      </w:r>
      <w:r>
        <w:rPr>
          <w:rFonts w:ascii="宋体" w:hAnsi="宋体" w:eastAsia="仿宋_GB2312" w:cs="Times New Roman"/>
          <w:color w:val="auto"/>
          <w:sz w:val="24"/>
          <w:szCs w:val="32"/>
          <w:highlight w:val="none"/>
        </w:rPr>
        <w:t>。</w:t>
      </w:r>
    </w:p>
    <w:p w14:paraId="3355F53B">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ascii="宋体" w:hAnsi="宋体" w:eastAsia="仿宋_GB2312" w:cs="Times New Roman"/>
          <w:color w:val="auto"/>
          <w:sz w:val="24"/>
          <w:szCs w:val="32"/>
          <w:highlight w:val="none"/>
        </w:rPr>
      </w:pPr>
      <w:r>
        <w:rPr>
          <w:rFonts w:ascii="宋体" w:hAnsi="宋体" w:eastAsia="仿宋_GB2312" w:cs="Times New Roman"/>
          <w:color w:val="auto"/>
          <w:sz w:val="24"/>
          <w:szCs w:val="32"/>
          <w:highlight w:val="none"/>
        </w:rPr>
        <w:t>根据《安全生产法》的规定，</w:t>
      </w:r>
      <w:r>
        <w:rPr>
          <w:rFonts w:hint="eastAsia" w:ascii="宋体" w:hAnsi="宋体" w:eastAsia="仿宋_GB2312" w:cs="Times New Roman"/>
          <w:color w:val="auto"/>
          <w:sz w:val="24"/>
          <w:szCs w:val="32"/>
          <w:highlight w:val="none"/>
        </w:rPr>
        <w:t>承包方务必加大从业人员的安全教育，确保全体施工人员均参加安全教育培训，</w:t>
      </w:r>
      <w:r>
        <w:rPr>
          <w:rFonts w:ascii="宋体" w:hAnsi="宋体" w:eastAsia="仿宋_GB2312" w:cs="Times New Roman"/>
          <w:color w:val="auto"/>
          <w:sz w:val="24"/>
          <w:szCs w:val="32"/>
          <w:highlight w:val="none"/>
        </w:rPr>
        <w:t>保证从业人员具备安全生产知识，熟悉安全生产规章制度和安全操作规程，掌握本岗位的安全操作技能，未经安全生产教育培训合格的人员不得上岗作业。</w:t>
      </w:r>
      <w:r>
        <w:rPr>
          <w:rFonts w:hint="eastAsia" w:ascii="宋体" w:hAnsi="宋体" w:eastAsia="仿宋_GB2312" w:cs="Times New Roman"/>
          <w:color w:val="auto"/>
          <w:sz w:val="24"/>
          <w:szCs w:val="32"/>
          <w:highlight w:val="none"/>
        </w:rPr>
        <w:t>培训时承包方应通知发包方到场指导、见证，培训结束后2个工作日内，承包方应将安全教育的方案、培训时的签到表、培训现场照片等相关资料，报发包方备案。</w:t>
      </w:r>
    </w:p>
    <w:p w14:paraId="0BD1753B">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ascii="宋体" w:hAnsi="宋体" w:eastAsia="仿宋_GB2312" w:cs="Times New Roman"/>
          <w:color w:val="auto"/>
          <w:sz w:val="24"/>
          <w:szCs w:val="32"/>
          <w:highlight w:val="none"/>
        </w:rPr>
      </w:pPr>
      <w:r>
        <w:rPr>
          <w:rFonts w:hint="eastAsia" w:ascii="宋体" w:hAnsi="宋体" w:eastAsia="仿宋_GB2312" w:cs="黑体"/>
          <w:color w:val="auto"/>
          <w:sz w:val="24"/>
          <w:szCs w:val="32"/>
          <w:highlight w:val="none"/>
        </w:rPr>
        <w:t>特种作业人员必须按照国家有关规定经专门的安全作业培训，取得相应资格，方可上岗作业。特种作业人员的范围由国务院应急管理部门会同国务院有关部门确定，特种作业大致包括：电工作业、焊接与热切割作业、高处作业、制冷与空调作业、危险化学品安全作业等。</w:t>
      </w:r>
    </w:p>
    <w:p w14:paraId="5576FF5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ascii="宋体" w:hAnsi="宋体" w:eastAsia="仿宋_GB2312" w:cs="Times New Roman"/>
          <w:color w:val="auto"/>
          <w:sz w:val="24"/>
          <w:szCs w:val="32"/>
          <w:highlight w:val="none"/>
        </w:rPr>
      </w:pPr>
      <w:r>
        <w:rPr>
          <w:rFonts w:hint="eastAsia" w:ascii="宋体" w:hAnsi="宋体" w:eastAsia="仿宋_GB2312" w:cs="黑体"/>
          <w:color w:val="auto"/>
          <w:sz w:val="24"/>
          <w:szCs w:val="32"/>
          <w:highlight w:val="none"/>
          <w:lang w:val="en-US" w:eastAsia="zh-CN"/>
        </w:rPr>
        <w:t>承包方进行爆破、吊装、动火、临时用电、有限空间作业以及国务院应急管理部门会同国务院有关部门规定的其他危险作业，应当安排专门人员进行现场安全管理，确保操作规程的遵守和安全措施的落实。</w:t>
      </w:r>
    </w:p>
    <w:p w14:paraId="3C3F6D1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ascii="宋体" w:hAnsi="宋体" w:eastAsia="仿宋_GB2312" w:cs="Times New Roman"/>
          <w:color w:val="auto"/>
          <w:sz w:val="24"/>
          <w:szCs w:val="32"/>
          <w:highlight w:val="none"/>
        </w:rPr>
      </w:pPr>
      <w:r>
        <w:rPr>
          <w:rFonts w:hint="eastAsia" w:ascii="宋体" w:hAnsi="宋体" w:eastAsia="仿宋_GB2312" w:cs="黑体"/>
          <w:color w:val="auto"/>
          <w:sz w:val="24"/>
          <w:szCs w:val="32"/>
          <w:highlight w:val="none"/>
          <w:lang w:val="en-US" w:eastAsia="zh-CN"/>
        </w:rPr>
        <w:t>承包方</w:t>
      </w:r>
      <w:r>
        <w:rPr>
          <w:rFonts w:hint="eastAsia" w:ascii="宋体" w:hAnsi="宋体" w:eastAsia="仿宋_GB2312" w:cs="黑体"/>
          <w:color w:val="auto"/>
          <w:sz w:val="24"/>
          <w:szCs w:val="32"/>
          <w:highlight w:val="none"/>
        </w:rPr>
        <w:t>按照国家有关规定配备特种设备安全管理人员和作业人员，并对其进行必要的安全教育和技能培训。</w:t>
      </w:r>
      <w:r>
        <w:rPr>
          <w:rFonts w:hint="eastAsia" w:ascii="宋体" w:hAnsi="宋体" w:eastAsia="仿宋_GB2312" w:cs="黑体"/>
          <w:color w:val="auto"/>
          <w:sz w:val="24"/>
          <w:szCs w:val="32"/>
          <w:highlight w:val="none"/>
          <w:lang w:val="en-US" w:eastAsia="zh-CN"/>
        </w:rPr>
        <w:t>承包方需提供特种作业人员花名册、操作证复印件和培训记录。</w:t>
      </w:r>
    </w:p>
    <w:p w14:paraId="18E0545F">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施工人员进场作业时，承包方应对其进行安全教育培训及安全技术交底，没有进行安全教育或进场施工人员与安全交底时签署的人员姓名不一致时，一律禁止该作业人员进场施工。</w:t>
      </w:r>
    </w:p>
    <w:p w14:paraId="3A7AA248">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发包方有权不定期监督或检查现场施工人员的安全教育培训情况，对现场施工人员进行安全保护知识、岗位技能知识的抽查。如发现现场施工人员</w:t>
      </w:r>
      <w:r>
        <w:rPr>
          <w:rFonts w:hint="eastAsia" w:ascii="宋体" w:hAnsi="宋体" w:eastAsia="仿宋_GB2312" w:cs="黑体"/>
          <w:color w:val="auto"/>
          <w:sz w:val="24"/>
          <w:szCs w:val="32"/>
          <w:highlight w:val="none"/>
          <w:lang w:eastAsia="zh-CN"/>
        </w:rPr>
        <w:t>未经安全教育培训或安全教育培训不合格</w:t>
      </w:r>
      <w:r>
        <w:rPr>
          <w:rFonts w:hint="eastAsia" w:ascii="宋体" w:hAnsi="宋体" w:eastAsia="仿宋_GB2312" w:cs="Times New Roman"/>
          <w:color w:val="auto"/>
          <w:sz w:val="24"/>
          <w:szCs w:val="32"/>
          <w:highlight w:val="none"/>
        </w:rPr>
        <w:t>，将责令承包方在2个工作日内再次组织现场施工人员进行安全教育培训。</w:t>
      </w:r>
      <w:r>
        <w:rPr>
          <w:rFonts w:ascii="宋体" w:hAnsi="宋体" w:eastAsia="仿宋_GB2312" w:cs="Times New Roman"/>
          <w:color w:val="auto"/>
          <w:sz w:val="24"/>
          <w:szCs w:val="32"/>
          <w:highlight w:val="none"/>
        </w:rPr>
        <w:t xml:space="preserve"> </w:t>
      </w:r>
    </w:p>
    <w:p w14:paraId="06E26AC8">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ascii="宋体" w:hAnsi="宋体" w:eastAsia="仿宋_GB2312" w:cs="Times New Roman"/>
          <w:color w:val="auto"/>
          <w:sz w:val="24"/>
          <w:szCs w:val="32"/>
          <w:highlight w:val="none"/>
        </w:rPr>
      </w:pPr>
      <w:r>
        <w:rPr>
          <w:rFonts w:ascii="宋体" w:hAnsi="宋体" w:eastAsia="仿宋_GB2312" w:cs="Times New Roman"/>
          <w:color w:val="auto"/>
          <w:sz w:val="24"/>
          <w:szCs w:val="32"/>
          <w:highlight w:val="none"/>
        </w:rPr>
        <w:t>对有较大危险因素的作业场所和有关设施、设备要设置明显的安全警示标志</w:t>
      </w:r>
      <w:r>
        <w:rPr>
          <w:rFonts w:hint="eastAsia" w:ascii="宋体" w:hAnsi="宋体" w:eastAsia="仿宋_GB2312" w:cs="Times New Roman"/>
          <w:color w:val="auto"/>
          <w:sz w:val="24"/>
          <w:szCs w:val="32"/>
          <w:highlight w:val="none"/>
        </w:rPr>
        <w:t>及其相应的安全防护措施</w:t>
      </w:r>
      <w:r>
        <w:rPr>
          <w:rFonts w:ascii="宋体" w:hAnsi="宋体" w:eastAsia="仿宋_GB2312" w:cs="Times New Roman"/>
          <w:color w:val="auto"/>
          <w:sz w:val="24"/>
          <w:szCs w:val="32"/>
          <w:highlight w:val="none"/>
        </w:rPr>
        <w:t>。</w:t>
      </w:r>
    </w:p>
    <w:p w14:paraId="3CCCF49C">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ascii="宋体" w:hAnsi="宋体" w:eastAsia="仿宋_GB2312" w:cs="Times New Roman"/>
          <w:color w:val="auto"/>
          <w:sz w:val="24"/>
          <w:szCs w:val="32"/>
          <w:highlight w:val="none"/>
        </w:rPr>
      </w:pPr>
      <w:r>
        <w:rPr>
          <w:rFonts w:ascii="宋体" w:hAnsi="宋体" w:eastAsia="仿宋_GB2312" w:cs="Times New Roman"/>
          <w:color w:val="auto"/>
          <w:sz w:val="24"/>
          <w:szCs w:val="32"/>
          <w:highlight w:val="none"/>
        </w:rPr>
        <w:t>承包方</w:t>
      </w:r>
      <w:r>
        <w:rPr>
          <w:rFonts w:hint="eastAsia" w:ascii="宋体" w:hAnsi="宋体" w:eastAsia="仿宋_GB2312" w:cs="Times New Roman"/>
          <w:color w:val="auto"/>
          <w:sz w:val="24"/>
          <w:szCs w:val="32"/>
          <w:highlight w:val="none"/>
        </w:rPr>
        <w:t>应对员工配备相应劳动防护用品，施工负责人和安全检查员应随时检查劳动防护用品的穿戴情况，不按规定穿戴防护用品的人员不得上岗。</w:t>
      </w:r>
    </w:p>
    <w:p w14:paraId="3548E97E">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ascii="宋体" w:hAnsi="宋体" w:eastAsia="仿宋_GB2312" w:cs="Times New Roman"/>
          <w:color w:val="auto"/>
          <w:sz w:val="24"/>
          <w:szCs w:val="32"/>
          <w:highlight w:val="none"/>
        </w:rPr>
      </w:pPr>
      <w:r>
        <w:rPr>
          <w:rFonts w:ascii="宋体" w:hAnsi="宋体" w:eastAsia="仿宋_GB2312" w:cs="Times New Roman"/>
          <w:color w:val="auto"/>
          <w:sz w:val="24"/>
          <w:szCs w:val="32"/>
          <w:highlight w:val="none"/>
        </w:rPr>
        <w:t>发包方</w:t>
      </w:r>
      <w:r>
        <w:rPr>
          <w:rFonts w:hint="eastAsia" w:ascii="宋体" w:hAnsi="宋体" w:eastAsia="仿宋_GB2312" w:cs="Times New Roman"/>
          <w:color w:val="auto"/>
          <w:sz w:val="24"/>
          <w:szCs w:val="32"/>
          <w:highlight w:val="none"/>
        </w:rPr>
        <w:t>或</w:t>
      </w:r>
      <w:r>
        <w:rPr>
          <w:rFonts w:ascii="宋体" w:hAnsi="宋体" w:eastAsia="仿宋_GB2312" w:cs="Times New Roman"/>
          <w:color w:val="auto"/>
          <w:sz w:val="24"/>
          <w:szCs w:val="32"/>
          <w:highlight w:val="none"/>
        </w:rPr>
        <w:t>安全生产监督</w:t>
      </w:r>
      <w:r>
        <w:rPr>
          <w:rFonts w:hint="eastAsia" w:ascii="宋体" w:hAnsi="宋体" w:eastAsia="仿宋_GB2312" w:cs="Times New Roman"/>
          <w:color w:val="auto"/>
          <w:sz w:val="24"/>
          <w:szCs w:val="32"/>
          <w:highlight w:val="none"/>
        </w:rPr>
        <w:t>管理部门</w:t>
      </w:r>
      <w:r>
        <w:rPr>
          <w:rFonts w:ascii="宋体" w:hAnsi="宋体" w:eastAsia="仿宋_GB2312" w:cs="Times New Roman"/>
          <w:color w:val="auto"/>
          <w:sz w:val="24"/>
          <w:szCs w:val="32"/>
          <w:highlight w:val="none"/>
        </w:rPr>
        <w:t>进行安全监督检查时，承包方要主动接受检查，并积极配合，不得拒绝</w:t>
      </w:r>
      <w:r>
        <w:rPr>
          <w:rFonts w:hint="eastAsia" w:ascii="宋体" w:hAnsi="宋体" w:eastAsia="仿宋_GB2312" w:cs="Times New Roman"/>
          <w:color w:val="auto"/>
          <w:sz w:val="24"/>
          <w:szCs w:val="32"/>
          <w:highlight w:val="none"/>
        </w:rPr>
        <w:t>、</w:t>
      </w:r>
      <w:r>
        <w:rPr>
          <w:rFonts w:ascii="宋体" w:hAnsi="宋体" w:eastAsia="仿宋_GB2312" w:cs="Times New Roman"/>
          <w:color w:val="auto"/>
          <w:sz w:val="24"/>
          <w:szCs w:val="32"/>
          <w:highlight w:val="none"/>
        </w:rPr>
        <w:t>阻挠和拖延，并在检查记录上签字</w:t>
      </w:r>
      <w:r>
        <w:rPr>
          <w:rFonts w:hint="eastAsia" w:ascii="宋体" w:hAnsi="宋体" w:eastAsia="仿宋_GB2312" w:cs="Times New Roman"/>
          <w:color w:val="auto"/>
          <w:sz w:val="24"/>
          <w:szCs w:val="32"/>
          <w:highlight w:val="none"/>
        </w:rPr>
        <w:t>确认</w:t>
      </w:r>
      <w:r>
        <w:rPr>
          <w:rFonts w:ascii="宋体" w:hAnsi="宋体" w:eastAsia="仿宋_GB2312" w:cs="Times New Roman"/>
          <w:color w:val="auto"/>
          <w:sz w:val="24"/>
          <w:szCs w:val="32"/>
          <w:highlight w:val="none"/>
        </w:rPr>
        <w:t>。</w:t>
      </w:r>
    </w:p>
    <w:p w14:paraId="68B15E51">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定期</w:t>
      </w:r>
      <w:r>
        <w:rPr>
          <w:rFonts w:ascii="宋体" w:hAnsi="宋体" w:eastAsia="仿宋_GB2312" w:cs="Times New Roman"/>
          <w:color w:val="auto"/>
          <w:sz w:val="24"/>
          <w:szCs w:val="32"/>
          <w:highlight w:val="none"/>
        </w:rPr>
        <w:t>召开一次安全文明生产会议，自查自纠不安全因素及隐患，保证工程顺利进行，会议记录上报发包方备案。</w:t>
      </w:r>
    </w:p>
    <w:p w14:paraId="1AA46303">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ascii="宋体" w:hAnsi="宋体" w:eastAsia="仿宋_GB2312" w:cs="Times New Roman"/>
          <w:color w:val="auto"/>
          <w:sz w:val="24"/>
          <w:szCs w:val="32"/>
          <w:highlight w:val="none"/>
        </w:rPr>
      </w:pPr>
      <w:r>
        <w:rPr>
          <w:rFonts w:ascii="宋体" w:hAnsi="宋体" w:eastAsia="仿宋_GB2312" w:cs="Times New Roman"/>
          <w:color w:val="auto"/>
          <w:sz w:val="24"/>
          <w:szCs w:val="32"/>
          <w:highlight w:val="none"/>
        </w:rPr>
        <w:t>用电必须符合《施工现场临时用电安全技术规范》的要求。</w:t>
      </w:r>
    </w:p>
    <w:p w14:paraId="4374DDE9">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工程安全管理架构、审核(或专家评审)通过后施工方案、事故应急抢险预案等资料要工程施工前报</w:t>
      </w:r>
      <w:r>
        <w:rPr>
          <w:rFonts w:ascii="宋体" w:hAnsi="宋体" w:eastAsia="仿宋_GB2312" w:cs="Times New Roman"/>
          <w:color w:val="auto"/>
          <w:sz w:val="24"/>
          <w:szCs w:val="32"/>
          <w:highlight w:val="none"/>
        </w:rPr>
        <w:t>发包方备案</w:t>
      </w:r>
      <w:r>
        <w:rPr>
          <w:rFonts w:hint="eastAsia" w:ascii="宋体" w:hAnsi="宋体" w:eastAsia="仿宋_GB2312" w:cs="Times New Roman"/>
          <w:color w:val="auto"/>
          <w:sz w:val="24"/>
          <w:szCs w:val="32"/>
          <w:highlight w:val="none"/>
        </w:rPr>
        <w:t>。</w:t>
      </w:r>
    </w:p>
    <w:p w14:paraId="7E167318">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作业人员要严格遵守</w:t>
      </w:r>
      <w:r>
        <w:rPr>
          <w:rFonts w:ascii="宋体" w:hAnsi="宋体" w:eastAsia="仿宋_GB2312" w:cs="Times New Roman"/>
          <w:color w:val="auto"/>
          <w:sz w:val="24"/>
          <w:szCs w:val="32"/>
          <w:highlight w:val="none"/>
        </w:rPr>
        <w:t>发包方</w:t>
      </w:r>
      <w:r>
        <w:rPr>
          <w:rFonts w:hint="eastAsia" w:ascii="宋体" w:hAnsi="宋体" w:eastAsia="仿宋_GB2312" w:cs="Times New Roman"/>
          <w:color w:val="auto"/>
          <w:sz w:val="24"/>
          <w:szCs w:val="32"/>
          <w:highlight w:val="none"/>
        </w:rPr>
        <w:t>出入生产场所的管理规定，未经许可，严禁闯入。</w:t>
      </w:r>
    </w:p>
    <w:p w14:paraId="2145D7FF">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实施过程中遇不明的地下设施时，必须报</w:t>
      </w:r>
      <w:r>
        <w:rPr>
          <w:rFonts w:ascii="宋体" w:hAnsi="宋体" w:eastAsia="仿宋_GB2312" w:cs="Times New Roman"/>
          <w:color w:val="auto"/>
          <w:sz w:val="24"/>
          <w:szCs w:val="32"/>
          <w:highlight w:val="none"/>
        </w:rPr>
        <w:t>发包方</w:t>
      </w:r>
      <w:r>
        <w:rPr>
          <w:rFonts w:hint="eastAsia" w:ascii="宋体" w:hAnsi="宋体" w:eastAsia="仿宋_GB2312" w:cs="Times New Roman"/>
          <w:color w:val="auto"/>
          <w:sz w:val="24"/>
          <w:szCs w:val="32"/>
          <w:highlight w:val="none"/>
        </w:rPr>
        <w:t>人员鉴别后，才能继续施工。</w:t>
      </w:r>
    </w:p>
    <w:p w14:paraId="7E145402">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在实施过程</w:t>
      </w:r>
      <w:r>
        <w:rPr>
          <w:rFonts w:ascii="宋体" w:hAnsi="宋体" w:eastAsia="仿宋_GB2312" w:cs="Times New Roman"/>
          <w:color w:val="auto"/>
          <w:sz w:val="24"/>
          <w:szCs w:val="32"/>
          <w:highlight w:val="none"/>
        </w:rPr>
        <w:t>中</w:t>
      </w:r>
      <w:r>
        <w:rPr>
          <w:rFonts w:hint="eastAsia" w:ascii="宋体" w:hAnsi="宋体" w:eastAsia="仿宋_GB2312" w:cs="Times New Roman"/>
          <w:color w:val="auto"/>
          <w:sz w:val="24"/>
          <w:szCs w:val="32"/>
          <w:highlight w:val="none"/>
        </w:rPr>
        <w:t>，对</w:t>
      </w:r>
      <w:r>
        <w:rPr>
          <w:rFonts w:ascii="宋体" w:hAnsi="宋体" w:eastAsia="仿宋_GB2312" w:cs="Times New Roman"/>
          <w:color w:val="auto"/>
          <w:sz w:val="24"/>
          <w:szCs w:val="32"/>
          <w:highlight w:val="none"/>
        </w:rPr>
        <w:t>检查出的违法、违规、违章行为，</w:t>
      </w:r>
      <w:r>
        <w:rPr>
          <w:rFonts w:hint="eastAsia" w:ascii="宋体" w:hAnsi="宋体" w:eastAsia="仿宋_GB2312" w:cs="Times New Roman"/>
          <w:color w:val="auto"/>
          <w:sz w:val="24"/>
          <w:szCs w:val="32"/>
          <w:highlight w:val="none"/>
        </w:rPr>
        <w:t>将</w:t>
      </w:r>
      <w:r>
        <w:rPr>
          <w:rFonts w:ascii="宋体" w:hAnsi="宋体" w:eastAsia="仿宋_GB2312" w:cs="Times New Roman"/>
          <w:color w:val="auto"/>
          <w:sz w:val="24"/>
          <w:szCs w:val="32"/>
          <w:highlight w:val="none"/>
        </w:rPr>
        <w:t>按</w:t>
      </w:r>
      <w:r>
        <w:rPr>
          <w:rFonts w:hint="eastAsia" w:ascii="宋体" w:hAnsi="宋体" w:eastAsia="仿宋_GB2312" w:cs="Times New Roman"/>
          <w:color w:val="auto"/>
          <w:sz w:val="24"/>
          <w:szCs w:val="32"/>
          <w:highlight w:val="none"/>
        </w:rPr>
        <w:t>合同相关条款扣罚</w:t>
      </w:r>
      <w:r>
        <w:rPr>
          <w:rFonts w:ascii="宋体" w:hAnsi="宋体" w:eastAsia="仿宋_GB2312" w:cs="Times New Roman"/>
          <w:color w:val="auto"/>
          <w:sz w:val="24"/>
          <w:szCs w:val="32"/>
          <w:highlight w:val="none"/>
        </w:rPr>
        <w:t>违约责任金，承包方</w:t>
      </w:r>
      <w:r>
        <w:rPr>
          <w:rFonts w:hint="eastAsia" w:ascii="宋体" w:hAnsi="宋体" w:eastAsia="仿宋_GB2312" w:cs="Times New Roman"/>
          <w:color w:val="auto"/>
          <w:sz w:val="24"/>
          <w:szCs w:val="32"/>
          <w:highlight w:val="none"/>
        </w:rPr>
        <w:t>承担因</w:t>
      </w:r>
      <w:r>
        <w:rPr>
          <w:rFonts w:ascii="宋体" w:hAnsi="宋体" w:eastAsia="仿宋_GB2312" w:cs="Times New Roman"/>
          <w:color w:val="auto"/>
          <w:sz w:val="24"/>
          <w:szCs w:val="32"/>
          <w:highlight w:val="none"/>
        </w:rPr>
        <w:t>承包方的</w:t>
      </w:r>
      <w:r>
        <w:rPr>
          <w:rFonts w:hint="eastAsia" w:ascii="宋体" w:hAnsi="宋体" w:eastAsia="仿宋_GB2312" w:cs="Times New Roman"/>
          <w:color w:val="auto"/>
          <w:sz w:val="24"/>
          <w:szCs w:val="32"/>
          <w:highlight w:val="none"/>
        </w:rPr>
        <w:t>原因</w:t>
      </w:r>
      <w:r>
        <w:rPr>
          <w:rFonts w:ascii="宋体" w:hAnsi="宋体" w:eastAsia="仿宋_GB2312" w:cs="Times New Roman"/>
          <w:color w:val="auto"/>
          <w:sz w:val="24"/>
          <w:szCs w:val="32"/>
          <w:highlight w:val="none"/>
        </w:rPr>
        <w:t>造成</w:t>
      </w:r>
      <w:r>
        <w:rPr>
          <w:rFonts w:hint="eastAsia" w:ascii="宋体" w:hAnsi="宋体" w:eastAsia="仿宋_GB2312" w:cs="Times New Roman"/>
          <w:color w:val="auto"/>
          <w:sz w:val="24"/>
          <w:szCs w:val="32"/>
          <w:highlight w:val="none"/>
        </w:rPr>
        <w:t>的法律责任和经济责任</w:t>
      </w:r>
      <w:r>
        <w:rPr>
          <w:rFonts w:ascii="宋体" w:hAnsi="宋体" w:eastAsia="仿宋_GB2312" w:cs="Times New Roman"/>
          <w:color w:val="auto"/>
          <w:sz w:val="24"/>
          <w:szCs w:val="32"/>
          <w:highlight w:val="none"/>
        </w:rPr>
        <w:t>。</w:t>
      </w:r>
    </w:p>
    <w:p w14:paraId="43786C02">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严格执行《生产安全事故报告和调查处理条例》。如承包方发生生产安全事故时，必须立即向发包方和政府有关部门报告，并启动事故应急救援预案，全力抢救伤员，保护事故现场。如因施救伤员必须移动现场设备、设施时，要做好记录和拍照，不得破坏事故现场；做好善后工作，积极配合相关部门做好事故调整及取证；并负责工伤统计、安全事故指标及处理费用，发包方视事故程度，提供必要的协助。</w:t>
      </w:r>
    </w:p>
    <w:p w14:paraId="05B89F87">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ascii="宋体" w:hAnsi="宋体" w:eastAsia="仿宋_GB2312" w:cs="Times New Roman"/>
          <w:color w:val="auto"/>
          <w:sz w:val="24"/>
          <w:szCs w:val="32"/>
          <w:highlight w:val="none"/>
        </w:rPr>
      </w:pPr>
      <w:r>
        <w:rPr>
          <w:rFonts w:ascii="宋体" w:hAnsi="宋体" w:eastAsia="仿宋_GB2312" w:cs="Times New Roman"/>
          <w:color w:val="auto"/>
          <w:sz w:val="24"/>
          <w:szCs w:val="32"/>
          <w:highlight w:val="none"/>
        </w:rPr>
        <w:t>承包方</w:t>
      </w:r>
      <w:r>
        <w:rPr>
          <w:rFonts w:hint="eastAsia" w:ascii="宋体" w:hAnsi="宋体" w:eastAsia="仿宋_GB2312" w:cs="Times New Roman"/>
          <w:color w:val="auto"/>
          <w:sz w:val="24"/>
          <w:szCs w:val="32"/>
          <w:highlight w:val="none"/>
        </w:rPr>
        <w:t>不得将工程项目层层转包，专业分包必须具备相应的资质及安全生产条件。</w:t>
      </w:r>
    </w:p>
    <w:p w14:paraId="1C51B8AB">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hint="eastAsia" w:ascii="宋体" w:hAnsi="宋体" w:eastAsia="仿宋_GB2312" w:cs="Times New Roman"/>
          <w:color w:val="auto"/>
          <w:sz w:val="24"/>
          <w:szCs w:val="32"/>
          <w:highlight w:val="none"/>
        </w:rPr>
      </w:pPr>
      <w:r>
        <w:rPr>
          <w:rFonts w:ascii="宋体" w:hAnsi="宋体" w:eastAsia="仿宋_GB2312" w:cs="Times New Roman"/>
          <w:color w:val="auto"/>
          <w:sz w:val="24"/>
          <w:szCs w:val="32"/>
          <w:highlight w:val="none"/>
        </w:rPr>
        <w:t>承包方</w:t>
      </w:r>
      <w:r>
        <w:rPr>
          <w:rFonts w:hint="eastAsia" w:ascii="宋体" w:hAnsi="宋体" w:eastAsia="仿宋_GB2312" w:cs="Times New Roman"/>
          <w:color w:val="auto"/>
          <w:sz w:val="24"/>
          <w:szCs w:val="32"/>
          <w:highlight w:val="none"/>
        </w:rPr>
        <w:t>根据项目的特点，编制各项安全技术方案，完善方案审批手续，并在实施过程中严格执行。</w:t>
      </w:r>
    </w:p>
    <w:p w14:paraId="129D4269">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hint="eastAsia" w:ascii="宋体" w:hAnsi="宋体" w:eastAsia="仿宋_GB2312" w:cs="Times New Roman"/>
          <w:color w:val="auto"/>
          <w:sz w:val="24"/>
          <w:szCs w:val="32"/>
          <w:highlight w:val="none"/>
          <w:lang w:val="en-US" w:eastAsia="zh-CN"/>
        </w:rPr>
      </w:pPr>
      <w:r>
        <w:rPr>
          <w:rFonts w:hint="eastAsia" w:ascii="宋体" w:hAnsi="宋体" w:eastAsia="仿宋_GB2312" w:cs="Times New Roman"/>
          <w:color w:val="auto"/>
          <w:sz w:val="24"/>
          <w:szCs w:val="32"/>
          <w:highlight w:val="none"/>
          <w:lang w:val="en-US" w:eastAsia="zh-CN"/>
        </w:rPr>
        <w:t>承包方使用发包方场地内的特种设备需经过发包方同意，并在发包方特种设备管理人员的监管下使用。</w:t>
      </w:r>
    </w:p>
    <w:p w14:paraId="2E4CA623">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hint="eastAsia" w:ascii="宋体" w:hAnsi="宋体" w:eastAsia="仿宋_GB2312" w:cs="黑体"/>
          <w:color w:val="auto"/>
          <w:sz w:val="24"/>
          <w:szCs w:val="32"/>
          <w:highlight w:val="none"/>
          <w:lang w:val="en-US" w:eastAsia="zh-CN"/>
        </w:rPr>
      </w:pPr>
      <w:r>
        <w:rPr>
          <w:rFonts w:hint="eastAsia" w:ascii="宋体" w:hAnsi="宋体" w:eastAsia="仿宋_GB2312" w:cs="黑体"/>
          <w:color w:val="auto"/>
          <w:sz w:val="24"/>
          <w:szCs w:val="32"/>
          <w:highlight w:val="none"/>
        </w:rPr>
        <w:t>进</w:t>
      </w:r>
      <w:r>
        <w:rPr>
          <w:rFonts w:hint="eastAsia" w:ascii="宋体" w:hAnsi="宋体" w:eastAsia="仿宋_GB2312" w:cs="黑体"/>
          <w:color w:val="auto"/>
          <w:sz w:val="24"/>
          <w:szCs w:val="32"/>
          <w:highlight w:val="none"/>
          <w:lang w:val="en-US" w:eastAsia="zh-CN"/>
        </w:rPr>
        <w:t>场</w:t>
      </w:r>
      <w:r>
        <w:rPr>
          <w:rFonts w:hint="eastAsia" w:ascii="宋体" w:hAnsi="宋体" w:eastAsia="仿宋_GB2312" w:cs="黑体"/>
          <w:color w:val="auto"/>
          <w:sz w:val="24"/>
          <w:szCs w:val="32"/>
          <w:highlight w:val="none"/>
        </w:rPr>
        <w:t>的特种设备应当符合我国安全技术规范的要求，并经检验合格</w:t>
      </w:r>
      <w:r>
        <w:rPr>
          <w:rFonts w:hint="eastAsia" w:ascii="宋体" w:hAnsi="宋体" w:eastAsia="仿宋_GB2312" w:cs="黑体"/>
          <w:color w:val="auto"/>
          <w:sz w:val="24"/>
          <w:szCs w:val="32"/>
          <w:highlight w:val="none"/>
          <w:lang w:eastAsia="zh-CN"/>
        </w:rPr>
        <w:t>，</w:t>
      </w:r>
      <w:r>
        <w:rPr>
          <w:rFonts w:hint="eastAsia" w:ascii="宋体" w:hAnsi="宋体" w:eastAsia="仿宋_GB2312" w:cs="黑体"/>
          <w:color w:val="auto"/>
          <w:sz w:val="24"/>
          <w:szCs w:val="32"/>
          <w:highlight w:val="none"/>
          <w:lang w:val="en-US" w:eastAsia="zh-CN"/>
        </w:rPr>
        <w:t>具有专业资质的检测、检验单位出具的安全技术检验证明，否则，不得投入使用。承包方应建立特种设备安全技术档案。安全技术档案应当包括以下内容</w:t>
      </w:r>
      <w:r>
        <w:rPr>
          <w:rFonts w:hint="eastAsia" w:ascii="仿宋" w:hAnsi="仿宋" w:eastAsia="仿宋" w:cs="仿宋"/>
          <w:color w:val="auto"/>
          <w:sz w:val="24"/>
          <w:szCs w:val="32"/>
          <w:highlight w:val="none"/>
          <w:lang w:val="en-US" w:eastAsia="zh-CN"/>
        </w:rPr>
        <w:t>：</w:t>
      </w:r>
      <w:r>
        <w:rPr>
          <w:rFonts w:hint="eastAsia" w:ascii="宋体" w:hAnsi="宋体" w:eastAsia="仿宋_GB2312" w:cs="Times New Roman"/>
          <w:color w:val="auto"/>
          <w:sz w:val="24"/>
          <w:szCs w:val="32"/>
          <w:highlight w:val="none"/>
          <w:lang w:val="en-US" w:eastAsia="zh-CN"/>
        </w:rPr>
        <w:t>1、特种设备的设计文件、产品质量合格证明、安装及使用维护保养说明、监督检验证明等相关技术资料和文件；2、特种设备的定期检验和定期自行检查记录；3、特种设备的日常使用状况记录；4、特种设备及其附属仪器仪表的维护保养记录；5、特种设备的运行故障和事</w:t>
      </w:r>
      <w:r>
        <w:rPr>
          <w:rFonts w:hint="eastAsia" w:ascii="宋体" w:hAnsi="宋体" w:eastAsia="仿宋_GB2312" w:cs="黑体"/>
          <w:color w:val="auto"/>
          <w:sz w:val="24"/>
          <w:szCs w:val="32"/>
          <w:highlight w:val="none"/>
          <w:lang w:val="en-US" w:eastAsia="zh-CN"/>
        </w:rPr>
        <w:t>故记录。</w:t>
      </w:r>
    </w:p>
    <w:p w14:paraId="6504EF8B">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hint="eastAsia" w:ascii="宋体" w:hAnsi="宋体" w:eastAsia="仿宋_GB2312" w:cs="黑体"/>
          <w:color w:val="auto"/>
          <w:sz w:val="24"/>
          <w:szCs w:val="32"/>
          <w:highlight w:val="none"/>
          <w:lang w:val="en-US" w:eastAsia="zh-CN"/>
        </w:rPr>
      </w:pPr>
      <w:r>
        <w:rPr>
          <w:rFonts w:hint="eastAsia" w:ascii="宋体" w:hAnsi="宋体" w:eastAsia="仿宋_GB2312" w:cs="黑体"/>
          <w:color w:val="auto"/>
          <w:sz w:val="24"/>
          <w:szCs w:val="32"/>
          <w:highlight w:val="none"/>
          <w:lang w:val="en-US" w:eastAsia="zh-CN"/>
        </w:rPr>
        <w:t>禁止使用国家明令淘汰和已经报废的特种设备。承包方对其使用的特种设备进行经常性维护保养和定期自行检查，并作出记录。承包方对其使用的特种设备的安全附件、安全保护装置进行定期校验、检修，并作出记录。对于达不到安全要求又不能修复的特种设备必须停用，撤离施工现场。</w:t>
      </w:r>
    </w:p>
    <w:p w14:paraId="42EE8D5B">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hint="eastAsia" w:ascii="宋体" w:hAnsi="宋体" w:eastAsia="仿宋_GB2312" w:cs="黑体"/>
          <w:color w:val="auto"/>
          <w:sz w:val="24"/>
          <w:szCs w:val="32"/>
          <w:highlight w:val="none"/>
          <w:lang w:val="en-US" w:eastAsia="zh-CN"/>
        </w:rPr>
      </w:pPr>
      <w:r>
        <w:rPr>
          <w:rFonts w:hint="eastAsia" w:ascii="宋体" w:hAnsi="宋体" w:eastAsia="仿宋_GB2312" w:cs="黑体"/>
          <w:color w:val="auto"/>
          <w:sz w:val="24"/>
          <w:szCs w:val="32"/>
          <w:highlight w:val="none"/>
          <w:lang w:val="en-US" w:eastAsia="zh-CN"/>
        </w:rPr>
        <w:t>必须为进场人员购买工伤保险，必须向发包方提供购买工伤保险情况的材料。</w:t>
      </w:r>
    </w:p>
    <w:p w14:paraId="2CE09B2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黑体" w:hAnsi="黑体" w:eastAsia="黑体" w:cs="黑体"/>
          <w:color w:val="auto"/>
          <w:sz w:val="24"/>
          <w:szCs w:val="32"/>
          <w:highlight w:val="none"/>
        </w:rPr>
      </w:pPr>
      <w:r>
        <w:rPr>
          <w:rFonts w:hint="eastAsia" w:ascii="黑体" w:hAnsi="黑体" w:eastAsia="黑体" w:cs="黑体"/>
          <w:color w:val="auto"/>
          <w:sz w:val="24"/>
          <w:szCs w:val="32"/>
          <w:highlight w:val="none"/>
        </w:rPr>
        <w:t>三、违约责任</w:t>
      </w:r>
    </w:p>
    <w:p w14:paraId="2B04E07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（一）</w:t>
      </w:r>
      <w:r>
        <w:rPr>
          <w:rFonts w:ascii="宋体" w:hAnsi="宋体" w:eastAsia="仿宋_GB2312" w:cs="Times New Roman"/>
          <w:color w:val="auto"/>
          <w:sz w:val="24"/>
          <w:szCs w:val="32"/>
          <w:highlight w:val="none"/>
        </w:rPr>
        <w:t>承包方</w:t>
      </w:r>
      <w:r>
        <w:rPr>
          <w:rFonts w:hint="eastAsia" w:ascii="宋体" w:hAnsi="宋体" w:eastAsia="仿宋_GB2312" w:cs="Times New Roman"/>
          <w:color w:val="auto"/>
          <w:sz w:val="24"/>
          <w:szCs w:val="32"/>
          <w:highlight w:val="none"/>
        </w:rPr>
        <w:t>必须保证发包方免于受到或承担应由</w:t>
      </w:r>
      <w:r>
        <w:rPr>
          <w:rFonts w:ascii="宋体" w:hAnsi="宋体" w:eastAsia="仿宋_GB2312" w:cs="Times New Roman"/>
          <w:color w:val="auto"/>
          <w:sz w:val="24"/>
          <w:szCs w:val="32"/>
          <w:highlight w:val="none"/>
        </w:rPr>
        <w:t>承包方</w:t>
      </w:r>
      <w:r>
        <w:rPr>
          <w:rFonts w:hint="eastAsia" w:ascii="宋体" w:hAnsi="宋体" w:eastAsia="仿宋_GB2312" w:cs="Times New Roman"/>
          <w:color w:val="auto"/>
          <w:sz w:val="24"/>
          <w:szCs w:val="32"/>
          <w:highlight w:val="none"/>
        </w:rPr>
        <w:t>负责的因未按规定做好安全文明施工所引起的或与之有关的索赔、诉讼、行政处罚以及其他费用的开支；若因</w:t>
      </w:r>
      <w:r>
        <w:rPr>
          <w:rFonts w:ascii="宋体" w:hAnsi="宋体" w:eastAsia="仿宋_GB2312" w:cs="Times New Roman"/>
          <w:color w:val="auto"/>
          <w:sz w:val="24"/>
          <w:szCs w:val="32"/>
          <w:highlight w:val="none"/>
        </w:rPr>
        <w:t>承包方</w:t>
      </w:r>
      <w:r>
        <w:rPr>
          <w:rFonts w:hint="eastAsia" w:ascii="宋体" w:hAnsi="宋体" w:eastAsia="仿宋_GB2312" w:cs="Times New Roman"/>
          <w:color w:val="auto"/>
          <w:sz w:val="24"/>
          <w:szCs w:val="32"/>
          <w:highlight w:val="none"/>
        </w:rPr>
        <w:t>未按规定做好安全文明施工牵连发包方受到行政处罚或对发包方造成严重社会影响的，由</w:t>
      </w:r>
      <w:r>
        <w:rPr>
          <w:rFonts w:ascii="宋体" w:hAnsi="宋体" w:eastAsia="仿宋_GB2312" w:cs="Times New Roman"/>
          <w:color w:val="auto"/>
          <w:sz w:val="24"/>
          <w:szCs w:val="32"/>
          <w:highlight w:val="none"/>
        </w:rPr>
        <w:t>承包方</w:t>
      </w:r>
      <w:r>
        <w:rPr>
          <w:rFonts w:hint="eastAsia" w:ascii="宋体" w:hAnsi="宋体" w:eastAsia="仿宋_GB2312" w:cs="Times New Roman"/>
          <w:color w:val="auto"/>
          <w:sz w:val="24"/>
          <w:szCs w:val="32"/>
          <w:highlight w:val="none"/>
        </w:rPr>
        <w:t>承担全部的经济和法律责任。</w:t>
      </w:r>
    </w:p>
    <w:p w14:paraId="6D0F371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（二）</w:t>
      </w:r>
      <w:r>
        <w:rPr>
          <w:rFonts w:hint="eastAsia" w:ascii="宋体" w:hAnsi="宋体" w:eastAsia="仿宋_GB2312" w:cs="黑体"/>
          <w:color w:val="auto"/>
          <w:sz w:val="24"/>
          <w:szCs w:val="32"/>
          <w:highlight w:val="none"/>
          <w:lang w:val="en-US" w:eastAsia="zh-CN"/>
        </w:rPr>
        <w:t>承包方出现以下情形时，发包方有权按规定进行处罚：</w:t>
      </w:r>
    </w:p>
    <w:p w14:paraId="553C0B05">
      <w:pPr>
        <w:spacing w:line="460" w:lineRule="exact"/>
        <w:ind w:firstLine="480" w:firstLineChars="200"/>
        <w:rPr>
          <w:rFonts w:ascii="宋体" w:hAnsi="宋体" w:eastAsia="仿宋_GB2312" w:cs="黑体"/>
          <w:color w:val="auto"/>
          <w:sz w:val="24"/>
          <w:szCs w:val="32"/>
          <w:highlight w:val="none"/>
        </w:rPr>
      </w:pPr>
      <w:r>
        <w:rPr>
          <w:rFonts w:hint="eastAsia" w:ascii="宋体" w:hAnsi="宋体" w:eastAsia="仿宋_GB2312" w:cs="黑体"/>
          <w:color w:val="auto"/>
          <w:sz w:val="24"/>
          <w:szCs w:val="32"/>
          <w:highlight w:val="none"/>
          <w:lang w:val="en-US" w:eastAsia="zh-CN"/>
        </w:rPr>
        <w:t>1.</w:t>
      </w:r>
      <w:r>
        <w:rPr>
          <w:rFonts w:ascii="宋体" w:hAnsi="宋体" w:eastAsia="仿宋_GB2312" w:cs="黑体"/>
          <w:color w:val="auto"/>
          <w:sz w:val="24"/>
          <w:szCs w:val="32"/>
          <w:highlight w:val="none"/>
        </w:rPr>
        <w:t>承包方</w:t>
      </w:r>
      <w:r>
        <w:rPr>
          <w:rFonts w:hint="eastAsia" w:ascii="宋体" w:hAnsi="宋体" w:eastAsia="仿宋_GB2312" w:cs="黑体"/>
          <w:color w:val="auto"/>
          <w:sz w:val="24"/>
          <w:szCs w:val="32"/>
          <w:highlight w:val="none"/>
        </w:rPr>
        <w:t>在上级行政主管部门组织的质量安全或文明施工检查中，被发现存在安全隐患，或施工场地被评为不合格工地，或被通报批评，或被新闻媒体曝光造成不良影响的，承包方应立即采取切实有效措施予以整改，并承担违约责任，按合同金额的</w:t>
      </w:r>
      <w:r>
        <w:rPr>
          <w:rFonts w:hint="eastAsia" w:ascii="宋体" w:hAnsi="宋体" w:eastAsia="仿宋_GB2312" w:cs="黑体"/>
          <w:color w:val="auto"/>
          <w:sz w:val="24"/>
          <w:szCs w:val="32"/>
          <w:highlight w:val="none"/>
          <w:lang w:val="en-US" w:eastAsia="zh-CN"/>
        </w:rPr>
        <w:t>6</w:t>
      </w:r>
      <w:r>
        <w:rPr>
          <w:rFonts w:hint="eastAsia" w:ascii="宋体" w:hAnsi="宋体" w:eastAsia="仿宋_GB2312" w:cs="黑体"/>
          <w:color w:val="auto"/>
          <w:sz w:val="24"/>
          <w:szCs w:val="32"/>
          <w:highlight w:val="none"/>
        </w:rPr>
        <w:t>‰/次向发包方支付违约金，由发包方在当期应付的工程进度款内直接扣除。</w:t>
      </w:r>
    </w:p>
    <w:p w14:paraId="7A828CDB">
      <w:pPr>
        <w:spacing w:line="460" w:lineRule="exact"/>
        <w:ind w:firstLine="480" w:firstLineChars="200"/>
        <w:rPr>
          <w:rFonts w:hint="eastAsia" w:ascii="宋体" w:hAnsi="宋体" w:eastAsia="仿宋_GB2312" w:cs="黑体"/>
          <w:color w:val="auto"/>
          <w:sz w:val="24"/>
          <w:szCs w:val="32"/>
          <w:highlight w:val="none"/>
        </w:rPr>
      </w:pPr>
      <w:r>
        <w:rPr>
          <w:rFonts w:hint="eastAsia" w:ascii="宋体" w:hAnsi="宋体" w:eastAsia="仿宋_GB2312" w:cs="黑体"/>
          <w:color w:val="auto"/>
          <w:sz w:val="24"/>
          <w:szCs w:val="32"/>
          <w:highlight w:val="none"/>
          <w:lang w:val="en-US" w:eastAsia="zh-CN"/>
        </w:rPr>
        <w:t>2.</w:t>
      </w:r>
      <w:r>
        <w:rPr>
          <w:rFonts w:hint="eastAsia" w:ascii="宋体" w:hAnsi="宋体" w:eastAsia="仿宋_GB2312" w:cs="黑体"/>
          <w:color w:val="auto"/>
          <w:sz w:val="24"/>
          <w:szCs w:val="32"/>
          <w:highlight w:val="none"/>
        </w:rPr>
        <w:t>从业人员未按照使用规则正确佩戴、使用劳动防护用品，发现立即处罚，例如安全帽（100元/人.次）、安全带（200元/人.次）、防疫口罩（50元/人.次）、电工焊工绝缘手套（100元/人.次）、电工焊工绝缘鞋（200元/人.次）等。</w:t>
      </w:r>
    </w:p>
    <w:p w14:paraId="150A8C56">
      <w:pPr>
        <w:spacing w:line="460" w:lineRule="exact"/>
        <w:ind w:firstLine="480" w:firstLineChars="200"/>
        <w:rPr>
          <w:rFonts w:hint="eastAsia" w:ascii="宋体" w:hAnsi="宋体" w:eastAsia="仿宋_GB2312" w:cs="黑体"/>
          <w:color w:val="auto"/>
          <w:sz w:val="24"/>
          <w:szCs w:val="32"/>
          <w:highlight w:val="none"/>
        </w:rPr>
      </w:pPr>
      <w:r>
        <w:rPr>
          <w:rFonts w:hint="eastAsia" w:ascii="宋体" w:hAnsi="宋体" w:eastAsia="仿宋_GB2312" w:cs="黑体"/>
          <w:color w:val="auto"/>
          <w:sz w:val="24"/>
          <w:szCs w:val="32"/>
          <w:highlight w:val="none"/>
          <w:lang w:val="en-US" w:eastAsia="zh-CN"/>
        </w:rPr>
        <w:t>3.</w:t>
      </w:r>
      <w:r>
        <w:rPr>
          <w:rFonts w:hint="eastAsia" w:ascii="宋体" w:hAnsi="宋体" w:eastAsia="仿宋_GB2312" w:cs="黑体"/>
          <w:color w:val="auto"/>
          <w:sz w:val="24"/>
          <w:szCs w:val="32"/>
          <w:highlight w:val="none"/>
        </w:rPr>
        <w:t>承包方在建设过程中须严格按要求落实安全文明施工管理措施，若因承包方工作管理不到位造成被发包方上级管理单位（如：市水投集团、水务质监站等）在检查中发现较大问题，导致发包方被通报批评、考核扣分，相关责任人员被扣罚的，发包方可对承包方连带扣罚。</w:t>
      </w:r>
    </w:p>
    <w:p w14:paraId="0FDC14DE">
      <w:pPr>
        <w:spacing w:line="460" w:lineRule="exact"/>
        <w:ind w:firstLine="480" w:firstLineChars="200"/>
        <w:rPr>
          <w:rFonts w:ascii="宋体" w:hAnsi="宋体" w:eastAsia="仿宋_GB2312" w:cs="黑体"/>
          <w:color w:val="auto"/>
          <w:sz w:val="24"/>
          <w:szCs w:val="32"/>
          <w:highlight w:val="none"/>
        </w:rPr>
      </w:pPr>
      <w:r>
        <w:rPr>
          <w:rFonts w:hint="eastAsia" w:ascii="宋体" w:hAnsi="宋体" w:eastAsia="仿宋_GB2312" w:cs="黑体"/>
          <w:color w:val="auto"/>
          <w:sz w:val="24"/>
          <w:szCs w:val="32"/>
          <w:highlight w:val="none"/>
          <w:lang w:val="en-US" w:eastAsia="zh-CN"/>
        </w:rPr>
        <w:t>4.</w:t>
      </w:r>
      <w:r>
        <w:rPr>
          <w:rFonts w:hint="eastAsia" w:ascii="宋体" w:hAnsi="宋体" w:eastAsia="仿宋_GB2312" w:cs="黑体"/>
          <w:color w:val="auto"/>
          <w:sz w:val="24"/>
          <w:szCs w:val="32"/>
          <w:highlight w:val="none"/>
        </w:rPr>
        <w:t>承包方应立即采取切实有效措施予以整改，并承担违约责任，向发包方支付相应金额的处罚金，由发包方在当期应付的工程进度款内直接扣除。对</w:t>
      </w:r>
      <w:r>
        <w:rPr>
          <w:rFonts w:ascii="宋体" w:hAnsi="宋体" w:eastAsia="仿宋_GB2312" w:cs="黑体"/>
          <w:color w:val="auto"/>
          <w:sz w:val="24"/>
          <w:szCs w:val="32"/>
          <w:highlight w:val="none"/>
        </w:rPr>
        <w:t>承包方</w:t>
      </w:r>
      <w:r>
        <w:rPr>
          <w:rFonts w:hint="eastAsia" w:ascii="宋体" w:hAnsi="宋体" w:eastAsia="仿宋_GB2312" w:cs="黑体"/>
          <w:color w:val="auto"/>
          <w:sz w:val="24"/>
          <w:szCs w:val="32"/>
          <w:highlight w:val="none"/>
        </w:rPr>
        <w:t>拒不采取切实有效的措施整改的，或整改效果不明显的，或造成严重社会影响，或被检查两次（含本数）仍不合格而被通报或被曝光的，发包方有权解除部分或全部合同，并追究</w:t>
      </w:r>
      <w:r>
        <w:rPr>
          <w:rFonts w:ascii="宋体" w:hAnsi="宋体" w:eastAsia="仿宋_GB2312" w:cs="黑体"/>
          <w:color w:val="auto"/>
          <w:sz w:val="24"/>
          <w:szCs w:val="32"/>
          <w:highlight w:val="none"/>
        </w:rPr>
        <w:t>承包方</w:t>
      </w:r>
      <w:r>
        <w:rPr>
          <w:rFonts w:hint="eastAsia" w:ascii="宋体" w:hAnsi="宋体" w:eastAsia="仿宋_GB2312" w:cs="黑体"/>
          <w:color w:val="auto"/>
          <w:sz w:val="24"/>
          <w:szCs w:val="32"/>
          <w:highlight w:val="none"/>
        </w:rPr>
        <w:t>的违约赔偿责任，发包方全部解除合同后可将本工程另行发包。</w:t>
      </w:r>
    </w:p>
    <w:p w14:paraId="31AC80BD">
      <w:pPr>
        <w:spacing w:line="460" w:lineRule="exact"/>
        <w:ind w:firstLine="480" w:firstLineChars="200"/>
        <w:rPr>
          <w:rFonts w:ascii="宋体" w:hAnsi="宋体" w:eastAsia="仿宋_GB2312" w:cs="黑体"/>
          <w:color w:val="auto"/>
          <w:sz w:val="24"/>
          <w:szCs w:val="32"/>
          <w:highlight w:val="none"/>
        </w:rPr>
      </w:pPr>
      <w:r>
        <w:rPr>
          <w:rFonts w:hint="eastAsia" w:ascii="宋体" w:hAnsi="宋体" w:eastAsia="仿宋_GB2312" w:cs="黑体"/>
          <w:color w:val="auto"/>
          <w:sz w:val="24"/>
          <w:szCs w:val="32"/>
          <w:highlight w:val="none"/>
          <w:lang w:eastAsia="zh-CN"/>
        </w:rPr>
        <w:t>（</w:t>
      </w:r>
      <w:r>
        <w:rPr>
          <w:rFonts w:hint="eastAsia" w:ascii="宋体" w:hAnsi="宋体" w:eastAsia="仿宋_GB2312" w:cs="黑体"/>
          <w:color w:val="auto"/>
          <w:sz w:val="24"/>
          <w:szCs w:val="32"/>
          <w:highlight w:val="none"/>
          <w:lang w:val="en-US" w:eastAsia="zh-CN"/>
        </w:rPr>
        <w:t>三）</w:t>
      </w:r>
      <w:r>
        <w:rPr>
          <w:rFonts w:hint="eastAsia" w:ascii="宋体" w:hAnsi="宋体" w:eastAsia="仿宋_GB2312" w:cs="黑体"/>
          <w:color w:val="auto"/>
          <w:sz w:val="24"/>
          <w:szCs w:val="32"/>
          <w:highlight w:val="none"/>
        </w:rPr>
        <w:t>发包方在日常检查中发现</w:t>
      </w:r>
      <w:r>
        <w:rPr>
          <w:rFonts w:ascii="宋体" w:hAnsi="宋体" w:eastAsia="仿宋_GB2312" w:cs="黑体"/>
          <w:color w:val="auto"/>
          <w:sz w:val="24"/>
          <w:szCs w:val="32"/>
          <w:highlight w:val="none"/>
        </w:rPr>
        <w:t>承包方</w:t>
      </w:r>
      <w:r>
        <w:rPr>
          <w:rFonts w:hint="eastAsia" w:ascii="宋体" w:hAnsi="宋体" w:eastAsia="仿宋_GB2312" w:cs="黑体"/>
          <w:color w:val="auto"/>
          <w:sz w:val="24"/>
          <w:szCs w:val="32"/>
          <w:highlight w:val="none"/>
        </w:rPr>
        <w:t>存在安全隐患、违章行为</w:t>
      </w:r>
      <w:r>
        <w:rPr>
          <w:rFonts w:hint="eastAsia" w:ascii="宋体" w:hAnsi="宋体" w:eastAsia="仿宋_GB2312" w:cs="黑体"/>
          <w:color w:val="auto"/>
          <w:sz w:val="24"/>
          <w:szCs w:val="32"/>
          <w:highlight w:val="none"/>
          <w:lang w:eastAsia="zh-CN"/>
        </w:rPr>
        <w:t>、</w:t>
      </w:r>
      <w:r>
        <w:rPr>
          <w:rFonts w:hint="eastAsia" w:ascii="宋体" w:hAnsi="宋体" w:eastAsia="仿宋_GB2312" w:cs="黑体"/>
          <w:color w:val="auto"/>
          <w:sz w:val="24"/>
          <w:szCs w:val="32"/>
          <w:highlight w:val="none"/>
          <w:lang w:val="en-US" w:eastAsia="zh-CN"/>
        </w:rPr>
        <w:t>文明施工措施未落实</w:t>
      </w:r>
      <w:r>
        <w:rPr>
          <w:rFonts w:hint="eastAsia" w:ascii="宋体" w:hAnsi="宋体" w:eastAsia="仿宋_GB2312" w:cs="黑体"/>
          <w:color w:val="auto"/>
          <w:sz w:val="24"/>
          <w:szCs w:val="32"/>
          <w:highlight w:val="none"/>
        </w:rPr>
        <w:t>或管理不到位现象的，由发包方及时发出书面整改通知书，承包方应立即采取切实有效措施</w:t>
      </w:r>
      <w:r>
        <w:rPr>
          <w:rFonts w:hint="eastAsia" w:ascii="宋体" w:hAnsi="宋体" w:eastAsia="仿宋_GB2312" w:cs="黑体"/>
          <w:color w:val="auto"/>
          <w:sz w:val="24"/>
          <w:szCs w:val="32"/>
          <w:highlight w:val="none"/>
          <w:lang w:eastAsia="zh-CN"/>
        </w:rPr>
        <w:t>，</w:t>
      </w:r>
      <w:r>
        <w:rPr>
          <w:rFonts w:hint="eastAsia" w:ascii="宋体" w:hAnsi="宋体" w:eastAsia="仿宋_GB2312" w:cs="黑体"/>
          <w:color w:val="auto"/>
          <w:sz w:val="24"/>
          <w:szCs w:val="32"/>
          <w:highlight w:val="none"/>
          <w:lang w:val="en-US" w:eastAsia="zh-CN"/>
        </w:rPr>
        <w:t>在整改期限内</w:t>
      </w:r>
      <w:r>
        <w:rPr>
          <w:rFonts w:hint="eastAsia" w:ascii="宋体" w:hAnsi="宋体" w:eastAsia="仿宋_GB2312" w:cs="黑体"/>
          <w:color w:val="auto"/>
          <w:sz w:val="24"/>
          <w:szCs w:val="32"/>
          <w:highlight w:val="none"/>
        </w:rPr>
        <w:t>予以整改，发包方复检时发现仍未整改或整改不及格的，</w:t>
      </w:r>
      <w:r>
        <w:rPr>
          <w:rFonts w:ascii="宋体" w:hAnsi="宋体" w:eastAsia="仿宋_GB2312" w:cs="黑体"/>
          <w:color w:val="auto"/>
          <w:sz w:val="24"/>
          <w:szCs w:val="32"/>
          <w:highlight w:val="none"/>
        </w:rPr>
        <w:t>承包方</w:t>
      </w:r>
      <w:r>
        <w:rPr>
          <w:rFonts w:hint="eastAsia" w:ascii="宋体" w:hAnsi="宋体" w:eastAsia="仿宋_GB2312" w:cs="黑体"/>
          <w:color w:val="auto"/>
          <w:sz w:val="24"/>
          <w:szCs w:val="32"/>
          <w:highlight w:val="none"/>
        </w:rPr>
        <w:t>除无条件进行整改外</w:t>
      </w:r>
      <w:r>
        <w:rPr>
          <w:rFonts w:hint="eastAsia" w:ascii="宋体" w:hAnsi="宋体" w:eastAsia="仿宋_GB2312" w:cs="黑体"/>
          <w:color w:val="auto"/>
          <w:sz w:val="24"/>
          <w:szCs w:val="32"/>
          <w:highlight w:val="none"/>
          <w:lang w:eastAsia="zh-CN"/>
        </w:rPr>
        <w:t>，</w:t>
      </w:r>
      <w:r>
        <w:rPr>
          <w:rFonts w:hint="eastAsia" w:ascii="宋体" w:hAnsi="宋体" w:eastAsia="仿宋_GB2312" w:cs="黑体"/>
          <w:color w:val="auto"/>
          <w:sz w:val="24"/>
          <w:szCs w:val="32"/>
          <w:highlight w:val="none"/>
        </w:rPr>
        <w:t>发包方可按实际情况给予1000元/项次的处罚，</w:t>
      </w:r>
      <w:r>
        <w:rPr>
          <w:rFonts w:hint="eastAsia" w:ascii="宋体" w:hAnsi="宋体" w:eastAsia="仿宋_GB2312" w:cs="黑体"/>
          <w:color w:val="auto"/>
          <w:sz w:val="24"/>
          <w:szCs w:val="32"/>
          <w:highlight w:val="none"/>
          <w:lang w:val="en-US" w:eastAsia="zh-CN"/>
        </w:rPr>
        <w:t>由</w:t>
      </w:r>
      <w:r>
        <w:rPr>
          <w:rFonts w:hint="eastAsia" w:ascii="宋体" w:hAnsi="宋体" w:eastAsia="仿宋_GB2312" w:cs="黑体"/>
          <w:color w:val="auto"/>
          <w:sz w:val="24"/>
          <w:szCs w:val="32"/>
          <w:highlight w:val="none"/>
        </w:rPr>
        <w:t>发包方在当期应付给</w:t>
      </w:r>
      <w:r>
        <w:rPr>
          <w:rFonts w:ascii="宋体" w:hAnsi="宋体" w:eastAsia="仿宋_GB2312" w:cs="黑体"/>
          <w:color w:val="auto"/>
          <w:sz w:val="24"/>
          <w:szCs w:val="32"/>
          <w:highlight w:val="none"/>
        </w:rPr>
        <w:t>承包方</w:t>
      </w:r>
      <w:r>
        <w:rPr>
          <w:rFonts w:hint="eastAsia" w:ascii="宋体" w:hAnsi="宋体" w:eastAsia="仿宋_GB2312" w:cs="黑体"/>
          <w:color w:val="auto"/>
          <w:sz w:val="24"/>
          <w:szCs w:val="32"/>
          <w:highlight w:val="none"/>
        </w:rPr>
        <w:t>的工程进度款内直接扣除。</w:t>
      </w:r>
    </w:p>
    <w:p w14:paraId="0FAE973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（四）</w:t>
      </w:r>
      <w:r>
        <w:rPr>
          <w:rFonts w:ascii="宋体" w:hAnsi="宋体" w:eastAsia="仿宋_GB2312" w:cs="Times New Roman"/>
          <w:color w:val="auto"/>
          <w:sz w:val="24"/>
          <w:szCs w:val="32"/>
          <w:highlight w:val="none"/>
        </w:rPr>
        <w:t>承包方</w:t>
      </w:r>
      <w:r>
        <w:rPr>
          <w:rFonts w:hint="eastAsia" w:ascii="宋体" w:hAnsi="宋体" w:eastAsia="仿宋_GB2312" w:cs="Times New Roman"/>
          <w:color w:val="auto"/>
          <w:sz w:val="24"/>
          <w:szCs w:val="32"/>
          <w:highlight w:val="none"/>
        </w:rPr>
        <w:t>在发包方或政府行政主管部门组织的质量安全或文明施工检查中，被发现现场施工人员的安全意识薄弱或安全防护知识严重不足的，承包方须按合同金额的3‰/次向发包方支付违约金（由发包方在当期应付的工程进度款内直接扣除）外，还应采取以下整改措施：</w:t>
      </w:r>
    </w:p>
    <w:p w14:paraId="76A2B12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1.对第一次经查问，安全意识薄弱或安全防护知识严重不足的施工人员进行安全教育培训；第二次抽查时，如发现同一施工人员仍存在安全意识薄弱或安全防护知识严重不足的，应立即暂停其作业并再次进行安全教育培训；如同一施工人员被抽查3次及以上，均存在安全意识薄弱或安全防护知识严重不足的，承包方应立即将该施工人员撤离施工现场，并进行人员撤换。</w:t>
      </w:r>
    </w:p>
    <w:p w14:paraId="64C6617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2.对</w:t>
      </w:r>
      <w:r>
        <w:rPr>
          <w:rFonts w:ascii="宋体" w:hAnsi="宋体" w:eastAsia="仿宋_GB2312" w:cs="Times New Roman"/>
          <w:color w:val="auto"/>
          <w:sz w:val="24"/>
          <w:szCs w:val="32"/>
          <w:highlight w:val="none"/>
        </w:rPr>
        <w:t>承包方</w:t>
      </w:r>
      <w:r>
        <w:rPr>
          <w:rFonts w:hint="eastAsia" w:ascii="宋体" w:hAnsi="宋体" w:eastAsia="仿宋_GB2312" w:cs="Times New Roman"/>
          <w:color w:val="auto"/>
          <w:sz w:val="24"/>
          <w:szCs w:val="32"/>
          <w:highlight w:val="none"/>
        </w:rPr>
        <w:t>拒不采取切实有效的措施整改的，发包方有权解除部分或全部合同，并追究</w:t>
      </w:r>
      <w:r>
        <w:rPr>
          <w:rFonts w:ascii="宋体" w:hAnsi="宋体" w:eastAsia="仿宋_GB2312" w:cs="Times New Roman"/>
          <w:color w:val="auto"/>
          <w:sz w:val="24"/>
          <w:szCs w:val="32"/>
          <w:highlight w:val="none"/>
        </w:rPr>
        <w:t>承包方</w:t>
      </w:r>
      <w:r>
        <w:rPr>
          <w:rFonts w:hint="eastAsia" w:ascii="宋体" w:hAnsi="宋体" w:eastAsia="仿宋_GB2312" w:cs="Times New Roman"/>
          <w:color w:val="auto"/>
          <w:sz w:val="24"/>
          <w:szCs w:val="32"/>
          <w:highlight w:val="none"/>
        </w:rPr>
        <w:t>的违约赔偿责任，发包方全部解除合同后可将本工程另行发包。</w:t>
      </w:r>
    </w:p>
    <w:p w14:paraId="759272D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（五）</w:t>
      </w:r>
      <w:r>
        <w:rPr>
          <w:rFonts w:ascii="宋体" w:hAnsi="宋体" w:eastAsia="仿宋_GB2312" w:cs="Times New Roman"/>
          <w:color w:val="auto"/>
          <w:sz w:val="24"/>
          <w:szCs w:val="32"/>
          <w:highlight w:val="none"/>
        </w:rPr>
        <w:t>承包方</w:t>
      </w:r>
      <w:r>
        <w:rPr>
          <w:rFonts w:hint="eastAsia" w:ascii="宋体" w:hAnsi="宋体" w:eastAsia="仿宋_GB2312" w:cs="Times New Roman"/>
          <w:color w:val="auto"/>
          <w:sz w:val="24"/>
          <w:szCs w:val="32"/>
          <w:highlight w:val="none"/>
        </w:rPr>
        <w:t>因自身原因造成</w:t>
      </w:r>
      <w:r>
        <w:rPr>
          <w:rFonts w:hint="eastAsia" w:ascii="宋体" w:hAnsi="宋体" w:eastAsia="仿宋_GB2312" w:cs="Times New Roman"/>
          <w:color w:val="auto"/>
          <w:sz w:val="24"/>
          <w:szCs w:val="32"/>
          <w:highlight w:val="none"/>
          <w:lang w:val="en-US" w:eastAsia="zh-CN"/>
        </w:rPr>
        <w:t>的</w:t>
      </w:r>
      <w:r>
        <w:rPr>
          <w:rFonts w:hint="eastAsia" w:ascii="宋体" w:hAnsi="宋体" w:eastAsia="仿宋_GB2312" w:cs="Times New Roman"/>
          <w:color w:val="auto"/>
          <w:sz w:val="24"/>
          <w:szCs w:val="32"/>
          <w:highlight w:val="none"/>
        </w:rPr>
        <w:t>安全事故（含工程质量事故），按国家规定由相关主管部门处罚，发包方视情况严重性，有权解除部分或全部合同，按合同专用条款中关于合同解除的规定执行。</w:t>
      </w:r>
    </w:p>
    <w:p w14:paraId="7569133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四</w:t>
      </w:r>
      <w:r>
        <w:rPr>
          <w:rFonts w:ascii="宋体" w:hAnsi="宋体" w:eastAsia="仿宋_GB2312" w:cs="Times New Roman"/>
          <w:color w:val="auto"/>
          <w:sz w:val="24"/>
          <w:szCs w:val="32"/>
          <w:highlight w:val="none"/>
        </w:rPr>
        <w:t>、本协议双方签字</w:t>
      </w:r>
      <w:r>
        <w:rPr>
          <w:rFonts w:hint="eastAsia" w:ascii="宋体" w:hAnsi="宋体" w:eastAsia="仿宋_GB2312" w:cs="Times New Roman"/>
          <w:color w:val="auto"/>
          <w:sz w:val="24"/>
          <w:szCs w:val="32"/>
          <w:highlight w:val="none"/>
        </w:rPr>
        <w:t>盖章</w:t>
      </w:r>
      <w:r>
        <w:rPr>
          <w:rFonts w:ascii="宋体" w:hAnsi="宋体" w:eastAsia="仿宋_GB2312" w:cs="Times New Roman"/>
          <w:color w:val="auto"/>
          <w:sz w:val="24"/>
          <w:szCs w:val="32"/>
          <w:highlight w:val="none"/>
        </w:rPr>
        <w:t>生效，</w:t>
      </w:r>
      <w:r>
        <w:rPr>
          <w:rFonts w:hint="eastAsia" w:ascii="宋体" w:hAnsi="宋体" w:eastAsia="仿宋_GB2312" w:cs="Times New Roman"/>
          <w:color w:val="auto"/>
          <w:sz w:val="24"/>
          <w:szCs w:val="32"/>
          <w:highlight w:val="none"/>
        </w:rPr>
        <w:t>具有与施工合同同等法律效力，</w:t>
      </w:r>
      <w:r>
        <w:rPr>
          <w:rFonts w:ascii="宋体" w:hAnsi="宋体" w:eastAsia="仿宋_GB2312" w:cs="Times New Roman"/>
          <w:color w:val="auto"/>
          <w:sz w:val="24"/>
          <w:szCs w:val="32"/>
          <w:highlight w:val="none"/>
        </w:rPr>
        <w:t>工程竣工验收后失效。未尽事宜，双方协商解决。</w:t>
      </w:r>
    </w:p>
    <w:p w14:paraId="2A91FB9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仿宋_GB2312" w:cs="Times New Roman"/>
          <w:color w:val="auto"/>
          <w:sz w:val="24"/>
          <w:szCs w:val="32"/>
          <w:highlight w:val="none"/>
        </w:rPr>
      </w:pP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0C34F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2C03C910">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 xml:space="preserve">发包方：                            </w:t>
            </w:r>
          </w:p>
          <w:p w14:paraId="529B2E4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ascii="宋体" w:hAnsi="宋体" w:eastAsia="仿宋_GB2312" w:cs="Times New Roman"/>
                <w:color w:val="auto"/>
                <w:sz w:val="24"/>
                <w:szCs w:val="32"/>
                <w:highlight w:val="none"/>
                <w:vertAlign w:val="baseline"/>
              </w:rPr>
            </w:pPr>
            <w:r>
              <w:rPr>
                <w:rFonts w:hint="eastAsia" w:ascii="宋体" w:hAnsi="宋体" w:eastAsia="仿宋_GB2312" w:cs="Times New Roman"/>
                <w:color w:val="auto"/>
                <w:sz w:val="24"/>
                <w:szCs w:val="32"/>
                <w:highlight w:val="none"/>
              </w:rPr>
              <w:t>（</w:t>
            </w:r>
            <w:r>
              <w:rPr>
                <w:rFonts w:hint="eastAsia" w:ascii="宋体" w:hAnsi="宋体" w:eastAsia="仿宋_GB2312" w:cs="Times New Roman"/>
                <w:color w:val="auto"/>
                <w:sz w:val="24"/>
                <w:szCs w:val="32"/>
                <w:highlight w:val="none"/>
                <w:lang w:val="en-US" w:eastAsia="zh-CN"/>
              </w:rPr>
              <w:t>盖</w:t>
            </w:r>
            <w:r>
              <w:rPr>
                <w:rFonts w:hint="eastAsia" w:ascii="宋体" w:hAnsi="宋体" w:eastAsia="仿宋_GB2312" w:cs="Times New Roman"/>
                <w:color w:val="auto"/>
                <w:sz w:val="24"/>
                <w:szCs w:val="32"/>
                <w:highlight w:val="none"/>
              </w:rPr>
              <w:t xml:space="preserve">章）   </w:t>
            </w:r>
          </w:p>
        </w:tc>
        <w:tc>
          <w:tcPr>
            <w:tcW w:w="4261" w:type="dxa"/>
          </w:tcPr>
          <w:p w14:paraId="6C3A2D2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承包方：</w:t>
            </w:r>
          </w:p>
          <w:p w14:paraId="69646EC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ascii="宋体" w:hAnsi="宋体" w:eastAsia="仿宋_GB2312" w:cs="Times New Roman"/>
                <w:color w:val="auto"/>
                <w:sz w:val="24"/>
                <w:szCs w:val="32"/>
                <w:highlight w:val="none"/>
                <w:vertAlign w:val="baseline"/>
              </w:rPr>
            </w:pPr>
            <w:r>
              <w:rPr>
                <w:rFonts w:hint="eastAsia" w:ascii="宋体" w:hAnsi="宋体" w:eastAsia="仿宋_GB2312" w:cs="Times New Roman"/>
                <w:color w:val="auto"/>
                <w:sz w:val="24"/>
                <w:szCs w:val="32"/>
                <w:highlight w:val="none"/>
              </w:rPr>
              <w:t>（</w:t>
            </w:r>
            <w:r>
              <w:rPr>
                <w:rFonts w:hint="eastAsia" w:ascii="宋体" w:hAnsi="宋体" w:eastAsia="仿宋_GB2312" w:cs="Times New Roman"/>
                <w:color w:val="auto"/>
                <w:sz w:val="24"/>
                <w:szCs w:val="32"/>
                <w:highlight w:val="none"/>
                <w:lang w:val="en-US" w:eastAsia="zh-CN"/>
              </w:rPr>
              <w:t>盖</w:t>
            </w:r>
            <w:r>
              <w:rPr>
                <w:rFonts w:hint="eastAsia" w:ascii="宋体" w:hAnsi="宋体" w:eastAsia="仿宋_GB2312" w:cs="Times New Roman"/>
                <w:color w:val="auto"/>
                <w:sz w:val="24"/>
                <w:szCs w:val="32"/>
                <w:highlight w:val="none"/>
              </w:rPr>
              <w:t>章）</w:t>
            </w:r>
          </w:p>
        </w:tc>
      </w:tr>
    </w:tbl>
    <w:p w14:paraId="113BD2FC">
      <w:pPr>
        <w:rPr>
          <w:rFonts w:hint="default" w:eastAsia="宋体"/>
          <w:color w:val="auto"/>
          <w:highlight w:val="none"/>
          <w:lang w:val="en-US" w:eastAsia="zh-CN"/>
        </w:rPr>
      </w:pPr>
    </w:p>
    <w:p w14:paraId="4DD03287">
      <w:pPr>
        <w:pStyle w:val="14"/>
        <w:rPr>
          <w:color w:val="auto"/>
          <w:highlight w:val="none"/>
        </w:rPr>
      </w:pPr>
    </w:p>
    <w:p w14:paraId="3FE59C38">
      <w:pPr>
        <w:rPr>
          <w:color w:val="auto"/>
          <w:highlight w:val="none"/>
        </w:rPr>
      </w:pPr>
      <w:r>
        <w:rPr>
          <w:color w:val="auto"/>
          <w:highlight w:val="none"/>
        </w:rPr>
        <w:br w:type="page"/>
      </w:r>
    </w:p>
    <w:p w14:paraId="536E46CA">
      <w:pPr>
        <w:spacing w:line="500" w:lineRule="exact"/>
        <w:jc w:val="left"/>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附件4</w:t>
      </w:r>
    </w:p>
    <w:p w14:paraId="10A7D9A5">
      <w:pPr>
        <w:pStyle w:val="2"/>
        <w:ind w:left="0" w:leftChars="0" w:firstLine="0" w:firstLineChars="0"/>
        <w:jc w:val="left"/>
        <w:rPr>
          <w:rFonts w:hint="eastAsia" w:ascii="仿宋_GB2312" w:hAnsi="仿宋_GB2312" w:eastAsia="仿宋_GB2312" w:cs="仿宋_GB2312"/>
          <w:b w:val="0"/>
          <w:bCs/>
          <w:color w:val="auto"/>
          <w:sz w:val="28"/>
          <w:szCs w:val="28"/>
          <w:highlight w:val="none"/>
          <w:lang w:val="en-US" w:eastAsia="zh-CN"/>
        </w:rPr>
      </w:pPr>
    </w:p>
    <w:p w14:paraId="57A386D3">
      <w:pP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br w:type="page"/>
      </w:r>
    </w:p>
    <w:p w14:paraId="3E2EF0BA">
      <w:pPr>
        <w:spacing w:line="500" w:lineRule="exact"/>
        <w:jc w:val="left"/>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附件5</w:t>
      </w:r>
    </w:p>
    <w:p w14:paraId="6348CC6F">
      <w:pPr>
        <w:spacing w:line="400" w:lineRule="exact"/>
        <w:rPr>
          <w:rFonts w:hint="eastAsia" w:ascii="宋体" w:hAnsi="宋体" w:eastAsia="宋体" w:cs="宋体"/>
          <w:b/>
          <w:bCs/>
          <w:color w:val="auto"/>
          <w:highlight w:val="none"/>
        </w:rPr>
      </w:pPr>
    </w:p>
    <w:p w14:paraId="58205CDD">
      <w:pPr>
        <w:rPr>
          <w:rFonts w:hint="eastAsia" w:ascii="宋体" w:hAnsi="宋体" w:eastAsia="宋体" w:cs="宋体"/>
          <w:color w:val="auto"/>
          <w:sz w:val="20"/>
          <w:szCs w:val="24"/>
          <w:highlight w:val="none"/>
        </w:rPr>
      </w:pPr>
      <w:r>
        <w:rPr>
          <w:rFonts w:hint="eastAsia" w:ascii="宋体" w:hAnsi="宋体" w:eastAsia="宋体" w:cs="宋体"/>
          <w:color w:val="auto"/>
          <w:sz w:val="20"/>
          <w:szCs w:val="24"/>
          <w:highlight w:val="none"/>
        </w:rPr>
        <w:br w:type="page"/>
      </w:r>
    </w:p>
    <w:p w14:paraId="304DE6FB">
      <w:pPr>
        <w:rPr>
          <w:rFonts w:hint="eastAsia"/>
          <w:color w:val="auto"/>
          <w:highlight w:val="none"/>
        </w:rPr>
      </w:pPr>
    </w:p>
    <w:p w14:paraId="60CF99F8">
      <w:pPr>
        <w:pStyle w:val="5"/>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pPr>
      <w:bookmarkStart w:id="199" w:name="bookmark161"/>
      <w:bookmarkEnd w:id="199"/>
      <w:bookmarkStart w:id="200" w:name="_Toc2872"/>
      <w:r>
        <w:rPr>
          <w:rFonts w:hint="eastAsia" w:ascii="宋体" w:hAnsi="宋体" w:eastAsia="宋体" w:cs="宋体"/>
          <w:color w:val="auto"/>
          <w:sz w:val="52"/>
          <w:szCs w:val="52"/>
          <w:highlight w:val="none"/>
        </w:rPr>
        <w:t>第二卷</w:t>
      </w:r>
      <w:bookmarkEnd w:id="200"/>
    </w:p>
    <w:p w14:paraId="78D097D9">
      <w:pPr>
        <w:pStyle w:val="5"/>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sectPr>
          <w:headerReference r:id="rId12" w:type="default"/>
          <w:footerReference r:id="rId13" w:type="default"/>
          <w:pgSz w:w="11905" w:h="16838"/>
          <w:pgMar w:top="1417" w:right="1417" w:bottom="1417" w:left="1417" w:header="992" w:footer="992" w:gutter="0"/>
          <w:lnNumType w:countBy="0" w:distance="360"/>
          <w:pgNumType w:fmt="decimal"/>
          <w:cols w:space="720" w:num="1"/>
        </w:sectPr>
      </w:pPr>
    </w:p>
    <w:p w14:paraId="47D428D5">
      <w:pPr>
        <w:pStyle w:val="6"/>
        <w:spacing w:line="360" w:lineRule="auto"/>
        <w:outlineLvl w:val="0"/>
        <w:rPr>
          <w:rFonts w:hint="eastAsia" w:ascii="宋体" w:hAnsi="宋体" w:eastAsia="宋体" w:cs="宋体"/>
          <w:color w:val="auto"/>
          <w:sz w:val="44"/>
          <w:szCs w:val="24"/>
          <w:highlight w:val="none"/>
        </w:rPr>
      </w:pPr>
      <w:bookmarkStart w:id="201" w:name="bookmark162"/>
      <w:bookmarkEnd w:id="201"/>
      <w:bookmarkStart w:id="202" w:name="_Toc23118"/>
      <w:r>
        <w:rPr>
          <w:rFonts w:hint="eastAsia" w:ascii="宋体" w:hAnsi="宋体" w:eastAsia="宋体" w:cs="宋体"/>
          <w:color w:val="auto"/>
          <w:sz w:val="44"/>
          <w:szCs w:val="24"/>
          <w:highlight w:val="none"/>
        </w:rPr>
        <w:t>第五章</w:t>
      </w:r>
      <w:r>
        <w:rPr>
          <w:rFonts w:hint="eastAsia" w:ascii="宋体" w:hAnsi="宋体" w:eastAsia="宋体" w:cs="宋体"/>
          <w:color w:val="auto"/>
          <w:sz w:val="44"/>
          <w:szCs w:val="24"/>
          <w:highlight w:val="none"/>
          <w:lang w:val="en-US" w:eastAsia="zh-CN"/>
        </w:rPr>
        <w:t xml:space="preserve"> </w:t>
      </w:r>
      <w:r>
        <w:rPr>
          <w:rFonts w:hint="eastAsia" w:ascii="宋体" w:hAnsi="宋体" w:eastAsia="宋体" w:cs="宋体"/>
          <w:color w:val="auto"/>
          <w:sz w:val="44"/>
          <w:szCs w:val="24"/>
          <w:highlight w:val="none"/>
        </w:rPr>
        <w:t>委托人要求</w:t>
      </w:r>
      <w:bookmarkEnd w:id="202"/>
    </w:p>
    <w:p w14:paraId="6CC90A28">
      <w:pPr>
        <w:autoSpaceDE w:val="0"/>
        <w:autoSpaceDN w:val="0"/>
        <w:adjustRightInd w:val="0"/>
        <w:spacing w:line="300" w:lineRule="auto"/>
        <w:jc w:val="both"/>
        <w:rPr>
          <w:rFonts w:hint="eastAsia" w:ascii="黑体" w:hAnsi="黑体" w:eastAsia="黑体" w:cs="黑体"/>
          <w:color w:val="auto"/>
          <w:sz w:val="32"/>
          <w:szCs w:val="32"/>
          <w:highlight w:val="none"/>
          <w:lang w:val="en-US" w:eastAsia="zh-CN"/>
        </w:rPr>
      </w:pPr>
      <w:bookmarkStart w:id="203" w:name="_Toc25658"/>
    </w:p>
    <w:p w14:paraId="02B2C437">
      <w:pPr>
        <w:pStyle w:val="52"/>
        <w:ind w:firstLine="240"/>
        <w:rPr>
          <w:rFonts w:hint="default" w:ascii="Times New Roman" w:hAnsi="Times New Roman" w:cs="Times New Roman"/>
          <w:color w:val="auto"/>
          <w:highlight w:val="none"/>
          <w:lang w:eastAsia="zh-CN"/>
        </w:rPr>
      </w:pPr>
    </w:p>
    <w:p w14:paraId="015A3F5D">
      <w:pPr>
        <w:pStyle w:val="52"/>
        <w:ind w:firstLine="240"/>
        <w:rPr>
          <w:rFonts w:hint="default" w:ascii="Times New Roman" w:hAnsi="Times New Roman" w:cs="Times New Roman"/>
          <w:color w:val="auto"/>
          <w:highlight w:val="none"/>
          <w:lang w:eastAsia="zh-CN"/>
        </w:rPr>
      </w:pPr>
    </w:p>
    <w:p w14:paraId="51D7E588">
      <w:pPr>
        <w:jc w:val="center"/>
        <w:rPr>
          <w:rFonts w:cs="Times New Roman"/>
          <w:color w:val="auto"/>
          <w:w w:val="80"/>
          <w:kern w:val="0"/>
          <w:sz w:val="40"/>
          <w:szCs w:val="32"/>
          <w:highlight w:val="none"/>
          <w:lang w:val="zh-CN"/>
        </w:rPr>
      </w:pPr>
      <w:r>
        <w:rPr>
          <w:rFonts w:hint="eastAsia" w:ascii="宋体" w:hAnsi="宋体" w:eastAsia="宋体" w:cs="宋体"/>
          <w:b/>
          <w:bCs/>
          <w:color w:val="auto"/>
          <w:sz w:val="52"/>
          <w:szCs w:val="52"/>
          <w:highlight w:val="none"/>
          <w:lang w:val="en-US" w:eastAsia="zh-CN"/>
        </w:rPr>
        <w:t>2025-2027年广州市自来水有限公司管网建设工程检测、监测服务项目</w:t>
      </w:r>
      <w:r>
        <w:rPr>
          <w:rFonts w:hint="eastAsia" w:ascii="宋体" w:hAnsi="宋体" w:eastAsia="宋体" w:cs="宋体"/>
          <w:b/>
          <w:bCs/>
          <w:color w:val="auto"/>
          <w:sz w:val="52"/>
          <w:szCs w:val="52"/>
          <w:highlight w:val="none"/>
        </w:rPr>
        <w:t>技术要求</w:t>
      </w:r>
    </w:p>
    <w:p w14:paraId="0862A42D">
      <w:pPr>
        <w:jc w:val="center"/>
        <w:rPr>
          <w:rFonts w:cs="Times New Roman"/>
          <w:color w:val="auto"/>
          <w:w w:val="80"/>
          <w:kern w:val="0"/>
          <w:sz w:val="40"/>
          <w:szCs w:val="32"/>
          <w:highlight w:val="none"/>
          <w:lang w:val="zh-CN"/>
        </w:rPr>
      </w:pPr>
    </w:p>
    <w:p w14:paraId="6D0CD02A">
      <w:pPr>
        <w:jc w:val="center"/>
        <w:rPr>
          <w:rFonts w:cs="Times New Roman"/>
          <w:b/>
          <w:color w:val="auto"/>
          <w:sz w:val="48"/>
          <w:szCs w:val="48"/>
          <w:highlight w:val="none"/>
        </w:rPr>
      </w:pPr>
    </w:p>
    <w:p w14:paraId="17E38000">
      <w:pPr>
        <w:jc w:val="center"/>
        <w:rPr>
          <w:rFonts w:cs="Times New Roman"/>
          <w:b/>
          <w:color w:val="auto"/>
          <w:sz w:val="48"/>
          <w:szCs w:val="48"/>
          <w:highlight w:val="none"/>
        </w:rPr>
      </w:pPr>
    </w:p>
    <w:p w14:paraId="2847D3FC">
      <w:pPr>
        <w:jc w:val="center"/>
        <w:rPr>
          <w:rFonts w:cs="Times New Roman"/>
          <w:b/>
          <w:color w:val="auto"/>
          <w:sz w:val="48"/>
          <w:szCs w:val="48"/>
          <w:highlight w:val="none"/>
        </w:rPr>
      </w:pPr>
    </w:p>
    <w:p w14:paraId="6A582E29">
      <w:pPr>
        <w:rPr>
          <w:rFonts w:cs="Times New Roman"/>
          <w:b/>
          <w:color w:val="auto"/>
          <w:sz w:val="48"/>
          <w:szCs w:val="48"/>
          <w:highlight w:val="none"/>
        </w:rPr>
      </w:pPr>
    </w:p>
    <w:p w14:paraId="49D6C48D">
      <w:pPr>
        <w:rPr>
          <w:rFonts w:cs="Times New Roman"/>
          <w:b/>
          <w:color w:val="auto"/>
          <w:sz w:val="48"/>
          <w:szCs w:val="48"/>
          <w:highlight w:val="none"/>
        </w:rPr>
      </w:pPr>
    </w:p>
    <w:p w14:paraId="27A4124A">
      <w:pPr>
        <w:jc w:val="center"/>
        <w:rPr>
          <w:rFonts w:cs="Times New Roman"/>
          <w:color w:val="auto"/>
          <w:kern w:val="0"/>
          <w:sz w:val="40"/>
          <w:szCs w:val="32"/>
          <w:highlight w:val="none"/>
        </w:rPr>
      </w:pPr>
    </w:p>
    <w:p w14:paraId="2743465E">
      <w:pPr>
        <w:jc w:val="center"/>
        <w:rPr>
          <w:rFonts w:cs="Times New Roman"/>
          <w:color w:val="auto"/>
          <w:kern w:val="0"/>
          <w:sz w:val="40"/>
          <w:szCs w:val="32"/>
          <w:highlight w:val="none"/>
          <w:lang w:val="zh-CN"/>
        </w:rPr>
      </w:pPr>
      <w:r>
        <w:rPr>
          <w:rFonts w:cs="Times New Roman"/>
          <w:color w:val="auto"/>
          <w:kern w:val="0"/>
          <w:sz w:val="40"/>
          <w:szCs w:val="32"/>
          <w:highlight w:val="none"/>
        </w:rPr>
        <w:t>202</w:t>
      </w:r>
      <w:r>
        <w:rPr>
          <w:rFonts w:hint="eastAsia" w:cs="Times New Roman"/>
          <w:color w:val="auto"/>
          <w:kern w:val="0"/>
          <w:sz w:val="40"/>
          <w:szCs w:val="32"/>
          <w:highlight w:val="none"/>
          <w:lang w:val="en-US" w:eastAsia="zh-CN"/>
        </w:rPr>
        <w:t>5</w:t>
      </w:r>
      <w:r>
        <w:rPr>
          <w:rFonts w:cs="Times New Roman"/>
          <w:color w:val="auto"/>
          <w:kern w:val="0"/>
          <w:sz w:val="40"/>
          <w:szCs w:val="32"/>
          <w:highlight w:val="none"/>
          <w:lang w:val="zh-CN"/>
        </w:rPr>
        <w:t>年</w:t>
      </w:r>
      <w:r>
        <w:rPr>
          <w:rFonts w:hint="eastAsia" w:cs="Times New Roman"/>
          <w:color w:val="auto"/>
          <w:kern w:val="0"/>
          <w:sz w:val="40"/>
          <w:szCs w:val="32"/>
          <w:highlight w:val="none"/>
        </w:rPr>
        <w:t>3</w:t>
      </w:r>
      <w:r>
        <w:rPr>
          <w:rFonts w:cs="Times New Roman"/>
          <w:color w:val="auto"/>
          <w:kern w:val="0"/>
          <w:sz w:val="40"/>
          <w:szCs w:val="32"/>
          <w:highlight w:val="none"/>
          <w:lang w:val="zh-CN"/>
        </w:rPr>
        <w:t>月</w:t>
      </w:r>
    </w:p>
    <w:p w14:paraId="267E1421">
      <w:pPr>
        <w:jc w:val="center"/>
        <w:rPr>
          <w:rFonts w:cs="Times New Roman"/>
          <w:b/>
          <w:color w:val="auto"/>
          <w:sz w:val="32"/>
          <w:highlight w:val="none"/>
        </w:rPr>
      </w:pPr>
    </w:p>
    <w:p w14:paraId="2BEBF078">
      <w:pPr>
        <w:jc w:val="center"/>
        <w:rPr>
          <w:rFonts w:cs="Times New Roman"/>
          <w:b/>
          <w:color w:val="auto"/>
          <w:sz w:val="32"/>
          <w:highlight w:val="none"/>
        </w:rPr>
        <w:sectPr>
          <w:footerReference r:id="rId15" w:type="first"/>
          <w:footerReference r:id="rId14" w:type="default"/>
          <w:pgSz w:w="11906" w:h="16838"/>
          <w:pgMar w:top="1440" w:right="1800" w:bottom="1440" w:left="1800" w:header="851" w:footer="992" w:gutter="0"/>
          <w:pgNumType w:fmt="decimal"/>
          <w:cols w:space="425" w:num="1"/>
          <w:titlePg/>
          <w:docGrid w:type="lines" w:linePitch="326" w:charSpace="0"/>
        </w:sectPr>
      </w:pPr>
    </w:p>
    <w:p w14:paraId="32160E21">
      <w:pPr>
        <w:keepNext w:val="0"/>
        <w:keepLines w:val="0"/>
        <w:pageBreakBefore w:val="0"/>
        <w:widowControl w:val="0"/>
        <w:numPr>
          <w:ilvl w:val="0"/>
          <w:numId w:val="3"/>
        </w:numPr>
        <w:kinsoku/>
        <w:wordWrap/>
        <w:overflowPunct/>
        <w:topLinePunct w:val="0"/>
        <w:autoSpaceDE w:val="0"/>
        <w:autoSpaceDN w:val="0"/>
        <w:bidi w:val="0"/>
        <w:adjustRightInd w:val="0"/>
        <w:snapToGrid w:val="0"/>
        <w:spacing w:before="0" w:beforeAutospacing="0" w:after="0" w:afterAutospacing="0" w:line="360" w:lineRule="auto"/>
        <w:jc w:val="center"/>
        <w:textAlignment w:val="auto"/>
        <w:rPr>
          <w:rFonts w:hint="eastAsia" w:ascii="宋体" w:hAnsi="宋体" w:eastAsia="宋体" w:cs="宋体"/>
          <w:b/>
          <w:color w:val="auto"/>
          <w:kern w:val="2"/>
          <w:sz w:val="32"/>
          <w:szCs w:val="32"/>
          <w:highlight w:val="none"/>
          <w:lang w:val="en-US" w:eastAsia="zh-CN" w:bidi="ar"/>
        </w:rPr>
      </w:pPr>
      <w:bookmarkStart w:id="204" w:name="_Toc14347"/>
      <w:r>
        <w:rPr>
          <w:rFonts w:hint="eastAsia" w:ascii="宋体" w:hAnsi="宋体" w:eastAsia="宋体" w:cs="宋体"/>
          <w:b/>
          <w:color w:val="auto"/>
          <w:kern w:val="2"/>
          <w:sz w:val="32"/>
          <w:szCs w:val="32"/>
          <w:highlight w:val="none"/>
          <w:lang w:val="en-US" w:eastAsia="zh-CN" w:bidi="ar"/>
        </w:rPr>
        <w:t>监测技术要求</w:t>
      </w:r>
    </w:p>
    <w:p w14:paraId="378D7A92">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beforeAutospacing="0" w:after="0" w:afterAutospacing="0" w:line="360" w:lineRule="auto"/>
        <w:jc w:val="both"/>
        <w:textAlignment w:val="auto"/>
        <w:rPr>
          <w:rFonts w:hint="eastAsia" w:ascii="宋体" w:hAnsi="宋体" w:eastAsia="宋体" w:cs="宋体"/>
          <w:b/>
          <w:color w:val="auto"/>
          <w:kern w:val="2"/>
          <w:sz w:val="24"/>
          <w:szCs w:val="24"/>
          <w:highlight w:val="none"/>
          <w:lang w:val="en-US" w:eastAsia="zh-CN" w:bidi="ar"/>
        </w:rPr>
      </w:pPr>
    </w:p>
    <w:p w14:paraId="7298B0A6">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left="0" w:leftChars="0" w:firstLine="482" w:firstLineChars="200"/>
        <w:jc w:val="left"/>
        <w:textAlignment w:val="auto"/>
        <w:rPr>
          <w:rFonts w:hint="eastAsia" w:ascii="宋体" w:hAnsi="宋体" w:eastAsia="宋体" w:cs="宋体"/>
          <w:b/>
          <w:color w:val="auto"/>
          <w:kern w:val="2"/>
          <w:sz w:val="24"/>
          <w:szCs w:val="24"/>
          <w:highlight w:val="none"/>
          <w:lang w:val="en-US" w:eastAsia="zh-CN" w:bidi="ar"/>
        </w:rPr>
      </w:pPr>
      <w:r>
        <w:rPr>
          <w:rFonts w:hint="eastAsia" w:ascii="宋体" w:hAnsi="宋体" w:eastAsia="宋体" w:cs="宋体"/>
          <w:b/>
          <w:color w:val="auto"/>
          <w:kern w:val="2"/>
          <w:sz w:val="24"/>
          <w:szCs w:val="24"/>
          <w:highlight w:val="none"/>
          <w:lang w:val="en-US" w:eastAsia="zh-CN" w:bidi="ar"/>
        </w:rPr>
        <w:t>一、检测技术标准、规范（以招标文件、设计图纸及相关资料为准）</w:t>
      </w:r>
    </w:p>
    <w:p w14:paraId="4456BD9A">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bidi="ar"/>
        </w:rPr>
        <w:t>中标人的</w:t>
      </w:r>
      <w:r>
        <w:rPr>
          <w:rFonts w:hint="eastAsia" w:ascii="宋体" w:hAnsi="宋体" w:eastAsia="宋体" w:cs="宋体"/>
          <w:color w:val="auto"/>
          <w:sz w:val="24"/>
          <w:szCs w:val="24"/>
          <w:highlight w:val="none"/>
          <w:lang w:val="en-US" w:eastAsia="zh-CN" w:bidi="ar"/>
        </w:rPr>
        <w:t>监测</w:t>
      </w:r>
      <w:r>
        <w:rPr>
          <w:rFonts w:hint="eastAsia" w:ascii="宋体" w:hAnsi="宋体" w:eastAsia="宋体" w:cs="宋体"/>
          <w:color w:val="auto"/>
          <w:sz w:val="24"/>
          <w:szCs w:val="24"/>
          <w:highlight w:val="none"/>
          <w:lang w:bidi="ar"/>
        </w:rPr>
        <w:t>工作必须满足国家、广东省、广州市相关检测规范、强制性标准</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具体实施按施工图设计文件及技术要求为准</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主要标准如下：</w:t>
      </w:r>
    </w:p>
    <w:bookmarkEnd w:id="204"/>
    <w:p w14:paraId="3E64DAD9">
      <w:p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1、《建筑基坑支护技术规程》JGJ120-2012；</w:t>
      </w:r>
    </w:p>
    <w:p w14:paraId="7476425E">
      <w:p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2、《建筑地基基础设计规范》GB50007-2011；</w:t>
      </w:r>
    </w:p>
    <w:p w14:paraId="1639860E">
      <w:p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3、《工程测量规范》GB50026-2020；</w:t>
      </w:r>
    </w:p>
    <w:p w14:paraId="73ECD3B3">
      <w:p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4、《建筑基坑工程监测技术规范》GB50497-2019；</w:t>
      </w:r>
    </w:p>
    <w:p w14:paraId="5531A6BF">
      <w:p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5、《建筑变形测量规范》JGJ 8-2016；</w:t>
      </w:r>
    </w:p>
    <w:p w14:paraId="07E28C78">
      <w:p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6、广州市标准《广州地区建筑基坑支护技术规定》GJB 02-98；</w:t>
      </w:r>
    </w:p>
    <w:p w14:paraId="56A6924F">
      <w:p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7、其他现行国家规范、地区规定及政府相关部门之要求；</w:t>
      </w:r>
    </w:p>
    <w:p w14:paraId="68009C59">
      <w:p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8、本工程基坑支护设计文件及委托方提出的要求；</w:t>
      </w:r>
    </w:p>
    <w:p w14:paraId="2190052F">
      <w:p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9、广州市城乡建设委员会——穗建质〔2014〕750号。</w:t>
      </w:r>
    </w:p>
    <w:p w14:paraId="19969F34">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成果的提交</w:t>
      </w:r>
    </w:p>
    <w:p w14:paraId="08CDCE82">
      <w:p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1、监测值达到预警及报警指标时，应第一时间口头或以电话方式24小时以内及时通知参建方，并及时签发报警通知；</w:t>
      </w:r>
    </w:p>
    <w:p w14:paraId="5A85730F">
      <w:p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2、在工程监测过程中，外业完成后尽快处理有关数据，一般情况下，监测数据以简报形式每周定期送达（一式四份）；</w:t>
      </w:r>
    </w:p>
    <w:p w14:paraId="02E9EA3D">
      <w:p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3、全部监测工作结束时及时提供完整的监测总结报告，对最终监测结果进行评述，并于10天内提交正式监测总结报告一式十份。</w:t>
      </w:r>
    </w:p>
    <w:p w14:paraId="4A8F9040">
      <w:p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4、成果内容、格式和深度必须满足工程各管理部门要求，满足工程竣工验收要求，满足质监站和城市档案验收要求，满足国家市政档案馆验收要求。</w:t>
      </w:r>
    </w:p>
    <w:p w14:paraId="71567D0C">
      <w:pPr>
        <w:rPr>
          <w:rFonts w:hint="eastAsia" w:ascii="宋体" w:hAnsi="宋体" w:eastAsia="宋体" w:cs="宋体"/>
          <w:color w:val="auto"/>
          <w:sz w:val="24"/>
          <w:szCs w:val="24"/>
          <w:highlight w:val="none"/>
        </w:rPr>
      </w:pPr>
    </w:p>
    <w:p w14:paraId="13FC1F32">
      <w:pPr>
        <w:rPr>
          <w:rFonts w:hint="eastAsia" w:ascii="宋体" w:hAnsi="宋体" w:eastAsia="宋体" w:cs="宋体"/>
          <w:color w:val="auto"/>
          <w:sz w:val="24"/>
          <w:szCs w:val="24"/>
          <w:highlight w:val="none"/>
        </w:rPr>
        <w:sectPr>
          <w:footerReference r:id="rId16" w:type="default"/>
          <w:pgSz w:w="11906" w:h="16838"/>
          <w:pgMar w:top="1440" w:right="1800" w:bottom="1440" w:left="1800" w:header="851" w:footer="992" w:gutter="0"/>
          <w:pgNumType w:fmt="decimal"/>
          <w:cols w:space="425" w:num="1"/>
          <w:docGrid w:type="lines" w:linePitch="326" w:charSpace="0"/>
        </w:sectPr>
      </w:pPr>
    </w:p>
    <w:p w14:paraId="69401449">
      <w:pPr>
        <w:pStyle w:val="5"/>
        <w:numPr>
          <w:ilvl w:val="0"/>
          <w:numId w:val="3"/>
        </w:numPr>
        <w:ind w:left="0" w:leftChars="0" w:firstLine="0" w:firstLineChars="0"/>
        <w:rPr>
          <w:rFonts w:hint="eastAsia" w:ascii="宋体" w:hAnsi="宋体" w:eastAsia="宋体" w:cs="宋体"/>
          <w:color w:val="auto"/>
          <w:sz w:val="32"/>
          <w:szCs w:val="32"/>
          <w:highlight w:val="none"/>
        </w:rPr>
      </w:pPr>
      <w:bookmarkStart w:id="205" w:name="_Toc10938"/>
      <w:r>
        <w:rPr>
          <w:rFonts w:hint="eastAsia" w:ascii="宋体" w:hAnsi="宋体" w:eastAsia="宋体" w:cs="宋体"/>
          <w:color w:val="auto"/>
          <w:sz w:val="32"/>
          <w:szCs w:val="32"/>
          <w:highlight w:val="none"/>
        </w:rPr>
        <w:t>检测技术要求</w:t>
      </w:r>
      <w:bookmarkEnd w:id="205"/>
    </w:p>
    <w:p w14:paraId="4310EA46">
      <w:pPr>
        <w:numPr>
          <w:ilvl w:val="0"/>
          <w:numId w:val="0"/>
        </w:numPr>
        <w:ind w:leftChars="0"/>
        <w:rPr>
          <w:rFonts w:hint="eastAsia"/>
          <w:color w:val="auto"/>
          <w:highlight w:val="none"/>
        </w:rPr>
      </w:pPr>
    </w:p>
    <w:p w14:paraId="679876B3">
      <w:pPr>
        <w:pStyle w:val="7"/>
        <w:ind w:left="0" w:leftChars="0" w:firstLine="482" w:firstLineChars="200"/>
        <w:rPr>
          <w:rFonts w:hint="eastAsia" w:ascii="宋体" w:hAnsi="宋体" w:eastAsia="宋体" w:cs="宋体"/>
          <w:color w:val="auto"/>
          <w:sz w:val="24"/>
          <w:szCs w:val="24"/>
          <w:highlight w:val="none"/>
        </w:rPr>
      </w:pPr>
      <w:bookmarkStart w:id="206" w:name="_Toc14050"/>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检测技术标准、规范</w:t>
      </w:r>
      <w:bookmarkEnd w:id="206"/>
    </w:p>
    <w:p w14:paraId="3099C417">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《给水排水管道工程施工及验收规范》(GB50268-2008)</w:t>
      </w:r>
    </w:p>
    <w:p w14:paraId="44423C62">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《关于建筑工程地基基础检测工作的通知》穗建规字〔2020〕30号；</w:t>
      </w:r>
    </w:p>
    <w:p w14:paraId="4E99C0F5">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《关于建筑工程地基基础检测工作的通知》穗建质[2010]574号；</w:t>
      </w:r>
    </w:p>
    <w:p w14:paraId="4CC55C37">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《广州市建筑结构实体质量监督抽检办法》穗建质[2010]303号；</w:t>
      </w:r>
    </w:p>
    <w:p w14:paraId="374BC79E">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《建筑地基基础检测规范》DBJ/T 15-60-2019；</w:t>
      </w:r>
    </w:p>
    <w:p w14:paraId="623CA46A">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《建筑地基处理技术规范》DBJ/T 15-38-2019；</w:t>
      </w:r>
    </w:p>
    <w:p w14:paraId="5C5340DD">
      <w:pPr>
        <w:numPr>
          <w:ilvl w:val="0"/>
          <w:numId w:val="4"/>
        </w:numPr>
        <w:ind w:left="0" w:leftChars="0"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《建筑地基处理技术规范》JGJ 79-2012；</w:t>
      </w:r>
    </w:p>
    <w:p w14:paraId="242BAAD0">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《焊缝无损检测 熔焊接头目视检测》(GB/T 32259-2015)</w:t>
      </w:r>
    </w:p>
    <w:p w14:paraId="39A8406D">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《焊缝无损检测超声检测验收等级》(GB/T 29712-2013)</w:t>
      </w:r>
    </w:p>
    <w:p w14:paraId="5C8259C3">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《焊缝无损检测超声检测技术、检测等级和评定》(GB 11345-2013)</w:t>
      </w:r>
    </w:p>
    <w:p w14:paraId="7793DF92">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《钢的弧焊接头缺陷质量分级指南》(GB/T 19418-2003/ISO 5817:1992)</w:t>
      </w:r>
    </w:p>
    <w:p w14:paraId="7885C3A1">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《钢结构工程施工质量验收标准》(GB 50205-2020）</w:t>
      </w:r>
    </w:p>
    <w:p w14:paraId="06F09B11">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《焊缝无损检测射线检测》(GB/T3323.1-2019）</w:t>
      </w:r>
    </w:p>
    <w:p w14:paraId="4AC12707">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《混凝土结构后锚固技术规程》(JGJ 145-2013）</w:t>
      </w:r>
    </w:p>
    <w:p w14:paraId="1FFBD8C6">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《水电水利工程压力钢管制作安装及验收规范》(GB50766-2012)</w:t>
      </w:r>
    </w:p>
    <w:p w14:paraId="7816317C">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《城市道路工程施工与质量验收规范》CJJ1-2008；</w:t>
      </w:r>
    </w:p>
    <w:p w14:paraId="72171908">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《公路路基路面现场测试规程》JTG 3450-2019；</w:t>
      </w:r>
    </w:p>
    <w:p w14:paraId="31DC1BBA">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《公路工程沥青及沥青混合料试验规程》JTG E20-2011；</w:t>
      </w:r>
    </w:p>
    <w:p w14:paraId="1C906494">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《混凝土结构现场检测技术标准》GB/T 50784-2013；</w:t>
      </w:r>
    </w:p>
    <w:p w14:paraId="2C612996">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《混凝土结构工程施工质量验收规范》GB 50204-2022。</w:t>
      </w:r>
    </w:p>
    <w:p w14:paraId="74A188B0">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《通用硅酸盐水泥》GB175-2007</w:t>
      </w:r>
    </w:p>
    <w:p w14:paraId="6DA48639">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《普通混凝土用砂、石质量及检验方法》JGJ52-2006</w:t>
      </w:r>
    </w:p>
    <w:p w14:paraId="58B4C725">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《水工混凝土试验规程》SL/T352-2020</w:t>
      </w:r>
    </w:p>
    <w:p w14:paraId="196B6C94">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《建设用砂》GB/T14684-2022</w:t>
      </w:r>
    </w:p>
    <w:p w14:paraId="359581DC">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《公路工程集料试验规程》JTG E42-2005</w:t>
      </w:r>
    </w:p>
    <w:p w14:paraId="79903CD4">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《钢筋混凝土用钢第1部分：热轧光圆钢筋》 GB 1499.1-2017</w:t>
      </w:r>
    </w:p>
    <w:p w14:paraId="3BCA5E3C">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《钢筋混凝土用钢第2部分：热轧带肋钢筋》 GB 1499.2-2018</w:t>
      </w:r>
    </w:p>
    <w:p w14:paraId="7272C06E">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《普通混凝土力学性能试验方法标准》GB/T50081-2019</w:t>
      </w:r>
    </w:p>
    <w:p w14:paraId="00BADD6B">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《混凝土中氯离子含量检测技术规程》JGJ/T322-2013</w:t>
      </w:r>
    </w:p>
    <w:p w14:paraId="62E615CD">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《公路沥青路面施工技术规范》JTG F40-2004</w:t>
      </w:r>
    </w:p>
    <w:p w14:paraId="0113F40B">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《沥青路面施工及验收规范》GB 50092-96</w:t>
      </w:r>
    </w:p>
    <w:p w14:paraId="10D61563">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《用于水泥、砂浆和混凝土中的粒化高炉矿渣粉》GB/T 18046-2017</w:t>
      </w:r>
    </w:p>
    <w:p w14:paraId="71C16F4E">
      <w:pPr>
        <w:numPr>
          <w:ilvl w:val="0"/>
          <w:numId w:val="4"/>
        </w:numPr>
        <w:ind w:left="0" w:leftChars="0"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《混凝土外加剂》GB 8076-2008</w:t>
      </w:r>
    </w:p>
    <w:p w14:paraId="2855498A">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《用于水泥和混凝土中的粉煤灰》GB/T 1596-2017</w:t>
      </w:r>
    </w:p>
    <w:p w14:paraId="14BEF0B0">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《金属材料拉伸试验第1部分：室温试验方法》GB/T 228.1-2010</w:t>
      </w:r>
    </w:p>
    <w:p w14:paraId="3C052022">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《混凝土实心砖》GB/T 21144-2007</w:t>
      </w:r>
    </w:p>
    <w:p w14:paraId="24D9DFF9">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《混凝土路面砖》GB/T 28635-2012</w:t>
      </w:r>
    </w:p>
    <w:p w14:paraId="600C6A9D">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《建筑砂浆基本性能试验方法标准》JGJ/T70—2009</w:t>
      </w:r>
    </w:p>
    <w:p w14:paraId="29E0BD6F">
      <w:pPr>
        <w:numPr>
          <w:ilvl w:val="0"/>
          <w:numId w:val="4"/>
        </w:numPr>
        <w:ind w:left="0" w:leftChars="0"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《砌体工程施工质量验收规范》GB50203-2011</w:t>
      </w:r>
    </w:p>
    <w:p w14:paraId="51EFB0B5">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《建筑地面工程施工质量验收规范》GB50209-2010</w:t>
      </w:r>
    </w:p>
    <w:p w14:paraId="54FE4CFA">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《公路工程无机结合料稳定材料试验规程》JTG-E51-2009</w:t>
      </w:r>
    </w:p>
    <w:p w14:paraId="2BECBD1C">
      <w:pPr>
        <w:numPr>
          <w:ilvl w:val="0"/>
          <w:numId w:val="4"/>
        </w:numPr>
        <w:ind w:left="0" w:leftChars="0"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《土工试验方法标准》GB/T50123-2019</w:t>
      </w:r>
    </w:p>
    <w:p w14:paraId="191C0352">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《无溶剂环氧液体涂料的防腐蚀涂装》GB/T 31361-2015</w:t>
      </w:r>
    </w:p>
    <w:p w14:paraId="6DD69A42">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《铸铁焊条及焊丝》GB/T 10044-2022</w:t>
      </w:r>
    </w:p>
    <w:p w14:paraId="4FA2C826">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《焊接材料采购指南》GB/T 25778-2010</w:t>
      </w:r>
    </w:p>
    <w:p w14:paraId="5ECD3B3A">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《公路桥涵施工技术规范》JTG/T 3650-2020</w:t>
      </w:r>
    </w:p>
    <w:p w14:paraId="3C0ED7DC">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《高分子防水材料—橡胶止水带》 GB/T18173.2-2014</w:t>
      </w:r>
    </w:p>
    <w:p w14:paraId="5A472A5E">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《钢筋焊接及验收规程》JGJ18-2012</w:t>
      </w:r>
    </w:p>
    <w:p w14:paraId="6077129B">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《钢筋焊接接头试验方法标准》JGJ/T27-2014</w:t>
      </w:r>
    </w:p>
    <w:p w14:paraId="4B390E34">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《PVC-U给水管材》GB/T 10002.1-2006</w:t>
      </w:r>
    </w:p>
    <w:p w14:paraId="3CA03FC7">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《给水用聚乙烯(PE)管材》GB/T 13663.2-2018</w:t>
      </w:r>
    </w:p>
    <w:p w14:paraId="3970C34A">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《钢塑复合压力管》CJ/T 183-2008</w:t>
      </w:r>
    </w:p>
    <w:p w14:paraId="212E864F">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《PVC-U给水管件》GB/T 10002.2-2003</w:t>
      </w:r>
    </w:p>
    <w:p w14:paraId="0F8C1276">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《给水用聚乙烯（PE）管件》GB/T 13663.3-2018</w:t>
      </w:r>
    </w:p>
    <w:p w14:paraId="1D1B2661">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《管线阀门技术条件》GB/T19672-2005</w:t>
      </w:r>
    </w:p>
    <w:p w14:paraId="5CCA074C">
      <w:pPr>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《检查井盖》GB/T 23858-2009</w:t>
      </w:r>
    </w:p>
    <w:p w14:paraId="1923EC6C">
      <w:pPr>
        <w:pStyle w:val="29"/>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(其他国家、省市或行业的相关技术标准、规范。</w:t>
      </w:r>
    </w:p>
    <w:p w14:paraId="758C3208">
      <w:pPr>
        <w:pStyle w:val="29"/>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国家及省市建设主管部门的相关文件；</w:t>
      </w:r>
    </w:p>
    <w:p w14:paraId="2C99082D">
      <w:pPr>
        <w:pStyle w:val="29"/>
        <w:numPr>
          <w:ilvl w:val="0"/>
          <w:numId w:val="4"/>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委托方提供的图纸等。</w:t>
      </w:r>
    </w:p>
    <w:p w14:paraId="71D44BD3">
      <w:pPr>
        <w:pStyle w:val="29"/>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若检测进行前，以上标准、规范发生变更，当以相应最新版本作为检测标准、规范。</w:t>
      </w:r>
    </w:p>
    <w:p w14:paraId="1DE16CDF">
      <w:pPr>
        <w:pStyle w:val="6"/>
        <w:ind w:left="0" w:leftChars="0" w:firstLine="480" w:firstLineChars="200"/>
        <w:rPr>
          <w:rFonts w:hint="eastAsia" w:ascii="宋体" w:hAnsi="宋体" w:eastAsia="宋体" w:cs="宋体"/>
          <w:color w:val="auto"/>
          <w:sz w:val="24"/>
          <w:szCs w:val="24"/>
          <w:highlight w:val="none"/>
        </w:rPr>
      </w:pPr>
      <w:bookmarkStart w:id="207" w:name="_Toc3434"/>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成果的提交</w:t>
      </w:r>
      <w:bookmarkEnd w:id="207"/>
    </w:p>
    <w:p w14:paraId="286A0608">
      <w:p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完成现场检测作业或收到样品按相关规范完成检测后10天内完成检测报告，并向建设单位提交一式四份成果报告（中间数据报告按工程施工进度需要提供）；</w:t>
      </w:r>
    </w:p>
    <w:p w14:paraId="7862F7E1">
      <w:p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报告内容至少包含以下信息：</w:t>
      </w:r>
    </w:p>
    <w:p w14:paraId="4740C2CB">
      <w:p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工程名称</w:t>
      </w:r>
    </w:p>
    <w:p w14:paraId="7CC35399">
      <w:p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委托单位</w:t>
      </w:r>
    </w:p>
    <w:p w14:paraId="44646720">
      <w:p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检测日期</w:t>
      </w:r>
    </w:p>
    <w:p w14:paraId="4E667B73">
      <w:p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报告日期</w:t>
      </w:r>
    </w:p>
    <w:p w14:paraId="55690AD9">
      <w:p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检测形式</w:t>
      </w:r>
    </w:p>
    <w:p w14:paraId="267EB35D">
      <w:p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监理人或监督人</w:t>
      </w:r>
    </w:p>
    <w:p w14:paraId="7E12CC3B">
      <w:p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检测位置（里程）</w:t>
      </w:r>
    </w:p>
    <w:p w14:paraId="1FBA6CC0">
      <w:p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相关记录图表、数据报表、图形和曲线。</w:t>
      </w:r>
    </w:p>
    <w:p w14:paraId="1E50867C">
      <w:p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结论</w:t>
      </w:r>
    </w:p>
    <w:p w14:paraId="0A5A92FE">
      <w:p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建议</w:t>
      </w:r>
    </w:p>
    <w:p w14:paraId="330B4F59">
      <w:p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成果内容、格式和深度必须满足工程各管理部门要求，满足工程竣工验收要求，满足质监站和城市档案验收要求，满足国家市政档案馆验收要求。</w:t>
      </w:r>
    </w:p>
    <w:p w14:paraId="5B3E4C69">
      <w:pPr>
        <w:pStyle w:val="29"/>
        <w:rPr>
          <w:rFonts w:hint="eastAsia" w:ascii="宋体" w:hAnsi="宋体" w:eastAsia="宋体" w:cs="宋体"/>
          <w:color w:val="auto"/>
          <w:sz w:val="24"/>
          <w:szCs w:val="24"/>
          <w:highlight w:val="none"/>
        </w:rPr>
        <w:sectPr>
          <w:pgSz w:w="11906" w:h="16838"/>
          <w:pgMar w:top="1440" w:right="1800" w:bottom="1440" w:left="1800" w:header="851" w:footer="992" w:gutter="0"/>
          <w:pgNumType w:fmt="decimal"/>
          <w:cols w:space="425" w:num="1"/>
          <w:docGrid w:type="lines" w:linePitch="326" w:charSpace="0"/>
        </w:sectPr>
      </w:pPr>
    </w:p>
    <w:p w14:paraId="34568FC5">
      <w:pPr>
        <w:pStyle w:val="6"/>
        <w:numPr>
          <w:ilvl w:val="0"/>
          <w:numId w:val="3"/>
        </w:numPr>
        <w:ind w:left="0" w:leftChars="0" w:firstLine="0" w:firstLineChars="0"/>
        <w:jc w:val="center"/>
        <w:rPr>
          <w:rFonts w:hint="eastAsia" w:ascii="宋体" w:hAnsi="宋体" w:eastAsia="宋体" w:cs="宋体"/>
          <w:color w:val="auto"/>
          <w:sz w:val="32"/>
          <w:szCs w:val="32"/>
          <w:highlight w:val="none"/>
        </w:rPr>
      </w:pPr>
      <w:bookmarkStart w:id="208" w:name="_Toc3604"/>
      <w:r>
        <w:rPr>
          <w:rFonts w:hint="eastAsia" w:ascii="宋体" w:hAnsi="宋体" w:eastAsia="宋体" w:cs="宋体"/>
          <w:color w:val="auto"/>
          <w:sz w:val="32"/>
          <w:szCs w:val="32"/>
          <w:highlight w:val="none"/>
        </w:rPr>
        <w:t>现场工作要求</w:t>
      </w:r>
      <w:bookmarkEnd w:id="208"/>
    </w:p>
    <w:p w14:paraId="0F4B92F1">
      <w:pPr>
        <w:numPr>
          <w:ilvl w:val="0"/>
          <w:numId w:val="0"/>
        </w:numPr>
        <w:ind w:leftChars="0"/>
        <w:rPr>
          <w:rFonts w:hint="eastAsia"/>
          <w:color w:val="auto"/>
          <w:highlight w:val="none"/>
        </w:rPr>
      </w:pPr>
    </w:p>
    <w:p w14:paraId="06EC4AFB">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中标人应严格按照设计要求、建设行政主管部门和质量监督部门的相关要求及现场监理人员要求，配合工程进度，及时到现场进行检测工作。</w:t>
      </w:r>
    </w:p>
    <w:p w14:paraId="1015007D">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工程出现质量隐患时，必须立即上报招标人，并按规定上报相关单位和部门，因中标人未及时上报情况，而造成安全质量事故的，中标人需负相关责任，对招标人造成损失的，应赔偿该部分费用。</w:t>
      </w:r>
    </w:p>
    <w:p w14:paraId="129D080D">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现场检测时中标人应做好安全措施及相关防护工作，加强安全教育及相关安全应急措施。造成安全事故的，中标人需负相关责任，自行承担相关费用。</w:t>
      </w:r>
    </w:p>
    <w:p w14:paraId="6E608A2B">
      <w:pPr>
        <w:rPr>
          <w:rFonts w:cs="Times New Roman"/>
          <w:color w:val="auto"/>
          <w:highlight w:val="none"/>
        </w:rPr>
      </w:pPr>
    </w:p>
    <w:p w14:paraId="3D548277">
      <w:pPr>
        <w:ind w:firstLine="480" w:firstLineChars="200"/>
        <w:jc w:val="left"/>
        <w:rPr>
          <w:rFonts w:hint="default" w:ascii="Times New Roman" w:hAnsi="Times New Roman" w:cs="Times New Roman"/>
          <w:color w:val="auto"/>
          <w:szCs w:val="28"/>
          <w:highlight w:val="none"/>
        </w:rPr>
      </w:pPr>
    </w:p>
    <w:p w14:paraId="63F8655B">
      <w:pPr>
        <w:rPr>
          <w:rFonts w:hint="default" w:ascii="Times New Roman" w:hAnsi="Times New Roman" w:cs="Times New Roman"/>
          <w:color w:val="auto"/>
          <w:szCs w:val="28"/>
          <w:highlight w:val="none"/>
          <w:lang w:val="en-US" w:eastAsia="zh-CN"/>
        </w:rPr>
      </w:pPr>
    </w:p>
    <w:p w14:paraId="4959EB79">
      <w:pPr>
        <w:rPr>
          <w:rFonts w:hint="default" w:ascii="Times New Roman" w:hAnsi="Times New Roman" w:cs="Times New Roman"/>
          <w:color w:val="auto"/>
          <w:szCs w:val="28"/>
          <w:highlight w:val="none"/>
          <w:lang w:val="en-US" w:eastAsia="zh-CN"/>
        </w:rPr>
      </w:pPr>
    </w:p>
    <w:bookmarkEnd w:id="203"/>
    <w:p w14:paraId="4928ACE6">
      <w:pPr>
        <w:kinsoku w:val="0"/>
        <w:overflowPunct w:val="0"/>
        <w:ind w:left="0"/>
        <w:rPr>
          <w:rFonts w:hint="eastAsia" w:ascii="宋体" w:hAnsi="宋体" w:eastAsia="宋体" w:cs="宋体"/>
          <w:color w:val="auto"/>
          <w:sz w:val="20"/>
          <w:szCs w:val="24"/>
          <w:highlight w:val="none"/>
        </w:rPr>
      </w:pPr>
      <w:r>
        <w:rPr>
          <w:rFonts w:hint="eastAsia" w:ascii="宋体" w:hAnsi="宋体" w:eastAsia="宋体" w:cs="宋体"/>
          <w:color w:val="auto"/>
          <w:sz w:val="20"/>
          <w:szCs w:val="24"/>
          <w:highlight w:val="none"/>
        </w:rPr>
        <w:br w:type="page"/>
      </w:r>
    </w:p>
    <w:p w14:paraId="5C38912E">
      <w:pPr>
        <w:rPr>
          <w:rFonts w:hint="eastAsia"/>
          <w:color w:val="auto"/>
          <w:highlight w:val="none"/>
        </w:rPr>
      </w:pPr>
    </w:p>
    <w:p w14:paraId="360B1B73">
      <w:pPr>
        <w:pStyle w:val="5"/>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pPr>
      <w:bookmarkStart w:id="209" w:name="bookmark173"/>
      <w:bookmarkEnd w:id="209"/>
      <w:bookmarkStart w:id="210" w:name="_Toc12210"/>
      <w:r>
        <w:rPr>
          <w:rFonts w:hint="eastAsia" w:ascii="宋体" w:hAnsi="宋体" w:eastAsia="宋体" w:cs="宋体"/>
          <w:color w:val="auto"/>
          <w:sz w:val="52"/>
          <w:szCs w:val="52"/>
          <w:highlight w:val="none"/>
        </w:rPr>
        <w:t>第三卷</w:t>
      </w:r>
      <w:bookmarkEnd w:id="210"/>
    </w:p>
    <w:p w14:paraId="663B049F">
      <w:pPr>
        <w:pStyle w:val="5"/>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sectPr>
          <w:pgSz w:w="11905" w:h="16838"/>
          <w:pgMar w:top="1417" w:right="1417" w:bottom="1417" w:left="1417" w:header="992" w:footer="992" w:gutter="0"/>
          <w:lnNumType w:countBy="0" w:distance="360"/>
          <w:pgNumType w:fmt="decimal"/>
          <w:cols w:space="720" w:num="1"/>
        </w:sectPr>
      </w:pPr>
    </w:p>
    <w:p w14:paraId="41A4C59B">
      <w:pPr>
        <w:pStyle w:val="6"/>
        <w:outlineLvl w:val="0"/>
        <w:rPr>
          <w:rFonts w:hint="eastAsia" w:ascii="宋体" w:hAnsi="宋体" w:eastAsia="宋体" w:cs="宋体"/>
          <w:color w:val="auto"/>
          <w:sz w:val="44"/>
          <w:szCs w:val="24"/>
          <w:highlight w:val="none"/>
        </w:rPr>
      </w:pPr>
      <w:bookmarkStart w:id="211" w:name="bookmark174"/>
      <w:bookmarkEnd w:id="211"/>
      <w:bookmarkStart w:id="212" w:name="_Toc26661"/>
      <w:r>
        <w:rPr>
          <w:rFonts w:hint="eastAsia" w:ascii="宋体" w:hAnsi="宋体" w:eastAsia="宋体" w:cs="宋体"/>
          <w:color w:val="auto"/>
          <w:sz w:val="44"/>
          <w:szCs w:val="24"/>
          <w:highlight w:val="none"/>
        </w:rPr>
        <w:t>第六章</w:t>
      </w:r>
      <w:r>
        <w:rPr>
          <w:rFonts w:hint="eastAsia" w:ascii="宋体" w:hAnsi="宋体" w:eastAsia="宋体" w:cs="宋体"/>
          <w:color w:val="auto"/>
          <w:sz w:val="44"/>
          <w:szCs w:val="24"/>
          <w:highlight w:val="none"/>
          <w:lang w:val="en-US" w:eastAsia="zh-CN"/>
        </w:rPr>
        <w:t xml:space="preserve"> </w:t>
      </w:r>
      <w:r>
        <w:rPr>
          <w:rFonts w:hint="eastAsia" w:ascii="宋体" w:hAnsi="宋体" w:eastAsia="宋体" w:cs="宋体"/>
          <w:color w:val="auto"/>
          <w:sz w:val="44"/>
          <w:szCs w:val="24"/>
          <w:highlight w:val="none"/>
        </w:rPr>
        <w:t>投标文件格式</w:t>
      </w:r>
      <w:bookmarkEnd w:id="212"/>
    </w:p>
    <w:p w14:paraId="4FE0B3EE">
      <w:pPr>
        <w:pStyle w:val="6"/>
        <w:outlineLvl w:val="9"/>
        <w:rPr>
          <w:rFonts w:hint="eastAsia" w:ascii="宋体" w:hAnsi="宋体" w:eastAsia="宋体" w:cs="宋体"/>
          <w:color w:val="auto"/>
          <w:sz w:val="30"/>
          <w:szCs w:val="24"/>
          <w:highlight w:val="none"/>
        </w:rPr>
        <w:sectPr>
          <w:pgSz w:w="11905" w:h="16838"/>
          <w:pgMar w:top="1417" w:right="1417" w:bottom="1417" w:left="1417" w:header="992" w:footer="992" w:gutter="0"/>
          <w:lnNumType w:countBy="0" w:distance="360"/>
          <w:pgNumType w:fmt="decimal"/>
          <w:cols w:space="720" w:num="1"/>
        </w:sectPr>
      </w:pPr>
    </w:p>
    <w:p w14:paraId="1A71944F">
      <w:pPr>
        <w:pStyle w:val="14"/>
        <w:kinsoku w:val="0"/>
        <w:overflowPunct w:val="0"/>
        <w:ind w:left="0"/>
        <w:rPr>
          <w:rFonts w:hint="eastAsia" w:ascii="宋体" w:hAnsi="宋体" w:eastAsia="宋体" w:cs="宋体"/>
          <w:b/>
          <w:color w:val="auto"/>
          <w:sz w:val="20"/>
          <w:szCs w:val="24"/>
          <w:highlight w:val="none"/>
        </w:rPr>
      </w:pPr>
    </w:p>
    <w:p w14:paraId="74FC335F">
      <w:pPr>
        <w:pStyle w:val="14"/>
        <w:kinsoku w:val="0"/>
        <w:overflowPunct w:val="0"/>
        <w:ind w:left="0"/>
        <w:rPr>
          <w:rFonts w:hint="eastAsia" w:ascii="宋体" w:hAnsi="宋体" w:eastAsia="宋体" w:cs="宋体"/>
          <w:b/>
          <w:color w:val="auto"/>
          <w:sz w:val="20"/>
          <w:szCs w:val="24"/>
          <w:highlight w:val="none"/>
        </w:rPr>
      </w:pPr>
    </w:p>
    <w:p w14:paraId="703E8353">
      <w:pPr>
        <w:pStyle w:val="14"/>
        <w:kinsoku w:val="0"/>
        <w:overflowPunct w:val="0"/>
        <w:spacing w:before="1"/>
        <w:ind w:left="0"/>
        <w:rPr>
          <w:rFonts w:hint="eastAsia" w:ascii="宋体" w:hAnsi="宋体" w:eastAsia="宋体" w:cs="宋体"/>
          <w:b/>
          <w:color w:val="auto"/>
          <w:sz w:val="22"/>
          <w:szCs w:val="24"/>
          <w:highlight w:val="none"/>
        </w:rPr>
      </w:pPr>
    </w:p>
    <w:p w14:paraId="439FE157">
      <w:pPr>
        <w:jc w:val="center"/>
        <w:rPr>
          <w:rFonts w:hint="eastAsia" w:ascii="宋体" w:hAnsi="宋体" w:eastAsia="宋体" w:cs="宋体"/>
          <w:color w:val="auto"/>
          <w:sz w:val="36"/>
          <w:szCs w:val="24"/>
          <w:highlight w:val="none"/>
          <w:lang w:eastAsia="zh-CN"/>
        </w:rPr>
      </w:pPr>
      <w:r>
        <w:rPr>
          <w:rFonts w:hint="eastAsia" w:ascii="宋体" w:hAnsi="宋体" w:eastAsia="宋体" w:cs="宋体"/>
          <w:color w:val="auto"/>
          <w:sz w:val="36"/>
          <w:szCs w:val="24"/>
          <w:highlight w:val="none"/>
          <w:u w:val="single"/>
          <w:lang w:val="en-US" w:eastAsia="zh-CN"/>
        </w:rPr>
        <w:t xml:space="preserve">                 </w:t>
      </w:r>
      <w:r>
        <w:rPr>
          <w:rFonts w:hint="eastAsia" w:ascii="宋体" w:hAnsi="宋体" w:eastAsia="宋体" w:cs="宋体"/>
          <w:color w:val="auto"/>
          <w:sz w:val="36"/>
          <w:szCs w:val="24"/>
          <w:highlight w:val="none"/>
          <w:u w:val="single"/>
        </w:rPr>
        <w:t>（项目名称/标段名称）</w:t>
      </w:r>
      <w:r>
        <w:rPr>
          <w:rFonts w:hint="eastAsia" w:ascii="宋体" w:hAnsi="宋体" w:eastAsia="宋体" w:cs="宋体"/>
          <w:color w:val="auto"/>
          <w:sz w:val="36"/>
          <w:szCs w:val="24"/>
          <w:highlight w:val="none"/>
          <w:lang w:val="en-US" w:eastAsia="zh-CN"/>
        </w:rPr>
        <w:t xml:space="preserve"> </w:t>
      </w:r>
    </w:p>
    <w:p w14:paraId="1FC89E32">
      <w:pPr>
        <w:pStyle w:val="14"/>
        <w:kinsoku w:val="0"/>
        <w:overflowPunct w:val="0"/>
        <w:ind w:left="0"/>
        <w:rPr>
          <w:rFonts w:hint="eastAsia" w:ascii="宋体" w:hAnsi="宋体" w:eastAsia="宋体" w:cs="宋体"/>
          <w:color w:val="auto"/>
          <w:sz w:val="20"/>
          <w:szCs w:val="24"/>
          <w:highlight w:val="none"/>
        </w:rPr>
      </w:pPr>
    </w:p>
    <w:p w14:paraId="6D7C8B2D">
      <w:pPr>
        <w:pStyle w:val="14"/>
        <w:kinsoku w:val="0"/>
        <w:overflowPunct w:val="0"/>
        <w:spacing w:before="9"/>
        <w:ind w:left="0"/>
        <w:rPr>
          <w:rFonts w:hint="eastAsia" w:ascii="宋体" w:hAnsi="宋体" w:eastAsia="宋体" w:cs="宋体"/>
          <w:color w:val="auto"/>
          <w:sz w:val="15"/>
          <w:szCs w:val="24"/>
          <w:highlight w:val="none"/>
        </w:rPr>
      </w:pPr>
    </w:p>
    <w:p w14:paraId="2F84783C">
      <w:pPr>
        <w:pStyle w:val="14"/>
        <w:kinsoku w:val="0"/>
        <w:overflowPunct w:val="0"/>
        <w:spacing w:line="539" w:lineRule="exact"/>
        <w:ind w:left="3" w:right="1"/>
        <w:jc w:val="center"/>
        <w:rPr>
          <w:rFonts w:hint="eastAsia" w:ascii="宋体" w:hAnsi="宋体" w:eastAsia="宋体" w:cs="宋体"/>
          <w:color w:val="auto"/>
          <w:sz w:val="44"/>
          <w:szCs w:val="24"/>
          <w:highlight w:val="none"/>
        </w:rPr>
      </w:pPr>
    </w:p>
    <w:p w14:paraId="26BD828A">
      <w:pPr>
        <w:pStyle w:val="14"/>
        <w:kinsoku w:val="0"/>
        <w:overflowPunct w:val="0"/>
        <w:spacing w:line="539" w:lineRule="exact"/>
        <w:ind w:left="3" w:right="1"/>
        <w:jc w:val="center"/>
        <w:rPr>
          <w:rFonts w:hint="eastAsia" w:ascii="宋体" w:hAnsi="宋体" w:eastAsia="宋体" w:cs="宋体"/>
          <w:color w:val="auto"/>
          <w:sz w:val="44"/>
          <w:szCs w:val="24"/>
          <w:highlight w:val="none"/>
        </w:rPr>
      </w:pPr>
    </w:p>
    <w:p w14:paraId="7A52DEFD">
      <w:pPr>
        <w:pStyle w:val="14"/>
        <w:kinsoku w:val="0"/>
        <w:overflowPunct w:val="0"/>
        <w:ind w:left="0"/>
        <w:jc w:val="center"/>
        <w:rPr>
          <w:rFonts w:hint="eastAsia" w:ascii="宋体" w:hAnsi="宋体" w:eastAsia="宋体" w:cs="宋体"/>
          <w:color w:val="auto"/>
          <w:sz w:val="44"/>
          <w:szCs w:val="24"/>
          <w:highlight w:val="none"/>
        </w:rPr>
      </w:pPr>
      <w:r>
        <w:rPr>
          <w:rFonts w:hint="eastAsia" w:ascii="宋体" w:hAnsi="宋体" w:eastAsia="宋体" w:cs="宋体"/>
          <w:color w:val="auto"/>
          <w:sz w:val="84"/>
          <w:szCs w:val="84"/>
          <w:highlight w:val="none"/>
        </w:rPr>
        <w:t>投标文件</w:t>
      </w:r>
    </w:p>
    <w:p w14:paraId="73058963">
      <w:pPr>
        <w:pStyle w:val="14"/>
        <w:kinsoku w:val="0"/>
        <w:overflowPunct w:val="0"/>
        <w:ind w:left="0"/>
        <w:rPr>
          <w:rFonts w:hint="eastAsia" w:ascii="宋体" w:hAnsi="宋体" w:eastAsia="宋体" w:cs="宋体"/>
          <w:color w:val="auto"/>
          <w:sz w:val="44"/>
          <w:szCs w:val="24"/>
          <w:highlight w:val="none"/>
        </w:rPr>
      </w:pPr>
    </w:p>
    <w:p w14:paraId="115A426A">
      <w:pPr>
        <w:pStyle w:val="14"/>
        <w:kinsoku w:val="0"/>
        <w:overflowPunct w:val="0"/>
        <w:ind w:left="0"/>
        <w:rPr>
          <w:rFonts w:hint="eastAsia" w:ascii="宋体" w:hAnsi="宋体" w:eastAsia="宋体" w:cs="宋体"/>
          <w:color w:val="auto"/>
          <w:sz w:val="44"/>
          <w:szCs w:val="24"/>
          <w:highlight w:val="none"/>
        </w:rPr>
      </w:pPr>
    </w:p>
    <w:p w14:paraId="71D1E40F">
      <w:pPr>
        <w:pStyle w:val="14"/>
        <w:kinsoku w:val="0"/>
        <w:overflowPunct w:val="0"/>
        <w:ind w:left="0"/>
        <w:rPr>
          <w:rFonts w:hint="eastAsia" w:ascii="宋体" w:hAnsi="宋体" w:eastAsia="宋体" w:cs="宋体"/>
          <w:color w:val="auto"/>
          <w:sz w:val="44"/>
          <w:szCs w:val="24"/>
          <w:highlight w:val="none"/>
        </w:rPr>
      </w:pPr>
    </w:p>
    <w:p w14:paraId="264474BB">
      <w:pPr>
        <w:pStyle w:val="14"/>
        <w:kinsoku w:val="0"/>
        <w:overflowPunct w:val="0"/>
        <w:ind w:left="0"/>
        <w:rPr>
          <w:rFonts w:hint="eastAsia" w:ascii="宋体" w:hAnsi="宋体" w:eastAsia="宋体" w:cs="宋体"/>
          <w:color w:val="auto"/>
          <w:sz w:val="44"/>
          <w:szCs w:val="24"/>
          <w:highlight w:val="none"/>
        </w:rPr>
      </w:pPr>
    </w:p>
    <w:p w14:paraId="11FCB5BF">
      <w:pPr>
        <w:pStyle w:val="14"/>
        <w:kinsoku w:val="0"/>
        <w:overflowPunct w:val="0"/>
        <w:ind w:left="0"/>
        <w:rPr>
          <w:rFonts w:hint="eastAsia" w:ascii="宋体" w:hAnsi="宋体" w:eastAsia="宋体" w:cs="宋体"/>
          <w:color w:val="auto"/>
          <w:sz w:val="44"/>
          <w:szCs w:val="24"/>
          <w:highlight w:val="none"/>
        </w:rPr>
      </w:pPr>
    </w:p>
    <w:p w14:paraId="21AF7845">
      <w:pPr>
        <w:pStyle w:val="14"/>
        <w:kinsoku w:val="0"/>
        <w:overflowPunct w:val="0"/>
        <w:ind w:left="0"/>
        <w:rPr>
          <w:rFonts w:hint="eastAsia" w:ascii="宋体" w:hAnsi="宋体" w:eastAsia="宋体" w:cs="宋体"/>
          <w:color w:val="auto"/>
          <w:sz w:val="44"/>
          <w:szCs w:val="24"/>
          <w:highlight w:val="none"/>
        </w:rPr>
      </w:pPr>
    </w:p>
    <w:p w14:paraId="14213B07">
      <w:pPr>
        <w:pStyle w:val="14"/>
        <w:kinsoku w:val="0"/>
        <w:overflowPunct w:val="0"/>
        <w:ind w:left="0"/>
        <w:rPr>
          <w:rFonts w:hint="eastAsia" w:ascii="宋体" w:hAnsi="宋体" w:eastAsia="宋体" w:cs="宋体"/>
          <w:color w:val="auto"/>
          <w:sz w:val="44"/>
          <w:szCs w:val="24"/>
          <w:highlight w:val="none"/>
        </w:rPr>
      </w:pPr>
    </w:p>
    <w:p w14:paraId="37DD55A8">
      <w:pPr>
        <w:pStyle w:val="14"/>
        <w:kinsoku w:val="0"/>
        <w:overflowPunct w:val="0"/>
        <w:ind w:left="0"/>
        <w:rPr>
          <w:rFonts w:hint="eastAsia" w:ascii="宋体" w:hAnsi="宋体" w:eastAsia="宋体" w:cs="宋体"/>
          <w:color w:val="auto"/>
          <w:sz w:val="44"/>
          <w:szCs w:val="24"/>
          <w:highlight w:val="none"/>
        </w:rPr>
      </w:pPr>
    </w:p>
    <w:p w14:paraId="4FB3721A">
      <w:pPr>
        <w:pStyle w:val="14"/>
        <w:kinsoku w:val="0"/>
        <w:overflowPunct w:val="0"/>
        <w:ind w:left="0"/>
        <w:rPr>
          <w:rFonts w:hint="eastAsia" w:ascii="宋体" w:hAnsi="宋体" w:eastAsia="宋体" w:cs="宋体"/>
          <w:color w:val="auto"/>
          <w:sz w:val="44"/>
          <w:szCs w:val="24"/>
          <w:highlight w:val="none"/>
        </w:rPr>
      </w:pPr>
    </w:p>
    <w:p w14:paraId="0222E09B">
      <w:pPr>
        <w:pStyle w:val="14"/>
        <w:kinsoku w:val="0"/>
        <w:overflowPunct w:val="0"/>
        <w:spacing w:before="3"/>
        <w:ind w:left="0"/>
        <w:rPr>
          <w:rFonts w:hint="eastAsia" w:ascii="宋体" w:hAnsi="宋体" w:eastAsia="宋体" w:cs="宋体"/>
          <w:color w:val="auto"/>
          <w:sz w:val="41"/>
          <w:szCs w:val="24"/>
          <w:highlight w:val="none"/>
        </w:rPr>
      </w:pPr>
    </w:p>
    <w:p w14:paraId="2E014FF8">
      <w:pPr>
        <w:pStyle w:val="14"/>
        <w:tabs>
          <w:tab w:val="left" w:pos="5577"/>
          <w:tab w:val="left" w:pos="6942"/>
        </w:tabs>
        <w:kinsoku w:val="0"/>
        <w:overflowPunct w:val="0"/>
        <w:spacing w:line="357" w:lineRule="auto"/>
        <w:ind w:left="1201" w:right="175"/>
        <w:rPr>
          <w:rFonts w:hint="eastAsia" w:ascii="宋体" w:hAnsi="宋体" w:eastAsia="宋体" w:cs="宋体"/>
          <w:color w:val="auto"/>
          <w:spacing w:val="-1"/>
          <w:sz w:val="28"/>
          <w:szCs w:val="24"/>
          <w:highlight w:val="none"/>
        </w:rPr>
      </w:pPr>
      <w:r>
        <w:rPr>
          <w:rFonts w:hint="eastAsia" w:ascii="宋体" w:hAnsi="宋体" w:eastAsia="宋体" w:cs="宋体"/>
          <w:color w:val="auto"/>
          <w:sz w:val="28"/>
          <w:szCs w:val="24"/>
          <w:highlight w:val="none"/>
        </w:rPr>
        <w:t>投标人：</w:t>
      </w:r>
      <w:r>
        <w:rPr>
          <w:rFonts w:hint="eastAsia" w:ascii="宋体" w:hAnsi="宋体" w:eastAsia="宋体" w:cs="宋体"/>
          <w:color w:val="auto"/>
          <w:sz w:val="28"/>
          <w:szCs w:val="24"/>
          <w:highlight w:val="none"/>
          <w:u w:val="single"/>
        </w:rPr>
        <w:tab/>
      </w:r>
      <w:r>
        <w:rPr>
          <w:rFonts w:hint="eastAsia" w:ascii="宋体" w:hAnsi="宋体" w:eastAsia="宋体" w:cs="宋体"/>
          <w:color w:val="auto"/>
          <w:sz w:val="28"/>
          <w:szCs w:val="24"/>
          <w:highlight w:val="none"/>
          <w:u w:val="single"/>
        </w:rPr>
        <w:tab/>
      </w:r>
      <w:r>
        <w:rPr>
          <w:rFonts w:hint="eastAsia" w:ascii="宋体" w:hAnsi="宋体" w:eastAsia="宋体" w:cs="宋体"/>
          <w:color w:val="auto"/>
          <w:spacing w:val="-1"/>
          <w:sz w:val="28"/>
          <w:szCs w:val="24"/>
          <w:highlight w:val="none"/>
        </w:rPr>
        <w:t>（盖单位章）</w:t>
      </w:r>
      <w:r>
        <w:rPr>
          <w:rFonts w:hint="eastAsia" w:ascii="宋体" w:hAnsi="宋体" w:eastAsia="宋体" w:cs="宋体"/>
          <w:color w:val="auto"/>
          <w:spacing w:val="-136"/>
          <w:sz w:val="28"/>
          <w:szCs w:val="24"/>
          <w:highlight w:val="none"/>
        </w:rPr>
        <w:t xml:space="preserve"> </w:t>
      </w:r>
      <w:r>
        <w:rPr>
          <w:rFonts w:hint="eastAsia" w:ascii="宋体" w:hAnsi="宋体" w:eastAsia="宋体" w:cs="宋体"/>
          <w:color w:val="auto"/>
          <w:spacing w:val="-1"/>
          <w:sz w:val="28"/>
          <w:szCs w:val="24"/>
          <w:highlight w:val="none"/>
        </w:rPr>
        <w:t>法定代表人或其委托代理人：</w:t>
      </w:r>
      <w:r>
        <w:rPr>
          <w:rFonts w:hint="eastAsia" w:ascii="宋体" w:hAnsi="宋体" w:eastAsia="宋体" w:cs="宋体"/>
          <w:color w:val="auto"/>
          <w:spacing w:val="-1"/>
          <w:sz w:val="28"/>
          <w:szCs w:val="24"/>
          <w:highlight w:val="none"/>
          <w:u w:val="single"/>
        </w:rPr>
        <w:tab/>
      </w:r>
      <w:r>
        <w:rPr>
          <w:rFonts w:hint="eastAsia" w:ascii="宋体" w:hAnsi="宋体" w:eastAsia="宋体" w:cs="宋体"/>
          <w:color w:val="auto"/>
          <w:spacing w:val="-1"/>
          <w:sz w:val="28"/>
          <w:szCs w:val="24"/>
          <w:highlight w:val="none"/>
        </w:rPr>
        <w:t>（签字）</w:t>
      </w:r>
    </w:p>
    <w:p w14:paraId="0434C550">
      <w:pPr>
        <w:pStyle w:val="14"/>
        <w:kinsoku w:val="0"/>
        <w:overflowPunct w:val="0"/>
        <w:spacing w:before="10"/>
        <w:ind w:left="0"/>
        <w:rPr>
          <w:rFonts w:hint="eastAsia" w:ascii="宋体" w:hAnsi="宋体" w:eastAsia="宋体" w:cs="宋体"/>
          <w:color w:val="auto"/>
          <w:sz w:val="29"/>
          <w:szCs w:val="24"/>
          <w:highlight w:val="none"/>
        </w:rPr>
      </w:pPr>
    </w:p>
    <w:p w14:paraId="49758482">
      <w:pPr>
        <w:pStyle w:val="14"/>
        <w:tabs>
          <w:tab w:val="left" w:pos="3611"/>
          <w:tab w:val="left" w:pos="4626"/>
          <w:tab w:val="left" w:pos="5642"/>
        </w:tabs>
        <w:kinsoku w:val="0"/>
        <w:overflowPunct w:val="0"/>
        <w:spacing w:before="14"/>
        <w:ind w:left="2877" w:right="175"/>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u w:val="single"/>
        </w:rPr>
        <w:tab/>
      </w:r>
      <w:r>
        <w:rPr>
          <w:rFonts w:hint="eastAsia" w:ascii="宋体" w:hAnsi="宋体" w:eastAsia="宋体" w:cs="宋体"/>
          <w:color w:val="auto"/>
          <w:sz w:val="28"/>
          <w:szCs w:val="24"/>
          <w:highlight w:val="none"/>
        </w:rPr>
        <w:t>年</w:t>
      </w:r>
      <w:r>
        <w:rPr>
          <w:rFonts w:hint="eastAsia" w:ascii="宋体" w:hAnsi="宋体" w:eastAsia="宋体" w:cs="宋体"/>
          <w:color w:val="auto"/>
          <w:sz w:val="28"/>
          <w:szCs w:val="24"/>
          <w:highlight w:val="none"/>
          <w:u w:val="single"/>
        </w:rPr>
        <w:tab/>
      </w:r>
      <w:r>
        <w:rPr>
          <w:rFonts w:hint="eastAsia" w:ascii="宋体" w:hAnsi="宋体" w:eastAsia="宋体" w:cs="宋体"/>
          <w:color w:val="auto"/>
          <w:sz w:val="28"/>
          <w:szCs w:val="24"/>
          <w:highlight w:val="none"/>
        </w:rPr>
        <w:t>月</w:t>
      </w:r>
      <w:r>
        <w:rPr>
          <w:rFonts w:hint="eastAsia" w:ascii="宋体" w:hAnsi="宋体" w:eastAsia="宋体" w:cs="宋体"/>
          <w:color w:val="auto"/>
          <w:sz w:val="28"/>
          <w:szCs w:val="24"/>
          <w:highlight w:val="none"/>
          <w:u w:val="single"/>
        </w:rPr>
        <w:tab/>
      </w:r>
      <w:r>
        <w:rPr>
          <w:rFonts w:hint="eastAsia" w:ascii="宋体" w:hAnsi="宋体" w:eastAsia="宋体" w:cs="宋体"/>
          <w:color w:val="auto"/>
          <w:sz w:val="28"/>
          <w:szCs w:val="24"/>
          <w:highlight w:val="none"/>
        </w:rPr>
        <w:t>日</w:t>
      </w:r>
    </w:p>
    <w:p w14:paraId="094E63FB">
      <w:pPr>
        <w:pStyle w:val="14"/>
        <w:tabs>
          <w:tab w:val="left" w:pos="3611"/>
          <w:tab w:val="left" w:pos="4626"/>
          <w:tab w:val="left" w:pos="5642"/>
        </w:tabs>
        <w:kinsoku w:val="0"/>
        <w:overflowPunct w:val="0"/>
        <w:spacing w:before="14"/>
        <w:ind w:left="2877" w:right="175"/>
        <w:rPr>
          <w:rFonts w:hint="eastAsia" w:ascii="宋体" w:hAnsi="宋体" w:eastAsia="宋体" w:cs="宋体"/>
          <w:color w:val="auto"/>
          <w:sz w:val="28"/>
          <w:szCs w:val="24"/>
          <w:highlight w:val="none"/>
        </w:rPr>
        <w:sectPr>
          <w:pgSz w:w="11905" w:h="16838"/>
          <w:pgMar w:top="1417" w:right="1417" w:bottom="1417" w:left="1417" w:header="992" w:footer="992" w:gutter="0"/>
          <w:lnNumType w:countBy="0" w:distance="360"/>
          <w:pgNumType w:fmt="decimal"/>
          <w:cols w:space="720" w:num="1"/>
        </w:sectPr>
      </w:pPr>
    </w:p>
    <w:p w14:paraId="3009580A">
      <w:pPr>
        <w:pStyle w:val="14"/>
        <w:kinsoku w:val="0"/>
        <w:overflowPunct w:val="0"/>
        <w:spacing w:line="443" w:lineRule="exact"/>
        <w:ind w:left="1244" w:right="1222"/>
        <w:jc w:val="center"/>
        <w:rPr>
          <w:rFonts w:hint="eastAsia" w:ascii="宋体" w:hAnsi="宋体" w:eastAsia="宋体" w:cs="宋体"/>
          <w:color w:val="auto"/>
          <w:sz w:val="32"/>
          <w:szCs w:val="24"/>
          <w:highlight w:val="none"/>
        </w:rPr>
      </w:pPr>
      <w:bookmarkStart w:id="213" w:name="bookmark175"/>
      <w:bookmarkEnd w:id="213"/>
      <w:r>
        <w:rPr>
          <w:rFonts w:hint="eastAsia" w:ascii="宋体" w:hAnsi="宋体" w:eastAsia="宋体" w:cs="宋体"/>
          <w:b/>
          <w:color w:val="auto"/>
          <w:sz w:val="32"/>
          <w:szCs w:val="24"/>
          <w:highlight w:val="none"/>
        </w:rPr>
        <w:t>目录</w:t>
      </w:r>
    </w:p>
    <w:p w14:paraId="175F48B8">
      <w:pPr>
        <w:pStyle w:val="14"/>
        <w:kinsoku w:val="0"/>
        <w:overflowPunct w:val="0"/>
        <w:ind w:left="0"/>
        <w:rPr>
          <w:rFonts w:hint="eastAsia" w:ascii="宋体" w:hAnsi="宋体" w:eastAsia="宋体" w:cs="宋体"/>
          <w:b/>
          <w:color w:val="auto"/>
          <w:sz w:val="20"/>
          <w:szCs w:val="24"/>
          <w:highlight w:val="none"/>
        </w:rPr>
      </w:pPr>
    </w:p>
    <w:p w14:paraId="5CA9E8B5">
      <w:pPr>
        <w:pStyle w:val="14"/>
        <w:kinsoku w:val="0"/>
        <w:overflowPunct w:val="0"/>
        <w:ind w:left="0"/>
        <w:rPr>
          <w:rFonts w:hint="eastAsia" w:ascii="宋体" w:hAnsi="宋体" w:eastAsia="宋体" w:cs="宋体"/>
          <w:b/>
          <w:color w:val="auto"/>
          <w:sz w:val="20"/>
          <w:szCs w:val="24"/>
          <w:highlight w:val="none"/>
        </w:rPr>
      </w:pPr>
    </w:p>
    <w:p w14:paraId="4B4E32E1">
      <w:pPr>
        <w:pStyle w:val="14"/>
        <w:kinsoku w:val="0"/>
        <w:overflowPunct w:val="0"/>
        <w:ind w:left="0"/>
        <w:rPr>
          <w:rFonts w:hint="eastAsia" w:ascii="宋体" w:hAnsi="宋体" w:eastAsia="宋体" w:cs="宋体"/>
          <w:b/>
          <w:color w:val="auto"/>
          <w:sz w:val="20"/>
          <w:szCs w:val="24"/>
          <w:highlight w:val="none"/>
        </w:rPr>
      </w:pPr>
    </w:p>
    <w:p w14:paraId="133859A8">
      <w:pPr>
        <w:pStyle w:val="14"/>
        <w:kinsoku w:val="0"/>
        <w:overflowPunct w:val="0"/>
        <w:spacing w:before="6"/>
        <w:ind w:left="0"/>
        <w:rPr>
          <w:rFonts w:hint="eastAsia" w:ascii="宋体" w:hAnsi="宋体" w:eastAsia="宋体" w:cs="宋体"/>
          <w:b/>
          <w:color w:val="auto"/>
          <w:sz w:val="24"/>
          <w:szCs w:val="24"/>
          <w:highlight w:val="none"/>
        </w:rPr>
      </w:pPr>
    </w:p>
    <w:p w14:paraId="4E811244">
      <w:pPr>
        <w:pStyle w:val="14"/>
        <w:numPr>
          <w:ilvl w:val="0"/>
          <w:numId w:val="0"/>
        </w:numPr>
        <w:kinsoku w:val="0"/>
        <w:overflowPunct w:val="0"/>
        <w:spacing w:before="36" w:line="472" w:lineRule="auto"/>
        <w:ind w:left="0" w:right="2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投标函及投标函附录</w:t>
      </w:r>
    </w:p>
    <w:p w14:paraId="0BC8EF08">
      <w:pPr>
        <w:pStyle w:val="14"/>
        <w:numPr>
          <w:ilvl w:val="0"/>
          <w:numId w:val="0"/>
        </w:numPr>
        <w:kinsoku w:val="0"/>
        <w:overflowPunct w:val="0"/>
        <w:spacing w:before="36" w:line="472" w:lineRule="auto"/>
        <w:ind w:left="0" w:right="265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二、法定代表人身份证明</w:t>
      </w:r>
    </w:p>
    <w:p w14:paraId="01B65D16">
      <w:pPr>
        <w:pStyle w:val="14"/>
        <w:numPr>
          <w:ilvl w:val="0"/>
          <w:numId w:val="0"/>
        </w:numPr>
        <w:kinsoku w:val="0"/>
        <w:overflowPunct w:val="0"/>
        <w:spacing w:before="36" w:line="472" w:lineRule="auto"/>
        <w:ind w:left="0" w:right="2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二、授权委托书（适用于有委托代理人的情况）</w:t>
      </w:r>
    </w:p>
    <w:p w14:paraId="63552E9D">
      <w:pPr>
        <w:pStyle w:val="14"/>
        <w:numPr>
          <w:ilvl w:val="0"/>
          <w:numId w:val="0"/>
        </w:numPr>
        <w:shd w:val="clear"/>
        <w:kinsoku/>
        <w:overflowPunct w:val="0"/>
        <w:spacing w:before="36" w:line="472" w:lineRule="auto"/>
        <w:ind w:left="0" w:right="26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三、联合体协议书</w:t>
      </w:r>
      <w:r>
        <w:rPr>
          <w:rFonts w:hint="eastAsia" w:ascii="宋体" w:hAnsi="宋体" w:eastAsia="宋体" w:cs="宋体"/>
          <w:color w:val="auto"/>
          <w:sz w:val="24"/>
          <w:szCs w:val="24"/>
          <w:highlight w:val="none"/>
          <w:lang w:eastAsia="zh-CN"/>
        </w:rPr>
        <w:t>（</w:t>
      </w:r>
      <w:r>
        <w:rPr>
          <w:rFonts w:hint="eastAsia"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14:paraId="20C0C2A2">
      <w:pPr>
        <w:pStyle w:val="14"/>
        <w:numPr>
          <w:ilvl w:val="0"/>
          <w:numId w:val="0"/>
        </w:numPr>
        <w:shd w:val="clear"/>
        <w:kinsoku/>
        <w:overflowPunct w:val="0"/>
        <w:spacing w:before="61" w:line="472" w:lineRule="auto"/>
        <w:ind w:left="0" w:right="62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投标保证金</w:t>
      </w:r>
    </w:p>
    <w:p w14:paraId="2138905D">
      <w:pPr>
        <w:pStyle w:val="14"/>
        <w:numPr>
          <w:ilvl w:val="0"/>
          <w:numId w:val="0"/>
        </w:numPr>
        <w:shd w:val="clear"/>
        <w:kinsoku/>
        <w:overflowPunct w:val="0"/>
        <w:spacing w:before="61" w:line="472" w:lineRule="auto"/>
        <w:ind w:left="0" w:right="622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五、资格审查资料</w:t>
      </w:r>
    </w:p>
    <w:p w14:paraId="3F6A5CC8">
      <w:pPr>
        <w:pStyle w:val="14"/>
        <w:numPr>
          <w:ilvl w:val="0"/>
          <w:numId w:val="0"/>
        </w:numPr>
        <w:shd w:val="clear"/>
        <w:kinsoku/>
        <w:overflowPunct w:val="0"/>
        <w:spacing w:before="61" w:line="472" w:lineRule="auto"/>
        <w:ind w:left="0" w:right="622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六</w:t>
      </w:r>
      <w:r>
        <w:rPr>
          <w:rFonts w:hint="eastAsia" w:ascii="宋体" w:hAnsi="宋体" w:eastAsia="宋体" w:cs="宋体"/>
          <w:color w:val="auto"/>
          <w:sz w:val="24"/>
          <w:szCs w:val="24"/>
          <w:highlight w:val="none"/>
        </w:rPr>
        <w:t>、投标报价表</w:t>
      </w:r>
    </w:p>
    <w:p w14:paraId="74760985">
      <w:pPr>
        <w:pStyle w:val="14"/>
        <w:numPr>
          <w:ilvl w:val="0"/>
          <w:numId w:val="0"/>
        </w:numPr>
        <w:shd w:val="clear"/>
        <w:kinsoku/>
        <w:overflowPunct w:val="0"/>
        <w:spacing w:before="61" w:line="472" w:lineRule="auto"/>
        <w:ind w:left="0" w:right="6220"/>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七</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服务方案</w:t>
      </w:r>
    </w:p>
    <w:p w14:paraId="41D8315A">
      <w:pPr>
        <w:pStyle w:val="14"/>
        <w:numPr>
          <w:ilvl w:val="0"/>
          <w:numId w:val="0"/>
        </w:numPr>
        <w:kinsoku w:val="0"/>
        <w:overflowPunct w:val="0"/>
        <w:spacing w:before="61" w:line="472" w:lineRule="auto"/>
        <w:ind w:left="0" w:right="6220"/>
        <w:rPr>
          <w:rFonts w:hint="eastAsia" w:ascii="宋体" w:hAnsi="宋体" w:eastAsia="宋体" w:cs="宋体"/>
          <w:color w:val="auto"/>
          <w:sz w:val="24"/>
          <w:szCs w:val="24"/>
          <w:highlight w:val="none"/>
        </w:rPr>
      </w:pPr>
      <w:r>
        <w:rPr>
          <w:rFonts w:hint="eastAsia" w:cs="宋体"/>
          <w:color w:val="auto"/>
          <w:sz w:val="24"/>
          <w:szCs w:val="24"/>
          <w:highlight w:val="none"/>
          <w:lang w:eastAsia="zh-CN"/>
        </w:rPr>
        <w:t>八、</w:t>
      </w:r>
      <w:r>
        <w:rPr>
          <w:rFonts w:hint="eastAsia" w:ascii="宋体" w:hAnsi="宋体" w:eastAsia="宋体" w:cs="宋体"/>
          <w:color w:val="auto"/>
          <w:sz w:val="24"/>
          <w:szCs w:val="24"/>
          <w:highlight w:val="none"/>
        </w:rPr>
        <w:t>其他资料</w:t>
      </w:r>
    </w:p>
    <w:p w14:paraId="15BABC93">
      <w:pPr>
        <w:pStyle w:val="14"/>
        <w:kinsoku w:val="0"/>
        <w:overflowPunct w:val="0"/>
        <w:spacing w:before="61" w:line="472" w:lineRule="auto"/>
        <w:ind w:left="100" w:right="6220"/>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pgNumType w:fmt="decimal"/>
          <w:cols w:space="720" w:num="1"/>
        </w:sectPr>
      </w:pPr>
    </w:p>
    <w:p w14:paraId="120AED53">
      <w:pPr>
        <w:pStyle w:val="7"/>
        <w:jc w:val="center"/>
        <w:outlineLvl w:val="1"/>
        <w:rPr>
          <w:rFonts w:hint="eastAsia" w:ascii="宋体" w:hAnsi="宋体" w:eastAsia="宋体" w:cs="宋体"/>
          <w:color w:val="auto"/>
          <w:sz w:val="28"/>
          <w:szCs w:val="24"/>
          <w:highlight w:val="none"/>
        </w:rPr>
      </w:pPr>
      <w:bookmarkStart w:id="214" w:name="bookmark176"/>
      <w:bookmarkEnd w:id="214"/>
      <w:bookmarkStart w:id="215" w:name="_Toc5383"/>
      <w:r>
        <w:rPr>
          <w:rFonts w:hint="eastAsia" w:ascii="宋体" w:hAnsi="宋体" w:eastAsia="宋体" w:cs="宋体"/>
          <w:color w:val="auto"/>
          <w:sz w:val="28"/>
          <w:szCs w:val="24"/>
          <w:highlight w:val="none"/>
        </w:rPr>
        <w:t>一、投标函及投标函附录</w:t>
      </w:r>
      <w:bookmarkEnd w:id="215"/>
    </w:p>
    <w:p w14:paraId="5F4F6DA0">
      <w:pPr>
        <w:pStyle w:val="8"/>
        <w:outlineLvl w:val="2"/>
        <w:rPr>
          <w:rFonts w:hint="eastAsia" w:ascii="宋体" w:hAnsi="宋体" w:eastAsia="宋体" w:cs="宋体"/>
          <w:b/>
          <w:color w:val="auto"/>
          <w:sz w:val="28"/>
          <w:szCs w:val="24"/>
          <w:highlight w:val="none"/>
        </w:rPr>
      </w:pPr>
      <w:bookmarkStart w:id="216" w:name="bookmark177"/>
      <w:bookmarkEnd w:id="216"/>
      <w:bookmarkStart w:id="217" w:name="_Toc9570"/>
      <w:r>
        <w:rPr>
          <w:rFonts w:hint="eastAsia" w:ascii="宋体" w:hAnsi="宋体" w:eastAsia="宋体" w:cs="宋体"/>
          <w:b/>
          <w:color w:val="auto"/>
          <w:sz w:val="28"/>
          <w:szCs w:val="24"/>
          <w:highlight w:val="none"/>
        </w:rPr>
        <w:t>（一）投标函</w:t>
      </w:r>
      <w:bookmarkEnd w:id="217"/>
    </w:p>
    <w:p w14:paraId="12D4CF16">
      <w:pPr>
        <w:pStyle w:val="14"/>
        <w:kinsoku w:val="0"/>
        <w:overflowPunct w:val="0"/>
        <w:spacing w:before="1"/>
        <w:ind w:left="0"/>
        <w:rPr>
          <w:rFonts w:hint="eastAsia" w:ascii="宋体" w:hAnsi="宋体" w:eastAsia="宋体" w:cs="宋体"/>
          <w:color w:val="auto"/>
          <w:sz w:val="23"/>
          <w:szCs w:val="24"/>
          <w:highlight w:val="none"/>
        </w:rPr>
      </w:pPr>
    </w:p>
    <w:p w14:paraId="2263673B">
      <w:pPr>
        <w:pStyle w:val="14"/>
        <w:tabs>
          <w:tab w:val="left" w:pos="1991"/>
        </w:tabs>
        <w:kinsoku w:val="0"/>
        <w:overflowPunct w:val="0"/>
        <w:ind w:left="100" w:right="113"/>
        <w:rPr>
          <w:rFonts w:hint="eastAsia" w:ascii="宋体" w:hAnsi="宋体" w:eastAsia="宋体" w:cs="宋体"/>
          <w:color w:val="auto"/>
          <w:spacing w:val="-15"/>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ascii="宋体" w:hAnsi="宋体" w:eastAsia="宋体" w:cs="宋体"/>
          <w:color w:val="auto"/>
          <w:spacing w:val="-15"/>
          <w:sz w:val="21"/>
          <w:szCs w:val="24"/>
          <w:highlight w:val="none"/>
        </w:rPr>
        <w:t>（招标人名称）：</w:t>
      </w:r>
    </w:p>
    <w:p w14:paraId="431811DE">
      <w:pPr>
        <w:pStyle w:val="14"/>
        <w:kinsoku w:val="0"/>
        <w:overflowPunct w:val="0"/>
        <w:spacing w:before="13"/>
        <w:ind w:left="0"/>
        <w:rPr>
          <w:rFonts w:hint="eastAsia" w:ascii="宋体" w:hAnsi="宋体" w:eastAsia="宋体" w:cs="宋体"/>
          <w:color w:val="auto"/>
          <w:sz w:val="21"/>
          <w:szCs w:val="24"/>
          <w:highlight w:val="none"/>
        </w:rPr>
      </w:pPr>
    </w:p>
    <w:p w14:paraId="620419ED">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1．我方已仔细研究了</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（项目名称</w:t>
      </w:r>
      <w:r>
        <w:rPr>
          <w:rFonts w:hint="eastAsia" w:ascii="宋体" w:hAnsi="宋体" w:eastAsia="宋体" w:cs="宋体"/>
          <w:color w:val="auto"/>
          <w:sz w:val="21"/>
          <w:szCs w:val="21"/>
          <w:highlight w:val="none"/>
          <w:u w:val="single"/>
          <w:lang w:val="en-US" w:eastAsia="zh-CN"/>
        </w:rPr>
        <w:t>/标段名称</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招标项目招标文件的全部内容， 愿意以</w:t>
      </w:r>
      <w:r>
        <w:rPr>
          <w:rFonts w:hint="eastAsia" w:ascii="宋体" w:hAnsi="宋体" w:cs="宋体"/>
          <w:color w:val="auto"/>
          <w:kern w:val="2"/>
          <w:sz w:val="21"/>
          <w:szCs w:val="21"/>
          <w:highlight w:val="none"/>
          <w:lang w:val="en-US" w:eastAsia="zh-CN" w:bidi="ar-SA"/>
        </w:rPr>
        <w:t>投标</w:t>
      </w:r>
      <w:r>
        <w:rPr>
          <w:rFonts w:hint="eastAsia" w:ascii="宋体" w:hAnsi="宋体" w:eastAsia="宋体" w:cs="宋体"/>
          <w:color w:val="auto"/>
          <w:kern w:val="2"/>
          <w:sz w:val="21"/>
          <w:szCs w:val="21"/>
          <w:highlight w:val="none"/>
          <w:lang w:val="en-US" w:eastAsia="zh-CN" w:bidi="ar-SA"/>
        </w:rPr>
        <w:t>下浮率</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作为我方投标报价，服务期限：</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日历天，按合同约定完成</w:t>
      </w:r>
      <w:r>
        <w:rPr>
          <w:rFonts w:hint="eastAsia" w:ascii="宋体" w:hAnsi="宋体" w:cs="宋体"/>
          <w:color w:val="auto"/>
          <w:kern w:val="2"/>
          <w:sz w:val="21"/>
          <w:szCs w:val="21"/>
          <w:highlight w:val="none"/>
          <w:lang w:val="en-US" w:eastAsia="zh-CN" w:bidi="ar-SA"/>
        </w:rPr>
        <w:t>检测、监测</w:t>
      </w:r>
      <w:r>
        <w:rPr>
          <w:rFonts w:hint="eastAsia" w:ascii="宋体" w:hAnsi="宋体" w:eastAsia="宋体" w:cs="宋体"/>
          <w:color w:val="auto"/>
          <w:kern w:val="2"/>
          <w:sz w:val="21"/>
          <w:szCs w:val="21"/>
          <w:highlight w:val="none"/>
          <w:lang w:val="en-US" w:eastAsia="zh-CN" w:bidi="ar-SA"/>
        </w:rPr>
        <w:t>工作。</w:t>
      </w:r>
    </w:p>
    <w:p w14:paraId="2D4A0EDD">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 我方的投标文件包括下列内容：</w:t>
      </w:r>
    </w:p>
    <w:p w14:paraId="2EC6B253">
      <w:pPr>
        <w:shd w:val="clea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（1）投标函及投标函附录；</w:t>
      </w:r>
    </w:p>
    <w:p w14:paraId="5F861BCE">
      <w:pPr>
        <w:shd w:val="clea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（2）法定代表人身份证明</w:t>
      </w:r>
      <w:r>
        <w:rPr>
          <w:rFonts w:hint="eastAsia" w:ascii="宋体" w:hAnsi="宋体" w:eastAsia="宋体" w:cs="宋体"/>
          <w:color w:val="auto"/>
          <w:spacing w:val="8"/>
          <w:sz w:val="21"/>
          <w:szCs w:val="21"/>
          <w:highlight w:val="none"/>
        </w:rPr>
        <w:t>或附有法定代表人身份证明的授权委托书</w:t>
      </w:r>
      <w:r>
        <w:rPr>
          <w:rFonts w:hint="eastAsia" w:ascii="宋体" w:hAnsi="宋体" w:eastAsia="宋体" w:cs="宋体"/>
          <w:color w:val="auto"/>
          <w:kern w:val="2"/>
          <w:sz w:val="21"/>
          <w:szCs w:val="21"/>
          <w:highlight w:val="none"/>
          <w:lang w:val="en-US" w:eastAsia="zh-CN" w:bidi="ar-SA"/>
        </w:rPr>
        <w:t>；</w:t>
      </w:r>
    </w:p>
    <w:p w14:paraId="0890A391">
      <w:pPr>
        <w:shd w:val="clea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（3）联合体协议书（</w:t>
      </w:r>
      <w:r>
        <w:rPr>
          <w:rFonts w:hint="eastAsia" w:ascii="宋体" w:hAnsi="宋体" w:cs="宋体"/>
          <w:color w:val="auto"/>
          <w:kern w:val="2"/>
          <w:sz w:val="21"/>
          <w:szCs w:val="21"/>
          <w:highlight w:val="none"/>
          <w:lang w:val="en-US" w:eastAsia="zh-CN" w:bidi="ar-SA"/>
        </w:rPr>
        <w:t>如有</w:t>
      </w:r>
      <w:r>
        <w:rPr>
          <w:rFonts w:hint="eastAsia" w:ascii="宋体" w:hAnsi="宋体" w:eastAsia="宋体" w:cs="宋体"/>
          <w:color w:val="auto"/>
          <w:kern w:val="2"/>
          <w:sz w:val="21"/>
          <w:szCs w:val="21"/>
          <w:highlight w:val="none"/>
          <w:lang w:val="en-US" w:eastAsia="zh-CN" w:bidi="ar-SA"/>
        </w:rPr>
        <w:t>）；</w:t>
      </w:r>
    </w:p>
    <w:p w14:paraId="2DED99A6">
      <w:pPr>
        <w:shd w:val="clea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（4）投标保证金；</w:t>
      </w:r>
    </w:p>
    <w:p w14:paraId="6841B9FA">
      <w:pPr>
        <w:shd w:val="clea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（5）资格审查资料；</w:t>
      </w:r>
    </w:p>
    <w:p w14:paraId="5A2ACB40">
      <w:pPr>
        <w:shd w:val="clea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r>
        <w:rPr>
          <w:rFonts w:hint="eastAsia" w:ascii="宋体" w:hAnsi="宋体" w:cs="宋体"/>
          <w:color w:val="auto"/>
          <w:kern w:val="2"/>
          <w:sz w:val="21"/>
          <w:szCs w:val="21"/>
          <w:highlight w:val="none"/>
          <w:lang w:val="en-US" w:eastAsia="zh-CN" w:bidi="ar-SA"/>
        </w:rPr>
        <w:t>技术服务方案</w:t>
      </w:r>
      <w:r>
        <w:rPr>
          <w:rFonts w:hint="eastAsia" w:ascii="宋体" w:hAnsi="宋体" w:eastAsia="宋体" w:cs="宋体"/>
          <w:color w:val="auto"/>
          <w:kern w:val="2"/>
          <w:sz w:val="21"/>
          <w:szCs w:val="21"/>
          <w:highlight w:val="none"/>
          <w:lang w:val="en-US" w:eastAsia="zh-CN" w:bidi="ar-SA"/>
        </w:rPr>
        <w:t>；</w:t>
      </w:r>
    </w:p>
    <w:p w14:paraId="7ACBBB14">
      <w:pPr>
        <w:shd w:val="clear"/>
        <w:autoSpaceDE/>
        <w:autoSpaceDN/>
        <w:adjustRightInd/>
        <w:spacing w:line="360" w:lineRule="auto"/>
        <w:ind w:left="585" w:leftChars="200" w:hanging="105" w:hangingChars="5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（7）其他资料。</w:t>
      </w:r>
    </w:p>
    <w:p w14:paraId="0A9B3D21">
      <w:pPr>
        <w:pStyle w:val="14"/>
        <w:kinsoku w:val="0"/>
        <w:overflowPunct w:val="0"/>
        <w:spacing w:line="360" w:lineRule="auto"/>
        <w:ind w:left="522" w:right="2132" w:hanging="17"/>
        <w:rPr>
          <w:rFonts w:hint="eastAsia" w:ascii="宋体" w:hAnsi="宋体" w:eastAsia="宋体" w:cs="宋体"/>
          <w:color w:val="auto"/>
          <w:spacing w:val="-2"/>
          <w:sz w:val="21"/>
          <w:szCs w:val="24"/>
          <w:highlight w:val="none"/>
        </w:rPr>
      </w:pPr>
      <w:r>
        <w:rPr>
          <w:rFonts w:hint="eastAsia" w:ascii="宋体" w:hAnsi="宋体" w:eastAsia="宋体" w:cs="宋体"/>
          <w:color w:val="auto"/>
          <w:spacing w:val="-2"/>
          <w:sz w:val="21"/>
          <w:szCs w:val="24"/>
          <w:highlight w:val="none"/>
        </w:rPr>
        <w:t>投标文件的上述组成部分如存在内容不一致的，以投标函为准。</w:t>
      </w:r>
    </w:p>
    <w:p w14:paraId="2AD55282">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3．我方承诺在招标文件规定的投标有效期内不撤销投标文件。</w:t>
      </w:r>
    </w:p>
    <w:p w14:paraId="42F1D981">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4．如我方中标，我方承诺：</w:t>
      </w:r>
    </w:p>
    <w:p w14:paraId="4F193BE0">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（1）在收到中标通知书后，在中标通知书规定的期限内与你方签订合同；</w:t>
      </w:r>
    </w:p>
    <w:p w14:paraId="3F033263">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（2）在签订合同时不向你方提出附加条件；</w:t>
      </w:r>
    </w:p>
    <w:p w14:paraId="54900C7A">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（3）按照招标文件要求提交履约保证金；</w:t>
      </w:r>
    </w:p>
    <w:p w14:paraId="6385C8F0">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（4）在合同约定的期限内完成合同规定的全部义务。</w:t>
      </w:r>
    </w:p>
    <w:p w14:paraId="3CAD0B76">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5．我方在此声明，所递交的投标文件及有关资料内容完整、真实和准确，且不存在第二章 “投标人须知”第 1.4.3 项规定的任何一种情形。</w:t>
      </w:r>
    </w:p>
    <w:p w14:paraId="7EAA6697">
      <w:pPr>
        <w:shd w:val="clea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6．我方承诺投标有效期为自投标截止之日起90日。</w:t>
      </w:r>
    </w:p>
    <w:p w14:paraId="20883179">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（其他补充说明）。</w:t>
      </w:r>
    </w:p>
    <w:p w14:paraId="17F8246F">
      <w:pPr>
        <w:pStyle w:val="14"/>
        <w:tabs>
          <w:tab w:val="left" w:pos="7241"/>
        </w:tabs>
        <w:kinsoku w:val="0"/>
        <w:overflowPunct w:val="0"/>
        <w:spacing w:before="36" w:line="360" w:lineRule="auto"/>
        <w:ind w:left="2621" w:right="113" w:firstLine="1260" w:firstLineChars="600"/>
        <w:rPr>
          <w:rFonts w:hint="eastAsia" w:ascii="宋体" w:hAnsi="宋体" w:eastAsia="宋体" w:cs="宋体"/>
          <w:color w:val="auto"/>
          <w:sz w:val="21"/>
          <w:szCs w:val="24"/>
          <w:highlight w:val="none"/>
        </w:rPr>
      </w:pPr>
    </w:p>
    <w:p w14:paraId="04A7556A">
      <w:pPr>
        <w:pStyle w:val="14"/>
        <w:tabs>
          <w:tab w:val="left" w:pos="7241"/>
        </w:tabs>
        <w:kinsoku w:val="0"/>
        <w:overflowPunct w:val="0"/>
        <w:spacing w:before="36" w:line="360" w:lineRule="auto"/>
        <w:ind w:left="2621" w:right="113" w:firstLine="1260" w:firstLineChars="6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 标</w:t>
      </w:r>
      <w:r>
        <w:rPr>
          <w:rFonts w:hint="eastAsia" w:ascii="宋体" w:hAnsi="宋体" w:eastAsia="宋体" w:cs="宋体"/>
          <w:color w:val="auto"/>
          <w:spacing w:val="-1"/>
          <w:sz w:val="21"/>
          <w:szCs w:val="24"/>
          <w:highlight w:val="none"/>
        </w:rPr>
        <w:t xml:space="preserve"> </w:t>
      </w:r>
      <w:r>
        <w:rPr>
          <w:rFonts w:hint="eastAsia" w:ascii="宋体" w:hAnsi="宋体" w:eastAsia="宋体" w:cs="宋体"/>
          <w:color w:val="auto"/>
          <w:sz w:val="21"/>
          <w:szCs w:val="24"/>
          <w:highlight w:val="none"/>
        </w:rPr>
        <w:t>人：</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rPr>
        <w:t>（盖单位章）</w:t>
      </w:r>
    </w:p>
    <w:p w14:paraId="52F7C7BC">
      <w:pPr>
        <w:widowControl/>
        <w:kinsoku w:val="0"/>
        <w:snapToGrid w:val="0"/>
        <w:spacing w:line="360" w:lineRule="auto"/>
        <w:ind w:left="3840" w:leftChars="1600" w:right="253"/>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8"/>
          <w:sz w:val="21"/>
          <w:szCs w:val="21"/>
          <w:highlight w:val="none"/>
        </w:rPr>
        <w:t>法定</w:t>
      </w:r>
      <w:r>
        <w:rPr>
          <w:rFonts w:hint="eastAsia" w:ascii="宋体" w:hAnsi="宋体" w:eastAsia="宋体" w:cs="宋体"/>
          <w:color w:val="auto"/>
          <w:spacing w:val="-4"/>
          <w:sz w:val="21"/>
          <w:szCs w:val="21"/>
          <w:highlight w:val="none"/>
        </w:rPr>
        <w:t>代表人</w:t>
      </w:r>
      <w:r>
        <w:rPr>
          <w:rFonts w:hint="eastAsia" w:ascii="宋体" w:hAnsi="宋体" w:cs="宋体"/>
          <w:color w:val="auto"/>
          <w:spacing w:val="-4"/>
          <w:sz w:val="21"/>
          <w:szCs w:val="21"/>
          <w:highlight w:val="none"/>
          <w:lang w:val="en-US" w:eastAsia="zh-CN"/>
        </w:rPr>
        <w:t>或其授权代理人</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hint="eastAsia" w:ascii="宋体" w:hAnsi="宋体" w:eastAsia="宋体" w:cs="宋体"/>
          <w:color w:val="auto"/>
          <w:spacing w:val="-4"/>
          <w:sz w:val="21"/>
          <w:szCs w:val="21"/>
          <w:highlight w:val="none"/>
        </w:rPr>
        <w:t>)</w:t>
      </w:r>
    </w:p>
    <w:p w14:paraId="5D36AC2D">
      <w:pPr>
        <w:pStyle w:val="14"/>
        <w:tabs>
          <w:tab w:val="left" w:pos="3232"/>
          <w:tab w:val="left" w:pos="8529"/>
        </w:tabs>
        <w:kinsoku w:val="0"/>
        <w:overflowPunct w:val="0"/>
        <w:spacing w:before="36" w:line="360" w:lineRule="auto"/>
        <w:ind w:left="2601" w:firstLine="1260" w:firstLineChars="600"/>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rPr>
        <w:t>地</w:t>
      </w:r>
      <w:r>
        <w:rPr>
          <w:rFonts w:hint="eastAsia" w:ascii="宋体" w:hAnsi="宋体" w:eastAsia="宋体" w:cs="宋体"/>
          <w:color w:val="auto"/>
          <w:sz w:val="21"/>
          <w:szCs w:val="24"/>
          <w:highlight w:val="none"/>
          <w:lang w:val="en-US" w:eastAsia="zh-CN"/>
        </w:rPr>
        <w:t xml:space="preserve">    </w:t>
      </w:r>
      <w:r>
        <w:rPr>
          <w:rFonts w:hint="eastAsia" w:ascii="宋体" w:hAnsi="宋体" w:eastAsia="宋体" w:cs="宋体"/>
          <w:color w:val="auto"/>
          <w:sz w:val="21"/>
          <w:szCs w:val="24"/>
          <w:highlight w:val="none"/>
        </w:rPr>
        <w:t>址：</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lang w:val="en-US" w:eastAsia="zh-CN"/>
        </w:rPr>
        <w:t xml:space="preserve">                                                  </w:t>
      </w:r>
    </w:p>
    <w:p w14:paraId="36CBB471">
      <w:pPr>
        <w:pStyle w:val="14"/>
        <w:tabs>
          <w:tab w:val="left" w:pos="3232"/>
          <w:tab w:val="left" w:pos="8529"/>
        </w:tabs>
        <w:kinsoku w:val="0"/>
        <w:overflowPunct w:val="0"/>
        <w:spacing w:before="36" w:line="360" w:lineRule="auto"/>
        <w:ind w:firstLine="3360" w:firstLineChars="1600"/>
        <w:rPr>
          <w:rFonts w:hint="eastAsia" w:ascii="宋体" w:hAnsi="宋体" w:eastAsia="宋体" w:cs="宋体"/>
          <w:color w:val="auto"/>
          <w:sz w:val="21"/>
          <w:szCs w:val="24"/>
          <w:highlight w:val="none"/>
          <w:u w:val="single"/>
          <w:lang w:val="en-US" w:eastAsia="zh-CN"/>
        </w:rPr>
      </w:pPr>
      <w:r>
        <w:rPr>
          <w:rFonts w:hint="eastAsia" w:ascii="宋体" w:hAnsi="宋体" w:eastAsia="宋体" w:cs="宋体"/>
          <w:color w:val="auto"/>
          <w:sz w:val="21"/>
          <w:szCs w:val="24"/>
          <w:highlight w:val="none"/>
        </w:rPr>
        <w:t>电</w:t>
      </w:r>
      <w:r>
        <w:rPr>
          <w:rFonts w:hint="eastAsia" w:ascii="宋体" w:hAnsi="宋体" w:eastAsia="宋体" w:cs="宋体"/>
          <w:color w:val="auto"/>
          <w:sz w:val="21"/>
          <w:szCs w:val="24"/>
          <w:highlight w:val="none"/>
          <w:lang w:val="en-US" w:eastAsia="zh-CN"/>
        </w:rPr>
        <w:t xml:space="preserve">    </w:t>
      </w:r>
      <w:r>
        <w:rPr>
          <w:rFonts w:hint="eastAsia" w:ascii="宋体" w:hAnsi="宋体" w:eastAsia="宋体" w:cs="宋体"/>
          <w:color w:val="auto"/>
          <w:sz w:val="21"/>
          <w:szCs w:val="24"/>
          <w:highlight w:val="none"/>
        </w:rPr>
        <w:t>话：</w:t>
      </w:r>
      <w:r>
        <w:rPr>
          <w:rFonts w:hint="eastAsia" w:ascii="宋体" w:hAnsi="宋体" w:eastAsia="宋体" w:cs="宋体"/>
          <w:color w:val="auto"/>
          <w:sz w:val="21"/>
          <w:szCs w:val="24"/>
          <w:highlight w:val="none"/>
          <w:u w:val="single"/>
          <w:lang w:val="en-US" w:eastAsia="zh-CN"/>
        </w:rPr>
        <w:t xml:space="preserve">                          </w:t>
      </w:r>
    </w:p>
    <w:p w14:paraId="0C2BD034">
      <w:pPr>
        <w:pStyle w:val="14"/>
        <w:tabs>
          <w:tab w:val="left" w:pos="3232"/>
          <w:tab w:val="left" w:pos="8529"/>
        </w:tabs>
        <w:kinsoku w:val="0"/>
        <w:overflowPunct w:val="0"/>
        <w:spacing w:before="36" w:line="360" w:lineRule="auto"/>
        <w:ind w:firstLine="3360" w:firstLineChars="1600"/>
        <w:rPr>
          <w:rFonts w:hint="eastAsia" w:ascii="宋体" w:hAnsi="宋体" w:eastAsia="宋体" w:cs="宋体"/>
          <w:color w:val="auto"/>
          <w:sz w:val="21"/>
          <w:szCs w:val="24"/>
          <w:highlight w:val="none"/>
          <w:u w:val="single"/>
          <w:lang w:val="en-US" w:eastAsia="zh-CN"/>
        </w:rPr>
      </w:pPr>
      <w:r>
        <w:rPr>
          <w:rFonts w:hint="eastAsia" w:ascii="宋体" w:hAnsi="宋体" w:eastAsia="宋体" w:cs="宋体"/>
          <w:color w:val="auto"/>
          <w:sz w:val="21"/>
          <w:szCs w:val="24"/>
          <w:highlight w:val="none"/>
        </w:rPr>
        <w:t>传</w:t>
      </w:r>
      <w:r>
        <w:rPr>
          <w:rFonts w:hint="eastAsia" w:ascii="宋体" w:hAnsi="宋体" w:eastAsia="宋体" w:cs="宋体"/>
          <w:color w:val="auto"/>
          <w:sz w:val="21"/>
          <w:szCs w:val="24"/>
          <w:highlight w:val="none"/>
          <w:lang w:val="en-US" w:eastAsia="zh-CN"/>
        </w:rPr>
        <w:t xml:space="preserve">    </w:t>
      </w:r>
      <w:r>
        <w:rPr>
          <w:rFonts w:hint="eastAsia" w:ascii="宋体" w:hAnsi="宋体" w:eastAsia="宋体" w:cs="宋体"/>
          <w:color w:val="auto"/>
          <w:sz w:val="21"/>
          <w:szCs w:val="24"/>
          <w:highlight w:val="none"/>
        </w:rPr>
        <w:t>真：</w:t>
      </w:r>
      <w:r>
        <w:rPr>
          <w:rFonts w:hint="eastAsia" w:ascii="宋体" w:hAnsi="宋体" w:eastAsia="宋体" w:cs="宋体"/>
          <w:color w:val="auto"/>
          <w:sz w:val="21"/>
          <w:szCs w:val="24"/>
          <w:highlight w:val="none"/>
          <w:u w:val="single"/>
          <w:lang w:val="en-US" w:eastAsia="zh-CN"/>
        </w:rPr>
        <w:t xml:space="preserve">                          </w:t>
      </w:r>
    </w:p>
    <w:p w14:paraId="1152F97A">
      <w:pPr>
        <w:pStyle w:val="14"/>
        <w:tabs>
          <w:tab w:val="left" w:pos="8529"/>
        </w:tabs>
        <w:kinsoku w:val="0"/>
        <w:overflowPunct w:val="0"/>
        <w:spacing w:before="36" w:line="360" w:lineRule="auto"/>
        <w:ind w:left="2601"/>
        <w:rPr>
          <w:rFonts w:hint="eastAsia" w:ascii="宋体" w:hAnsi="宋体" w:eastAsia="宋体" w:cs="宋体"/>
          <w:color w:val="auto"/>
          <w:sz w:val="21"/>
          <w:szCs w:val="24"/>
          <w:highlight w:val="none"/>
          <w:u w:val="single"/>
          <w:lang w:val="en-US" w:eastAsia="zh-CN"/>
        </w:rPr>
      </w:pPr>
      <w:r>
        <w:rPr>
          <w:rFonts w:hint="eastAsia" w:ascii="宋体" w:hAnsi="宋体" w:eastAsia="宋体" w:cs="宋体"/>
          <w:color w:val="auto"/>
          <w:sz w:val="21"/>
          <w:szCs w:val="24"/>
          <w:highlight w:val="none"/>
          <w:lang w:val="en-US" w:eastAsia="zh-CN"/>
        </w:rPr>
        <w:t xml:space="preserve">                  </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lang w:val="en-US" w:eastAsia="zh-CN"/>
        </w:rPr>
        <w:t>年</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lang w:val="en-US" w:eastAsia="zh-CN"/>
        </w:rPr>
        <w:t>月</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lang w:val="en-US" w:eastAsia="zh-CN"/>
        </w:rPr>
        <w:t>日</w:t>
      </w:r>
    </w:p>
    <w:p w14:paraId="1929930F">
      <w:pPr>
        <w:pStyle w:val="14"/>
        <w:tabs>
          <w:tab w:val="left" w:pos="631"/>
          <w:tab w:val="left" w:pos="1471"/>
          <w:tab w:val="left" w:pos="2311"/>
        </w:tabs>
        <w:kinsoku w:val="0"/>
        <w:overflowPunct w:val="0"/>
        <w:spacing w:before="36" w:line="360" w:lineRule="auto"/>
        <w:ind w:left="0" w:right="117"/>
        <w:jc w:val="right"/>
        <w:rPr>
          <w:rFonts w:hint="eastAsia" w:ascii="宋体" w:hAnsi="宋体" w:eastAsia="宋体" w:cs="宋体"/>
          <w:color w:val="auto"/>
          <w:sz w:val="21"/>
          <w:szCs w:val="24"/>
          <w:highlight w:val="none"/>
        </w:rPr>
        <w:sectPr>
          <w:footerReference r:id="rId17" w:type="default"/>
          <w:pgSz w:w="11905" w:h="16838"/>
          <w:pgMar w:top="1417" w:right="1417" w:bottom="1417" w:left="1417" w:header="992" w:footer="992" w:gutter="0"/>
          <w:lnNumType w:countBy="0" w:distance="360"/>
          <w:pgNumType w:fmt="decimal"/>
          <w:cols w:space="720" w:num="1"/>
        </w:sectPr>
      </w:pPr>
    </w:p>
    <w:p w14:paraId="65039D38">
      <w:pPr>
        <w:pStyle w:val="8"/>
        <w:outlineLvl w:val="2"/>
        <w:rPr>
          <w:rFonts w:hint="eastAsia" w:ascii="宋体" w:hAnsi="宋体" w:eastAsia="宋体" w:cs="宋体"/>
          <w:b/>
          <w:color w:val="auto"/>
          <w:sz w:val="28"/>
          <w:szCs w:val="24"/>
          <w:highlight w:val="none"/>
        </w:rPr>
      </w:pPr>
      <w:bookmarkStart w:id="218" w:name="bookmark178"/>
      <w:bookmarkEnd w:id="218"/>
      <w:bookmarkStart w:id="219" w:name="_Toc8767"/>
      <w:r>
        <w:rPr>
          <w:rFonts w:hint="eastAsia" w:ascii="宋体" w:hAnsi="宋体" w:eastAsia="宋体" w:cs="宋体"/>
          <w:b/>
          <w:color w:val="auto"/>
          <w:sz w:val="28"/>
          <w:szCs w:val="24"/>
          <w:highlight w:val="none"/>
        </w:rPr>
        <w:t>（二）投标函附录</w:t>
      </w:r>
      <w:bookmarkEnd w:id="219"/>
    </w:p>
    <w:tbl>
      <w:tblPr>
        <w:tblStyle w:val="24"/>
        <w:tblpPr w:leftFromText="180" w:rightFromText="180" w:vertAnchor="text" w:horzAnchor="margin" w:tblpXSpec="center" w:tblpY="2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5"/>
        <w:gridCol w:w="2318"/>
        <w:gridCol w:w="3630"/>
      </w:tblGrid>
      <w:tr w14:paraId="537F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96" w:type="pct"/>
            <w:tcBorders>
              <w:top w:val="single" w:color="auto" w:sz="4" w:space="0"/>
              <w:left w:val="single" w:color="auto" w:sz="4" w:space="0"/>
              <w:bottom w:val="single" w:color="auto" w:sz="4" w:space="0"/>
              <w:right w:val="single" w:color="auto" w:sz="4" w:space="0"/>
            </w:tcBorders>
            <w:noWrap w:val="0"/>
            <w:vAlign w:val="center"/>
          </w:tcPr>
          <w:p w14:paraId="2C46B42F">
            <w:pPr>
              <w:autoSpaceDE w:val="0"/>
              <w:autoSpaceDN w:val="0"/>
              <w:adjustRightInd w:val="0"/>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3203" w:type="pct"/>
            <w:gridSpan w:val="2"/>
            <w:tcBorders>
              <w:top w:val="single" w:color="auto" w:sz="4" w:space="0"/>
              <w:left w:val="single" w:color="auto" w:sz="4" w:space="0"/>
              <w:bottom w:val="single" w:color="auto" w:sz="4" w:space="0"/>
              <w:right w:val="single" w:color="auto" w:sz="4" w:space="0"/>
            </w:tcBorders>
            <w:noWrap w:val="0"/>
            <w:vAlign w:val="top"/>
          </w:tcPr>
          <w:p w14:paraId="5B03A5FF">
            <w:pPr>
              <w:autoSpaceDE w:val="0"/>
              <w:autoSpaceDN w:val="0"/>
              <w:adjustRightInd w:val="0"/>
              <w:jc w:val="center"/>
              <w:rPr>
                <w:rFonts w:hint="eastAsia" w:ascii="宋体" w:hAnsi="宋体" w:cs="宋体"/>
                <w:bCs/>
                <w:color w:val="auto"/>
                <w:sz w:val="24"/>
                <w:szCs w:val="24"/>
                <w:highlight w:val="none"/>
                <w:lang w:val="zh-CN"/>
              </w:rPr>
            </w:pPr>
          </w:p>
        </w:tc>
      </w:tr>
      <w:tr w14:paraId="2555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96" w:type="pct"/>
            <w:tcBorders>
              <w:top w:val="single" w:color="auto" w:sz="4" w:space="0"/>
              <w:left w:val="single" w:color="auto" w:sz="4" w:space="0"/>
              <w:bottom w:val="single" w:color="auto" w:sz="4" w:space="0"/>
              <w:right w:val="single" w:color="auto" w:sz="4" w:space="0"/>
            </w:tcBorders>
            <w:noWrap w:val="0"/>
            <w:vAlign w:val="center"/>
          </w:tcPr>
          <w:p w14:paraId="07A3E046">
            <w:pPr>
              <w:autoSpaceDE w:val="0"/>
              <w:autoSpaceDN w:val="0"/>
              <w:adjustRightInd w:val="0"/>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投标下浮率</w:t>
            </w:r>
          </w:p>
        </w:tc>
        <w:tc>
          <w:tcPr>
            <w:tcW w:w="3203" w:type="pct"/>
            <w:gridSpan w:val="2"/>
            <w:tcBorders>
              <w:top w:val="single" w:color="auto" w:sz="4" w:space="0"/>
              <w:left w:val="single" w:color="auto" w:sz="4" w:space="0"/>
              <w:bottom w:val="single" w:color="auto" w:sz="4" w:space="0"/>
              <w:right w:val="single" w:color="auto" w:sz="4" w:space="0"/>
            </w:tcBorders>
            <w:noWrap w:val="0"/>
            <w:vAlign w:val="center"/>
          </w:tcPr>
          <w:p w14:paraId="5B2B0CD7">
            <w:pPr>
              <w:autoSpaceDE w:val="0"/>
              <w:autoSpaceDN w:val="0"/>
              <w:adjustRightInd w:val="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tc>
      </w:tr>
      <w:tr w14:paraId="3BA7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96" w:type="pct"/>
            <w:tcBorders>
              <w:top w:val="single" w:color="auto" w:sz="4" w:space="0"/>
              <w:left w:val="single" w:color="auto" w:sz="4" w:space="0"/>
              <w:bottom w:val="single" w:color="auto" w:sz="4" w:space="0"/>
              <w:right w:val="single" w:color="auto" w:sz="4" w:space="0"/>
            </w:tcBorders>
            <w:noWrap w:val="0"/>
            <w:vAlign w:val="center"/>
          </w:tcPr>
          <w:p w14:paraId="44CA3A43">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服务期限</w:t>
            </w:r>
          </w:p>
        </w:tc>
        <w:tc>
          <w:tcPr>
            <w:tcW w:w="3203" w:type="pct"/>
            <w:gridSpan w:val="2"/>
            <w:tcBorders>
              <w:top w:val="single" w:color="auto" w:sz="4" w:space="0"/>
              <w:left w:val="single" w:color="auto" w:sz="4" w:space="0"/>
              <w:bottom w:val="single" w:color="auto" w:sz="4" w:space="0"/>
              <w:right w:val="single" w:color="auto" w:sz="4" w:space="0"/>
            </w:tcBorders>
            <w:noWrap w:val="0"/>
            <w:vAlign w:val="center"/>
          </w:tcPr>
          <w:p w14:paraId="74E49245">
            <w:pPr>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按招标文件要求</w:t>
            </w:r>
          </w:p>
        </w:tc>
      </w:tr>
      <w:tr w14:paraId="05C8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96" w:type="pct"/>
            <w:tcBorders>
              <w:top w:val="single" w:color="auto" w:sz="4" w:space="0"/>
              <w:left w:val="single" w:color="auto" w:sz="4" w:space="0"/>
              <w:bottom w:val="single" w:color="auto" w:sz="4" w:space="0"/>
              <w:right w:val="single" w:color="auto" w:sz="4" w:space="0"/>
            </w:tcBorders>
            <w:noWrap w:val="0"/>
            <w:vAlign w:val="center"/>
          </w:tcPr>
          <w:p w14:paraId="691EF20A">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CMA计量认证合格证书号</w:t>
            </w:r>
          </w:p>
        </w:tc>
        <w:tc>
          <w:tcPr>
            <w:tcW w:w="3203" w:type="pct"/>
            <w:gridSpan w:val="2"/>
            <w:tcBorders>
              <w:top w:val="single" w:color="auto" w:sz="4" w:space="0"/>
              <w:left w:val="single" w:color="auto" w:sz="4" w:space="0"/>
              <w:bottom w:val="single" w:color="auto" w:sz="4" w:space="0"/>
              <w:right w:val="single" w:color="auto" w:sz="4" w:space="0"/>
            </w:tcBorders>
            <w:noWrap w:val="0"/>
            <w:vAlign w:val="top"/>
          </w:tcPr>
          <w:p w14:paraId="4C477BF6">
            <w:pPr>
              <w:autoSpaceDE w:val="0"/>
              <w:autoSpaceDN w:val="0"/>
              <w:adjustRightInd w:val="0"/>
              <w:jc w:val="center"/>
              <w:rPr>
                <w:rFonts w:hint="eastAsia" w:ascii="宋体" w:hAnsi="宋体" w:cs="宋体"/>
                <w:bCs/>
                <w:color w:val="auto"/>
                <w:sz w:val="24"/>
                <w:szCs w:val="24"/>
                <w:highlight w:val="none"/>
                <w:lang w:val="zh-CN"/>
              </w:rPr>
            </w:pPr>
          </w:p>
        </w:tc>
      </w:tr>
      <w:tr w14:paraId="0628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96" w:type="pct"/>
            <w:vMerge w:val="restart"/>
            <w:tcBorders>
              <w:top w:val="single" w:color="auto" w:sz="4" w:space="0"/>
              <w:left w:val="single" w:color="auto" w:sz="4" w:space="0"/>
              <w:bottom w:val="single" w:color="auto" w:sz="4" w:space="0"/>
              <w:right w:val="single" w:color="auto" w:sz="4" w:space="0"/>
            </w:tcBorders>
            <w:noWrap w:val="0"/>
            <w:vAlign w:val="center"/>
          </w:tcPr>
          <w:p w14:paraId="472E5B28">
            <w:pPr>
              <w:autoSpaceDE w:val="0"/>
              <w:autoSpaceDN w:val="0"/>
              <w:adjustRightInd w:val="0"/>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lang w:val="zh-CN"/>
              </w:rPr>
              <w:t>委派的项目负责人</w:t>
            </w:r>
          </w:p>
        </w:tc>
        <w:tc>
          <w:tcPr>
            <w:tcW w:w="1248" w:type="pct"/>
            <w:tcBorders>
              <w:top w:val="single" w:color="auto" w:sz="4" w:space="0"/>
              <w:left w:val="single" w:color="auto" w:sz="4" w:space="0"/>
              <w:bottom w:val="single" w:color="auto" w:sz="4" w:space="0"/>
              <w:right w:val="single" w:color="auto" w:sz="4" w:space="0"/>
            </w:tcBorders>
            <w:noWrap w:val="0"/>
            <w:vAlign w:val="center"/>
          </w:tcPr>
          <w:p w14:paraId="1F181763">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p>
        </w:tc>
        <w:tc>
          <w:tcPr>
            <w:tcW w:w="1955" w:type="pct"/>
            <w:tcBorders>
              <w:top w:val="single" w:color="auto" w:sz="4" w:space="0"/>
              <w:left w:val="single" w:color="auto" w:sz="4" w:space="0"/>
              <w:bottom w:val="single" w:color="auto" w:sz="4" w:space="0"/>
              <w:right w:val="single" w:color="auto" w:sz="4" w:space="0"/>
            </w:tcBorders>
            <w:noWrap w:val="0"/>
            <w:vAlign w:val="top"/>
          </w:tcPr>
          <w:p w14:paraId="1C000710">
            <w:pPr>
              <w:autoSpaceDE w:val="0"/>
              <w:autoSpaceDN w:val="0"/>
              <w:adjustRightInd w:val="0"/>
              <w:jc w:val="center"/>
              <w:rPr>
                <w:rFonts w:hint="eastAsia" w:ascii="宋体" w:hAnsi="宋体" w:cs="宋体"/>
                <w:b/>
                <w:bCs/>
                <w:color w:val="auto"/>
                <w:sz w:val="24"/>
                <w:szCs w:val="24"/>
                <w:highlight w:val="none"/>
                <w:lang w:val="zh-CN"/>
              </w:rPr>
            </w:pPr>
          </w:p>
        </w:tc>
      </w:tr>
      <w:tr w14:paraId="7754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96" w:type="pct"/>
            <w:vMerge w:val="continue"/>
            <w:tcBorders>
              <w:top w:val="single" w:color="auto" w:sz="4" w:space="0"/>
              <w:left w:val="single" w:color="auto" w:sz="4" w:space="0"/>
              <w:bottom w:val="single" w:color="auto" w:sz="4" w:space="0"/>
              <w:right w:val="single" w:color="auto" w:sz="4" w:space="0"/>
            </w:tcBorders>
            <w:noWrap w:val="0"/>
            <w:vAlign w:val="center"/>
          </w:tcPr>
          <w:p w14:paraId="0EAB7DFB">
            <w:pPr>
              <w:jc w:val="center"/>
              <w:rPr>
                <w:rFonts w:hint="eastAsia" w:ascii="宋体" w:hAnsi="宋体" w:cs="宋体"/>
                <w:bCs/>
                <w:color w:val="auto"/>
                <w:sz w:val="24"/>
                <w:szCs w:val="24"/>
                <w:highlight w:val="none"/>
                <w:lang w:val="zh-CN"/>
              </w:rPr>
            </w:pPr>
          </w:p>
        </w:tc>
        <w:tc>
          <w:tcPr>
            <w:tcW w:w="1248" w:type="pct"/>
            <w:tcBorders>
              <w:top w:val="single" w:color="auto" w:sz="4" w:space="0"/>
              <w:left w:val="single" w:color="auto" w:sz="4" w:space="0"/>
              <w:bottom w:val="single" w:color="auto" w:sz="4" w:space="0"/>
              <w:right w:val="single" w:color="auto" w:sz="4" w:space="0"/>
            </w:tcBorders>
            <w:noWrap w:val="0"/>
            <w:vAlign w:val="center"/>
          </w:tcPr>
          <w:p w14:paraId="0CED0D7B">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资格证书编号</w:t>
            </w:r>
          </w:p>
        </w:tc>
        <w:tc>
          <w:tcPr>
            <w:tcW w:w="1955" w:type="pct"/>
            <w:tcBorders>
              <w:top w:val="single" w:color="auto" w:sz="4" w:space="0"/>
              <w:left w:val="single" w:color="auto" w:sz="4" w:space="0"/>
              <w:bottom w:val="single" w:color="auto" w:sz="4" w:space="0"/>
              <w:right w:val="single" w:color="auto" w:sz="4" w:space="0"/>
            </w:tcBorders>
            <w:noWrap w:val="0"/>
            <w:vAlign w:val="top"/>
          </w:tcPr>
          <w:p w14:paraId="5251284C">
            <w:pPr>
              <w:autoSpaceDE w:val="0"/>
              <w:autoSpaceDN w:val="0"/>
              <w:adjustRightInd w:val="0"/>
              <w:jc w:val="center"/>
              <w:rPr>
                <w:rFonts w:hint="eastAsia" w:ascii="宋体" w:hAnsi="宋体" w:cs="宋体"/>
                <w:b/>
                <w:bCs/>
                <w:color w:val="auto"/>
                <w:sz w:val="24"/>
                <w:szCs w:val="24"/>
                <w:highlight w:val="none"/>
                <w:lang w:val="zh-CN"/>
              </w:rPr>
            </w:pPr>
          </w:p>
        </w:tc>
      </w:tr>
      <w:tr w14:paraId="14DA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96" w:type="pct"/>
            <w:tcBorders>
              <w:top w:val="single" w:color="auto" w:sz="4" w:space="0"/>
              <w:left w:val="single" w:color="auto" w:sz="4" w:space="0"/>
              <w:bottom w:val="single" w:color="auto" w:sz="4" w:space="0"/>
              <w:right w:val="single" w:color="auto" w:sz="4" w:space="0"/>
            </w:tcBorders>
            <w:noWrap w:val="0"/>
            <w:vAlign w:val="center"/>
          </w:tcPr>
          <w:p w14:paraId="5972A283">
            <w:pPr>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 标 单 位（盖章）</w:t>
            </w:r>
          </w:p>
        </w:tc>
        <w:tc>
          <w:tcPr>
            <w:tcW w:w="3203" w:type="pct"/>
            <w:gridSpan w:val="2"/>
            <w:tcBorders>
              <w:top w:val="single" w:color="auto" w:sz="4" w:space="0"/>
              <w:left w:val="single" w:color="auto" w:sz="4" w:space="0"/>
              <w:bottom w:val="single" w:color="auto" w:sz="4" w:space="0"/>
              <w:right w:val="single" w:color="auto" w:sz="4" w:space="0"/>
            </w:tcBorders>
            <w:noWrap w:val="0"/>
            <w:vAlign w:val="top"/>
          </w:tcPr>
          <w:p w14:paraId="5315934A">
            <w:pPr>
              <w:jc w:val="center"/>
              <w:rPr>
                <w:rFonts w:hint="eastAsia" w:ascii="宋体" w:hAnsi="宋体" w:cs="宋体"/>
                <w:b/>
                <w:bCs/>
                <w:color w:val="auto"/>
                <w:sz w:val="24"/>
                <w:szCs w:val="24"/>
                <w:highlight w:val="none"/>
                <w:lang w:val="zh-CN"/>
              </w:rPr>
            </w:pPr>
          </w:p>
        </w:tc>
      </w:tr>
      <w:tr w14:paraId="7DD5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96" w:type="pct"/>
            <w:tcBorders>
              <w:top w:val="single" w:color="auto" w:sz="4" w:space="0"/>
              <w:left w:val="single" w:color="auto" w:sz="4" w:space="0"/>
              <w:bottom w:val="single" w:color="auto" w:sz="4" w:space="0"/>
              <w:right w:val="single" w:color="auto" w:sz="4" w:space="0"/>
            </w:tcBorders>
            <w:noWrap w:val="0"/>
            <w:vAlign w:val="center"/>
          </w:tcPr>
          <w:p w14:paraId="1CBAA8DF">
            <w:pPr>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投标单位法定代表人</w:t>
            </w:r>
          </w:p>
          <w:p w14:paraId="27F031C0">
            <w:pPr>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（签字或签章）</w:t>
            </w:r>
          </w:p>
        </w:tc>
        <w:tc>
          <w:tcPr>
            <w:tcW w:w="3203" w:type="pct"/>
            <w:gridSpan w:val="2"/>
            <w:tcBorders>
              <w:top w:val="single" w:color="auto" w:sz="4" w:space="0"/>
              <w:left w:val="single" w:color="auto" w:sz="4" w:space="0"/>
              <w:bottom w:val="single" w:color="auto" w:sz="4" w:space="0"/>
              <w:right w:val="single" w:color="auto" w:sz="4" w:space="0"/>
            </w:tcBorders>
            <w:noWrap w:val="0"/>
            <w:vAlign w:val="top"/>
          </w:tcPr>
          <w:p w14:paraId="633E4CCB">
            <w:pPr>
              <w:jc w:val="center"/>
              <w:rPr>
                <w:rFonts w:hint="eastAsia" w:ascii="宋体" w:hAnsi="宋体" w:cs="宋体"/>
                <w:b/>
                <w:bCs/>
                <w:color w:val="auto"/>
                <w:sz w:val="24"/>
                <w:szCs w:val="24"/>
                <w:highlight w:val="none"/>
                <w:lang w:val="zh-CN"/>
              </w:rPr>
            </w:pPr>
          </w:p>
        </w:tc>
      </w:tr>
      <w:tr w14:paraId="180C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96" w:type="pct"/>
            <w:tcBorders>
              <w:top w:val="single" w:color="auto" w:sz="4" w:space="0"/>
              <w:left w:val="single" w:color="auto" w:sz="4" w:space="0"/>
              <w:bottom w:val="single" w:color="auto" w:sz="4" w:space="0"/>
              <w:right w:val="single" w:color="auto" w:sz="4" w:space="0"/>
            </w:tcBorders>
            <w:noWrap w:val="0"/>
            <w:vAlign w:val="center"/>
          </w:tcPr>
          <w:p w14:paraId="26D31FE1">
            <w:pPr>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授权委托人（签字）</w:t>
            </w:r>
          </w:p>
        </w:tc>
        <w:tc>
          <w:tcPr>
            <w:tcW w:w="3203" w:type="pct"/>
            <w:gridSpan w:val="2"/>
            <w:tcBorders>
              <w:top w:val="single" w:color="auto" w:sz="4" w:space="0"/>
              <w:left w:val="single" w:color="auto" w:sz="4" w:space="0"/>
              <w:bottom w:val="single" w:color="auto" w:sz="4" w:space="0"/>
              <w:right w:val="single" w:color="auto" w:sz="4" w:space="0"/>
            </w:tcBorders>
            <w:noWrap w:val="0"/>
            <w:vAlign w:val="top"/>
          </w:tcPr>
          <w:p w14:paraId="069EF8DB">
            <w:pPr>
              <w:jc w:val="center"/>
              <w:rPr>
                <w:rFonts w:hint="eastAsia" w:ascii="宋体" w:hAnsi="宋体" w:cs="宋体"/>
                <w:b/>
                <w:bCs/>
                <w:color w:val="auto"/>
                <w:sz w:val="24"/>
                <w:szCs w:val="24"/>
                <w:highlight w:val="none"/>
                <w:lang w:val="zh-CN"/>
              </w:rPr>
            </w:pPr>
          </w:p>
        </w:tc>
      </w:tr>
      <w:tr w14:paraId="3D98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96" w:type="pct"/>
            <w:tcBorders>
              <w:top w:val="single" w:color="auto" w:sz="4" w:space="0"/>
              <w:left w:val="single" w:color="auto" w:sz="4" w:space="0"/>
              <w:bottom w:val="single" w:color="auto" w:sz="4" w:space="0"/>
              <w:right w:val="single" w:color="auto" w:sz="4" w:space="0"/>
            </w:tcBorders>
            <w:noWrap w:val="0"/>
            <w:vAlign w:val="center"/>
          </w:tcPr>
          <w:p w14:paraId="1CC0C7CB">
            <w:pPr>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项目负责人（签字）</w:t>
            </w:r>
          </w:p>
        </w:tc>
        <w:tc>
          <w:tcPr>
            <w:tcW w:w="3203" w:type="pct"/>
            <w:gridSpan w:val="2"/>
            <w:tcBorders>
              <w:top w:val="single" w:color="auto" w:sz="4" w:space="0"/>
              <w:left w:val="single" w:color="auto" w:sz="4" w:space="0"/>
              <w:bottom w:val="single" w:color="auto" w:sz="4" w:space="0"/>
              <w:right w:val="single" w:color="auto" w:sz="4" w:space="0"/>
            </w:tcBorders>
            <w:noWrap w:val="0"/>
            <w:vAlign w:val="top"/>
          </w:tcPr>
          <w:p w14:paraId="7074A6EA">
            <w:pPr>
              <w:jc w:val="center"/>
              <w:rPr>
                <w:rFonts w:hint="eastAsia" w:ascii="宋体" w:hAnsi="宋体" w:cs="宋体"/>
                <w:b/>
                <w:bCs/>
                <w:color w:val="auto"/>
                <w:sz w:val="24"/>
                <w:szCs w:val="24"/>
                <w:highlight w:val="none"/>
                <w:lang w:val="zh-CN"/>
              </w:rPr>
            </w:pPr>
          </w:p>
        </w:tc>
      </w:tr>
    </w:tbl>
    <w:p w14:paraId="7DC6E9BB">
      <w:pPr>
        <w:widowControl/>
        <w:autoSpaceDE/>
        <w:autoSpaceDN/>
        <w:adjustRightInd/>
        <w:spacing w:line="342" w:lineRule="exact"/>
        <w:jc w:val="both"/>
        <w:rPr>
          <w:rFonts w:hint="eastAsia" w:ascii="宋体" w:hAnsi="宋体" w:eastAsia="宋体" w:cs="宋体"/>
          <w:color w:val="auto"/>
          <w:sz w:val="20"/>
          <w:szCs w:val="20"/>
          <w:highlight w:val="none"/>
          <w:lang w:val="en-US" w:eastAsia="zh-CN" w:bidi="ar-SA"/>
        </w:rPr>
      </w:pPr>
    </w:p>
    <w:p w14:paraId="4CD55802">
      <w:pPr>
        <w:widowControl/>
        <w:autoSpaceDE/>
        <w:autoSpaceDN/>
        <w:adjustRightInd/>
        <w:spacing w:line="200" w:lineRule="exact"/>
        <w:jc w:val="both"/>
        <w:rPr>
          <w:rFonts w:hint="eastAsia" w:ascii="宋体" w:hAnsi="宋体" w:eastAsia="宋体" w:cs="宋体"/>
          <w:color w:val="auto"/>
          <w:sz w:val="20"/>
          <w:szCs w:val="20"/>
          <w:highlight w:val="none"/>
          <w:lang w:val="en-US" w:eastAsia="zh-CN" w:bidi="ar-SA"/>
        </w:rPr>
      </w:pPr>
    </w:p>
    <w:p w14:paraId="08B92083">
      <w:pPr>
        <w:adjustRightInd w:val="0"/>
        <w:spacing w:after="120" w:line="360" w:lineRule="auto"/>
        <w:ind w:left="0" w:leftChars="0" w:firstLine="420"/>
        <w:textAlignment w:val="baseline"/>
        <w:rPr>
          <w:rFonts w:hint="eastAsia" w:ascii="宋体" w:hAnsi="宋体" w:eastAsia="宋体" w:cs="宋体"/>
          <w:color w:val="auto"/>
          <w:highlight w:val="none"/>
          <w:lang w:val="en-US" w:eastAsia="zh-CN" w:bidi="ar-SA"/>
        </w:rPr>
      </w:pPr>
    </w:p>
    <w:p w14:paraId="58B0FAD5">
      <w:pPr>
        <w:spacing w:line="360" w:lineRule="auto"/>
        <w:jc w:val="righ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            (盖公章)</w:t>
      </w:r>
    </w:p>
    <w:p w14:paraId="4F4D2D86">
      <w:pPr>
        <w:spacing w:line="360" w:lineRule="auto"/>
        <w:jc w:val="righ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法定代表人或授权委托代理人:          （签字或签章)</w:t>
      </w:r>
    </w:p>
    <w:p w14:paraId="14DC03E2">
      <w:pPr>
        <w:spacing w:line="360" w:lineRule="auto"/>
        <w:jc w:val="righ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日期:   年  月  日</w:t>
      </w:r>
    </w:p>
    <w:p w14:paraId="253EA827">
      <w:pPr>
        <w:rPr>
          <w:rFonts w:hint="eastAsia" w:ascii="宋体" w:hAnsi="宋体" w:eastAsia="宋体" w:cs="宋体"/>
          <w:color w:val="auto"/>
          <w:highlight w:val="none"/>
        </w:rPr>
      </w:pPr>
    </w:p>
    <w:p w14:paraId="263804D0">
      <w:pPr>
        <w:pStyle w:val="14"/>
        <w:shd w:val="clear"/>
        <w:kinsoku/>
        <w:overflowPunct w:val="0"/>
        <w:ind w:left="0"/>
        <w:rPr>
          <w:rFonts w:hint="eastAsia" w:ascii="宋体" w:hAnsi="宋体" w:eastAsia="宋体" w:cs="宋体"/>
          <w:color w:val="auto"/>
          <w:sz w:val="19"/>
          <w:szCs w:val="24"/>
          <w:highlight w:val="none"/>
        </w:rPr>
      </w:pPr>
    </w:p>
    <w:p w14:paraId="15072E4C">
      <w:pPr>
        <w:pStyle w:val="14"/>
        <w:kinsoku w:val="0"/>
        <w:overflowPunct w:val="0"/>
        <w:spacing w:before="10"/>
        <w:ind w:left="0"/>
        <w:rPr>
          <w:rFonts w:hint="eastAsia" w:ascii="宋体" w:hAnsi="宋体" w:eastAsia="宋体" w:cs="宋体"/>
          <w:color w:val="auto"/>
          <w:sz w:val="24"/>
          <w:szCs w:val="24"/>
          <w:highlight w:val="none"/>
        </w:rPr>
      </w:pPr>
    </w:p>
    <w:p w14:paraId="00D0E584">
      <w:pPr>
        <w:pStyle w:val="14"/>
        <w:tabs>
          <w:tab w:val="left" w:pos="631"/>
          <w:tab w:val="left" w:pos="1471"/>
          <w:tab w:val="left" w:pos="2311"/>
        </w:tabs>
        <w:kinsoku w:val="0"/>
        <w:overflowPunct w:val="0"/>
        <w:spacing w:before="36"/>
        <w:ind w:left="0" w:right="177"/>
        <w:jc w:val="right"/>
        <w:rPr>
          <w:rFonts w:hint="eastAsia" w:ascii="宋体" w:hAnsi="宋体" w:eastAsia="宋体" w:cs="宋体"/>
          <w:color w:val="auto"/>
          <w:sz w:val="21"/>
          <w:szCs w:val="24"/>
          <w:highlight w:val="none"/>
        </w:rPr>
      </w:pPr>
      <w:r>
        <w:rPr>
          <w:rFonts w:hint="eastAsia" w:ascii="宋体" w:hAnsi="宋体" w:eastAsia="宋体" w:cs="宋体"/>
          <w:color w:val="auto"/>
          <w:sz w:val="24"/>
          <w:szCs w:val="24"/>
          <w:highlight w:val="none"/>
          <w:u w:val="single"/>
        </w:rPr>
        <w:t xml:space="preserve"> </w:t>
      </w:r>
    </w:p>
    <w:p w14:paraId="56036014">
      <w:pPr>
        <w:pStyle w:val="14"/>
        <w:tabs>
          <w:tab w:val="left" w:pos="631"/>
          <w:tab w:val="left" w:pos="1471"/>
          <w:tab w:val="left" w:pos="2311"/>
        </w:tabs>
        <w:kinsoku w:val="0"/>
        <w:overflowPunct w:val="0"/>
        <w:spacing w:before="36"/>
        <w:ind w:left="0" w:right="177"/>
        <w:jc w:val="right"/>
        <w:rPr>
          <w:rFonts w:hint="eastAsia" w:ascii="宋体" w:hAnsi="宋体" w:eastAsia="宋体" w:cs="宋体"/>
          <w:color w:val="auto"/>
          <w:sz w:val="21"/>
          <w:szCs w:val="24"/>
          <w:highlight w:val="none"/>
        </w:rPr>
        <w:sectPr>
          <w:pgSz w:w="11905" w:h="16838"/>
          <w:pgMar w:top="1417" w:right="1417" w:bottom="1417" w:left="1417" w:header="992" w:footer="992" w:gutter="0"/>
          <w:lnNumType w:countBy="0" w:distance="360"/>
          <w:pgNumType w:fmt="decimal"/>
          <w:cols w:space="720" w:num="1"/>
        </w:sectPr>
      </w:pPr>
    </w:p>
    <w:p w14:paraId="1A934904">
      <w:pPr>
        <w:pStyle w:val="7"/>
        <w:jc w:val="center"/>
        <w:outlineLvl w:val="1"/>
        <w:rPr>
          <w:rFonts w:hint="eastAsia" w:ascii="宋体" w:hAnsi="宋体" w:eastAsia="宋体" w:cs="宋体"/>
          <w:color w:val="auto"/>
          <w:sz w:val="28"/>
          <w:szCs w:val="24"/>
          <w:highlight w:val="none"/>
        </w:rPr>
      </w:pPr>
      <w:bookmarkStart w:id="220" w:name="bookmark179"/>
      <w:bookmarkEnd w:id="220"/>
      <w:bookmarkStart w:id="221" w:name="_Toc2313"/>
      <w:r>
        <w:rPr>
          <w:rFonts w:hint="eastAsia" w:ascii="宋体" w:hAnsi="宋体" w:eastAsia="宋体" w:cs="宋体"/>
          <w:color w:val="auto"/>
          <w:sz w:val="28"/>
          <w:szCs w:val="24"/>
          <w:highlight w:val="none"/>
        </w:rPr>
        <w:t>二、法定代表人身份证明</w:t>
      </w:r>
      <w:bookmarkEnd w:id="221"/>
    </w:p>
    <w:p w14:paraId="62167C3B">
      <w:pPr>
        <w:pStyle w:val="14"/>
        <w:kinsoku w:val="0"/>
        <w:overflowPunct w:val="0"/>
        <w:spacing w:before="8"/>
        <w:ind w:left="0"/>
        <w:rPr>
          <w:rFonts w:hint="eastAsia" w:ascii="宋体" w:hAnsi="宋体" w:eastAsia="宋体" w:cs="宋体"/>
          <w:b/>
          <w:color w:val="auto"/>
          <w:sz w:val="25"/>
          <w:szCs w:val="24"/>
          <w:highlight w:val="none"/>
        </w:rPr>
      </w:pPr>
    </w:p>
    <w:p w14:paraId="5F8FCA44">
      <w:pPr>
        <w:pStyle w:val="14"/>
        <w:tabs>
          <w:tab w:val="left" w:pos="3928"/>
        </w:tabs>
        <w:kinsoku w:val="0"/>
        <w:overflowPunct w:val="0"/>
        <w:ind w:left="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14:paraId="3BB02B04">
      <w:pPr>
        <w:pStyle w:val="14"/>
        <w:kinsoku w:val="0"/>
        <w:overflowPunct w:val="0"/>
        <w:spacing w:before="2"/>
        <w:ind w:left="0"/>
        <w:rPr>
          <w:rFonts w:hint="eastAsia" w:ascii="宋体" w:hAnsi="宋体" w:eastAsia="宋体" w:cs="宋体"/>
          <w:color w:val="auto"/>
          <w:sz w:val="24"/>
          <w:szCs w:val="24"/>
          <w:highlight w:val="none"/>
        </w:rPr>
      </w:pPr>
    </w:p>
    <w:p w14:paraId="3AAAA241">
      <w:pPr>
        <w:pStyle w:val="14"/>
        <w:tabs>
          <w:tab w:val="left" w:pos="2412"/>
          <w:tab w:val="left" w:pos="3883"/>
          <w:tab w:val="left" w:pos="5352"/>
          <w:tab w:val="left" w:pos="6869"/>
        </w:tabs>
        <w:kinsoku w:val="0"/>
        <w:overflowPunct w:val="0"/>
        <w:spacing w:before="36"/>
        <w:ind w:left="1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姓名：</w:t>
      </w:r>
      <w:r>
        <w:rPr>
          <w:rFonts w:hint="eastAsia" w:ascii="宋体" w:hAnsi="宋体" w:eastAsia="宋体" w:cs="宋体"/>
          <w:color w:val="auto"/>
          <w:spacing w:val="-1"/>
          <w:sz w:val="24"/>
          <w:szCs w:val="24"/>
          <w:highlight w:val="none"/>
          <w:u w:val="single"/>
        </w:rPr>
        <w:tab/>
      </w:r>
      <w:r>
        <w:rPr>
          <w:rFonts w:hint="eastAsia" w:ascii="宋体" w:hAnsi="宋体" w:eastAsia="宋体" w:cs="宋体"/>
          <w:color w:val="auto"/>
          <w:spacing w:val="-1"/>
          <w:sz w:val="24"/>
          <w:szCs w:val="24"/>
          <w:highlight w:val="none"/>
        </w:rPr>
        <w:t>性别：</w:t>
      </w:r>
      <w:r>
        <w:rPr>
          <w:rFonts w:hint="eastAsia" w:ascii="宋体" w:hAnsi="宋体" w:eastAsia="宋体" w:cs="宋体"/>
          <w:color w:val="auto"/>
          <w:spacing w:val="-1"/>
          <w:sz w:val="24"/>
          <w:szCs w:val="24"/>
          <w:highlight w:val="none"/>
          <w:u w:val="single"/>
        </w:rPr>
        <w:tab/>
      </w:r>
      <w:r>
        <w:rPr>
          <w:rFonts w:hint="eastAsia" w:ascii="宋体" w:hAnsi="宋体" w:eastAsia="宋体" w:cs="宋体"/>
          <w:color w:val="auto"/>
          <w:spacing w:val="-2"/>
          <w:sz w:val="24"/>
          <w:szCs w:val="24"/>
          <w:highlight w:val="none"/>
        </w:rPr>
        <w:t>年龄：</w:t>
      </w:r>
      <w:r>
        <w:rPr>
          <w:rFonts w:hint="eastAsia" w:ascii="宋体" w:hAnsi="宋体" w:eastAsia="宋体" w:cs="宋体"/>
          <w:color w:val="auto"/>
          <w:spacing w:val="-2"/>
          <w:sz w:val="24"/>
          <w:szCs w:val="24"/>
          <w:highlight w:val="none"/>
          <w:u w:val="single"/>
        </w:rPr>
        <w:tab/>
      </w:r>
      <w:r>
        <w:rPr>
          <w:rFonts w:hint="eastAsia" w:ascii="宋体" w:hAnsi="宋体" w:eastAsia="宋体" w:cs="宋体"/>
          <w:color w:val="auto"/>
          <w:spacing w:val="-2"/>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14:paraId="1FC0167B">
      <w:pPr>
        <w:pStyle w:val="14"/>
        <w:kinsoku w:val="0"/>
        <w:overflowPunct w:val="0"/>
        <w:spacing w:before="5"/>
        <w:ind w:left="0"/>
        <w:rPr>
          <w:rFonts w:hint="eastAsia" w:ascii="宋体" w:hAnsi="宋体" w:eastAsia="宋体" w:cs="宋体"/>
          <w:color w:val="auto"/>
          <w:sz w:val="24"/>
          <w:szCs w:val="24"/>
          <w:highlight w:val="none"/>
        </w:rPr>
      </w:pPr>
    </w:p>
    <w:p w14:paraId="752E432D">
      <w:pPr>
        <w:pStyle w:val="14"/>
        <w:tabs>
          <w:tab w:val="left" w:pos="2832"/>
        </w:tabs>
        <w:kinsoku w:val="0"/>
        <w:overflowPunct w:val="0"/>
        <w:spacing w:before="36"/>
        <w:ind w:left="100"/>
        <w:rPr>
          <w:rFonts w:hint="eastAsia" w:ascii="宋体" w:hAnsi="宋体" w:eastAsia="宋体" w:cs="宋体"/>
          <w:color w:val="auto"/>
          <w:spacing w:val="-2"/>
          <w:sz w:val="24"/>
          <w:szCs w:val="24"/>
          <w:highlight w:val="none"/>
        </w:rPr>
      </w:pPr>
      <w:r>
        <w:rPr>
          <w:rFonts w:hint="eastAsia" w:ascii="宋体" w:hAnsi="宋体" w:eastAsia="宋体" w:cs="宋体"/>
          <w:color w:val="auto"/>
          <w:spacing w:val="-1"/>
          <w:sz w:val="24"/>
          <w:szCs w:val="24"/>
          <w:highlight w:val="none"/>
        </w:rPr>
        <w:t>系</w:t>
      </w:r>
      <w:r>
        <w:rPr>
          <w:rFonts w:hint="eastAsia" w:ascii="宋体" w:hAnsi="宋体" w:eastAsia="宋体" w:cs="宋体"/>
          <w:color w:val="auto"/>
          <w:spacing w:val="-1"/>
          <w:sz w:val="24"/>
          <w:szCs w:val="24"/>
          <w:highlight w:val="none"/>
          <w:u w:val="single"/>
        </w:rPr>
        <w:tab/>
      </w:r>
      <w:r>
        <w:rPr>
          <w:rFonts w:hint="eastAsia" w:ascii="宋体" w:hAnsi="宋体" w:eastAsia="宋体" w:cs="宋体"/>
          <w:color w:val="auto"/>
          <w:spacing w:val="-2"/>
          <w:sz w:val="24"/>
          <w:szCs w:val="24"/>
          <w:highlight w:val="none"/>
        </w:rPr>
        <w:t>（投标人名称）的法定代表人。</w:t>
      </w:r>
    </w:p>
    <w:p w14:paraId="098998A7">
      <w:pPr>
        <w:pStyle w:val="14"/>
        <w:kinsoku w:val="0"/>
        <w:overflowPunct w:val="0"/>
        <w:spacing w:before="10"/>
        <w:ind w:left="0"/>
        <w:rPr>
          <w:rFonts w:hint="eastAsia" w:ascii="宋体" w:hAnsi="宋体" w:eastAsia="宋体" w:cs="宋体"/>
          <w:color w:val="auto"/>
          <w:sz w:val="24"/>
          <w:szCs w:val="24"/>
          <w:highlight w:val="none"/>
        </w:rPr>
      </w:pPr>
    </w:p>
    <w:p w14:paraId="26F568AB">
      <w:pPr>
        <w:pStyle w:val="14"/>
        <w:kinsoku w:val="0"/>
        <w:overflowPunct w:val="0"/>
        <w:spacing w:before="36"/>
        <w:ind w:left="100" w:firstLine="41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389AAADF">
      <w:pPr>
        <w:pStyle w:val="14"/>
        <w:kinsoku w:val="0"/>
        <w:overflowPunct w:val="0"/>
        <w:ind w:left="0"/>
        <w:rPr>
          <w:rFonts w:hint="eastAsia" w:ascii="宋体" w:hAnsi="宋体" w:eastAsia="宋体" w:cs="宋体"/>
          <w:color w:val="auto"/>
          <w:sz w:val="24"/>
          <w:szCs w:val="24"/>
          <w:highlight w:val="none"/>
        </w:rPr>
      </w:pPr>
    </w:p>
    <w:p w14:paraId="2E8D36BB">
      <w:pPr>
        <w:pStyle w:val="14"/>
        <w:kinsoku w:val="0"/>
        <w:overflowPunct w:val="0"/>
        <w:spacing w:before="4"/>
        <w:ind w:left="0"/>
        <w:rPr>
          <w:rFonts w:hint="eastAsia" w:ascii="宋体" w:hAnsi="宋体" w:eastAsia="宋体" w:cs="宋体"/>
          <w:color w:val="auto"/>
          <w:sz w:val="24"/>
          <w:szCs w:val="24"/>
          <w:highlight w:val="none"/>
        </w:rPr>
      </w:pPr>
    </w:p>
    <w:p w14:paraId="5F660ADF">
      <w:pPr>
        <w:pStyle w:val="14"/>
        <w:kinsoku w:val="0"/>
        <w:overflowPunct w:val="0"/>
        <w:ind w:left="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w:t>
      </w:r>
      <w:r>
        <w:rPr>
          <w:rFonts w:hint="eastAsia" w:ascii="宋体" w:hAnsi="宋体" w:eastAsia="宋体" w:cs="宋体"/>
          <w:color w:val="auto"/>
          <w:sz w:val="24"/>
          <w:szCs w:val="24"/>
          <w:highlight w:val="none"/>
          <w:lang w:eastAsia="zh-CN"/>
        </w:rPr>
        <w:t>正反面扫描</w:t>
      </w:r>
      <w:r>
        <w:rPr>
          <w:rFonts w:hint="eastAsia" w:ascii="宋体" w:hAnsi="宋体" w:eastAsia="宋体" w:cs="宋体"/>
          <w:color w:val="auto"/>
          <w:sz w:val="24"/>
          <w:szCs w:val="24"/>
          <w:highlight w:val="none"/>
        </w:rPr>
        <w:t>件。</w:t>
      </w:r>
    </w:p>
    <w:p w14:paraId="56C8B756">
      <w:pPr>
        <w:pStyle w:val="14"/>
        <w:kinsoku w:val="0"/>
        <w:overflowPunct w:val="0"/>
        <w:ind w:left="0"/>
        <w:rPr>
          <w:rFonts w:hint="eastAsia" w:ascii="宋体" w:hAnsi="宋体" w:eastAsia="宋体" w:cs="宋体"/>
          <w:color w:val="auto"/>
          <w:sz w:val="24"/>
          <w:szCs w:val="24"/>
          <w:highlight w:val="none"/>
        </w:rPr>
      </w:pPr>
    </w:p>
    <w:p w14:paraId="04AFD535">
      <w:pPr>
        <w:pStyle w:val="14"/>
        <w:kinsoku w:val="0"/>
        <w:overflowPunct w:val="0"/>
        <w:spacing w:before="2"/>
        <w:ind w:left="0"/>
        <w:rPr>
          <w:rFonts w:hint="eastAsia" w:ascii="宋体" w:hAnsi="宋体" w:eastAsia="宋体" w:cs="宋体"/>
          <w:color w:val="auto"/>
          <w:sz w:val="24"/>
          <w:szCs w:val="24"/>
          <w:highlight w:val="none"/>
        </w:rPr>
      </w:pPr>
    </w:p>
    <w:p w14:paraId="311EA8B6">
      <w:pPr>
        <w:pStyle w:val="14"/>
        <w:kinsoku w:val="0"/>
        <w:overflowPunct w:val="0"/>
        <w:ind w:left="0"/>
        <w:rPr>
          <w:rFonts w:hint="eastAsia" w:ascii="宋体" w:hAnsi="宋体" w:eastAsia="宋体" w:cs="宋体"/>
          <w:color w:val="auto"/>
          <w:sz w:val="24"/>
          <w:szCs w:val="24"/>
          <w:highlight w:val="none"/>
        </w:rPr>
      </w:pPr>
    </w:p>
    <w:p w14:paraId="1FE5CE80">
      <w:pPr>
        <w:pStyle w:val="14"/>
        <w:kinsoku w:val="0"/>
        <w:overflowPunct w:val="0"/>
        <w:ind w:left="0"/>
        <w:rPr>
          <w:rFonts w:hint="eastAsia" w:ascii="宋体" w:hAnsi="宋体" w:eastAsia="宋体" w:cs="宋体"/>
          <w:color w:val="auto"/>
          <w:sz w:val="24"/>
          <w:szCs w:val="24"/>
          <w:highlight w:val="none"/>
        </w:rPr>
      </w:pPr>
    </w:p>
    <w:p w14:paraId="6D62F653">
      <w:pPr>
        <w:pStyle w:val="14"/>
        <w:kinsoku w:val="0"/>
        <w:overflowPunct w:val="0"/>
        <w:ind w:left="0"/>
        <w:rPr>
          <w:rFonts w:hint="eastAsia" w:ascii="宋体" w:hAnsi="宋体" w:eastAsia="宋体" w:cs="宋体"/>
          <w:color w:val="auto"/>
          <w:sz w:val="24"/>
          <w:szCs w:val="24"/>
          <w:highlight w:val="none"/>
        </w:rPr>
      </w:pPr>
    </w:p>
    <w:p w14:paraId="18B6A2D8">
      <w:pPr>
        <w:pStyle w:val="14"/>
        <w:kinsoku w:val="0"/>
        <w:overflowPunct w:val="0"/>
        <w:spacing w:before="2"/>
        <w:ind w:left="0"/>
        <w:rPr>
          <w:rFonts w:hint="eastAsia" w:ascii="宋体" w:hAnsi="宋体" w:eastAsia="宋体" w:cs="宋体"/>
          <w:color w:val="auto"/>
          <w:sz w:val="24"/>
          <w:szCs w:val="24"/>
          <w:highlight w:val="none"/>
        </w:rPr>
      </w:pPr>
    </w:p>
    <w:p w14:paraId="0059CC94">
      <w:pPr>
        <w:pStyle w:val="14"/>
        <w:tabs>
          <w:tab w:val="left" w:pos="6521"/>
        </w:tabs>
        <w:kinsoku w:val="0"/>
        <w:overflowPunct w:val="0"/>
        <w:spacing w:before="36"/>
        <w:ind w:left="4212"/>
        <w:rPr>
          <w:rFonts w:hint="eastAsia" w:ascii="宋体" w:hAnsi="宋体" w:eastAsia="宋体" w:cs="宋体"/>
          <w:color w:val="auto"/>
          <w:spacing w:val="-1"/>
          <w:sz w:val="24"/>
          <w:szCs w:val="24"/>
          <w:highlight w:val="none"/>
        </w:rPr>
      </w:pPr>
      <w:r>
        <w:rPr>
          <w:rFonts w:hint="eastAsia" w:ascii="宋体" w:hAnsi="宋体" w:eastAsia="宋体" w:cs="宋体"/>
          <w:color w:val="auto"/>
          <w:spacing w:val="-2"/>
          <w:sz w:val="24"/>
          <w:szCs w:val="24"/>
          <w:highlight w:val="none"/>
        </w:rPr>
        <w:t>投标人：</w:t>
      </w:r>
      <w:r>
        <w:rPr>
          <w:rFonts w:hint="eastAsia" w:ascii="宋体" w:hAnsi="宋体" w:eastAsia="宋体" w:cs="宋体"/>
          <w:color w:val="auto"/>
          <w:spacing w:val="-2"/>
          <w:sz w:val="24"/>
          <w:szCs w:val="24"/>
          <w:highlight w:val="none"/>
          <w:u w:val="single"/>
        </w:rPr>
        <w:tab/>
      </w:r>
      <w:r>
        <w:rPr>
          <w:rFonts w:hint="eastAsia" w:ascii="宋体" w:hAnsi="宋体" w:eastAsia="宋体" w:cs="宋体"/>
          <w:color w:val="auto"/>
          <w:spacing w:val="-1"/>
          <w:sz w:val="24"/>
          <w:szCs w:val="24"/>
          <w:highlight w:val="none"/>
        </w:rPr>
        <w:t>（盖单位章）</w:t>
      </w:r>
    </w:p>
    <w:p w14:paraId="1E4377A7">
      <w:pPr>
        <w:pStyle w:val="14"/>
        <w:kinsoku w:val="0"/>
        <w:overflowPunct w:val="0"/>
        <w:ind w:left="0"/>
        <w:rPr>
          <w:rFonts w:hint="eastAsia" w:ascii="宋体" w:hAnsi="宋体" w:eastAsia="宋体" w:cs="宋体"/>
          <w:color w:val="auto"/>
          <w:sz w:val="24"/>
          <w:szCs w:val="24"/>
          <w:highlight w:val="none"/>
        </w:rPr>
      </w:pPr>
    </w:p>
    <w:p w14:paraId="756B6ED3">
      <w:pPr>
        <w:pStyle w:val="14"/>
        <w:kinsoku w:val="0"/>
        <w:overflowPunct w:val="0"/>
        <w:spacing w:before="7"/>
        <w:ind w:left="0"/>
        <w:rPr>
          <w:rFonts w:hint="eastAsia" w:ascii="宋体" w:hAnsi="宋体" w:eastAsia="宋体" w:cs="宋体"/>
          <w:color w:val="auto"/>
          <w:sz w:val="24"/>
          <w:szCs w:val="24"/>
          <w:highlight w:val="none"/>
        </w:rPr>
      </w:pPr>
    </w:p>
    <w:p w14:paraId="190DFA4A">
      <w:pPr>
        <w:pStyle w:val="14"/>
        <w:tabs>
          <w:tab w:val="left" w:pos="5352"/>
          <w:tab w:val="left" w:pos="6192"/>
          <w:tab w:val="left" w:pos="7032"/>
        </w:tabs>
        <w:kinsoku w:val="0"/>
        <w:overflowPunct w:val="0"/>
        <w:spacing w:before="36"/>
        <w:ind w:left="47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14:paraId="6F2CC8F8">
      <w:pPr>
        <w:pStyle w:val="14"/>
        <w:tabs>
          <w:tab w:val="left" w:pos="5352"/>
          <w:tab w:val="left" w:pos="6192"/>
          <w:tab w:val="left" w:pos="7032"/>
        </w:tabs>
        <w:kinsoku w:val="0"/>
        <w:overflowPunct w:val="0"/>
        <w:spacing w:before="36"/>
        <w:ind w:left="4721"/>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pgNumType w:fmt="decimal"/>
          <w:cols w:space="720" w:num="1"/>
        </w:sectPr>
      </w:pPr>
    </w:p>
    <w:p w14:paraId="38CDFBD2">
      <w:pPr>
        <w:pStyle w:val="7"/>
        <w:jc w:val="center"/>
        <w:outlineLvl w:val="1"/>
        <w:rPr>
          <w:rFonts w:hint="eastAsia" w:ascii="宋体" w:hAnsi="宋体" w:eastAsia="宋体" w:cs="宋体"/>
          <w:color w:val="auto"/>
          <w:sz w:val="28"/>
          <w:szCs w:val="24"/>
          <w:highlight w:val="none"/>
        </w:rPr>
      </w:pPr>
      <w:bookmarkStart w:id="222" w:name="bookmark180"/>
      <w:bookmarkEnd w:id="222"/>
      <w:bookmarkStart w:id="223" w:name="_Toc18172"/>
      <w:r>
        <w:rPr>
          <w:rFonts w:hint="eastAsia" w:ascii="宋体" w:hAnsi="宋体" w:eastAsia="宋体" w:cs="宋体"/>
          <w:color w:val="auto"/>
          <w:sz w:val="28"/>
          <w:szCs w:val="24"/>
          <w:highlight w:val="none"/>
        </w:rPr>
        <w:t>二、授权委托书</w:t>
      </w:r>
      <w:bookmarkEnd w:id="223"/>
    </w:p>
    <w:p w14:paraId="3F580692">
      <w:pPr>
        <w:pStyle w:val="14"/>
        <w:kinsoku w:val="0"/>
        <w:overflowPunct w:val="0"/>
        <w:ind w:left="0"/>
        <w:rPr>
          <w:rFonts w:hint="eastAsia" w:ascii="宋体" w:hAnsi="宋体" w:eastAsia="宋体" w:cs="宋体"/>
          <w:b/>
          <w:color w:val="auto"/>
          <w:sz w:val="32"/>
          <w:szCs w:val="24"/>
          <w:highlight w:val="none"/>
        </w:rPr>
      </w:pPr>
    </w:p>
    <w:p w14:paraId="33B304A8">
      <w:pPr>
        <w:pStyle w:val="14"/>
        <w:kinsoku w:val="0"/>
        <w:overflowPunct w:val="0"/>
        <w:spacing w:before="4"/>
        <w:ind w:left="0"/>
        <w:rPr>
          <w:rFonts w:hint="eastAsia" w:ascii="宋体" w:hAnsi="宋体" w:eastAsia="宋体" w:cs="宋体"/>
          <w:b/>
          <w:color w:val="auto"/>
          <w:sz w:val="32"/>
          <w:szCs w:val="24"/>
          <w:highlight w:val="none"/>
        </w:rPr>
      </w:pPr>
    </w:p>
    <w:p w14:paraId="5455C45C">
      <w:pPr>
        <w:pStyle w:val="14"/>
        <w:tabs>
          <w:tab w:val="left" w:pos="3928"/>
        </w:tabs>
        <w:kinsoku w:val="0"/>
        <w:overflowPunct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（投标人名称）的法定代表人，现委托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（姓名）为我方代理人。代理人根据授权，以我方名义签署、澄清确认、递交、撤回、修改招标项目投标文件、签订合同和处理有关事宜，其法律后果由我方承担。 </w:t>
      </w:r>
    </w:p>
    <w:p w14:paraId="4A22AFA7">
      <w:pPr>
        <w:pStyle w:val="14"/>
        <w:tabs>
          <w:tab w:val="left" w:pos="3928"/>
        </w:tabs>
        <w:kinsoku w:val="0"/>
        <w:overflowPunct w:val="0"/>
        <w:spacing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w:t>
      </w:r>
    </w:p>
    <w:p w14:paraId="178F4CE9">
      <w:pPr>
        <w:pStyle w:val="14"/>
        <w:tabs>
          <w:tab w:val="left" w:pos="3928"/>
        </w:tabs>
        <w:kinsoku w:val="0"/>
        <w:overflowPunct w:val="0"/>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代理人无转委托权。代理人为投标人正式职工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lang w:eastAsia="zh-CN"/>
        </w:rPr>
        <w:t>必须具有离投标截止时间最近的至少1个月在本单位缴纳的社保证明文件。</w:t>
      </w:r>
    </w:p>
    <w:p w14:paraId="7FC562A1">
      <w:pPr>
        <w:pStyle w:val="14"/>
        <w:tabs>
          <w:tab w:val="left" w:pos="3928"/>
        </w:tabs>
        <w:kinsoku w:val="0"/>
        <w:overflowPunct w:val="0"/>
        <w:spacing w:line="360" w:lineRule="auto"/>
        <w:ind w:left="100"/>
        <w:rPr>
          <w:rFonts w:hint="eastAsia" w:ascii="宋体" w:hAnsi="宋体" w:eastAsia="宋体" w:cs="宋体"/>
          <w:color w:val="auto"/>
          <w:sz w:val="24"/>
          <w:szCs w:val="24"/>
          <w:highlight w:val="none"/>
        </w:rPr>
      </w:pPr>
    </w:p>
    <w:p w14:paraId="06179F37">
      <w:pPr>
        <w:pStyle w:val="14"/>
        <w:kinsoku w:val="0"/>
        <w:overflowPunct w:val="0"/>
        <w:spacing w:before="4"/>
        <w:ind w:left="0"/>
        <w:rPr>
          <w:rFonts w:hint="eastAsia" w:ascii="宋体" w:hAnsi="宋体" w:eastAsia="宋体" w:cs="宋体"/>
          <w:color w:val="auto"/>
          <w:sz w:val="24"/>
          <w:szCs w:val="24"/>
          <w:highlight w:val="none"/>
        </w:rPr>
      </w:pPr>
    </w:p>
    <w:p w14:paraId="7103F8A6">
      <w:pPr>
        <w:pStyle w:val="14"/>
        <w:kinsoku w:val="0"/>
        <w:overflowPunct w:val="0"/>
        <w:ind w:left="100" w:righ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r>
        <w:rPr>
          <w:rFonts w:hint="eastAsia" w:ascii="宋体" w:hAnsi="宋体" w:eastAsia="宋体" w:cs="宋体"/>
          <w:color w:val="auto"/>
          <w:sz w:val="24"/>
          <w:szCs w:val="24"/>
          <w:highlight w:val="none"/>
          <w:lang w:eastAsia="zh-CN"/>
        </w:rPr>
        <w:t>委托代理人身份证正反面和社保证明扫描件。</w:t>
      </w:r>
    </w:p>
    <w:p w14:paraId="283C9143">
      <w:pPr>
        <w:pStyle w:val="14"/>
        <w:kinsoku w:val="0"/>
        <w:overflowPunct w:val="0"/>
        <w:ind w:left="0"/>
        <w:rPr>
          <w:rFonts w:hint="eastAsia" w:ascii="宋体" w:hAnsi="宋体" w:eastAsia="宋体" w:cs="宋体"/>
          <w:color w:val="auto"/>
          <w:sz w:val="24"/>
          <w:szCs w:val="24"/>
          <w:highlight w:val="none"/>
        </w:rPr>
      </w:pPr>
    </w:p>
    <w:p w14:paraId="517567BB">
      <w:pPr>
        <w:pStyle w:val="14"/>
        <w:kinsoku w:val="0"/>
        <w:overflowPunct w:val="0"/>
        <w:spacing w:before="2"/>
        <w:ind w:left="0"/>
        <w:rPr>
          <w:rFonts w:hint="eastAsia" w:ascii="宋体" w:hAnsi="宋体" w:eastAsia="宋体" w:cs="宋体"/>
          <w:color w:val="auto"/>
          <w:sz w:val="24"/>
          <w:szCs w:val="24"/>
          <w:highlight w:val="none"/>
        </w:rPr>
      </w:pPr>
    </w:p>
    <w:p w14:paraId="1E263559">
      <w:pPr>
        <w:pStyle w:val="14"/>
        <w:kinsoku w:val="0"/>
        <w:overflowPunct w:val="0"/>
        <w:ind w:left="0"/>
        <w:rPr>
          <w:rFonts w:hint="eastAsia" w:ascii="宋体" w:hAnsi="宋体" w:eastAsia="宋体" w:cs="宋体"/>
          <w:color w:val="auto"/>
          <w:sz w:val="24"/>
          <w:szCs w:val="24"/>
          <w:highlight w:val="none"/>
        </w:rPr>
      </w:pPr>
    </w:p>
    <w:p w14:paraId="2BCF66ED">
      <w:pPr>
        <w:pStyle w:val="14"/>
        <w:kinsoku w:val="0"/>
        <w:overflowPunct w:val="0"/>
        <w:spacing w:before="4"/>
        <w:ind w:left="0"/>
        <w:rPr>
          <w:rFonts w:hint="eastAsia" w:ascii="宋体" w:hAnsi="宋体" w:eastAsia="宋体" w:cs="宋体"/>
          <w:color w:val="auto"/>
          <w:sz w:val="24"/>
          <w:szCs w:val="24"/>
          <w:highlight w:val="none"/>
        </w:rPr>
      </w:pPr>
    </w:p>
    <w:p w14:paraId="2A74C7B4">
      <w:pPr>
        <w:pStyle w:val="14"/>
        <w:tabs>
          <w:tab w:val="left" w:pos="3216"/>
          <w:tab w:val="left" w:pos="3636"/>
          <w:tab w:val="left" w:pos="7241"/>
        </w:tabs>
        <w:kinsoku w:val="0"/>
        <w:overflowPunct w:val="0"/>
        <w:ind w:left="2793" w:righ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标</w:t>
      </w:r>
      <w:r>
        <w:rPr>
          <w:rFonts w:hint="eastAsia" w:ascii="宋体" w:hAnsi="宋体" w:eastAsia="宋体" w:cs="宋体"/>
          <w:color w:val="auto"/>
          <w:sz w:val="24"/>
          <w:szCs w:val="24"/>
          <w:highlight w:val="none"/>
        </w:rPr>
        <w:tab/>
      </w:r>
      <w:r>
        <w:rPr>
          <w:rFonts w:hint="eastAsia" w:ascii="宋体" w:hAnsi="宋体" w:eastAsia="宋体" w:cs="宋体"/>
          <w:color w:val="auto"/>
          <w:spacing w:val="-3"/>
          <w:sz w:val="24"/>
          <w:szCs w:val="24"/>
          <w:highlight w:val="none"/>
        </w:rPr>
        <w:t>人：</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z w:val="24"/>
          <w:szCs w:val="24"/>
          <w:highlight w:val="none"/>
        </w:rPr>
        <w:t>（盖单位章）</w:t>
      </w:r>
    </w:p>
    <w:p w14:paraId="5C7120A8">
      <w:pPr>
        <w:pStyle w:val="14"/>
        <w:kinsoku w:val="0"/>
        <w:overflowPunct w:val="0"/>
        <w:ind w:left="0"/>
        <w:rPr>
          <w:rFonts w:hint="eastAsia" w:ascii="宋体" w:hAnsi="宋体" w:eastAsia="宋体" w:cs="宋体"/>
          <w:color w:val="auto"/>
          <w:sz w:val="24"/>
          <w:szCs w:val="24"/>
          <w:highlight w:val="none"/>
        </w:rPr>
      </w:pPr>
    </w:p>
    <w:p w14:paraId="0B792819">
      <w:pPr>
        <w:pStyle w:val="14"/>
        <w:tabs>
          <w:tab w:val="left" w:pos="6401"/>
        </w:tabs>
        <w:kinsoku w:val="0"/>
        <w:overflowPunct w:val="0"/>
        <w:spacing w:before="36"/>
        <w:ind w:left="2791" w:right="113"/>
        <w:rPr>
          <w:rFonts w:hint="eastAsia" w:ascii="宋体" w:hAnsi="宋体" w:eastAsia="宋体" w:cs="宋体"/>
          <w:color w:val="auto"/>
          <w:spacing w:val="-1"/>
          <w:sz w:val="24"/>
          <w:szCs w:val="24"/>
          <w:highlight w:val="none"/>
        </w:rPr>
      </w:pPr>
      <w:r>
        <w:rPr>
          <w:rFonts w:hint="eastAsia" w:ascii="宋体" w:hAnsi="宋体" w:eastAsia="宋体" w:cs="宋体"/>
          <w:color w:val="auto"/>
          <w:spacing w:val="-2"/>
          <w:sz w:val="24"/>
          <w:szCs w:val="24"/>
          <w:highlight w:val="none"/>
        </w:rPr>
        <w:t>法定代表人：</w:t>
      </w:r>
      <w:r>
        <w:rPr>
          <w:rFonts w:hint="eastAsia" w:ascii="宋体" w:hAnsi="宋体" w:eastAsia="宋体" w:cs="宋体"/>
          <w:color w:val="auto"/>
          <w:spacing w:val="-2"/>
          <w:sz w:val="24"/>
          <w:szCs w:val="24"/>
          <w:highlight w:val="none"/>
          <w:u w:val="single"/>
        </w:rPr>
        <w:tab/>
      </w:r>
      <w:r>
        <w:rPr>
          <w:rFonts w:hint="eastAsia" w:ascii="宋体" w:hAnsi="宋体" w:eastAsia="宋体" w:cs="宋体"/>
          <w:color w:val="auto"/>
          <w:spacing w:val="-2"/>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（签字）</w:t>
      </w:r>
    </w:p>
    <w:p w14:paraId="05DE73AA">
      <w:pPr>
        <w:pStyle w:val="14"/>
        <w:kinsoku w:val="0"/>
        <w:overflowPunct w:val="0"/>
        <w:ind w:left="0"/>
        <w:rPr>
          <w:rFonts w:hint="eastAsia" w:ascii="宋体" w:hAnsi="宋体" w:eastAsia="宋体" w:cs="宋体"/>
          <w:color w:val="auto"/>
          <w:sz w:val="24"/>
          <w:szCs w:val="24"/>
          <w:highlight w:val="none"/>
        </w:rPr>
      </w:pPr>
    </w:p>
    <w:p w14:paraId="3137E194">
      <w:pPr>
        <w:pStyle w:val="14"/>
        <w:tabs>
          <w:tab w:val="left" w:pos="8549"/>
        </w:tabs>
        <w:kinsoku w:val="0"/>
        <w:overflowPunct w:val="0"/>
        <w:spacing w:before="36"/>
        <w:ind w:left="2793" w:right="11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0B348A2F">
      <w:pPr>
        <w:pStyle w:val="14"/>
        <w:kinsoku w:val="0"/>
        <w:overflowPunct w:val="0"/>
        <w:ind w:left="0"/>
        <w:rPr>
          <w:rFonts w:hint="eastAsia" w:ascii="宋体" w:hAnsi="宋体" w:eastAsia="宋体" w:cs="宋体"/>
          <w:color w:val="auto"/>
          <w:sz w:val="24"/>
          <w:szCs w:val="24"/>
          <w:highlight w:val="none"/>
        </w:rPr>
      </w:pPr>
    </w:p>
    <w:p w14:paraId="79D65F16">
      <w:pPr>
        <w:pStyle w:val="14"/>
        <w:tabs>
          <w:tab w:val="left" w:pos="7661"/>
        </w:tabs>
        <w:kinsoku w:val="0"/>
        <w:overflowPunct w:val="0"/>
        <w:spacing w:before="36"/>
        <w:ind w:left="2793" w:right="113"/>
        <w:rPr>
          <w:rFonts w:hint="eastAsia" w:ascii="宋体" w:hAnsi="宋体" w:eastAsia="宋体" w:cs="宋体"/>
          <w:color w:val="auto"/>
          <w:spacing w:val="-1"/>
          <w:sz w:val="24"/>
          <w:szCs w:val="24"/>
          <w:highlight w:val="none"/>
        </w:rPr>
      </w:pPr>
      <w:r>
        <w:rPr>
          <w:rFonts w:hint="eastAsia" w:ascii="宋体" w:hAnsi="宋体" w:eastAsia="宋体" w:cs="宋体"/>
          <w:color w:val="auto"/>
          <w:spacing w:val="-2"/>
          <w:sz w:val="24"/>
          <w:szCs w:val="24"/>
          <w:highlight w:val="none"/>
        </w:rPr>
        <w:t>委托代理人：</w:t>
      </w:r>
      <w:r>
        <w:rPr>
          <w:rFonts w:hint="eastAsia" w:ascii="宋体" w:hAnsi="宋体" w:eastAsia="宋体" w:cs="宋体"/>
          <w:color w:val="auto"/>
          <w:spacing w:val="-2"/>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（签字）</w:t>
      </w:r>
    </w:p>
    <w:p w14:paraId="01F3995A">
      <w:pPr>
        <w:pStyle w:val="14"/>
        <w:kinsoku w:val="0"/>
        <w:overflowPunct w:val="0"/>
        <w:ind w:left="0"/>
        <w:rPr>
          <w:rFonts w:hint="eastAsia" w:ascii="宋体" w:hAnsi="宋体" w:eastAsia="宋体" w:cs="宋体"/>
          <w:color w:val="auto"/>
          <w:sz w:val="24"/>
          <w:szCs w:val="24"/>
          <w:highlight w:val="none"/>
        </w:rPr>
      </w:pPr>
    </w:p>
    <w:p w14:paraId="2687AF80">
      <w:pPr>
        <w:pStyle w:val="14"/>
        <w:tabs>
          <w:tab w:val="left" w:pos="8549"/>
        </w:tabs>
        <w:kinsoku w:val="0"/>
        <w:overflowPunct w:val="0"/>
        <w:spacing w:before="36"/>
        <w:ind w:left="2793" w:right="113"/>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07D128BE">
      <w:pPr>
        <w:pStyle w:val="14"/>
        <w:kinsoku w:val="0"/>
        <w:overflowPunct w:val="0"/>
        <w:spacing w:before="9"/>
        <w:ind w:left="0"/>
        <w:rPr>
          <w:rFonts w:hint="eastAsia" w:ascii="宋体" w:hAnsi="宋体" w:eastAsia="宋体" w:cs="宋体"/>
          <w:color w:val="auto"/>
          <w:sz w:val="24"/>
          <w:szCs w:val="24"/>
          <w:highlight w:val="none"/>
        </w:rPr>
      </w:pPr>
    </w:p>
    <w:p w14:paraId="0D6E7035">
      <w:pPr>
        <w:pStyle w:val="14"/>
        <w:tabs>
          <w:tab w:val="left" w:pos="736"/>
          <w:tab w:val="left" w:pos="1682"/>
          <w:tab w:val="left" w:pos="2626"/>
        </w:tabs>
        <w:kinsoku w:val="0"/>
        <w:overflowPunct w:val="0"/>
        <w:spacing w:before="36"/>
        <w:ind w:left="0" w:right="113"/>
        <w:jc w:val="both"/>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pgNumType w:fmt="decimal"/>
          <w:cols w:space="720" w:num="1"/>
        </w:sect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w:t>
      </w:r>
    </w:p>
    <w:p w14:paraId="092E427B">
      <w:pPr>
        <w:pStyle w:val="7"/>
        <w:jc w:val="center"/>
        <w:outlineLvl w:val="1"/>
        <w:rPr>
          <w:rFonts w:hint="eastAsia" w:ascii="宋体" w:hAnsi="宋体" w:eastAsia="宋体" w:cs="宋体"/>
          <w:color w:val="auto"/>
          <w:sz w:val="28"/>
          <w:szCs w:val="24"/>
          <w:highlight w:val="none"/>
          <w:lang w:val="en-US" w:eastAsia="zh-CN"/>
        </w:rPr>
      </w:pPr>
      <w:bookmarkStart w:id="224" w:name="bookmark181"/>
      <w:bookmarkEnd w:id="224"/>
      <w:bookmarkStart w:id="225" w:name="_Toc22240"/>
      <w:r>
        <w:rPr>
          <w:rFonts w:hint="eastAsia" w:ascii="宋体" w:hAnsi="宋体" w:eastAsia="宋体" w:cs="宋体"/>
          <w:color w:val="auto"/>
          <w:sz w:val="28"/>
          <w:szCs w:val="24"/>
          <w:highlight w:val="none"/>
        </w:rPr>
        <w:t>三、联合体协议书</w:t>
      </w:r>
      <w:bookmarkEnd w:id="225"/>
      <w:r>
        <w:rPr>
          <w:rFonts w:hint="eastAsia" w:ascii="宋体" w:hAnsi="宋体" w:eastAsia="宋体" w:cs="宋体"/>
          <w:color w:val="auto"/>
          <w:sz w:val="28"/>
          <w:szCs w:val="24"/>
          <w:highlight w:val="none"/>
          <w:lang w:eastAsia="zh-CN"/>
        </w:rPr>
        <w:t>（</w:t>
      </w:r>
      <w:r>
        <w:rPr>
          <w:rFonts w:hint="eastAsia" w:cs="宋体"/>
          <w:color w:val="auto"/>
          <w:sz w:val="28"/>
          <w:szCs w:val="24"/>
          <w:highlight w:val="none"/>
          <w:lang w:val="en-US" w:eastAsia="zh-CN"/>
        </w:rPr>
        <w:t>如有</w:t>
      </w:r>
      <w:r>
        <w:rPr>
          <w:rFonts w:hint="eastAsia" w:ascii="宋体" w:hAnsi="宋体" w:eastAsia="宋体" w:cs="宋体"/>
          <w:color w:val="auto"/>
          <w:sz w:val="28"/>
          <w:szCs w:val="24"/>
          <w:highlight w:val="none"/>
          <w:lang w:val="en-US" w:eastAsia="zh-CN"/>
        </w:rPr>
        <w:t>)</w:t>
      </w:r>
    </w:p>
    <w:p w14:paraId="55C93850">
      <w:pPr>
        <w:pStyle w:val="2"/>
        <w:ind w:left="0" w:leftChars="0" w:firstLine="0" w:firstLineChars="0"/>
        <w:rPr>
          <w:rFonts w:hint="default" w:eastAsia="宋体"/>
          <w:color w:val="auto"/>
          <w:szCs w:val="21"/>
          <w:highlight w:val="none"/>
          <w:lang w:val="en-US" w:eastAsia="zh-CN"/>
        </w:rPr>
      </w:pPr>
      <w:bookmarkStart w:id="226" w:name="bookmark182"/>
      <w:bookmarkEnd w:id="226"/>
      <w:bookmarkStart w:id="227" w:name="_Toc10216"/>
      <w:r>
        <w:rPr>
          <w:rFonts w:hint="eastAsia" w:ascii="宋体" w:hAnsi="宋体" w:cs="宋体"/>
          <w:color w:val="auto"/>
          <w:sz w:val="21"/>
          <w:szCs w:val="21"/>
          <w:highlight w:val="none"/>
          <w:lang w:val="en-US" w:eastAsia="zh-CN"/>
        </w:rPr>
        <w:t>（</w:t>
      </w:r>
      <w:r>
        <w:rPr>
          <w:rFonts w:hint="eastAsia" w:ascii="宋体" w:eastAsia="宋体" w:cs="宋体"/>
          <w:color w:val="auto"/>
          <w:sz w:val="21"/>
          <w:szCs w:val="21"/>
          <w:highlight w:val="none"/>
          <w:lang w:val="en-US" w:eastAsia="zh-CN"/>
        </w:rPr>
        <w:t>详见招标公告附件</w:t>
      </w:r>
      <w:r>
        <w:rPr>
          <w:rFonts w:hint="eastAsia" w:ascii="宋体" w:cs="宋体"/>
          <w:color w:val="auto"/>
          <w:sz w:val="21"/>
          <w:szCs w:val="21"/>
          <w:highlight w:val="none"/>
          <w:lang w:val="en-US" w:eastAsia="zh-CN"/>
        </w:rPr>
        <w:t>二</w:t>
      </w:r>
      <w:r>
        <w:rPr>
          <w:rFonts w:hint="eastAsia" w:ascii="宋体" w:hAnsi="宋体" w:cs="宋体"/>
          <w:color w:val="auto"/>
          <w:sz w:val="21"/>
          <w:szCs w:val="21"/>
          <w:highlight w:val="none"/>
          <w:lang w:val="en-US" w:eastAsia="zh-CN"/>
        </w:rPr>
        <w:t>）</w:t>
      </w:r>
    </w:p>
    <w:p w14:paraId="313E52EB">
      <w:pPr>
        <w:rPr>
          <w:rFonts w:hint="eastAsia" w:ascii="宋体" w:hAnsi="宋体" w:eastAsia="宋体" w:cs="宋体"/>
          <w:color w:val="auto"/>
          <w:sz w:val="28"/>
          <w:szCs w:val="24"/>
          <w:highlight w:val="none"/>
          <w:lang w:val="en-US"/>
        </w:rPr>
      </w:pPr>
      <w:r>
        <w:rPr>
          <w:rFonts w:hint="eastAsia" w:ascii="宋体" w:hAnsi="宋体" w:eastAsia="宋体" w:cs="宋体"/>
          <w:color w:val="auto"/>
          <w:sz w:val="28"/>
          <w:szCs w:val="24"/>
          <w:highlight w:val="none"/>
          <w:lang w:val="en-US"/>
        </w:rPr>
        <w:br w:type="page"/>
      </w:r>
    </w:p>
    <w:p w14:paraId="153B8FE7">
      <w:pPr>
        <w:pStyle w:val="7"/>
        <w:jc w:val="center"/>
        <w:outlineLvl w:val="1"/>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lang w:val="en-US"/>
        </w:rPr>
        <w:t>四</w:t>
      </w:r>
      <w:r>
        <w:rPr>
          <w:rFonts w:hint="eastAsia" w:ascii="宋体" w:hAnsi="宋体" w:eastAsia="宋体" w:cs="宋体"/>
          <w:color w:val="auto"/>
          <w:sz w:val="28"/>
          <w:szCs w:val="24"/>
          <w:highlight w:val="none"/>
        </w:rPr>
        <w:t>、投标保证金</w:t>
      </w:r>
      <w:bookmarkEnd w:id="227"/>
    </w:p>
    <w:p w14:paraId="24960D30">
      <w:pPr>
        <w:pStyle w:val="14"/>
        <w:kinsoku w:val="0"/>
        <w:overflowPunct w:val="0"/>
        <w:spacing w:before="15" w:line="360" w:lineRule="auto"/>
        <w:ind w:left="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（详见本招标文件第二章投标人须知前附表3.4.1）</w:t>
      </w:r>
    </w:p>
    <w:p w14:paraId="376DE156">
      <w:pPr>
        <w:rPr>
          <w:rFonts w:hint="eastAsia" w:ascii="宋体" w:hAnsi="宋体" w:eastAsia="宋体" w:cs="宋体"/>
          <w:color w:val="auto"/>
          <w:highlight w:val="none"/>
        </w:rPr>
      </w:pPr>
    </w:p>
    <w:p w14:paraId="3E6BA5F0">
      <w:pPr>
        <w:pStyle w:val="7"/>
        <w:jc w:val="center"/>
        <w:outlineLvl w:val="9"/>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pgNumType w:fmt="decimal"/>
          <w:cols w:space="720" w:num="1"/>
        </w:sectPr>
      </w:pPr>
      <w:bookmarkStart w:id="228" w:name="bookmark183"/>
      <w:bookmarkEnd w:id="228"/>
    </w:p>
    <w:p w14:paraId="69F10BB0">
      <w:pPr>
        <w:pStyle w:val="7"/>
        <w:kinsoku w:val="0"/>
        <w:overflowPunct w:val="0"/>
        <w:spacing w:line="456" w:lineRule="exact"/>
        <w:ind w:right="1"/>
        <w:jc w:val="center"/>
        <w:outlineLvl w:val="1"/>
        <w:rPr>
          <w:rFonts w:hint="eastAsia" w:ascii="宋体" w:hAnsi="宋体" w:eastAsia="宋体" w:cs="宋体"/>
          <w:b w:val="0"/>
          <w:color w:val="auto"/>
          <w:sz w:val="28"/>
          <w:szCs w:val="24"/>
          <w:highlight w:val="none"/>
        </w:rPr>
      </w:pPr>
      <w:bookmarkStart w:id="229" w:name="bookmark184"/>
      <w:bookmarkEnd w:id="229"/>
      <w:bookmarkStart w:id="230" w:name="_Toc10013"/>
      <w:r>
        <w:rPr>
          <w:rFonts w:hint="eastAsia" w:cs="宋体"/>
          <w:color w:val="auto"/>
          <w:sz w:val="28"/>
          <w:szCs w:val="24"/>
          <w:highlight w:val="none"/>
          <w:lang w:val="en-US" w:eastAsia="zh-CN"/>
        </w:rPr>
        <w:t>五</w:t>
      </w:r>
      <w:r>
        <w:rPr>
          <w:rFonts w:hint="eastAsia" w:ascii="宋体" w:hAnsi="宋体" w:eastAsia="宋体" w:cs="宋体"/>
          <w:color w:val="auto"/>
          <w:sz w:val="28"/>
          <w:szCs w:val="24"/>
          <w:highlight w:val="none"/>
        </w:rPr>
        <w:t>、资格审查资料</w:t>
      </w:r>
      <w:bookmarkEnd w:id="230"/>
    </w:p>
    <w:p w14:paraId="63413D1B">
      <w:pPr>
        <w:pStyle w:val="14"/>
        <w:kinsoku w:val="0"/>
        <w:overflowPunct w:val="0"/>
        <w:spacing w:before="10"/>
        <w:ind w:left="0"/>
        <w:rPr>
          <w:rFonts w:hint="eastAsia" w:ascii="宋体" w:hAnsi="宋体" w:eastAsia="宋体" w:cs="宋体"/>
          <w:b/>
          <w:color w:val="auto"/>
          <w:sz w:val="15"/>
          <w:szCs w:val="24"/>
          <w:highlight w:val="none"/>
        </w:rPr>
      </w:pPr>
    </w:p>
    <w:p w14:paraId="67E3B66C">
      <w:pPr>
        <w:pStyle w:val="8"/>
        <w:outlineLvl w:val="2"/>
        <w:rPr>
          <w:rFonts w:hint="eastAsia" w:ascii="宋体" w:hAnsi="宋体" w:eastAsia="宋体" w:cs="宋体"/>
          <w:b/>
          <w:color w:val="auto"/>
          <w:sz w:val="24"/>
          <w:szCs w:val="24"/>
          <w:highlight w:val="none"/>
        </w:rPr>
      </w:pPr>
      <w:bookmarkStart w:id="231" w:name="bookmark185"/>
      <w:bookmarkEnd w:id="231"/>
      <w:bookmarkStart w:id="232" w:name="_Toc28818"/>
      <w:r>
        <w:rPr>
          <w:rFonts w:hint="eastAsia" w:ascii="宋体" w:hAnsi="宋体" w:eastAsia="宋体" w:cs="宋体"/>
          <w:b/>
          <w:color w:val="auto"/>
          <w:sz w:val="24"/>
          <w:szCs w:val="24"/>
          <w:highlight w:val="none"/>
        </w:rPr>
        <w:t>（一）基本情况表</w:t>
      </w:r>
      <w:bookmarkEnd w:id="232"/>
    </w:p>
    <w:p w14:paraId="09CA141A">
      <w:pPr>
        <w:pStyle w:val="14"/>
        <w:kinsoku w:val="0"/>
        <w:overflowPunct w:val="0"/>
        <w:ind w:left="0"/>
        <w:rPr>
          <w:rFonts w:hint="eastAsia" w:ascii="宋体" w:hAnsi="宋体" w:eastAsia="宋体" w:cs="宋体"/>
          <w:color w:val="auto"/>
          <w:sz w:val="23"/>
          <w:szCs w:val="24"/>
          <w:highlight w:val="none"/>
        </w:rPr>
      </w:pPr>
    </w:p>
    <w:tbl>
      <w:tblPr>
        <w:tblStyle w:val="24"/>
        <w:tblW w:w="9212" w:type="dxa"/>
        <w:tblInd w:w="-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0"/>
        <w:gridCol w:w="898"/>
        <w:gridCol w:w="1027"/>
        <w:gridCol w:w="1287"/>
        <w:gridCol w:w="415"/>
        <w:gridCol w:w="872"/>
        <w:gridCol w:w="669"/>
        <w:gridCol w:w="444"/>
        <w:gridCol w:w="1230"/>
      </w:tblGrid>
      <w:tr w14:paraId="5A12E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91F90D">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2C767B6A">
            <w:pPr>
              <w:rPr>
                <w:rFonts w:hint="eastAsia" w:ascii="宋体" w:hAnsi="宋体" w:eastAsia="宋体" w:cs="宋体"/>
                <w:color w:val="auto"/>
                <w:sz w:val="21"/>
                <w:szCs w:val="21"/>
                <w:highlight w:val="none"/>
              </w:rPr>
            </w:pPr>
          </w:p>
        </w:tc>
      </w:tr>
      <w:tr w14:paraId="20C4A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6D2D04">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58DBFC42">
            <w:pPr>
              <w:rPr>
                <w:rFonts w:hint="eastAsia"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A5F128F">
            <w:pPr>
              <w:pStyle w:val="33"/>
              <w:kinsoku w:val="0"/>
              <w:overflowPunct w:val="0"/>
              <w:spacing w:before="107"/>
              <w:ind w:left="2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375C0B3A">
            <w:pPr>
              <w:rPr>
                <w:rFonts w:hint="eastAsia" w:ascii="宋体" w:hAnsi="宋体" w:eastAsia="宋体" w:cs="宋体"/>
                <w:color w:val="auto"/>
                <w:sz w:val="21"/>
                <w:szCs w:val="21"/>
                <w:highlight w:val="none"/>
              </w:rPr>
            </w:pPr>
          </w:p>
        </w:tc>
      </w:tr>
      <w:tr w14:paraId="41C1C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FAECD2">
            <w:pPr>
              <w:pStyle w:val="33"/>
              <w:kinsoku w:val="0"/>
              <w:overflowPunct w:val="0"/>
              <w:jc w:val="center"/>
              <w:rPr>
                <w:rFonts w:hint="eastAsia" w:ascii="宋体" w:hAnsi="宋体" w:eastAsia="宋体" w:cs="宋体"/>
                <w:color w:val="auto"/>
                <w:sz w:val="21"/>
                <w:szCs w:val="21"/>
                <w:highlight w:val="none"/>
              </w:rPr>
            </w:pPr>
          </w:p>
          <w:p w14:paraId="509784D9">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3378A8">
            <w:pPr>
              <w:pStyle w:val="33"/>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88B5497">
            <w:pPr>
              <w:rPr>
                <w:rFonts w:hint="eastAsia"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B4B8BEA">
            <w:pPr>
              <w:pStyle w:val="33"/>
              <w:kinsoku w:val="0"/>
              <w:overflowPunct w:val="0"/>
              <w:spacing w:before="107"/>
              <w:ind w:left="37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话</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52FC6282">
            <w:pPr>
              <w:rPr>
                <w:rFonts w:hint="eastAsia" w:ascii="宋体" w:hAnsi="宋体" w:eastAsia="宋体" w:cs="宋体"/>
                <w:color w:val="auto"/>
                <w:sz w:val="21"/>
                <w:szCs w:val="21"/>
                <w:highlight w:val="none"/>
              </w:rPr>
            </w:pPr>
          </w:p>
        </w:tc>
      </w:tr>
      <w:tr w14:paraId="595C4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8097CE">
            <w:pPr>
              <w:jc w:val="center"/>
              <w:rPr>
                <w:rFonts w:hint="eastAsia" w:ascii="宋体" w:hAnsi="宋体" w:eastAsia="宋体" w:cs="宋体"/>
                <w:color w:val="auto"/>
                <w:sz w:val="21"/>
                <w:szCs w:val="21"/>
                <w:highlight w:val="none"/>
              </w:rPr>
            </w:pP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740CB3">
            <w:pPr>
              <w:pStyle w:val="33"/>
              <w:tabs>
                <w:tab w:val="left" w:pos="550"/>
              </w:tabs>
              <w:kinsoku w:val="0"/>
              <w:overflowPunct w:val="0"/>
              <w:spacing w:before="10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w:t>
            </w:r>
            <w:r>
              <w:rPr>
                <w:rFonts w:hint="eastAsia" w:ascii="宋体" w:hAnsi="宋体" w:eastAsia="宋体" w:cs="宋体"/>
                <w:color w:val="auto"/>
                <w:sz w:val="21"/>
                <w:szCs w:val="21"/>
                <w:highlight w:val="none"/>
                <w:lang w:val="en-US" w:eastAsia="zh-CN"/>
              </w:rPr>
              <w:t>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真</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F6EE0C9">
            <w:pPr>
              <w:rPr>
                <w:rFonts w:hint="eastAsia"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6FE2946">
            <w:pPr>
              <w:pStyle w:val="33"/>
              <w:kinsoku w:val="0"/>
              <w:overflowPunct w:val="0"/>
              <w:spacing w:before="108"/>
              <w:ind w:left="37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址</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8706263">
            <w:pPr>
              <w:rPr>
                <w:rFonts w:hint="eastAsia" w:ascii="宋体" w:hAnsi="宋体" w:eastAsia="宋体" w:cs="宋体"/>
                <w:color w:val="auto"/>
                <w:sz w:val="21"/>
                <w:szCs w:val="21"/>
                <w:highlight w:val="none"/>
              </w:rPr>
            </w:pPr>
          </w:p>
        </w:tc>
      </w:tr>
      <w:tr w14:paraId="4AB6E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867D16">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1BC42C">
            <w:pPr>
              <w:pStyle w:val="33"/>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D310BC">
            <w:pPr>
              <w:rPr>
                <w:rFonts w:hint="eastAsia" w:ascii="宋体" w:hAnsi="宋体" w:eastAsia="宋体" w:cs="宋体"/>
                <w:color w:val="auto"/>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265211">
            <w:pPr>
              <w:pStyle w:val="33"/>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664A2A9">
            <w:pPr>
              <w:rPr>
                <w:rFonts w:hint="eastAsia" w:ascii="宋体" w:hAnsi="宋体" w:eastAsia="宋体" w:cs="宋体"/>
                <w:color w:val="auto"/>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4791A12">
            <w:pPr>
              <w:pStyle w:val="33"/>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E690A0">
            <w:pPr>
              <w:rPr>
                <w:rFonts w:hint="eastAsia" w:ascii="宋体" w:hAnsi="宋体" w:eastAsia="宋体" w:cs="宋体"/>
                <w:color w:val="auto"/>
                <w:sz w:val="21"/>
                <w:szCs w:val="21"/>
                <w:highlight w:val="none"/>
              </w:rPr>
            </w:pPr>
          </w:p>
        </w:tc>
      </w:tr>
      <w:tr w14:paraId="4B773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FC5A9A">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6A1938">
            <w:pPr>
              <w:pStyle w:val="33"/>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6C42CC">
            <w:pPr>
              <w:rPr>
                <w:rFonts w:hint="eastAsia" w:ascii="宋体" w:hAnsi="宋体" w:eastAsia="宋体" w:cs="宋体"/>
                <w:color w:val="auto"/>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F4D428">
            <w:pPr>
              <w:pStyle w:val="33"/>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2B2C86E5">
            <w:pPr>
              <w:rPr>
                <w:rFonts w:hint="eastAsia" w:ascii="宋体" w:hAnsi="宋体" w:eastAsia="宋体" w:cs="宋体"/>
                <w:color w:val="auto"/>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9B59537">
            <w:pPr>
              <w:pStyle w:val="33"/>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3975F3">
            <w:pPr>
              <w:rPr>
                <w:rFonts w:hint="eastAsia" w:ascii="宋体" w:hAnsi="宋体" w:eastAsia="宋体" w:cs="宋体"/>
                <w:color w:val="auto"/>
                <w:sz w:val="21"/>
                <w:szCs w:val="21"/>
                <w:highlight w:val="none"/>
              </w:rPr>
            </w:pPr>
          </w:p>
        </w:tc>
      </w:tr>
      <w:tr w14:paraId="44A77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239E62">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资质证书</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5ECC1698">
            <w:pPr>
              <w:pStyle w:val="33"/>
              <w:tabs>
                <w:tab w:val="left" w:pos="3785"/>
                <w:tab w:val="left" w:pos="5045"/>
              </w:tabs>
              <w:kinsoku w:val="0"/>
              <w:overflowPunct w:val="0"/>
              <w:spacing w:before="107"/>
              <w:ind w:left="10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r>
              <w:rPr>
                <w:rFonts w:hint="eastAsia" w:ascii="宋体" w:hAnsi="宋体" w:eastAsia="宋体" w:cs="宋体"/>
                <w:color w:val="auto"/>
                <w:sz w:val="21"/>
                <w:szCs w:val="21"/>
                <w:highlight w:val="none"/>
              </w:rPr>
              <w:tab/>
            </w:r>
            <w:r>
              <w:rPr>
                <w:rFonts w:hint="eastAsia" w:ascii="宋体" w:hAnsi="宋体" w:eastAsia="宋体" w:cs="宋体"/>
                <w:color w:val="auto"/>
                <w:spacing w:val="-1"/>
                <w:sz w:val="21"/>
                <w:szCs w:val="21"/>
                <w:highlight w:val="none"/>
              </w:rPr>
              <w:t>等级：</w:t>
            </w:r>
            <w:r>
              <w:rPr>
                <w:rFonts w:hint="eastAsia" w:ascii="宋体" w:hAnsi="宋体" w:eastAsia="宋体" w:cs="宋体"/>
                <w:color w:val="auto"/>
                <w:spacing w:val="-1"/>
                <w:sz w:val="21"/>
                <w:szCs w:val="21"/>
                <w:highlight w:val="none"/>
              </w:rPr>
              <w:tab/>
            </w:r>
            <w:r>
              <w:rPr>
                <w:rFonts w:hint="eastAsia" w:ascii="宋体" w:hAnsi="宋体" w:eastAsia="宋体" w:cs="宋体"/>
                <w:color w:val="auto"/>
                <w:spacing w:val="-2"/>
                <w:sz w:val="21"/>
                <w:szCs w:val="21"/>
                <w:highlight w:val="none"/>
              </w:rPr>
              <w:t>证书号：</w:t>
            </w:r>
          </w:p>
        </w:tc>
      </w:tr>
      <w:tr w14:paraId="01E85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0E824B">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质量管理体系证书</w:t>
            </w:r>
          </w:p>
          <w:p w14:paraId="53F42118">
            <w:pPr>
              <w:pStyle w:val="33"/>
              <w:kinsoku w:val="0"/>
              <w:overflowPunct w:val="0"/>
              <w:ind w:right="10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6E6F1563">
            <w:pPr>
              <w:pStyle w:val="33"/>
              <w:kinsoku w:val="0"/>
              <w:overflowPunct w:val="0"/>
              <w:spacing w:before="1"/>
              <w:rPr>
                <w:rFonts w:hint="eastAsia" w:ascii="宋体" w:hAnsi="宋体" w:eastAsia="宋体" w:cs="宋体"/>
                <w:color w:val="auto"/>
                <w:sz w:val="21"/>
                <w:szCs w:val="21"/>
                <w:highlight w:val="none"/>
              </w:rPr>
            </w:pPr>
          </w:p>
          <w:p w14:paraId="72CC35CC">
            <w:pPr>
              <w:pStyle w:val="33"/>
              <w:tabs>
                <w:tab w:val="left" w:pos="3785"/>
                <w:tab w:val="left" w:pos="5045"/>
              </w:tabs>
              <w:kinsoku w:val="0"/>
              <w:overflowPunct w:val="0"/>
              <w:ind w:left="10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r>
              <w:rPr>
                <w:rFonts w:hint="eastAsia" w:ascii="宋体" w:hAnsi="宋体" w:eastAsia="宋体" w:cs="宋体"/>
                <w:color w:val="auto"/>
                <w:sz w:val="21"/>
                <w:szCs w:val="21"/>
                <w:highlight w:val="none"/>
              </w:rPr>
              <w:tab/>
            </w:r>
            <w:r>
              <w:rPr>
                <w:rFonts w:hint="eastAsia" w:ascii="宋体" w:hAnsi="宋体" w:eastAsia="宋体" w:cs="宋体"/>
                <w:color w:val="auto"/>
                <w:spacing w:val="-1"/>
                <w:sz w:val="21"/>
                <w:szCs w:val="21"/>
                <w:highlight w:val="none"/>
              </w:rPr>
              <w:t>等级：</w:t>
            </w:r>
            <w:r>
              <w:rPr>
                <w:rFonts w:hint="eastAsia" w:ascii="宋体" w:hAnsi="宋体" w:eastAsia="宋体" w:cs="宋体"/>
                <w:color w:val="auto"/>
                <w:spacing w:val="-1"/>
                <w:sz w:val="21"/>
                <w:szCs w:val="21"/>
                <w:highlight w:val="none"/>
              </w:rPr>
              <w:tab/>
            </w:r>
            <w:r>
              <w:rPr>
                <w:rFonts w:hint="eastAsia" w:ascii="宋体" w:hAnsi="宋体" w:eastAsia="宋体" w:cs="宋体"/>
                <w:color w:val="auto"/>
                <w:spacing w:val="-2"/>
                <w:sz w:val="21"/>
                <w:szCs w:val="21"/>
                <w:highlight w:val="none"/>
              </w:rPr>
              <w:t>证书号：</w:t>
            </w:r>
          </w:p>
        </w:tc>
      </w:tr>
      <w:tr w14:paraId="05EC5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4DDC92">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36D0E255">
            <w:pPr>
              <w:rPr>
                <w:rFonts w:hint="eastAsia" w:ascii="宋体" w:hAnsi="宋体" w:eastAsia="宋体" w:cs="宋体"/>
                <w:color w:val="auto"/>
                <w:sz w:val="21"/>
                <w:szCs w:val="21"/>
                <w:highlight w:val="none"/>
              </w:rPr>
            </w:pPr>
          </w:p>
        </w:tc>
        <w:tc>
          <w:tcPr>
            <w:tcW w:w="3630"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2F75F77D">
            <w:pPr>
              <w:pStyle w:val="33"/>
              <w:kinsoku w:val="0"/>
              <w:overflowPunct w:val="0"/>
              <w:spacing w:before="107"/>
              <w:ind w:left="11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r>
      <w:tr w14:paraId="35D44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6FA186">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注册资本</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50EF112D">
            <w:pPr>
              <w:rPr>
                <w:rFonts w:hint="eastAsia" w:ascii="宋体" w:hAnsi="宋体" w:eastAsia="宋体" w:cs="宋体"/>
                <w:color w:val="auto"/>
                <w:sz w:val="21"/>
                <w:szCs w:val="21"/>
                <w:highlight w:val="none"/>
              </w:rPr>
            </w:pPr>
          </w:p>
        </w:tc>
        <w:tc>
          <w:tcPr>
            <w:tcW w:w="41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E3D1D2">
            <w:pPr>
              <w:pStyle w:val="33"/>
              <w:kinsoku w:val="0"/>
              <w:overflowPunct w:val="0"/>
              <w:spacing w:line="384" w:lineRule="auto"/>
              <w:ind w:right="8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 中</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4C948B">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2F29FEAA">
            <w:pPr>
              <w:rPr>
                <w:rFonts w:hint="eastAsia" w:ascii="宋体" w:hAnsi="宋体" w:eastAsia="宋体" w:cs="宋体"/>
                <w:color w:val="auto"/>
                <w:sz w:val="21"/>
                <w:szCs w:val="21"/>
                <w:highlight w:val="none"/>
              </w:rPr>
            </w:pPr>
          </w:p>
        </w:tc>
      </w:tr>
      <w:tr w14:paraId="31719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CE9D42">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成立日期</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6DAB5972">
            <w:pPr>
              <w:rPr>
                <w:rFonts w:hint="eastAsia"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BB5B48C">
            <w:pPr>
              <w:rPr>
                <w:rFonts w:hint="eastAsia"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2AE378">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FD2EB82">
            <w:pPr>
              <w:rPr>
                <w:rFonts w:hint="eastAsia" w:ascii="宋体" w:hAnsi="宋体" w:eastAsia="宋体" w:cs="宋体"/>
                <w:color w:val="auto"/>
                <w:sz w:val="21"/>
                <w:szCs w:val="21"/>
                <w:highlight w:val="none"/>
              </w:rPr>
            </w:pPr>
          </w:p>
        </w:tc>
      </w:tr>
      <w:tr w14:paraId="73022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4C459E">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基本账户开户银行</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4CAC4C19">
            <w:pPr>
              <w:rPr>
                <w:rFonts w:hint="eastAsia"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3DE74C9">
            <w:pPr>
              <w:rPr>
                <w:rFonts w:hint="eastAsia"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C258C3">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技术人员数量</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0C54C8E">
            <w:pPr>
              <w:rPr>
                <w:rFonts w:hint="eastAsia" w:ascii="宋体" w:hAnsi="宋体" w:eastAsia="宋体" w:cs="宋体"/>
                <w:color w:val="auto"/>
                <w:sz w:val="21"/>
                <w:szCs w:val="21"/>
                <w:highlight w:val="none"/>
              </w:rPr>
            </w:pPr>
          </w:p>
        </w:tc>
      </w:tr>
      <w:tr w14:paraId="6BAD8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9FE84F">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基本账户银行账号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316195E">
            <w:pPr>
              <w:rPr>
                <w:rFonts w:hint="eastAsia"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7EF3485">
            <w:pPr>
              <w:rPr>
                <w:rFonts w:hint="eastAsia"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7C8F81">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各类注册人员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245114D">
            <w:pPr>
              <w:rPr>
                <w:rFonts w:hint="eastAsia" w:ascii="宋体" w:hAnsi="宋体" w:eastAsia="宋体" w:cs="宋体"/>
                <w:color w:val="auto"/>
                <w:sz w:val="21"/>
                <w:szCs w:val="21"/>
                <w:highlight w:val="none"/>
              </w:rPr>
            </w:pPr>
          </w:p>
        </w:tc>
      </w:tr>
      <w:tr w14:paraId="73709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BC3EF3">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2A679429">
            <w:pPr>
              <w:rPr>
                <w:rFonts w:hint="eastAsia" w:ascii="宋体" w:hAnsi="宋体" w:eastAsia="宋体" w:cs="宋体"/>
                <w:color w:val="auto"/>
                <w:sz w:val="21"/>
                <w:szCs w:val="21"/>
                <w:highlight w:val="none"/>
              </w:rPr>
            </w:pPr>
          </w:p>
        </w:tc>
      </w:tr>
      <w:tr w14:paraId="37BF1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E3A613">
            <w:pPr>
              <w:pStyle w:val="33"/>
              <w:kinsoku w:val="0"/>
              <w:overflowPunct w:val="0"/>
              <w:ind w:right="9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投标人关联企业情</w:t>
            </w:r>
            <w:r>
              <w:rPr>
                <w:rFonts w:hint="eastAsia" w:ascii="宋体" w:hAnsi="宋体" w:eastAsia="宋体" w:cs="宋体"/>
                <w:color w:val="auto"/>
                <w:spacing w:val="-8"/>
                <w:sz w:val="21"/>
                <w:szCs w:val="21"/>
                <w:highlight w:val="none"/>
              </w:rPr>
              <w:t>况（包括但不限于与</w:t>
            </w:r>
            <w:r>
              <w:rPr>
                <w:rFonts w:hint="eastAsia" w:ascii="宋体" w:hAnsi="宋体" w:eastAsia="宋体" w:cs="宋体"/>
                <w:color w:val="auto"/>
                <w:spacing w:val="-102"/>
                <w:sz w:val="21"/>
                <w:szCs w:val="21"/>
                <w:highlight w:val="none"/>
              </w:rPr>
              <w:t xml:space="preserve"> </w:t>
            </w:r>
            <w:r>
              <w:rPr>
                <w:rFonts w:hint="eastAsia" w:ascii="宋体" w:hAnsi="宋体" w:eastAsia="宋体" w:cs="宋体"/>
                <w:color w:val="auto"/>
                <w:sz w:val="21"/>
                <w:szCs w:val="21"/>
                <w:highlight w:val="none"/>
              </w:rPr>
              <w:t>投标人法定代表人为同一人或者存在</w:t>
            </w:r>
            <w:r>
              <w:rPr>
                <w:rFonts w:hint="eastAsia" w:ascii="宋体" w:hAnsi="宋体" w:eastAsia="宋体" w:cs="宋体"/>
                <w:color w:val="auto"/>
                <w:spacing w:val="-8"/>
                <w:sz w:val="21"/>
                <w:szCs w:val="21"/>
                <w:highlight w:val="none"/>
              </w:rPr>
              <w:t>控股、管理关系的不</w:t>
            </w:r>
            <w:r>
              <w:rPr>
                <w:rFonts w:hint="eastAsia" w:ascii="宋体" w:hAnsi="宋体" w:eastAsia="宋体" w:cs="宋体"/>
                <w:color w:val="auto"/>
                <w:sz w:val="21"/>
                <w:szCs w:val="21"/>
                <w:highlight w:val="none"/>
              </w:rPr>
              <w:t>同单位）</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7EBEB615">
            <w:pPr>
              <w:rPr>
                <w:rFonts w:hint="eastAsia" w:ascii="宋体" w:hAnsi="宋体" w:eastAsia="宋体" w:cs="宋体"/>
                <w:color w:val="auto"/>
                <w:sz w:val="21"/>
                <w:szCs w:val="21"/>
                <w:highlight w:val="none"/>
              </w:rPr>
            </w:pPr>
          </w:p>
        </w:tc>
      </w:tr>
      <w:tr w14:paraId="7B2A9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B1DBEC">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6CEF7D38">
            <w:pPr>
              <w:rPr>
                <w:rFonts w:hint="eastAsia" w:ascii="宋体" w:hAnsi="宋体" w:eastAsia="宋体" w:cs="宋体"/>
                <w:color w:val="auto"/>
                <w:sz w:val="21"/>
                <w:szCs w:val="21"/>
                <w:highlight w:val="none"/>
              </w:rPr>
            </w:pPr>
          </w:p>
        </w:tc>
      </w:tr>
    </w:tbl>
    <w:p w14:paraId="6AA05B38">
      <w:pPr>
        <w:pStyle w:val="14"/>
        <w:kinsoku w:val="0"/>
        <w:overflowPunct w:val="0"/>
        <w:spacing w:before="74" w:line="331" w:lineRule="auto"/>
        <w:ind w:left="240"/>
        <w:rPr>
          <w:rFonts w:hint="eastAsia" w:ascii="宋体" w:hAnsi="宋体" w:eastAsia="宋体" w:cs="宋体"/>
          <w:color w:val="auto"/>
          <w:sz w:val="24"/>
          <w:szCs w:val="24"/>
          <w:highlight w:val="none"/>
        </w:rPr>
        <w:sectPr>
          <w:headerReference r:id="rId18" w:type="default"/>
          <w:footerReference r:id="rId19" w:type="default"/>
          <w:pgSz w:w="11905" w:h="16838"/>
          <w:pgMar w:top="1417" w:right="1417" w:bottom="1417" w:left="1417" w:header="992" w:footer="992" w:gutter="0"/>
          <w:lnNumType w:countBy="0" w:distance="360"/>
          <w:pgNumType w:fmt="decimal"/>
          <w:cols w:space="720" w:num="1"/>
        </w:sectPr>
      </w:pPr>
      <w:r>
        <w:rPr>
          <w:rFonts w:hint="eastAsia" w:ascii="宋体" w:hAnsi="宋体" w:eastAsia="宋体" w:cs="宋体"/>
          <w:color w:val="auto"/>
          <w:spacing w:val="-5"/>
          <w:sz w:val="21"/>
          <w:szCs w:val="21"/>
          <w:highlight w:val="none"/>
        </w:rPr>
        <w:t>注：</w:t>
      </w:r>
      <w:r>
        <w:rPr>
          <w:rFonts w:hint="eastAsia" w:ascii="宋体" w:hAnsi="宋体" w:eastAsia="宋体" w:cs="宋体"/>
          <w:color w:val="auto"/>
          <w:sz w:val="21"/>
          <w:szCs w:val="24"/>
          <w:highlight w:val="none"/>
        </w:rPr>
        <w:t>投标人应附营业执照、资质证书等相关证明材料。</w:t>
      </w:r>
      <w:bookmarkStart w:id="233" w:name="bookmark189"/>
      <w:bookmarkEnd w:id="233"/>
      <w:bookmarkStart w:id="234" w:name="bookmark190"/>
      <w:bookmarkEnd w:id="234"/>
      <w:bookmarkStart w:id="235" w:name="bookmark188"/>
      <w:bookmarkEnd w:id="235"/>
      <w:bookmarkStart w:id="236" w:name="bookmark186"/>
      <w:bookmarkEnd w:id="236"/>
      <w:bookmarkStart w:id="237" w:name="bookmark187"/>
      <w:bookmarkEnd w:id="237"/>
    </w:p>
    <w:p w14:paraId="67C8D438">
      <w:pPr>
        <w:pStyle w:val="8"/>
        <w:outlineLvl w:val="2"/>
        <w:rPr>
          <w:rFonts w:hint="eastAsia" w:ascii="宋体" w:hAnsi="宋体" w:eastAsia="宋体" w:cs="宋体"/>
          <w:b/>
          <w:color w:val="auto"/>
          <w:sz w:val="24"/>
          <w:szCs w:val="24"/>
          <w:highlight w:val="none"/>
        </w:rPr>
      </w:pPr>
      <w:bookmarkStart w:id="238" w:name="_Toc21460"/>
      <w:r>
        <w:rPr>
          <w:rFonts w:hint="eastAsia" w:ascii="宋体" w:hAnsi="宋体" w:eastAsia="宋体" w:cs="宋体"/>
          <w:b/>
          <w:color w:val="auto"/>
          <w:sz w:val="24"/>
          <w:szCs w:val="24"/>
          <w:highlight w:val="none"/>
          <w:lang w:val="en-US" w:eastAsia="zh-CN"/>
        </w:rPr>
        <w:t>（</w:t>
      </w:r>
      <w:r>
        <w:rPr>
          <w:rFonts w:hint="eastAsia" w:cs="宋体"/>
          <w:b/>
          <w:color w:val="auto"/>
          <w:sz w:val="24"/>
          <w:szCs w:val="24"/>
          <w:highlight w:val="none"/>
          <w:lang w:val="en-US" w:eastAsia="zh-CN"/>
        </w:rPr>
        <w:t>二</w:t>
      </w:r>
      <w:r>
        <w:rPr>
          <w:rFonts w:hint="eastAsia" w:ascii="宋体" w:hAnsi="宋体" w:eastAsia="宋体" w:cs="宋体"/>
          <w:b/>
          <w:color w:val="auto"/>
          <w:sz w:val="24"/>
          <w:szCs w:val="24"/>
          <w:highlight w:val="none"/>
          <w:lang w:val="en-US" w:eastAsia="zh-CN"/>
        </w:rPr>
        <w:t>）投标人声明格式</w:t>
      </w:r>
      <w:bookmarkEnd w:id="238"/>
    </w:p>
    <w:p w14:paraId="55A9E302">
      <w:pPr>
        <w:jc w:val="center"/>
        <w:rPr>
          <w:rFonts w:hint="eastAsia" w:ascii="宋体" w:hAnsi="宋体" w:eastAsia="宋体" w:cs="宋体"/>
          <w:b/>
          <w:bCs/>
          <w:color w:val="auto"/>
          <w:sz w:val="32"/>
          <w:szCs w:val="32"/>
          <w:highlight w:val="none"/>
        </w:rPr>
      </w:pPr>
      <w:bookmarkStart w:id="239" w:name="_Toc7353"/>
      <w:r>
        <w:rPr>
          <w:rFonts w:hint="eastAsia" w:ascii="宋体" w:hAnsi="宋体" w:eastAsia="宋体" w:cs="宋体"/>
          <w:b/>
          <w:bCs/>
          <w:color w:val="auto"/>
          <w:sz w:val="32"/>
          <w:szCs w:val="32"/>
          <w:highlight w:val="none"/>
          <w:lang w:val="en-US" w:eastAsia="zh-CN"/>
        </w:rPr>
        <w:t>投标人声明</w:t>
      </w:r>
      <w:bookmarkEnd w:id="239"/>
    </w:p>
    <w:p w14:paraId="46B7E192">
      <w:pPr>
        <w:snapToGrid w:val="0"/>
        <w:spacing w:line="360" w:lineRule="auto"/>
        <w:rPr>
          <w:rFonts w:hint="eastAsia" w:ascii="宋体" w:hAnsi="宋体" w:eastAsia="宋体" w:cs="宋体"/>
          <w:color w:val="auto"/>
          <w:sz w:val="21"/>
          <w:szCs w:val="21"/>
          <w:highlight w:val="none"/>
        </w:rPr>
      </w:pPr>
    </w:p>
    <w:p w14:paraId="422710DB">
      <w:pPr>
        <w:pStyle w:val="34"/>
        <w:ind w:right="879"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w:t>
      </w:r>
      <w:r>
        <w:rPr>
          <w:rFonts w:hint="eastAsia" w:ascii="宋体" w:eastAsia="宋体" w:cs="宋体"/>
          <w:color w:val="auto"/>
          <w:sz w:val="21"/>
          <w:szCs w:val="21"/>
          <w:highlight w:val="none"/>
          <w:lang w:val="en-US" w:eastAsia="zh-CN"/>
        </w:rPr>
        <w:t>详见招标公告附件一</w:t>
      </w:r>
      <w:r>
        <w:rPr>
          <w:rFonts w:hint="eastAsia" w:ascii="宋体" w:hAnsi="宋体" w:cs="宋体"/>
          <w:color w:val="auto"/>
          <w:sz w:val="21"/>
          <w:szCs w:val="21"/>
          <w:highlight w:val="none"/>
          <w:lang w:val="en-US" w:eastAsia="zh-CN"/>
        </w:rPr>
        <w:t>）</w:t>
      </w:r>
    </w:p>
    <w:p w14:paraId="12F446FB">
      <w:pPr>
        <w:pStyle w:val="30"/>
        <w:ind w:firstLine="0" w:firstLineChars="0"/>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pgNumType w:fmt="decimal"/>
          <w:cols w:space="720" w:num="1"/>
        </w:sectPr>
      </w:pPr>
    </w:p>
    <w:p w14:paraId="557C51FE">
      <w:pPr>
        <w:pStyle w:val="8"/>
        <w:pageBreakBefore/>
        <w:outlineLvl w:val="2"/>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b/>
          <w:color w:val="auto"/>
          <w:sz w:val="24"/>
          <w:szCs w:val="24"/>
          <w:highlight w:val="none"/>
        </w:rPr>
        <w:t>投标人廉洁承诺书（格式）</w:t>
      </w:r>
    </w:p>
    <w:p w14:paraId="7B550E7B">
      <w:pPr>
        <w:pStyle w:val="22"/>
        <w:spacing w:before="157" w:beforeLines="50" w:beforeAutospacing="0" w:after="157" w:afterLines="50" w:afterAutospacing="0" w:line="360" w:lineRule="auto"/>
        <w:ind w:firstLine="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投标人廉洁承诺书</w:t>
      </w:r>
    </w:p>
    <w:p w14:paraId="7BA22A1A">
      <w:pPr>
        <w:pStyle w:val="22"/>
        <w:shd w:val="clear" w:color="auto" w:fill="FFFFFF"/>
        <w:spacing w:before="0" w:beforeAutospacing="0" w:after="0" w:afterAutospacing="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highlight w:val="none"/>
        </w:rPr>
        <w:t>广州市自来水有限公司及广州市自来水有限公司招标监督工作组</w:t>
      </w:r>
      <w:r>
        <w:rPr>
          <w:rFonts w:hint="eastAsia" w:ascii="宋体" w:hAnsi="宋体" w:eastAsia="宋体" w:cs="宋体"/>
          <w:color w:val="auto"/>
          <w:sz w:val="24"/>
          <w:szCs w:val="24"/>
          <w:highlight w:val="none"/>
        </w:rPr>
        <w:t>：</w:t>
      </w:r>
    </w:p>
    <w:p w14:paraId="7BE8A512">
      <w:pPr>
        <w:pStyle w:val="16"/>
        <w:spacing w:line="360" w:lineRule="auto"/>
        <w:ind w:right="42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本公司参加了</w:t>
      </w:r>
      <w:r>
        <w:rPr>
          <w:rFonts w:hint="eastAsia" w:ascii="宋体" w:hAnsi="宋体" w:eastAsia="宋体" w:cs="宋体"/>
          <w:color w:val="auto"/>
          <w:sz w:val="24"/>
          <w:szCs w:val="24"/>
          <w:highlight w:val="none"/>
          <w:u w:val="single"/>
        </w:rPr>
        <w:t xml:space="preserve">   （项目名称/标段名称）    </w:t>
      </w:r>
      <w:r>
        <w:rPr>
          <w:rFonts w:hint="eastAsia" w:ascii="宋体" w:hAnsi="宋体" w:eastAsia="宋体" w:cs="宋体"/>
          <w:color w:val="auto"/>
          <w:sz w:val="24"/>
          <w:szCs w:val="24"/>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0B1CA061">
      <w:pPr>
        <w:pStyle w:val="16"/>
        <w:spacing w:line="360" w:lineRule="auto"/>
        <w:ind w:righ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一、自觉遵守国家有关法律法规及廉洁规定。</w:t>
      </w:r>
    </w:p>
    <w:p w14:paraId="650BE123">
      <w:pPr>
        <w:pStyle w:val="16"/>
        <w:spacing w:line="360" w:lineRule="auto"/>
        <w:ind w:right="42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二、不与招标单位工作人员串通投标，损害国家利益、企业利益以及他人的合法利益；</w:t>
      </w:r>
    </w:p>
    <w:p w14:paraId="27F1CEB1">
      <w:pPr>
        <w:pStyle w:val="16"/>
        <w:spacing w:line="360" w:lineRule="auto"/>
        <w:ind w:right="42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三、不与其他单位围标、串标，不出让投标资格，不向招标人或评标委员会成员行贿。</w:t>
      </w:r>
    </w:p>
    <w:p w14:paraId="47C55506">
      <w:pPr>
        <w:pStyle w:val="16"/>
        <w:spacing w:line="360" w:lineRule="auto"/>
        <w:ind w:right="42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四、不以任何名义向参与招标、评标工作的有关人员提供高消费宴请及娱乐活动和赠送回扣、红包、礼金、购物卡、有价证券、贵重物品和好处费、感谢费等； </w:t>
      </w:r>
    </w:p>
    <w:p w14:paraId="3A1C0414">
      <w:pPr>
        <w:pStyle w:val="16"/>
        <w:spacing w:line="360" w:lineRule="auto"/>
        <w:ind w:right="42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五、不以任何名义为参与招标、评标工作的有关人员装修住房、婚丧嫁取、配偶子女的工作安排以及境内外旅游等提供方便；</w:t>
      </w:r>
    </w:p>
    <w:p w14:paraId="6A089C34">
      <w:pPr>
        <w:pStyle w:val="16"/>
        <w:spacing w:line="360" w:lineRule="auto"/>
        <w:ind w:right="42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六、不以谋取非正当利益为目的，擅自与参与招标、评标工作的有关人员就业务问题进行私下商谈或者达成利益默契</w:t>
      </w:r>
      <w:r>
        <w:rPr>
          <w:rFonts w:hint="eastAsia" w:ascii="宋体" w:hAnsi="宋体" w:eastAsia="宋体" w:cs="宋体"/>
          <w:color w:val="auto"/>
          <w:sz w:val="24"/>
          <w:szCs w:val="24"/>
          <w:highlight w:val="none"/>
          <w:lang w:eastAsia="zh-CN"/>
        </w:rPr>
        <w:t>。</w:t>
      </w:r>
    </w:p>
    <w:p w14:paraId="73C44119">
      <w:pPr>
        <w:pStyle w:val="16"/>
        <w:autoSpaceDE/>
        <w:autoSpaceDN/>
        <w:spacing w:line="360" w:lineRule="auto"/>
        <w:ind w:right="42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本公司违反上述承诺，或本承诺陈述与事实不符，经查实，本公司愿意接受公开通报，承担由此带来的法律后果。</w:t>
      </w:r>
    </w:p>
    <w:p w14:paraId="64A76EB8">
      <w:pPr>
        <w:pStyle w:val="16"/>
        <w:autoSpaceDE/>
        <w:autoSpaceDN/>
        <w:spacing w:line="360" w:lineRule="auto"/>
        <w:ind w:right="42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highlight w:val="none"/>
        </w:rPr>
        <w:t>特此承诺</w:t>
      </w:r>
      <w:r>
        <w:rPr>
          <w:rFonts w:hint="eastAsia" w:ascii="宋体" w:hAnsi="宋体" w:eastAsia="宋体" w:cs="宋体"/>
          <w:color w:val="auto"/>
          <w:sz w:val="24"/>
          <w:szCs w:val="24"/>
          <w:highlight w:val="none"/>
          <w:lang w:eastAsia="zh-CN"/>
        </w:rPr>
        <w:t>。</w:t>
      </w:r>
    </w:p>
    <w:p w14:paraId="532C23BC">
      <w:pPr>
        <w:pStyle w:val="22"/>
        <w:shd w:val="clear" w:color="auto" w:fill="FFFFFF"/>
        <w:spacing w:before="0" w:beforeAutospacing="0" w:after="0" w:afterAutospacing="0" w:line="360" w:lineRule="auto"/>
        <w:ind w:left="0" w:leftChars="0" w:right="-48" w:rightChars="-20" w:firstLine="0" w:firstLineChars="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承诺企业（</w:t>
      </w:r>
      <w:r>
        <w:rPr>
          <w:rFonts w:hint="eastAsia" w:ascii="宋体" w:hAnsi="宋体" w:eastAsia="宋体" w:cs="宋体"/>
          <w:color w:val="auto"/>
          <w:sz w:val="24"/>
          <w:szCs w:val="24"/>
          <w:highlight w:val="none"/>
          <w:lang w:eastAsia="zh-CN"/>
        </w:rPr>
        <w:t>盖</w:t>
      </w:r>
      <w:r>
        <w:rPr>
          <w:rFonts w:hint="eastAsia" w:ascii="宋体" w:hAnsi="宋体" w:eastAsia="宋体" w:cs="宋体"/>
          <w:color w:val="auto"/>
          <w:sz w:val="24"/>
          <w:szCs w:val="24"/>
          <w:highlight w:val="none"/>
        </w:rPr>
        <w:t>单位章）：</w:t>
      </w:r>
    </w:p>
    <w:p w14:paraId="7C843713">
      <w:pPr>
        <w:pStyle w:val="22"/>
        <w:shd w:val="clear" w:color="auto" w:fill="FFFFFF"/>
        <w:spacing w:before="0" w:beforeAutospacing="0" w:after="0" w:afterAutospacing="0" w:line="360" w:lineRule="auto"/>
        <w:ind w:left="0" w:leftChars="0" w:right="-48" w:rightChars="-20" w:firstLine="0" w:firstLineChars="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14:paraId="2491FDB1">
      <w:pPr>
        <w:pStyle w:val="22"/>
        <w:shd w:val="clear" w:color="auto" w:fill="FFFFFF"/>
        <w:spacing w:before="0" w:after="0"/>
        <w:ind w:left="0" w:leftChars="0" w:right="-48" w:rightChars="-20" w:firstLine="0" w:firstLineChars="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bookmarkStart w:id="240" w:name="bookmark193"/>
      <w:bookmarkEnd w:id="240"/>
      <w:bookmarkStart w:id="241" w:name="_Toc13291"/>
    </w:p>
    <w:p w14:paraId="2BC748D2">
      <w:pPr>
        <w:pStyle w:val="22"/>
        <w:shd w:val="clear" w:color="auto" w:fill="FFFFFF"/>
        <w:spacing w:before="0" w:after="0"/>
        <w:ind w:left="0" w:leftChars="0" w:right="-48" w:rightChars="-20" w:firstLine="0" w:firstLineChars="0"/>
        <w:jc w:val="right"/>
        <w:rPr>
          <w:rFonts w:hint="eastAsia" w:ascii="宋体" w:hAnsi="宋体" w:eastAsia="宋体" w:cs="宋体"/>
          <w:color w:val="auto"/>
          <w:sz w:val="24"/>
          <w:szCs w:val="24"/>
          <w:highlight w:val="none"/>
        </w:rPr>
      </w:pPr>
    </w:p>
    <w:p w14:paraId="2FABC8E0">
      <w:pPr>
        <w:pStyle w:val="22"/>
        <w:shd w:val="clear" w:color="auto" w:fill="FFFFFF"/>
        <w:spacing w:before="0" w:after="0"/>
        <w:ind w:left="0" w:leftChars="0" w:right="-48" w:rightChars="-20" w:firstLine="0" w:firstLineChars="0"/>
        <w:jc w:val="right"/>
        <w:rPr>
          <w:rFonts w:hint="eastAsia" w:ascii="宋体" w:hAnsi="宋体" w:eastAsia="宋体" w:cs="宋体"/>
          <w:color w:val="auto"/>
          <w:sz w:val="24"/>
          <w:szCs w:val="24"/>
          <w:highlight w:val="none"/>
        </w:rPr>
      </w:pPr>
    </w:p>
    <w:p w14:paraId="2DD0845E">
      <w:pPr>
        <w:pStyle w:val="22"/>
        <w:shd w:val="clear" w:color="auto" w:fill="FFFFFF"/>
        <w:spacing w:before="0" w:after="0"/>
        <w:ind w:left="0" w:leftChars="0" w:right="-48" w:rightChars="-20" w:firstLine="0" w:firstLineChars="0"/>
        <w:jc w:val="right"/>
        <w:rPr>
          <w:rFonts w:hint="eastAsia" w:ascii="宋体" w:hAnsi="宋体" w:eastAsia="宋体" w:cs="宋体"/>
          <w:color w:val="auto"/>
          <w:sz w:val="24"/>
          <w:szCs w:val="24"/>
          <w:highlight w:val="none"/>
        </w:rPr>
      </w:pPr>
    </w:p>
    <w:p w14:paraId="4CC0A210">
      <w:pPr>
        <w:pStyle w:val="22"/>
        <w:shd w:val="clear" w:color="auto" w:fill="FFFFFF"/>
        <w:spacing w:before="0" w:after="0"/>
        <w:ind w:left="0" w:leftChars="0" w:right="-48" w:rightChars="-20" w:firstLine="0" w:firstLineChars="0"/>
        <w:jc w:val="left"/>
        <w:rPr>
          <w:rFonts w:hint="eastAsia" w:ascii="宋体" w:hAnsi="宋体" w:eastAsia="宋体" w:cs="宋体"/>
          <w:color w:val="auto"/>
          <w:sz w:val="24"/>
          <w:szCs w:val="24"/>
          <w:highlight w:val="none"/>
        </w:rPr>
      </w:pPr>
    </w:p>
    <w:p w14:paraId="37E41C14">
      <w:pPr>
        <w:pStyle w:val="22"/>
        <w:numPr>
          <w:ilvl w:val="0"/>
          <w:numId w:val="0"/>
        </w:numPr>
        <w:shd w:val="clear" w:color="auto" w:fill="FFFFFF"/>
        <w:spacing w:before="0" w:after="0"/>
        <w:ind w:left="0" w:leftChars="0" w:right="-48" w:rightChars="-20" w:firstLine="0" w:firstLineChars="0"/>
        <w:jc w:val="center"/>
        <w:rPr>
          <w:rFonts w:hint="eastAsia" w:ascii="宋体" w:hAnsi="宋体" w:eastAsia="宋体" w:cs="宋体"/>
          <w:b/>
          <w:bCs/>
          <w:color w:val="auto"/>
          <w:sz w:val="28"/>
          <w:szCs w:val="24"/>
          <w:highlight w:val="none"/>
        </w:rPr>
      </w:pPr>
      <w:r>
        <w:rPr>
          <w:rFonts w:hint="eastAsia" w:cs="宋体"/>
          <w:b/>
          <w:bCs/>
          <w:color w:val="auto"/>
          <w:sz w:val="28"/>
          <w:szCs w:val="24"/>
          <w:highlight w:val="none"/>
          <w:lang w:val="en-US" w:eastAsia="zh-CN"/>
        </w:rPr>
        <w:t>六</w:t>
      </w:r>
      <w:r>
        <w:rPr>
          <w:rFonts w:hint="eastAsia" w:ascii="宋体" w:hAnsi="宋体" w:eastAsia="宋体" w:cs="宋体"/>
          <w:b/>
          <w:bCs/>
          <w:color w:val="auto"/>
          <w:sz w:val="28"/>
          <w:szCs w:val="24"/>
          <w:highlight w:val="none"/>
        </w:rPr>
        <w:t>、投标报价表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3"/>
        <w:gridCol w:w="4644"/>
      </w:tblGrid>
      <w:tr w14:paraId="733B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3" w:type="dxa"/>
            <w:vAlign w:val="center"/>
          </w:tcPr>
          <w:p w14:paraId="35B3425B">
            <w:pPr>
              <w:pStyle w:val="22"/>
              <w:numPr>
                <w:ilvl w:val="0"/>
                <w:numId w:val="0"/>
              </w:numPr>
              <w:spacing w:before="0" w:after="0"/>
              <w:ind w:right="-48" w:rightChars="-20"/>
              <w:jc w:val="center"/>
              <w:rPr>
                <w:rFonts w:hint="eastAsia" w:ascii="宋体" w:hAnsi="宋体" w:eastAsia="宋体" w:cs="宋体"/>
                <w:color w:val="auto"/>
                <w:sz w:val="28"/>
                <w:szCs w:val="24"/>
                <w:highlight w:val="none"/>
                <w:vertAlign w:val="baseline"/>
                <w:lang w:eastAsia="zh-CN"/>
              </w:rPr>
            </w:pPr>
            <w:r>
              <w:rPr>
                <w:rFonts w:hint="eastAsia" w:ascii="宋体" w:hAnsi="宋体" w:eastAsia="宋体" w:cs="宋体"/>
                <w:color w:val="auto"/>
                <w:sz w:val="28"/>
                <w:szCs w:val="24"/>
                <w:highlight w:val="none"/>
                <w:vertAlign w:val="baseline"/>
                <w:lang w:eastAsia="zh-CN"/>
              </w:rPr>
              <w:t>项目名称</w:t>
            </w:r>
          </w:p>
        </w:tc>
        <w:tc>
          <w:tcPr>
            <w:tcW w:w="4644" w:type="dxa"/>
            <w:vAlign w:val="top"/>
          </w:tcPr>
          <w:p w14:paraId="0C91E7E7">
            <w:pPr>
              <w:pStyle w:val="22"/>
              <w:numPr>
                <w:ilvl w:val="0"/>
                <w:numId w:val="0"/>
              </w:numPr>
              <w:spacing w:before="0" w:after="0"/>
              <w:ind w:right="-48" w:rightChars="-20"/>
              <w:jc w:val="center"/>
              <w:rPr>
                <w:rFonts w:hint="eastAsia" w:ascii="宋体" w:hAnsi="宋体" w:eastAsia="宋体" w:cs="宋体"/>
                <w:color w:val="auto"/>
                <w:sz w:val="28"/>
                <w:szCs w:val="24"/>
                <w:highlight w:val="none"/>
                <w:vertAlign w:val="baseline"/>
              </w:rPr>
            </w:pPr>
          </w:p>
        </w:tc>
      </w:tr>
      <w:tr w14:paraId="23B7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3" w:type="dxa"/>
            <w:vAlign w:val="center"/>
          </w:tcPr>
          <w:p w14:paraId="485AE376">
            <w:pPr>
              <w:pStyle w:val="22"/>
              <w:numPr>
                <w:ilvl w:val="0"/>
                <w:numId w:val="0"/>
              </w:numPr>
              <w:spacing w:before="0" w:after="0"/>
              <w:ind w:right="-48" w:rightChars="-20"/>
              <w:jc w:val="center"/>
              <w:rPr>
                <w:rFonts w:hint="default" w:ascii="宋体" w:hAnsi="宋体" w:eastAsia="宋体" w:cs="宋体"/>
                <w:color w:val="auto"/>
                <w:sz w:val="28"/>
                <w:szCs w:val="24"/>
                <w:highlight w:val="none"/>
                <w:vertAlign w:val="baseline"/>
                <w:lang w:val="en-US" w:eastAsia="zh-CN"/>
              </w:rPr>
            </w:pPr>
            <w:r>
              <w:rPr>
                <w:rFonts w:hint="eastAsia" w:ascii="宋体" w:hAnsi="宋体" w:eastAsia="宋体" w:cs="宋体"/>
                <w:color w:val="auto"/>
                <w:sz w:val="28"/>
                <w:szCs w:val="24"/>
                <w:highlight w:val="none"/>
                <w:vertAlign w:val="baseline"/>
                <w:lang w:eastAsia="zh-CN"/>
              </w:rPr>
              <w:t>投标下浮率</w:t>
            </w:r>
            <w:r>
              <w:rPr>
                <w:rFonts w:hint="eastAsia" w:ascii="宋体" w:hAnsi="宋体" w:eastAsia="宋体" w:cs="宋体"/>
                <w:color w:val="auto"/>
                <w:sz w:val="28"/>
                <w:szCs w:val="24"/>
                <w:highlight w:val="none"/>
                <w:vertAlign w:val="baseline"/>
                <w:lang w:val="en-US" w:eastAsia="zh-CN"/>
              </w:rPr>
              <w:t>（%）</w:t>
            </w:r>
          </w:p>
        </w:tc>
        <w:tc>
          <w:tcPr>
            <w:tcW w:w="4644" w:type="dxa"/>
            <w:vAlign w:val="top"/>
          </w:tcPr>
          <w:p w14:paraId="5B4F0F57">
            <w:pPr>
              <w:pStyle w:val="22"/>
              <w:numPr>
                <w:ilvl w:val="0"/>
                <w:numId w:val="0"/>
              </w:numPr>
              <w:spacing w:before="0" w:after="0"/>
              <w:ind w:right="-48" w:rightChars="-20"/>
              <w:jc w:val="center"/>
              <w:rPr>
                <w:rFonts w:hint="eastAsia" w:ascii="宋体" w:hAnsi="宋体" w:eastAsia="宋体" w:cs="宋体"/>
                <w:color w:val="auto"/>
                <w:sz w:val="28"/>
                <w:szCs w:val="24"/>
                <w:highlight w:val="none"/>
                <w:vertAlign w:val="baseline"/>
                <w:lang w:val="en-US" w:eastAsia="zh-CN"/>
              </w:rPr>
            </w:pPr>
          </w:p>
        </w:tc>
      </w:tr>
      <w:tr w14:paraId="681C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3" w:type="dxa"/>
            <w:vAlign w:val="center"/>
          </w:tcPr>
          <w:p w14:paraId="5348EBC7">
            <w:pPr>
              <w:pStyle w:val="22"/>
              <w:numPr>
                <w:ilvl w:val="0"/>
                <w:numId w:val="0"/>
              </w:numPr>
              <w:spacing w:before="0" w:after="0"/>
              <w:ind w:right="-48" w:rightChars="-20"/>
              <w:jc w:val="center"/>
              <w:rPr>
                <w:rFonts w:hint="eastAsia" w:ascii="宋体" w:hAnsi="宋体" w:eastAsia="宋体" w:cs="宋体"/>
                <w:color w:val="auto"/>
                <w:sz w:val="28"/>
                <w:szCs w:val="24"/>
                <w:highlight w:val="none"/>
                <w:vertAlign w:val="baseline"/>
                <w:lang w:eastAsia="zh-CN"/>
              </w:rPr>
            </w:pPr>
            <w:r>
              <w:rPr>
                <w:rFonts w:hint="eastAsia" w:ascii="宋体" w:hAnsi="宋体" w:eastAsia="宋体" w:cs="宋体"/>
                <w:color w:val="auto"/>
                <w:sz w:val="28"/>
                <w:szCs w:val="24"/>
                <w:highlight w:val="none"/>
                <w:vertAlign w:val="baseline"/>
                <w:lang w:eastAsia="zh-CN"/>
              </w:rPr>
              <w:t>服务期</w:t>
            </w:r>
          </w:p>
        </w:tc>
        <w:tc>
          <w:tcPr>
            <w:tcW w:w="4644" w:type="dxa"/>
            <w:vAlign w:val="top"/>
          </w:tcPr>
          <w:p w14:paraId="6C92BEF6">
            <w:pPr>
              <w:pStyle w:val="22"/>
              <w:numPr>
                <w:ilvl w:val="0"/>
                <w:numId w:val="0"/>
              </w:numPr>
              <w:spacing w:before="0" w:after="0"/>
              <w:ind w:right="-48" w:rightChars="-20"/>
              <w:jc w:val="center"/>
              <w:rPr>
                <w:rFonts w:hint="eastAsia" w:ascii="宋体" w:hAnsi="宋体" w:eastAsia="宋体" w:cs="宋体"/>
                <w:color w:val="auto"/>
                <w:sz w:val="28"/>
                <w:szCs w:val="24"/>
                <w:highlight w:val="none"/>
                <w:vertAlign w:val="baseline"/>
              </w:rPr>
            </w:pPr>
          </w:p>
        </w:tc>
      </w:tr>
      <w:tr w14:paraId="1997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3" w:type="dxa"/>
            <w:vAlign w:val="center"/>
          </w:tcPr>
          <w:p w14:paraId="538B7386">
            <w:pPr>
              <w:pStyle w:val="22"/>
              <w:numPr>
                <w:ilvl w:val="0"/>
                <w:numId w:val="0"/>
              </w:numPr>
              <w:spacing w:before="0" w:after="0"/>
              <w:ind w:right="-48" w:rightChars="-20"/>
              <w:jc w:val="center"/>
              <w:rPr>
                <w:rFonts w:hint="eastAsia" w:ascii="宋体" w:hAnsi="宋体" w:eastAsia="宋体" w:cs="宋体"/>
                <w:color w:val="auto"/>
                <w:sz w:val="28"/>
                <w:szCs w:val="24"/>
                <w:highlight w:val="none"/>
                <w:vertAlign w:val="baseline"/>
                <w:lang w:eastAsia="zh-CN"/>
              </w:rPr>
            </w:pPr>
            <w:r>
              <w:rPr>
                <w:rFonts w:hint="eastAsia" w:ascii="宋体" w:hAnsi="宋体" w:eastAsia="宋体" w:cs="宋体"/>
                <w:color w:val="auto"/>
                <w:sz w:val="28"/>
                <w:szCs w:val="24"/>
                <w:highlight w:val="none"/>
                <w:vertAlign w:val="baseline"/>
                <w:lang w:eastAsia="zh-CN"/>
              </w:rPr>
              <w:t>质量标准</w:t>
            </w:r>
          </w:p>
        </w:tc>
        <w:tc>
          <w:tcPr>
            <w:tcW w:w="4644" w:type="dxa"/>
            <w:vAlign w:val="top"/>
          </w:tcPr>
          <w:p w14:paraId="7CE7D243">
            <w:pPr>
              <w:pStyle w:val="22"/>
              <w:numPr>
                <w:ilvl w:val="0"/>
                <w:numId w:val="0"/>
              </w:numPr>
              <w:spacing w:before="0" w:after="0"/>
              <w:ind w:right="-48" w:rightChars="-20"/>
              <w:jc w:val="center"/>
              <w:rPr>
                <w:rFonts w:hint="eastAsia" w:ascii="宋体" w:hAnsi="宋体" w:eastAsia="宋体" w:cs="宋体"/>
                <w:color w:val="auto"/>
                <w:sz w:val="28"/>
                <w:szCs w:val="24"/>
                <w:highlight w:val="none"/>
                <w:vertAlign w:val="baseline"/>
              </w:rPr>
            </w:pPr>
          </w:p>
        </w:tc>
      </w:tr>
    </w:tbl>
    <w:p w14:paraId="0FF11314">
      <w:pPr>
        <w:pStyle w:val="22"/>
        <w:shd w:val="clear" w:color="auto" w:fill="FFFFFF"/>
        <w:spacing w:before="0" w:after="0"/>
        <w:ind w:left="0" w:leftChars="0" w:right="-48" w:rightChars="-20" w:firstLine="0" w:firstLineChars="0"/>
        <w:jc w:val="left"/>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pgNumType w:fmt="decimal"/>
          <w:cols w:space="720" w:num="1"/>
        </w:sectPr>
      </w:pPr>
    </w:p>
    <w:bookmarkEnd w:id="241"/>
    <w:p w14:paraId="24BF1A5D">
      <w:pPr>
        <w:rPr>
          <w:rFonts w:hint="eastAsia" w:cs="宋体"/>
          <w:color w:val="auto"/>
          <w:sz w:val="28"/>
          <w:szCs w:val="24"/>
          <w:highlight w:val="none"/>
          <w:lang w:val="en-US" w:eastAsia="zh-CN"/>
        </w:rPr>
      </w:pPr>
      <w:r>
        <w:rPr>
          <w:rFonts w:hint="eastAsia" w:cs="宋体"/>
          <w:color w:val="auto"/>
          <w:sz w:val="28"/>
          <w:szCs w:val="24"/>
          <w:highlight w:val="none"/>
          <w:lang w:val="en-US" w:eastAsia="zh-CN"/>
        </w:rPr>
        <w:t>项目名称：</w:t>
      </w: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882"/>
        <w:gridCol w:w="1068"/>
        <w:gridCol w:w="1638"/>
        <w:gridCol w:w="3566"/>
        <w:gridCol w:w="495"/>
        <w:gridCol w:w="1202"/>
      </w:tblGrid>
      <w:tr w14:paraId="29D8C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0A29D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一、基坑监测</w:t>
            </w:r>
          </w:p>
        </w:tc>
      </w:tr>
      <w:tr w14:paraId="7CFC5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C1366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1.1、一般路段管网工程基坑监测</w:t>
            </w:r>
          </w:p>
        </w:tc>
      </w:tr>
      <w:tr w14:paraId="4436F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439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C53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工程部位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C9AE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检测/监测项目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391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检测/监测内容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F3EE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检测/监测频率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4508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14:paraId="3851FA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综合单价限价（元）</w:t>
            </w:r>
          </w:p>
        </w:tc>
      </w:tr>
      <w:tr w14:paraId="4CE6E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3CB2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77E6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3047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D7C6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EE96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D679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14:paraId="08BEA00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r>
      <w:tr w14:paraId="17A86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6CBB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C0B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管道、顶管井基坑工程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0B6C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基准点埋设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A02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7943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每公里布3个基准点，每个基坑工程至少3个稳定、可靠的基准点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2A90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EEF9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3,600.00 </w:t>
            </w:r>
          </w:p>
        </w:tc>
      </w:tr>
      <w:tr w14:paraId="5DD1A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D550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AEBD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562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监测点埋设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00B2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支护结构顶部水平、竖向位移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C01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一般监测点水平间距小于20m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工作（接收）井：基坑每边监测点不应少于1个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8EF7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D596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200.00 </w:t>
            </w:r>
          </w:p>
        </w:tc>
      </w:tr>
      <w:tr w14:paraId="26EA7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0FFD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E0CA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EBFC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243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地下水位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（基坑深度0-5米）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914A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一般监测点水平间距20~50m。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54F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B770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1,056.00 </w:t>
            </w:r>
          </w:p>
        </w:tc>
      </w:tr>
      <w:tr w14:paraId="4097E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5BA9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15F7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2E42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516D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地下水位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（基坑深度5-10米）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8E83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0AA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92E7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1,776.00 </w:t>
            </w:r>
          </w:p>
        </w:tc>
      </w:tr>
      <w:tr w14:paraId="7A5FB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4ACE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EE34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0991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C54F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地下水位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（基坑深度10-15米）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B7AB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91F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1676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2,496.00 </w:t>
            </w:r>
          </w:p>
        </w:tc>
      </w:tr>
      <w:tr w14:paraId="4B900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B410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D87F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CA2E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8BF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深层水平位移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（基坑深度0-5米）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167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一般监测点水平间距20~60m。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2802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0A1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1,080.00 </w:t>
            </w:r>
          </w:p>
        </w:tc>
      </w:tr>
      <w:tr w14:paraId="27BA0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174C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6460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5404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1E9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深层水平位移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（基坑深度5-10米）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07C2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C051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81D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2,160.00 </w:t>
            </w:r>
          </w:p>
        </w:tc>
      </w:tr>
      <w:tr w14:paraId="42B38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04B5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FBF7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2723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8648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深层水平位移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（基坑深度10-15米）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4225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791A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E29D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3,240.00 </w:t>
            </w:r>
          </w:p>
        </w:tc>
      </w:tr>
      <w:tr w14:paraId="130F9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7B60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A4C2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4ED0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233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支撑轴力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（基坑深度0-5米）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23DA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监测断面的平面位置宜设置在支撑设计计算内力较大、基坑阳角处或在整个支撑系统中起控制作用的杆件上；每层支撑的轴力监测点不应少于 3 个，各层支撑的监测点位置宜在竖向保持一致。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1E2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A20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1,560.00 </w:t>
            </w:r>
          </w:p>
        </w:tc>
      </w:tr>
      <w:tr w14:paraId="36164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EF06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F9A6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5BA3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9D99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支撑轴力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（基坑深度5-10米）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A7D6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160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2CD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1,584.00 </w:t>
            </w:r>
          </w:p>
        </w:tc>
      </w:tr>
      <w:tr w14:paraId="32935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F845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BEBA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7167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939C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支撑轴力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（基坑深度10-15米）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8FD6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777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FA4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1,608.00 </w:t>
            </w:r>
          </w:p>
        </w:tc>
      </w:tr>
      <w:tr w14:paraId="794D8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4D6C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89C1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379C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D3D8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周边地表沉降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DF0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一般监测点水平间距20~50m。具体根据施工图确定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FD92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CCF3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200.00 </w:t>
            </w:r>
          </w:p>
        </w:tc>
      </w:tr>
      <w:tr w14:paraId="642D9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7BBB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B668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3604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CD2B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周边管线变形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C71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暂按监测点水平间距15m～25m，具体根据管线权属单位或相关规范确定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B8A4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231C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200.00 </w:t>
            </w:r>
          </w:p>
        </w:tc>
      </w:tr>
      <w:tr w14:paraId="55580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B2F1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3BF4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5751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CBE1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周边建筑物沉降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38AB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建筑四角、沿外墙每10m~15m处或每隔2根~3根柱的柱基或柱子上,且每侧外墙不应少于3个监测点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E67C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61EB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200.00 </w:t>
            </w:r>
          </w:p>
        </w:tc>
      </w:tr>
      <w:tr w14:paraId="639ED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3EBD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7CEA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9E8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基准网联测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20E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监测基准网（水平）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1734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Style w:val="53"/>
                <w:color w:val="auto"/>
                <w:highlight w:val="none"/>
                <w:lang w:val="en-US" w:eastAsia="zh-CN" w:bidi="ar"/>
              </w:rPr>
              <w:t>初始值联测</w:t>
            </w:r>
            <w:r>
              <w:rPr>
                <w:rStyle w:val="54"/>
                <w:rFonts w:eastAsia="宋体"/>
                <w:color w:val="auto"/>
                <w:highlight w:val="none"/>
                <w:lang w:val="en-US" w:eastAsia="zh-CN" w:bidi="ar"/>
              </w:rPr>
              <w:t>1</w:t>
            </w:r>
            <w:r>
              <w:rPr>
                <w:rStyle w:val="53"/>
                <w:color w:val="auto"/>
                <w:highlight w:val="none"/>
                <w:lang w:val="en-US" w:eastAsia="zh-CN" w:bidi="ar"/>
              </w:rPr>
              <w:t>次，监测期间</w:t>
            </w:r>
            <w:r>
              <w:rPr>
                <w:rStyle w:val="54"/>
                <w:rFonts w:eastAsia="宋体"/>
                <w:color w:val="auto"/>
                <w:highlight w:val="none"/>
                <w:lang w:val="en-US" w:eastAsia="zh-CN" w:bidi="ar"/>
              </w:rPr>
              <w:t>1~2</w:t>
            </w:r>
            <w:r>
              <w:rPr>
                <w:rStyle w:val="53"/>
                <w:color w:val="auto"/>
                <w:highlight w:val="none"/>
                <w:lang w:val="en-US" w:eastAsia="zh-CN" w:bidi="ar"/>
              </w:rPr>
              <w:t>月复测</w:t>
            </w:r>
            <w:r>
              <w:rPr>
                <w:rStyle w:val="54"/>
                <w:rFonts w:eastAsia="宋体"/>
                <w:color w:val="auto"/>
                <w:highlight w:val="none"/>
                <w:lang w:val="en-US" w:eastAsia="zh-CN" w:bidi="ar"/>
              </w:rPr>
              <w:t>1</w:t>
            </w:r>
            <w:r>
              <w:rPr>
                <w:rStyle w:val="53"/>
                <w:color w:val="auto"/>
                <w:highlight w:val="none"/>
                <w:lang w:val="en-US" w:eastAsia="zh-CN" w:bidi="ar"/>
              </w:rPr>
              <w:t>次；或者施工前、后各测一次，共2次。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CEB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2360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2,128.66 </w:t>
            </w:r>
          </w:p>
        </w:tc>
      </w:tr>
      <w:tr w14:paraId="7B7B2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2152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14E3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AD98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7ED5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监测基准网（垂直）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59C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Style w:val="53"/>
                <w:color w:val="auto"/>
                <w:highlight w:val="none"/>
                <w:lang w:val="en-US" w:eastAsia="zh-CN" w:bidi="ar"/>
              </w:rPr>
              <w:t>初始值联测</w:t>
            </w:r>
            <w:r>
              <w:rPr>
                <w:rStyle w:val="54"/>
                <w:rFonts w:eastAsia="宋体"/>
                <w:color w:val="auto"/>
                <w:highlight w:val="none"/>
                <w:lang w:val="en-US" w:eastAsia="zh-CN" w:bidi="ar"/>
              </w:rPr>
              <w:t>1</w:t>
            </w:r>
            <w:r>
              <w:rPr>
                <w:rStyle w:val="53"/>
                <w:color w:val="auto"/>
                <w:highlight w:val="none"/>
                <w:lang w:val="en-US" w:eastAsia="zh-CN" w:bidi="ar"/>
              </w:rPr>
              <w:t>次，监测期间</w:t>
            </w:r>
            <w:r>
              <w:rPr>
                <w:rStyle w:val="54"/>
                <w:rFonts w:eastAsia="宋体"/>
                <w:color w:val="auto"/>
                <w:highlight w:val="none"/>
                <w:lang w:val="en-US" w:eastAsia="zh-CN" w:bidi="ar"/>
              </w:rPr>
              <w:t>1~2</w:t>
            </w:r>
            <w:r>
              <w:rPr>
                <w:rStyle w:val="53"/>
                <w:color w:val="auto"/>
                <w:highlight w:val="none"/>
                <w:lang w:val="en-US" w:eastAsia="zh-CN" w:bidi="ar"/>
              </w:rPr>
              <w:t>月复测</w:t>
            </w:r>
            <w:r>
              <w:rPr>
                <w:rStyle w:val="54"/>
                <w:rFonts w:eastAsia="宋体"/>
                <w:color w:val="auto"/>
                <w:highlight w:val="none"/>
                <w:lang w:val="en-US" w:eastAsia="zh-CN" w:bidi="ar"/>
              </w:rPr>
              <w:t>1</w:t>
            </w:r>
            <w:r>
              <w:rPr>
                <w:rStyle w:val="53"/>
                <w:color w:val="auto"/>
                <w:highlight w:val="none"/>
                <w:lang w:val="en-US" w:eastAsia="zh-CN" w:bidi="ar"/>
              </w:rPr>
              <w:t>次；或者施工前、后各测一次，共2次。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4A8B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km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D5B1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1,186.82 </w:t>
            </w:r>
          </w:p>
        </w:tc>
      </w:tr>
      <w:tr w14:paraId="31185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B38B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D0FB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E2F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现场监测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ED6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支护结构顶部水平位移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61F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初始值2次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（具体监测频率应结合基坑安全等级、施工进程确定，具体详见《建筑基坑工程监测技术规范》GB50497）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AFA0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CDEF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72.22 </w:t>
            </w:r>
          </w:p>
        </w:tc>
      </w:tr>
      <w:tr w14:paraId="1B809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FDE8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04DC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887F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80B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支护结构顶部竖向位移</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633C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D43D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3D45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48.80 </w:t>
            </w:r>
          </w:p>
        </w:tc>
      </w:tr>
      <w:tr w14:paraId="19727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68D5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F7C1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9873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A2B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地下水位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067B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F237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孔•次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055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160.00 </w:t>
            </w:r>
          </w:p>
        </w:tc>
      </w:tr>
      <w:tr w14:paraId="78EAA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F91C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6174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151B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E6A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土体深层水平位移</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F75F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48DF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孔•次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C5E7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480.00 </w:t>
            </w:r>
          </w:p>
        </w:tc>
      </w:tr>
      <w:tr w14:paraId="06BFB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6369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A39D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2F55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217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支撑轴力</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FBEB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0F7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B92C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113.22 </w:t>
            </w:r>
          </w:p>
        </w:tc>
      </w:tr>
      <w:tr w14:paraId="19090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A484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8973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78B5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D37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周边地表沉降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2C78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A27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F42D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48.80 </w:t>
            </w:r>
          </w:p>
        </w:tc>
      </w:tr>
      <w:tr w14:paraId="345DF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1D90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053E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2410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C66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周边管线沉降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A4D3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1B55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F7CC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48.80 </w:t>
            </w:r>
          </w:p>
        </w:tc>
      </w:tr>
      <w:tr w14:paraId="1E27A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6C19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DEC3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F955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4E1F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周边建筑物沉降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6208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486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3D1C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48.80 </w:t>
            </w:r>
          </w:p>
        </w:tc>
      </w:tr>
      <w:tr w14:paraId="0FA1C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D746A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1.2、顶管段管网工程基坑监测</w:t>
            </w:r>
          </w:p>
        </w:tc>
      </w:tr>
      <w:tr w14:paraId="0B24C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BEEA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7D6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工程部位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ECCA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检测/监测项目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0DF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检测/监测内容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8EA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检测/监测频率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673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14:paraId="6D9FFA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综合单价限价（元）</w:t>
            </w:r>
          </w:p>
        </w:tc>
      </w:tr>
      <w:tr w14:paraId="5B2C9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F083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4FB7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FBB2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0038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697F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C696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14:paraId="5227213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r>
      <w:tr w14:paraId="42EB1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708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E1A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顶管段监测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（管线外边线两侧2倍埋深范围内）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F09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监测点埋设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7A8A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周边地表沉降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4FCF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公里下方宜每10~20m设置一个监测点。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BB8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BAF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200.00 </w:t>
            </w:r>
          </w:p>
        </w:tc>
      </w:tr>
      <w:tr w14:paraId="5499B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1143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994E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8E7B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B142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周边管线位移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A622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暂按监测点水平间距15m～25m，具体根据管线权属单位或相关规范确定。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5BFB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737E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200.00 </w:t>
            </w:r>
          </w:p>
        </w:tc>
      </w:tr>
      <w:tr w14:paraId="6C34F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11C1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B63F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E98B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2E76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周边建筑物水平/竖向位移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CC46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每个建(构)筑物的监测点不宜少于3个。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D01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508C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200.00 </w:t>
            </w:r>
          </w:p>
        </w:tc>
      </w:tr>
      <w:tr w14:paraId="30BE5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410F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5D7A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987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现场监测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576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周边地表沉降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E13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顶管段仅在顶进施工期间监测，1次/d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56C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6FF5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48.80 </w:t>
            </w:r>
          </w:p>
        </w:tc>
      </w:tr>
      <w:tr w14:paraId="609C0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8DC8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50BB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6450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4272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周边管线位移</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FCC6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65D9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A936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48.80 </w:t>
            </w:r>
          </w:p>
        </w:tc>
      </w:tr>
      <w:tr w14:paraId="24C0D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F0DE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CCA3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7D5C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6CA5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周边建筑物水平位移</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0F28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A0E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C0CD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72.22 </w:t>
            </w:r>
          </w:p>
        </w:tc>
      </w:tr>
      <w:tr w14:paraId="3C32E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B091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F0F3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05ED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0DBF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周边建筑物竖向位移</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31D8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CEE1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05F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48.80 </w:t>
            </w:r>
          </w:p>
        </w:tc>
      </w:tr>
      <w:tr w14:paraId="33500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87C69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二、地基基础检测</w:t>
            </w:r>
          </w:p>
        </w:tc>
      </w:tr>
      <w:tr w14:paraId="20BDA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A2B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AD4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工程部位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7B1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检测/监测项目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02F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检测/监测内容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3CFF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检测/监测频率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B0A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14:paraId="5E5153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综合单价限价（元）</w:t>
            </w:r>
          </w:p>
        </w:tc>
      </w:tr>
      <w:tr w14:paraId="322B2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9A7A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D150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DF78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B411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0C01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BF76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14:paraId="4A33123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r>
      <w:tr w14:paraId="24AFF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EA03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0B1F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天然地基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3473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岩土性状/地基承载力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A965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轻型动力触探试验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1AE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 200m2不少于1个孔，且总数不得少于10孔，每个独立柱基下不得少于1 孔，基槽每20延米不得少于1孔。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（根据地基岩土性状、处理土地基类型，选择标准贯入试验、轻型动力触探试验一种方法进行检测）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C76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7C87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160.00 </w:t>
            </w:r>
          </w:p>
        </w:tc>
      </w:tr>
      <w:tr w14:paraId="742AA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25C5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3A89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C7DB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B205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标准贯入试验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8598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B02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BB12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400.00 </w:t>
            </w:r>
          </w:p>
        </w:tc>
      </w:tr>
      <w:tr w14:paraId="28563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2E29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8548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A04E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9487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平板载荷试验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（最大加载值≤500kN）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C2D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500m2不少于1个点，且总数不得少于3点。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CF93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E76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6,246.40 </w:t>
            </w:r>
          </w:p>
        </w:tc>
      </w:tr>
      <w:tr w14:paraId="56573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70E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DC7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处理地基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563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地基处理效果/地基承载力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0ED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平板载荷试验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（最大加载值≤500kN）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55A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500m2不少于1个点，且总数不得少于3点。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4C7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1E41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6,246.40 </w:t>
            </w:r>
          </w:p>
        </w:tc>
      </w:tr>
      <w:tr w14:paraId="4581A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FC01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8336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9486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5917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轻型动力触探试验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3A77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 200m2不少于1个孔，且总数不得少于10孔，每个独立柱基下不得少于1 孔，基槽每 20 延米不得少于1孔。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（根据处理土地基类型，选择一种方法进行检测）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93E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45AC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160.00 </w:t>
            </w:r>
          </w:p>
        </w:tc>
      </w:tr>
      <w:tr w14:paraId="658D9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4168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046D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6A16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6747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标准贯入试验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BC2E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124B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252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400.00 </w:t>
            </w:r>
          </w:p>
        </w:tc>
      </w:tr>
      <w:tr w14:paraId="58AA6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14DE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AB2F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B81C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989E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重型动力触探试验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29F5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418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1D07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280.00 </w:t>
            </w:r>
          </w:p>
        </w:tc>
      </w:tr>
      <w:tr w14:paraId="4A7AC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9B0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B5E7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复合地基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84E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高压旋喷桩/水泥搅拌桩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912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钻芯法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774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不少于总桩（墩）数的0.5%，且不得少于3根。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10E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孔•米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797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224.00 </w:t>
            </w:r>
          </w:p>
        </w:tc>
      </w:tr>
      <w:tr w14:paraId="732D1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ED07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30BA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CAC3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662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单桩竖向抗压静载试验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（最大加载值≤500kN）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F3E6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不少于总桩（墩）数的0.5%，且不得少于3根。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63D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ADD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6,246.40 </w:t>
            </w:r>
          </w:p>
        </w:tc>
      </w:tr>
      <w:tr w14:paraId="46B35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6D5F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F194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3E5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预制方桩/预制管桩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0224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低应变法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A1DB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不少于总桩数的10%，且不得少于10根。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4D42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349D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240.00 </w:t>
            </w:r>
          </w:p>
        </w:tc>
      </w:tr>
      <w:tr w14:paraId="58633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CF55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6C67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E767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25C2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单桩竖向抗压静载荷试验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（最大加载值≤500kN）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EF2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不少于总桩（墩）数的0.5%，且不得少于3根。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8D8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4DD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6,246.40 </w:t>
            </w:r>
          </w:p>
        </w:tc>
      </w:tr>
      <w:tr w14:paraId="30AD7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695E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7CA9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989B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地基承载力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CE7A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平板载荷试验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（最大加载值≤500kN）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A987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不少于总桩（墩）数的0.5%，且不得少于3点。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0F8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5F3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6,246.40 </w:t>
            </w:r>
          </w:p>
        </w:tc>
      </w:tr>
      <w:tr w14:paraId="755B7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8D0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D48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桩基础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094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预制方桩/预制管桩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B96C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低应变法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175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不少于总桩数的20%，且每个柱下承台不得少于1根。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A9E1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094A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240.00 </w:t>
            </w:r>
          </w:p>
        </w:tc>
      </w:tr>
      <w:tr w14:paraId="1C6FC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E487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E7B7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7720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18F0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单桩静载试验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（最大加载值≤500kN）</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E01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不少于单位工程桩总数的1%，且不少于3根；当单位工程桩总数在50根以内时，不少于2根。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FEEE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D16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6,246.40 </w:t>
            </w:r>
          </w:p>
        </w:tc>
      </w:tr>
      <w:tr w14:paraId="18431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7444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9363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97EF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1AE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单桩静载试验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（最大加载值≤1000kN）</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084D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2F90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EF0B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9,760.00 </w:t>
            </w:r>
          </w:p>
        </w:tc>
      </w:tr>
      <w:tr w14:paraId="2A72A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80A1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E19A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58F0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5A7B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单桩静载试验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（最大加载值≤3000kN）</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EDE4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3F0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3850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14,640.00 </w:t>
            </w:r>
          </w:p>
        </w:tc>
      </w:tr>
      <w:tr w14:paraId="0589C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7D4B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9E44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98FC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D7C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单桩静载试验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（最大加载值≤5000kN）</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F28B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D7AF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226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24,400.00 </w:t>
            </w:r>
          </w:p>
        </w:tc>
      </w:tr>
      <w:tr w14:paraId="03919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0811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2D51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D06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070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高应变法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472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不少于总桩数的5%，且不得少于10根。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99CB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EF76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3,600.00 </w:t>
            </w:r>
          </w:p>
        </w:tc>
      </w:tr>
      <w:tr w14:paraId="4473E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C4F4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0289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7284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8EB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单桩静载试验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2B5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不少于总桩数的0.5%，且不得少于3根；当总桩数小于50根时，不得少于2根。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9B04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5C79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9,760.00 </w:t>
            </w:r>
          </w:p>
        </w:tc>
      </w:tr>
      <w:tr w14:paraId="3031C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CC10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984E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6DF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混凝土灌注桩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224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低应变法</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C09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1、可采用低应变、钻芯、声波透射法3种检测，总数不少于相应桩总数的20%且不少于10根。直径小于800mm的三种方法首选低应变。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（设计等级为甲级、地质条件复杂、施工工艺导致施工质量可靠性低的桩基工程、采用新桩型或新工艺的桩基工程，抽检桩数不应少于总桩数的30％，且不得少于20根）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2、每个柱下承台抽检桩数不应少于1根。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3、对于直径大于等于800mm的端承型混凝土灌注桩，除采用低应变法外，应按不少于总桩数10%的比例采用钻芯法或钻芯法和声波透射法进行检测。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3380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95D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400.00 </w:t>
            </w:r>
          </w:p>
        </w:tc>
      </w:tr>
      <w:tr w14:paraId="2A9CF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B1AE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2BCD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DFDB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D79B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钻芯法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8462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A40B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孔•米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68F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320.00 </w:t>
            </w:r>
          </w:p>
        </w:tc>
      </w:tr>
      <w:tr w14:paraId="6C8AC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15F6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2367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5FC4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B1A5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声波透射法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90A6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2F9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9697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24.00 </w:t>
            </w:r>
          </w:p>
        </w:tc>
      </w:tr>
      <w:tr w14:paraId="68393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608C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1967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7C57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CC7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单桩静载试验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（最大加载值≤3000kN）</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EA08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不少于单位工程桩总数的1%，且不少于3根；当单位工程桩总数在50根以内时，不少于2根。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D510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709B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14,640.00 </w:t>
            </w:r>
          </w:p>
        </w:tc>
      </w:tr>
      <w:tr w14:paraId="405CB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C42C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4EF3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F53A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FB69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单桩静载试验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（最大加载值≤5000kN）</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C16D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9143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5B96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24,400.00 </w:t>
            </w:r>
          </w:p>
        </w:tc>
      </w:tr>
      <w:tr w14:paraId="526FA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62CC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0979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B43A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024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单桩静载试验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（最大加载值≤10000kN）</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B8A5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53E0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C3E3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39,040.00 </w:t>
            </w:r>
          </w:p>
        </w:tc>
      </w:tr>
      <w:tr w14:paraId="0450B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403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C91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支护工程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AFDD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高压旋喷桩/水泥搅拌桩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B55A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桩身强度（钻芯法）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1B9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不宜少于总桩数的1%，且不得少于3根。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3F8F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孔•米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08BF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224.00 </w:t>
            </w:r>
          </w:p>
        </w:tc>
      </w:tr>
      <w:tr w14:paraId="392FD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27A2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4DCA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AD54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混凝土灌注桩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BA89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桩身完整性（低应变法）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8504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不少于总桩数的20%，且不少于5根。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471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B64D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400.00 </w:t>
            </w:r>
          </w:p>
        </w:tc>
      </w:tr>
      <w:tr w14:paraId="7E01F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4A85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84CA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F95C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型钢水泥土搅拌桩（SMW）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99DB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桩身强度（钻芯法）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606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不应少于总桩数的2%,且不得少于3根。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A9BC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孔•米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DC9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320.00 </w:t>
            </w:r>
          </w:p>
        </w:tc>
      </w:tr>
      <w:tr w14:paraId="50646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D5C53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三、结构实体检测</w:t>
            </w:r>
          </w:p>
        </w:tc>
      </w:tr>
      <w:tr w14:paraId="232BA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7D4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15D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工程部位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CAA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检测/监测项目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6CF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检测/监测内容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EAE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检测/监测频率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0E4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14:paraId="7FA421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综合单价限价（元）</w:t>
            </w:r>
          </w:p>
        </w:tc>
      </w:tr>
      <w:tr w14:paraId="15B79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EBD2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1D35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C25E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08E1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A6F2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7234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14:paraId="517D087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r>
      <w:tr w14:paraId="6F3BF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27D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D914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给水管道工程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463D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现场焊缝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A884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超声波探伤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9E23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DN800mm 及以上口径焊缝：需按每条焊缝的5-10%进行X光检测以及每条焊缝的5-10%进行超声波检测（包含必检的T字缝及底部焊缝）；若建成区内不具备条件进行X光检测的，只采用超声波检测并将检测提高至每条焊缝的100%。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DN400-DN800口径焊缝：需按每条焊缝的20%进行超声波检测（包含必检的T字缝及底部焊缝）。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DN300及以下口径焊缝：需按每条焊缝的10%进行超声波检测（包含必检的T字缝及底部焊缝）。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9AD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C1A8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120.00 </w:t>
            </w:r>
          </w:p>
        </w:tc>
      </w:tr>
      <w:tr w14:paraId="2F609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39E5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1116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5324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1C4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X射线</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D538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ED4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CE1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160.00 </w:t>
            </w:r>
          </w:p>
        </w:tc>
      </w:tr>
      <w:tr w14:paraId="681EF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9FD5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C93A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749E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现场焊缝防腐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799C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涂层厚度（内外防腐）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0389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按构件数抽查10%，且同类构件不应少于3件，每个构件检测5处。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546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3597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200.00 </w:t>
            </w:r>
          </w:p>
        </w:tc>
      </w:tr>
      <w:tr w14:paraId="22F5F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FD13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3461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2726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管道功能性试验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（有压管道）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980C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水压试验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6722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全管长的100%检测（与施工单位的水压试验为同一试验，现场试验时，施工单位通知监测单位到场配合，由检测单位出具相关检测报告）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A5C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968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r>
      <w:tr w14:paraId="27AC0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365E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18A9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525D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管道回填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461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压实度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8B77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每1000m2每层每侧一组，每组3点。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28BB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9DC6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120.00 </w:t>
            </w:r>
          </w:p>
        </w:tc>
      </w:tr>
      <w:tr w14:paraId="6788E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1A65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FF94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0462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管道垫层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890B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压实度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1442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每100米每层一组，每组3点。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7A3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751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120.00 </w:t>
            </w:r>
          </w:p>
        </w:tc>
      </w:tr>
      <w:tr w14:paraId="1AD5A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0859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3164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A23C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原有管道预处理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F5C6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电视检测(CCTV)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D793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D6A7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07A4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54.40 </w:t>
            </w:r>
          </w:p>
        </w:tc>
      </w:tr>
      <w:tr w14:paraId="70A9C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3EDB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4A1C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839B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内衬修复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9E3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电视检测(CCTV)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63CD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798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9C24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54.40 </w:t>
            </w:r>
          </w:p>
        </w:tc>
      </w:tr>
      <w:tr w14:paraId="7C325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7DB15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四、路基路面检测</w:t>
            </w:r>
          </w:p>
        </w:tc>
      </w:tr>
      <w:tr w14:paraId="00C1C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CAB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899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工程部位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389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检测/监测项目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202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检测/监测内容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C654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检测/监测频率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298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14:paraId="60DFF8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综合单价限价（元）</w:t>
            </w:r>
          </w:p>
        </w:tc>
      </w:tr>
      <w:tr w14:paraId="5A7F9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DAAE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DFD7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E343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2B62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C54F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8201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14:paraId="1C7037C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r>
      <w:tr w14:paraId="20736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120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18C9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道路工程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D3A1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路基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73A2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压实度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F005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每1000m²、每层测3点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3B3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2696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120.00 </w:t>
            </w:r>
          </w:p>
        </w:tc>
      </w:tr>
      <w:tr w14:paraId="0F41A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BBA3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3334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192B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B5C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弯沉值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852D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每车道、每20m测1点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8B24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8F55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44.80 </w:t>
            </w:r>
          </w:p>
        </w:tc>
      </w:tr>
      <w:tr w14:paraId="6C852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1258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8088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254F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331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回弹模量（土基）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C723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每路段暂定1处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2819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357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800.00 </w:t>
            </w:r>
          </w:p>
        </w:tc>
      </w:tr>
      <w:tr w14:paraId="22D2D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7035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0DD9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BFB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路面基层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（水泥稳定土类基层）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A832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压实度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182F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每1000m²、每层测1点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CA9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D849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120.00 </w:t>
            </w:r>
          </w:p>
        </w:tc>
      </w:tr>
      <w:tr w14:paraId="26982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7E87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A8A7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F7F9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3119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7d无侧限抗压强度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6D12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每2000m²抽检1组（6块）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52A7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737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240.00 </w:t>
            </w:r>
          </w:p>
        </w:tc>
      </w:tr>
      <w:tr w14:paraId="7C5DE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2BEF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FFE2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29F4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631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厚度（钻芯法）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AF0E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每200米测2点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D7A8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EEF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400.00 </w:t>
            </w:r>
          </w:p>
        </w:tc>
      </w:tr>
      <w:tr w14:paraId="66F4A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A3F2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0534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B9DF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（混凝土刚性基层）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E4C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弯拉强度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05CF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每100m3的同配合比的混凝土，取样1次；不足100m3时按1次计。每次取样应至少留置1组标准养护试件。同条件养护试件的留置组数应根据实际需要确定，最少1组。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CD12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F4D9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 </w:t>
            </w:r>
          </w:p>
        </w:tc>
      </w:tr>
      <w:tr w14:paraId="7F143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55DE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B7C5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A04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路面面层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（水泥混凝土）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9394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厚度（钻芯法）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E39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每1000m²测1点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2FC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DB05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400.00 </w:t>
            </w:r>
          </w:p>
        </w:tc>
      </w:tr>
      <w:tr w14:paraId="1F442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E1CB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DF8A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A36D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43F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弯拉强度（钻芯及劈裂试验）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F45F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每100m³的同配合比的混凝土，取样1次；不足100m³时按1次计。每次取样应至少留置1组标准养护试件。同条件养护试件的留置组数应根据实际需要确定，最少1组。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7D0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814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 </w:t>
            </w:r>
          </w:p>
        </w:tc>
      </w:tr>
      <w:tr w14:paraId="6375B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05B5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612B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F3C4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A5B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抗滑构造深度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0F23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每1000m²测1点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923B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BBD7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 </w:t>
            </w:r>
          </w:p>
        </w:tc>
      </w:tr>
      <w:tr w14:paraId="12C32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75DB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0480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CDFA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DF81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平整度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6671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每20m测1点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3F50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8279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24.00 </w:t>
            </w:r>
          </w:p>
        </w:tc>
      </w:tr>
      <w:tr w14:paraId="54646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16FC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3056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7E5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路面面层（沥青）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E52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压实度、厚度检测（含钻芯）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E927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每1000m²测1点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2F9F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38D5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400.00 </w:t>
            </w:r>
          </w:p>
        </w:tc>
      </w:tr>
      <w:tr w14:paraId="14A23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221B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C537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F7D9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0E05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面层弯沉值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DFE9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每车道、每20m测1点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C32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D19A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44.80 </w:t>
            </w:r>
          </w:p>
        </w:tc>
      </w:tr>
      <w:tr w14:paraId="125EC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B18D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3A2E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9CAD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60D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平整度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48A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每20m，路宽&lt;9m测1点，9-15m测2点，&gt;15m测3点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2C3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91E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24.00 </w:t>
            </w:r>
          </w:p>
        </w:tc>
      </w:tr>
      <w:tr w14:paraId="6ED86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FAFA4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五、常规材料检测</w:t>
            </w:r>
          </w:p>
        </w:tc>
      </w:tr>
      <w:tr w14:paraId="7D7B5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6AFB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D239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工程部位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519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检测/监测项目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318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检测/监测内容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CB1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检测/监测频率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884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14:paraId="751CF3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综合单价限价（元）</w:t>
            </w:r>
          </w:p>
        </w:tc>
      </w:tr>
      <w:tr w14:paraId="005C9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BCD4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A2FA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AA35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FABA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CDD3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3BF6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14:paraId="137C89D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r>
      <w:tr w14:paraId="5B661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6F40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7C3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道路工程材料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4C4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AA83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凝结时间、安定性（沸煮法）、胶砂强度、氯离子</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536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以同一生产厂家、同一强度等级、同一品种、同一批号且连续进场的水泥，袋装不超过200t、散装500t为一批，每批抽样不少于一次。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6C7F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0FD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720.00 </w:t>
            </w:r>
          </w:p>
        </w:tc>
      </w:tr>
      <w:tr w14:paraId="14AC1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03AA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2A5B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1FCA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水泥（水泥土桩用）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989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凝结时间、安定性（沸煮法）、胶砂强度、标准稠度用水量、细度、密度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563D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7C12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515D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800.00 </w:t>
            </w:r>
          </w:p>
        </w:tc>
      </w:tr>
      <w:tr w14:paraId="02EBD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3619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60BB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6B37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F9B4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屈服强度、抗拉强度、断后伸长率、弯曲、重量偏差、反向弯曲</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D18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同一厂家、同一类型、同一钢筋来源的成型钢筋，不超过30t为一批，每批中每种钢筋牌号、规格均应至少抽取1个钢筋试件，总数不应少于3个。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C51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CAC8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224.00 </w:t>
            </w:r>
          </w:p>
        </w:tc>
      </w:tr>
      <w:tr w14:paraId="1927C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82A2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A671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ADF6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钢筋（热轧光圆钢筋）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029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屈服强度、抗拉强度、断后伸长率、弯曲、重量偏差</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9AF0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4493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FB3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160.00 </w:t>
            </w:r>
          </w:p>
        </w:tc>
      </w:tr>
      <w:tr w14:paraId="17362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FEEE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F457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E71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钢筋焊接接头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（电弧焊）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012D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抗拉强度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0D8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以300个同牌号钢筋接头作为一批；当不足300个接头时，仍应作为一批。每一检验批接头中随机切取三个接头进行试验。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ECD2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DED6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80.00 </w:t>
            </w:r>
          </w:p>
        </w:tc>
      </w:tr>
      <w:tr w14:paraId="0919A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ECD6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5977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50B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混凝土实心砖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（井室砌块）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580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抗压强度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200E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每15万块为一验收批，不足上述数量时按1批计，抽检数量为1组。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A0D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E17F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240.00 </w:t>
            </w:r>
          </w:p>
        </w:tc>
      </w:tr>
      <w:tr w14:paraId="4AE01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D2DA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1632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E9B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混凝土预制砌块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（道路）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B28C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抗压强度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FF9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同一品种、规格、每检验批1组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533A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D183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400.00 </w:t>
            </w:r>
          </w:p>
        </w:tc>
      </w:tr>
      <w:tr w14:paraId="7235D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3037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1420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F5FA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混凝土路缘石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484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抗压强度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125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同一品种、规格、每检验批1组（3块）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8DA8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491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240.00 </w:t>
            </w:r>
          </w:p>
        </w:tc>
      </w:tr>
      <w:tr w14:paraId="4BD41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D5BE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7D51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5DE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（顶管工作井）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71F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试块抗压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02EF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每根钻孔灌柱桩、每幅地下连续墙混凝土为一个验收批，抗压强度、抗渗试块应各留置一组；沉井及其他现浇结构的同一配合比混凝土，每工作班且每浇筑100m3为一个验收批，抗压强度试块留置不应少于l 组；每浇筑500m3 混凝土抗渗试块留置不应少于1组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229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BD00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48.00 </w:t>
            </w:r>
          </w:p>
        </w:tc>
      </w:tr>
      <w:tr w14:paraId="5930F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3487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075C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29AA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778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试块抗渗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C314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8B5C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55AB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400.00 </w:t>
            </w:r>
          </w:p>
        </w:tc>
      </w:tr>
      <w:tr w14:paraId="7325C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E132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04F0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BAD0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（井室、支墩）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9C3E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试块抗压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B529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每50m3砌体或混凝土每浇筑1个台班一组试块。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0662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CB0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48.00 </w:t>
            </w:r>
          </w:p>
        </w:tc>
      </w:tr>
      <w:tr w14:paraId="45110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57E5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8F9F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9F53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EF8F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配合比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195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同一配合比的混凝土检查不应少于一次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8B03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AE83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800.00 </w:t>
            </w:r>
          </w:p>
        </w:tc>
      </w:tr>
      <w:tr w14:paraId="03719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E495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4297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5F7A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沥青混合料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5EDC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马歇尔试验配合比</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AF1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每日、每品种检测一次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6E62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22E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8,000.00 </w:t>
            </w:r>
          </w:p>
        </w:tc>
      </w:tr>
      <w:tr w14:paraId="33E0E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EA9D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0739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A092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129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沥青含量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1210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BDC9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11B4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640.00 </w:t>
            </w:r>
          </w:p>
        </w:tc>
      </w:tr>
      <w:tr w14:paraId="5727D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0147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8EC8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E39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砂浆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（井室）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1E2F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试块抗压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B859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每50m3砌体或混凝土每浇筑1个台班一组试块。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B9A6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1914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400.00 </w:t>
            </w:r>
          </w:p>
        </w:tc>
      </w:tr>
      <w:tr w14:paraId="031C0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81C0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030E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969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砂浆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（人行道）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5B3E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试块抗压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AFB5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同一配合比，每1000m2取1组(6块)，不足1000m2取1组。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9746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8B8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400.00 </w:t>
            </w:r>
          </w:p>
        </w:tc>
      </w:tr>
      <w:tr w14:paraId="6AF8F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1A3B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C2E2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20C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粉煤灰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39C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细度、烧失量、需水量比、三氧化硫含量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0F56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每500t为一个检验批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2C43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BA3F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760.00 </w:t>
            </w:r>
          </w:p>
        </w:tc>
      </w:tr>
      <w:tr w14:paraId="49FC1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4D36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E878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300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人工砂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（机制砂/石屑）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7A76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筛分析、石粉含量（含亚甲蓝试验）、氯离子含量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4E03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按同产地、同品种、规格、且连续进场的集料，每400m³或600t为一批，不足400m³或600t按一批计，每批抽检1次。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A221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EBB5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920.00 </w:t>
            </w:r>
          </w:p>
        </w:tc>
      </w:tr>
      <w:tr w14:paraId="17F28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163B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503C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15A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外加剂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19C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PH值、密度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61B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每50t为一个检验批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BEBA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1B14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160.00 </w:t>
            </w:r>
          </w:p>
        </w:tc>
      </w:tr>
      <w:tr w14:paraId="5358B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4845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DF3A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A20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外加剂（减水剂）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F733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减水率</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04AD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73E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6950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160.00 </w:t>
            </w:r>
          </w:p>
        </w:tc>
      </w:tr>
      <w:tr w14:paraId="3770E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F0F4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6ADD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7679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外加剂（早强剂）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AFA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氯离子、抗压强度比</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CCC5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25A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8D3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880.00 </w:t>
            </w:r>
          </w:p>
        </w:tc>
      </w:tr>
      <w:tr w14:paraId="418D2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BB60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0E32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A5CE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外加剂（缓凝剂）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2C8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混凝土凝结时间</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2EC2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FBE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BCB3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160.00 </w:t>
            </w:r>
          </w:p>
        </w:tc>
      </w:tr>
      <w:tr w14:paraId="0408E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AC9E6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六、甲供管材复验检测</w:t>
            </w:r>
          </w:p>
        </w:tc>
      </w:tr>
      <w:tr w14:paraId="28F23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EDE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35F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工程部位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FD20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检测/监测项目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B5A7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检测/监测内容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D50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检测/监测频率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2161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14:paraId="3DFA63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综合单价限价（元）</w:t>
            </w:r>
          </w:p>
        </w:tc>
      </w:tr>
      <w:tr w14:paraId="1D73A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A01E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0231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A284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D51E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7269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8B65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14:paraId="0099F7C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auto"/>
                <w:sz w:val="20"/>
                <w:szCs w:val="20"/>
                <w:highlight w:val="none"/>
                <w:u w:val="none"/>
              </w:rPr>
            </w:pPr>
          </w:p>
        </w:tc>
      </w:tr>
      <w:tr w14:paraId="50524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352B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3B69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管网及配件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2EF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球墨铸铁管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1D57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布氏硬度、拉伸性能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3BB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DN40~DN300，每200条抽1条检测。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DN350~DN600，每100条抽1条检测。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DN700~DN1000管，每50条抽1条检测。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DN1100~DN3000检测，每25条抽1条检测。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5073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AB16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280.00 </w:t>
            </w:r>
          </w:p>
        </w:tc>
      </w:tr>
      <w:tr w14:paraId="30B35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3ADC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E0F1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CE5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3EB3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屈服强度、抗拉强度、断后伸长率、弯曲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6A12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同一牌号，同一炉号，同一规格，同一焊接工艺，统一热处理制度，≤60t为一批，每批在两根钢管上各取一个试样进行拉伸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08C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C971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400.00 </w:t>
            </w:r>
          </w:p>
        </w:tc>
      </w:tr>
      <w:tr w14:paraId="0E130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AE34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6E21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720C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F419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涂层厚度（内外防腐）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FE3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每20根1组(不足20根按1组)，每组抽查1根。测管两端和中间共3个截面，每截面测互相垂直的4点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C58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5BE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200.00 </w:t>
            </w:r>
          </w:p>
        </w:tc>
      </w:tr>
      <w:tr w14:paraId="25E66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0029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984A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44A3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C2B0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X射线（四张）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34E6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相同规格管格每批重量不大于60t抽检一条管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5EF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3414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160.00 </w:t>
            </w:r>
          </w:p>
        </w:tc>
      </w:tr>
      <w:tr w14:paraId="5554E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EBC2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0206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FC66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钢塑复合管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B3D7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静液压强度、受压开裂稳定性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7953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Style w:val="53"/>
                <w:color w:val="auto"/>
                <w:highlight w:val="none"/>
                <w:lang w:val="en-US" w:eastAsia="zh-CN" w:bidi="ar"/>
              </w:rPr>
              <w:t>同一原材、配方和工艺连续生产的同一规格复合管作为一批，每批数量不超过</w:t>
            </w:r>
            <w:r>
              <w:rPr>
                <w:rStyle w:val="54"/>
                <w:rFonts w:eastAsia="宋体"/>
                <w:color w:val="auto"/>
                <w:highlight w:val="none"/>
                <w:lang w:val="en-US" w:eastAsia="zh-CN" w:bidi="ar"/>
              </w:rPr>
              <w:t>30km</w:t>
            </w:r>
            <w:r>
              <w:rPr>
                <w:rStyle w:val="53"/>
                <w:color w:val="auto"/>
                <w:highlight w:val="none"/>
                <w:lang w:val="en-US" w:eastAsia="zh-CN" w:bidi="ar"/>
              </w:rPr>
              <w:t>，生产期</w:t>
            </w:r>
            <w:r>
              <w:rPr>
                <w:rStyle w:val="54"/>
                <w:rFonts w:eastAsia="宋体"/>
                <w:color w:val="auto"/>
                <w:highlight w:val="none"/>
                <w:lang w:val="en-US" w:eastAsia="zh-CN" w:bidi="ar"/>
              </w:rPr>
              <w:t>6d</w:t>
            </w:r>
            <w:r>
              <w:rPr>
                <w:rStyle w:val="53"/>
                <w:color w:val="auto"/>
                <w:highlight w:val="none"/>
                <w:lang w:val="en-US" w:eastAsia="zh-CN" w:bidi="ar"/>
              </w:rPr>
              <w:t>尚不足</w:t>
            </w:r>
            <w:r>
              <w:rPr>
                <w:rStyle w:val="54"/>
                <w:rFonts w:eastAsia="宋体"/>
                <w:color w:val="auto"/>
                <w:highlight w:val="none"/>
                <w:lang w:val="en-US" w:eastAsia="zh-CN" w:bidi="ar"/>
              </w:rPr>
              <w:t>30km</w:t>
            </w:r>
            <w:r>
              <w:rPr>
                <w:rStyle w:val="53"/>
                <w:color w:val="auto"/>
                <w:highlight w:val="none"/>
                <w:lang w:val="en-US" w:eastAsia="zh-CN" w:bidi="ar"/>
              </w:rPr>
              <w:t>，则以</w:t>
            </w:r>
            <w:r>
              <w:rPr>
                <w:rStyle w:val="54"/>
                <w:rFonts w:eastAsia="宋体"/>
                <w:color w:val="auto"/>
                <w:highlight w:val="none"/>
                <w:lang w:val="en-US" w:eastAsia="zh-CN" w:bidi="ar"/>
              </w:rPr>
              <w:t>6d</w:t>
            </w:r>
            <w:r>
              <w:rPr>
                <w:rStyle w:val="53"/>
                <w:color w:val="auto"/>
                <w:highlight w:val="none"/>
                <w:lang w:val="en-US" w:eastAsia="zh-CN" w:bidi="ar"/>
              </w:rPr>
              <w:t>产量为一批。随机抽取</w:t>
            </w:r>
            <w:r>
              <w:rPr>
                <w:rStyle w:val="54"/>
                <w:rFonts w:eastAsia="宋体"/>
                <w:color w:val="auto"/>
                <w:highlight w:val="none"/>
                <w:lang w:val="en-US" w:eastAsia="zh-CN" w:bidi="ar"/>
              </w:rPr>
              <w:t>8</w:t>
            </w:r>
            <w:r>
              <w:rPr>
                <w:rStyle w:val="53"/>
                <w:color w:val="auto"/>
                <w:highlight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25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547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800.00 </w:t>
            </w:r>
          </w:p>
        </w:tc>
      </w:tr>
      <w:tr w14:paraId="39911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F871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5BE0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92A7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阀门类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DF7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壳体强度试验、密封试验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0CE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按一次进货的同一厂家、规格，公称口径，每100个为一批，每批次检测1个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442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D88B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640.00 </w:t>
            </w:r>
          </w:p>
        </w:tc>
      </w:tr>
      <w:tr w14:paraId="3C451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450B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AA09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560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井盖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AD5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承载力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028D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抽取2套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1EC4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682B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720.00 </w:t>
            </w:r>
          </w:p>
        </w:tc>
      </w:tr>
      <w:tr w14:paraId="60833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4191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sz w:val="21"/>
                <w:szCs w:val="21"/>
                <w:highlight w:val="none"/>
                <w:u w:val="none"/>
                <w:lang w:eastAsia="zh-CN"/>
              </w:rPr>
              <w:t>投标下浮率（</w:t>
            </w:r>
            <w:r>
              <w:rPr>
                <w:rFonts w:hint="eastAsia" w:ascii="宋体" w:hAnsi="宋体" w:eastAsia="宋体" w:cs="宋体"/>
                <w:b/>
                <w:bCs/>
                <w:i w:val="0"/>
                <w:iCs w:val="0"/>
                <w:color w:val="auto"/>
                <w:sz w:val="21"/>
                <w:szCs w:val="21"/>
                <w:highlight w:val="none"/>
                <w:u w:val="none"/>
                <w:lang w:val="en-US" w:eastAsia="zh-CN"/>
              </w:rPr>
              <w:t>%</w:t>
            </w:r>
            <w:r>
              <w:rPr>
                <w:rFonts w:hint="eastAsia" w:ascii="宋体" w:hAnsi="宋体" w:eastAsia="宋体" w:cs="宋体"/>
                <w:b/>
                <w:bCs/>
                <w:i w:val="0"/>
                <w:iCs w:val="0"/>
                <w:color w:val="auto"/>
                <w:sz w:val="21"/>
                <w:szCs w:val="21"/>
                <w:highlight w:val="none"/>
                <w:u w:val="none"/>
                <w:lang w:eastAsia="zh-CN"/>
              </w:rPr>
              <w:t>）</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7BF6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bl>
    <w:p w14:paraId="6F7D0C78">
      <w:pPr>
        <w:rPr>
          <w:rFonts w:hint="eastAsia" w:cs="宋体"/>
          <w:color w:val="auto"/>
          <w:sz w:val="28"/>
          <w:szCs w:val="24"/>
          <w:highlight w:val="none"/>
          <w:lang w:val="en-US" w:eastAsia="zh-CN"/>
        </w:rPr>
      </w:pPr>
    </w:p>
    <w:p w14:paraId="7A7E5FCE">
      <w:pPr>
        <w:pStyle w:val="7"/>
        <w:jc w:val="both"/>
        <w:outlineLvl w:val="1"/>
        <w:rPr>
          <w:rFonts w:hint="eastAsia" w:cs="宋体"/>
          <w:color w:val="auto"/>
          <w:sz w:val="28"/>
          <w:szCs w:val="24"/>
          <w:highlight w:val="none"/>
          <w:lang w:val="en-US" w:eastAsia="zh-CN"/>
        </w:rPr>
      </w:pPr>
    </w:p>
    <w:p w14:paraId="4A48FB27">
      <w:pPr>
        <w:pStyle w:val="29"/>
        <w:wordWrap w:val="0"/>
        <w:jc w:val="right"/>
        <w:rPr>
          <w:rFonts w:hint="eastAsia" w:ascii="宋体" w:hAnsi="宋体"/>
          <w:color w:val="auto"/>
          <w:sz w:val="28"/>
          <w:szCs w:val="28"/>
          <w:highlight w:val="none"/>
          <w:lang w:eastAsia="zh-CN"/>
        </w:rPr>
      </w:pPr>
      <w:r>
        <w:rPr>
          <w:rFonts w:hint="eastAsia" w:cs="宋体"/>
          <w:color w:val="auto"/>
          <w:sz w:val="28"/>
          <w:szCs w:val="24"/>
          <w:highlight w:val="none"/>
          <w:lang w:val="en-US" w:eastAsia="zh-CN"/>
        </w:rPr>
        <w:t>投标人：</w:t>
      </w:r>
      <w:r>
        <w:rPr>
          <w:rFonts w:hint="eastAsia" w:ascii="宋体" w:hAnsi="宋体"/>
          <w:color w:val="auto"/>
          <w:sz w:val="28"/>
          <w:szCs w:val="28"/>
          <w:highlight w:val="none"/>
        </w:rPr>
        <w:t>（盖单位章）</w:t>
      </w:r>
      <w:r>
        <w:rPr>
          <w:rFonts w:hint="eastAsia" w:ascii="宋体" w:hAnsi="宋体"/>
          <w:color w:val="auto"/>
          <w:sz w:val="28"/>
          <w:szCs w:val="28"/>
          <w:highlight w:val="none"/>
        </w:rPr>
        <w:tab/>
      </w:r>
    </w:p>
    <w:p w14:paraId="0398FEF3">
      <w:pPr>
        <w:pStyle w:val="29"/>
        <w:wordWrap w:val="0"/>
        <w:jc w:val="right"/>
        <w:rPr>
          <w:rFonts w:hint="default" w:eastAsia="宋体"/>
          <w:color w:val="auto"/>
          <w:highlight w:val="none"/>
          <w:lang w:val="en-US" w:eastAsia="zh-CN"/>
        </w:rPr>
      </w:pPr>
      <w:r>
        <w:rPr>
          <w:rFonts w:hint="eastAsia" w:ascii="宋体" w:hAnsi="宋体"/>
          <w:color w:val="auto"/>
          <w:sz w:val="28"/>
          <w:szCs w:val="28"/>
          <w:highlight w:val="none"/>
          <w:lang w:eastAsia="zh-CN"/>
        </w:rPr>
        <w:t>年</w:t>
      </w:r>
      <w:r>
        <w:rPr>
          <w:rFonts w:hint="eastAsia" w:ascii="宋体" w:hAnsi="宋体"/>
          <w:color w:val="auto"/>
          <w:sz w:val="28"/>
          <w:szCs w:val="28"/>
          <w:highlight w:val="none"/>
          <w:lang w:val="en-US" w:eastAsia="zh-CN"/>
        </w:rPr>
        <w:t xml:space="preserve">   月   日</w:t>
      </w:r>
    </w:p>
    <w:p w14:paraId="296602E3">
      <w:pPr>
        <w:pStyle w:val="7"/>
        <w:wordWrap w:val="0"/>
        <w:jc w:val="right"/>
        <w:outlineLvl w:val="1"/>
        <w:rPr>
          <w:rFonts w:hint="eastAsia" w:cs="宋体"/>
          <w:color w:val="auto"/>
          <w:sz w:val="28"/>
          <w:szCs w:val="24"/>
          <w:highlight w:val="none"/>
          <w:lang w:val="en-US" w:eastAsia="zh-CN"/>
        </w:rPr>
      </w:pPr>
      <w:r>
        <w:rPr>
          <w:rFonts w:hint="eastAsia" w:cs="宋体"/>
          <w:color w:val="auto"/>
          <w:sz w:val="28"/>
          <w:szCs w:val="24"/>
          <w:highlight w:val="none"/>
          <w:lang w:val="en-US" w:eastAsia="zh-CN"/>
        </w:rPr>
        <w:t xml:space="preserve">       </w:t>
      </w:r>
    </w:p>
    <w:p w14:paraId="19F6077E">
      <w:pPr>
        <w:pStyle w:val="7"/>
        <w:wordWrap/>
        <w:jc w:val="right"/>
        <w:outlineLvl w:val="1"/>
        <w:rPr>
          <w:rFonts w:hint="default" w:cs="宋体"/>
          <w:color w:val="auto"/>
          <w:sz w:val="28"/>
          <w:szCs w:val="24"/>
          <w:highlight w:val="none"/>
          <w:lang w:val="en-US" w:eastAsia="zh-CN"/>
        </w:rPr>
        <w:sectPr>
          <w:pgSz w:w="11905" w:h="16838"/>
          <w:pgMar w:top="1417" w:right="1417" w:bottom="1417" w:left="1417" w:header="992" w:footer="992" w:gutter="0"/>
          <w:lnNumType w:countBy="0" w:distance="360"/>
          <w:pgNumType w:fmt="decimal"/>
          <w:cols w:space="0" w:num="1"/>
          <w:rtlGutter w:val="0"/>
          <w:docGrid w:linePitch="0" w:charSpace="0"/>
        </w:sectPr>
      </w:pPr>
    </w:p>
    <w:p w14:paraId="2866333B">
      <w:pPr>
        <w:pStyle w:val="7"/>
        <w:jc w:val="center"/>
        <w:outlineLvl w:val="1"/>
        <w:rPr>
          <w:rFonts w:hint="default" w:ascii="宋体" w:hAnsi="宋体" w:eastAsia="宋体" w:cs="宋体"/>
          <w:color w:val="auto"/>
          <w:sz w:val="28"/>
          <w:szCs w:val="24"/>
          <w:highlight w:val="none"/>
          <w:lang w:val="en-US" w:eastAsia="zh-CN"/>
        </w:rPr>
      </w:pPr>
      <w:r>
        <w:rPr>
          <w:rFonts w:hint="eastAsia" w:cs="宋体"/>
          <w:color w:val="auto"/>
          <w:sz w:val="28"/>
          <w:szCs w:val="24"/>
          <w:highlight w:val="none"/>
          <w:lang w:val="en-US" w:eastAsia="zh-CN"/>
        </w:rPr>
        <w:t>七、服务方案</w:t>
      </w:r>
    </w:p>
    <w:p w14:paraId="4C4941A2">
      <w:pPr>
        <w:spacing w:line="240" w:lineRule="exact"/>
        <w:ind w:left="840" w:leftChars="0" w:hanging="840" w:hangingChars="400"/>
        <w:jc w:val="both"/>
        <w:rPr>
          <w:rFonts w:ascii="宋体" w:hAnsi="宋体"/>
          <w:color w:val="auto"/>
          <w:sz w:val="21"/>
          <w:highlight w:val="none"/>
        </w:rPr>
      </w:pPr>
      <w:r>
        <w:rPr>
          <w:rFonts w:ascii="宋体" w:hAnsi="宋体"/>
          <w:color w:val="auto"/>
          <w:sz w:val="21"/>
          <w:highlight w:val="none"/>
        </w:rPr>
        <w:t>应</w:t>
      </w:r>
      <w:r>
        <w:rPr>
          <w:rFonts w:ascii="宋体" w:hAnsi="宋体"/>
          <w:b w:val="0"/>
          <w:bCs w:val="0"/>
          <w:color w:val="auto"/>
          <w:sz w:val="21"/>
          <w:highlight w:val="none"/>
        </w:rPr>
        <w:t>包括（但不限于）</w:t>
      </w:r>
      <w:r>
        <w:rPr>
          <w:rFonts w:ascii="宋体" w:hAnsi="宋体"/>
          <w:color w:val="auto"/>
          <w:sz w:val="21"/>
          <w:highlight w:val="none"/>
        </w:rPr>
        <w:t>下列内容：</w:t>
      </w:r>
    </w:p>
    <w:p w14:paraId="7679F97D">
      <w:pPr>
        <w:spacing w:line="168" w:lineRule="exact"/>
        <w:ind w:left="960" w:leftChars="0" w:hanging="960" w:hangingChars="400"/>
        <w:jc w:val="both"/>
        <w:rPr>
          <w:rFonts w:eastAsia="Times New Roman"/>
          <w:color w:val="auto"/>
          <w:highlight w:val="none"/>
        </w:rPr>
      </w:pPr>
    </w:p>
    <w:p w14:paraId="3BB1C26A">
      <w:pPr>
        <w:spacing w:line="240" w:lineRule="exact"/>
        <w:ind w:left="840" w:leftChars="0" w:hanging="840" w:hangingChars="400"/>
        <w:jc w:val="both"/>
        <w:rPr>
          <w:rFonts w:hint="eastAsia" w:ascii="宋体" w:hAnsi="宋体"/>
          <w:color w:val="auto"/>
          <w:sz w:val="21"/>
          <w:highlight w:val="none"/>
        </w:rPr>
      </w:pPr>
      <w:r>
        <w:rPr>
          <w:rFonts w:hint="eastAsia" w:ascii="宋体" w:hAnsi="宋体"/>
          <w:color w:val="auto"/>
          <w:sz w:val="21"/>
          <w:highlight w:val="none"/>
          <w:lang w:val="en-US" w:eastAsia="zh-CN"/>
        </w:rPr>
        <w:t>1</w:t>
      </w:r>
      <w:r>
        <w:rPr>
          <w:rFonts w:hint="eastAsia" w:ascii="宋体" w:hAnsi="宋体"/>
          <w:color w:val="auto"/>
          <w:sz w:val="21"/>
          <w:highlight w:val="none"/>
        </w:rPr>
        <w:t>、合同管理、信息管理、档案管理方法；</w:t>
      </w:r>
    </w:p>
    <w:p w14:paraId="395DE92F">
      <w:pPr>
        <w:spacing w:line="240" w:lineRule="exact"/>
        <w:ind w:left="840" w:leftChars="0" w:hanging="840" w:hangingChars="400"/>
        <w:jc w:val="both"/>
        <w:rPr>
          <w:rFonts w:hint="eastAsia" w:ascii="宋体" w:hAnsi="宋体"/>
          <w:color w:val="auto"/>
          <w:sz w:val="21"/>
          <w:highlight w:val="none"/>
        </w:rPr>
      </w:pPr>
      <w:r>
        <w:rPr>
          <w:rFonts w:hint="eastAsia" w:ascii="宋体" w:hAnsi="宋体"/>
          <w:color w:val="auto"/>
          <w:sz w:val="21"/>
          <w:highlight w:val="none"/>
          <w:lang w:val="en-US" w:eastAsia="zh-CN"/>
        </w:rPr>
        <w:t>2</w:t>
      </w:r>
      <w:r>
        <w:rPr>
          <w:rFonts w:hint="eastAsia" w:ascii="宋体" w:hAnsi="宋体"/>
          <w:color w:val="auto"/>
          <w:sz w:val="21"/>
          <w:highlight w:val="none"/>
        </w:rPr>
        <w:t>、检测、监测方案；</w:t>
      </w:r>
    </w:p>
    <w:p w14:paraId="606A3B08">
      <w:pPr>
        <w:spacing w:line="240" w:lineRule="exact"/>
        <w:ind w:left="840" w:leftChars="0" w:hanging="840" w:hangingChars="400"/>
        <w:jc w:val="both"/>
        <w:rPr>
          <w:rFonts w:hint="eastAsia" w:ascii="宋体" w:hAnsi="宋体"/>
          <w:color w:val="auto"/>
          <w:sz w:val="21"/>
          <w:highlight w:val="none"/>
        </w:rPr>
      </w:pPr>
      <w:r>
        <w:rPr>
          <w:rFonts w:hint="eastAsia" w:ascii="宋体" w:hAnsi="宋体"/>
          <w:color w:val="auto"/>
          <w:sz w:val="21"/>
          <w:highlight w:val="none"/>
          <w:lang w:val="en-US" w:eastAsia="zh-CN"/>
        </w:rPr>
        <w:t>3</w:t>
      </w:r>
      <w:r>
        <w:rPr>
          <w:rFonts w:hint="eastAsia" w:ascii="宋体" w:hAnsi="宋体"/>
          <w:color w:val="auto"/>
          <w:sz w:val="21"/>
          <w:highlight w:val="none"/>
        </w:rPr>
        <w:t>、对重点难点能提出针对性强的检测、监测措施</w:t>
      </w:r>
      <w:r>
        <w:rPr>
          <w:rFonts w:hint="eastAsia" w:ascii="宋体" w:hAnsi="宋体"/>
          <w:color w:val="auto"/>
          <w:sz w:val="21"/>
          <w:highlight w:val="none"/>
          <w:lang w:eastAsia="zh-CN"/>
        </w:rPr>
        <w:t>和</w:t>
      </w:r>
      <w:r>
        <w:rPr>
          <w:rFonts w:hint="eastAsia" w:ascii="宋体" w:hAnsi="宋体"/>
          <w:color w:val="auto"/>
          <w:sz w:val="21"/>
          <w:highlight w:val="none"/>
        </w:rPr>
        <w:t>方法。</w:t>
      </w:r>
    </w:p>
    <w:p w14:paraId="36D3AB69">
      <w:pPr>
        <w:pStyle w:val="11"/>
        <w:spacing w:line="240" w:lineRule="exact"/>
        <w:ind w:left="960" w:leftChars="0" w:hanging="960" w:hangingChars="400"/>
        <w:jc w:val="both"/>
        <w:rPr>
          <w:rFonts w:hint="eastAsia"/>
          <w:color w:val="auto"/>
          <w:highlight w:val="none"/>
        </w:rPr>
      </w:pPr>
    </w:p>
    <w:p w14:paraId="2C6B04F1">
      <w:pPr>
        <w:spacing w:line="240" w:lineRule="exact"/>
        <w:ind w:left="840" w:leftChars="0" w:hanging="840" w:hangingChars="400"/>
        <w:jc w:val="both"/>
        <w:rPr>
          <w:rFonts w:ascii="宋体" w:hAnsi="宋体"/>
          <w:color w:val="auto"/>
          <w:sz w:val="21"/>
          <w:highlight w:val="none"/>
        </w:rPr>
      </w:pPr>
      <w:r>
        <w:rPr>
          <w:rFonts w:hint="eastAsia" w:ascii="宋体" w:hAnsi="宋体"/>
          <w:color w:val="auto"/>
          <w:sz w:val="21"/>
          <w:highlight w:val="none"/>
        </w:rPr>
        <w:t>......</w:t>
      </w:r>
    </w:p>
    <w:p w14:paraId="4EE4A876">
      <w:pPr>
        <w:pStyle w:val="14"/>
        <w:numPr>
          <w:ilvl w:val="0"/>
          <w:numId w:val="0"/>
        </w:numPr>
        <w:kinsoku w:val="0"/>
        <w:overflowPunct w:val="0"/>
        <w:spacing w:line="360" w:lineRule="auto"/>
        <w:ind w:left="480"/>
        <w:rPr>
          <w:rFonts w:hint="eastAsia" w:ascii="宋体" w:hAnsi="宋体" w:eastAsia="宋体" w:cs="宋体"/>
          <w:color w:val="auto"/>
          <w:sz w:val="24"/>
          <w:szCs w:val="24"/>
          <w:highlight w:val="none"/>
        </w:rPr>
      </w:pPr>
    </w:p>
    <w:p w14:paraId="37D13706">
      <w:pPr>
        <w:pStyle w:val="14"/>
        <w:kinsoku w:val="0"/>
        <w:overflowPunct w:val="0"/>
        <w:spacing w:before="275" w:line="357" w:lineRule="auto"/>
        <w:ind w:left="555" w:right="3835"/>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pgNumType w:fmt="decimal"/>
          <w:cols w:space="0" w:num="1"/>
          <w:rtlGutter w:val="0"/>
          <w:docGrid w:linePitch="0" w:charSpace="0"/>
        </w:sectPr>
      </w:pPr>
    </w:p>
    <w:p w14:paraId="49A7F061">
      <w:pPr>
        <w:pStyle w:val="7"/>
        <w:numPr>
          <w:ilvl w:val="0"/>
          <w:numId w:val="0"/>
        </w:numPr>
        <w:jc w:val="center"/>
        <w:outlineLvl w:val="1"/>
        <w:rPr>
          <w:rFonts w:hint="eastAsia" w:ascii="宋体" w:hAnsi="宋体" w:eastAsia="宋体" w:cs="宋体"/>
          <w:color w:val="auto"/>
          <w:sz w:val="28"/>
          <w:szCs w:val="24"/>
          <w:highlight w:val="none"/>
        </w:rPr>
      </w:pPr>
      <w:bookmarkStart w:id="242" w:name="bookmark194"/>
      <w:bookmarkEnd w:id="242"/>
      <w:bookmarkStart w:id="243" w:name="_Toc26031"/>
      <w:r>
        <w:rPr>
          <w:rFonts w:hint="eastAsia" w:cs="宋体"/>
          <w:color w:val="auto"/>
          <w:sz w:val="28"/>
          <w:szCs w:val="24"/>
          <w:highlight w:val="none"/>
          <w:lang w:val="en-US" w:eastAsia="zh-CN"/>
        </w:rPr>
        <w:t>八、</w:t>
      </w:r>
      <w:r>
        <w:rPr>
          <w:rFonts w:hint="eastAsia" w:ascii="宋体" w:hAnsi="宋体" w:eastAsia="宋体" w:cs="宋体"/>
          <w:color w:val="auto"/>
          <w:sz w:val="28"/>
          <w:szCs w:val="24"/>
          <w:highlight w:val="none"/>
        </w:rPr>
        <w:t>其他资料</w:t>
      </w:r>
      <w:bookmarkEnd w:id="243"/>
    </w:p>
    <w:p w14:paraId="20CB1295">
      <w:pPr>
        <w:spacing w:line="360" w:lineRule="auto"/>
        <w:jc w:val="both"/>
        <w:rPr>
          <w:rFonts w:hint="eastAsia"/>
          <w:b/>
          <w:color w:val="auto"/>
          <w:sz w:val="24"/>
          <w:szCs w:val="24"/>
          <w:highlight w:val="none"/>
        </w:rPr>
      </w:pPr>
      <w:r>
        <w:rPr>
          <w:rFonts w:hint="eastAsia"/>
          <w:b/>
          <w:color w:val="auto"/>
          <w:sz w:val="24"/>
          <w:szCs w:val="24"/>
          <w:highlight w:val="none"/>
        </w:rPr>
        <w:t>（</w:t>
      </w:r>
      <w:r>
        <w:rPr>
          <w:rFonts w:hint="eastAsia"/>
          <w:b/>
          <w:color w:val="auto"/>
          <w:sz w:val="24"/>
          <w:szCs w:val="24"/>
          <w:highlight w:val="none"/>
          <w:lang w:eastAsia="zh-CN"/>
        </w:rPr>
        <w:t>一</w:t>
      </w:r>
      <w:r>
        <w:rPr>
          <w:rFonts w:hint="eastAsia"/>
          <w:b/>
          <w:color w:val="auto"/>
          <w:sz w:val="24"/>
          <w:szCs w:val="24"/>
          <w:highlight w:val="none"/>
        </w:rPr>
        <w:t>）近年完成的类似项目情况表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521"/>
      </w:tblGrid>
      <w:tr w14:paraId="3E2D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3" w:type="dxa"/>
            <w:noWrap w:val="0"/>
            <w:vAlign w:val="center"/>
          </w:tcPr>
          <w:p w14:paraId="4AF81DF0">
            <w:pPr>
              <w:jc w:val="center"/>
              <w:rPr>
                <w:rFonts w:hint="eastAsia"/>
                <w:color w:val="auto"/>
                <w:sz w:val="24"/>
                <w:highlight w:val="none"/>
              </w:rPr>
            </w:pPr>
            <w:r>
              <w:rPr>
                <w:rFonts w:hint="eastAsia"/>
                <w:color w:val="auto"/>
                <w:sz w:val="24"/>
                <w:highlight w:val="none"/>
              </w:rPr>
              <w:t>项目名称</w:t>
            </w:r>
          </w:p>
        </w:tc>
        <w:tc>
          <w:tcPr>
            <w:tcW w:w="6521" w:type="dxa"/>
            <w:noWrap w:val="0"/>
            <w:vAlign w:val="top"/>
          </w:tcPr>
          <w:p w14:paraId="3E88BDBA">
            <w:pPr>
              <w:jc w:val="both"/>
              <w:rPr>
                <w:rFonts w:hint="eastAsia"/>
                <w:color w:val="auto"/>
                <w:sz w:val="24"/>
                <w:highlight w:val="none"/>
              </w:rPr>
            </w:pPr>
          </w:p>
        </w:tc>
      </w:tr>
      <w:tr w14:paraId="6C03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3" w:type="dxa"/>
            <w:noWrap w:val="0"/>
            <w:vAlign w:val="center"/>
          </w:tcPr>
          <w:p w14:paraId="69C784CB">
            <w:pPr>
              <w:jc w:val="center"/>
              <w:rPr>
                <w:rFonts w:hint="eastAsia"/>
                <w:color w:val="auto"/>
                <w:sz w:val="24"/>
                <w:highlight w:val="none"/>
              </w:rPr>
            </w:pPr>
            <w:r>
              <w:rPr>
                <w:rFonts w:hint="eastAsia"/>
                <w:color w:val="auto"/>
                <w:sz w:val="24"/>
                <w:highlight w:val="none"/>
              </w:rPr>
              <w:t>项目所在地</w:t>
            </w:r>
          </w:p>
        </w:tc>
        <w:tc>
          <w:tcPr>
            <w:tcW w:w="6521" w:type="dxa"/>
            <w:noWrap w:val="0"/>
            <w:vAlign w:val="top"/>
          </w:tcPr>
          <w:p w14:paraId="059E075E">
            <w:pPr>
              <w:jc w:val="both"/>
              <w:rPr>
                <w:rFonts w:hint="eastAsia"/>
                <w:color w:val="auto"/>
                <w:sz w:val="24"/>
                <w:highlight w:val="none"/>
              </w:rPr>
            </w:pPr>
          </w:p>
        </w:tc>
      </w:tr>
      <w:tr w14:paraId="3133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3" w:type="dxa"/>
            <w:noWrap w:val="0"/>
            <w:vAlign w:val="center"/>
          </w:tcPr>
          <w:p w14:paraId="57502216">
            <w:pPr>
              <w:jc w:val="center"/>
              <w:rPr>
                <w:rFonts w:hint="eastAsia"/>
                <w:color w:val="auto"/>
                <w:sz w:val="24"/>
                <w:highlight w:val="none"/>
              </w:rPr>
            </w:pPr>
            <w:r>
              <w:rPr>
                <w:rFonts w:hint="eastAsia"/>
                <w:color w:val="auto"/>
                <w:sz w:val="24"/>
                <w:highlight w:val="none"/>
              </w:rPr>
              <w:t>委托人名称</w:t>
            </w:r>
          </w:p>
        </w:tc>
        <w:tc>
          <w:tcPr>
            <w:tcW w:w="6521" w:type="dxa"/>
            <w:noWrap w:val="0"/>
            <w:vAlign w:val="top"/>
          </w:tcPr>
          <w:p w14:paraId="33E56687">
            <w:pPr>
              <w:jc w:val="both"/>
              <w:rPr>
                <w:rFonts w:hint="eastAsia"/>
                <w:color w:val="auto"/>
                <w:sz w:val="24"/>
                <w:highlight w:val="none"/>
              </w:rPr>
            </w:pPr>
          </w:p>
        </w:tc>
      </w:tr>
      <w:tr w14:paraId="3F48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3" w:type="dxa"/>
            <w:noWrap w:val="0"/>
            <w:vAlign w:val="center"/>
          </w:tcPr>
          <w:p w14:paraId="2C6023C5">
            <w:pPr>
              <w:jc w:val="center"/>
              <w:rPr>
                <w:rFonts w:hint="eastAsia"/>
                <w:color w:val="auto"/>
                <w:sz w:val="24"/>
                <w:highlight w:val="none"/>
              </w:rPr>
            </w:pPr>
            <w:r>
              <w:rPr>
                <w:rFonts w:hint="eastAsia"/>
                <w:color w:val="auto"/>
                <w:sz w:val="24"/>
                <w:highlight w:val="none"/>
              </w:rPr>
              <w:t>委托人地址</w:t>
            </w:r>
          </w:p>
        </w:tc>
        <w:tc>
          <w:tcPr>
            <w:tcW w:w="6521" w:type="dxa"/>
            <w:noWrap w:val="0"/>
            <w:vAlign w:val="top"/>
          </w:tcPr>
          <w:p w14:paraId="7254A5D8">
            <w:pPr>
              <w:jc w:val="both"/>
              <w:rPr>
                <w:rFonts w:hint="eastAsia"/>
                <w:color w:val="auto"/>
                <w:sz w:val="24"/>
                <w:highlight w:val="none"/>
              </w:rPr>
            </w:pPr>
          </w:p>
        </w:tc>
      </w:tr>
      <w:tr w14:paraId="602E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3" w:type="dxa"/>
            <w:noWrap w:val="0"/>
            <w:vAlign w:val="center"/>
          </w:tcPr>
          <w:p w14:paraId="1B1FB52A">
            <w:pPr>
              <w:jc w:val="center"/>
              <w:rPr>
                <w:rFonts w:hint="eastAsia"/>
                <w:color w:val="auto"/>
                <w:sz w:val="24"/>
                <w:highlight w:val="none"/>
              </w:rPr>
            </w:pPr>
            <w:r>
              <w:rPr>
                <w:rFonts w:hint="eastAsia"/>
                <w:color w:val="auto"/>
                <w:sz w:val="24"/>
                <w:highlight w:val="none"/>
              </w:rPr>
              <w:t>委托人电话</w:t>
            </w:r>
          </w:p>
        </w:tc>
        <w:tc>
          <w:tcPr>
            <w:tcW w:w="6521" w:type="dxa"/>
            <w:noWrap w:val="0"/>
            <w:vAlign w:val="top"/>
          </w:tcPr>
          <w:p w14:paraId="6D19F36A">
            <w:pPr>
              <w:jc w:val="both"/>
              <w:rPr>
                <w:rFonts w:hint="eastAsia"/>
                <w:color w:val="auto"/>
                <w:sz w:val="24"/>
                <w:highlight w:val="none"/>
              </w:rPr>
            </w:pPr>
          </w:p>
        </w:tc>
      </w:tr>
      <w:tr w14:paraId="2429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3" w:type="dxa"/>
            <w:noWrap w:val="0"/>
            <w:vAlign w:val="center"/>
          </w:tcPr>
          <w:p w14:paraId="62DAB264">
            <w:pPr>
              <w:jc w:val="center"/>
              <w:rPr>
                <w:rFonts w:hint="eastAsia"/>
                <w:color w:val="auto"/>
                <w:sz w:val="24"/>
                <w:highlight w:val="none"/>
              </w:rPr>
            </w:pPr>
            <w:r>
              <w:rPr>
                <w:rFonts w:hint="eastAsia"/>
                <w:color w:val="auto"/>
                <w:sz w:val="24"/>
                <w:highlight w:val="none"/>
              </w:rPr>
              <w:t>合同价格</w:t>
            </w:r>
          </w:p>
        </w:tc>
        <w:tc>
          <w:tcPr>
            <w:tcW w:w="6521" w:type="dxa"/>
            <w:noWrap w:val="0"/>
            <w:vAlign w:val="top"/>
          </w:tcPr>
          <w:p w14:paraId="2B4913A9">
            <w:pPr>
              <w:jc w:val="both"/>
              <w:rPr>
                <w:rFonts w:hint="eastAsia"/>
                <w:color w:val="auto"/>
                <w:sz w:val="24"/>
                <w:highlight w:val="none"/>
              </w:rPr>
            </w:pPr>
          </w:p>
        </w:tc>
      </w:tr>
      <w:tr w14:paraId="25B17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3" w:type="dxa"/>
            <w:noWrap w:val="0"/>
            <w:vAlign w:val="center"/>
          </w:tcPr>
          <w:p w14:paraId="5744519F">
            <w:pPr>
              <w:jc w:val="center"/>
              <w:rPr>
                <w:rFonts w:hint="eastAsia"/>
                <w:color w:val="auto"/>
                <w:sz w:val="24"/>
                <w:highlight w:val="none"/>
              </w:rPr>
            </w:pPr>
            <w:r>
              <w:rPr>
                <w:rFonts w:hint="eastAsia"/>
                <w:color w:val="auto"/>
                <w:sz w:val="24"/>
                <w:highlight w:val="none"/>
              </w:rPr>
              <w:t>服务期限</w:t>
            </w:r>
          </w:p>
        </w:tc>
        <w:tc>
          <w:tcPr>
            <w:tcW w:w="6521" w:type="dxa"/>
            <w:noWrap w:val="0"/>
            <w:vAlign w:val="top"/>
          </w:tcPr>
          <w:p w14:paraId="671B20E8">
            <w:pPr>
              <w:jc w:val="both"/>
              <w:rPr>
                <w:rFonts w:hint="eastAsia"/>
                <w:color w:val="auto"/>
                <w:sz w:val="24"/>
                <w:highlight w:val="none"/>
              </w:rPr>
            </w:pPr>
          </w:p>
        </w:tc>
      </w:tr>
      <w:tr w14:paraId="5534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3" w:type="dxa"/>
            <w:noWrap w:val="0"/>
            <w:vAlign w:val="center"/>
          </w:tcPr>
          <w:p w14:paraId="0FC7C1B5">
            <w:pPr>
              <w:jc w:val="center"/>
              <w:rPr>
                <w:rFonts w:hint="eastAsia"/>
                <w:color w:val="auto"/>
                <w:sz w:val="24"/>
                <w:highlight w:val="none"/>
              </w:rPr>
            </w:pPr>
            <w:r>
              <w:rPr>
                <w:rFonts w:hint="eastAsia"/>
                <w:color w:val="auto"/>
                <w:sz w:val="24"/>
                <w:highlight w:val="none"/>
                <w:lang w:eastAsia="zh-CN"/>
              </w:rPr>
              <w:t>服务</w:t>
            </w:r>
            <w:r>
              <w:rPr>
                <w:rFonts w:hint="eastAsia"/>
                <w:color w:val="auto"/>
                <w:sz w:val="24"/>
                <w:highlight w:val="none"/>
              </w:rPr>
              <w:t>内容</w:t>
            </w:r>
          </w:p>
        </w:tc>
        <w:tc>
          <w:tcPr>
            <w:tcW w:w="6521" w:type="dxa"/>
            <w:noWrap w:val="0"/>
            <w:vAlign w:val="top"/>
          </w:tcPr>
          <w:p w14:paraId="7211E6D3">
            <w:pPr>
              <w:jc w:val="both"/>
              <w:rPr>
                <w:rFonts w:hint="eastAsia"/>
                <w:color w:val="auto"/>
                <w:sz w:val="24"/>
                <w:highlight w:val="none"/>
              </w:rPr>
            </w:pPr>
          </w:p>
        </w:tc>
      </w:tr>
      <w:tr w14:paraId="7906D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3" w:type="dxa"/>
            <w:noWrap w:val="0"/>
            <w:vAlign w:val="center"/>
          </w:tcPr>
          <w:p w14:paraId="6A278939">
            <w:pPr>
              <w:jc w:val="center"/>
              <w:rPr>
                <w:rFonts w:hint="eastAsia" w:eastAsia="宋体"/>
                <w:color w:val="auto"/>
                <w:sz w:val="24"/>
                <w:highlight w:val="none"/>
                <w:lang w:eastAsia="zh-CN"/>
              </w:rPr>
            </w:pPr>
            <w:r>
              <w:rPr>
                <w:rFonts w:hint="eastAsia"/>
                <w:color w:val="auto"/>
                <w:sz w:val="24"/>
                <w:highlight w:val="none"/>
                <w:lang w:eastAsia="zh-CN"/>
              </w:rPr>
              <w:t>项目负责人</w:t>
            </w:r>
          </w:p>
        </w:tc>
        <w:tc>
          <w:tcPr>
            <w:tcW w:w="6521" w:type="dxa"/>
            <w:noWrap w:val="0"/>
            <w:vAlign w:val="top"/>
          </w:tcPr>
          <w:p w14:paraId="0D05365C">
            <w:pPr>
              <w:jc w:val="both"/>
              <w:rPr>
                <w:rFonts w:hint="eastAsia"/>
                <w:color w:val="auto"/>
                <w:sz w:val="24"/>
                <w:highlight w:val="none"/>
              </w:rPr>
            </w:pPr>
          </w:p>
        </w:tc>
      </w:tr>
      <w:tr w14:paraId="467F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3" w:type="dxa"/>
            <w:noWrap w:val="0"/>
            <w:vAlign w:val="center"/>
          </w:tcPr>
          <w:p w14:paraId="0163C459">
            <w:pPr>
              <w:jc w:val="center"/>
              <w:rPr>
                <w:rFonts w:hint="eastAsia"/>
                <w:color w:val="auto"/>
                <w:sz w:val="24"/>
                <w:highlight w:val="none"/>
              </w:rPr>
            </w:pPr>
            <w:r>
              <w:rPr>
                <w:rFonts w:hint="eastAsia"/>
                <w:color w:val="auto"/>
                <w:sz w:val="24"/>
                <w:highlight w:val="none"/>
              </w:rPr>
              <w:t>项目描述</w:t>
            </w:r>
          </w:p>
        </w:tc>
        <w:tc>
          <w:tcPr>
            <w:tcW w:w="6521" w:type="dxa"/>
            <w:noWrap w:val="0"/>
            <w:vAlign w:val="top"/>
          </w:tcPr>
          <w:p w14:paraId="3E194C18">
            <w:pPr>
              <w:jc w:val="both"/>
              <w:rPr>
                <w:rFonts w:hint="eastAsia"/>
                <w:color w:val="auto"/>
                <w:sz w:val="24"/>
                <w:highlight w:val="none"/>
              </w:rPr>
            </w:pPr>
          </w:p>
        </w:tc>
      </w:tr>
      <w:tr w14:paraId="5A1B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3" w:type="dxa"/>
            <w:noWrap w:val="0"/>
            <w:vAlign w:val="center"/>
          </w:tcPr>
          <w:p w14:paraId="5F0B05E0">
            <w:pPr>
              <w:jc w:val="center"/>
              <w:rPr>
                <w:rFonts w:hint="eastAsia"/>
                <w:color w:val="auto"/>
                <w:sz w:val="24"/>
                <w:highlight w:val="none"/>
              </w:rPr>
            </w:pPr>
            <w:r>
              <w:rPr>
                <w:rFonts w:hint="eastAsia"/>
                <w:color w:val="auto"/>
                <w:sz w:val="24"/>
                <w:highlight w:val="none"/>
              </w:rPr>
              <w:t>备注</w:t>
            </w:r>
          </w:p>
        </w:tc>
        <w:tc>
          <w:tcPr>
            <w:tcW w:w="6521" w:type="dxa"/>
            <w:noWrap w:val="0"/>
            <w:vAlign w:val="top"/>
          </w:tcPr>
          <w:p w14:paraId="74F325AF">
            <w:pPr>
              <w:jc w:val="both"/>
              <w:rPr>
                <w:rFonts w:hint="eastAsia"/>
                <w:color w:val="auto"/>
                <w:sz w:val="24"/>
                <w:highlight w:val="none"/>
              </w:rPr>
            </w:pPr>
          </w:p>
        </w:tc>
      </w:tr>
    </w:tbl>
    <w:p w14:paraId="75300EE5">
      <w:pPr>
        <w:jc w:val="both"/>
        <w:rPr>
          <w:rFonts w:hint="eastAsia"/>
          <w:color w:val="auto"/>
          <w:sz w:val="24"/>
          <w:highlight w:val="none"/>
        </w:rPr>
      </w:pPr>
    </w:p>
    <w:p w14:paraId="0C1EC0E1">
      <w:pPr>
        <w:spacing w:line="200" w:lineRule="exact"/>
        <w:jc w:val="both"/>
        <w:rPr>
          <w:rFonts w:eastAsia="Times New Roman"/>
          <w:color w:val="auto"/>
          <w:highlight w:val="none"/>
        </w:rPr>
      </w:pPr>
    </w:p>
    <w:p w14:paraId="0EA7A647">
      <w:pPr>
        <w:spacing w:line="200" w:lineRule="exact"/>
        <w:jc w:val="both"/>
        <w:rPr>
          <w:rFonts w:eastAsia="Times New Roman"/>
          <w:color w:val="auto"/>
          <w:highlight w:val="none"/>
        </w:rPr>
      </w:pPr>
    </w:p>
    <w:p w14:paraId="7B627A66">
      <w:pPr>
        <w:rPr>
          <w:rFonts w:hint="eastAsia" w:ascii="宋体" w:hAnsi="宋体" w:eastAsia="宋体" w:cs="宋体"/>
          <w:b/>
          <w:color w:val="auto"/>
          <w:sz w:val="24"/>
          <w:szCs w:val="24"/>
          <w:highlight w:val="none"/>
        </w:rPr>
      </w:pPr>
      <w:bookmarkStart w:id="244" w:name="_Toc12109"/>
      <w:r>
        <w:rPr>
          <w:rFonts w:hint="eastAsia" w:ascii="宋体" w:hAnsi="宋体" w:eastAsia="宋体" w:cs="宋体"/>
          <w:b/>
          <w:color w:val="auto"/>
          <w:sz w:val="24"/>
          <w:szCs w:val="24"/>
          <w:highlight w:val="none"/>
        </w:rPr>
        <w:br w:type="page"/>
      </w:r>
    </w:p>
    <w:p w14:paraId="7CE7BEE6">
      <w:pPr>
        <w:pStyle w:val="8"/>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cs="宋体"/>
          <w:b/>
          <w:color w:val="auto"/>
          <w:sz w:val="24"/>
          <w:szCs w:val="24"/>
          <w:highlight w:val="none"/>
          <w:lang w:eastAsia="zh-CN"/>
        </w:rPr>
        <w:t>二</w:t>
      </w:r>
      <w:r>
        <w:rPr>
          <w:rFonts w:hint="eastAsia" w:ascii="宋体" w:hAnsi="宋体" w:eastAsia="宋体" w:cs="宋体"/>
          <w:b/>
          <w:color w:val="auto"/>
          <w:sz w:val="24"/>
          <w:szCs w:val="24"/>
          <w:highlight w:val="none"/>
        </w:rPr>
        <w:t>）拟委任的主要人员汇总表</w:t>
      </w:r>
      <w:bookmarkEnd w:id="244"/>
    </w:p>
    <w:p w14:paraId="17F217AF">
      <w:pPr>
        <w:pStyle w:val="14"/>
        <w:kinsoku w:val="0"/>
        <w:overflowPunct w:val="0"/>
        <w:ind w:left="0"/>
        <w:rPr>
          <w:rFonts w:hint="eastAsia" w:ascii="宋体" w:hAnsi="宋体" w:eastAsia="宋体" w:cs="宋体"/>
          <w:color w:val="auto"/>
          <w:sz w:val="20"/>
          <w:szCs w:val="24"/>
          <w:highlight w:val="none"/>
        </w:rPr>
      </w:pPr>
    </w:p>
    <w:p w14:paraId="53A445EB">
      <w:pPr>
        <w:pStyle w:val="14"/>
        <w:kinsoku w:val="0"/>
        <w:overflowPunct w:val="0"/>
        <w:spacing w:before="11"/>
        <w:ind w:left="0"/>
        <w:rPr>
          <w:rFonts w:hint="eastAsia" w:ascii="宋体" w:hAnsi="宋体" w:eastAsia="宋体" w:cs="宋体"/>
          <w:color w:val="auto"/>
          <w:sz w:val="22"/>
          <w:szCs w:val="24"/>
          <w:highlight w:val="none"/>
        </w:rPr>
      </w:pPr>
    </w:p>
    <w:tbl>
      <w:tblPr>
        <w:tblStyle w:val="24"/>
        <w:tblW w:w="87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6"/>
        <w:gridCol w:w="1275"/>
        <w:gridCol w:w="991"/>
        <w:gridCol w:w="895"/>
        <w:gridCol w:w="975"/>
        <w:gridCol w:w="844"/>
        <w:gridCol w:w="881"/>
        <w:gridCol w:w="825"/>
        <w:gridCol w:w="1275"/>
      </w:tblGrid>
      <w:tr w14:paraId="30B4C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B5A691">
            <w:pPr>
              <w:pStyle w:val="33"/>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12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18B901">
            <w:pPr>
              <w:pStyle w:val="33"/>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本项目任职</w:t>
            </w:r>
          </w:p>
        </w:tc>
        <w:tc>
          <w:tcPr>
            <w:tcW w:w="99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7F2FC0">
            <w:pPr>
              <w:pStyle w:val="33"/>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姓名</w:t>
            </w:r>
          </w:p>
        </w:tc>
        <w:tc>
          <w:tcPr>
            <w:tcW w:w="8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7429E2">
            <w:pPr>
              <w:pStyle w:val="33"/>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职 称</w:t>
            </w:r>
          </w:p>
        </w:tc>
        <w:tc>
          <w:tcPr>
            <w:tcW w:w="9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EE5D2D">
            <w:pPr>
              <w:pStyle w:val="33"/>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专 业</w:t>
            </w:r>
          </w:p>
        </w:tc>
        <w:tc>
          <w:tcPr>
            <w:tcW w:w="255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4F332A">
            <w:pPr>
              <w:pStyle w:val="33"/>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执业或职业资格证明</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0C6663">
            <w:pPr>
              <w:pStyle w:val="33"/>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备注</w:t>
            </w:r>
          </w:p>
        </w:tc>
      </w:tr>
      <w:tr w14:paraId="3690C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exact"/>
          <w:jc w:val="center"/>
        </w:trPr>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42961E">
            <w:pPr>
              <w:pStyle w:val="33"/>
              <w:kinsoku w:val="0"/>
              <w:overflowPunct w:val="0"/>
              <w:spacing w:line="240" w:lineRule="atLeast"/>
              <w:jc w:val="center"/>
              <w:rPr>
                <w:rFonts w:hint="eastAsia" w:ascii="宋体" w:hAnsi="宋体" w:eastAsia="宋体" w:cs="宋体"/>
                <w:color w:val="auto"/>
                <w:sz w:val="21"/>
                <w:szCs w:val="24"/>
                <w:highlight w:val="none"/>
              </w:rPr>
            </w:pPr>
          </w:p>
        </w:tc>
        <w:tc>
          <w:tcPr>
            <w:tcW w:w="12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8E24CF">
            <w:pPr>
              <w:pStyle w:val="33"/>
              <w:kinsoku w:val="0"/>
              <w:overflowPunct w:val="0"/>
              <w:spacing w:line="240" w:lineRule="atLeast"/>
              <w:jc w:val="center"/>
              <w:rPr>
                <w:rFonts w:hint="eastAsia" w:ascii="宋体" w:hAnsi="宋体" w:eastAsia="宋体" w:cs="宋体"/>
                <w:color w:val="auto"/>
                <w:sz w:val="21"/>
                <w:szCs w:val="24"/>
                <w:highlight w:val="none"/>
              </w:rPr>
            </w:pPr>
          </w:p>
        </w:tc>
        <w:tc>
          <w:tcPr>
            <w:tcW w:w="99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1325E0">
            <w:pPr>
              <w:pStyle w:val="33"/>
              <w:kinsoku w:val="0"/>
              <w:overflowPunct w:val="0"/>
              <w:spacing w:line="240" w:lineRule="atLeast"/>
              <w:jc w:val="center"/>
              <w:rPr>
                <w:rFonts w:hint="eastAsia" w:ascii="宋体" w:hAnsi="宋体" w:eastAsia="宋体" w:cs="宋体"/>
                <w:color w:val="auto"/>
                <w:sz w:val="21"/>
                <w:szCs w:val="24"/>
                <w:highlight w:val="none"/>
              </w:rPr>
            </w:pPr>
          </w:p>
        </w:tc>
        <w:tc>
          <w:tcPr>
            <w:tcW w:w="8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A70E52">
            <w:pPr>
              <w:pStyle w:val="33"/>
              <w:kinsoku w:val="0"/>
              <w:overflowPunct w:val="0"/>
              <w:spacing w:line="240" w:lineRule="atLeast"/>
              <w:jc w:val="center"/>
              <w:rPr>
                <w:rFonts w:hint="eastAsia" w:ascii="宋体" w:hAnsi="宋体" w:eastAsia="宋体" w:cs="宋体"/>
                <w:color w:val="auto"/>
                <w:sz w:val="21"/>
                <w:szCs w:val="24"/>
                <w:highlight w:val="none"/>
              </w:rPr>
            </w:pPr>
          </w:p>
        </w:tc>
        <w:tc>
          <w:tcPr>
            <w:tcW w:w="9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ACA0CB">
            <w:pPr>
              <w:pStyle w:val="33"/>
              <w:kinsoku w:val="0"/>
              <w:overflowPunct w:val="0"/>
              <w:spacing w:line="240" w:lineRule="atLeast"/>
              <w:jc w:val="center"/>
              <w:rPr>
                <w:rFonts w:hint="eastAsia" w:ascii="宋体" w:hAnsi="宋体" w:eastAsia="宋体" w:cs="宋体"/>
                <w:color w:val="auto"/>
                <w:sz w:val="21"/>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F77D87">
            <w:pPr>
              <w:pStyle w:val="33"/>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证书名称</w:t>
            </w: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25F5B5">
            <w:pPr>
              <w:pStyle w:val="33"/>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级别</w:t>
            </w: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A2FEC1">
            <w:pPr>
              <w:pStyle w:val="33"/>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证号</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DA7652">
            <w:pPr>
              <w:spacing w:line="240" w:lineRule="atLeast"/>
              <w:jc w:val="center"/>
              <w:rPr>
                <w:rFonts w:hint="eastAsia" w:ascii="宋体" w:hAnsi="宋体" w:eastAsia="宋体" w:cs="宋体"/>
                <w:color w:val="auto"/>
                <w:sz w:val="21"/>
                <w:szCs w:val="24"/>
                <w:highlight w:val="none"/>
              </w:rPr>
            </w:pPr>
          </w:p>
        </w:tc>
      </w:tr>
      <w:tr w14:paraId="57ED6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9E3183">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8FC3C6">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0705A6">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80645C">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DCC894">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754D10">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EE436E">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B4A601">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E7FC9D">
            <w:pPr>
              <w:rPr>
                <w:rFonts w:hint="eastAsia" w:ascii="宋体" w:hAnsi="宋体" w:eastAsia="宋体" w:cs="宋体"/>
                <w:color w:val="auto"/>
                <w:sz w:val="24"/>
                <w:szCs w:val="24"/>
                <w:highlight w:val="none"/>
              </w:rPr>
            </w:pPr>
          </w:p>
        </w:tc>
      </w:tr>
      <w:tr w14:paraId="3B076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C487EB6">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002C211">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4D9490">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7BCAB8">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EA87E3">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5DF4F0">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9B8A80">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0ADE3F">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84F160">
            <w:pPr>
              <w:rPr>
                <w:rFonts w:hint="eastAsia" w:ascii="宋体" w:hAnsi="宋体" w:eastAsia="宋体" w:cs="宋体"/>
                <w:color w:val="auto"/>
                <w:sz w:val="24"/>
                <w:szCs w:val="24"/>
                <w:highlight w:val="none"/>
              </w:rPr>
            </w:pPr>
          </w:p>
        </w:tc>
      </w:tr>
      <w:tr w14:paraId="7176F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65CF97">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79BA37">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FB843C">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6DB570E">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C7F827">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F7A0FA">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3C9AD8">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EFB853">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D4DA61">
            <w:pPr>
              <w:rPr>
                <w:rFonts w:hint="eastAsia" w:ascii="宋体" w:hAnsi="宋体" w:eastAsia="宋体" w:cs="宋体"/>
                <w:color w:val="auto"/>
                <w:sz w:val="24"/>
                <w:szCs w:val="24"/>
                <w:highlight w:val="none"/>
              </w:rPr>
            </w:pPr>
          </w:p>
        </w:tc>
      </w:tr>
      <w:tr w14:paraId="06CBD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FF57EF">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C31BF1">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57E470">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8A89FE">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C32398">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773AA6">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AB056C">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42C211">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A6AF50">
            <w:pPr>
              <w:rPr>
                <w:rFonts w:hint="eastAsia" w:ascii="宋体" w:hAnsi="宋体" w:eastAsia="宋体" w:cs="宋体"/>
                <w:color w:val="auto"/>
                <w:sz w:val="24"/>
                <w:szCs w:val="24"/>
                <w:highlight w:val="none"/>
              </w:rPr>
            </w:pPr>
          </w:p>
        </w:tc>
      </w:tr>
      <w:tr w14:paraId="65C89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7D9B1B">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1355A3">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190646">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3C26F4">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FBB7C4">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4E6961">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ABBBC4">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5455E9">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D263C2">
            <w:pPr>
              <w:rPr>
                <w:rFonts w:hint="eastAsia" w:ascii="宋体" w:hAnsi="宋体" w:eastAsia="宋体" w:cs="宋体"/>
                <w:color w:val="auto"/>
                <w:sz w:val="24"/>
                <w:szCs w:val="24"/>
                <w:highlight w:val="none"/>
              </w:rPr>
            </w:pPr>
          </w:p>
        </w:tc>
      </w:tr>
      <w:tr w14:paraId="68265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F70488">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47916E">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571EDA">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0520BBE">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DC6150">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ED809C">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3B39F8">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93720A">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2C67BC">
            <w:pPr>
              <w:rPr>
                <w:rFonts w:hint="eastAsia" w:ascii="宋体" w:hAnsi="宋体" w:eastAsia="宋体" w:cs="宋体"/>
                <w:color w:val="auto"/>
                <w:sz w:val="24"/>
                <w:szCs w:val="24"/>
                <w:highlight w:val="none"/>
              </w:rPr>
            </w:pPr>
          </w:p>
        </w:tc>
      </w:tr>
      <w:tr w14:paraId="52408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9BBDC7">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A40F79">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5232D3">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B208D4">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DEBE11">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D54D301">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38DA084">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6140EE">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57CD68">
            <w:pPr>
              <w:rPr>
                <w:rFonts w:hint="eastAsia" w:ascii="宋体" w:hAnsi="宋体" w:eastAsia="宋体" w:cs="宋体"/>
                <w:color w:val="auto"/>
                <w:sz w:val="24"/>
                <w:szCs w:val="24"/>
                <w:highlight w:val="none"/>
              </w:rPr>
            </w:pPr>
          </w:p>
        </w:tc>
      </w:tr>
      <w:tr w14:paraId="7E714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5FD9EC">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DB2ECF">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B9A40A">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1DA4F9">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D4D415">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D6BB88">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8D9723">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B1F645">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32059A">
            <w:pPr>
              <w:rPr>
                <w:rFonts w:hint="eastAsia" w:ascii="宋体" w:hAnsi="宋体" w:eastAsia="宋体" w:cs="宋体"/>
                <w:color w:val="auto"/>
                <w:sz w:val="24"/>
                <w:szCs w:val="24"/>
                <w:highlight w:val="none"/>
              </w:rPr>
            </w:pPr>
          </w:p>
        </w:tc>
      </w:tr>
      <w:tr w14:paraId="53D2A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FB7242">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55FFF7">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8313C4">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8BE9E9A">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E62E27">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EA95BB">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BD90BB">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BD7971">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FD53F4">
            <w:pPr>
              <w:rPr>
                <w:rFonts w:hint="eastAsia" w:ascii="宋体" w:hAnsi="宋体" w:eastAsia="宋体" w:cs="宋体"/>
                <w:color w:val="auto"/>
                <w:sz w:val="24"/>
                <w:szCs w:val="24"/>
                <w:highlight w:val="none"/>
              </w:rPr>
            </w:pPr>
          </w:p>
        </w:tc>
      </w:tr>
      <w:tr w14:paraId="31D5B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C59560">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5E46E5">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58FE50">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6320DB">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B1C776">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B578AE">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F1BD2D">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D07525">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8CA645">
            <w:pPr>
              <w:rPr>
                <w:rFonts w:hint="eastAsia" w:ascii="宋体" w:hAnsi="宋体" w:eastAsia="宋体" w:cs="宋体"/>
                <w:color w:val="auto"/>
                <w:sz w:val="24"/>
                <w:szCs w:val="24"/>
                <w:highlight w:val="none"/>
              </w:rPr>
            </w:pPr>
          </w:p>
        </w:tc>
      </w:tr>
      <w:tr w14:paraId="5DE16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5761DE">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BA3765">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843E8B">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140629">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428134">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063197">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B13E9F">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33104E">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833C28">
            <w:pPr>
              <w:rPr>
                <w:rFonts w:hint="eastAsia" w:ascii="宋体" w:hAnsi="宋体" w:eastAsia="宋体" w:cs="宋体"/>
                <w:color w:val="auto"/>
                <w:sz w:val="24"/>
                <w:szCs w:val="24"/>
                <w:highlight w:val="none"/>
              </w:rPr>
            </w:pPr>
          </w:p>
        </w:tc>
      </w:tr>
      <w:tr w14:paraId="42E03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131AA9">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E3CABF">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A0D3F4">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2BD9BD">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19D502">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37588F">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19536F">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519C6F">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470487">
            <w:pPr>
              <w:rPr>
                <w:rFonts w:hint="eastAsia" w:ascii="宋体" w:hAnsi="宋体" w:eastAsia="宋体" w:cs="宋体"/>
                <w:color w:val="auto"/>
                <w:sz w:val="24"/>
                <w:szCs w:val="24"/>
                <w:highlight w:val="none"/>
              </w:rPr>
            </w:pPr>
          </w:p>
        </w:tc>
      </w:tr>
      <w:tr w14:paraId="0EE7E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EED2FC">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466767">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EE16A8">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371DEB">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9A2E92">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642FF2C">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40BE13">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96BA45">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1887C1">
            <w:pPr>
              <w:rPr>
                <w:rFonts w:hint="eastAsia" w:ascii="宋体" w:hAnsi="宋体" w:eastAsia="宋体" w:cs="宋体"/>
                <w:color w:val="auto"/>
                <w:sz w:val="24"/>
                <w:szCs w:val="24"/>
                <w:highlight w:val="none"/>
              </w:rPr>
            </w:pPr>
          </w:p>
        </w:tc>
      </w:tr>
      <w:tr w14:paraId="3E583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DD88AB">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706A12">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F6D994">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69D5CA">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1D322E">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35686D">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706FB5">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E7E3A9">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112F51">
            <w:pPr>
              <w:rPr>
                <w:rFonts w:hint="eastAsia" w:ascii="宋体" w:hAnsi="宋体" w:eastAsia="宋体" w:cs="宋体"/>
                <w:color w:val="auto"/>
                <w:sz w:val="24"/>
                <w:szCs w:val="24"/>
                <w:highlight w:val="none"/>
              </w:rPr>
            </w:pPr>
          </w:p>
        </w:tc>
      </w:tr>
      <w:tr w14:paraId="4F852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ECE09C">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14C56D">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1C9223">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E8F7CD">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DB0BA4">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6A6300">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6EE26B">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0110ED">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D6C8DA">
            <w:pPr>
              <w:rPr>
                <w:rFonts w:hint="eastAsia" w:ascii="宋体" w:hAnsi="宋体" w:eastAsia="宋体" w:cs="宋体"/>
                <w:color w:val="auto"/>
                <w:sz w:val="24"/>
                <w:szCs w:val="24"/>
                <w:highlight w:val="none"/>
              </w:rPr>
            </w:pPr>
          </w:p>
        </w:tc>
      </w:tr>
      <w:tr w14:paraId="755A1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EC0FE5">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3D108F">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9E5CC7">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753482">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6D0247">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8CE79F">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C05187">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E3F239">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019277C">
            <w:pPr>
              <w:rPr>
                <w:rFonts w:hint="eastAsia" w:ascii="宋体" w:hAnsi="宋体" w:eastAsia="宋体" w:cs="宋体"/>
                <w:color w:val="auto"/>
                <w:sz w:val="24"/>
                <w:szCs w:val="24"/>
                <w:highlight w:val="none"/>
              </w:rPr>
            </w:pPr>
          </w:p>
        </w:tc>
      </w:tr>
      <w:tr w14:paraId="76163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537A1A">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F9379F">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FE107D">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F25308">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EE79FD">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A12853">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05B78E">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16B2AF">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76586B">
            <w:pPr>
              <w:rPr>
                <w:rFonts w:hint="eastAsia" w:ascii="宋体" w:hAnsi="宋体" w:eastAsia="宋体" w:cs="宋体"/>
                <w:color w:val="auto"/>
                <w:sz w:val="24"/>
                <w:szCs w:val="24"/>
                <w:highlight w:val="none"/>
              </w:rPr>
            </w:pPr>
          </w:p>
        </w:tc>
      </w:tr>
      <w:tr w14:paraId="5C624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F92EEB">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017FF9">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6C066B6">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241CDC">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81741D">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6E9A36E">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CCEB8FF">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FD89E6">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3DFBF0">
            <w:pPr>
              <w:rPr>
                <w:rFonts w:hint="eastAsia" w:ascii="宋体" w:hAnsi="宋体" w:eastAsia="宋体" w:cs="宋体"/>
                <w:color w:val="auto"/>
                <w:sz w:val="24"/>
                <w:szCs w:val="24"/>
                <w:highlight w:val="none"/>
              </w:rPr>
            </w:pPr>
          </w:p>
        </w:tc>
      </w:tr>
      <w:tr w14:paraId="5CC69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EA22D4">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068B93">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CD0D39">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525148">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0FAC22">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3B7D74">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E114DF">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C01F14">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9698DF">
            <w:pPr>
              <w:rPr>
                <w:rFonts w:hint="eastAsia" w:ascii="宋体" w:hAnsi="宋体" w:eastAsia="宋体" w:cs="宋体"/>
                <w:color w:val="auto"/>
                <w:sz w:val="24"/>
                <w:szCs w:val="24"/>
                <w:highlight w:val="none"/>
              </w:rPr>
            </w:pPr>
          </w:p>
        </w:tc>
      </w:tr>
      <w:tr w14:paraId="208F6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95F580">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453DB9">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14CE10">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981A0C">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55F978">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A52134">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284DC9">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0EBD0E">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88D2EB">
            <w:pPr>
              <w:rPr>
                <w:rFonts w:hint="eastAsia" w:ascii="宋体" w:hAnsi="宋体" w:eastAsia="宋体" w:cs="宋体"/>
                <w:color w:val="auto"/>
                <w:sz w:val="24"/>
                <w:szCs w:val="24"/>
                <w:highlight w:val="none"/>
              </w:rPr>
            </w:pPr>
          </w:p>
        </w:tc>
      </w:tr>
      <w:tr w14:paraId="12687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24AB5A">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A5123E">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5CABFB">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F3D785">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1E105F">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47B596">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E891E4">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6308E0">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576A35">
            <w:pPr>
              <w:rPr>
                <w:rFonts w:hint="eastAsia" w:ascii="宋体" w:hAnsi="宋体" w:eastAsia="宋体" w:cs="宋体"/>
                <w:color w:val="auto"/>
                <w:sz w:val="24"/>
                <w:szCs w:val="24"/>
                <w:highlight w:val="none"/>
              </w:rPr>
            </w:pPr>
          </w:p>
        </w:tc>
      </w:tr>
    </w:tbl>
    <w:p w14:paraId="7E0F91E1">
      <w:pPr>
        <w:rPr>
          <w:rFonts w:hint="eastAsia" w:ascii="宋体" w:hAnsi="宋体" w:eastAsia="宋体" w:cs="宋体"/>
          <w:color w:val="auto"/>
          <w:sz w:val="24"/>
          <w:szCs w:val="24"/>
          <w:highlight w:val="none"/>
        </w:rPr>
        <w:sectPr>
          <w:headerReference r:id="rId20" w:type="default"/>
          <w:footerReference r:id="rId21" w:type="default"/>
          <w:pgSz w:w="11905" w:h="16838"/>
          <w:pgMar w:top="1417" w:right="1417" w:bottom="1417" w:left="1417" w:header="992" w:footer="992" w:gutter="0"/>
          <w:lnNumType w:countBy="0" w:distance="360"/>
          <w:pgNumType w:fmt="decimal"/>
          <w:cols w:space="0" w:num="1"/>
          <w:rtlGutter w:val="0"/>
          <w:docGrid w:linePitch="0" w:charSpace="0"/>
        </w:sectPr>
      </w:pPr>
    </w:p>
    <w:p w14:paraId="0AE4B942">
      <w:pPr>
        <w:pStyle w:val="8"/>
        <w:outlineLvl w:val="2"/>
        <w:rPr>
          <w:rFonts w:hint="eastAsia" w:ascii="宋体" w:hAnsi="宋体" w:eastAsia="宋体" w:cs="宋体"/>
          <w:b/>
          <w:color w:val="auto"/>
          <w:sz w:val="24"/>
          <w:szCs w:val="24"/>
          <w:highlight w:val="none"/>
        </w:rPr>
      </w:pPr>
      <w:bookmarkStart w:id="245" w:name="bookmark191"/>
      <w:bookmarkEnd w:id="245"/>
      <w:bookmarkStart w:id="246" w:name="_Toc30346"/>
      <w:r>
        <w:rPr>
          <w:rFonts w:hint="eastAsia" w:ascii="宋体" w:hAnsi="宋体" w:eastAsia="宋体" w:cs="宋体"/>
          <w:b/>
          <w:color w:val="auto"/>
          <w:sz w:val="24"/>
          <w:szCs w:val="24"/>
          <w:highlight w:val="none"/>
        </w:rPr>
        <w:t>（</w:t>
      </w:r>
      <w:r>
        <w:rPr>
          <w:rFonts w:hint="eastAsia" w:cs="宋体"/>
          <w:b/>
          <w:color w:val="auto"/>
          <w:sz w:val="24"/>
          <w:szCs w:val="24"/>
          <w:highlight w:val="none"/>
          <w:lang w:eastAsia="zh-CN"/>
        </w:rPr>
        <w:t>三</w:t>
      </w:r>
      <w:r>
        <w:rPr>
          <w:rFonts w:hint="eastAsia" w:ascii="宋体" w:hAnsi="宋体" w:eastAsia="宋体" w:cs="宋体"/>
          <w:b/>
          <w:color w:val="auto"/>
          <w:sz w:val="24"/>
          <w:szCs w:val="24"/>
          <w:highlight w:val="none"/>
        </w:rPr>
        <w:t>）主要人员简历表</w:t>
      </w:r>
      <w:bookmarkEnd w:id="246"/>
    </w:p>
    <w:p w14:paraId="06AA376A">
      <w:pPr>
        <w:pStyle w:val="14"/>
        <w:kinsoku w:val="0"/>
        <w:overflowPunct w:val="0"/>
        <w:ind w:left="0"/>
        <w:rPr>
          <w:rFonts w:hint="eastAsia" w:ascii="宋体" w:hAnsi="宋体" w:eastAsia="宋体" w:cs="宋体"/>
          <w:b/>
          <w:color w:val="auto"/>
          <w:sz w:val="24"/>
          <w:szCs w:val="24"/>
          <w:highlight w:val="none"/>
        </w:rPr>
      </w:pPr>
    </w:p>
    <w:p w14:paraId="1A867B3D">
      <w:pPr>
        <w:pStyle w:val="14"/>
        <w:kinsoku w:val="0"/>
        <w:overflowPunct w:val="0"/>
        <w:spacing w:before="5"/>
        <w:ind w:left="0"/>
        <w:rPr>
          <w:rFonts w:hint="eastAsia" w:ascii="宋体" w:hAnsi="宋体" w:eastAsia="宋体" w:cs="宋体"/>
          <w:color w:val="auto"/>
          <w:sz w:val="16"/>
          <w:szCs w:val="24"/>
          <w:highlight w:val="none"/>
        </w:rPr>
      </w:pPr>
    </w:p>
    <w:tbl>
      <w:tblPr>
        <w:tblStyle w:val="24"/>
        <w:tblW w:w="8521"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5"/>
        <w:gridCol w:w="358"/>
        <w:gridCol w:w="692"/>
        <w:gridCol w:w="957"/>
        <w:gridCol w:w="1066"/>
        <w:gridCol w:w="705"/>
        <w:gridCol w:w="1261"/>
        <w:gridCol w:w="401"/>
        <w:gridCol w:w="1896"/>
      </w:tblGrid>
      <w:tr w14:paraId="5B62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F244E4">
            <w:pPr>
              <w:pStyle w:val="33"/>
              <w:tabs>
                <w:tab w:val="left" w:pos="695"/>
              </w:tabs>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79DD402">
            <w:pPr>
              <w:rPr>
                <w:rFonts w:hint="eastAsia" w:ascii="宋体" w:hAnsi="宋体" w:eastAsia="宋体" w:cs="宋体"/>
                <w:color w:val="auto"/>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B429D3">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C01625">
            <w:pPr>
              <w:rPr>
                <w:rFonts w:hint="eastAsia"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9B188D">
            <w:pPr>
              <w:pStyle w:val="33"/>
              <w:kinsoku w:val="0"/>
              <w:overflowPunct w:val="0"/>
              <w:spacing w:before="3" w:line="440" w:lineRule="exact"/>
              <w:ind w:right="122"/>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执业资格证书（或上岗</w:t>
            </w:r>
            <w:r>
              <w:rPr>
                <w:rFonts w:hint="eastAsia" w:ascii="宋体" w:hAnsi="宋体" w:eastAsia="宋体" w:cs="宋体"/>
                <w:color w:val="auto"/>
                <w:spacing w:val="-85"/>
                <w:sz w:val="21"/>
                <w:szCs w:val="21"/>
                <w:highlight w:val="none"/>
              </w:rPr>
              <w:t xml:space="preserve"> </w:t>
            </w:r>
            <w:r>
              <w:rPr>
                <w:rFonts w:hint="eastAsia" w:ascii="宋体" w:hAnsi="宋体" w:eastAsia="宋体" w:cs="宋体"/>
                <w:color w:val="auto"/>
                <w:sz w:val="21"/>
                <w:szCs w:val="21"/>
                <w:highlight w:val="none"/>
              </w:rPr>
              <w:t>证书）名称</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2026DA">
            <w:pPr>
              <w:rPr>
                <w:rFonts w:hint="eastAsia" w:ascii="宋体" w:hAnsi="宋体" w:eastAsia="宋体" w:cs="宋体"/>
                <w:color w:val="auto"/>
                <w:sz w:val="21"/>
                <w:szCs w:val="21"/>
                <w:highlight w:val="none"/>
              </w:rPr>
            </w:pPr>
          </w:p>
        </w:tc>
      </w:tr>
      <w:tr w14:paraId="3F871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7EC4F1">
            <w:pPr>
              <w:pStyle w:val="33"/>
              <w:tabs>
                <w:tab w:val="left" w:pos="695"/>
              </w:tabs>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2C079755">
            <w:pPr>
              <w:rPr>
                <w:rFonts w:hint="eastAsia" w:ascii="宋体" w:hAnsi="宋体" w:eastAsia="宋体" w:cs="宋体"/>
                <w:color w:val="auto"/>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C61F81">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341C49">
            <w:pPr>
              <w:rPr>
                <w:rFonts w:hint="eastAsia"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16F9A0">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拟在本项目任职</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6AEDD3">
            <w:pPr>
              <w:rPr>
                <w:rFonts w:hint="eastAsia" w:ascii="宋体" w:hAnsi="宋体" w:eastAsia="宋体" w:cs="宋体"/>
                <w:color w:val="auto"/>
                <w:sz w:val="21"/>
                <w:szCs w:val="21"/>
                <w:highlight w:val="none"/>
              </w:rPr>
            </w:pPr>
          </w:p>
        </w:tc>
      </w:tr>
      <w:tr w14:paraId="3D05E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A49DCE">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07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3F1D8A9B">
            <w:pPr>
              <w:rPr>
                <w:rFonts w:hint="eastAsia"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3C374E">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w:t>
            </w:r>
            <w:r>
              <w:rPr>
                <w:rFonts w:hint="eastAsia" w:ascii="宋体" w:hAnsi="宋体" w:cs="宋体"/>
                <w:color w:val="auto"/>
                <w:sz w:val="21"/>
                <w:szCs w:val="21"/>
                <w:highlight w:val="none"/>
                <w:lang w:val="en-US" w:eastAsia="zh-CN"/>
              </w:rPr>
              <w:t>检测、监测</w:t>
            </w:r>
            <w:r>
              <w:rPr>
                <w:rFonts w:hint="eastAsia" w:ascii="宋体" w:hAnsi="宋体" w:eastAsia="宋体" w:cs="宋体"/>
                <w:color w:val="auto"/>
                <w:sz w:val="21"/>
                <w:szCs w:val="21"/>
                <w:highlight w:val="none"/>
              </w:rPr>
              <w:t>工作年限</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733E1D">
            <w:pPr>
              <w:rPr>
                <w:rFonts w:hint="eastAsia" w:ascii="宋体" w:hAnsi="宋体" w:eastAsia="宋体" w:cs="宋体"/>
                <w:color w:val="auto"/>
                <w:sz w:val="21"/>
                <w:szCs w:val="21"/>
                <w:highlight w:val="none"/>
              </w:rPr>
            </w:pPr>
          </w:p>
        </w:tc>
      </w:tr>
      <w:tr w14:paraId="6AF97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exact"/>
        </w:trPr>
        <w:tc>
          <w:tcPr>
            <w:tcW w:w="852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1E3244">
            <w:pPr>
              <w:pStyle w:val="33"/>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主要工作经历</w:t>
            </w:r>
          </w:p>
        </w:tc>
      </w:tr>
      <w:tr w14:paraId="0B828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BAAFC0">
            <w:pPr>
              <w:pStyle w:val="33"/>
              <w:tabs>
                <w:tab w:val="left" w:pos="873"/>
              </w:tabs>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间</w:t>
            </w: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06E642">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E100A1">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担任职务</w:t>
            </w: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BEB5D1">
            <w:pPr>
              <w:pStyle w:val="33"/>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委托人及联系电话</w:t>
            </w:r>
          </w:p>
        </w:tc>
      </w:tr>
      <w:tr w14:paraId="1CA7A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EC5FAD">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F3027E">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C35377">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74FC86">
            <w:pPr>
              <w:jc w:val="center"/>
              <w:rPr>
                <w:rFonts w:hint="eastAsia" w:ascii="宋体" w:hAnsi="宋体" w:eastAsia="宋体" w:cs="宋体"/>
                <w:color w:val="auto"/>
                <w:sz w:val="21"/>
                <w:szCs w:val="21"/>
                <w:highlight w:val="none"/>
              </w:rPr>
            </w:pPr>
          </w:p>
        </w:tc>
      </w:tr>
      <w:tr w14:paraId="6A877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96B5E7">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C42564">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B7DAB2">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D48F7D">
            <w:pPr>
              <w:jc w:val="center"/>
              <w:rPr>
                <w:rFonts w:hint="eastAsia" w:ascii="宋体" w:hAnsi="宋体" w:eastAsia="宋体" w:cs="宋体"/>
                <w:color w:val="auto"/>
                <w:sz w:val="21"/>
                <w:szCs w:val="21"/>
                <w:highlight w:val="none"/>
              </w:rPr>
            </w:pPr>
          </w:p>
        </w:tc>
      </w:tr>
      <w:tr w14:paraId="486A9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93649F">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87BF68">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9EC06D">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DECC95">
            <w:pPr>
              <w:jc w:val="center"/>
              <w:rPr>
                <w:rFonts w:hint="eastAsia" w:ascii="宋体" w:hAnsi="宋体" w:eastAsia="宋体" w:cs="宋体"/>
                <w:color w:val="auto"/>
                <w:sz w:val="21"/>
                <w:szCs w:val="21"/>
                <w:highlight w:val="none"/>
              </w:rPr>
            </w:pPr>
          </w:p>
        </w:tc>
      </w:tr>
      <w:tr w14:paraId="72C74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296E7B">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F1135C">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FC4909">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A0406A">
            <w:pPr>
              <w:jc w:val="center"/>
              <w:rPr>
                <w:rFonts w:hint="eastAsia" w:ascii="宋体" w:hAnsi="宋体" w:eastAsia="宋体" w:cs="宋体"/>
                <w:color w:val="auto"/>
                <w:sz w:val="21"/>
                <w:szCs w:val="21"/>
                <w:highlight w:val="none"/>
              </w:rPr>
            </w:pPr>
          </w:p>
        </w:tc>
      </w:tr>
      <w:tr w14:paraId="5B6BA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6D8876">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992752">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89FE8E">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9318CC">
            <w:pPr>
              <w:jc w:val="center"/>
              <w:rPr>
                <w:rFonts w:hint="eastAsia" w:ascii="宋体" w:hAnsi="宋体" w:eastAsia="宋体" w:cs="宋体"/>
                <w:color w:val="auto"/>
                <w:sz w:val="21"/>
                <w:szCs w:val="21"/>
                <w:highlight w:val="none"/>
              </w:rPr>
            </w:pPr>
          </w:p>
        </w:tc>
      </w:tr>
      <w:tr w14:paraId="5FEC8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586CA2">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0F64D3">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350A26">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601CB4">
            <w:pPr>
              <w:jc w:val="center"/>
              <w:rPr>
                <w:rFonts w:hint="eastAsia" w:ascii="宋体" w:hAnsi="宋体" w:eastAsia="宋体" w:cs="宋体"/>
                <w:color w:val="auto"/>
                <w:sz w:val="21"/>
                <w:szCs w:val="21"/>
                <w:highlight w:val="none"/>
              </w:rPr>
            </w:pPr>
          </w:p>
        </w:tc>
      </w:tr>
      <w:tr w14:paraId="09B33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C818E2">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269989">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0CF7D6">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6E954B">
            <w:pPr>
              <w:jc w:val="center"/>
              <w:rPr>
                <w:rFonts w:hint="eastAsia" w:ascii="宋体" w:hAnsi="宋体" w:eastAsia="宋体" w:cs="宋体"/>
                <w:color w:val="auto"/>
                <w:sz w:val="21"/>
                <w:szCs w:val="21"/>
                <w:highlight w:val="none"/>
              </w:rPr>
            </w:pPr>
          </w:p>
        </w:tc>
      </w:tr>
    </w:tbl>
    <w:p w14:paraId="454BB4AA">
      <w:pPr>
        <w:pStyle w:val="14"/>
        <w:kinsoku w:val="0"/>
        <w:overflowPunct w:val="0"/>
        <w:spacing w:before="6"/>
        <w:ind w:left="0"/>
        <w:rPr>
          <w:rFonts w:hint="eastAsia" w:ascii="宋体" w:hAnsi="宋体" w:eastAsia="宋体" w:cs="宋体"/>
          <w:color w:val="auto"/>
          <w:sz w:val="24"/>
          <w:szCs w:val="24"/>
          <w:highlight w:val="none"/>
        </w:rPr>
      </w:pPr>
    </w:p>
    <w:p w14:paraId="3C6B1B52">
      <w:pPr>
        <w:pStyle w:val="14"/>
        <w:kinsoku w:val="0"/>
        <w:overflowPunct w:val="0"/>
        <w:spacing w:before="36"/>
        <w:ind w:left="100"/>
        <w:rPr>
          <w:rFonts w:hint="eastAsia" w:ascii="宋体" w:hAnsi="宋体" w:eastAsia="宋体" w:cs="宋体"/>
          <w:color w:val="auto"/>
          <w:sz w:val="24"/>
          <w:szCs w:val="24"/>
          <w:highlight w:val="none"/>
        </w:rPr>
      </w:pPr>
    </w:p>
    <w:p w14:paraId="74696185">
      <w:pPr>
        <w:pStyle w:val="14"/>
        <w:kinsoku w:val="0"/>
        <w:overflowPunct w:val="0"/>
        <w:spacing w:before="36"/>
        <w:ind w:left="100"/>
        <w:rPr>
          <w:rFonts w:hint="eastAsia" w:ascii="宋体" w:hAnsi="宋体" w:eastAsia="宋体" w:cs="宋体"/>
          <w:color w:val="auto"/>
          <w:sz w:val="24"/>
          <w:szCs w:val="24"/>
          <w:highlight w:val="none"/>
        </w:rPr>
        <w:sectPr>
          <w:headerReference r:id="rId22" w:type="default"/>
          <w:footerReference r:id="rId23" w:type="default"/>
          <w:pgSz w:w="11905" w:h="16838"/>
          <w:pgMar w:top="1417" w:right="1417" w:bottom="1417" w:left="1417" w:header="992" w:footer="992" w:gutter="0"/>
          <w:lnNumType w:countBy="0" w:distance="360"/>
          <w:pgNumType w:fmt="decimal"/>
          <w:cols w:space="0" w:num="1"/>
          <w:rtlGutter w:val="0"/>
          <w:docGrid w:linePitch="0" w:charSpace="0"/>
        </w:sectPr>
      </w:pPr>
    </w:p>
    <w:p w14:paraId="34596429">
      <w:pPr>
        <w:pStyle w:val="2"/>
        <w:ind w:left="0" w:leftChars="0" w:firstLine="0" w:firstLineChars="0"/>
        <w:rPr>
          <w:rFonts w:hint="eastAsia" w:ascii="宋体" w:hAnsi="宋体" w:cs="宋体"/>
          <w:b/>
          <w:color w:val="auto"/>
          <w:sz w:val="24"/>
          <w:szCs w:val="24"/>
          <w:highlight w:val="none"/>
          <w:lang w:val="en-US" w:eastAsia="zh-CN" w:bidi="ar-SA"/>
        </w:rPr>
      </w:pPr>
      <w:bookmarkStart w:id="247" w:name="bookmark192"/>
      <w:bookmarkEnd w:id="247"/>
      <w:r>
        <w:rPr>
          <w:rFonts w:hint="eastAsia" w:ascii="宋体" w:hAnsi="宋体" w:cs="宋体"/>
          <w:b/>
          <w:color w:val="auto"/>
          <w:sz w:val="24"/>
          <w:szCs w:val="24"/>
          <w:highlight w:val="none"/>
          <w:lang w:val="en-US" w:eastAsia="zh-CN" w:bidi="ar-SA"/>
        </w:rPr>
        <w:t>（四）</w:t>
      </w:r>
      <w:r>
        <w:rPr>
          <w:rFonts w:hint="eastAsia" w:ascii="宋体" w:hAnsi="宋体" w:cs="宋体"/>
          <w:b/>
          <w:color w:val="auto"/>
          <w:sz w:val="24"/>
          <w:szCs w:val="24"/>
          <w:highlight w:val="none"/>
        </w:rPr>
        <w:t>针对</w:t>
      </w:r>
      <w:r>
        <w:rPr>
          <w:rFonts w:hint="eastAsia" w:ascii="宋体" w:hAnsi="宋体" w:eastAsia="宋体" w:cs="宋体"/>
          <w:b/>
          <w:color w:val="auto"/>
          <w:sz w:val="24"/>
          <w:szCs w:val="24"/>
          <w:highlight w:val="none"/>
          <w:lang w:val="en-US" w:eastAsia="zh-CN"/>
        </w:rPr>
        <w:t>投标人资信</w:t>
      </w:r>
      <w:r>
        <w:rPr>
          <w:rFonts w:hint="eastAsia" w:ascii="宋体" w:hAnsi="宋体" w:cs="宋体"/>
          <w:b/>
          <w:color w:val="auto"/>
          <w:sz w:val="24"/>
          <w:szCs w:val="24"/>
          <w:highlight w:val="none"/>
        </w:rPr>
        <w:t>的证明资料</w:t>
      </w:r>
    </w:p>
    <w:p w14:paraId="6F772FA2">
      <w:pPr>
        <w:pStyle w:val="2"/>
        <w:ind w:left="0" w:leftChars="0" w:firstLine="0" w:firstLineChars="0"/>
        <w:rPr>
          <w:rFonts w:hint="eastAsia" w:ascii="宋体" w:hAnsi="宋体" w:cs="宋体"/>
          <w:b/>
          <w:color w:val="auto"/>
          <w:sz w:val="24"/>
          <w:szCs w:val="24"/>
          <w:highlight w:val="none"/>
          <w:lang w:val="en-US" w:eastAsia="zh-CN" w:bidi="ar-SA"/>
        </w:rPr>
      </w:pPr>
    </w:p>
    <w:p w14:paraId="6EBAA43B">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7A0CB378">
      <w:pPr>
        <w:pStyle w:val="2"/>
        <w:ind w:left="0" w:leftChars="0" w:firstLine="0" w:firstLineChars="0"/>
        <w:rPr>
          <w:rFonts w:hint="eastAsia" w:ascii="宋体" w:hAnsi="宋体" w:cs="宋体"/>
          <w:b/>
          <w:color w:val="auto"/>
          <w:sz w:val="24"/>
          <w:szCs w:val="24"/>
          <w:highlight w:val="none"/>
          <w:lang w:val="en-US" w:eastAsia="zh-CN" w:bidi="ar-SA"/>
        </w:rPr>
      </w:pP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eastAsia="zh-CN"/>
        </w:rPr>
        <w:t>五</w:t>
      </w:r>
      <w:r>
        <w:rPr>
          <w:rFonts w:hint="eastAsia" w:ascii="宋体" w:hAnsi="宋体" w:eastAsia="宋体" w:cs="宋体"/>
          <w:b/>
          <w:color w:val="auto"/>
          <w:sz w:val="24"/>
          <w:szCs w:val="24"/>
          <w:highlight w:val="none"/>
        </w:rPr>
        <w:t>）</w:t>
      </w:r>
      <w:r>
        <w:rPr>
          <w:rFonts w:hint="eastAsia" w:ascii="宋体" w:hAnsi="宋体" w:cs="宋体"/>
          <w:b/>
          <w:bCs w:val="0"/>
          <w:color w:val="auto"/>
          <w:position w:val="0"/>
          <w:sz w:val="24"/>
          <w:szCs w:val="24"/>
          <w:highlight w:val="none"/>
        </w:rPr>
        <w:t>检测能力汇总表</w:t>
      </w:r>
    </w:p>
    <w:tbl>
      <w:tblPr>
        <w:tblStyle w:val="24"/>
        <w:tblW w:w="10025"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556"/>
        <w:gridCol w:w="2818"/>
        <w:gridCol w:w="1690"/>
        <w:gridCol w:w="1658"/>
        <w:gridCol w:w="1074"/>
        <w:gridCol w:w="915"/>
        <w:gridCol w:w="1314"/>
      </w:tblGrid>
      <w:tr w14:paraId="61704AF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439" w:hRule="atLeast"/>
          <w:tblHeader/>
          <w:jc w:val="center"/>
        </w:trPr>
        <w:tc>
          <w:tcPr>
            <w:tcW w:w="556" w:type="dxa"/>
            <w:vMerge w:val="restart"/>
            <w:tcBorders>
              <w:top w:val="single" w:color="auto" w:sz="2" w:space="0"/>
              <w:left w:val="single" w:color="auto" w:sz="2" w:space="0"/>
              <w:bottom w:val="single" w:color="auto" w:sz="6" w:space="0"/>
              <w:right w:val="single" w:color="auto" w:sz="6" w:space="0"/>
            </w:tcBorders>
            <w:vAlign w:val="center"/>
          </w:tcPr>
          <w:p w14:paraId="39FEDFD2">
            <w:pPr>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2818" w:type="dxa"/>
            <w:vMerge w:val="restart"/>
            <w:tcBorders>
              <w:top w:val="single" w:color="auto" w:sz="2" w:space="0"/>
              <w:left w:val="single" w:color="auto" w:sz="6" w:space="0"/>
              <w:bottom w:val="single" w:color="auto" w:sz="6" w:space="0"/>
              <w:right w:val="single" w:color="auto" w:sz="6" w:space="0"/>
            </w:tcBorders>
            <w:vAlign w:val="center"/>
          </w:tcPr>
          <w:p w14:paraId="0E152D77">
            <w:pPr>
              <w:jc w:val="center"/>
              <w:rPr>
                <w:rFonts w:ascii="宋体" w:hAnsi="宋体"/>
                <w:color w:val="auto"/>
                <w:sz w:val="21"/>
                <w:szCs w:val="21"/>
                <w:highlight w:val="none"/>
              </w:rPr>
            </w:pPr>
            <w:r>
              <w:rPr>
                <w:rFonts w:hint="eastAsia" w:ascii="宋体" w:hAnsi="宋体"/>
                <w:color w:val="auto"/>
                <w:spacing w:val="-6"/>
                <w:sz w:val="21"/>
                <w:szCs w:val="21"/>
                <w:highlight w:val="none"/>
              </w:rPr>
              <w:t>检测项目</w:t>
            </w:r>
          </w:p>
        </w:tc>
        <w:tc>
          <w:tcPr>
            <w:tcW w:w="5337" w:type="dxa"/>
            <w:gridSpan w:val="4"/>
            <w:tcBorders>
              <w:top w:val="single" w:color="auto" w:sz="2" w:space="0"/>
              <w:left w:val="single" w:color="auto" w:sz="6" w:space="0"/>
              <w:bottom w:val="single" w:color="auto" w:sz="6" w:space="0"/>
              <w:right w:val="single" w:color="auto" w:sz="6" w:space="0"/>
            </w:tcBorders>
            <w:vAlign w:val="center"/>
          </w:tcPr>
          <w:p w14:paraId="57CA529D">
            <w:pPr>
              <w:jc w:val="center"/>
              <w:rPr>
                <w:rFonts w:ascii="宋体" w:hAnsi="宋体"/>
                <w:color w:val="auto"/>
                <w:sz w:val="21"/>
                <w:szCs w:val="21"/>
                <w:highlight w:val="none"/>
              </w:rPr>
            </w:pPr>
            <w:r>
              <w:rPr>
                <w:rFonts w:hint="eastAsia" w:ascii="宋体" w:hAnsi="宋体"/>
                <w:color w:val="auto"/>
                <w:sz w:val="21"/>
                <w:szCs w:val="21"/>
                <w:highlight w:val="none"/>
              </w:rPr>
              <w:t>资质认定计量认证证书对应关系</w:t>
            </w:r>
          </w:p>
        </w:tc>
        <w:tc>
          <w:tcPr>
            <w:tcW w:w="1314" w:type="dxa"/>
            <w:vMerge w:val="restart"/>
            <w:tcBorders>
              <w:top w:val="single" w:color="auto" w:sz="2" w:space="0"/>
              <w:left w:val="single" w:color="auto" w:sz="6" w:space="0"/>
              <w:bottom w:val="single" w:color="auto" w:sz="6" w:space="0"/>
              <w:right w:val="single" w:color="auto" w:sz="2" w:space="0"/>
            </w:tcBorders>
            <w:vAlign w:val="center"/>
          </w:tcPr>
          <w:p w14:paraId="391CF81D">
            <w:pPr>
              <w:jc w:val="center"/>
              <w:rPr>
                <w:rFonts w:ascii="宋体" w:hAnsi="宋体"/>
                <w:color w:val="auto"/>
                <w:sz w:val="21"/>
                <w:szCs w:val="21"/>
                <w:highlight w:val="none"/>
              </w:rPr>
            </w:pPr>
            <w:r>
              <w:rPr>
                <w:rFonts w:hint="eastAsia" w:ascii="宋体" w:hAnsi="宋体"/>
                <w:color w:val="auto"/>
                <w:sz w:val="21"/>
                <w:szCs w:val="21"/>
                <w:highlight w:val="none"/>
              </w:rPr>
              <w:t>备注</w:t>
            </w:r>
          </w:p>
        </w:tc>
      </w:tr>
      <w:tr w14:paraId="6F194B3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556" w:type="dxa"/>
            <w:vMerge w:val="continue"/>
            <w:tcBorders>
              <w:top w:val="single" w:color="auto" w:sz="6" w:space="0"/>
              <w:left w:val="single" w:color="auto" w:sz="2" w:space="0"/>
              <w:bottom w:val="single" w:color="auto" w:sz="6" w:space="0"/>
              <w:right w:val="single" w:color="auto" w:sz="6" w:space="0"/>
            </w:tcBorders>
            <w:vAlign w:val="center"/>
          </w:tcPr>
          <w:p w14:paraId="7428F9C5">
            <w:pPr>
              <w:jc w:val="center"/>
              <w:rPr>
                <w:rFonts w:ascii="宋体" w:hAnsi="宋体"/>
                <w:color w:val="auto"/>
                <w:sz w:val="21"/>
                <w:szCs w:val="21"/>
                <w:highlight w:val="none"/>
              </w:rPr>
            </w:pPr>
          </w:p>
        </w:tc>
        <w:tc>
          <w:tcPr>
            <w:tcW w:w="2818" w:type="dxa"/>
            <w:vMerge w:val="continue"/>
            <w:tcBorders>
              <w:top w:val="single" w:color="auto" w:sz="6" w:space="0"/>
              <w:left w:val="single" w:color="auto" w:sz="6" w:space="0"/>
              <w:bottom w:val="single" w:color="auto" w:sz="6" w:space="0"/>
              <w:right w:val="single" w:color="auto" w:sz="6" w:space="0"/>
            </w:tcBorders>
            <w:vAlign w:val="center"/>
          </w:tcPr>
          <w:p w14:paraId="5340113A">
            <w:pPr>
              <w:jc w:val="center"/>
              <w:rPr>
                <w:rFonts w:ascii="宋体" w:hAnsi="宋体"/>
                <w:color w:val="auto"/>
                <w:sz w:val="21"/>
                <w:szCs w:val="21"/>
                <w:highlight w:val="none"/>
              </w:rPr>
            </w:pPr>
          </w:p>
        </w:tc>
        <w:tc>
          <w:tcPr>
            <w:tcW w:w="1690" w:type="dxa"/>
            <w:tcBorders>
              <w:top w:val="single" w:color="auto" w:sz="6" w:space="0"/>
              <w:left w:val="single" w:color="auto" w:sz="6" w:space="0"/>
              <w:bottom w:val="single" w:color="auto" w:sz="6" w:space="0"/>
              <w:right w:val="single" w:color="auto" w:sz="6" w:space="0"/>
            </w:tcBorders>
            <w:vAlign w:val="center"/>
          </w:tcPr>
          <w:p w14:paraId="1134219B">
            <w:pPr>
              <w:jc w:val="center"/>
              <w:rPr>
                <w:rFonts w:ascii="宋体" w:hAnsi="宋体"/>
                <w:color w:val="auto"/>
                <w:sz w:val="21"/>
                <w:szCs w:val="21"/>
                <w:highlight w:val="none"/>
              </w:rPr>
            </w:pPr>
            <w:r>
              <w:rPr>
                <w:rFonts w:hint="eastAsia" w:ascii="宋体" w:hAnsi="宋体"/>
                <w:color w:val="auto"/>
                <w:sz w:val="21"/>
                <w:szCs w:val="21"/>
                <w:highlight w:val="none"/>
              </w:rPr>
              <w:t>对应计量认证证书附表中的序号或条款</w:t>
            </w:r>
          </w:p>
        </w:tc>
        <w:tc>
          <w:tcPr>
            <w:tcW w:w="1658" w:type="dxa"/>
            <w:tcBorders>
              <w:top w:val="single" w:color="auto" w:sz="6" w:space="0"/>
              <w:left w:val="single" w:color="auto" w:sz="6" w:space="0"/>
              <w:bottom w:val="single" w:color="auto" w:sz="6" w:space="0"/>
              <w:right w:val="single" w:color="auto" w:sz="6" w:space="0"/>
            </w:tcBorders>
            <w:vAlign w:val="center"/>
          </w:tcPr>
          <w:p w14:paraId="6331F09F">
            <w:pPr>
              <w:jc w:val="center"/>
              <w:rPr>
                <w:rFonts w:ascii="宋体" w:hAnsi="宋体"/>
                <w:color w:val="auto"/>
                <w:sz w:val="21"/>
                <w:szCs w:val="21"/>
                <w:highlight w:val="none"/>
              </w:rPr>
            </w:pPr>
            <w:r>
              <w:rPr>
                <w:rFonts w:hint="eastAsia" w:ascii="宋体" w:hAnsi="宋体"/>
                <w:color w:val="auto"/>
                <w:sz w:val="21"/>
                <w:szCs w:val="21"/>
                <w:highlight w:val="none"/>
              </w:rPr>
              <w:t>计量认证证书附表中的对应名称</w:t>
            </w:r>
          </w:p>
        </w:tc>
        <w:tc>
          <w:tcPr>
            <w:tcW w:w="1074" w:type="dxa"/>
            <w:tcBorders>
              <w:top w:val="single" w:color="auto" w:sz="6" w:space="0"/>
              <w:left w:val="single" w:color="auto" w:sz="6" w:space="0"/>
              <w:bottom w:val="single" w:color="auto" w:sz="6" w:space="0"/>
              <w:right w:val="single" w:color="auto" w:sz="2" w:space="0"/>
            </w:tcBorders>
            <w:vAlign w:val="center"/>
          </w:tcPr>
          <w:p w14:paraId="607525EA">
            <w:pPr>
              <w:jc w:val="center"/>
              <w:rPr>
                <w:rFonts w:ascii="宋体" w:hAnsi="宋体"/>
                <w:color w:val="auto"/>
                <w:sz w:val="21"/>
                <w:szCs w:val="21"/>
                <w:highlight w:val="none"/>
              </w:rPr>
            </w:pPr>
            <w:r>
              <w:rPr>
                <w:rFonts w:hint="eastAsia" w:ascii="宋体" w:hAnsi="宋体"/>
                <w:color w:val="auto"/>
                <w:sz w:val="21"/>
                <w:szCs w:val="21"/>
                <w:highlight w:val="none"/>
              </w:rPr>
              <w:t>相关说明</w:t>
            </w:r>
          </w:p>
        </w:tc>
        <w:tc>
          <w:tcPr>
            <w:tcW w:w="915" w:type="dxa"/>
            <w:tcBorders>
              <w:top w:val="single" w:color="auto" w:sz="6" w:space="0"/>
              <w:left w:val="single" w:color="auto" w:sz="2" w:space="0"/>
              <w:bottom w:val="single" w:color="auto" w:sz="6" w:space="0"/>
              <w:right w:val="single" w:color="auto" w:sz="6" w:space="0"/>
            </w:tcBorders>
            <w:vAlign w:val="center"/>
          </w:tcPr>
          <w:p w14:paraId="3BA7C20F">
            <w:pPr>
              <w:jc w:val="center"/>
              <w:rPr>
                <w:rFonts w:ascii="宋体" w:hAnsi="宋体"/>
                <w:color w:val="auto"/>
                <w:sz w:val="21"/>
                <w:szCs w:val="21"/>
                <w:highlight w:val="none"/>
              </w:rPr>
            </w:pPr>
            <w:r>
              <w:rPr>
                <w:rFonts w:hint="eastAsia" w:ascii="宋体" w:hAnsi="宋体"/>
                <w:color w:val="auto"/>
                <w:sz w:val="21"/>
                <w:szCs w:val="21"/>
                <w:highlight w:val="none"/>
              </w:rPr>
              <w:t>是否满足要求</w:t>
            </w:r>
          </w:p>
        </w:tc>
        <w:tc>
          <w:tcPr>
            <w:tcW w:w="1314" w:type="dxa"/>
            <w:vMerge w:val="continue"/>
            <w:tcBorders>
              <w:top w:val="single" w:color="auto" w:sz="6" w:space="0"/>
              <w:left w:val="single" w:color="auto" w:sz="6" w:space="0"/>
              <w:bottom w:val="single" w:color="auto" w:sz="6" w:space="0"/>
              <w:right w:val="single" w:color="auto" w:sz="2" w:space="0"/>
            </w:tcBorders>
            <w:vAlign w:val="center"/>
          </w:tcPr>
          <w:p w14:paraId="372FA1CF">
            <w:pPr>
              <w:rPr>
                <w:rFonts w:ascii="宋体" w:hAnsi="宋体"/>
                <w:color w:val="auto"/>
                <w:sz w:val="21"/>
                <w:szCs w:val="21"/>
                <w:highlight w:val="none"/>
              </w:rPr>
            </w:pPr>
          </w:p>
        </w:tc>
      </w:tr>
      <w:tr w14:paraId="7464608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56" w:type="dxa"/>
            <w:tcBorders>
              <w:top w:val="single" w:color="auto" w:sz="6" w:space="0"/>
              <w:left w:val="single" w:color="auto" w:sz="2" w:space="0"/>
              <w:bottom w:val="single" w:color="auto" w:sz="6" w:space="0"/>
              <w:right w:val="single" w:color="auto" w:sz="6" w:space="0"/>
            </w:tcBorders>
            <w:vAlign w:val="center"/>
          </w:tcPr>
          <w:p w14:paraId="7C8FD707">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w:t>
            </w:r>
          </w:p>
        </w:tc>
        <w:tc>
          <w:tcPr>
            <w:tcW w:w="2818" w:type="dxa"/>
            <w:tcBorders>
              <w:top w:val="single" w:color="auto" w:sz="6" w:space="0"/>
              <w:left w:val="single" w:color="auto" w:sz="6" w:space="0"/>
              <w:bottom w:val="single" w:color="auto" w:sz="6" w:space="0"/>
              <w:right w:val="single" w:color="auto" w:sz="6" w:space="0"/>
            </w:tcBorders>
            <w:vAlign w:val="center"/>
          </w:tcPr>
          <w:p w14:paraId="65FFCF81">
            <w:pPr>
              <w:rPr>
                <w:rFonts w:ascii="宋体" w:hAnsi="宋体"/>
                <w:color w:val="auto"/>
                <w:sz w:val="21"/>
                <w:szCs w:val="21"/>
                <w:highlight w:val="none"/>
              </w:rPr>
            </w:pPr>
            <w:r>
              <w:rPr>
                <w:rFonts w:ascii="宋体" w:hAnsi="宋体"/>
                <w:color w:val="auto"/>
                <w:sz w:val="21"/>
                <w:szCs w:val="21"/>
                <w:highlight w:val="none"/>
              </w:rPr>
              <w:t>标准贯入试验</w:t>
            </w:r>
          </w:p>
        </w:tc>
        <w:tc>
          <w:tcPr>
            <w:tcW w:w="1690" w:type="dxa"/>
            <w:tcBorders>
              <w:top w:val="single" w:color="auto" w:sz="6" w:space="0"/>
              <w:left w:val="single" w:color="auto" w:sz="6" w:space="0"/>
              <w:bottom w:val="single" w:color="auto" w:sz="6" w:space="0"/>
              <w:right w:val="single" w:color="auto" w:sz="6" w:space="0"/>
            </w:tcBorders>
            <w:vAlign w:val="center"/>
          </w:tcPr>
          <w:p w14:paraId="02918FF1">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6A341A6D">
            <w:pPr>
              <w:spacing w:line="280" w:lineRule="exact"/>
              <w:jc w:val="center"/>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21483771">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6DA49F0E">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14F3CB97">
            <w:pPr>
              <w:spacing w:line="280" w:lineRule="exact"/>
              <w:rPr>
                <w:rFonts w:ascii="宋体" w:hAnsi="宋体"/>
                <w:color w:val="auto"/>
                <w:spacing w:val="-6"/>
                <w:sz w:val="21"/>
                <w:szCs w:val="21"/>
                <w:highlight w:val="none"/>
              </w:rPr>
            </w:pPr>
          </w:p>
        </w:tc>
      </w:tr>
      <w:tr w14:paraId="146BD30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56" w:type="dxa"/>
            <w:tcBorders>
              <w:top w:val="single" w:color="auto" w:sz="6" w:space="0"/>
              <w:left w:val="single" w:color="auto" w:sz="2" w:space="0"/>
              <w:bottom w:val="single" w:color="auto" w:sz="6" w:space="0"/>
              <w:right w:val="single" w:color="auto" w:sz="6" w:space="0"/>
            </w:tcBorders>
            <w:vAlign w:val="center"/>
          </w:tcPr>
          <w:p w14:paraId="0FF48F0F">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2</w:t>
            </w:r>
          </w:p>
        </w:tc>
        <w:tc>
          <w:tcPr>
            <w:tcW w:w="2818" w:type="dxa"/>
            <w:tcBorders>
              <w:top w:val="single" w:color="auto" w:sz="6" w:space="0"/>
              <w:left w:val="single" w:color="auto" w:sz="6" w:space="0"/>
              <w:bottom w:val="single" w:color="auto" w:sz="6" w:space="0"/>
              <w:right w:val="single" w:color="auto" w:sz="6" w:space="0"/>
            </w:tcBorders>
            <w:vAlign w:val="center"/>
          </w:tcPr>
          <w:p w14:paraId="2CADE128">
            <w:pPr>
              <w:rPr>
                <w:rFonts w:ascii="宋体" w:hAnsi="宋体"/>
                <w:color w:val="auto"/>
                <w:spacing w:val="-6"/>
                <w:sz w:val="21"/>
                <w:szCs w:val="21"/>
                <w:highlight w:val="none"/>
              </w:rPr>
            </w:pPr>
            <w:r>
              <w:rPr>
                <w:rFonts w:ascii="宋体" w:hAnsi="宋体"/>
                <w:color w:val="auto"/>
                <w:spacing w:val="-6"/>
                <w:sz w:val="21"/>
                <w:szCs w:val="21"/>
                <w:highlight w:val="none"/>
              </w:rPr>
              <w:t>平板荷载（</w:t>
            </w:r>
            <w:r>
              <w:rPr>
                <w:rFonts w:hint="eastAsia" w:ascii="宋体" w:hAnsi="宋体"/>
                <w:color w:val="auto"/>
                <w:spacing w:val="-6"/>
                <w:sz w:val="21"/>
                <w:szCs w:val="21"/>
                <w:highlight w:val="none"/>
              </w:rPr>
              <w:t>承载力（地基载荷试验）</w:t>
            </w:r>
            <w:r>
              <w:rPr>
                <w:rFonts w:ascii="宋体" w:hAnsi="宋体"/>
                <w:color w:val="auto"/>
                <w:spacing w:val="-6"/>
                <w:sz w:val="21"/>
                <w:szCs w:val="21"/>
                <w:highlight w:val="none"/>
              </w:rPr>
              <w:t>）</w:t>
            </w:r>
          </w:p>
        </w:tc>
        <w:tc>
          <w:tcPr>
            <w:tcW w:w="1690" w:type="dxa"/>
            <w:tcBorders>
              <w:top w:val="single" w:color="auto" w:sz="6" w:space="0"/>
              <w:left w:val="single" w:color="auto" w:sz="6" w:space="0"/>
              <w:bottom w:val="single" w:color="auto" w:sz="6" w:space="0"/>
              <w:right w:val="single" w:color="auto" w:sz="6" w:space="0"/>
            </w:tcBorders>
            <w:vAlign w:val="center"/>
          </w:tcPr>
          <w:p w14:paraId="55420D0B">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3775EA7A">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62BF69F7">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7638E978">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043662E3">
            <w:pPr>
              <w:spacing w:line="280" w:lineRule="exact"/>
              <w:rPr>
                <w:rFonts w:ascii="宋体" w:hAnsi="宋体"/>
                <w:color w:val="auto"/>
                <w:spacing w:val="-6"/>
                <w:sz w:val="21"/>
                <w:szCs w:val="21"/>
                <w:highlight w:val="none"/>
              </w:rPr>
            </w:pPr>
          </w:p>
        </w:tc>
      </w:tr>
      <w:tr w14:paraId="4187007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56" w:type="dxa"/>
            <w:tcBorders>
              <w:top w:val="single" w:color="auto" w:sz="6" w:space="0"/>
              <w:left w:val="single" w:color="auto" w:sz="2" w:space="0"/>
              <w:bottom w:val="single" w:color="auto" w:sz="6" w:space="0"/>
              <w:right w:val="single" w:color="auto" w:sz="6" w:space="0"/>
            </w:tcBorders>
            <w:vAlign w:val="center"/>
          </w:tcPr>
          <w:p w14:paraId="6F89F738">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3</w:t>
            </w:r>
          </w:p>
        </w:tc>
        <w:tc>
          <w:tcPr>
            <w:tcW w:w="2818" w:type="dxa"/>
            <w:tcBorders>
              <w:top w:val="single" w:color="auto" w:sz="6" w:space="0"/>
              <w:left w:val="single" w:color="auto" w:sz="6" w:space="0"/>
              <w:bottom w:val="single" w:color="auto" w:sz="6" w:space="0"/>
              <w:right w:val="single" w:color="auto" w:sz="6" w:space="0"/>
            </w:tcBorders>
            <w:vAlign w:val="center"/>
          </w:tcPr>
          <w:p w14:paraId="5CE82AF5">
            <w:pPr>
              <w:rPr>
                <w:rFonts w:ascii="宋体" w:hAnsi="宋体"/>
                <w:color w:val="auto"/>
                <w:spacing w:val="-6"/>
                <w:sz w:val="21"/>
                <w:szCs w:val="21"/>
                <w:highlight w:val="none"/>
              </w:rPr>
            </w:pPr>
            <w:r>
              <w:rPr>
                <w:rFonts w:ascii="宋体" w:hAnsi="宋体"/>
                <w:color w:val="auto"/>
                <w:spacing w:val="-6"/>
                <w:sz w:val="21"/>
                <w:szCs w:val="21"/>
                <w:highlight w:val="none"/>
              </w:rPr>
              <w:t>低应变（</w:t>
            </w:r>
            <w:r>
              <w:rPr>
                <w:rFonts w:hint="eastAsia" w:ascii="宋体" w:hAnsi="宋体"/>
                <w:color w:val="auto"/>
                <w:spacing w:val="-6"/>
                <w:sz w:val="21"/>
                <w:szCs w:val="21"/>
                <w:highlight w:val="none"/>
              </w:rPr>
              <w:t>低应变法</w:t>
            </w:r>
            <w:r>
              <w:rPr>
                <w:rFonts w:ascii="宋体" w:hAnsi="宋体"/>
                <w:color w:val="auto"/>
                <w:spacing w:val="-6"/>
                <w:sz w:val="21"/>
                <w:szCs w:val="21"/>
                <w:highlight w:val="none"/>
              </w:rPr>
              <w:t>）</w:t>
            </w:r>
          </w:p>
        </w:tc>
        <w:tc>
          <w:tcPr>
            <w:tcW w:w="1690" w:type="dxa"/>
            <w:tcBorders>
              <w:top w:val="single" w:color="auto" w:sz="6" w:space="0"/>
              <w:left w:val="single" w:color="auto" w:sz="6" w:space="0"/>
              <w:bottom w:val="single" w:color="auto" w:sz="6" w:space="0"/>
              <w:right w:val="single" w:color="auto" w:sz="6" w:space="0"/>
            </w:tcBorders>
            <w:vAlign w:val="center"/>
          </w:tcPr>
          <w:p w14:paraId="53B7EE80">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2AC9B31A">
            <w:pPr>
              <w:widowControl/>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05975DC3">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533E9781">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74A81454">
            <w:pPr>
              <w:spacing w:line="280" w:lineRule="exact"/>
              <w:rPr>
                <w:rFonts w:ascii="宋体" w:hAnsi="宋体"/>
                <w:color w:val="auto"/>
                <w:spacing w:val="-6"/>
                <w:sz w:val="21"/>
                <w:szCs w:val="21"/>
                <w:highlight w:val="none"/>
              </w:rPr>
            </w:pPr>
          </w:p>
        </w:tc>
      </w:tr>
      <w:tr w14:paraId="78D566A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56" w:type="dxa"/>
            <w:tcBorders>
              <w:top w:val="single" w:color="auto" w:sz="6" w:space="0"/>
              <w:left w:val="single" w:color="auto" w:sz="2" w:space="0"/>
              <w:bottom w:val="single" w:color="auto" w:sz="6" w:space="0"/>
              <w:right w:val="single" w:color="auto" w:sz="6" w:space="0"/>
            </w:tcBorders>
            <w:vAlign w:val="center"/>
          </w:tcPr>
          <w:p w14:paraId="6D6DA1AD">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4</w:t>
            </w:r>
          </w:p>
        </w:tc>
        <w:tc>
          <w:tcPr>
            <w:tcW w:w="2818" w:type="dxa"/>
            <w:tcBorders>
              <w:top w:val="single" w:color="auto" w:sz="6" w:space="0"/>
              <w:left w:val="single" w:color="auto" w:sz="6" w:space="0"/>
              <w:bottom w:val="single" w:color="auto" w:sz="6" w:space="0"/>
              <w:right w:val="single" w:color="auto" w:sz="6" w:space="0"/>
            </w:tcBorders>
            <w:vAlign w:val="center"/>
          </w:tcPr>
          <w:p w14:paraId="4BFF32F3">
            <w:pPr>
              <w:rPr>
                <w:rFonts w:ascii="宋体" w:hAnsi="宋体"/>
                <w:color w:val="auto"/>
                <w:spacing w:val="-6"/>
                <w:sz w:val="21"/>
                <w:szCs w:val="21"/>
                <w:highlight w:val="none"/>
              </w:rPr>
            </w:pPr>
            <w:r>
              <w:rPr>
                <w:rFonts w:ascii="宋体" w:hAnsi="宋体"/>
                <w:color w:val="auto"/>
                <w:spacing w:val="-6"/>
                <w:sz w:val="21"/>
                <w:szCs w:val="21"/>
                <w:highlight w:val="none"/>
              </w:rPr>
              <w:t>竖向抗压静载</w:t>
            </w:r>
            <w:r>
              <w:rPr>
                <w:rFonts w:hint="eastAsia" w:ascii="宋体" w:hAnsi="宋体"/>
                <w:color w:val="auto"/>
                <w:spacing w:val="-6"/>
                <w:sz w:val="21"/>
                <w:szCs w:val="21"/>
                <w:highlight w:val="none"/>
              </w:rPr>
              <w:t>（单桩竖向抗压静载）</w:t>
            </w:r>
          </w:p>
        </w:tc>
        <w:tc>
          <w:tcPr>
            <w:tcW w:w="1690" w:type="dxa"/>
            <w:tcBorders>
              <w:top w:val="single" w:color="auto" w:sz="6" w:space="0"/>
              <w:left w:val="single" w:color="auto" w:sz="6" w:space="0"/>
              <w:bottom w:val="single" w:color="auto" w:sz="6" w:space="0"/>
              <w:right w:val="single" w:color="auto" w:sz="6" w:space="0"/>
            </w:tcBorders>
            <w:vAlign w:val="center"/>
          </w:tcPr>
          <w:p w14:paraId="27A28E3F">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5998FF95">
            <w:pPr>
              <w:widowControl/>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64CAFD6E">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375C1185">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0C05B88F">
            <w:pPr>
              <w:spacing w:line="280" w:lineRule="exact"/>
              <w:rPr>
                <w:rFonts w:ascii="宋体" w:hAnsi="宋体"/>
                <w:color w:val="auto"/>
                <w:spacing w:val="-6"/>
                <w:sz w:val="21"/>
                <w:szCs w:val="21"/>
                <w:highlight w:val="none"/>
              </w:rPr>
            </w:pPr>
          </w:p>
        </w:tc>
      </w:tr>
      <w:tr w14:paraId="2B07838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56" w:type="dxa"/>
            <w:tcBorders>
              <w:top w:val="single" w:color="auto" w:sz="6" w:space="0"/>
              <w:left w:val="single" w:color="auto" w:sz="2" w:space="0"/>
              <w:bottom w:val="single" w:color="auto" w:sz="6" w:space="0"/>
              <w:right w:val="single" w:color="auto" w:sz="6" w:space="0"/>
            </w:tcBorders>
            <w:vAlign w:val="center"/>
          </w:tcPr>
          <w:p w14:paraId="49D28BCC">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5</w:t>
            </w:r>
          </w:p>
        </w:tc>
        <w:tc>
          <w:tcPr>
            <w:tcW w:w="2818" w:type="dxa"/>
            <w:tcBorders>
              <w:top w:val="single" w:color="auto" w:sz="6" w:space="0"/>
              <w:left w:val="single" w:color="auto" w:sz="6" w:space="0"/>
              <w:bottom w:val="single" w:color="auto" w:sz="6" w:space="0"/>
              <w:right w:val="single" w:color="auto" w:sz="6" w:space="0"/>
            </w:tcBorders>
            <w:vAlign w:val="center"/>
          </w:tcPr>
          <w:p w14:paraId="1D478A96">
            <w:pPr>
              <w:rPr>
                <w:rFonts w:ascii="宋体" w:hAnsi="宋体"/>
                <w:color w:val="auto"/>
                <w:spacing w:val="-6"/>
                <w:sz w:val="21"/>
                <w:szCs w:val="21"/>
                <w:highlight w:val="none"/>
              </w:rPr>
            </w:pPr>
            <w:r>
              <w:rPr>
                <w:rFonts w:hint="eastAsia" w:ascii="宋体" w:hAnsi="宋体"/>
                <w:color w:val="auto"/>
                <w:spacing w:val="-6"/>
                <w:sz w:val="21"/>
                <w:szCs w:val="21"/>
                <w:highlight w:val="none"/>
              </w:rPr>
              <w:t>高应变（高应变法）</w:t>
            </w:r>
          </w:p>
        </w:tc>
        <w:tc>
          <w:tcPr>
            <w:tcW w:w="1690" w:type="dxa"/>
            <w:tcBorders>
              <w:top w:val="single" w:color="auto" w:sz="6" w:space="0"/>
              <w:left w:val="single" w:color="auto" w:sz="6" w:space="0"/>
              <w:bottom w:val="single" w:color="auto" w:sz="6" w:space="0"/>
              <w:right w:val="single" w:color="auto" w:sz="6" w:space="0"/>
            </w:tcBorders>
            <w:vAlign w:val="center"/>
          </w:tcPr>
          <w:p w14:paraId="011E31FA">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5F12D7DA">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598F9295">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6BE60A79">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77114644">
            <w:pPr>
              <w:spacing w:line="280" w:lineRule="exact"/>
              <w:rPr>
                <w:rFonts w:ascii="宋体" w:hAnsi="宋体"/>
                <w:color w:val="auto"/>
                <w:spacing w:val="-6"/>
                <w:sz w:val="21"/>
                <w:szCs w:val="21"/>
                <w:highlight w:val="none"/>
              </w:rPr>
            </w:pPr>
          </w:p>
        </w:tc>
      </w:tr>
      <w:tr w14:paraId="7758D97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56" w:type="dxa"/>
            <w:tcBorders>
              <w:top w:val="single" w:color="auto" w:sz="6" w:space="0"/>
              <w:left w:val="single" w:color="auto" w:sz="2" w:space="0"/>
              <w:bottom w:val="single" w:color="auto" w:sz="6" w:space="0"/>
              <w:right w:val="single" w:color="auto" w:sz="6" w:space="0"/>
            </w:tcBorders>
            <w:vAlign w:val="center"/>
          </w:tcPr>
          <w:p w14:paraId="651BC364">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6</w:t>
            </w:r>
          </w:p>
        </w:tc>
        <w:tc>
          <w:tcPr>
            <w:tcW w:w="2818" w:type="dxa"/>
            <w:tcBorders>
              <w:top w:val="single" w:color="auto" w:sz="6" w:space="0"/>
              <w:left w:val="single" w:color="auto" w:sz="6" w:space="0"/>
              <w:bottom w:val="single" w:color="auto" w:sz="6" w:space="0"/>
              <w:right w:val="single" w:color="auto" w:sz="6" w:space="0"/>
            </w:tcBorders>
            <w:vAlign w:val="center"/>
          </w:tcPr>
          <w:p w14:paraId="4AD6D2ED">
            <w:pPr>
              <w:rPr>
                <w:rFonts w:hAnsi="宋体"/>
                <w:color w:val="auto"/>
                <w:sz w:val="21"/>
                <w:szCs w:val="21"/>
                <w:highlight w:val="none"/>
              </w:rPr>
            </w:pPr>
            <w:r>
              <w:rPr>
                <w:rFonts w:hint="eastAsia" w:hAnsi="宋体"/>
                <w:color w:val="auto"/>
                <w:sz w:val="21"/>
                <w:szCs w:val="21"/>
                <w:highlight w:val="none"/>
              </w:rPr>
              <w:t>锚固质量(锚杆杆体入孔长度、锚杆注浆饱满度)（锚杆长度、浆锚搭接灌浆饱满度）</w:t>
            </w:r>
          </w:p>
        </w:tc>
        <w:tc>
          <w:tcPr>
            <w:tcW w:w="1690" w:type="dxa"/>
            <w:tcBorders>
              <w:top w:val="single" w:color="auto" w:sz="6" w:space="0"/>
              <w:left w:val="single" w:color="auto" w:sz="6" w:space="0"/>
              <w:bottom w:val="single" w:color="auto" w:sz="6" w:space="0"/>
              <w:right w:val="single" w:color="auto" w:sz="6" w:space="0"/>
            </w:tcBorders>
            <w:vAlign w:val="center"/>
          </w:tcPr>
          <w:p w14:paraId="64AA0E75">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6F17D9E9">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63D191DE">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57B4EDDC">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694AD6AC">
            <w:pPr>
              <w:spacing w:line="280" w:lineRule="exact"/>
              <w:rPr>
                <w:rFonts w:ascii="宋体" w:hAnsi="宋体"/>
                <w:color w:val="auto"/>
                <w:spacing w:val="-6"/>
                <w:sz w:val="21"/>
                <w:szCs w:val="21"/>
                <w:highlight w:val="none"/>
              </w:rPr>
            </w:pPr>
          </w:p>
        </w:tc>
      </w:tr>
      <w:tr w14:paraId="6CAEDA0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56" w:type="dxa"/>
            <w:tcBorders>
              <w:top w:val="single" w:color="auto" w:sz="6" w:space="0"/>
              <w:left w:val="single" w:color="auto" w:sz="2" w:space="0"/>
              <w:bottom w:val="single" w:color="auto" w:sz="6" w:space="0"/>
              <w:right w:val="single" w:color="auto" w:sz="6" w:space="0"/>
            </w:tcBorders>
            <w:vAlign w:val="center"/>
          </w:tcPr>
          <w:p w14:paraId="0F499FBF">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7</w:t>
            </w:r>
          </w:p>
        </w:tc>
        <w:tc>
          <w:tcPr>
            <w:tcW w:w="2818" w:type="dxa"/>
            <w:tcBorders>
              <w:top w:val="single" w:color="auto" w:sz="6" w:space="0"/>
              <w:left w:val="single" w:color="auto" w:sz="6" w:space="0"/>
              <w:bottom w:val="single" w:color="auto" w:sz="6" w:space="0"/>
              <w:right w:val="single" w:color="auto" w:sz="6" w:space="0"/>
            </w:tcBorders>
            <w:vAlign w:val="center"/>
          </w:tcPr>
          <w:p w14:paraId="090F71CA">
            <w:pPr>
              <w:spacing w:line="280" w:lineRule="exact"/>
              <w:rPr>
                <w:rFonts w:ascii="宋体" w:hAnsi="宋体"/>
                <w:color w:val="auto"/>
                <w:spacing w:val="-6"/>
                <w:sz w:val="21"/>
                <w:szCs w:val="21"/>
                <w:highlight w:val="none"/>
              </w:rPr>
            </w:pPr>
            <w:r>
              <w:rPr>
                <w:rFonts w:hint="eastAsia" w:ascii="宋体" w:hAnsi="宋体"/>
                <w:color w:val="auto"/>
                <w:spacing w:val="-6"/>
                <w:sz w:val="21"/>
                <w:szCs w:val="21"/>
                <w:highlight w:val="none"/>
              </w:rPr>
              <w:t>竖向抗拔静载（单桩竖向抗拔静载试验）</w:t>
            </w:r>
          </w:p>
        </w:tc>
        <w:tc>
          <w:tcPr>
            <w:tcW w:w="1690" w:type="dxa"/>
            <w:tcBorders>
              <w:top w:val="single" w:color="auto" w:sz="6" w:space="0"/>
              <w:left w:val="single" w:color="auto" w:sz="6" w:space="0"/>
              <w:bottom w:val="single" w:color="auto" w:sz="6" w:space="0"/>
              <w:right w:val="single" w:color="auto" w:sz="6" w:space="0"/>
            </w:tcBorders>
            <w:vAlign w:val="center"/>
          </w:tcPr>
          <w:p w14:paraId="37D117C5">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2E537694">
            <w:pPr>
              <w:widowControl/>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4DA468AA">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2EE7F681">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3AE4E38F">
            <w:pPr>
              <w:spacing w:line="280" w:lineRule="exact"/>
              <w:rPr>
                <w:rFonts w:ascii="宋体" w:hAnsi="宋体"/>
                <w:color w:val="auto"/>
                <w:spacing w:val="-6"/>
                <w:sz w:val="21"/>
                <w:szCs w:val="21"/>
                <w:highlight w:val="none"/>
              </w:rPr>
            </w:pPr>
          </w:p>
        </w:tc>
      </w:tr>
      <w:tr w14:paraId="7EC90FA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56" w:type="dxa"/>
            <w:tcBorders>
              <w:top w:val="single" w:color="auto" w:sz="6" w:space="0"/>
              <w:left w:val="single" w:color="auto" w:sz="2" w:space="0"/>
              <w:bottom w:val="single" w:color="auto" w:sz="6" w:space="0"/>
              <w:right w:val="single" w:color="auto" w:sz="6" w:space="0"/>
            </w:tcBorders>
            <w:vAlign w:val="center"/>
          </w:tcPr>
          <w:p w14:paraId="5C3CC39D">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8</w:t>
            </w:r>
          </w:p>
        </w:tc>
        <w:tc>
          <w:tcPr>
            <w:tcW w:w="2818" w:type="dxa"/>
            <w:tcBorders>
              <w:top w:val="single" w:color="auto" w:sz="6" w:space="0"/>
              <w:left w:val="single" w:color="auto" w:sz="6" w:space="0"/>
              <w:bottom w:val="single" w:color="auto" w:sz="6" w:space="0"/>
              <w:right w:val="single" w:color="auto" w:sz="6" w:space="0"/>
            </w:tcBorders>
            <w:vAlign w:val="center"/>
          </w:tcPr>
          <w:p w14:paraId="6FC9C52D">
            <w:pPr>
              <w:rPr>
                <w:rFonts w:ascii="宋体" w:hAnsi="宋体"/>
                <w:color w:val="auto"/>
                <w:spacing w:val="-6"/>
                <w:sz w:val="21"/>
                <w:szCs w:val="21"/>
                <w:highlight w:val="none"/>
              </w:rPr>
            </w:pPr>
            <w:r>
              <w:rPr>
                <w:rFonts w:ascii="宋体" w:hAnsi="宋体"/>
                <w:color w:val="auto"/>
                <w:spacing w:val="-6"/>
                <w:sz w:val="21"/>
                <w:szCs w:val="21"/>
                <w:highlight w:val="none"/>
              </w:rPr>
              <w:t>声波透射（</w:t>
            </w:r>
            <w:r>
              <w:rPr>
                <w:rFonts w:hint="eastAsia" w:ascii="宋体" w:hAnsi="宋体"/>
                <w:color w:val="auto"/>
                <w:spacing w:val="-6"/>
                <w:sz w:val="21"/>
                <w:szCs w:val="21"/>
                <w:highlight w:val="none"/>
              </w:rPr>
              <w:t>桩身完整性（声波</w:t>
            </w:r>
          </w:p>
          <w:p w14:paraId="76ED7379">
            <w:pPr>
              <w:rPr>
                <w:rFonts w:ascii="宋体" w:hAnsi="宋体"/>
                <w:color w:val="auto"/>
                <w:spacing w:val="-6"/>
                <w:sz w:val="21"/>
                <w:szCs w:val="21"/>
                <w:highlight w:val="none"/>
              </w:rPr>
            </w:pPr>
            <w:r>
              <w:rPr>
                <w:rFonts w:hint="eastAsia" w:ascii="宋体" w:hAnsi="宋体"/>
                <w:color w:val="auto"/>
                <w:spacing w:val="-6"/>
                <w:sz w:val="21"/>
                <w:szCs w:val="21"/>
                <w:highlight w:val="none"/>
              </w:rPr>
              <w:t>透射法）</w:t>
            </w:r>
            <w:r>
              <w:rPr>
                <w:rFonts w:ascii="宋体" w:hAnsi="宋体"/>
                <w:color w:val="auto"/>
                <w:spacing w:val="-6"/>
                <w:sz w:val="21"/>
                <w:szCs w:val="21"/>
                <w:highlight w:val="none"/>
              </w:rPr>
              <w:t>）</w:t>
            </w:r>
          </w:p>
        </w:tc>
        <w:tc>
          <w:tcPr>
            <w:tcW w:w="1690" w:type="dxa"/>
            <w:tcBorders>
              <w:top w:val="single" w:color="auto" w:sz="6" w:space="0"/>
              <w:left w:val="single" w:color="auto" w:sz="6" w:space="0"/>
              <w:bottom w:val="single" w:color="auto" w:sz="6" w:space="0"/>
              <w:right w:val="single" w:color="auto" w:sz="6" w:space="0"/>
            </w:tcBorders>
            <w:vAlign w:val="center"/>
          </w:tcPr>
          <w:p w14:paraId="679AD5B3">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796F662F">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317FF772">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1B0D2667">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2A013310">
            <w:pPr>
              <w:spacing w:line="280" w:lineRule="exact"/>
              <w:rPr>
                <w:rFonts w:ascii="宋体" w:hAnsi="宋体"/>
                <w:color w:val="auto"/>
                <w:spacing w:val="-6"/>
                <w:sz w:val="21"/>
                <w:szCs w:val="21"/>
                <w:highlight w:val="none"/>
              </w:rPr>
            </w:pPr>
          </w:p>
        </w:tc>
      </w:tr>
      <w:tr w14:paraId="68B304B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56" w:type="dxa"/>
            <w:tcBorders>
              <w:top w:val="single" w:color="auto" w:sz="6" w:space="0"/>
              <w:left w:val="single" w:color="auto" w:sz="2" w:space="0"/>
              <w:bottom w:val="single" w:color="auto" w:sz="6" w:space="0"/>
              <w:right w:val="single" w:color="auto" w:sz="6" w:space="0"/>
            </w:tcBorders>
            <w:vAlign w:val="center"/>
          </w:tcPr>
          <w:p w14:paraId="56A2F495">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9</w:t>
            </w:r>
          </w:p>
        </w:tc>
        <w:tc>
          <w:tcPr>
            <w:tcW w:w="2818" w:type="dxa"/>
            <w:tcBorders>
              <w:top w:val="single" w:color="auto" w:sz="6" w:space="0"/>
              <w:left w:val="single" w:color="auto" w:sz="6" w:space="0"/>
              <w:bottom w:val="single" w:color="auto" w:sz="6" w:space="0"/>
              <w:right w:val="single" w:color="auto" w:sz="6" w:space="0"/>
            </w:tcBorders>
            <w:vAlign w:val="center"/>
          </w:tcPr>
          <w:p w14:paraId="6C0242A3">
            <w:pPr>
              <w:rPr>
                <w:rFonts w:ascii="宋体" w:hAnsi="宋体"/>
                <w:color w:val="auto"/>
                <w:spacing w:val="-6"/>
                <w:sz w:val="21"/>
                <w:szCs w:val="21"/>
                <w:highlight w:val="none"/>
              </w:rPr>
            </w:pPr>
            <w:r>
              <w:rPr>
                <w:rFonts w:ascii="宋体" w:hAnsi="宋体"/>
                <w:color w:val="auto"/>
                <w:spacing w:val="-6"/>
                <w:sz w:val="21"/>
                <w:szCs w:val="21"/>
                <w:highlight w:val="none"/>
              </w:rPr>
              <w:t>钻芯法（</w:t>
            </w:r>
            <w:r>
              <w:rPr>
                <w:rFonts w:hint="eastAsia" w:ascii="宋体" w:hAnsi="宋体"/>
                <w:color w:val="auto"/>
                <w:spacing w:val="-6"/>
                <w:sz w:val="21"/>
                <w:szCs w:val="21"/>
                <w:highlight w:val="none"/>
              </w:rPr>
              <w:t>混凝土抗压强度（钻芯法）</w:t>
            </w:r>
            <w:r>
              <w:rPr>
                <w:rFonts w:ascii="宋体" w:hAnsi="宋体"/>
                <w:color w:val="auto"/>
                <w:spacing w:val="-6"/>
                <w:sz w:val="21"/>
                <w:szCs w:val="21"/>
                <w:highlight w:val="none"/>
              </w:rPr>
              <w:t>）</w:t>
            </w:r>
          </w:p>
        </w:tc>
        <w:tc>
          <w:tcPr>
            <w:tcW w:w="1690" w:type="dxa"/>
            <w:tcBorders>
              <w:top w:val="single" w:color="auto" w:sz="6" w:space="0"/>
              <w:left w:val="single" w:color="auto" w:sz="6" w:space="0"/>
              <w:bottom w:val="single" w:color="auto" w:sz="6" w:space="0"/>
              <w:right w:val="single" w:color="auto" w:sz="6" w:space="0"/>
            </w:tcBorders>
            <w:vAlign w:val="center"/>
          </w:tcPr>
          <w:p w14:paraId="441A1770">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5FC59002">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3E17A1EC">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32194612">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6B5CCD49">
            <w:pPr>
              <w:spacing w:line="280" w:lineRule="exact"/>
              <w:rPr>
                <w:rFonts w:ascii="宋体" w:hAnsi="宋体"/>
                <w:color w:val="auto"/>
                <w:spacing w:val="-6"/>
                <w:sz w:val="21"/>
                <w:szCs w:val="21"/>
                <w:highlight w:val="none"/>
              </w:rPr>
            </w:pPr>
          </w:p>
        </w:tc>
      </w:tr>
      <w:tr w14:paraId="3B04C5F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56" w:type="dxa"/>
            <w:tcBorders>
              <w:top w:val="single" w:color="auto" w:sz="6" w:space="0"/>
              <w:left w:val="single" w:color="auto" w:sz="2" w:space="0"/>
              <w:bottom w:val="single" w:color="auto" w:sz="6" w:space="0"/>
              <w:right w:val="single" w:color="auto" w:sz="6" w:space="0"/>
            </w:tcBorders>
            <w:vAlign w:val="center"/>
          </w:tcPr>
          <w:p w14:paraId="6F313CB6">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10</w:t>
            </w:r>
          </w:p>
        </w:tc>
        <w:tc>
          <w:tcPr>
            <w:tcW w:w="2818" w:type="dxa"/>
            <w:tcBorders>
              <w:top w:val="single" w:color="auto" w:sz="6" w:space="0"/>
              <w:left w:val="single" w:color="auto" w:sz="6" w:space="0"/>
              <w:bottom w:val="single" w:color="auto" w:sz="6" w:space="0"/>
              <w:right w:val="single" w:color="auto" w:sz="6" w:space="0"/>
            </w:tcBorders>
            <w:vAlign w:val="center"/>
          </w:tcPr>
          <w:p w14:paraId="4EA6918D">
            <w:pPr>
              <w:rPr>
                <w:rFonts w:ascii="宋体" w:hAnsi="宋体"/>
                <w:color w:val="auto"/>
                <w:spacing w:val="-6"/>
                <w:sz w:val="21"/>
                <w:szCs w:val="21"/>
                <w:highlight w:val="none"/>
              </w:rPr>
            </w:pPr>
            <w:r>
              <w:rPr>
                <w:rFonts w:ascii="宋体" w:hAnsi="宋体"/>
                <w:color w:val="auto"/>
                <w:spacing w:val="-6"/>
                <w:sz w:val="21"/>
                <w:szCs w:val="21"/>
                <w:highlight w:val="none"/>
              </w:rPr>
              <w:t>轻型触探</w:t>
            </w:r>
            <w:r>
              <w:rPr>
                <w:rFonts w:hint="eastAsia" w:ascii="宋体" w:hAnsi="宋体"/>
                <w:color w:val="auto"/>
                <w:spacing w:val="-6"/>
                <w:sz w:val="21"/>
                <w:szCs w:val="21"/>
                <w:highlight w:val="none"/>
              </w:rPr>
              <w:t>（动力触探）</w:t>
            </w:r>
          </w:p>
        </w:tc>
        <w:tc>
          <w:tcPr>
            <w:tcW w:w="1690" w:type="dxa"/>
            <w:tcBorders>
              <w:top w:val="single" w:color="auto" w:sz="6" w:space="0"/>
              <w:left w:val="single" w:color="auto" w:sz="6" w:space="0"/>
              <w:bottom w:val="single" w:color="auto" w:sz="6" w:space="0"/>
              <w:right w:val="single" w:color="auto" w:sz="6" w:space="0"/>
            </w:tcBorders>
            <w:vAlign w:val="center"/>
          </w:tcPr>
          <w:p w14:paraId="151BE3EF">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3664DD09">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2BD4B758">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6E9B9E4D">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3B8C1B1F">
            <w:pPr>
              <w:spacing w:line="280" w:lineRule="exact"/>
              <w:rPr>
                <w:rFonts w:ascii="宋体" w:hAnsi="宋体"/>
                <w:color w:val="auto"/>
                <w:spacing w:val="-6"/>
                <w:sz w:val="21"/>
                <w:szCs w:val="21"/>
                <w:highlight w:val="none"/>
              </w:rPr>
            </w:pPr>
          </w:p>
        </w:tc>
      </w:tr>
      <w:tr w14:paraId="198AABA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0E708601">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11</w:t>
            </w:r>
          </w:p>
        </w:tc>
        <w:tc>
          <w:tcPr>
            <w:tcW w:w="2818" w:type="dxa"/>
            <w:tcBorders>
              <w:top w:val="single" w:color="auto" w:sz="6" w:space="0"/>
              <w:left w:val="single" w:color="auto" w:sz="6" w:space="0"/>
              <w:bottom w:val="single" w:color="auto" w:sz="6" w:space="0"/>
              <w:right w:val="single" w:color="auto" w:sz="6" w:space="0"/>
            </w:tcBorders>
            <w:vAlign w:val="center"/>
          </w:tcPr>
          <w:p w14:paraId="16FB55F3">
            <w:pPr>
              <w:rPr>
                <w:rFonts w:ascii="宋体" w:hAnsi="宋体"/>
                <w:color w:val="auto"/>
                <w:sz w:val="21"/>
                <w:szCs w:val="21"/>
                <w:highlight w:val="none"/>
              </w:rPr>
            </w:pPr>
            <w:r>
              <w:rPr>
                <w:rFonts w:ascii="宋体" w:hAnsi="宋体"/>
                <w:color w:val="auto"/>
                <w:sz w:val="21"/>
                <w:szCs w:val="21"/>
                <w:highlight w:val="none"/>
              </w:rPr>
              <w:t>重型触探</w:t>
            </w:r>
            <w:r>
              <w:rPr>
                <w:rFonts w:hint="eastAsia" w:ascii="宋体" w:hAnsi="宋体"/>
                <w:color w:val="auto"/>
                <w:spacing w:val="-6"/>
                <w:sz w:val="21"/>
                <w:szCs w:val="21"/>
                <w:highlight w:val="none"/>
              </w:rPr>
              <w:t>（动力触探）</w:t>
            </w:r>
          </w:p>
        </w:tc>
        <w:tc>
          <w:tcPr>
            <w:tcW w:w="1690" w:type="dxa"/>
            <w:tcBorders>
              <w:top w:val="single" w:color="auto" w:sz="6" w:space="0"/>
              <w:left w:val="single" w:color="auto" w:sz="6" w:space="0"/>
              <w:bottom w:val="single" w:color="auto" w:sz="6" w:space="0"/>
              <w:right w:val="single" w:color="auto" w:sz="6" w:space="0"/>
            </w:tcBorders>
            <w:vAlign w:val="center"/>
          </w:tcPr>
          <w:p w14:paraId="06DD4F6D">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47790722">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467E60ED">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77CB1904">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05164CF9">
            <w:pPr>
              <w:spacing w:line="280" w:lineRule="exact"/>
              <w:rPr>
                <w:rFonts w:ascii="宋体" w:hAnsi="宋体"/>
                <w:color w:val="auto"/>
                <w:spacing w:val="-6"/>
                <w:sz w:val="21"/>
                <w:szCs w:val="21"/>
                <w:highlight w:val="none"/>
              </w:rPr>
            </w:pPr>
          </w:p>
        </w:tc>
      </w:tr>
      <w:tr w14:paraId="34BA178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68"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13C5B993">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12</w:t>
            </w:r>
          </w:p>
        </w:tc>
        <w:tc>
          <w:tcPr>
            <w:tcW w:w="2818" w:type="dxa"/>
            <w:tcBorders>
              <w:top w:val="single" w:color="auto" w:sz="6" w:space="0"/>
              <w:left w:val="single" w:color="auto" w:sz="6" w:space="0"/>
              <w:bottom w:val="single" w:color="auto" w:sz="6" w:space="0"/>
              <w:right w:val="single" w:color="auto" w:sz="6" w:space="0"/>
            </w:tcBorders>
            <w:vAlign w:val="center"/>
          </w:tcPr>
          <w:p w14:paraId="08755A67">
            <w:pPr>
              <w:rPr>
                <w:rFonts w:ascii="宋体" w:hAnsi="宋体"/>
                <w:color w:val="auto"/>
                <w:sz w:val="21"/>
                <w:szCs w:val="21"/>
                <w:highlight w:val="none"/>
              </w:rPr>
            </w:pPr>
            <w:r>
              <w:rPr>
                <w:rFonts w:ascii="宋体" w:hAnsi="宋体"/>
                <w:color w:val="auto"/>
                <w:sz w:val="21"/>
                <w:szCs w:val="21"/>
                <w:highlight w:val="none"/>
              </w:rPr>
              <w:t>土钉抗拔（</w:t>
            </w:r>
            <w:r>
              <w:rPr>
                <w:rFonts w:hint="eastAsia" w:ascii="宋体" w:hAnsi="宋体"/>
                <w:color w:val="auto"/>
                <w:sz w:val="21"/>
                <w:szCs w:val="21"/>
                <w:highlight w:val="none"/>
              </w:rPr>
              <w:t>土钉抗拔承载力</w:t>
            </w:r>
          </w:p>
          <w:p w14:paraId="3E518B58">
            <w:pPr>
              <w:rPr>
                <w:rFonts w:ascii="宋体" w:hAnsi="宋体"/>
                <w:color w:val="auto"/>
                <w:sz w:val="21"/>
                <w:szCs w:val="21"/>
                <w:highlight w:val="none"/>
              </w:rPr>
            </w:pPr>
            <w:r>
              <w:rPr>
                <w:rFonts w:hint="eastAsia" w:ascii="宋体" w:hAnsi="宋体"/>
                <w:color w:val="auto"/>
                <w:sz w:val="21"/>
                <w:szCs w:val="21"/>
                <w:highlight w:val="none"/>
              </w:rPr>
              <w:t>检测值</w:t>
            </w:r>
            <w:r>
              <w:rPr>
                <w:rFonts w:ascii="宋体" w:hAnsi="宋体"/>
                <w:color w:val="auto"/>
                <w:sz w:val="21"/>
                <w:szCs w:val="21"/>
                <w:highlight w:val="none"/>
              </w:rPr>
              <w:t>）</w:t>
            </w:r>
          </w:p>
        </w:tc>
        <w:tc>
          <w:tcPr>
            <w:tcW w:w="1690" w:type="dxa"/>
            <w:tcBorders>
              <w:top w:val="single" w:color="auto" w:sz="6" w:space="0"/>
              <w:left w:val="single" w:color="auto" w:sz="6" w:space="0"/>
              <w:bottom w:val="single" w:color="auto" w:sz="6" w:space="0"/>
              <w:right w:val="single" w:color="auto" w:sz="6" w:space="0"/>
            </w:tcBorders>
            <w:vAlign w:val="center"/>
          </w:tcPr>
          <w:p w14:paraId="0D783E23">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506BE7C8">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0BCC274C">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0EDA8FCE">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52A308B0">
            <w:pPr>
              <w:spacing w:line="280" w:lineRule="exact"/>
              <w:rPr>
                <w:rFonts w:ascii="宋体" w:hAnsi="宋体"/>
                <w:color w:val="auto"/>
                <w:spacing w:val="-6"/>
                <w:sz w:val="21"/>
                <w:szCs w:val="21"/>
                <w:highlight w:val="none"/>
              </w:rPr>
            </w:pPr>
          </w:p>
        </w:tc>
      </w:tr>
      <w:tr w14:paraId="5D7012F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56" w:type="dxa"/>
            <w:tcBorders>
              <w:top w:val="single" w:color="auto" w:sz="6" w:space="0"/>
              <w:left w:val="single" w:color="auto" w:sz="2" w:space="0"/>
              <w:bottom w:val="single" w:color="auto" w:sz="6" w:space="0"/>
              <w:right w:val="single" w:color="auto" w:sz="6" w:space="0"/>
            </w:tcBorders>
            <w:vAlign w:val="center"/>
          </w:tcPr>
          <w:p w14:paraId="21C43DA2">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13</w:t>
            </w:r>
          </w:p>
        </w:tc>
        <w:tc>
          <w:tcPr>
            <w:tcW w:w="2818" w:type="dxa"/>
            <w:tcBorders>
              <w:top w:val="single" w:color="auto" w:sz="6" w:space="0"/>
              <w:left w:val="single" w:color="auto" w:sz="6" w:space="0"/>
              <w:bottom w:val="single" w:color="auto" w:sz="6" w:space="0"/>
              <w:right w:val="single" w:color="auto" w:sz="6" w:space="0"/>
            </w:tcBorders>
            <w:vAlign w:val="center"/>
          </w:tcPr>
          <w:p w14:paraId="061039B4">
            <w:pPr>
              <w:rPr>
                <w:rFonts w:ascii="宋体" w:hAnsi="宋体"/>
                <w:color w:val="auto"/>
                <w:sz w:val="21"/>
                <w:szCs w:val="21"/>
                <w:highlight w:val="none"/>
              </w:rPr>
            </w:pPr>
            <w:r>
              <w:rPr>
                <w:rFonts w:ascii="宋体" w:hAnsi="宋体"/>
                <w:color w:val="auto"/>
                <w:sz w:val="21"/>
                <w:szCs w:val="21"/>
                <w:highlight w:val="none"/>
              </w:rPr>
              <w:t>回弹法</w:t>
            </w:r>
          </w:p>
        </w:tc>
        <w:tc>
          <w:tcPr>
            <w:tcW w:w="1690" w:type="dxa"/>
            <w:tcBorders>
              <w:top w:val="single" w:color="auto" w:sz="6" w:space="0"/>
              <w:left w:val="single" w:color="auto" w:sz="6" w:space="0"/>
              <w:bottom w:val="single" w:color="auto" w:sz="6" w:space="0"/>
              <w:right w:val="single" w:color="auto" w:sz="6" w:space="0"/>
            </w:tcBorders>
            <w:vAlign w:val="center"/>
          </w:tcPr>
          <w:p w14:paraId="7BAF419E">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327B297D">
            <w:pPr>
              <w:widowControl/>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045C4D5B">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0ACEDF2F">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1BCCF7F3">
            <w:pPr>
              <w:spacing w:line="280" w:lineRule="exact"/>
              <w:rPr>
                <w:rFonts w:ascii="宋体" w:hAnsi="宋体"/>
                <w:color w:val="auto"/>
                <w:spacing w:val="-6"/>
                <w:sz w:val="21"/>
                <w:szCs w:val="21"/>
                <w:highlight w:val="none"/>
              </w:rPr>
            </w:pPr>
          </w:p>
        </w:tc>
      </w:tr>
      <w:tr w14:paraId="7297B61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56" w:type="dxa"/>
            <w:tcBorders>
              <w:top w:val="single" w:color="auto" w:sz="6" w:space="0"/>
              <w:left w:val="single" w:color="auto" w:sz="2" w:space="0"/>
              <w:bottom w:val="single" w:color="auto" w:sz="6" w:space="0"/>
              <w:right w:val="single" w:color="auto" w:sz="6" w:space="0"/>
            </w:tcBorders>
            <w:vAlign w:val="center"/>
          </w:tcPr>
          <w:p w14:paraId="71194C3E">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14</w:t>
            </w:r>
          </w:p>
        </w:tc>
        <w:tc>
          <w:tcPr>
            <w:tcW w:w="2818" w:type="dxa"/>
            <w:tcBorders>
              <w:top w:val="single" w:color="auto" w:sz="6" w:space="0"/>
              <w:left w:val="single" w:color="auto" w:sz="6" w:space="0"/>
              <w:bottom w:val="single" w:color="auto" w:sz="6" w:space="0"/>
              <w:right w:val="single" w:color="auto" w:sz="6" w:space="0"/>
            </w:tcBorders>
            <w:vAlign w:val="center"/>
          </w:tcPr>
          <w:p w14:paraId="707053BC">
            <w:pPr>
              <w:rPr>
                <w:rFonts w:ascii="宋体" w:hAnsi="宋体"/>
                <w:color w:val="auto"/>
                <w:sz w:val="21"/>
                <w:szCs w:val="21"/>
                <w:highlight w:val="none"/>
              </w:rPr>
            </w:pPr>
            <w:r>
              <w:rPr>
                <w:rFonts w:ascii="宋体" w:hAnsi="宋体"/>
                <w:color w:val="auto"/>
                <w:sz w:val="21"/>
                <w:szCs w:val="21"/>
                <w:highlight w:val="none"/>
              </w:rPr>
              <w:t>混凝土氯离子含量</w:t>
            </w:r>
          </w:p>
        </w:tc>
        <w:tc>
          <w:tcPr>
            <w:tcW w:w="1690" w:type="dxa"/>
            <w:tcBorders>
              <w:top w:val="single" w:color="auto" w:sz="6" w:space="0"/>
              <w:left w:val="single" w:color="auto" w:sz="6" w:space="0"/>
              <w:bottom w:val="single" w:color="auto" w:sz="6" w:space="0"/>
              <w:right w:val="single" w:color="auto" w:sz="6" w:space="0"/>
            </w:tcBorders>
            <w:vAlign w:val="center"/>
          </w:tcPr>
          <w:p w14:paraId="1888A4A9">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23D1C3F3">
            <w:pPr>
              <w:widowControl/>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5A57CD01">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33244C35">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03B81BF3">
            <w:pPr>
              <w:spacing w:line="280" w:lineRule="exact"/>
              <w:rPr>
                <w:rFonts w:ascii="宋体" w:hAnsi="宋体"/>
                <w:color w:val="auto"/>
                <w:spacing w:val="-6"/>
                <w:sz w:val="21"/>
                <w:szCs w:val="21"/>
                <w:highlight w:val="none"/>
              </w:rPr>
            </w:pPr>
          </w:p>
        </w:tc>
      </w:tr>
      <w:tr w14:paraId="6097946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56" w:type="dxa"/>
            <w:tcBorders>
              <w:top w:val="single" w:color="auto" w:sz="6" w:space="0"/>
              <w:left w:val="single" w:color="auto" w:sz="2" w:space="0"/>
              <w:bottom w:val="single" w:color="auto" w:sz="6" w:space="0"/>
              <w:right w:val="single" w:color="auto" w:sz="6" w:space="0"/>
            </w:tcBorders>
            <w:vAlign w:val="center"/>
          </w:tcPr>
          <w:p w14:paraId="12E0C6D4">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15</w:t>
            </w:r>
          </w:p>
        </w:tc>
        <w:tc>
          <w:tcPr>
            <w:tcW w:w="2818" w:type="dxa"/>
            <w:tcBorders>
              <w:top w:val="single" w:color="auto" w:sz="6" w:space="0"/>
              <w:left w:val="single" w:color="auto" w:sz="6" w:space="0"/>
              <w:bottom w:val="single" w:color="auto" w:sz="6" w:space="0"/>
              <w:right w:val="single" w:color="auto" w:sz="6" w:space="0"/>
            </w:tcBorders>
            <w:vAlign w:val="center"/>
          </w:tcPr>
          <w:p w14:paraId="74B16BAF">
            <w:pPr>
              <w:rPr>
                <w:rFonts w:ascii="宋体" w:hAnsi="宋体"/>
                <w:color w:val="auto"/>
                <w:sz w:val="21"/>
                <w:szCs w:val="21"/>
                <w:highlight w:val="none"/>
              </w:rPr>
            </w:pPr>
            <w:r>
              <w:rPr>
                <w:rFonts w:ascii="宋体" w:hAnsi="宋体"/>
                <w:color w:val="auto"/>
                <w:sz w:val="21"/>
                <w:szCs w:val="21"/>
                <w:highlight w:val="none"/>
              </w:rPr>
              <w:t>结构尺寸（</w:t>
            </w:r>
            <w:r>
              <w:rPr>
                <w:rFonts w:hint="eastAsia" w:ascii="宋体" w:hAnsi="宋体"/>
                <w:color w:val="auto"/>
                <w:sz w:val="21"/>
                <w:szCs w:val="21"/>
                <w:highlight w:val="none"/>
              </w:rPr>
              <w:t>构件尺寸与偏差</w:t>
            </w:r>
            <w:r>
              <w:rPr>
                <w:rFonts w:ascii="宋体" w:hAnsi="宋体"/>
                <w:color w:val="auto"/>
                <w:sz w:val="21"/>
                <w:szCs w:val="21"/>
                <w:highlight w:val="none"/>
              </w:rPr>
              <w:t>）</w:t>
            </w:r>
          </w:p>
        </w:tc>
        <w:tc>
          <w:tcPr>
            <w:tcW w:w="1690" w:type="dxa"/>
            <w:tcBorders>
              <w:top w:val="single" w:color="auto" w:sz="6" w:space="0"/>
              <w:left w:val="single" w:color="auto" w:sz="6" w:space="0"/>
              <w:bottom w:val="single" w:color="auto" w:sz="6" w:space="0"/>
              <w:right w:val="single" w:color="auto" w:sz="6" w:space="0"/>
            </w:tcBorders>
            <w:vAlign w:val="center"/>
          </w:tcPr>
          <w:p w14:paraId="2DB0B4E6">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3BFEE053">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267A0122">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05CCA739">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6BEB5B7D">
            <w:pPr>
              <w:spacing w:line="280" w:lineRule="exact"/>
              <w:rPr>
                <w:rFonts w:ascii="宋体" w:hAnsi="宋体"/>
                <w:color w:val="auto"/>
                <w:spacing w:val="-6"/>
                <w:sz w:val="21"/>
                <w:szCs w:val="21"/>
                <w:highlight w:val="none"/>
              </w:rPr>
            </w:pPr>
          </w:p>
        </w:tc>
      </w:tr>
      <w:tr w14:paraId="1867E19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56" w:type="dxa"/>
            <w:tcBorders>
              <w:top w:val="single" w:color="auto" w:sz="6" w:space="0"/>
              <w:left w:val="single" w:color="auto" w:sz="2" w:space="0"/>
              <w:bottom w:val="single" w:color="auto" w:sz="6" w:space="0"/>
              <w:right w:val="single" w:color="auto" w:sz="6" w:space="0"/>
            </w:tcBorders>
            <w:vAlign w:val="center"/>
          </w:tcPr>
          <w:p w14:paraId="03A6A521">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16</w:t>
            </w:r>
          </w:p>
        </w:tc>
        <w:tc>
          <w:tcPr>
            <w:tcW w:w="2818" w:type="dxa"/>
            <w:tcBorders>
              <w:top w:val="single" w:color="auto" w:sz="6" w:space="0"/>
              <w:left w:val="single" w:color="auto" w:sz="6" w:space="0"/>
              <w:bottom w:val="single" w:color="auto" w:sz="6" w:space="0"/>
              <w:right w:val="single" w:color="auto" w:sz="6" w:space="0"/>
            </w:tcBorders>
            <w:vAlign w:val="center"/>
          </w:tcPr>
          <w:p w14:paraId="421572EF">
            <w:pPr>
              <w:rPr>
                <w:rFonts w:ascii="宋体" w:hAnsi="宋体"/>
                <w:color w:val="auto"/>
                <w:sz w:val="21"/>
                <w:szCs w:val="21"/>
                <w:highlight w:val="none"/>
              </w:rPr>
            </w:pPr>
            <w:r>
              <w:rPr>
                <w:rFonts w:ascii="宋体" w:hAnsi="宋体"/>
                <w:color w:val="auto"/>
                <w:sz w:val="21"/>
                <w:szCs w:val="21"/>
                <w:highlight w:val="none"/>
              </w:rPr>
              <w:t>钢筋保护层厚度</w:t>
            </w:r>
          </w:p>
        </w:tc>
        <w:tc>
          <w:tcPr>
            <w:tcW w:w="1690" w:type="dxa"/>
            <w:tcBorders>
              <w:top w:val="single" w:color="auto" w:sz="6" w:space="0"/>
              <w:left w:val="single" w:color="auto" w:sz="6" w:space="0"/>
              <w:bottom w:val="single" w:color="auto" w:sz="6" w:space="0"/>
              <w:right w:val="single" w:color="auto" w:sz="6" w:space="0"/>
            </w:tcBorders>
            <w:vAlign w:val="center"/>
          </w:tcPr>
          <w:p w14:paraId="3AE8FFE9">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13955BF9">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0D40868C">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20A4479B">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0E77052D">
            <w:pPr>
              <w:spacing w:line="280" w:lineRule="exact"/>
              <w:rPr>
                <w:rFonts w:ascii="宋体" w:hAnsi="宋体"/>
                <w:color w:val="auto"/>
                <w:spacing w:val="-6"/>
                <w:sz w:val="21"/>
                <w:szCs w:val="21"/>
                <w:highlight w:val="none"/>
              </w:rPr>
            </w:pPr>
          </w:p>
        </w:tc>
      </w:tr>
      <w:tr w14:paraId="170FABD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56" w:type="dxa"/>
            <w:tcBorders>
              <w:top w:val="single" w:color="auto" w:sz="6" w:space="0"/>
              <w:left w:val="single" w:color="auto" w:sz="2" w:space="0"/>
              <w:bottom w:val="single" w:color="auto" w:sz="6" w:space="0"/>
              <w:right w:val="single" w:color="auto" w:sz="6" w:space="0"/>
            </w:tcBorders>
            <w:vAlign w:val="center"/>
          </w:tcPr>
          <w:p w14:paraId="618A7685">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17</w:t>
            </w:r>
          </w:p>
        </w:tc>
        <w:tc>
          <w:tcPr>
            <w:tcW w:w="2818" w:type="dxa"/>
            <w:tcBorders>
              <w:top w:val="single" w:color="auto" w:sz="6" w:space="0"/>
              <w:left w:val="single" w:color="auto" w:sz="6" w:space="0"/>
              <w:bottom w:val="single" w:color="auto" w:sz="6" w:space="0"/>
              <w:right w:val="single" w:color="auto" w:sz="6" w:space="0"/>
            </w:tcBorders>
            <w:vAlign w:val="center"/>
          </w:tcPr>
          <w:p w14:paraId="16E31B3A">
            <w:pPr>
              <w:rPr>
                <w:rFonts w:ascii="宋体" w:hAnsi="宋体"/>
                <w:color w:val="auto"/>
                <w:sz w:val="21"/>
                <w:szCs w:val="21"/>
                <w:highlight w:val="none"/>
              </w:rPr>
            </w:pPr>
            <w:r>
              <w:rPr>
                <w:rFonts w:ascii="宋体" w:hAnsi="宋体"/>
                <w:color w:val="auto"/>
                <w:sz w:val="21"/>
                <w:szCs w:val="21"/>
                <w:highlight w:val="none"/>
              </w:rPr>
              <w:t>钢筋间距</w:t>
            </w:r>
          </w:p>
        </w:tc>
        <w:tc>
          <w:tcPr>
            <w:tcW w:w="1690" w:type="dxa"/>
            <w:tcBorders>
              <w:top w:val="single" w:color="auto" w:sz="6" w:space="0"/>
              <w:left w:val="single" w:color="auto" w:sz="6" w:space="0"/>
              <w:bottom w:val="single" w:color="auto" w:sz="6" w:space="0"/>
              <w:right w:val="single" w:color="auto" w:sz="6" w:space="0"/>
            </w:tcBorders>
            <w:vAlign w:val="center"/>
          </w:tcPr>
          <w:p w14:paraId="0DB2D751">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2E1EEADA">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6B6EF9E5">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648CCCCA">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2DC81AF7">
            <w:pPr>
              <w:spacing w:line="280" w:lineRule="exact"/>
              <w:rPr>
                <w:rFonts w:ascii="宋体" w:hAnsi="宋体"/>
                <w:color w:val="auto"/>
                <w:spacing w:val="-6"/>
                <w:sz w:val="21"/>
                <w:szCs w:val="21"/>
                <w:highlight w:val="none"/>
              </w:rPr>
            </w:pPr>
          </w:p>
        </w:tc>
      </w:tr>
      <w:tr w14:paraId="2199955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56" w:type="dxa"/>
            <w:tcBorders>
              <w:top w:val="single" w:color="auto" w:sz="6" w:space="0"/>
              <w:left w:val="single" w:color="auto" w:sz="2" w:space="0"/>
              <w:bottom w:val="single" w:color="auto" w:sz="6" w:space="0"/>
              <w:right w:val="single" w:color="auto" w:sz="6" w:space="0"/>
            </w:tcBorders>
            <w:vAlign w:val="center"/>
          </w:tcPr>
          <w:p w14:paraId="00DAB56D">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18</w:t>
            </w:r>
          </w:p>
        </w:tc>
        <w:tc>
          <w:tcPr>
            <w:tcW w:w="2818" w:type="dxa"/>
            <w:tcBorders>
              <w:top w:val="single" w:color="auto" w:sz="6" w:space="0"/>
              <w:left w:val="single" w:color="auto" w:sz="6" w:space="0"/>
              <w:bottom w:val="single" w:color="auto" w:sz="6" w:space="0"/>
              <w:right w:val="single" w:color="auto" w:sz="6" w:space="0"/>
            </w:tcBorders>
            <w:vAlign w:val="center"/>
          </w:tcPr>
          <w:p w14:paraId="0A127786">
            <w:pPr>
              <w:rPr>
                <w:rFonts w:ascii="宋体" w:hAnsi="宋体"/>
                <w:color w:val="auto"/>
                <w:sz w:val="21"/>
                <w:szCs w:val="21"/>
                <w:highlight w:val="none"/>
              </w:rPr>
            </w:pPr>
            <w:r>
              <w:rPr>
                <w:rFonts w:ascii="宋体" w:hAnsi="宋体"/>
                <w:color w:val="auto"/>
                <w:sz w:val="21"/>
                <w:szCs w:val="21"/>
                <w:highlight w:val="none"/>
              </w:rPr>
              <w:t>满水试验</w:t>
            </w:r>
          </w:p>
        </w:tc>
        <w:tc>
          <w:tcPr>
            <w:tcW w:w="1690" w:type="dxa"/>
            <w:tcBorders>
              <w:top w:val="single" w:color="auto" w:sz="6" w:space="0"/>
              <w:left w:val="single" w:color="auto" w:sz="6" w:space="0"/>
              <w:bottom w:val="single" w:color="auto" w:sz="6" w:space="0"/>
              <w:right w:val="single" w:color="auto" w:sz="6" w:space="0"/>
            </w:tcBorders>
            <w:vAlign w:val="center"/>
          </w:tcPr>
          <w:p w14:paraId="04B5792C">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6C179DA5">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4D35A220">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2330AB73">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3A3DC2F3">
            <w:pPr>
              <w:spacing w:line="280" w:lineRule="exact"/>
              <w:rPr>
                <w:rFonts w:ascii="宋体" w:hAnsi="宋体"/>
                <w:color w:val="auto"/>
                <w:spacing w:val="-6"/>
                <w:sz w:val="21"/>
                <w:szCs w:val="21"/>
                <w:highlight w:val="none"/>
              </w:rPr>
            </w:pPr>
          </w:p>
        </w:tc>
      </w:tr>
      <w:tr w14:paraId="485A52E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56" w:type="dxa"/>
            <w:tcBorders>
              <w:top w:val="single" w:color="auto" w:sz="6" w:space="0"/>
              <w:left w:val="single" w:color="auto" w:sz="2" w:space="0"/>
              <w:bottom w:val="single" w:color="auto" w:sz="6" w:space="0"/>
              <w:right w:val="single" w:color="auto" w:sz="6" w:space="0"/>
            </w:tcBorders>
            <w:vAlign w:val="center"/>
          </w:tcPr>
          <w:p w14:paraId="677C76A1">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19</w:t>
            </w:r>
          </w:p>
        </w:tc>
        <w:tc>
          <w:tcPr>
            <w:tcW w:w="2818" w:type="dxa"/>
            <w:tcBorders>
              <w:top w:val="single" w:color="auto" w:sz="6" w:space="0"/>
              <w:left w:val="single" w:color="auto" w:sz="6" w:space="0"/>
              <w:bottom w:val="single" w:color="auto" w:sz="6" w:space="0"/>
              <w:right w:val="single" w:color="auto" w:sz="6" w:space="0"/>
            </w:tcBorders>
            <w:vAlign w:val="center"/>
          </w:tcPr>
          <w:p w14:paraId="4A18DE16">
            <w:pPr>
              <w:rPr>
                <w:rFonts w:ascii="宋体" w:hAnsi="宋体"/>
                <w:color w:val="auto"/>
                <w:sz w:val="21"/>
                <w:szCs w:val="21"/>
                <w:highlight w:val="none"/>
              </w:rPr>
            </w:pPr>
            <w:r>
              <w:rPr>
                <w:rFonts w:hint="eastAsia" w:hAnsi="宋体"/>
                <w:color w:val="auto"/>
                <w:sz w:val="21"/>
                <w:szCs w:val="21"/>
                <w:highlight w:val="none"/>
              </w:rPr>
              <w:t>锚</w:t>
            </w:r>
            <w:r>
              <w:rPr>
                <w:rFonts w:hAnsi="宋体"/>
                <w:color w:val="auto"/>
                <w:sz w:val="21"/>
                <w:szCs w:val="21"/>
                <w:highlight w:val="none"/>
              </w:rPr>
              <w:t>索锚固力（</w:t>
            </w:r>
            <w:r>
              <w:rPr>
                <w:rFonts w:ascii="宋体" w:hAnsi="宋体"/>
                <w:color w:val="auto"/>
                <w:sz w:val="21"/>
                <w:szCs w:val="21"/>
                <w:highlight w:val="none"/>
              </w:rPr>
              <w:t>植筋抗拔）（</w:t>
            </w:r>
            <w:r>
              <w:rPr>
                <w:rFonts w:hint="eastAsia" w:ascii="宋体" w:hAnsi="宋体"/>
                <w:color w:val="auto"/>
                <w:sz w:val="21"/>
                <w:szCs w:val="21"/>
                <w:highlight w:val="none"/>
              </w:rPr>
              <w:t>植筋、锚栓抗拔性能</w:t>
            </w:r>
            <w:r>
              <w:rPr>
                <w:rFonts w:ascii="宋体" w:hAnsi="宋体"/>
                <w:color w:val="auto"/>
                <w:sz w:val="21"/>
                <w:szCs w:val="21"/>
                <w:highlight w:val="none"/>
              </w:rPr>
              <w:t>）</w:t>
            </w:r>
          </w:p>
        </w:tc>
        <w:tc>
          <w:tcPr>
            <w:tcW w:w="1690" w:type="dxa"/>
            <w:tcBorders>
              <w:top w:val="single" w:color="auto" w:sz="6" w:space="0"/>
              <w:left w:val="single" w:color="auto" w:sz="6" w:space="0"/>
              <w:bottom w:val="single" w:color="auto" w:sz="6" w:space="0"/>
              <w:right w:val="single" w:color="auto" w:sz="6" w:space="0"/>
            </w:tcBorders>
            <w:vAlign w:val="center"/>
          </w:tcPr>
          <w:p w14:paraId="5C9EAB94">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6DBC79F6">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47A718E9">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68097294">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1BF6F32E">
            <w:pPr>
              <w:spacing w:line="280" w:lineRule="exact"/>
              <w:rPr>
                <w:rFonts w:ascii="宋体" w:hAnsi="宋体"/>
                <w:color w:val="auto"/>
                <w:spacing w:val="-6"/>
                <w:sz w:val="21"/>
                <w:szCs w:val="21"/>
                <w:highlight w:val="none"/>
              </w:rPr>
            </w:pPr>
          </w:p>
        </w:tc>
      </w:tr>
      <w:tr w14:paraId="64BDC05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56" w:type="dxa"/>
            <w:tcBorders>
              <w:top w:val="single" w:color="auto" w:sz="6" w:space="0"/>
              <w:left w:val="single" w:color="auto" w:sz="2" w:space="0"/>
              <w:bottom w:val="single" w:color="auto" w:sz="6" w:space="0"/>
              <w:right w:val="single" w:color="auto" w:sz="6" w:space="0"/>
            </w:tcBorders>
            <w:vAlign w:val="center"/>
          </w:tcPr>
          <w:p w14:paraId="43611649">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20</w:t>
            </w:r>
          </w:p>
        </w:tc>
        <w:tc>
          <w:tcPr>
            <w:tcW w:w="2818" w:type="dxa"/>
            <w:tcBorders>
              <w:top w:val="single" w:color="auto" w:sz="6" w:space="0"/>
              <w:left w:val="single" w:color="auto" w:sz="6" w:space="0"/>
              <w:bottom w:val="single" w:color="auto" w:sz="6" w:space="0"/>
              <w:right w:val="single" w:color="auto" w:sz="6" w:space="0"/>
            </w:tcBorders>
            <w:vAlign w:val="center"/>
          </w:tcPr>
          <w:p w14:paraId="56AE6CFA">
            <w:pPr>
              <w:rPr>
                <w:rFonts w:ascii="宋体" w:hAnsi="宋体"/>
                <w:color w:val="auto"/>
                <w:sz w:val="21"/>
                <w:szCs w:val="21"/>
                <w:highlight w:val="none"/>
              </w:rPr>
            </w:pPr>
            <w:r>
              <w:rPr>
                <w:rFonts w:ascii="宋体" w:hAnsi="宋体"/>
                <w:color w:val="auto"/>
                <w:sz w:val="21"/>
                <w:szCs w:val="21"/>
                <w:highlight w:val="none"/>
              </w:rPr>
              <w:t>墙柱混凝土强度</w:t>
            </w:r>
            <w:r>
              <w:rPr>
                <w:rFonts w:hint="eastAsia" w:ascii="宋体" w:hAnsi="宋体"/>
                <w:color w:val="auto"/>
                <w:sz w:val="21"/>
                <w:szCs w:val="21"/>
                <w:highlight w:val="none"/>
              </w:rPr>
              <w:t>（钻芯法）（墙身混凝土强度（钻芯法））</w:t>
            </w:r>
          </w:p>
        </w:tc>
        <w:tc>
          <w:tcPr>
            <w:tcW w:w="1690" w:type="dxa"/>
            <w:tcBorders>
              <w:top w:val="single" w:color="auto" w:sz="6" w:space="0"/>
              <w:left w:val="single" w:color="auto" w:sz="6" w:space="0"/>
              <w:bottom w:val="single" w:color="auto" w:sz="6" w:space="0"/>
              <w:right w:val="single" w:color="auto" w:sz="6" w:space="0"/>
            </w:tcBorders>
            <w:vAlign w:val="center"/>
          </w:tcPr>
          <w:p w14:paraId="2A3D5423">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5041502E">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3860A90F">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7F3886CC">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78A482C7">
            <w:pPr>
              <w:spacing w:line="280" w:lineRule="exact"/>
              <w:rPr>
                <w:rFonts w:ascii="宋体" w:hAnsi="宋体"/>
                <w:color w:val="auto"/>
                <w:spacing w:val="-6"/>
                <w:sz w:val="21"/>
                <w:szCs w:val="21"/>
                <w:highlight w:val="none"/>
              </w:rPr>
            </w:pPr>
          </w:p>
        </w:tc>
      </w:tr>
      <w:tr w14:paraId="006E26A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0559683D">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21</w:t>
            </w:r>
          </w:p>
        </w:tc>
        <w:tc>
          <w:tcPr>
            <w:tcW w:w="2818" w:type="dxa"/>
            <w:tcBorders>
              <w:top w:val="single" w:color="auto" w:sz="6" w:space="0"/>
              <w:left w:val="single" w:color="auto" w:sz="6" w:space="0"/>
              <w:bottom w:val="single" w:color="auto" w:sz="6" w:space="0"/>
              <w:right w:val="single" w:color="auto" w:sz="6" w:space="0"/>
            </w:tcBorders>
            <w:vAlign w:val="center"/>
          </w:tcPr>
          <w:p w14:paraId="2C763F69">
            <w:pPr>
              <w:rPr>
                <w:rFonts w:ascii="宋体" w:hAnsi="宋体"/>
                <w:color w:val="auto"/>
                <w:sz w:val="21"/>
                <w:szCs w:val="21"/>
                <w:highlight w:val="none"/>
              </w:rPr>
            </w:pPr>
            <w:r>
              <w:rPr>
                <w:rFonts w:hint="eastAsia" w:ascii="宋体" w:hAnsi="宋体"/>
                <w:color w:val="auto"/>
                <w:spacing w:val="-6"/>
                <w:sz w:val="21"/>
                <w:szCs w:val="21"/>
                <w:highlight w:val="none"/>
              </w:rPr>
              <w:t>外墙抹灰砂浆粘结强度（拉伸粘结强度）</w:t>
            </w:r>
          </w:p>
        </w:tc>
        <w:tc>
          <w:tcPr>
            <w:tcW w:w="1690" w:type="dxa"/>
            <w:tcBorders>
              <w:top w:val="single" w:color="auto" w:sz="6" w:space="0"/>
              <w:left w:val="single" w:color="auto" w:sz="6" w:space="0"/>
              <w:bottom w:val="single" w:color="auto" w:sz="6" w:space="0"/>
              <w:right w:val="single" w:color="auto" w:sz="6" w:space="0"/>
            </w:tcBorders>
            <w:vAlign w:val="center"/>
          </w:tcPr>
          <w:p w14:paraId="7086ECEC">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79B8D0C1">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785F40A5">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781B73C2">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7378AF1E">
            <w:pPr>
              <w:spacing w:line="280" w:lineRule="exact"/>
              <w:rPr>
                <w:rFonts w:ascii="宋体" w:hAnsi="宋体"/>
                <w:color w:val="auto"/>
                <w:spacing w:val="-6"/>
                <w:sz w:val="21"/>
                <w:szCs w:val="21"/>
                <w:highlight w:val="none"/>
              </w:rPr>
            </w:pPr>
          </w:p>
        </w:tc>
      </w:tr>
      <w:tr w14:paraId="6C12A3C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56" w:type="dxa"/>
            <w:tcBorders>
              <w:top w:val="single" w:color="auto" w:sz="6" w:space="0"/>
              <w:left w:val="single" w:color="auto" w:sz="2" w:space="0"/>
              <w:bottom w:val="single" w:color="auto" w:sz="6" w:space="0"/>
              <w:right w:val="single" w:color="auto" w:sz="6" w:space="0"/>
            </w:tcBorders>
            <w:vAlign w:val="center"/>
          </w:tcPr>
          <w:p w14:paraId="5CAED60B">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22</w:t>
            </w:r>
          </w:p>
        </w:tc>
        <w:tc>
          <w:tcPr>
            <w:tcW w:w="2818" w:type="dxa"/>
            <w:tcBorders>
              <w:top w:val="single" w:color="auto" w:sz="6" w:space="0"/>
              <w:left w:val="single" w:color="auto" w:sz="6" w:space="0"/>
              <w:bottom w:val="single" w:color="auto" w:sz="6" w:space="0"/>
              <w:right w:val="single" w:color="auto" w:sz="6" w:space="0"/>
            </w:tcBorders>
            <w:vAlign w:val="center"/>
          </w:tcPr>
          <w:p w14:paraId="3C8CB29D">
            <w:pPr>
              <w:spacing w:line="360" w:lineRule="exact"/>
              <w:rPr>
                <w:rFonts w:ascii="宋体" w:hAnsi="宋体"/>
                <w:color w:val="auto"/>
                <w:sz w:val="21"/>
                <w:szCs w:val="21"/>
                <w:highlight w:val="none"/>
              </w:rPr>
            </w:pPr>
            <w:r>
              <w:rPr>
                <w:rFonts w:hint="eastAsia" w:ascii="宋体" w:hAnsi="宋体"/>
                <w:color w:val="auto"/>
                <w:sz w:val="21"/>
                <w:szCs w:val="21"/>
                <w:highlight w:val="none"/>
              </w:rPr>
              <w:t>加气混凝土砌块（砌墙砖和</w:t>
            </w:r>
          </w:p>
          <w:p w14:paraId="48D37C76">
            <w:pPr>
              <w:spacing w:line="360" w:lineRule="exact"/>
              <w:rPr>
                <w:rFonts w:ascii="宋体" w:hAnsi="宋体"/>
                <w:color w:val="auto"/>
                <w:sz w:val="21"/>
                <w:szCs w:val="21"/>
                <w:highlight w:val="none"/>
              </w:rPr>
            </w:pPr>
            <w:r>
              <w:rPr>
                <w:rFonts w:hint="eastAsia" w:ascii="宋体" w:hAnsi="宋体"/>
                <w:color w:val="auto"/>
                <w:sz w:val="21"/>
                <w:szCs w:val="21"/>
                <w:highlight w:val="none"/>
              </w:rPr>
              <w:t>砌块）</w:t>
            </w:r>
          </w:p>
        </w:tc>
        <w:tc>
          <w:tcPr>
            <w:tcW w:w="1690" w:type="dxa"/>
            <w:tcBorders>
              <w:top w:val="single" w:color="auto" w:sz="6" w:space="0"/>
              <w:left w:val="single" w:color="auto" w:sz="6" w:space="0"/>
              <w:bottom w:val="single" w:color="auto" w:sz="6" w:space="0"/>
              <w:right w:val="single" w:color="auto" w:sz="6" w:space="0"/>
            </w:tcBorders>
            <w:vAlign w:val="center"/>
          </w:tcPr>
          <w:p w14:paraId="7FC39036">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2AD58F4E">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33AF2127">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0A89B2D8">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202171A7">
            <w:pPr>
              <w:spacing w:line="280" w:lineRule="exact"/>
              <w:rPr>
                <w:rFonts w:ascii="宋体" w:hAnsi="宋体"/>
                <w:color w:val="auto"/>
                <w:spacing w:val="-6"/>
                <w:sz w:val="21"/>
                <w:szCs w:val="21"/>
                <w:highlight w:val="none"/>
              </w:rPr>
            </w:pPr>
          </w:p>
        </w:tc>
      </w:tr>
      <w:tr w14:paraId="349CC3F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56" w:type="dxa"/>
            <w:tcBorders>
              <w:top w:val="single" w:color="auto" w:sz="6" w:space="0"/>
              <w:left w:val="single" w:color="auto" w:sz="2" w:space="0"/>
              <w:bottom w:val="single" w:color="auto" w:sz="6" w:space="0"/>
              <w:right w:val="single" w:color="auto" w:sz="6" w:space="0"/>
            </w:tcBorders>
            <w:vAlign w:val="center"/>
          </w:tcPr>
          <w:p w14:paraId="01119923">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23</w:t>
            </w:r>
          </w:p>
        </w:tc>
        <w:tc>
          <w:tcPr>
            <w:tcW w:w="2818" w:type="dxa"/>
            <w:tcBorders>
              <w:top w:val="single" w:color="auto" w:sz="6" w:space="0"/>
              <w:left w:val="single" w:color="auto" w:sz="6" w:space="0"/>
              <w:bottom w:val="single" w:color="auto" w:sz="6" w:space="0"/>
              <w:right w:val="single" w:color="auto" w:sz="6" w:space="0"/>
            </w:tcBorders>
            <w:vAlign w:val="center"/>
          </w:tcPr>
          <w:p w14:paraId="2C1D01C8">
            <w:pPr>
              <w:spacing w:line="360" w:lineRule="exact"/>
              <w:rPr>
                <w:rFonts w:ascii="宋体" w:hAnsi="宋体"/>
                <w:color w:val="auto"/>
                <w:sz w:val="21"/>
                <w:szCs w:val="21"/>
                <w:highlight w:val="none"/>
              </w:rPr>
            </w:pPr>
            <w:r>
              <w:rPr>
                <w:rFonts w:hint="eastAsia" w:ascii="宋体" w:hAnsi="宋体"/>
                <w:color w:val="auto"/>
                <w:sz w:val="21"/>
                <w:szCs w:val="21"/>
                <w:highlight w:val="none"/>
              </w:rPr>
              <w:t>外加剂</w:t>
            </w:r>
          </w:p>
        </w:tc>
        <w:tc>
          <w:tcPr>
            <w:tcW w:w="1690" w:type="dxa"/>
            <w:tcBorders>
              <w:top w:val="single" w:color="auto" w:sz="6" w:space="0"/>
              <w:left w:val="single" w:color="auto" w:sz="6" w:space="0"/>
              <w:bottom w:val="single" w:color="auto" w:sz="6" w:space="0"/>
              <w:right w:val="single" w:color="auto" w:sz="6" w:space="0"/>
            </w:tcBorders>
            <w:vAlign w:val="center"/>
          </w:tcPr>
          <w:p w14:paraId="23A5E453">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05677F0D">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610D5F53">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0EB7B1C9">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29AF88EB">
            <w:pPr>
              <w:spacing w:line="280" w:lineRule="exact"/>
              <w:rPr>
                <w:rFonts w:ascii="宋体" w:hAnsi="宋体"/>
                <w:color w:val="auto"/>
                <w:spacing w:val="-6"/>
                <w:sz w:val="21"/>
                <w:szCs w:val="21"/>
                <w:highlight w:val="none"/>
              </w:rPr>
            </w:pPr>
          </w:p>
        </w:tc>
      </w:tr>
      <w:tr w14:paraId="4DD0A7D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56" w:type="dxa"/>
            <w:tcBorders>
              <w:top w:val="single" w:color="auto" w:sz="6" w:space="0"/>
              <w:left w:val="single" w:color="auto" w:sz="2" w:space="0"/>
              <w:bottom w:val="single" w:color="auto" w:sz="6" w:space="0"/>
              <w:right w:val="single" w:color="auto" w:sz="6" w:space="0"/>
            </w:tcBorders>
            <w:vAlign w:val="center"/>
          </w:tcPr>
          <w:p w14:paraId="29E818F4">
            <w:pPr>
              <w:widowControl/>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24</w:t>
            </w:r>
          </w:p>
        </w:tc>
        <w:tc>
          <w:tcPr>
            <w:tcW w:w="2818" w:type="dxa"/>
            <w:tcBorders>
              <w:top w:val="single" w:color="auto" w:sz="6" w:space="0"/>
              <w:left w:val="single" w:color="auto" w:sz="6" w:space="0"/>
              <w:bottom w:val="single" w:color="auto" w:sz="6" w:space="0"/>
              <w:right w:val="single" w:color="auto" w:sz="6" w:space="0"/>
            </w:tcBorders>
            <w:vAlign w:val="center"/>
          </w:tcPr>
          <w:p w14:paraId="0A757AB9">
            <w:pPr>
              <w:spacing w:line="360" w:lineRule="exact"/>
              <w:rPr>
                <w:rFonts w:ascii="宋体" w:hAnsi="宋体"/>
                <w:color w:val="auto"/>
                <w:spacing w:val="-6"/>
                <w:sz w:val="21"/>
                <w:szCs w:val="21"/>
                <w:highlight w:val="none"/>
              </w:rPr>
            </w:pPr>
            <w:r>
              <w:rPr>
                <w:rFonts w:hint="eastAsia" w:ascii="宋体" w:hAnsi="宋体"/>
                <w:color w:val="auto"/>
                <w:sz w:val="21"/>
                <w:szCs w:val="21"/>
                <w:highlight w:val="none"/>
              </w:rPr>
              <w:t>水泥</w:t>
            </w:r>
          </w:p>
        </w:tc>
        <w:tc>
          <w:tcPr>
            <w:tcW w:w="1690" w:type="dxa"/>
            <w:tcBorders>
              <w:top w:val="single" w:color="auto" w:sz="6" w:space="0"/>
              <w:left w:val="single" w:color="auto" w:sz="6" w:space="0"/>
              <w:bottom w:val="single" w:color="auto" w:sz="6" w:space="0"/>
              <w:right w:val="single" w:color="auto" w:sz="6" w:space="0"/>
            </w:tcBorders>
            <w:vAlign w:val="center"/>
          </w:tcPr>
          <w:p w14:paraId="20F23907">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1D4CF5B8">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23FF5EE0">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711D273F">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2DA46F8B">
            <w:pPr>
              <w:spacing w:line="280" w:lineRule="exact"/>
              <w:rPr>
                <w:rFonts w:ascii="宋体" w:hAnsi="宋体"/>
                <w:color w:val="auto"/>
                <w:spacing w:val="-6"/>
                <w:sz w:val="21"/>
                <w:szCs w:val="21"/>
                <w:highlight w:val="none"/>
              </w:rPr>
            </w:pPr>
          </w:p>
        </w:tc>
      </w:tr>
      <w:tr w14:paraId="3F20042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56" w:type="dxa"/>
            <w:tcBorders>
              <w:top w:val="single" w:color="auto" w:sz="6" w:space="0"/>
              <w:left w:val="single" w:color="auto" w:sz="2" w:space="0"/>
              <w:bottom w:val="single" w:color="auto" w:sz="6" w:space="0"/>
              <w:right w:val="single" w:color="auto" w:sz="6" w:space="0"/>
            </w:tcBorders>
            <w:vAlign w:val="center"/>
          </w:tcPr>
          <w:p w14:paraId="48A05929">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25</w:t>
            </w:r>
          </w:p>
        </w:tc>
        <w:tc>
          <w:tcPr>
            <w:tcW w:w="2818" w:type="dxa"/>
            <w:tcBorders>
              <w:top w:val="single" w:color="auto" w:sz="6" w:space="0"/>
              <w:left w:val="single" w:color="auto" w:sz="6" w:space="0"/>
              <w:bottom w:val="single" w:color="auto" w:sz="6" w:space="0"/>
              <w:right w:val="single" w:color="auto" w:sz="6" w:space="0"/>
            </w:tcBorders>
            <w:vAlign w:val="center"/>
          </w:tcPr>
          <w:p w14:paraId="4498BA0F">
            <w:pPr>
              <w:spacing w:line="360" w:lineRule="exact"/>
              <w:rPr>
                <w:rFonts w:ascii="宋体" w:hAnsi="宋体"/>
                <w:color w:val="auto"/>
                <w:sz w:val="21"/>
                <w:szCs w:val="21"/>
                <w:highlight w:val="none"/>
              </w:rPr>
            </w:pPr>
            <w:r>
              <w:rPr>
                <w:rFonts w:hint="eastAsia" w:ascii="宋体" w:hAnsi="宋体"/>
                <w:color w:val="auto"/>
                <w:sz w:val="21"/>
                <w:szCs w:val="21"/>
                <w:highlight w:val="none"/>
              </w:rPr>
              <w:t>岩石岩体（单轴抗压强度）</w:t>
            </w:r>
          </w:p>
        </w:tc>
        <w:tc>
          <w:tcPr>
            <w:tcW w:w="1690" w:type="dxa"/>
            <w:tcBorders>
              <w:top w:val="single" w:color="auto" w:sz="6" w:space="0"/>
              <w:left w:val="single" w:color="auto" w:sz="6" w:space="0"/>
              <w:bottom w:val="single" w:color="auto" w:sz="6" w:space="0"/>
              <w:right w:val="single" w:color="auto" w:sz="6" w:space="0"/>
            </w:tcBorders>
            <w:vAlign w:val="center"/>
          </w:tcPr>
          <w:p w14:paraId="6B92E818">
            <w:pPr>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29E33A40">
            <w:pPr>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2B5F67E3">
            <w:pPr>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09C41888">
            <w:pPr>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0A361032">
            <w:pPr>
              <w:rPr>
                <w:rFonts w:ascii="宋体" w:hAnsi="宋体"/>
                <w:color w:val="auto"/>
                <w:spacing w:val="-6"/>
                <w:sz w:val="21"/>
                <w:szCs w:val="21"/>
                <w:highlight w:val="none"/>
              </w:rPr>
            </w:pPr>
          </w:p>
        </w:tc>
      </w:tr>
      <w:tr w14:paraId="026EA0E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0D9DD54B">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26</w:t>
            </w:r>
          </w:p>
        </w:tc>
        <w:tc>
          <w:tcPr>
            <w:tcW w:w="2818" w:type="dxa"/>
            <w:tcBorders>
              <w:top w:val="single" w:color="auto" w:sz="6" w:space="0"/>
              <w:left w:val="single" w:color="auto" w:sz="6" w:space="0"/>
              <w:bottom w:val="single" w:color="auto" w:sz="6" w:space="0"/>
              <w:right w:val="single" w:color="auto" w:sz="6" w:space="0"/>
            </w:tcBorders>
            <w:vAlign w:val="center"/>
          </w:tcPr>
          <w:p w14:paraId="5A7B956C">
            <w:pPr>
              <w:spacing w:line="360" w:lineRule="exact"/>
              <w:rPr>
                <w:rFonts w:ascii="宋体" w:hAnsi="宋体"/>
                <w:color w:val="auto"/>
                <w:sz w:val="21"/>
                <w:szCs w:val="21"/>
                <w:highlight w:val="none"/>
              </w:rPr>
            </w:pPr>
            <w:r>
              <w:rPr>
                <w:rFonts w:ascii="宋体" w:hAnsi="宋体"/>
                <w:color w:val="auto"/>
                <w:sz w:val="21"/>
                <w:szCs w:val="21"/>
                <w:highlight w:val="none"/>
              </w:rPr>
              <w:t>灰砂砖</w:t>
            </w:r>
            <w:r>
              <w:rPr>
                <w:rFonts w:hint="eastAsia" w:ascii="宋体" w:hAnsi="宋体"/>
                <w:color w:val="auto"/>
                <w:sz w:val="21"/>
                <w:szCs w:val="21"/>
                <w:highlight w:val="none"/>
              </w:rPr>
              <w:t>（砌墙砖和砌块）</w:t>
            </w:r>
          </w:p>
        </w:tc>
        <w:tc>
          <w:tcPr>
            <w:tcW w:w="1690" w:type="dxa"/>
            <w:tcBorders>
              <w:top w:val="single" w:color="auto" w:sz="6" w:space="0"/>
              <w:left w:val="single" w:color="auto" w:sz="6" w:space="0"/>
              <w:bottom w:val="single" w:color="auto" w:sz="6" w:space="0"/>
              <w:right w:val="single" w:color="auto" w:sz="6" w:space="0"/>
            </w:tcBorders>
            <w:vAlign w:val="center"/>
          </w:tcPr>
          <w:p w14:paraId="3A061186">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22EA5CCD">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5C6B0DFF">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51C385B3">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1D4317A9">
            <w:pPr>
              <w:spacing w:line="280" w:lineRule="exact"/>
              <w:rPr>
                <w:rFonts w:ascii="宋体" w:hAnsi="宋体"/>
                <w:color w:val="auto"/>
                <w:spacing w:val="-6"/>
                <w:sz w:val="21"/>
                <w:szCs w:val="21"/>
                <w:highlight w:val="none"/>
              </w:rPr>
            </w:pPr>
          </w:p>
        </w:tc>
      </w:tr>
      <w:tr w14:paraId="5FE3710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3584C40F">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27</w:t>
            </w:r>
          </w:p>
        </w:tc>
        <w:tc>
          <w:tcPr>
            <w:tcW w:w="2818" w:type="dxa"/>
            <w:tcBorders>
              <w:top w:val="single" w:color="auto" w:sz="6" w:space="0"/>
              <w:left w:val="single" w:color="auto" w:sz="6" w:space="0"/>
              <w:bottom w:val="single" w:color="auto" w:sz="6" w:space="0"/>
              <w:right w:val="single" w:color="auto" w:sz="6" w:space="0"/>
            </w:tcBorders>
            <w:vAlign w:val="center"/>
          </w:tcPr>
          <w:p w14:paraId="05BA7EEC">
            <w:pPr>
              <w:rPr>
                <w:rFonts w:ascii="宋体" w:hAnsi="宋体"/>
                <w:color w:val="auto"/>
                <w:spacing w:val="-6"/>
                <w:sz w:val="21"/>
                <w:szCs w:val="21"/>
                <w:highlight w:val="none"/>
              </w:rPr>
            </w:pPr>
            <w:r>
              <w:rPr>
                <w:rFonts w:ascii="宋体" w:hAnsi="宋体"/>
                <w:color w:val="auto"/>
                <w:sz w:val="21"/>
                <w:szCs w:val="21"/>
                <w:highlight w:val="none"/>
              </w:rPr>
              <w:t>砂浆配合比（</w:t>
            </w:r>
            <w:r>
              <w:rPr>
                <w:rFonts w:hint="eastAsia" w:ascii="宋体" w:hAnsi="宋体"/>
                <w:color w:val="auto"/>
                <w:sz w:val="21"/>
                <w:szCs w:val="21"/>
                <w:highlight w:val="none"/>
              </w:rPr>
              <w:t>砂浆配合比设计）</w:t>
            </w:r>
          </w:p>
        </w:tc>
        <w:tc>
          <w:tcPr>
            <w:tcW w:w="1690" w:type="dxa"/>
            <w:tcBorders>
              <w:top w:val="single" w:color="auto" w:sz="6" w:space="0"/>
              <w:left w:val="single" w:color="auto" w:sz="6" w:space="0"/>
              <w:bottom w:val="single" w:color="auto" w:sz="6" w:space="0"/>
              <w:right w:val="single" w:color="auto" w:sz="6" w:space="0"/>
            </w:tcBorders>
            <w:vAlign w:val="center"/>
          </w:tcPr>
          <w:p w14:paraId="022D9CEE">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351EBB8D">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34C77BA5">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0FF2330D">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6A3B21C1">
            <w:pPr>
              <w:spacing w:line="280" w:lineRule="exact"/>
              <w:rPr>
                <w:rFonts w:ascii="宋体" w:hAnsi="宋体"/>
                <w:color w:val="auto"/>
                <w:spacing w:val="-6"/>
                <w:sz w:val="21"/>
                <w:szCs w:val="21"/>
                <w:highlight w:val="none"/>
              </w:rPr>
            </w:pPr>
          </w:p>
        </w:tc>
      </w:tr>
      <w:tr w14:paraId="4068086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35A4D984">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28</w:t>
            </w:r>
          </w:p>
        </w:tc>
        <w:tc>
          <w:tcPr>
            <w:tcW w:w="2818" w:type="dxa"/>
            <w:tcBorders>
              <w:top w:val="single" w:color="auto" w:sz="6" w:space="0"/>
              <w:left w:val="single" w:color="auto" w:sz="6" w:space="0"/>
              <w:bottom w:val="single" w:color="auto" w:sz="6" w:space="0"/>
              <w:right w:val="single" w:color="auto" w:sz="6" w:space="0"/>
            </w:tcBorders>
            <w:vAlign w:val="center"/>
          </w:tcPr>
          <w:p w14:paraId="5085050D">
            <w:pPr>
              <w:rPr>
                <w:rFonts w:ascii="宋体" w:hAnsi="宋体"/>
                <w:color w:val="auto"/>
                <w:sz w:val="21"/>
                <w:szCs w:val="21"/>
                <w:highlight w:val="none"/>
              </w:rPr>
            </w:pPr>
            <w:r>
              <w:rPr>
                <w:rFonts w:ascii="宋体" w:hAnsi="宋体"/>
                <w:color w:val="auto"/>
                <w:sz w:val="21"/>
                <w:szCs w:val="21"/>
                <w:highlight w:val="none"/>
              </w:rPr>
              <w:t>砂浆抗压（</w:t>
            </w:r>
            <w:r>
              <w:rPr>
                <w:rFonts w:hint="eastAsia" w:ascii="宋体" w:hAnsi="宋体"/>
                <w:color w:val="auto"/>
                <w:sz w:val="21"/>
                <w:szCs w:val="21"/>
                <w:highlight w:val="none"/>
              </w:rPr>
              <w:t>砂浆抗压强度）</w:t>
            </w:r>
          </w:p>
        </w:tc>
        <w:tc>
          <w:tcPr>
            <w:tcW w:w="1690" w:type="dxa"/>
            <w:tcBorders>
              <w:top w:val="single" w:color="auto" w:sz="6" w:space="0"/>
              <w:left w:val="single" w:color="auto" w:sz="6" w:space="0"/>
              <w:bottom w:val="single" w:color="auto" w:sz="6" w:space="0"/>
              <w:right w:val="single" w:color="auto" w:sz="6" w:space="0"/>
            </w:tcBorders>
            <w:vAlign w:val="center"/>
          </w:tcPr>
          <w:p w14:paraId="19AC76C2">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24331E6A">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7119B3F1">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2053A308">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33242661">
            <w:pPr>
              <w:spacing w:line="280" w:lineRule="exact"/>
              <w:rPr>
                <w:rFonts w:ascii="宋体" w:hAnsi="宋体"/>
                <w:color w:val="auto"/>
                <w:spacing w:val="-6"/>
                <w:sz w:val="21"/>
                <w:szCs w:val="21"/>
                <w:highlight w:val="none"/>
              </w:rPr>
            </w:pPr>
          </w:p>
        </w:tc>
      </w:tr>
      <w:tr w14:paraId="18EF351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32507E91">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29</w:t>
            </w:r>
          </w:p>
        </w:tc>
        <w:tc>
          <w:tcPr>
            <w:tcW w:w="2818" w:type="dxa"/>
            <w:tcBorders>
              <w:top w:val="single" w:color="auto" w:sz="6" w:space="0"/>
              <w:left w:val="single" w:color="auto" w:sz="6" w:space="0"/>
              <w:bottom w:val="single" w:color="auto" w:sz="6" w:space="0"/>
              <w:right w:val="single" w:color="auto" w:sz="6" w:space="0"/>
            </w:tcBorders>
            <w:vAlign w:val="center"/>
          </w:tcPr>
          <w:p w14:paraId="42E08A8B">
            <w:pPr>
              <w:rPr>
                <w:rFonts w:ascii="宋体" w:hAnsi="宋体"/>
                <w:color w:val="auto"/>
                <w:sz w:val="21"/>
                <w:szCs w:val="21"/>
                <w:highlight w:val="none"/>
              </w:rPr>
            </w:pPr>
            <w:r>
              <w:rPr>
                <w:rFonts w:ascii="宋体" w:hAnsi="宋体"/>
                <w:color w:val="auto"/>
                <w:sz w:val="21"/>
                <w:szCs w:val="21"/>
                <w:highlight w:val="none"/>
              </w:rPr>
              <w:t>钢塑复合管</w:t>
            </w:r>
            <w:r>
              <w:rPr>
                <w:rFonts w:hint="eastAsia" w:ascii="宋体" w:hAnsi="宋体"/>
                <w:color w:val="auto"/>
                <w:sz w:val="21"/>
                <w:szCs w:val="21"/>
                <w:highlight w:val="none"/>
              </w:rPr>
              <w:t>（压扁性能）</w:t>
            </w:r>
          </w:p>
        </w:tc>
        <w:tc>
          <w:tcPr>
            <w:tcW w:w="1690" w:type="dxa"/>
            <w:tcBorders>
              <w:top w:val="single" w:color="auto" w:sz="6" w:space="0"/>
              <w:left w:val="single" w:color="auto" w:sz="6" w:space="0"/>
              <w:bottom w:val="single" w:color="auto" w:sz="6" w:space="0"/>
              <w:right w:val="single" w:color="auto" w:sz="6" w:space="0"/>
            </w:tcBorders>
            <w:vAlign w:val="center"/>
          </w:tcPr>
          <w:p w14:paraId="6D6A563A">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72F71E47">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6FF31D1E">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7C32E83B">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26D9DCF9">
            <w:pPr>
              <w:spacing w:line="280" w:lineRule="exact"/>
              <w:rPr>
                <w:rFonts w:ascii="宋体" w:hAnsi="宋体"/>
                <w:color w:val="auto"/>
                <w:spacing w:val="-6"/>
                <w:sz w:val="21"/>
                <w:szCs w:val="21"/>
                <w:highlight w:val="none"/>
              </w:rPr>
            </w:pPr>
          </w:p>
        </w:tc>
      </w:tr>
      <w:tr w14:paraId="5973283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3E1E2E8C">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30</w:t>
            </w:r>
          </w:p>
        </w:tc>
        <w:tc>
          <w:tcPr>
            <w:tcW w:w="2818" w:type="dxa"/>
            <w:tcBorders>
              <w:top w:val="single" w:color="auto" w:sz="6" w:space="0"/>
              <w:left w:val="single" w:color="auto" w:sz="6" w:space="0"/>
              <w:bottom w:val="single" w:color="auto" w:sz="6" w:space="0"/>
              <w:right w:val="single" w:color="auto" w:sz="6" w:space="0"/>
            </w:tcBorders>
            <w:vAlign w:val="center"/>
          </w:tcPr>
          <w:p w14:paraId="44C22D43">
            <w:pPr>
              <w:rPr>
                <w:rFonts w:ascii="宋体" w:hAnsi="宋体"/>
                <w:color w:val="auto"/>
                <w:sz w:val="21"/>
                <w:szCs w:val="21"/>
                <w:highlight w:val="none"/>
              </w:rPr>
            </w:pPr>
            <w:r>
              <w:rPr>
                <w:rFonts w:ascii="宋体" w:hAnsi="宋体"/>
                <w:color w:val="auto"/>
                <w:sz w:val="21"/>
                <w:szCs w:val="21"/>
                <w:highlight w:val="none"/>
              </w:rPr>
              <w:t>钢筋原材（钢材）</w:t>
            </w:r>
          </w:p>
        </w:tc>
        <w:tc>
          <w:tcPr>
            <w:tcW w:w="1690" w:type="dxa"/>
            <w:tcBorders>
              <w:top w:val="single" w:color="auto" w:sz="6" w:space="0"/>
              <w:left w:val="single" w:color="auto" w:sz="6" w:space="0"/>
              <w:bottom w:val="single" w:color="auto" w:sz="6" w:space="0"/>
              <w:right w:val="single" w:color="auto" w:sz="6" w:space="0"/>
            </w:tcBorders>
            <w:vAlign w:val="center"/>
          </w:tcPr>
          <w:p w14:paraId="2742987A">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43939B16">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39E60583">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3F362231">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020430CF">
            <w:pPr>
              <w:spacing w:line="280" w:lineRule="exact"/>
              <w:rPr>
                <w:rFonts w:ascii="宋体" w:hAnsi="宋体"/>
                <w:color w:val="auto"/>
                <w:spacing w:val="-6"/>
                <w:sz w:val="21"/>
                <w:szCs w:val="21"/>
                <w:highlight w:val="none"/>
              </w:rPr>
            </w:pPr>
          </w:p>
        </w:tc>
      </w:tr>
      <w:tr w14:paraId="0CCFBD7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4A34243C">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31</w:t>
            </w:r>
          </w:p>
        </w:tc>
        <w:tc>
          <w:tcPr>
            <w:tcW w:w="2818" w:type="dxa"/>
            <w:tcBorders>
              <w:top w:val="single" w:color="auto" w:sz="6" w:space="0"/>
              <w:left w:val="single" w:color="auto" w:sz="6" w:space="0"/>
              <w:bottom w:val="single" w:color="auto" w:sz="6" w:space="0"/>
              <w:right w:val="single" w:color="auto" w:sz="6" w:space="0"/>
            </w:tcBorders>
            <w:vAlign w:val="center"/>
          </w:tcPr>
          <w:p w14:paraId="227DD076">
            <w:pPr>
              <w:spacing w:line="240" w:lineRule="exact"/>
              <w:rPr>
                <w:rFonts w:ascii="宋体" w:hAnsi="宋体"/>
                <w:color w:val="auto"/>
                <w:spacing w:val="-6"/>
                <w:sz w:val="21"/>
                <w:szCs w:val="21"/>
                <w:highlight w:val="none"/>
              </w:rPr>
            </w:pPr>
            <w:r>
              <w:rPr>
                <w:rFonts w:ascii="宋体" w:hAnsi="宋体"/>
                <w:color w:val="auto"/>
                <w:spacing w:val="-6"/>
                <w:sz w:val="21"/>
                <w:szCs w:val="21"/>
                <w:highlight w:val="none"/>
              </w:rPr>
              <w:t>钢筋焊接（</w:t>
            </w:r>
            <w:r>
              <w:rPr>
                <w:rFonts w:hint="eastAsia" w:ascii="宋体" w:hAnsi="宋体"/>
                <w:color w:val="auto"/>
                <w:spacing w:val="-6"/>
                <w:sz w:val="21"/>
                <w:szCs w:val="21"/>
                <w:highlight w:val="none"/>
              </w:rPr>
              <w:t>钢材钢筋及焊接接头</w:t>
            </w:r>
            <w:r>
              <w:rPr>
                <w:rFonts w:ascii="宋体" w:hAnsi="宋体"/>
                <w:color w:val="auto"/>
                <w:spacing w:val="-6"/>
                <w:sz w:val="21"/>
                <w:szCs w:val="21"/>
                <w:highlight w:val="none"/>
              </w:rPr>
              <w:t>）</w:t>
            </w:r>
          </w:p>
        </w:tc>
        <w:tc>
          <w:tcPr>
            <w:tcW w:w="1690" w:type="dxa"/>
            <w:tcBorders>
              <w:top w:val="single" w:color="auto" w:sz="6" w:space="0"/>
              <w:left w:val="single" w:color="auto" w:sz="6" w:space="0"/>
              <w:bottom w:val="single" w:color="auto" w:sz="6" w:space="0"/>
              <w:right w:val="single" w:color="auto" w:sz="6" w:space="0"/>
            </w:tcBorders>
            <w:vAlign w:val="center"/>
          </w:tcPr>
          <w:p w14:paraId="24F91B16">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6EEB61AF">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7AF74874">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559F0C97">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1811CA61">
            <w:pPr>
              <w:spacing w:line="280" w:lineRule="exact"/>
              <w:rPr>
                <w:rFonts w:ascii="宋体" w:hAnsi="宋体"/>
                <w:color w:val="auto"/>
                <w:spacing w:val="-6"/>
                <w:sz w:val="21"/>
                <w:szCs w:val="21"/>
                <w:highlight w:val="none"/>
              </w:rPr>
            </w:pPr>
          </w:p>
        </w:tc>
      </w:tr>
      <w:tr w14:paraId="41540E6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6CF4817E">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32</w:t>
            </w:r>
          </w:p>
        </w:tc>
        <w:tc>
          <w:tcPr>
            <w:tcW w:w="2818" w:type="dxa"/>
            <w:tcBorders>
              <w:top w:val="single" w:color="auto" w:sz="6" w:space="0"/>
              <w:left w:val="single" w:color="auto" w:sz="6" w:space="0"/>
              <w:bottom w:val="single" w:color="auto" w:sz="6" w:space="0"/>
              <w:right w:val="single" w:color="auto" w:sz="6" w:space="0"/>
            </w:tcBorders>
            <w:vAlign w:val="center"/>
          </w:tcPr>
          <w:p w14:paraId="3D86BDF7">
            <w:pPr>
              <w:spacing w:line="240" w:lineRule="exact"/>
              <w:rPr>
                <w:rFonts w:ascii="宋体" w:hAnsi="宋体"/>
                <w:color w:val="auto"/>
                <w:sz w:val="21"/>
                <w:szCs w:val="21"/>
                <w:highlight w:val="none"/>
              </w:rPr>
            </w:pPr>
            <w:r>
              <w:rPr>
                <w:rFonts w:ascii="宋体" w:hAnsi="宋体"/>
                <w:color w:val="auto"/>
                <w:sz w:val="21"/>
                <w:szCs w:val="21"/>
                <w:highlight w:val="none"/>
              </w:rPr>
              <w:t>钢管原材</w:t>
            </w:r>
            <w:r>
              <w:rPr>
                <w:rFonts w:hint="eastAsia" w:ascii="宋体" w:hAnsi="宋体"/>
                <w:color w:val="auto"/>
                <w:sz w:val="21"/>
                <w:szCs w:val="21"/>
                <w:highlight w:val="none"/>
              </w:rPr>
              <w:t>（抗拉强度、屈服强度、断后伸长率）</w:t>
            </w:r>
          </w:p>
        </w:tc>
        <w:tc>
          <w:tcPr>
            <w:tcW w:w="1690" w:type="dxa"/>
            <w:tcBorders>
              <w:top w:val="single" w:color="auto" w:sz="6" w:space="0"/>
              <w:left w:val="single" w:color="auto" w:sz="6" w:space="0"/>
              <w:bottom w:val="single" w:color="auto" w:sz="6" w:space="0"/>
              <w:right w:val="single" w:color="auto" w:sz="6" w:space="0"/>
            </w:tcBorders>
            <w:vAlign w:val="center"/>
          </w:tcPr>
          <w:p w14:paraId="2F0197F4">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56159F87">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549A5016">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3226AE3C">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3508F10B">
            <w:pPr>
              <w:spacing w:line="280" w:lineRule="exact"/>
              <w:rPr>
                <w:rFonts w:ascii="宋体" w:hAnsi="宋体"/>
                <w:color w:val="auto"/>
                <w:spacing w:val="-6"/>
                <w:sz w:val="21"/>
                <w:szCs w:val="21"/>
                <w:highlight w:val="none"/>
              </w:rPr>
            </w:pPr>
          </w:p>
        </w:tc>
      </w:tr>
      <w:tr w14:paraId="099E9FB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39C814F0">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33</w:t>
            </w:r>
          </w:p>
        </w:tc>
        <w:tc>
          <w:tcPr>
            <w:tcW w:w="2818" w:type="dxa"/>
            <w:tcBorders>
              <w:top w:val="single" w:color="auto" w:sz="6" w:space="0"/>
              <w:left w:val="single" w:color="auto" w:sz="6" w:space="0"/>
              <w:bottom w:val="single" w:color="auto" w:sz="6" w:space="0"/>
              <w:right w:val="single" w:color="auto" w:sz="6" w:space="0"/>
            </w:tcBorders>
            <w:vAlign w:val="center"/>
          </w:tcPr>
          <w:p w14:paraId="642DB67B">
            <w:pPr>
              <w:spacing w:line="240" w:lineRule="exact"/>
              <w:rPr>
                <w:rFonts w:ascii="宋体" w:hAnsi="宋体"/>
                <w:color w:val="auto"/>
                <w:spacing w:val="-6"/>
                <w:sz w:val="21"/>
                <w:szCs w:val="21"/>
                <w:highlight w:val="none"/>
              </w:rPr>
            </w:pPr>
            <w:r>
              <w:rPr>
                <w:rFonts w:ascii="宋体" w:hAnsi="宋体"/>
                <w:color w:val="auto"/>
                <w:spacing w:val="-6"/>
                <w:sz w:val="21"/>
                <w:szCs w:val="21"/>
                <w:highlight w:val="none"/>
              </w:rPr>
              <w:t>混凝土配合比</w:t>
            </w:r>
          </w:p>
        </w:tc>
        <w:tc>
          <w:tcPr>
            <w:tcW w:w="1690" w:type="dxa"/>
            <w:tcBorders>
              <w:top w:val="single" w:color="auto" w:sz="6" w:space="0"/>
              <w:left w:val="single" w:color="auto" w:sz="6" w:space="0"/>
              <w:bottom w:val="single" w:color="auto" w:sz="6" w:space="0"/>
              <w:right w:val="single" w:color="auto" w:sz="6" w:space="0"/>
            </w:tcBorders>
            <w:vAlign w:val="center"/>
          </w:tcPr>
          <w:p w14:paraId="1B124F72">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66DEA95A">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4BDC98CB">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2EE1FB6A">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5399C8EA">
            <w:pPr>
              <w:spacing w:line="280" w:lineRule="exact"/>
              <w:rPr>
                <w:rFonts w:ascii="宋体" w:hAnsi="宋体"/>
                <w:color w:val="auto"/>
                <w:spacing w:val="-6"/>
                <w:sz w:val="21"/>
                <w:szCs w:val="21"/>
                <w:highlight w:val="none"/>
              </w:rPr>
            </w:pPr>
          </w:p>
        </w:tc>
      </w:tr>
      <w:tr w14:paraId="3F93883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69B5ED7A">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34</w:t>
            </w:r>
          </w:p>
        </w:tc>
        <w:tc>
          <w:tcPr>
            <w:tcW w:w="2818" w:type="dxa"/>
            <w:tcBorders>
              <w:top w:val="single" w:color="auto" w:sz="6" w:space="0"/>
              <w:left w:val="single" w:color="auto" w:sz="6" w:space="0"/>
              <w:bottom w:val="single" w:color="auto" w:sz="6" w:space="0"/>
              <w:right w:val="single" w:color="auto" w:sz="6" w:space="0"/>
            </w:tcBorders>
            <w:vAlign w:val="center"/>
          </w:tcPr>
          <w:p w14:paraId="76D482A8">
            <w:pPr>
              <w:rPr>
                <w:rFonts w:ascii="宋体" w:hAnsi="宋体"/>
                <w:color w:val="auto"/>
                <w:spacing w:val="-6"/>
                <w:sz w:val="21"/>
                <w:szCs w:val="21"/>
                <w:highlight w:val="none"/>
              </w:rPr>
            </w:pPr>
            <w:r>
              <w:rPr>
                <w:rFonts w:hint="eastAsia" w:ascii="宋体" w:hAnsi="宋体"/>
                <w:color w:val="auto"/>
                <w:sz w:val="21"/>
                <w:szCs w:val="21"/>
                <w:highlight w:val="none"/>
              </w:rPr>
              <w:t>混凝土(抗压强度)</w:t>
            </w:r>
          </w:p>
        </w:tc>
        <w:tc>
          <w:tcPr>
            <w:tcW w:w="1690" w:type="dxa"/>
            <w:tcBorders>
              <w:top w:val="single" w:color="auto" w:sz="6" w:space="0"/>
              <w:left w:val="single" w:color="auto" w:sz="6" w:space="0"/>
              <w:bottom w:val="single" w:color="auto" w:sz="6" w:space="0"/>
              <w:right w:val="single" w:color="auto" w:sz="6" w:space="0"/>
            </w:tcBorders>
            <w:vAlign w:val="center"/>
          </w:tcPr>
          <w:p w14:paraId="244558F0">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5E956BA3">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26EB31C8">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03A6DA0F">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6D0F73FF">
            <w:pPr>
              <w:spacing w:line="280" w:lineRule="exact"/>
              <w:rPr>
                <w:rFonts w:ascii="宋体" w:hAnsi="宋体"/>
                <w:color w:val="auto"/>
                <w:spacing w:val="-6"/>
                <w:sz w:val="21"/>
                <w:szCs w:val="21"/>
                <w:highlight w:val="none"/>
              </w:rPr>
            </w:pPr>
          </w:p>
        </w:tc>
      </w:tr>
      <w:tr w14:paraId="0A36D5E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16C712D6">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35</w:t>
            </w:r>
          </w:p>
        </w:tc>
        <w:tc>
          <w:tcPr>
            <w:tcW w:w="2818" w:type="dxa"/>
            <w:tcBorders>
              <w:top w:val="single" w:color="auto" w:sz="6" w:space="0"/>
              <w:left w:val="single" w:color="auto" w:sz="6" w:space="0"/>
              <w:bottom w:val="single" w:color="auto" w:sz="6" w:space="0"/>
              <w:right w:val="single" w:color="auto" w:sz="6" w:space="0"/>
            </w:tcBorders>
            <w:vAlign w:val="center"/>
          </w:tcPr>
          <w:p w14:paraId="1D64FD58">
            <w:pPr>
              <w:rPr>
                <w:rFonts w:ascii="宋体" w:hAnsi="宋体"/>
                <w:color w:val="auto"/>
                <w:spacing w:val="-6"/>
                <w:sz w:val="21"/>
                <w:szCs w:val="21"/>
                <w:highlight w:val="none"/>
              </w:rPr>
            </w:pPr>
            <w:r>
              <w:rPr>
                <w:rFonts w:hint="eastAsia" w:ascii="宋体" w:hAnsi="宋体"/>
                <w:color w:val="auto"/>
                <w:sz w:val="21"/>
                <w:szCs w:val="21"/>
                <w:highlight w:val="none"/>
              </w:rPr>
              <w:t>混凝土(抗折强度)</w:t>
            </w:r>
          </w:p>
        </w:tc>
        <w:tc>
          <w:tcPr>
            <w:tcW w:w="1690" w:type="dxa"/>
            <w:tcBorders>
              <w:top w:val="single" w:color="auto" w:sz="6" w:space="0"/>
              <w:left w:val="single" w:color="auto" w:sz="6" w:space="0"/>
              <w:bottom w:val="single" w:color="auto" w:sz="6" w:space="0"/>
              <w:right w:val="single" w:color="auto" w:sz="6" w:space="0"/>
            </w:tcBorders>
            <w:vAlign w:val="center"/>
          </w:tcPr>
          <w:p w14:paraId="269948E8">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2DED0ED3">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598277EB">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68425379">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59D147A3">
            <w:pPr>
              <w:spacing w:line="280" w:lineRule="exact"/>
              <w:rPr>
                <w:rFonts w:ascii="宋体" w:hAnsi="宋体"/>
                <w:color w:val="auto"/>
                <w:spacing w:val="-6"/>
                <w:sz w:val="21"/>
                <w:szCs w:val="21"/>
                <w:highlight w:val="none"/>
              </w:rPr>
            </w:pPr>
          </w:p>
        </w:tc>
      </w:tr>
      <w:tr w14:paraId="2278B68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49EC46C8">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36</w:t>
            </w:r>
          </w:p>
        </w:tc>
        <w:tc>
          <w:tcPr>
            <w:tcW w:w="2818" w:type="dxa"/>
            <w:tcBorders>
              <w:top w:val="single" w:color="auto" w:sz="6" w:space="0"/>
              <w:left w:val="single" w:color="auto" w:sz="6" w:space="0"/>
              <w:bottom w:val="single" w:color="auto" w:sz="6" w:space="0"/>
              <w:right w:val="single" w:color="auto" w:sz="6" w:space="0"/>
            </w:tcBorders>
            <w:vAlign w:val="center"/>
          </w:tcPr>
          <w:p w14:paraId="2E83424F">
            <w:pPr>
              <w:rPr>
                <w:rFonts w:ascii="宋体" w:hAnsi="宋体"/>
                <w:color w:val="auto"/>
                <w:sz w:val="21"/>
                <w:szCs w:val="21"/>
                <w:highlight w:val="none"/>
              </w:rPr>
            </w:pPr>
            <w:r>
              <w:rPr>
                <w:rFonts w:ascii="宋体" w:hAnsi="宋体"/>
                <w:color w:val="auto"/>
                <w:sz w:val="21"/>
                <w:szCs w:val="21"/>
                <w:highlight w:val="none"/>
              </w:rPr>
              <w:t>混凝土抗渗</w:t>
            </w:r>
          </w:p>
        </w:tc>
        <w:tc>
          <w:tcPr>
            <w:tcW w:w="1690" w:type="dxa"/>
            <w:tcBorders>
              <w:top w:val="single" w:color="auto" w:sz="6" w:space="0"/>
              <w:left w:val="single" w:color="auto" w:sz="6" w:space="0"/>
              <w:bottom w:val="single" w:color="auto" w:sz="6" w:space="0"/>
              <w:right w:val="single" w:color="auto" w:sz="6" w:space="0"/>
            </w:tcBorders>
            <w:vAlign w:val="center"/>
          </w:tcPr>
          <w:p w14:paraId="1C879815">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705ED2F7">
            <w:pPr>
              <w:widowControl/>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4199FD78">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57F574B5">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56021CCB">
            <w:pPr>
              <w:spacing w:line="280" w:lineRule="exact"/>
              <w:rPr>
                <w:rFonts w:ascii="宋体" w:hAnsi="宋体"/>
                <w:color w:val="auto"/>
                <w:spacing w:val="-6"/>
                <w:sz w:val="21"/>
                <w:szCs w:val="21"/>
                <w:highlight w:val="none"/>
              </w:rPr>
            </w:pPr>
          </w:p>
        </w:tc>
      </w:tr>
      <w:tr w14:paraId="53B8301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5E5F71CB">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37</w:t>
            </w:r>
          </w:p>
        </w:tc>
        <w:tc>
          <w:tcPr>
            <w:tcW w:w="2818" w:type="dxa"/>
            <w:tcBorders>
              <w:top w:val="single" w:color="auto" w:sz="6" w:space="0"/>
              <w:left w:val="single" w:color="auto" w:sz="6" w:space="0"/>
              <w:bottom w:val="single" w:color="auto" w:sz="6" w:space="0"/>
              <w:right w:val="single" w:color="auto" w:sz="6" w:space="0"/>
            </w:tcBorders>
            <w:vAlign w:val="center"/>
          </w:tcPr>
          <w:p w14:paraId="032E1857">
            <w:pPr>
              <w:rPr>
                <w:rFonts w:ascii="宋体" w:hAnsi="宋体"/>
                <w:color w:val="auto"/>
                <w:sz w:val="21"/>
                <w:szCs w:val="21"/>
                <w:highlight w:val="none"/>
              </w:rPr>
            </w:pPr>
            <w:r>
              <w:rPr>
                <w:rFonts w:ascii="宋体" w:hAnsi="宋体"/>
                <w:color w:val="auto"/>
                <w:sz w:val="21"/>
                <w:szCs w:val="21"/>
                <w:highlight w:val="none"/>
              </w:rPr>
              <w:t>水泥土配合比</w:t>
            </w:r>
          </w:p>
        </w:tc>
        <w:tc>
          <w:tcPr>
            <w:tcW w:w="1690" w:type="dxa"/>
            <w:tcBorders>
              <w:top w:val="single" w:color="auto" w:sz="6" w:space="0"/>
              <w:left w:val="single" w:color="auto" w:sz="6" w:space="0"/>
              <w:bottom w:val="single" w:color="auto" w:sz="6" w:space="0"/>
              <w:right w:val="single" w:color="auto" w:sz="6" w:space="0"/>
            </w:tcBorders>
            <w:vAlign w:val="center"/>
          </w:tcPr>
          <w:p w14:paraId="001A96B1">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6CC0F8DC">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2F39662B">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61C19F21">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67F80DA6">
            <w:pPr>
              <w:spacing w:line="280" w:lineRule="exact"/>
              <w:rPr>
                <w:rFonts w:ascii="宋体" w:hAnsi="宋体"/>
                <w:color w:val="auto"/>
                <w:spacing w:val="-6"/>
                <w:sz w:val="21"/>
                <w:szCs w:val="21"/>
                <w:highlight w:val="none"/>
              </w:rPr>
            </w:pPr>
          </w:p>
        </w:tc>
      </w:tr>
      <w:tr w14:paraId="769EC0E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133CDD85">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38</w:t>
            </w:r>
          </w:p>
        </w:tc>
        <w:tc>
          <w:tcPr>
            <w:tcW w:w="2818" w:type="dxa"/>
            <w:tcBorders>
              <w:top w:val="single" w:color="auto" w:sz="6" w:space="0"/>
              <w:left w:val="single" w:color="auto" w:sz="6" w:space="0"/>
              <w:bottom w:val="single" w:color="auto" w:sz="6" w:space="0"/>
              <w:right w:val="single" w:color="auto" w:sz="6" w:space="0"/>
            </w:tcBorders>
            <w:vAlign w:val="center"/>
          </w:tcPr>
          <w:p w14:paraId="19AEE8D8">
            <w:pPr>
              <w:rPr>
                <w:rFonts w:ascii="宋体" w:hAnsi="宋体"/>
                <w:color w:val="auto"/>
                <w:sz w:val="21"/>
                <w:szCs w:val="21"/>
                <w:highlight w:val="none"/>
              </w:rPr>
            </w:pPr>
            <w:r>
              <w:rPr>
                <w:rFonts w:ascii="宋体" w:hAnsi="宋体"/>
                <w:color w:val="auto"/>
                <w:sz w:val="21"/>
                <w:szCs w:val="21"/>
                <w:highlight w:val="none"/>
              </w:rPr>
              <w:t>橡胶圈（</w:t>
            </w:r>
            <w:r>
              <w:rPr>
                <w:rFonts w:hint="eastAsia" w:ascii="宋体" w:hAnsi="宋体"/>
                <w:color w:val="auto"/>
                <w:sz w:val="21"/>
                <w:szCs w:val="21"/>
                <w:highlight w:val="none"/>
              </w:rPr>
              <w:t>嵌缝密封材料</w:t>
            </w:r>
            <w:r>
              <w:rPr>
                <w:rFonts w:ascii="宋体" w:hAnsi="宋体"/>
                <w:color w:val="auto"/>
                <w:sz w:val="21"/>
                <w:szCs w:val="21"/>
                <w:highlight w:val="none"/>
              </w:rPr>
              <w:t>）</w:t>
            </w:r>
          </w:p>
        </w:tc>
        <w:tc>
          <w:tcPr>
            <w:tcW w:w="1690" w:type="dxa"/>
            <w:tcBorders>
              <w:top w:val="single" w:color="auto" w:sz="6" w:space="0"/>
              <w:left w:val="single" w:color="auto" w:sz="6" w:space="0"/>
              <w:bottom w:val="single" w:color="auto" w:sz="6" w:space="0"/>
              <w:right w:val="single" w:color="auto" w:sz="6" w:space="0"/>
            </w:tcBorders>
            <w:vAlign w:val="center"/>
          </w:tcPr>
          <w:p w14:paraId="3CCF9243">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71C3847B">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37D3DDBB">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2ED8BE03">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14958B8C">
            <w:pPr>
              <w:spacing w:line="280" w:lineRule="exact"/>
              <w:rPr>
                <w:rFonts w:ascii="宋体" w:hAnsi="宋体"/>
                <w:color w:val="auto"/>
                <w:spacing w:val="-6"/>
                <w:sz w:val="21"/>
                <w:szCs w:val="21"/>
                <w:highlight w:val="none"/>
              </w:rPr>
            </w:pPr>
          </w:p>
        </w:tc>
      </w:tr>
      <w:tr w14:paraId="13D08B5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605D088D">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39</w:t>
            </w:r>
          </w:p>
        </w:tc>
        <w:tc>
          <w:tcPr>
            <w:tcW w:w="2818" w:type="dxa"/>
            <w:tcBorders>
              <w:top w:val="single" w:color="auto" w:sz="6" w:space="0"/>
              <w:left w:val="single" w:color="auto" w:sz="6" w:space="0"/>
              <w:bottom w:val="single" w:color="auto" w:sz="6" w:space="0"/>
              <w:right w:val="single" w:color="auto" w:sz="6" w:space="0"/>
            </w:tcBorders>
            <w:vAlign w:val="center"/>
          </w:tcPr>
          <w:p w14:paraId="15214D2E">
            <w:pPr>
              <w:rPr>
                <w:rFonts w:ascii="宋体" w:hAnsi="宋体"/>
                <w:color w:val="auto"/>
                <w:sz w:val="21"/>
                <w:szCs w:val="21"/>
                <w:highlight w:val="none"/>
              </w:rPr>
            </w:pPr>
            <w:r>
              <w:rPr>
                <w:rFonts w:ascii="宋体" w:hAnsi="宋体"/>
                <w:color w:val="auto"/>
                <w:sz w:val="21"/>
                <w:szCs w:val="21"/>
                <w:highlight w:val="none"/>
              </w:rPr>
              <w:t>排水管（</w:t>
            </w:r>
            <w:r>
              <w:rPr>
                <w:rFonts w:hint="eastAsia" w:ascii="宋体" w:hAnsi="宋体"/>
                <w:color w:val="auto"/>
                <w:sz w:val="21"/>
                <w:szCs w:val="21"/>
                <w:highlight w:val="none"/>
              </w:rPr>
              <w:t>混凝土管</w:t>
            </w:r>
            <w:r>
              <w:rPr>
                <w:rFonts w:ascii="宋体" w:hAnsi="宋体"/>
                <w:color w:val="auto"/>
                <w:sz w:val="21"/>
                <w:szCs w:val="21"/>
                <w:highlight w:val="none"/>
              </w:rPr>
              <w:t>）</w:t>
            </w:r>
          </w:p>
        </w:tc>
        <w:tc>
          <w:tcPr>
            <w:tcW w:w="1690" w:type="dxa"/>
            <w:tcBorders>
              <w:top w:val="single" w:color="auto" w:sz="6" w:space="0"/>
              <w:left w:val="single" w:color="auto" w:sz="6" w:space="0"/>
              <w:bottom w:val="single" w:color="auto" w:sz="6" w:space="0"/>
              <w:right w:val="single" w:color="auto" w:sz="6" w:space="0"/>
            </w:tcBorders>
            <w:vAlign w:val="center"/>
          </w:tcPr>
          <w:p w14:paraId="268A8062">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2286D581">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1C9056AC">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48739D6A">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3F703064">
            <w:pPr>
              <w:spacing w:line="280" w:lineRule="exact"/>
              <w:rPr>
                <w:rFonts w:ascii="宋体" w:hAnsi="宋体"/>
                <w:color w:val="auto"/>
                <w:spacing w:val="-6"/>
                <w:sz w:val="21"/>
                <w:szCs w:val="21"/>
                <w:highlight w:val="none"/>
              </w:rPr>
            </w:pPr>
          </w:p>
        </w:tc>
      </w:tr>
      <w:tr w14:paraId="77AC57F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0EE35753">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40</w:t>
            </w:r>
          </w:p>
        </w:tc>
        <w:tc>
          <w:tcPr>
            <w:tcW w:w="2818" w:type="dxa"/>
            <w:tcBorders>
              <w:top w:val="single" w:color="auto" w:sz="6" w:space="0"/>
              <w:left w:val="single" w:color="auto" w:sz="6" w:space="0"/>
              <w:bottom w:val="single" w:color="auto" w:sz="6" w:space="0"/>
              <w:right w:val="single" w:color="auto" w:sz="6" w:space="0"/>
            </w:tcBorders>
            <w:vAlign w:val="center"/>
          </w:tcPr>
          <w:p w14:paraId="0D052D9D">
            <w:pPr>
              <w:spacing w:line="360" w:lineRule="exact"/>
              <w:rPr>
                <w:rFonts w:ascii="宋体" w:hAnsi="宋体"/>
                <w:color w:val="auto"/>
                <w:sz w:val="21"/>
                <w:szCs w:val="21"/>
                <w:highlight w:val="none"/>
              </w:rPr>
            </w:pPr>
            <w:r>
              <w:rPr>
                <w:rFonts w:ascii="宋体" w:hAnsi="宋体"/>
                <w:color w:val="auto"/>
                <w:sz w:val="21"/>
                <w:szCs w:val="21"/>
                <w:highlight w:val="none"/>
              </w:rPr>
              <w:t>压实度</w:t>
            </w:r>
          </w:p>
        </w:tc>
        <w:tc>
          <w:tcPr>
            <w:tcW w:w="1690" w:type="dxa"/>
            <w:tcBorders>
              <w:top w:val="single" w:color="auto" w:sz="6" w:space="0"/>
              <w:left w:val="single" w:color="auto" w:sz="6" w:space="0"/>
              <w:bottom w:val="single" w:color="auto" w:sz="6" w:space="0"/>
              <w:right w:val="single" w:color="auto" w:sz="6" w:space="0"/>
            </w:tcBorders>
            <w:vAlign w:val="center"/>
          </w:tcPr>
          <w:p w14:paraId="6831D8DF">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1081E550">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00F8DB2B">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5CDE03F1">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75E56140">
            <w:pPr>
              <w:spacing w:line="280" w:lineRule="exact"/>
              <w:rPr>
                <w:rFonts w:ascii="宋体" w:hAnsi="宋体"/>
                <w:color w:val="auto"/>
                <w:spacing w:val="-6"/>
                <w:sz w:val="21"/>
                <w:szCs w:val="21"/>
                <w:highlight w:val="none"/>
              </w:rPr>
            </w:pPr>
          </w:p>
        </w:tc>
      </w:tr>
      <w:tr w14:paraId="09EFCD9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6972C956">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41</w:t>
            </w:r>
          </w:p>
        </w:tc>
        <w:tc>
          <w:tcPr>
            <w:tcW w:w="2818" w:type="dxa"/>
            <w:tcBorders>
              <w:top w:val="single" w:color="auto" w:sz="6" w:space="0"/>
              <w:left w:val="single" w:color="auto" w:sz="6" w:space="0"/>
              <w:bottom w:val="single" w:color="auto" w:sz="6" w:space="0"/>
              <w:right w:val="single" w:color="auto" w:sz="6" w:space="0"/>
            </w:tcBorders>
            <w:vAlign w:val="center"/>
          </w:tcPr>
          <w:p w14:paraId="35A3C24F">
            <w:pPr>
              <w:spacing w:line="360" w:lineRule="exact"/>
              <w:rPr>
                <w:rFonts w:ascii="宋体" w:hAnsi="宋体"/>
                <w:color w:val="auto"/>
                <w:spacing w:val="-6"/>
                <w:sz w:val="21"/>
                <w:szCs w:val="21"/>
                <w:highlight w:val="none"/>
              </w:rPr>
            </w:pPr>
            <w:r>
              <w:rPr>
                <w:rFonts w:ascii="宋体" w:hAnsi="宋体"/>
                <w:color w:val="auto"/>
                <w:sz w:val="21"/>
                <w:szCs w:val="21"/>
                <w:highlight w:val="none"/>
              </w:rPr>
              <w:t>管道闭水</w:t>
            </w:r>
          </w:p>
        </w:tc>
        <w:tc>
          <w:tcPr>
            <w:tcW w:w="1690" w:type="dxa"/>
            <w:tcBorders>
              <w:top w:val="single" w:color="auto" w:sz="6" w:space="0"/>
              <w:left w:val="single" w:color="auto" w:sz="6" w:space="0"/>
              <w:bottom w:val="single" w:color="auto" w:sz="6" w:space="0"/>
              <w:right w:val="single" w:color="auto" w:sz="6" w:space="0"/>
            </w:tcBorders>
            <w:vAlign w:val="center"/>
          </w:tcPr>
          <w:p w14:paraId="692443B9">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5BD0F86A">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4DAFF8F4">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79A3833F">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40B568E5">
            <w:pPr>
              <w:spacing w:line="280" w:lineRule="exact"/>
              <w:rPr>
                <w:rFonts w:ascii="宋体" w:hAnsi="宋体"/>
                <w:color w:val="auto"/>
                <w:spacing w:val="-6"/>
                <w:sz w:val="21"/>
                <w:szCs w:val="21"/>
                <w:highlight w:val="none"/>
              </w:rPr>
            </w:pPr>
          </w:p>
        </w:tc>
      </w:tr>
      <w:tr w14:paraId="150C898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466FBC92">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42</w:t>
            </w:r>
          </w:p>
        </w:tc>
        <w:tc>
          <w:tcPr>
            <w:tcW w:w="2818" w:type="dxa"/>
            <w:tcBorders>
              <w:top w:val="single" w:color="auto" w:sz="6" w:space="0"/>
              <w:left w:val="single" w:color="auto" w:sz="6" w:space="0"/>
              <w:bottom w:val="single" w:color="auto" w:sz="6" w:space="0"/>
              <w:right w:val="single" w:color="auto" w:sz="6" w:space="0"/>
            </w:tcBorders>
            <w:vAlign w:val="center"/>
          </w:tcPr>
          <w:p w14:paraId="68B2E513">
            <w:pPr>
              <w:spacing w:line="360" w:lineRule="exact"/>
              <w:rPr>
                <w:rFonts w:ascii="宋体" w:hAnsi="宋体"/>
                <w:color w:val="auto"/>
                <w:spacing w:val="-6"/>
                <w:sz w:val="21"/>
                <w:szCs w:val="21"/>
                <w:highlight w:val="none"/>
              </w:rPr>
            </w:pPr>
            <w:r>
              <w:rPr>
                <w:rFonts w:hint="eastAsia" w:ascii="宋体" w:hAnsi="宋体"/>
                <w:color w:val="auto"/>
                <w:sz w:val="21"/>
                <w:szCs w:val="21"/>
                <w:highlight w:val="none"/>
              </w:rPr>
              <w:t>管道CCTV</w:t>
            </w:r>
          </w:p>
        </w:tc>
        <w:tc>
          <w:tcPr>
            <w:tcW w:w="1690" w:type="dxa"/>
            <w:tcBorders>
              <w:top w:val="single" w:color="auto" w:sz="6" w:space="0"/>
              <w:left w:val="single" w:color="auto" w:sz="6" w:space="0"/>
              <w:bottom w:val="single" w:color="auto" w:sz="6" w:space="0"/>
              <w:right w:val="single" w:color="auto" w:sz="6" w:space="0"/>
            </w:tcBorders>
            <w:vAlign w:val="center"/>
          </w:tcPr>
          <w:p w14:paraId="6EDE3F0D">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3F4CB898">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765C2CDE">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13771A4D">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2636836E">
            <w:pPr>
              <w:spacing w:line="280" w:lineRule="exact"/>
              <w:rPr>
                <w:rFonts w:ascii="宋体" w:hAnsi="宋体"/>
                <w:color w:val="auto"/>
                <w:spacing w:val="-6"/>
                <w:sz w:val="21"/>
                <w:szCs w:val="21"/>
                <w:highlight w:val="none"/>
              </w:rPr>
            </w:pPr>
          </w:p>
        </w:tc>
      </w:tr>
      <w:tr w14:paraId="7C93AFD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028AED85">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43</w:t>
            </w:r>
          </w:p>
        </w:tc>
        <w:tc>
          <w:tcPr>
            <w:tcW w:w="2818" w:type="dxa"/>
            <w:tcBorders>
              <w:top w:val="single" w:color="auto" w:sz="6" w:space="0"/>
              <w:left w:val="single" w:color="auto" w:sz="6" w:space="0"/>
              <w:bottom w:val="single" w:color="auto" w:sz="6" w:space="0"/>
              <w:right w:val="single" w:color="auto" w:sz="6" w:space="0"/>
            </w:tcBorders>
            <w:vAlign w:val="center"/>
          </w:tcPr>
          <w:p w14:paraId="7631565F">
            <w:pPr>
              <w:spacing w:line="360" w:lineRule="exact"/>
              <w:rPr>
                <w:rFonts w:ascii="宋体" w:hAnsi="宋体"/>
                <w:color w:val="auto"/>
                <w:sz w:val="21"/>
                <w:szCs w:val="21"/>
                <w:highlight w:val="none"/>
              </w:rPr>
            </w:pPr>
            <w:r>
              <w:rPr>
                <w:rFonts w:hint="eastAsia" w:ascii="宋体" w:hAnsi="宋体"/>
                <w:color w:val="auto"/>
                <w:sz w:val="21"/>
                <w:szCs w:val="21"/>
                <w:highlight w:val="none"/>
              </w:rPr>
              <w:t>超声波探伤（焊缝内部质量（超声波法））</w:t>
            </w:r>
          </w:p>
        </w:tc>
        <w:tc>
          <w:tcPr>
            <w:tcW w:w="1690" w:type="dxa"/>
            <w:tcBorders>
              <w:top w:val="single" w:color="auto" w:sz="6" w:space="0"/>
              <w:left w:val="single" w:color="auto" w:sz="6" w:space="0"/>
              <w:bottom w:val="single" w:color="auto" w:sz="6" w:space="0"/>
              <w:right w:val="single" w:color="auto" w:sz="6" w:space="0"/>
            </w:tcBorders>
            <w:vAlign w:val="center"/>
          </w:tcPr>
          <w:p w14:paraId="5DE7686A">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5D1294B3">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04F2B7E5">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0AFE50C1">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1E34111C">
            <w:pPr>
              <w:spacing w:line="280" w:lineRule="exact"/>
              <w:rPr>
                <w:rFonts w:ascii="宋体" w:hAnsi="宋体"/>
                <w:color w:val="auto"/>
                <w:spacing w:val="-6"/>
                <w:sz w:val="21"/>
                <w:szCs w:val="21"/>
                <w:highlight w:val="none"/>
              </w:rPr>
            </w:pPr>
          </w:p>
        </w:tc>
      </w:tr>
      <w:tr w14:paraId="5AC0D4D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1BC9D643">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44</w:t>
            </w:r>
          </w:p>
        </w:tc>
        <w:tc>
          <w:tcPr>
            <w:tcW w:w="2818" w:type="dxa"/>
            <w:tcBorders>
              <w:top w:val="single" w:color="auto" w:sz="6" w:space="0"/>
              <w:left w:val="single" w:color="auto" w:sz="6" w:space="0"/>
              <w:bottom w:val="single" w:color="auto" w:sz="6" w:space="0"/>
              <w:right w:val="single" w:color="auto" w:sz="6" w:space="0"/>
            </w:tcBorders>
            <w:vAlign w:val="center"/>
          </w:tcPr>
          <w:p w14:paraId="2A82852B">
            <w:pPr>
              <w:spacing w:line="360" w:lineRule="exact"/>
              <w:rPr>
                <w:rFonts w:ascii="宋体" w:hAnsi="宋体"/>
                <w:color w:val="auto"/>
                <w:sz w:val="21"/>
                <w:szCs w:val="21"/>
                <w:highlight w:val="none"/>
              </w:rPr>
            </w:pPr>
            <w:r>
              <w:rPr>
                <w:rFonts w:hint="eastAsia" w:ascii="宋体" w:hAnsi="宋体"/>
                <w:color w:val="auto"/>
                <w:sz w:val="21"/>
                <w:szCs w:val="21"/>
                <w:highlight w:val="none"/>
              </w:rPr>
              <w:t>X光射线探伤（焊缝内部质量（射线法））</w:t>
            </w:r>
          </w:p>
        </w:tc>
        <w:tc>
          <w:tcPr>
            <w:tcW w:w="1690" w:type="dxa"/>
            <w:tcBorders>
              <w:top w:val="single" w:color="auto" w:sz="6" w:space="0"/>
              <w:left w:val="single" w:color="auto" w:sz="6" w:space="0"/>
              <w:bottom w:val="single" w:color="auto" w:sz="6" w:space="0"/>
              <w:right w:val="single" w:color="auto" w:sz="6" w:space="0"/>
            </w:tcBorders>
            <w:vAlign w:val="center"/>
          </w:tcPr>
          <w:p w14:paraId="0D0449CE">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18801369">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2F986636">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455A3EE1">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5EBE4994">
            <w:pPr>
              <w:spacing w:line="280" w:lineRule="exact"/>
              <w:rPr>
                <w:rFonts w:ascii="宋体" w:hAnsi="宋体"/>
                <w:color w:val="auto"/>
                <w:spacing w:val="-6"/>
                <w:sz w:val="21"/>
                <w:szCs w:val="21"/>
                <w:highlight w:val="none"/>
              </w:rPr>
            </w:pPr>
          </w:p>
        </w:tc>
      </w:tr>
      <w:tr w14:paraId="7AE9CA8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668562E5">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45</w:t>
            </w:r>
          </w:p>
        </w:tc>
        <w:tc>
          <w:tcPr>
            <w:tcW w:w="2818" w:type="dxa"/>
            <w:tcBorders>
              <w:top w:val="single" w:color="auto" w:sz="6" w:space="0"/>
              <w:left w:val="single" w:color="auto" w:sz="6" w:space="0"/>
              <w:bottom w:val="single" w:color="auto" w:sz="6" w:space="0"/>
              <w:right w:val="single" w:color="auto" w:sz="6" w:space="0"/>
            </w:tcBorders>
            <w:vAlign w:val="center"/>
          </w:tcPr>
          <w:p w14:paraId="4B39F1DE">
            <w:pPr>
              <w:spacing w:line="360" w:lineRule="exact"/>
              <w:rPr>
                <w:rFonts w:ascii="宋体" w:hAnsi="宋体"/>
                <w:color w:val="auto"/>
                <w:sz w:val="21"/>
                <w:szCs w:val="21"/>
                <w:highlight w:val="none"/>
              </w:rPr>
            </w:pPr>
            <w:r>
              <w:rPr>
                <w:rFonts w:ascii="宋体" w:hAnsi="宋体"/>
                <w:color w:val="auto"/>
                <w:sz w:val="21"/>
                <w:szCs w:val="21"/>
                <w:highlight w:val="none"/>
              </w:rPr>
              <w:t>涂层厚度</w:t>
            </w:r>
          </w:p>
        </w:tc>
        <w:tc>
          <w:tcPr>
            <w:tcW w:w="1690" w:type="dxa"/>
            <w:tcBorders>
              <w:top w:val="single" w:color="auto" w:sz="6" w:space="0"/>
              <w:left w:val="single" w:color="auto" w:sz="6" w:space="0"/>
              <w:bottom w:val="single" w:color="auto" w:sz="6" w:space="0"/>
              <w:right w:val="single" w:color="auto" w:sz="6" w:space="0"/>
            </w:tcBorders>
            <w:vAlign w:val="center"/>
          </w:tcPr>
          <w:p w14:paraId="3B5C4EF3">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41E3FA44">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2EB8F20D">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4B68E6D4">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64E8F707">
            <w:pPr>
              <w:spacing w:line="280" w:lineRule="exact"/>
              <w:rPr>
                <w:rFonts w:ascii="宋体" w:hAnsi="宋体"/>
                <w:color w:val="auto"/>
                <w:spacing w:val="-6"/>
                <w:sz w:val="21"/>
                <w:szCs w:val="21"/>
                <w:highlight w:val="none"/>
              </w:rPr>
            </w:pPr>
          </w:p>
        </w:tc>
      </w:tr>
      <w:tr w14:paraId="7694C58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3870D47D">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46</w:t>
            </w:r>
          </w:p>
        </w:tc>
        <w:tc>
          <w:tcPr>
            <w:tcW w:w="2818" w:type="dxa"/>
            <w:tcBorders>
              <w:top w:val="single" w:color="auto" w:sz="6" w:space="0"/>
              <w:left w:val="single" w:color="auto" w:sz="6" w:space="0"/>
              <w:bottom w:val="single" w:color="auto" w:sz="6" w:space="0"/>
              <w:right w:val="single" w:color="auto" w:sz="6" w:space="0"/>
            </w:tcBorders>
            <w:vAlign w:val="center"/>
          </w:tcPr>
          <w:p w14:paraId="687E1F8F">
            <w:pPr>
              <w:spacing w:line="360" w:lineRule="exact"/>
              <w:rPr>
                <w:rFonts w:ascii="宋体" w:hAnsi="宋体"/>
                <w:color w:val="auto"/>
                <w:sz w:val="21"/>
                <w:szCs w:val="21"/>
                <w:highlight w:val="none"/>
              </w:rPr>
            </w:pPr>
            <w:r>
              <w:rPr>
                <w:rFonts w:ascii="宋体" w:hAnsi="宋体"/>
                <w:color w:val="auto"/>
                <w:sz w:val="21"/>
                <w:szCs w:val="21"/>
                <w:highlight w:val="none"/>
              </w:rPr>
              <w:t>水压试验</w:t>
            </w:r>
          </w:p>
        </w:tc>
        <w:tc>
          <w:tcPr>
            <w:tcW w:w="1690" w:type="dxa"/>
            <w:tcBorders>
              <w:top w:val="single" w:color="auto" w:sz="6" w:space="0"/>
              <w:left w:val="single" w:color="auto" w:sz="6" w:space="0"/>
              <w:bottom w:val="single" w:color="auto" w:sz="6" w:space="0"/>
              <w:right w:val="single" w:color="auto" w:sz="6" w:space="0"/>
            </w:tcBorders>
            <w:vAlign w:val="center"/>
          </w:tcPr>
          <w:p w14:paraId="2F662FC8">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21461634">
            <w:pPr>
              <w:widowControl/>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6F6ECCD7">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453475D6">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474BFBA0">
            <w:pPr>
              <w:spacing w:line="280" w:lineRule="exact"/>
              <w:rPr>
                <w:rFonts w:ascii="宋体" w:hAnsi="宋体"/>
                <w:color w:val="auto"/>
                <w:spacing w:val="-6"/>
                <w:sz w:val="21"/>
                <w:szCs w:val="21"/>
                <w:highlight w:val="none"/>
              </w:rPr>
            </w:pPr>
          </w:p>
        </w:tc>
      </w:tr>
      <w:tr w14:paraId="7536E04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1A8351AC">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47</w:t>
            </w:r>
          </w:p>
        </w:tc>
        <w:tc>
          <w:tcPr>
            <w:tcW w:w="2818" w:type="dxa"/>
            <w:tcBorders>
              <w:top w:val="single" w:color="auto" w:sz="6" w:space="0"/>
              <w:left w:val="single" w:color="auto" w:sz="6" w:space="0"/>
              <w:bottom w:val="single" w:color="auto" w:sz="6" w:space="0"/>
              <w:right w:val="single" w:color="auto" w:sz="6" w:space="0"/>
            </w:tcBorders>
            <w:vAlign w:val="center"/>
          </w:tcPr>
          <w:p w14:paraId="6691311E">
            <w:pPr>
              <w:spacing w:line="360" w:lineRule="exact"/>
              <w:rPr>
                <w:rFonts w:ascii="宋体" w:hAnsi="宋体"/>
                <w:color w:val="auto"/>
                <w:sz w:val="21"/>
                <w:szCs w:val="21"/>
                <w:highlight w:val="none"/>
              </w:rPr>
            </w:pPr>
            <w:r>
              <w:rPr>
                <w:rFonts w:ascii="宋体" w:hAnsi="宋体"/>
                <w:color w:val="auto"/>
                <w:sz w:val="21"/>
                <w:szCs w:val="21"/>
                <w:highlight w:val="none"/>
              </w:rPr>
              <w:t>土工击实</w:t>
            </w:r>
          </w:p>
        </w:tc>
        <w:tc>
          <w:tcPr>
            <w:tcW w:w="1690" w:type="dxa"/>
            <w:tcBorders>
              <w:top w:val="single" w:color="auto" w:sz="6" w:space="0"/>
              <w:left w:val="single" w:color="auto" w:sz="6" w:space="0"/>
              <w:bottom w:val="single" w:color="auto" w:sz="6" w:space="0"/>
              <w:right w:val="single" w:color="auto" w:sz="6" w:space="0"/>
            </w:tcBorders>
            <w:vAlign w:val="center"/>
          </w:tcPr>
          <w:p w14:paraId="36B352F2">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556A24FD">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200EBEDA">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511723F4">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0BE70897">
            <w:pPr>
              <w:spacing w:line="280" w:lineRule="exact"/>
              <w:rPr>
                <w:rFonts w:ascii="宋体" w:hAnsi="宋体"/>
                <w:color w:val="auto"/>
                <w:spacing w:val="-6"/>
                <w:sz w:val="21"/>
                <w:szCs w:val="21"/>
                <w:highlight w:val="none"/>
              </w:rPr>
            </w:pPr>
          </w:p>
        </w:tc>
      </w:tr>
      <w:tr w14:paraId="52C71B2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1D0DD652">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48</w:t>
            </w:r>
          </w:p>
        </w:tc>
        <w:tc>
          <w:tcPr>
            <w:tcW w:w="2818" w:type="dxa"/>
            <w:tcBorders>
              <w:top w:val="single" w:color="auto" w:sz="6" w:space="0"/>
              <w:left w:val="single" w:color="auto" w:sz="6" w:space="0"/>
              <w:bottom w:val="single" w:color="auto" w:sz="6" w:space="0"/>
              <w:right w:val="single" w:color="auto" w:sz="6" w:space="0"/>
            </w:tcBorders>
            <w:vAlign w:val="center"/>
          </w:tcPr>
          <w:p w14:paraId="728CC47C">
            <w:pPr>
              <w:spacing w:line="360" w:lineRule="exact"/>
              <w:rPr>
                <w:rFonts w:ascii="宋体" w:hAnsi="宋体"/>
                <w:color w:val="auto"/>
                <w:sz w:val="21"/>
                <w:szCs w:val="21"/>
                <w:highlight w:val="none"/>
              </w:rPr>
            </w:pPr>
            <w:r>
              <w:rPr>
                <w:rFonts w:ascii="宋体" w:hAnsi="宋体"/>
                <w:color w:val="auto"/>
                <w:sz w:val="21"/>
                <w:szCs w:val="21"/>
                <w:highlight w:val="none"/>
              </w:rPr>
              <w:t>砂相对密度</w:t>
            </w:r>
          </w:p>
        </w:tc>
        <w:tc>
          <w:tcPr>
            <w:tcW w:w="1690" w:type="dxa"/>
            <w:tcBorders>
              <w:top w:val="single" w:color="auto" w:sz="6" w:space="0"/>
              <w:left w:val="single" w:color="auto" w:sz="6" w:space="0"/>
              <w:bottom w:val="single" w:color="auto" w:sz="6" w:space="0"/>
              <w:right w:val="single" w:color="auto" w:sz="6" w:space="0"/>
            </w:tcBorders>
            <w:vAlign w:val="center"/>
          </w:tcPr>
          <w:p w14:paraId="44FC3F97">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02F87F3F">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2689F9FE">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188D4061">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2D1BD949">
            <w:pPr>
              <w:spacing w:line="280" w:lineRule="exact"/>
              <w:rPr>
                <w:rFonts w:ascii="宋体" w:hAnsi="宋体"/>
                <w:color w:val="auto"/>
                <w:spacing w:val="-6"/>
                <w:sz w:val="21"/>
                <w:szCs w:val="21"/>
                <w:highlight w:val="none"/>
              </w:rPr>
            </w:pPr>
          </w:p>
        </w:tc>
      </w:tr>
      <w:tr w14:paraId="75D69FB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5D834404">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49</w:t>
            </w:r>
          </w:p>
        </w:tc>
        <w:tc>
          <w:tcPr>
            <w:tcW w:w="2818" w:type="dxa"/>
            <w:tcBorders>
              <w:top w:val="single" w:color="auto" w:sz="6" w:space="0"/>
              <w:left w:val="single" w:color="auto" w:sz="6" w:space="0"/>
              <w:bottom w:val="single" w:color="auto" w:sz="6" w:space="0"/>
              <w:right w:val="single" w:color="auto" w:sz="6" w:space="0"/>
            </w:tcBorders>
            <w:vAlign w:val="center"/>
          </w:tcPr>
          <w:p w14:paraId="6E8BCECE">
            <w:pPr>
              <w:spacing w:line="360" w:lineRule="exact"/>
              <w:rPr>
                <w:rFonts w:ascii="宋体" w:hAnsi="宋体"/>
                <w:color w:val="auto"/>
                <w:sz w:val="21"/>
                <w:szCs w:val="21"/>
                <w:highlight w:val="none"/>
              </w:rPr>
            </w:pPr>
            <w:r>
              <w:rPr>
                <w:rFonts w:hint="eastAsia" w:ascii="宋体" w:hAnsi="宋体"/>
                <w:color w:val="auto"/>
                <w:sz w:val="21"/>
                <w:szCs w:val="21"/>
                <w:highlight w:val="none"/>
              </w:rPr>
              <w:t>粗集料(碎石)</w:t>
            </w:r>
          </w:p>
        </w:tc>
        <w:tc>
          <w:tcPr>
            <w:tcW w:w="1690" w:type="dxa"/>
            <w:tcBorders>
              <w:top w:val="single" w:color="auto" w:sz="6" w:space="0"/>
              <w:left w:val="single" w:color="auto" w:sz="6" w:space="0"/>
              <w:bottom w:val="single" w:color="auto" w:sz="6" w:space="0"/>
              <w:right w:val="single" w:color="auto" w:sz="6" w:space="0"/>
            </w:tcBorders>
            <w:vAlign w:val="center"/>
          </w:tcPr>
          <w:p w14:paraId="3A130B6D">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30F34052">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0F9ED987">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72207390">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41A578A1">
            <w:pPr>
              <w:spacing w:line="280" w:lineRule="exact"/>
              <w:rPr>
                <w:rFonts w:ascii="宋体" w:hAnsi="宋体"/>
                <w:color w:val="auto"/>
                <w:spacing w:val="-6"/>
                <w:sz w:val="21"/>
                <w:szCs w:val="21"/>
                <w:highlight w:val="none"/>
              </w:rPr>
            </w:pPr>
          </w:p>
        </w:tc>
      </w:tr>
      <w:tr w14:paraId="2633DA3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4513782A">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50</w:t>
            </w:r>
          </w:p>
        </w:tc>
        <w:tc>
          <w:tcPr>
            <w:tcW w:w="2818" w:type="dxa"/>
            <w:tcBorders>
              <w:top w:val="single" w:color="auto" w:sz="6" w:space="0"/>
              <w:left w:val="single" w:color="auto" w:sz="6" w:space="0"/>
              <w:bottom w:val="single" w:color="auto" w:sz="6" w:space="0"/>
              <w:right w:val="single" w:color="auto" w:sz="6" w:space="0"/>
            </w:tcBorders>
            <w:vAlign w:val="center"/>
          </w:tcPr>
          <w:p w14:paraId="3E9E6D14">
            <w:pPr>
              <w:spacing w:line="360" w:lineRule="exact"/>
              <w:rPr>
                <w:rFonts w:ascii="宋体" w:hAnsi="宋体"/>
                <w:color w:val="auto"/>
                <w:sz w:val="21"/>
                <w:szCs w:val="21"/>
                <w:highlight w:val="none"/>
              </w:rPr>
            </w:pPr>
            <w:r>
              <w:rPr>
                <w:rFonts w:ascii="宋体" w:hAnsi="宋体"/>
                <w:color w:val="auto"/>
                <w:sz w:val="21"/>
                <w:szCs w:val="21"/>
                <w:highlight w:val="none"/>
              </w:rPr>
              <w:t>细集料</w:t>
            </w:r>
            <w:r>
              <w:rPr>
                <w:rFonts w:hint="eastAsia" w:ascii="宋体" w:hAnsi="宋体"/>
                <w:color w:val="auto"/>
                <w:sz w:val="21"/>
                <w:szCs w:val="21"/>
                <w:highlight w:val="none"/>
              </w:rPr>
              <w:t>(砂)</w:t>
            </w:r>
          </w:p>
        </w:tc>
        <w:tc>
          <w:tcPr>
            <w:tcW w:w="1690" w:type="dxa"/>
            <w:tcBorders>
              <w:top w:val="single" w:color="auto" w:sz="6" w:space="0"/>
              <w:left w:val="single" w:color="auto" w:sz="6" w:space="0"/>
              <w:bottom w:val="single" w:color="auto" w:sz="6" w:space="0"/>
              <w:right w:val="single" w:color="auto" w:sz="6" w:space="0"/>
            </w:tcBorders>
            <w:vAlign w:val="center"/>
          </w:tcPr>
          <w:p w14:paraId="140A0B69">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2A033481">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71CB482C">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3DDA1170">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203D97A0">
            <w:pPr>
              <w:spacing w:line="280" w:lineRule="exact"/>
              <w:rPr>
                <w:rFonts w:ascii="宋体" w:hAnsi="宋体"/>
                <w:color w:val="auto"/>
                <w:spacing w:val="-6"/>
                <w:sz w:val="21"/>
                <w:szCs w:val="21"/>
                <w:highlight w:val="none"/>
              </w:rPr>
            </w:pPr>
          </w:p>
        </w:tc>
      </w:tr>
      <w:tr w14:paraId="7334A01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7BD362EC">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51</w:t>
            </w:r>
          </w:p>
        </w:tc>
        <w:tc>
          <w:tcPr>
            <w:tcW w:w="2818" w:type="dxa"/>
            <w:tcBorders>
              <w:top w:val="single" w:color="auto" w:sz="6" w:space="0"/>
              <w:left w:val="single" w:color="auto" w:sz="6" w:space="0"/>
              <w:bottom w:val="single" w:color="auto" w:sz="6" w:space="0"/>
              <w:right w:val="single" w:color="auto" w:sz="6" w:space="0"/>
            </w:tcBorders>
            <w:vAlign w:val="center"/>
          </w:tcPr>
          <w:p w14:paraId="78F364D2">
            <w:pPr>
              <w:spacing w:line="280" w:lineRule="exact"/>
              <w:jc w:val="left"/>
              <w:rPr>
                <w:rFonts w:ascii="宋体" w:hAnsi="宋体"/>
                <w:color w:val="auto"/>
                <w:sz w:val="21"/>
                <w:szCs w:val="21"/>
                <w:highlight w:val="none"/>
              </w:rPr>
            </w:pPr>
            <w:r>
              <w:rPr>
                <w:rFonts w:ascii="宋体" w:hAnsi="宋体"/>
                <w:color w:val="auto"/>
                <w:spacing w:val="-6"/>
                <w:sz w:val="21"/>
                <w:szCs w:val="21"/>
                <w:highlight w:val="none"/>
              </w:rPr>
              <w:t>土工合成材料</w:t>
            </w:r>
            <w:r>
              <w:rPr>
                <w:rFonts w:hint="eastAsia" w:ascii="宋体" w:hAnsi="宋体"/>
                <w:color w:val="auto"/>
                <w:spacing w:val="-6"/>
                <w:sz w:val="21"/>
                <w:szCs w:val="21"/>
                <w:highlight w:val="none"/>
              </w:rPr>
              <w:t>拉伸强度</w:t>
            </w:r>
          </w:p>
        </w:tc>
        <w:tc>
          <w:tcPr>
            <w:tcW w:w="1690" w:type="dxa"/>
            <w:tcBorders>
              <w:top w:val="single" w:color="auto" w:sz="6" w:space="0"/>
              <w:left w:val="single" w:color="auto" w:sz="6" w:space="0"/>
              <w:bottom w:val="single" w:color="auto" w:sz="6" w:space="0"/>
              <w:right w:val="single" w:color="auto" w:sz="6" w:space="0"/>
            </w:tcBorders>
            <w:vAlign w:val="center"/>
          </w:tcPr>
          <w:p w14:paraId="22C5D370">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0746824C">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5A54E164">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5507CBDD">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3C40DBA3">
            <w:pPr>
              <w:spacing w:line="280" w:lineRule="exact"/>
              <w:rPr>
                <w:rFonts w:ascii="宋体" w:hAnsi="宋体"/>
                <w:color w:val="auto"/>
                <w:spacing w:val="-6"/>
                <w:sz w:val="21"/>
                <w:szCs w:val="21"/>
                <w:highlight w:val="none"/>
              </w:rPr>
            </w:pPr>
          </w:p>
        </w:tc>
      </w:tr>
      <w:tr w14:paraId="1475A61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5B0484A8">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52</w:t>
            </w:r>
          </w:p>
        </w:tc>
        <w:tc>
          <w:tcPr>
            <w:tcW w:w="2818" w:type="dxa"/>
            <w:tcBorders>
              <w:top w:val="single" w:color="auto" w:sz="6" w:space="0"/>
              <w:left w:val="single" w:color="auto" w:sz="6" w:space="0"/>
              <w:bottom w:val="single" w:color="auto" w:sz="6" w:space="0"/>
              <w:right w:val="single" w:color="auto" w:sz="6" w:space="0"/>
            </w:tcBorders>
            <w:vAlign w:val="center"/>
          </w:tcPr>
          <w:p w14:paraId="511107FB">
            <w:pPr>
              <w:spacing w:line="280" w:lineRule="exact"/>
              <w:jc w:val="left"/>
              <w:rPr>
                <w:rFonts w:ascii="宋体" w:hAnsi="宋体"/>
                <w:color w:val="auto"/>
                <w:sz w:val="21"/>
                <w:szCs w:val="21"/>
                <w:highlight w:val="none"/>
              </w:rPr>
            </w:pPr>
            <w:r>
              <w:rPr>
                <w:rFonts w:hint="eastAsia" w:ascii="宋体" w:hAnsi="宋体"/>
                <w:color w:val="auto"/>
                <w:spacing w:val="-6"/>
                <w:sz w:val="21"/>
                <w:szCs w:val="21"/>
                <w:highlight w:val="none"/>
              </w:rPr>
              <w:t>沥青配合比检验（沥青混合料配合比设计）</w:t>
            </w:r>
          </w:p>
        </w:tc>
        <w:tc>
          <w:tcPr>
            <w:tcW w:w="1690" w:type="dxa"/>
            <w:tcBorders>
              <w:top w:val="single" w:color="auto" w:sz="6" w:space="0"/>
              <w:left w:val="single" w:color="auto" w:sz="6" w:space="0"/>
              <w:bottom w:val="single" w:color="auto" w:sz="6" w:space="0"/>
              <w:right w:val="single" w:color="auto" w:sz="6" w:space="0"/>
            </w:tcBorders>
            <w:vAlign w:val="center"/>
          </w:tcPr>
          <w:p w14:paraId="1B4E794C">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723925D0">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5C35461F">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4B308F60">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76BA8FE6">
            <w:pPr>
              <w:spacing w:line="280" w:lineRule="exact"/>
              <w:rPr>
                <w:rFonts w:ascii="宋体" w:hAnsi="宋体"/>
                <w:color w:val="auto"/>
                <w:spacing w:val="-6"/>
                <w:sz w:val="21"/>
                <w:szCs w:val="21"/>
                <w:highlight w:val="none"/>
              </w:rPr>
            </w:pPr>
          </w:p>
        </w:tc>
      </w:tr>
      <w:tr w14:paraId="75D84E4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370F41B9">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53</w:t>
            </w:r>
          </w:p>
        </w:tc>
        <w:tc>
          <w:tcPr>
            <w:tcW w:w="2818" w:type="dxa"/>
            <w:tcBorders>
              <w:top w:val="single" w:color="auto" w:sz="6" w:space="0"/>
              <w:left w:val="single" w:color="auto" w:sz="6" w:space="0"/>
              <w:bottom w:val="single" w:color="auto" w:sz="6" w:space="0"/>
              <w:right w:val="single" w:color="auto" w:sz="6" w:space="0"/>
            </w:tcBorders>
            <w:vAlign w:val="center"/>
          </w:tcPr>
          <w:p w14:paraId="43EAB3C0">
            <w:pPr>
              <w:spacing w:line="280" w:lineRule="exact"/>
              <w:jc w:val="left"/>
              <w:rPr>
                <w:rFonts w:ascii="宋体" w:hAnsi="宋体"/>
                <w:color w:val="auto"/>
                <w:spacing w:val="-6"/>
                <w:sz w:val="21"/>
                <w:szCs w:val="21"/>
                <w:highlight w:val="none"/>
              </w:rPr>
            </w:pPr>
            <w:r>
              <w:rPr>
                <w:rFonts w:hint="eastAsia" w:ascii="宋体" w:hAnsi="宋体"/>
                <w:color w:val="auto"/>
                <w:spacing w:val="-6"/>
                <w:sz w:val="21"/>
                <w:szCs w:val="21"/>
                <w:highlight w:val="none"/>
              </w:rPr>
              <w:t>沥青路面芯样马歇尔试验（沥青混合料马歇尔稳定度试验）</w:t>
            </w:r>
          </w:p>
        </w:tc>
        <w:tc>
          <w:tcPr>
            <w:tcW w:w="1690" w:type="dxa"/>
            <w:tcBorders>
              <w:top w:val="single" w:color="auto" w:sz="6" w:space="0"/>
              <w:left w:val="single" w:color="auto" w:sz="6" w:space="0"/>
              <w:bottom w:val="single" w:color="auto" w:sz="6" w:space="0"/>
              <w:right w:val="single" w:color="auto" w:sz="6" w:space="0"/>
            </w:tcBorders>
            <w:vAlign w:val="center"/>
          </w:tcPr>
          <w:p w14:paraId="5E6B9338">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21DAAE6C">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1AF64757">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503F8FEA">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3FD40268">
            <w:pPr>
              <w:spacing w:line="280" w:lineRule="exact"/>
              <w:rPr>
                <w:rFonts w:ascii="宋体" w:hAnsi="宋体"/>
                <w:color w:val="auto"/>
                <w:spacing w:val="-6"/>
                <w:sz w:val="21"/>
                <w:szCs w:val="21"/>
                <w:highlight w:val="none"/>
              </w:rPr>
            </w:pPr>
          </w:p>
        </w:tc>
      </w:tr>
      <w:tr w14:paraId="7AD9ED0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6494BD60">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54</w:t>
            </w:r>
          </w:p>
        </w:tc>
        <w:tc>
          <w:tcPr>
            <w:tcW w:w="2818" w:type="dxa"/>
            <w:tcBorders>
              <w:top w:val="single" w:color="auto" w:sz="6" w:space="0"/>
              <w:left w:val="single" w:color="auto" w:sz="6" w:space="0"/>
              <w:bottom w:val="single" w:color="auto" w:sz="6" w:space="0"/>
              <w:right w:val="single" w:color="auto" w:sz="6" w:space="0"/>
            </w:tcBorders>
            <w:vAlign w:val="center"/>
          </w:tcPr>
          <w:p w14:paraId="313E48B4">
            <w:pPr>
              <w:spacing w:line="280" w:lineRule="exact"/>
              <w:jc w:val="left"/>
              <w:rPr>
                <w:rFonts w:ascii="宋体" w:hAnsi="宋体"/>
                <w:color w:val="auto"/>
                <w:sz w:val="21"/>
                <w:szCs w:val="21"/>
                <w:highlight w:val="none"/>
              </w:rPr>
            </w:pPr>
            <w:r>
              <w:rPr>
                <w:rFonts w:hint="eastAsia" w:ascii="宋体" w:hAnsi="宋体"/>
                <w:color w:val="auto"/>
                <w:spacing w:val="-6"/>
                <w:sz w:val="21"/>
                <w:szCs w:val="21"/>
                <w:highlight w:val="none"/>
              </w:rPr>
              <w:t>压实沥青混合料密度</w:t>
            </w:r>
          </w:p>
        </w:tc>
        <w:tc>
          <w:tcPr>
            <w:tcW w:w="1690" w:type="dxa"/>
            <w:tcBorders>
              <w:top w:val="single" w:color="auto" w:sz="6" w:space="0"/>
              <w:left w:val="single" w:color="auto" w:sz="6" w:space="0"/>
              <w:bottom w:val="single" w:color="auto" w:sz="6" w:space="0"/>
              <w:right w:val="single" w:color="auto" w:sz="6" w:space="0"/>
            </w:tcBorders>
            <w:vAlign w:val="center"/>
          </w:tcPr>
          <w:p w14:paraId="6FDD6EB6">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14291550">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67B23B24">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1A77E5C6">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7B41F9EB">
            <w:pPr>
              <w:spacing w:line="280" w:lineRule="exact"/>
              <w:rPr>
                <w:rFonts w:ascii="宋体" w:hAnsi="宋体"/>
                <w:color w:val="auto"/>
                <w:spacing w:val="-6"/>
                <w:sz w:val="21"/>
                <w:szCs w:val="21"/>
                <w:highlight w:val="none"/>
              </w:rPr>
            </w:pPr>
          </w:p>
        </w:tc>
      </w:tr>
      <w:tr w14:paraId="490F3F7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09D4DC94">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55</w:t>
            </w:r>
          </w:p>
        </w:tc>
        <w:tc>
          <w:tcPr>
            <w:tcW w:w="2818" w:type="dxa"/>
            <w:tcBorders>
              <w:top w:val="single" w:color="auto" w:sz="6" w:space="0"/>
              <w:left w:val="single" w:color="auto" w:sz="6" w:space="0"/>
              <w:bottom w:val="single" w:color="auto" w:sz="6" w:space="0"/>
              <w:right w:val="single" w:color="auto" w:sz="6" w:space="0"/>
            </w:tcBorders>
            <w:vAlign w:val="center"/>
          </w:tcPr>
          <w:p w14:paraId="64EE9C53">
            <w:pPr>
              <w:spacing w:line="280" w:lineRule="exact"/>
              <w:jc w:val="left"/>
              <w:rPr>
                <w:rFonts w:ascii="宋体" w:hAnsi="宋体"/>
                <w:color w:val="auto"/>
                <w:sz w:val="21"/>
                <w:szCs w:val="21"/>
                <w:highlight w:val="none"/>
              </w:rPr>
            </w:pPr>
            <w:r>
              <w:rPr>
                <w:rFonts w:hint="eastAsia" w:ascii="宋体" w:hAnsi="宋体"/>
                <w:color w:val="auto"/>
                <w:spacing w:val="-6"/>
                <w:sz w:val="21"/>
                <w:szCs w:val="21"/>
                <w:highlight w:val="none"/>
              </w:rPr>
              <w:t>路面构造深度（手工铺砂法）</w:t>
            </w:r>
          </w:p>
        </w:tc>
        <w:tc>
          <w:tcPr>
            <w:tcW w:w="1690" w:type="dxa"/>
            <w:tcBorders>
              <w:top w:val="single" w:color="auto" w:sz="6" w:space="0"/>
              <w:left w:val="single" w:color="auto" w:sz="6" w:space="0"/>
              <w:bottom w:val="single" w:color="auto" w:sz="6" w:space="0"/>
              <w:right w:val="single" w:color="auto" w:sz="6" w:space="0"/>
            </w:tcBorders>
            <w:vAlign w:val="center"/>
          </w:tcPr>
          <w:p w14:paraId="15F82C12">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32FCC523">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368AF02E">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318A0D79">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0A40AF47">
            <w:pPr>
              <w:spacing w:line="280" w:lineRule="exact"/>
              <w:rPr>
                <w:rFonts w:ascii="宋体" w:hAnsi="宋体"/>
                <w:color w:val="auto"/>
                <w:spacing w:val="-6"/>
                <w:sz w:val="21"/>
                <w:szCs w:val="21"/>
                <w:highlight w:val="none"/>
              </w:rPr>
            </w:pPr>
          </w:p>
        </w:tc>
      </w:tr>
      <w:tr w14:paraId="3E0F1AA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3036D692">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56</w:t>
            </w:r>
          </w:p>
        </w:tc>
        <w:tc>
          <w:tcPr>
            <w:tcW w:w="2818" w:type="dxa"/>
            <w:tcBorders>
              <w:top w:val="single" w:color="auto" w:sz="6" w:space="0"/>
              <w:left w:val="single" w:color="auto" w:sz="6" w:space="0"/>
              <w:bottom w:val="single" w:color="auto" w:sz="6" w:space="0"/>
              <w:right w:val="single" w:color="auto" w:sz="6" w:space="0"/>
            </w:tcBorders>
            <w:vAlign w:val="center"/>
          </w:tcPr>
          <w:p w14:paraId="3EF137E2">
            <w:pPr>
              <w:spacing w:line="280" w:lineRule="exact"/>
              <w:jc w:val="left"/>
              <w:rPr>
                <w:rFonts w:ascii="宋体" w:hAnsi="宋体"/>
                <w:color w:val="auto"/>
                <w:sz w:val="21"/>
                <w:szCs w:val="21"/>
                <w:highlight w:val="none"/>
              </w:rPr>
            </w:pPr>
            <w:r>
              <w:rPr>
                <w:rFonts w:hint="eastAsia" w:ascii="宋体" w:hAnsi="宋体"/>
                <w:color w:val="auto"/>
                <w:spacing w:val="-6"/>
                <w:sz w:val="21"/>
                <w:szCs w:val="21"/>
                <w:highlight w:val="none"/>
              </w:rPr>
              <w:t>平整度（三米直尺法）</w:t>
            </w:r>
          </w:p>
        </w:tc>
        <w:tc>
          <w:tcPr>
            <w:tcW w:w="1690" w:type="dxa"/>
            <w:tcBorders>
              <w:top w:val="single" w:color="auto" w:sz="6" w:space="0"/>
              <w:left w:val="single" w:color="auto" w:sz="6" w:space="0"/>
              <w:bottom w:val="single" w:color="auto" w:sz="6" w:space="0"/>
              <w:right w:val="single" w:color="auto" w:sz="6" w:space="0"/>
            </w:tcBorders>
            <w:vAlign w:val="center"/>
          </w:tcPr>
          <w:p w14:paraId="0200132B">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557C6B65">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35CA9CAF">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01907FDB">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054C3715">
            <w:pPr>
              <w:spacing w:line="280" w:lineRule="exact"/>
              <w:rPr>
                <w:rFonts w:ascii="宋体" w:hAnsi="宋体"/>
                <w:color w:val="auto"/>
                <w:spacing w:val="-6"/>
                <w:sz w:val="21"/>
                <w:szCs w:val="21"/>
                <w:highlight w:val="none"/>
              </w:rPr>
            </w:pPr>
          </w:p>
        </w:tc>
      </w:tr>
      <w:tr w14:paraId="60F2D54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7D18F7CA">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57</w:t>
            </w:r>
          </w:p>
        </w:tc>
        <w:tc>
          <w:tcPr>
            <w:tcW w:w="2818" w:type="dxa"/>
            <w:tcBorders>
              <w:top w:val="single" w:color="auto" w:sz="6" w:space="0"/>
              <w:left w:val="single" w:color="auto" w:sz="6" w:space="0"/>
              <w:bottom w:val="single" w:color="auto" w:sz="6" w:space="0"/>
              <w:right w:val="single" w:color="auto" w:sz="6" w:space="0"/>
            </w:tcBorders>
            <w:vAlign w:val="center"/>
          </w:tcPr>
          <w:p w14:paraId="1F1F2902">
            <w:pPr>
              <w:spacing w:line="280" w:lineRule="exact"/>
              <w:jc w:val="left"/>
              <w:rPr>
                <w:rFonts w:ascii="宋体" w:hAnsi="宋体"/>
                <w:strike/>
                <w:color w:val="auto"/>
                <w:sz w:val="21"/>
                <w:szCs w:val="21"/>
                <w:highlight w:val="none"/>
              </w:rPr>
            </w:pPr>
            <w:r>
              <w:rPr>
                <w:rFonts w:hint="eastAsia" w:ascii="宋体" w:hAnsi="宋体"/>
                <w:color w:val="auto"/>
                <w:spacing w:val="-6"/>
                <w:sz w:val="21"/>
                <w:szCs w:val="21"/>
                <w:highlight w:val="none"/>
              </w:rPr>
              <w:t>承载能力（弯沉检测）</w:t>
            </w:r>
          </w:p>
        </w:tc>
        <w:tc>
          <w:tcPr>
            <w:tcW w:w="1690" w:type="dxa"/>
            <w:tcBorders>
              <w:top w:val="single" w:color="auto" w:sz="6" w:space="0"/>
              <w:left w:val="single" w:color="auto" w:sz="6" w:space="0"/>
              <w:bottom w:val="single" w:color="auto" w:sz="6" w:space="0"/>
              <w:right w:val="single" w:color="auto" w:sz="6" w:space="0"/>
            </w:tcBorders>
            <w:vAlign w:val="center"/>
          </w:tcPr>
          <w:p w14:paraId="31B9C156">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373A28C9">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4E7752B6">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4EC4DBCD">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5A0D43C3">
            <w:pPr>
              <w:spacing w:line="280" w:lineRule="exact"/>
              <w:rPr>
                <w:rFonts w:ascii="宋体" w:hAnsi="宋体"/>
                <w:color w:val="auto"/>
                <w:spacing w:val="-6"/>
                <w:sz w:val="21"/>
                <w:szCs w:val="21"/>
                <w:highlight w:val="none"/>
              </w:rPr>
            </w:pPr>
          </w:p>
        </w:tc>
      </w:tr>
      <w:tr w14:paraId="36380A1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24BE1357">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5</w:t>
            </w:r>
            <w:r>
              <w:rPr>
                <w:rFonts w:ascii="宋体" w:hAnsi="宋体" w:cs="宋体"/>
                <w:color w:val="auto"/>
                <w:kern w:val="0"/>
                <w:sz w:val="21"/>
                <w:szCs w:val="21"/>
                <w:highlight w:val="none"/>
              </w:rPr>
              <w:t>8</w:t>
            </w:r>
          </w:p>
        </w:tc>
        <w:tc>
          <w:tcPr>
            <w:tcW w:w="2818" w:type="dxa"/>
            <w:tcBorders>
              <w:top w:val="single" w:color="auto" w:sz="6" w:space="0"/>
              <w:left w:val="single" w:color="auto" w:sz="6" w:space="0"/>
              <w:bottom w:val="single" w:color="auto" w:sz="6" w:space="0"/>
              <w:right w:val="single" w:color="auto" w:sz="6" w:space="0"/>
            </w:tcBorders>
            <w:vAlign w:val="center"/>
          </w:tcPr>
          <w:p w14:paraId="79BCFBAC">
            <w:pPr>
              <w:spacing w:line="280" w:lineRule="exact"/>
              <w:jc w:val="left"/>
              <w:rPr>
                <w:rFonts w:ascii="宋体" w:hAnsi="宋体"/>
                <w:color w:val="auto"/>
                <w:sz w:val="21"/>
                <w:szCs w:val="21"/>
                <w:highlight w:val="none"/>
              </w:rPr>
            </w:pPr>
            <w:r>
              <w:rPr>
                <w:rFonts w:hint="eastAsia" w:ascii="宋体" w:hAnsi="宋体"/>
                <w:color w:val="auto"/>
                <w:sz w:val="21"/>
                <w:szCs w:val="21"/>
                <w:highlight w:val="none"/>
              </w:rPr>
              <w:t>标准稠度用水量</w:t>
            </w:r>
          </w:p>
        </w:tc>
        <w:tc>
          <w:tcPr>
            <w:tcW w:w="1690" w:type="dxa"/>
            <w:tcBorders>
              <w:top w:val="single" w:color="auto" w:sz="6" w:space="0"/>
              <w:left w:val="single" w:color="auto" w:sz="6" w:space="0"/>
              <w:bottom w:val="single" w:color="auto" w:sz="6" w:space="0"/>
              <w:right w:val="single" w:color="auto" w:sz="6" w:space="0"/>
            </w:tcBorders>
            <w:vAlign w:val="center"/>
          </w:tcPr>
          <w:p w14:paraId="26AFB870">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1BD58557">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3CE478F8">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5FC41010">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65ED36A2">
            <w:pPr>
              <w:spacing w:line="280" w:lineRule="exact"/>
              <w:rPr>
                <w:rFonts w:ascii="宋体" w:hAnsi="宋体"/>
                <w:color w:val="auto"/>
                <w:spacing w:val="-6"/>
                <w:sz w:val="21"/>
                <w:szCs w:val="21"/>
                <w:highlight w:val="none"/>
              </w:rPr>
            </w:pPr>
          </w:p>
        </w:tc>
      </w:tr>
      <w:tr w14:paraId="7831265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4FA6DDCC">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rPr>
              <w:t>59</w:t>
            </w:r>
          </w:p>
        </w:tc>
        <w:tc>
          <w:tcPr>
            <w:tcW w:w="2818" w:type="dxa"/>
            <w:tcBorders>
              <w:top w:val="single" w:color="auto" w:sz="6" w:space="0"/>
              <w:left w:val="single" w:color="auto" w:sz="6" w:space="0"/>
              <w:bottom w:val="single" w:color="auto" w:sz="6" w:space="0"/>
              <w:right w:val="single" w:color="auto" w:sz="6" w:space="0"/>
            </w:tcBorders>
            <w:vAlign w:val="center"/>
          </w:tcPr>
          <w:p w14:paraId="045A3C5B">
            <w:pPr>
              <w:spacing w:line="280" w:lineRule="exact"/>
              <w:jc w:val="left"/>
              <w:rPr>
                <w:rFonts w:ascii="宋体" w:hAnsi="宋体"/>
                <w:color w:val="auto"/>
                <w:sz w:val="21"/>
                <w:szCs w:val="21"/>
                <w:highlight w:val="none"/>
              </w:rPr>
            </w:pPr>
            <w:r>
              <w:rPr>
                <w:rFonts w:hint="eastAsia" w:ascii="宋体" w:hAnsi="宋体"/>
                <w:color w:val="auto"/>
                <w:spacing w:val="-6"/>
                <w:sz w:val="21"/>
                <w:szCs w:val="21"/>
                <w:highlight w:val="none"/>
              </w:rPr>
              <w:t>颗粒级配</w:t>
            </w:r>
          </w:p>
        </w:tc>
        <w:tc>
          <w:tcPr>
            <w:tcW w:w="1690" w:type="dxa"/>
            <w:tcBorders>
              <w:top w:val="single" w:color="auto" w:sz="6" w:space="0"/>
              <w:left w:val="single" w:color="auto" w:sz="6" w:space="0"/>
              <w:bottom w:val="single" w:color="auto" w:sz="6" w:space="0"/>
              <w:right w:val="single" w:color="auto" w:sz="6" w:space="0"/>
            </w:tcBorders>
            <w:vAlign w:val="center"/>
          </w:tcPr>
          <w:p w14:paraId="355AC548">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0386642F">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35565F04">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6CAB19C1">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13E8F903">
            <w:pPr>
              <w:spacing w:line="280" w:lineRule="exact"/>
              <w:rPr>
                <w:rFonts w:ascii="宋体" w:hAnsi="宋体"/>
                <w:color w:val="auto"/>
                <w:spacing w:val="-6"/>
                <w:sz w:val="21"/>
                <w:szCs w:val="21"/>
                <w:highlight w:val="none"/>
              </w:rPr>
            </w:pPr>
          </w:p>
        </w:tc>
      </w:tr>
      <w:tr w14:paraId="6E0DBE4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4A4970E0">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6</w:t>
            </w:r>
            <w:r>
              <w:rPr>
                <w:rFonts w:ascii="宋体" w:hAnsi="宋体" w:cs="宋体"/>
                <w:color w:val="auto"/>
                <w:kern w:val="0"/>
                <w:sz w:val="21"/>
                <w:szCs w:val="21"/>
                <w:highlight w:val="none"/>
              </w:rPr>
              <w:t>0</w:t>
            </w:r>
          </w:p>
        </w:tc>
        <w:tc>
          <w:tcPr>
            <w:tcW w:w="2818" w:type="dxa"/>
            <w:tcBorders>
              <w:top w:val="single" w:color="auto" w:sz="6" w:space="0"/>
              <w:left w:val="single" w:color="auto" w:sz="6" w:space="0"/>
              <w:bottom w:val="single" w:color="auto" w:sz="6" w:space="0"/>
              <w:right w:val="single" w:color="auto" w:sz="6" w:space="0"/>
            </w:tcBorders>
            <w:vAlign w:val="center"/>
          </w:tcPr>
          <w:p w14:paraId="5BB35317">
            <w:pPr>
              <w:spacing w:line="280" w:lineRule="exact"/>
              <w:jc w:val="left"/>
              <w:rPr>
                <w:rFonts w:ascii="宋体" w:hAnsi="宋体"/>
                <w:color w:val="auto"/>
                <w:sz w:val="21"/>
                <w:szCs w:val="21"/>
                <w:highlight w:val="none"/>
              </w:rPr>
            </w:pPr>
            <w:r>
              <w:rPr>
                <w:rFonts w:hint="eastAsia" w:ascii="宋体" w:hAnsi="宋体"/>
                <w:color w:val="auto"/>
                <w:spacing w:val="-6"/>
                <w:sz w:val="21"/>
                <w:szCs w:val="21"/>
                <w:highlight w:val="none"/>
              </w:rPr>
              <w:t>密度与相对密度</w:t>
            </w:r>
          </w:p>
        </w:tc>
        <w:tc>
          <w:tcPr>
            <w:tcW w:w="1690" w:type="dxa"/>
            <w:tcBorders>
              <w:top w:val="single" w:color="auto" w:sz="6" w:space="0"/>
              <w:left w:val="single" w:color="auto" w:sz="6" w:space="0"/>
              <w:bottom w:val="single" w:color="auto" w:sz="6" w:space="0"/>
              <w:right w:val="single" w:color="auto" w:sz="6" w:space="0"/>
            </w:tcBorders>
            <w:vAlign w:val="center"/>
          </w:tcPr>
          <w:p w14:paraId="73CAD9FE">
            <w:pPr>
              <w:spacing w:line="280" w:lineRule="exact"/>
              <w:jc w:val="center"/>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3A119C22">
            <w:pPr>
              <w:spacing w:line="280" w:lineRule="exact"/>
              <w:jc w:val="left"/>
              <w:rPr>
                <w:rFonts w:ascii="宋体" w:hAnsi="宋体"/>
                <w:color w:val="auto"/>
                <w:spacing w:val="-6"/>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7D19E27A">
            <w:pPr>
              <w:spacing w:line="280" w:lineRule="exact"/>
              <w:jc w:val="center"/>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637DB659">
            <w:pPr>
              <w:spacing w:line="280" w:lineRule="exact"/>
              <w:jc w:val="center"/>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74F672F1">
            <w:pPr>
              <w:spacing w:line="280" w:lineRule="exact"/>
              <w:rPr>
                <w:rFonts w:ascii="宋体" w:hAnsi="宋体"/>
                <w:color w:val="auto"/>
                <w:spacing w:val="-6"/>
                <w:sz w:val="21"/>
                <w:szCs w:val="21"/>
                <w:highlight w:val="none"/>
              </w:rPr>
            </w:pPr>
          </w:p>
        </w:tc>
      </w:tr>
      <w:tr w14:paraId="2B1F90B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4EB5DB58">
            <w:pPr>
              <w:widowControl/>
              <w:snapToGrid w:val="0"/>
              <w:jc w:val="center"/>
              <w:textAlignment w:val="center"/>
              <w:rPr>
                <w:rFonts w:ascii="宋体" w:hAnsi="宋体" w:cs="宋体"/>
                <w:color w:val="auto"/>
                <w:kern w:val="0"/>
                <w:sz w:val="21"/>
                <w:szCs w:val="21"/>
                <w:highlight w:val="none"/>
              </w:rPr>
            </w:pPr>
            <w:r>
              <w:rPr>
                <w:rFonts w:ascii="宋体" w:hAnsi="宋体" w:cs="宋体"/>
                <w:color w:val="auto"/>
                <w:kern w:val="0"/>
                <w:sz w:val="21"/>
                <w:szCs w:val="21"/>
                <w:highlight w:val="none"/>
              </w:rPr>
              <w:t>6</w:t>
            </w:r>
            <w:r>
              <w:rPr>
                <w:rFonts w:hint="eastAsia" w:ascii="宋体" w:hAnsi="宋体" w:cs="宋体"/>
                <w:color w:val="auto"/>
                <w:kern w:val="0"/>
                <w:sz w:val="21"/>
                <w:szCs w:val="21"/>
                <w:highlight w:val="none"/>
              </w:rPr>
              <w:t>1</w:t>
            </w:r>
          </w:p>
        </w:tc>
        <w:tc>
          <w:tcPr>
            <w:tcW w:w="2818" w:type="dxa"/>
            <w:tcBorders>
              <w:top w:val="single" w:color="auto" w:sz="6" w:space="0"/>
              <w:left w:val="single" w:color="auto" w:sz="6" w:space="0"/>
              <w:bottom w:val="single" w:color="auto" w:sz="6" w:space="0"/>
              <w:right w:val="single" w:color="auto" w:sz="6" w:space="0"/>
            </w:tcBorders>
            <w:vAlign w:val="center"/>
          </w:tcPr>
          <w:p w14:paraId="1B9CA8F4">
            <w:pPr>
              <w:snapToGrid w:val="0"/>
              <w:spacing w:line="240" w:lineRule="auto"/>
              <w:jc w:val="left"/>
              <w:rPr>
                <w:rFonts w:ascii="宋体" w:hAnsi="宋体"/>
                <w:color w:val="auto"/>
                <w:sz w:val="21"/>
                <w:szCs w:val="21"/>
                <w:highlight w:val="none"/>
              </w:rPr>
            </w:pPr>
            <w:r>
              <w:rPr>
                <w:rFonts w:hint="eastAsia" w:ascii="宋体" w:hAnsi="宋体"/>
                <w:color w:val="auto"/>
                <w:sz w:val="21"/>
                <w:szCs w:val="21"/>
                <w:highlight w:val="none"/>
              </w:rPr>
              <w:t>量测类（应力）</w:t>
            </w:r>
          </w:p>
        </w:tc>
        <w:tc>
          <w:tcPr>
            <w:tcW w:w="1690" w:type="dxa"/>
            <w:tcBorders>
              <w:top w:val="single" w:color="auto" w:sz="6" w:space="0"/>
              <w:left w:val="single" w:color="auto" w:sz="6" w:space="0"/>
              <w:bottom w:val="single" w:color="auto" w:sz="6" w:space="0"/>
              <w:right w:val="single" w:color="auto" w:sz="6" w:space="0"/>
            </w:tcBorders>
            <w:vAlign w:val="center"/>
          </w:tcPr>
          <w:p w14:paraId="7EA83344">
            <w:pPr>
              <w:snapToGrid w:val="0"/>
              <w:spacing w:line="240" w:lineRule="auto"/>
              <w:jc w:val="left"/>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327C570F">
            <w:pPr>
              <w:pStyle w:val="49"/>
              <w:widowControl/>
              <w:snapToGrid w:val="0"/>
              <w:spacing w:line="240" w:lineRule="auto"/>
              <w:rPr>
                <w:rFonts w:ascii="宋体" w:hAnsi="宋体" w:eastAsia="宋体"/>
                <w:color w:val="auto"/>
                <w:kern w:val="2"/>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7B5ED385">
            <w:pPr>
              <w:snapToGrid w:val="0"/>
              <w:spacing w:line="240" w:lineRule="auto"/>
              <w:jc w:val="left"/>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3C1A7BE2">
            <w:pPr>
              <w:snapToGrid w:val="0"/>
              <w:spacing w:line="240" w:lineRule="auto"/>
              <w:jc w:val="left"/>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221513F8">
            <w:pPr>
              <w:snapToGrid w:val="0"/>
              <w:spacing w:line="240" w:lineRule="auto"/>
              <w:jc w:val="left"/>
              <w:rPr>
                <w:rFonts w:ascii="宋体" w:hAnsi="宋体"/>
                <w:color w:val="auto"/>
                <w:spacing w:val="-6"/>
                <w:sz w:val="21"/>
                <w:szCs w:val="21"/>
                <w:highlight w:val="none"/>
              </w:rPr>
            </w:pPr>
            <w:r>
              <w:rPr>
                <w:rFonts w:ascii="宋体" w:hAnsi="宋体"/>
                <w:color w:val="auto"/>
                <w:spacing w:val="-6"/>
                <w:sz w:val="21"/>
                <w:szCs w:val="21"/>
                <w:highlight w:val="none"/>
              </w:rPr>
              <w:t>管网开挖大于深度4米也需要监测</w:t>
            </w:r>
          </w:p>
        </w:tc>
      </w:tr>
      <w:tr w14:paraId="059FD07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7B31D5DB">
            <w:pPr>
              <w:widowControl/>
              <w:snapToGrid w:val="0"/>
              <w:jc w:val="center"/>
              <w:textAlignment w:val="center"/>
              <w:rPr>
                <w:rFonts w:ascii="宋体" w:hAnsi="宋体" w:cs="宋体"/>
                <w:color w:val="auto"/>
                <w:kern w:val="0"/>
                <w:sz w:val="21"/>
                <w:szCs w:val="21"/>
                <w:highlight w:val="none"/>
              </w:rPr>
            </w:pPr>
            <w:r>
              <w:rPr>
                <w:rFonts w:ascii="宋体" w:hAnsi="宋体" w:cs="宋体"/>
                <w:color w:val="auto"/>
                <w:kern w:val="0"/>
                <w:sz w:val="21"/>
                <w:szCs w:val="21"/>
                <w:highlight w:val="none"/>
              </w:rPr>
              <w:t>6</w:t>
            </w:r>
            <w:r>
              <w:rPr>
                <w:rFonts w:hint="eastAsia" w:ascii="宋体" w:hAnsi="宋体" w:cs="宋体"/>
                <w:color w:val="auto"/>
                <w:kern w:val="0"/>
                <w:sz w:val="21"/>
                <w:szCs w:val="21"/>
                <w:highlight w:val="none"/>
              </w:rPr>
              <w:t>2</w:t>
            </w:r>
          </w:p>
        </w:tc>
        <w:tc>
          <w:tcPr>
            <w:tcW w:w="2818" w:type="dxa"/>
            <w:tcBorders>
              <w:top w:val="single" w:color="auto" w:sz="6" w:space="0"/>
              <w:left w:val="single" w:color="auto" w:sz="6" w:space="0"/>
              <w:bottom w:val="single" w:color="auto" w:sz="6" w:space="0"/>
              <w:right w:val="single" w:color="auto" w:sz="6" w:space="0"/>
            </w:tcBorders>
            <w:vAlign w:val="center"/>
          </w:tcPr>
          <w:p w14:paraId="0D01DF01">
            <w:pPr>
              <w:snapToGrid w:val="0"/>
              <w:spacing w:line="240" w:lineRule="auto"/>
              <w:jc w:val="left"/>
              <w:rPr>
                <w:rFonts w:ascii="宋体" w:hAnsi="宋体"/>
                <w:color w:val="auto"/>
                <w:sz w:val="21"/>
                <w:szCs w:val="21"/>
                <w:highlight w:val="none"/>
              </w:rPr>
            </w:pPr>
            <w:r>
              <w:rPr>
                <w:rFonts w:hint="eastAsia" w:ascii="宋体" w:hAnsi="宋体"/>
                <w:color w:val="auto"/>
                <w:sz w:val="21"/>
                <w:szCs w:val="21"/>
                <w:highlight w:val="none"/>
              </w:rPr>
              <w:t>量测类（应变）</w:t>
            </w:r>
          </w:p>
        </w:tc>
        <w:tc>
          <w:tcPr>
            <w:tcW w:w="1690" w:type="dxa"/>
            <w:tcBorders>
              <w:top w:val="single" w:color="auto" w:sz="6" w:space="0"/>
              <w:left w:val="single" w:color="auto" w:sz="6" w:space="0"/>
              <w:bottom w:val="single" w:color="auto" w:sz="6" w:space="0"/>
              <w:right w:val="single" w:color="auto" w:sz="6" w:space="0"/>
            </w:tcBorders>
            <w:vAlign w:val="center"/>
          </w:tcPr>
          <w:p w14:paraId="0BD8217B">
            <w:pPr>
              <w:snapToGrid w:val="0"/>
              <w:spacing w:line="240" w:lineRule="auto"/>
              <w:jc w:val="left"/>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227EABBA">
            <w:pPr>
              <w:pStyle w:val="49"/>
              <w:widowControl/>
              <w:snapToGrid w:val="0"/>
              <w:spacing w:line="240" w:lineRule="auto"/>
              <w:rPr>
                <w:rFonts w:ascii="宋体" w:hAnsi="宋体" w:eastAsia="宋体"/>
                <w:color w:val="auto"/>
                <w:kern w:val="2"/>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1BEB2FCF">
            <w:pPr>
              <w:snapToGrid w:val="0"/>
              <w:spacing w:line="240" w:lineRule="auto"/>
              <w:jc w:val="left"/>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18E84EDD">
            <w:pPr>
              <w:snapToGrid w:val="0"/>
              <w:spacing w:line="240" w:lineRule="auto"/>
              <w:jc w:val="left"/>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54174D97">
            <w:pPr>
              <w:snapToGrid w:val="0"/>
              <w:spacing w:line="240" w:lineRule="auto"/>
              <w:jc w:val="left"/>
              <w:rPr>
                <w:rFonts w:ascii="宋体" w:hAnsi="宋体"/>
                <w:color w:val="auto"/>
                <w:spacing w:val="-6"/>
                <w:sz w:val="21"/>
                <w:szCs w:val="21"/>
                <w:highlight w:val="none"/>
              </w:rPr>
            </w:pPr>
            <w:r>
              <w:rPr>
                <w:rFonts w:ascii="宋体" w:hAnsi="宋体"/>
                <w:color w:val="auto"/>
                <w:spacing w:val="-6"/>
                <w:sz w:val="21"/>
                <w:szCs w:val="21"/>
                <w:highlight w:val="none"/>
              </w:rPr>
              <w:t>管网开挖大于深度4米也需要监测</w:t>
            </w:r>
          </w:p>
        </w:tc>
      </w:tr>
      <w:tr w14:paraId="4D01E18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3DFD200B">
            <w:pPr>
              <w:widowControl/>
              <w:snapToGrid w:val="0"/>
              <w:jc w:val="center"/>
              <w:textAlignment w:val="center"/>
              <w:rPr>
                <w:rFonts w:ascii="宋体" w:hAnsi="宋体" w:cs="宋体"/>
                <w:color w:val="auto"/>
                <w:kern w:val="0"/>
                <w:sz w:val="21"/>
                <w:szCs w:val="21"/>
                <w:highlight w:val="none"/>
              </w:rPr>
            </w:pPr>
            <w:r>
              <w:rPr>
                <w:rFonts w:ascii="宋体" w:hAnsi="宋体" w:cs="宋体"/>
                <w:color w:val="auto"/>
                <w:kern w:val="0"/>
                <w:sz w:val="21"/>
                <w:szCs w:val="21"/>
                <w:highlight w:val="none"/>
              </w:rPr>
              <w:t>6</w:t>
            </w:r>
            <w:r>
              <w:rPr>
                <w:rFonts w:hint="eastAsia" w:ascii="宋体" w:hAnsi="宋体" w:cs="宋体"/>
                <w:color w:val="auto"/>
                <w:kern w:val="0"/>
                <w:sz w:val="21"/>
                <w:szCs w:val="21"/>
                <w:highlight w:val="none"/>
              </w:rPr>
              <w:t>3</w:t>
            </w:r>
          </w:p>
        </w:tc>
        <w:tc>
          <w:tcPr>
            <w:tcW w:w="2818" w:type="dxa"/>
            <w:tcBorders>
              <w:top w:val="single" w:color="auto" w:sz="6" w:space="0"/>
              <w:left w:val="single" w:color="auto" w:sz="6" w:space="0"/>
              <w:bottom w:val="single" w:color="auto" w:sz="6" w:space="0"/>
              <w:right w:val="single" w:color="auto" w:sz="6" w:space="0"/>
            </w:tcBorders>
            <w:vAlign w:val="center"/>
          </w:tcPr>
          <w:p w14:paraId="511F8EFB">
            <w:pPr>
              <w:widowControl/>
              <w:snapToGrid w:val="0"/>
              <w:jc w:val="left"/>
              <w:rPr>
                <w:rFonts w:ascii="宋体" w:hAnsi="宋体"/>
                <w:color w:val="auto"/>
                <w:sz w:val="21"/>
                <w:szCs w:val="21"/>
                <w:highlight w:val="none"/>
              </w:rPr>
            </w:pPr>
            <w:r>
              <w:rPr>
                <w:rFonts w:hint="eastAsia" w:ascii="宋体" w:hAnsi="宋体"/>
                <w:color w:val="auto"/>
                <w:sz w:val="21"/>
                <w:szCs w:val="21"/>
                <w:highlight w:val="none"/>
              </w:rPr>
              <w:t>量测类（</w:t>
            </w:r>
            <w:r>
              <w:rPr>
                <w:rFonts w:hint="eastAsia" w:ascii="宋体" w:hAnsi="宋体" w:cs="宋体"/>
                <w:color w:val="auto"/>
                <w:kern w:val="0"/>
                <w:sz w:val="21"/>
                <w:szCs w:val="21"/>
                <w:highlight w:val="none"/>
              </w:rPr>
              <w:t xml:space="preserve">竖向位移 </w:t>
            </w:r>
            <w:r>
              <w:rPr>
                <w:rFonts w:hint="eastAsia" w:ascii="宋体" w:hAnsi="宋体"/>
                <w:color w:val="auto"/>
                <w:sz w:val="21"/>
                <w:szCs w:val="21"/>
                <w:highlight w:val="none"/>
              </w:rPr>
              <w:t>）</w:t>
            </w:r>
          </w:p>
        </w:tc>
        <w:tc>
          <w:tcPr>
            <w:tcW w:w="1690" w:type="dxa"/>
            <w:tcBorders>
              <w:top w:val="single" w:color="auto" w:sz="6" w:space="0"/>
              <w:left w:val="single" w:color="auto" w:sz="6" w:space="0"/>
              <w:bottom w:val="single" w:color="auto" w:sz="6" w:space="0"/>
              <w:right w:val="single" w:color="auto" w:sz="6" w:space="0"/>
            </w:tcBorders>
            <w:vAlign w:val="center"/>
          </w:tcPr>
          <w:p w14:paraId="4C334E54">
            <w:pPr>
              <w:snapToGrid w:val="0"/>
              <w:spacing w:line="240" w:lineRule="auto"/>
              <w:jc w:val="left"/>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2E51483E">
            <w:pPr>
              <w:pStyle w:val="49"/>
              <w:widowControl/>
              <w:snapToGrid w:val="0"/>
              <w:spacing w:line="240" w:lineRule="auto"/>
              <w:rPr>
                <w:rFonts w:ascii="宋体" w:hAnsi="宋体" w:eastAsia="宋体"/>
                <w:color w:val="auto"/>
                <w:kern w:val="2"/>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721CA8BA">
            <w:pPr>
              <w:snapToGrid w:val="0"/>
              <w:spacing w:line="240" w:lineRule="auto"/>
              <w:jc w:val="left"/>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214F6A29">
            <w:pPr>
              <w:snapToGrid w:val="0"/>
              <w:spacing w:line="240" w:lineRule="auto"/>
              <w:jc w:val="left"/>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1485D179">
            <w:pPr>
              <w:snapToGrid w:val="0"/>
              <w:spacing w:line="240" w:lineRule="auto"/>
              <w:jc w:val="left"/>
              <w:rPr>
                <w:rFonts w:ascii="宋体" w:hAnsi="宋体"/>
                <w:color w:val="auto"/>
                <w:spacing w:val="-6"/>
                <w:sz w:val="21"/>
                <w:szCs w:val="21"/>
                <w:highlight w:val="none"/>
              </w:rPr>
            </w:pPr>
            <w:r>
              <w:rPr>
                <w:rFonts w:ascii="宋体" w:hAnsi="宋体"/>
                <w:color w:val="auto"/>
                <w:spacing w:val="-6"/>
                <w:sz w:val="21"/>
                <w:szCs w:val="21"/>
                <w:highlight w:val="none"/>
              </w:rPr>
              <w:t>管网开挖大于深度4米也需要监测</w:t>
            </w:r>
          </w:p>
        </w:tc>
      </w:tr>
      <w:tr w14:paraId="162847C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231FAB4F">
            <w:pPr>
              <w:widowControl/>
              <w:snapToGrid w:val="0"/>
              <w:jc w:val="center"/>
              <w:textAlignment w:val="center"/>
              <w:rPr>
                <w:rFonts w:ascii="宋体" w:hAnsi="宋体" w:cs="宋体"/>
                <w:color w:val="auto"/>
                <w:kern w:val="0"/>
                <w:sz w:val="21"/>
                <w:szCs w:val="21"/>
                <w:highlight w:val="none"/>
              </w:rPr>
            </w:pPr>
            <w:r>
              <w:rPr>
                <w:rFonts w:ascii="宋体" w:hAnsi="宋体" w:cs="宋体"/>
                <w:color w:val="auto"/>
                <w:kern w:val="0"/>
                <w:sz w:val="21"/>
                <w:szCs w:val="21"/>
                <w:highlight w:val="none"/>
              </w:rPr>
              <w:t>6</w:t>
            </w:r>
            <w:r>
              <w:rPr>
                <w:rFonts w:hint="eastAsia" w:ascii="宋体" w:hAnsi="宋体" w:cs="宋体"/>
                <w:color w:val="auto"/>
                <w:kern w:val="0"/>
                <w:sz w:val="21"/>
                <w:szCs w:val="21"/>
                <w:highlight w:val="none"/>
              </w:rPr>
              <w:t>4</w:t>
            </w:r>
          </w:p>
        </w:tc>
        <w:tc>
          <w:tcPr>
            <w:tcW w:w="2818" w:type="dxa"/>
            <w:tcBorders>
              <w:top w:val="single" w:color="auto" w:sz="6" w:space="0"/>
              <w:left w:val="single" w:color="auto" w:sz="6" w:space="0"/>
              <w:bottom w:val="single" w:color="auto" w:sz="6" w:space="0"/>
              <w:right w:val="single" w:color="auto" w:sz="6" w:space="0"/>
            </w:tcBorders>
            <w:vAlign w:val="center"/>
          </w:tcPr>
          <w:p w14:paraId="14DE5DB1">
            <w:pPr>
              <w:snapToGrid w:val="0"/>
              <w:spacing w:line="240" w:lineRule="auto"/>
              <w:jc w:val="left"/>
              <w:rPr>
                <w:rFonts w:ascii="宋体" w:hAnsi="宋体"/>
                <w:color w:val="auto"/>
                <w:sz w:val="21"/>
                <w:szCs w:val="21"/>
                <w:highlight w:val="none"/>
              </w:rPr>
            </w:pPr>
            <w:r>
              <w:rPr>
                <w:rFonts w:hint="eastAsia" w:ascii="宋体" w:hAnsi="宋体"/>
                <w:color w:val="auto"/>
                <w:sz w:val="21"/>
                <w:szCs w:val="21"/>
                <w:highlight w:val="none"/>
              </w:rPr>
              <w:t>量测类（接缝和裂缝开合度）</w:t>
            </w:r>
          </w:p>
        </w:tc>
        <w:tc>
          <w:tcPr>
            <w:tcW w:w="1690" w:type="dxa"/>
            <w:tcBorders>
              <w:top w:val="single" w:color="auto" w:sz="6" w:space="0"/>
              <w:left w:val="single" w:color="auto" w:sz="6" w:space="0"/>
              <w:bottom w:val="single" w:color="auto" w:sz="6" w:space="0"/>
              <w:right w:val="single" w:color="auto" w:sz="6" w:space="0"/>
            </w:tcBorders>
            <w:vAlign w:val="center"/>
          </w:tcPr>
          <w:p w14:paraId="0713D0FE">
            <w:pPr>
              <w:snapToGrid w:val="0"/>
              <w:spacing w:line="240" w:lineRule="auto"/>
              <w:jc w:val="left"/>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2CEEB706">
            <w:pPr>
              <w:pStyle w:val="49"/>
              <w:widowControl/>
              <w:snapToGrid w:val="0"/>
              <w:spacing w:line="240" w:lineRule="auto"/>
              <w:rPr>
                <w:rFonts w:ascii="宋体" w:hAnsi="宋体" w:eastAsia="宋体"/>
                <w:color w:val="auto"/>
                <w:kern w:val="2"/>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5121E3A6">
            <w:pPr>
              <w:snapToGrid w:val="0"/>
              <w:spacing w:line="240" w:lineRule="auto"/>
              <w:jc w:val="left"/>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024479E4">
            <w:pPr>
              <w:snapToGrid w:val="0"/>
              <w:spacing w:line="240" w:lineRule="auto"/>
              <w:jc w:val="left"/>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0FB17FB1">
            <w:pPr>
              <w:snapToGrid w:val="0"/>
              <w:spacing w:line="240" w:lineRule="auto"/>
              <w:jc w:val="left"/>
              <w:rPr>
                <w:rFonts w:ascii="宋体" w:hAnsi="宋体"/>
                <w:color w:val="auto"/>
                <w:spacing w:val="-6"/>
                <w:sz w:val="21"/>
                <w:szCs w:val="21"/>
                <w:highlight w:val="none"/>
              </w:rPr>
            </w:pPr>
            <w:r>
              <w:rPr>
                <w:rFonts w:ascii="宋体" w:hAnsi="宋体"/>
                <w:color w:val="auto"/>
                <w:spacing w:val="-6"/>
                <w:sz w:val="21"/>
                <w:szCs w:val="21"/>
                <w:highlight w:val="none"/>
              </w:rPr>
              <w:t>管网开挖大于深度4米也需要监测</w:t>
            </w:r>
          </w:p>
        </w:tc>
      </w:tr>
      <w:tr w14:paraId="64D8075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vAlign w:val="center"/>
          </w:tcPr>
          <w:p w14:paraId="46182B78">
            <w:pPr>
              <w:widowControl/>
              <w:snapToGrid w:val="0"/>
              <w:jc w:val="center"/>
              <w:textAlignment w:val="center"/>
              <w:rPr>
                <w:rFonts w:ascii="宋体" w:hAnsi="宋体" w:cs="宋体"/>
                <w:color w:val="auto"/>
                <w:kern w:val="0"/>
                <w:sz w:val="21"/>
                <w:szCs w:val="21"/>
                <w:highlight w:val="none"/>
              </w:rPr>
            </w:pPr>
            <w:r>
              <w:rPr>
                <w:rFonts w:ascii="宋体" w:hAnsi="宋体" w:cs="宋体"/>
                <w:color w:val="auto"/>
                <w:kern w:val="0"/>
                <w:sz w:val="21"/>
                <w:szCs w:val="21"/>
                <w:highlight w:val="none"/>
              </w:rPr>
              <w:t>6</w:t>
            </w:r>
            <w:r>
              <w:rPr>
                <w:rFonts w:hint="eastAsia" w:ascii="宋体" w:hAnsi="宋体" w:cs="宋体"/>
                <w:color w:val="auto"/>
                <w:kern w:val="0"/>
                <w:sz w:val="21"/>
                <w:szCs w:val="21"/>
                <w:highlight w:val="none"/>
              </w:rPr>
              <w:t>5</w:t>
            </w:r>
          </w:p>
        </w:tc>
        <w:tc>
          <w:tcPr>
            <w:tcW w:w="2818" w:type="dxa"/>
            <w:vAlign w:val="center"/>
          </w:tcPr>
          <w:p w14:paraId="51DCF0BD">
            <w:pPr>
              <w:snapToGrid w:val="0"/>
              <w:spacing w:line="240" w:lineRule="auto"/>
              <w:jc w:val="left"/>
              <w:rPr>
                <w:rFonts w:ascii="宋体" w:hAnsi="宋体"/>
                <w:color w:val="auto"/>
                <w:sz w:val="21"/>
                <w:szCs w:val="21"/>
                <w:highlight w:val="none"/>
              </w:rPr>
            </w:pPr>
            <w:r>
              <w:rPr>
                <w:rFonts w:hint="eastAsia" w:ascii="宋体" w:hAnsi="宋体"/>
                <w:color w:val="auto"/>
                <w:sz w:val="21"/>
                <w:szCs w:val="21"/>
                <w:highlight w:val="none"/>
              </w:rPr>
              <w:t>量测类（地下水位</w:t>
            </w:r>
            <w:r>
              <w:rPr>
                <w:rFonts w:ascii="宋体" w:hAnsi="宋体"/>
                <w:color w:val="auto"/>
                <w:sz w:val="21"/>
                <w:szCs w:val="21"/>
                <w:highlight w:val="none"/>
              </w:rPr>
              <w:t>、</w:t>
            </w:r>
            <w:r>
              <w:rPr>
                <w:rFonts w:hint="eastAsia" w:ascii="宋体" w:hAnsi="宋体"/>
                <w:color w:val="auto"/>
                <w:sz w:val="21"/>
                <w:szCs w:val="21"/>
                <w:highlight w:val="none"/>
              </w:rPr>
              <w:t>水平位移）</w:t>
            </w:r>
          </w:p>
        </w:tc>
        <w:tc>
          <w:tcPr>
            <w:tcW w:w="1690" w:type="dxa"/>
          </w:tcPr>
          <w:p w14:paraId="5F12B22A">
            <w:pPr>
              <w:snapToGrid w:val="0"/>
              <w:spacing w:line="240" w:lineRule="auto"/>
              <w:jc w:val="left"/>
              <w:rPr>
                <w:rFonts w:ascii="宋体" w:hAnsi="宋体"/>
                <w:color w:val="auto"/>
                <w:spacing w:val="-6"/>
                <w:sz w:val="21"/>
                <w:szCs w:val="21"/>
                <w:highlight w:val="none"/>
              </w:rPr>
            </w:pPr>
          </w:p>
        </w:tc>
        <w:tc>
          <w:tcPr>
            <w:tcW w:w="1658" w:type="dxa"/>
          </w:tcPr>
          <w:p w14:paraId="4CF23BAE">
            <w:pPr>
              <w:pStyle w:val="49"/>
              <w:widowControl/>
              <w:snapToGrid w:val="0"/>
              <w:spacing w:line="240" w:lineRule="auto"/>
              <w:rPr>
                <w:rFonts w:ascii="宋体" w:hAnsi="宋体" w:eastAsia="宋体"/>
                <w:color w:val="auto"/>
                <w:kern w:val="2"/>
                <w:sz w:val="21"/>
                <w:szCs w:val="21"/>
                <w:highlight w:val="none"/>
              </w:rPr>
            </w:pPr>
          </w:p>
        </w:tc>
        <w:tc>
          <w:tcPr>
            <w:tcW w:w="1074" w:type="dxa"/>
          </w:tcPr>
          <w:p w14:paraId="06D47A9D">
            <w:pPr>
              <w:snapToGrid w:val="0"/>
              <w:spacing w:line="240" w:lineRule="auto"/>
              <w:jc w:val="left"/>
              <w:rPr>
                <w:rFonts w:ascii="宋体" w:hAnsi="宋体"/>
                <w:color w:val="auto"/>
                <w:spacing w:val="-6"/>
                <w:sz w:val="21"/>
                <w:szCs w:val="21"/>
                <w:highlight w:val="none"/>
              </w:rPr>
            </w:pPr>
          </w:p>
        </w:tc>
        <w:tc>
          <w:tcPr>
            <w:tcW w:w="915" w:type="dxa"/>
          </w:tcPr>
          <w:p w14:paraId="7EA0D9F3">
            <w:pPr>
              <w:snapToGrid w:val="0"/>
              <w:spacing w:line="240" w:lineRule="auto"/>
              <w:jc w:val="left"/>
              <w:rPr>
                <w:rFonts w:ascii="宋体" w:hAnsi="宋体"/>
                <w:color w:val="auto"/>
                <w:spacing w:val="-6"/>
                <w:sz w:val="21"/>
                <w:szCs w:val="21"/>
                <w:highlight w:val="none"/>
              </w:rPr>
            </w:pPr>
          </w:p>
        </w:tc>
        <w:tc>
          <w:tcPr>
            <w:tcW w:w="1314" w:type="dxa"/>
          </w:tcPr>
          <w:p w14:paraId="5A9443CF">
            <w:pPr>
              <w:snapToGrid w:val="0"/>
              <w:spacing w:line="240" w:lineRule="auto"/>
              <w:jc w:val="left"/>
              <w:rPr>
                <w:rFonts w:ascii="宋体" w:hAnsi="宋体"/>
                <w:color w:val="auto"/>
                <w:spacing w:val="-6"/>
                <w:sz w:val="21"/>
                <w:szCs w:val="21"/>
                <w:highlight w:val="none"/>
              </w:rPr>
            </w:pPr>
            <w:r>
              <w:rPr>
                <w:rFonts w:ascii="宋体" w:hAnsi="宋体"/>
                <w:color w:val="auto"/>
                <w:spacing w:val="-6"/>
                <w:sz w:val="21"/>
                <w:szCs w:val="21"/>
                <w:highlight w:val="none"/>
              </w:rPr>
              <w:t>管网开挖大于深度4米也需要监测</w:t>
            </w:r>
          </w:p>
        </w:tc>
      </w:tr>
      <w:tr w14:paraId="3FA8DE5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Pr>
          <w:p w14:paraId="0290B823">
            <w:pPr>
              <w:widowControl/>
              <w:snapToGrid w:val="0"/>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66</w:t>
            </w:r>
          </w:p>
        </w:tc>
        <w:tc>
          <w:tcPr>
            <w:tcW w:w="2818" w:type="dxa"/>
            <w:vAlign w:val="center"/>
          </w:tcPr>
          <w:p w14:paraId="6769EDCB">
            <w:pPr>
              <w:snapToGrid w:val="0"/>
              <w:spacing w:line="240" w:lineRule="auto"/>
              <w:jc w:val="left"/>
              <w:rPr>
                <w:rFonts w:ascii="宋体" w:hAnsi="宋体"/>
                <w:color w:val="auto"/>
                <w:sz w:val="21"/>
                <w:szCs w:val="21"/>
                <w:highlight w:val="none"/>
              </w:rPr>
            </w:pPr>
            <w:r>
              <w:rPr>
                <w:rFonts w:hint="eastAsia" w:ascii="宋体" w:hAnsi="宋体"/>
                <w:color w:val="auto"/>
                <w:sz w:val="21"/>
                <w:szCs w:val="21"/>
                <w:highlight w:val="none"/>
              </w:rPr>
              <w:t>量测类（水平位移）</w:t>
            </w:r>
          </w:p>
        </w:tc>
        <w:tc>
          <w:tcPr>
            <w:tcW w:w="1690" w:type="dxa"/>
          </w:tcPr>
          <w:p w14:paraId="148CDBEB">
            <w:pPr>
              <w:snapToGrid w:val="0"/>
              <w:spacing w:line="240" w:lineRule="auto"/>
              <w:jc w:val="left"/>
              <w:rPr>
                <w:rFonts w:ascii="宋体" w:hAnsi="宋体"/>
                <w:color w:val="auto"/>
                <w:spacing w:val="-6"/>
                <w:sz w:val="21"/>
                <w:szCs w:val="21"/>
                <w:highlight w:val="none"/>
              </w:rPr>
            </w:pPr>
          </w:p>
        </w:tc>
        <w:tc>
          <w:tcPr>
            <w:tcW w:w="1658" w:type="dxa"/>
          </w:tcPr>
          <w:p w14:paraId="5B1A8C22">
            <w:pPr>
              <w:pStyle w:val="49"/>
              <w:widowControl/>
              <w:snapToGrid w:val="0"/>
              <w:spacing w:line="240" w:lineRule="auto"/>
              <w:rPr>
                <w:rFonts w:ascii="宋体" w:hAnsi="宋体" w:eastAsia="宋体"/>
                <w:color w:val="auto"/>
                <w:kern w:val="2"/>
                <w:sz w:val="21"/>
                <w:szCs w:val="21"/>
                <w:highlight w:val="none"/>
              </w:rPr>
            </w:pPr>
          </w:p>
        </w:tc>
        <w:tc>
          <w:tcPr>
            <w:tcW w:w="1074" w:type="dxa"/>
          </w:tcPr>
          <w:p w14:paraId="77744117">
            <w:pPr>
              <w:snapToGrid w:val="0"/>
              <w:spacing w:line="240" w:lineRule="auto"/>
              <w:jc w:val="left"/>
              <w:rPr>
                <w:rFonts w:ascii="宋体" w:hAnsi="宋体"/>
                <w:color w:val="auto"/>
                <w:spacing w:val="-6"/>
                <w:sz w:val="21"/>
                <w:szCs w:val="21"/>
                <w:highlight w:val="none"/>
              </w:rPr>
            </w:pPr>
          </w:p>
        </w:tc>
        <w:tc>
          <w:tcPr>
            <w:tcW w:w="915" w:type="dxa"/>
          </w:tcPr>
          <w:p w14:paraId="0393C231">
            <w:pPr>
              <w:snapToGrid w:val="0"/>
              <w:spacing w:line="240" w:lineRule="auto"/>
              <w:jc w:val="left"/>
              <w:rPr>
                <w:rFonts w:ascii="宋体" w:hAnsi="宋体"/>
                <w:color w:val="auto"/>
                <w:spacing w:val="-6"/>
                <w:sz w:val="21"/>
                <w:szCs w:val="21"/>
                <w:highlight w:val="none"/>
              </w:rPr>
            </w:pPr>
          </w:p>
        </w:tc>
        <w:tc>
          <w:tcPr>
            <w:tcW w:w="1314" w:type="dxa"/>
          </w:tcPr>
          <w:p w14:paraId="67F9EDD0">
            <w:pPr>
              <w:snapToGrid w:val="0"/>
              <w:spacing w:line="240" w:lineRule="auto"/>
              <w:jc w:val="left"/>
              <w:rPr>
                <w:rFonts w:ascii="宋体" w:hAnsi="宋体"/>
                <w:color w:val="auto"/>
                <w:spacing w:val="-6"/>
                <w:sz w:val="21"/>
                <w:szCs w:val="21"/>
                <w:highlight w:val="none"/>
              </w:rPr>
            </w:pPr>
          </w:p>
        </w:tc>
      </w:tr>
      <w:tr w14:paraId="4B3ED84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1279D896">
            <w:pPr>
              <w:widowControl/>
              <w:snapToGrid w:val="0"/>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67</w:t>
            </w:r>
          </w:p>
        </w:tc>
        <w:tc>
          <w:tcPr>
            <w:tcW w:w="2818" w:type="dxa"/>
            <w:tcBorders>
              <w:top w:val="single" w:color="auto" w:sz="6" w:space="0"/>
              <w:left w:val="single" w:color="auto" w:sz="6" w:space="0"/>
              <w:bottom w:val="single" w:color="auto" w:sz="6" w:space="0"/>
              <w:right w:val="single" w:color="auto" w:sz="6" w:space="0"/>
            </w:tcBorders>
            <w:vAlign w:val="center"/>
          </w:tcPr>
          <w:p w14:paraId="369F8AC6">
            <w:pPr>
              <w:snapToGrid w:val="0"/>
              <w:spacing w:line="240" w:lineRule="auto"/>
              <w:jc w:val="left"/>
              <w:rPr>
                <w:rFonts w:ascii="宋体" w:hAnsi="宋体"/>
                <w:color w:val="auto"/>
                <w:sz w:val="21"/>
                <w:szCs w:val="21"/>
                <w:highlight w:val="none"/>
              </w:rPr>
            </w:pPr>
            <w:r>
              <w:rPr>
                <w:rFonts w:ascii="宋体" w:hAnsi="宋体"/>
                <w:color w:val="auto"/>
                <w:sz w:val="21"/>
                <w:szCs w:val="21"/>
                <w:highlight w:val="none"/>
              </w:rPr>
              <w:t>水质试验（</w:t>
            </w:r>
            <w:r>
              <w:rPr>
                <w:rFonts w:hint="eastAsia" w:ascii="宋体" w:hAnsi="宋体"/>
                <w:color w:val="auto"/>
                <w:sz w:val="21"/>
                <w:szCs w:val="21"/>
                <w:highlight w:val="none"/>
              </w:rPr>
              <w:t>浑浊度</w:t>
            </w:r>
            <w:r>
              <w:rPr>
                <w:rFonts w:ascii="宋体" w:hAnsi="宋体"/>
                <w:color w:val="auto"/>
                <w:sz w:val="21"/>
                <w:szCs w:val="21"/>
                <w:highlight w:val="none"/>
              </w:rPr>
              <w:t>）</w:t>
            </w:r>
            <w:r>
              <w:rPr>
                <w:rFonts w:hint="eastAsia" w:ascii="宋体" w:hAnsi="宋体"/>
                <w:color w:val="auto"/>
                <w:sz w:val="21"/>
                <w:szCs w:val="21"/>
                <w:highlight w:val="none"/>
                <w:lang w:val="en-US" w:eastAsia="zh-CN"/>
              </w:rPr>
              <w:t>/</w:t>
            </w:r>
            <w:r>
              <w:rPr>
                <w:rFonts w:ascii="宋体" w:hAnsi="宋体"/>
                <w:color w:val="auto"/>
                <w:sz w:val="21"/>
                <w:szCs w:val="21"/>
                <w:highlight w:val="none"/>
              </w:rPr>
              <w:t>水质</w:t>
            </w:r>
            <w:r>
              <w:rPr>
                <w:rFonts w:hint="eastAsia" w:ascii="宋体" w:hAnsi="宋体"/>
                <w:color w:val="auto"/>
                <w:sz w:val="21"/>
                <w:szCs w:val="21"/>
                <w:highlight w:val="none"/>
              </w:rPr>
              <w:t>分析</w:t>
            </w:r>
            <w:r>
              <w:rPr>
                <w:rFonts w:ascii="宋体" w:hAnsi="宋体"/>
                <w:color w:val="auto"/>
                <w:sz w:val="21"/>
                <w:szCs w:val="21"/>
                <w:highlight w:val="none"/>
              </w:rPr>
              <w:t>（</w:t>
            </w:r>
            <w:r>
              <w:rPr>
                <w:rFonts w:hint="eastAsia" w:ascii="宋体" w:hAnsi="宋体"/>
                <w:color w:val="auto"/>
                <w:sz w:val="21"/>
                <w:szCs w:val="21"/>
                <w:highlight w:val="none"/>
              </w:rPr>
              <w:t>浑浊度</w:t>
            </w:r>
            <w:r>
              <w:rPr>
                <w:rFonts w:ascii="宋体" w:hAnsi="宋体"/>
                <w:color w:val="auto"/>
                <w:sz w:val="21"/>
                <w:szCs w:val="21"/>
                <w:highlight w:val="none"/>
              </w:rPr>
              <w:t>）</w:t>
            </w:r>
          </w:p>
        </w:tc>
        <w:tc>
          <w:tcPr>
            <w:tcW w:w="1690" w:type="dxa"/>
            <w:tcBorders>
              <w:top w:val="single" w:color="auto" w:sz="6" w:space="0"/>
              <w:left w:val="single" w:color="auto" w:sz="6" w:space="0"/>
              <w:bottom w:val="single" w:color="auto" w:sz="6" w:space="0"/>
              <w:right w:val="single" w:color="auto" w:sz="6" w:space="0"/>
            </w:tcBorders>
            <w:vAlign w:val="center"/>
          </w:tcPr>
          <w:p w14:paraId="6C8139F9">
            <w:pPr>
              <w:snapToGrid w:val="0"/>
              <w:spacing w:line="240" w:lineRule="auto"/>
              <w:jc w:val="left"/>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7F222A22">
            <w:pPr>
              <w:snapToGrid w:val="0"/>
              <w:spacing w:line="240" w:lineRule="auto"/>
              <w:jc w:val="left"/>
              <w:rPr>
                <w:rFonts w:ascii="宋体" w:hAnsi="宋体"/>
                <w:color w:val="auto"/>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6025F851">
            <w:pPr>
              <w:snapToGrid w:val="0"/>
              <w:spacing w:line="240" w:lineRule="auto"/>
              <w:jc w:val="left"/>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01F62835">
            <w:pPr>
              <w:snapToGrid w:val="0"/>
              <w:spacing w:line="240" w:lineRule="auto"/>
              <w:jc w:val="left"/>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5694AD8D">
            <w:pPr>
              <w:snapToGrid w:val="0"/>
              <w:spacing w:line="240" w:lineRule="auto"/>
              <w:jc w:val="left"/>
              <w:rPr>
                <w:rFonts w:ascii="宋体" w:hAnsi="宋体"/>
                <w:color w:val="auto"/>
                <w:spacing w:val="-6"/>
                <w:sz w:val="21"/>
                <w:szCs w:val="21"/>
                <w:highlight w:val="none"/>
              </w:rPr>
            </w:pPr>
          </w:p>
        </w:tc>
      </w:tr>
      <w:tr w14:paraId="39613CD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41878375">
            <w:pPr>
              <w:widowControl/>
              <w:snapToGrid w:val="0"/>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68</w:t>
            </w:r>
          </w:p>
        </w:tc>
        <w:tc>
          <w:tcPr>
            <w:tcW w:w="2818" w:type="dxa"/>
            <w:tcBorders>
              <w:top w:val="single" w:color="auto" w:sz="6" w:space="0"/>
              <w:left w:val="single" w:color="auto" w:sz="6" w:space="0"/>
              <w:bottom w:val="single" w:color="auto" w:sz="6" w:space="0"/>
              <w:right w:val="single" w:color="auto" w:sz="6" w:space="0"/>
            </w:tcBorders>
            <w:vAlign w:val="center"/>
          </w:tcPr>
          <w:p w14:paraId="6F1B370B">
            <w:pPr>
              <w:snapToGrid w:val="0"/>
              <w:spacing w:line="240" w:lineRule="auto"/>
              <w:jc w:val="left"/>
              <w:rPr>
                <w:rFonts w:ascii="宋体" w:hAnsi="宋体"/>
                <w:color w:val="auto"/>
                <w:sz w:val="21"/>
                <w:szCs w:val="21"/>
                <w:highlight w:val="none"/>
              </w:rPr>
            </w:pPr>
            <w:r>
              <w:rPr>
                <w:rFonts w:ascii="宋体" w:hAnsi="宋体"/>
                <w:color w:val="auto"/>
                <w:sz w:val="21"/>
                <w:szCs w:val="21"/>
                <w:highlight w:val="none"/>
              </w:rPr>
              <w:t>水质试验（</w:t>
            </w:r>
            <w:r>
              <w:rPr>
                <w:rFonts w:hint="eastAsia" w:ascii="宋体" w:hAnsi="宋体"/>
                <w:color w:val="auto"/>
                <w:sz w:val="21"/>
                <w:szCs w:val="21"/>
                <w:highlight w:val="none"/>
              </w:rPr>
              <w:t>色度</w:t>
            </w:r>
            <w:r>
              <w:rPr>
                <w:rFonts w:ascii="宋体" w:hAnsi="宋体"/>
                <w:color w:val="auto"/>
                <w:sz w:val="21"/>
                <w:szCs w:val="21"/>
                <w:highlight w:val="none"/>
              </w:rPr>
              <w:t>）</w:t>
            </w:r>
            <w:r>
              <w:rPr>
                <w:rFonts w:hint="eastAsia" w:ascii="宋体" w:hAnsi="宋体"/>
                <w:color w:val="auto"/>
                <w:sz w:val="21"/>
                <w:szCs w:val="21"/>
                <w:highlight w:val="none"/>
                <w:lang w:val="en-US" w:eastAsia="zh-CN"/>
              </w:rPr>
              <w:t>/</w:t>
            </w:r>
            <w:r>
              <w:rPr>
                <w:rFonts w:ascii="宋体" w:hAnsi="宋体"/>
                <w:color w:val="auto"/>
                <w:sz w:val="21"/>
                <w:szCs w:val="21"/>
                <w:highlight w:val="none"/>
              </w:rPr>
              <w:t>水质</w:t>
            </w:r>
            <w:r>
              <w:rPr>
                <w:rFonts w:hint="eastAsia" w:ascii="宋体" w:hAnsi="宋体"/>
                <w:color w:val="auto"/>
                <w:sz w:val="21"/>
                <w:szCs w:val="21"/>
                <w:highlight w:val="none"/>
              </w:rPr>
              <w:t>分析</w:t>
            </w:r>
            <w:r>
              <w:rPr>
                <w:rFonts w:ascii="宋体" w:hAnsi="宋体"/>
                <w:color w:val="auto"/>
                <w:sz w:val="21"/>
                <w:szCs w:val="21"/>
                <w:highlight w:val="none"/>
              </w:rPr>
              <w:t>（</w:t>
            </w:r>
            <w:r>
              <w:rPr>
                <w:rFonts w:hint="eastAsia" w:ascii="宋体" w:hAnsi="宋体"/>
                <w:color w:val="auto"/>
                <w:sz w:val="21"/>
                <w:szCs w:val="21"/>
                <w:highlight w:val="none"/>
              </w:rPr>
              <w:t>色度</w:t>
            </w:r>
            <w:r>
              <w:rPr>
                <w:rFonts w:ascii="宋体" w:hAnsi="宋体"/>
                <w:color w:val="auto"/>
                <w:sz w:val="21"/>
                <w:szCs w:val="21"/>
                <w:highlight w:val="none"/>
              </w:rPr>
              <w:t>）</w:t>
            </w:r>
          </w:p>
        </w:tc>
        <w:tc>
          <w:tcPr>
            <w:tcW w:w="1690" w:type="dxa"/>
            <w:tcBorders>
              <w:top w:val="single" w:color="auto" w:sz="6" w:space="0"/>
              <w:left w:val="single" w:color="auto" w:sz="6" w:space="0"/>
              <w:bottom w:val="single" w:color="auto" w:sz="6" w:space="0"/>
              <w:right w:val="single" w:color="auto" w:sz="6" w:space="0"/>
            </w:tcBorders>
            <w:vAlign w:val="center"/>
          </w:tcPr>
          <w:p w14:paraId="5A2A09A5">
            <w:pPr>
              <w:snapToGrid w:val="0"/>
              <w:spacing w:line="240" w:lineRule="auto"/>
              <w:jc w:val="left"/>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6205D8D6">
            <w:pPr>
              <w:snapToGrid w:val="0"/>
              <w:spacing w:line="240" w:lineRule="auto"/>
              <w:jc w:val="left"/>
              <w:rPr>
                <w:rFonts w:ascii="宋体" w:hAnsi="宋体"/>
                <w:color w:val="auto"/>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30CC655C">
            <w:pPr>
              <w:snapToGrid w:val="0"/>
              <w:spacing w:line="240" w:lineRule="auto"/>
              <w:jc w:val="left"/>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1B1F6340">
            <w:pPr>
              <w:snapToGrid w:val="0"/>
              <w:spacing w:line="240" w:lineRule="auto"/>
              <w:jc w:val="left"/>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53335387">
            <w:pPr>
              <w:snapToGrid w:val="0"/>
              <w:spacing w:line="240" w:lineRule="auto"/>
              <w:jc w:val="left"/>
              <w:rPr>
                <w:rFonts w:ascii="宋体" w:hAnsi="宋体"/>
                <w:color w:val="auto"/>
                <w:spacing w:val="-6"/>
                <w:sz w:val="21"/>
                <w:szCs w:val="21"/>
                <w:highlight w:val="none"/>
              </w:rPr>
            </w:pPr>
          </w:p>
        </w:tc>
      </w:tr>
      <w:tr w14:paraId="2A5E917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59550FB7">
            <w:pPr>
              <w:widowControl/>
              <w:snapToGrid w:val="0"/>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69</w:t>
            </w:r>
          </w:p>
        </w:tc>
        <w:tc>
          <w:tcPr>
            <w:tcW w:w="2818" w:type="dxa"/>
            <w:tcBorders>
              <w:top w:val="single" w:color="auto" w:sz="6" w:space="0"/>
              <w:left w:val="single" w:color="auto" w:sz="6" w:space="0"/>
              <w:bottom w:val="single" w:color="auto" w:sz="6" w:space="0"/>
              <w:right w:val="single" w:color="auto" w:sz="6" w:space="0"/>
            </w:tcBorders>
            <w:vAlign w:val="center"/>
          </w:tcPr>
          <w:p w14:paraId="60AA227B">
            <w:pPr>
              <w:snapToGrid w:val="0"/>
              <w:spacing w:line="240" w:lineRule="auto"/>
              <w:jc w:val="left"/>
              <w:rPr>
                <w:rFonts w:ascii="宋体" w:hAnsi="宋体"/>
                <w:color w:val="auto"/>
                <w:sz w:val="21"/>
                <w:szCs w:val="21"/>
                <w:highlight w:val="none"/>
              </w:rPr>
            </w:pPr>
            <w:r>
              <w:rPr>
                <w:rFonts w:ascii="宋体" w:hAnsi="宋体"/>
                <w:color w:val="auto"/>
                <w:sz w:val="21"/>
                <w:szCs w:val="21"/>
                <w:highlight w:val="none"/>
              </w:rPr>
              <w:t>水质试验（</w:t>
            </w:r>
            <w:r>
              <w:rPr>
                <w:rFonts w:hint="eastAsia" w:ascii="宋体" w:hAnsi="宋体"/>
                <w:color w:val="auto"/>
                <w:sz w:val="21"/>
                <w:szCs w:val="21"/>
                <w:highlight w:val="none"/>
              </w:rPr>
              <w:t>臭和味</w:t>
            </w:r>
            <w:r>
              <w:rPr>
                <w:rFonts w:ascii="宋体" w:hAnsi="宋体"/>
                <w:color w:val="auto"/>
                <w:sz w:val="21"/>
                <w:szCs w:val="21"/>
                <w:highlight w:val="none"/>
              </w:rPr>
              <w:t>）</w:t>
            </w:r>
            <w:r>
              <w:rPr>
                <w:rFonts w:hint="eastAsia" w:ascii="宋体" w:hAnsi="宋体"/>
                <w:color w:val="auto"/>
                <w:sz w:val="21"/>
                <w:szCs w:val="21"/>
                <w:highlight w:val="none"/>
                <w:lang w:val="en-US" w:eastAsia="zh-CN"/>
              </w:rPr>
              <w:t>/</w:t>
            </w:r>
            <w:r>
              <w:rPr>
                <w:rFonts w:ascii="宋体" w:hAnsi="宋体"/>
                <w:color w:val="auto"/>
                <w:sz w:val="21"/>
                <w:szCs w:val="21"/>
                <w:highlight w:val="none"/>
              </w:rPr>
              <w:t>水质分析（</w:t>
            </w:r>
            <w:r>
              <w:rPr>
                <w:rFonts w:hint="eastAsia" w:ascii="宋体" w:hAnsi="宋体"/>
                <w:color w:val="auto"/>
                <w:sz w:val="21"/>
                <w:szCs w:val="21"/>
                <w:highlight w:val="none"/>
              </w:rPr>
              <w:t>臭和味</w:t>
            </w:r>
            <w:r>
              <w:rPr>
                <w:rFonts w:ascii="宋体" w:hAnsi="宋体"/>
                <w:color w:val="auto"/>
                <w:sz w:val="21"/>
                <w:szCs w:val="21"/>
                <w:highlight w:val="none"/>
              </w:rPr>
              <w:t>）</w:t>
            </w:r>
          </w:p>
        </w:tc>
        <w:tc>
          <w:tcPr>
            <w:tcW w:w="1690" w:type="dxa"/>
            <w:tcBorders>
              <w:top w:val="single" w:color="auto" w:sz="6" w:space="0"/>
              <w:left w:val="single" w:color="auto" w:sz="6" w:space="0"/>
              <w:bottom w:val="single" w:color="auto" w:sz="6" w:space="0"/>
              <w:right w:val="single" w:color="auto" w:sz="6" w:space="0"/>
            </w:tcBorders>
            <w:vAlign w:val="center"/>
          </w:tcPr>
          <w:p w14:paraId="6EA062F1">
            <w:pPr>
              <w:snapToGrid w:val="0"/>
              <w:spacing w:line="240" w:lineRule="auto"/>
              <w:jc w:val="left"/>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235DEBE0">
            <w:pPr>
              <w:snapToGrid w:val="0"/>
              <w:spacing w:line="240" w:lineRule="auto"/>
              <w:jc w:val="left"/>
              <w:rPr>
                <w:rFonts w:ascii="宋体" w:hAnsi="宋体"/>
                <w:color w:val="auto"/>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79243485">
            <w:pPr>
              <w:snapToGrid w:val="0"/>
              <w:spacing w:line="240" w:lineRule="auto"/>
              <w:jc w:val="left"/>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5DD427DF">
            <w:pPr>
              <w:snapToGrid w:val="0"/>
              <w:spacing w:line="240" w:lineRule="auto"/>
              <w:jc w:val="left"/>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73FF3D37">
            <w:pPr>
              <w:snapToGrid w:val="0"/>
              <w:spacing w:line="240" w:lineRule="auto"/>
              <w:jc w:val="left"/>
              <w:rPr>
                <w:rFonts w:ascii="宋体" w:hAnsi="宋体"/>
                <w:color w:val="auto"/>
                <w:spacing w:val="-6"/>
                <w:sz w:val="21"/>
                <w:szCs w:val="21"/>
                <w:highlight w:val="none"/>
              </w:rPr>
            </w:pPr>
          </w:p>
        </w:tc>
      </w:tr>
      <w:tr w14:paraId="3241957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632428CE">
            <w:pPr>
              <w:widowControl/>
              <w:snapToGrid w:val="0"/>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70</w:t>
            </w:r>
          </w:p>
        </w:tc>
        <w:tc>
          <w:tcPr>
            <w:tcW w:w="2818" w:type="dxa"/>
            <w:tcBorders>
              <w:top w:val="single" w:color="auto" w:sz="6" w:space="0"/>
              <w:left w:val="single" w:color="auto" w:sz="6" w:space="0"/>
              <w:bottom w:val="single" w:color="auto" w:sz="6" w:space="0"/>
              <w:right w:val="single" w:color="auto" w:sz="6" w:space="0"/>
            </w:tcBorders>
            <w:vAlign w:val="center"/>
          </w:tcPr>
          <w:p w14:paraId="38815CE5">
            <w:pPr>
              <w:snapToGrid w:val="0"/>
              <w:spacing w:line="240" w:lineRule="auto"/>
              <w:jc w:val="left"/>
              <w:rPr>
                <w:rFonts w:ascii="宋体" w:hAnsi="宋体"/>
                <w:color w:val="auto"/>
                <w:sz w:val="21"/>
                <w:szCs w:val="21"/>
                <w:highlight w:val="none"/>
              </w:rPr>
            </w:pPr>
            <w:r>
              <w:rPr>
                <w:rFonts w:ascii="宋体" w:hAnsi="宋体"/>
                <w:color w:val="auto"/>
                <w:sz w:val="21"/>
                <w:szCs w:val="21"/>
                <w:highlight w:val="none"/>
              </w:rPr>
              <w:t>水质试验（</w:t>
            </w:r>
            <w:r>
              <w:rPr>
                <w:rFonts w:hint="eastAsia" w:ascii="宋体" w:hAnsi="宋体"/>
                <w:color w:val="auto"/>
                <w:sz w:val="21"/>
                <w:szCs w:val="21"/>
                <w:highlight w:val="none"/>
              </w:rPr>
              <w:t>余氯</w:t>
            </w:r>
            <w:r>
              <w:rPr>
                <w:rFonts w:ascii="宋体" w:hAnsi="宋体"/>
                <w:color w:val="auto"/>
                <w:sz w:val="21"/>
                <w:szCs w:val="21"/>
                <w:highlight w:val="none"/>
              </w:rPr>
              <w:t>）</w:t>
            </w:r>
            <w:r>
              <w:rPr>
                <w:rFonts w:hint="eastAsia" w:ascii="宋体" w:hAnsi="宋体"/>
                <w:color w:val="auto"/>
                <w:sz w:val="21"/>
                <w:szCs w:val="21"/>
                <w:highlight w:val="none"/>
                <w:lang w:val="en-US" w:eastAsia="zh-CN"/>
              </w:rPr>
              <w:t>/</w:t>
            </w:r>
            <w:r>
              <w:rPr>
                <w:rFonts w:ascii="宋体" w:hAnsi="宋体"/>
                <w:color w:val="auto"/>
                <w:sz w:val="21"/>
                <w:szCs w:val="21"/>
                <w:highlight w:val="none"/>
              </w:rPr>
              <w:t>水质</w:t>
            </w:r>
            <w:r>
              <w:rPr>
                <w:rFonts w:hint="eastAsia" w:ascii="宋体" w:hAnsi="宋体"/>
                <w:color w:val="auto"/>
                <w:sz w:val="21"/>
                <w:szCs w:val="21"/>
                <w:highlight w:val="none"/>
              </w:rPr>
              <w:t>分析</w:t>
            </w:r>
            <w:r>
              <w:rPr>
                <w:rFonts w:ascii="宋体" w:hAnsi="宋体"/>
                <w:color w:val="auto"/>
                <w:sz w:val="21"/>
                <w:szCs w:val="21"/>
                <w:highlight w:val="none"/>
              </w:rPr>
              <w:t>（</w:t>
            </w:r>
            <w:r>
              <w:rPr>
                <w:rFonts w:hint="eastAsia" w:ascii="宋体" w:hAnsi="宋体"/>
                <w:color w:val="auto"/>
                <w:sz w:val="21"/>
                <w:szCs w:val="21"/>
                <w:highlight w:val="none"/>
              </w:rPr>
              <w:t>总余氯</w:t>
            </w:r>
            <w:r>
              <w:rPr>
                <w:rFonts w:ascii="宋体" w:hAnsi="宋体"/>
                <w:color w:val="auto"/>
                <w:sz w:val="21"/>
                <w:szCs w:val="21"/>
                <w:highlight w:val="none"/>
              </w:rPr>
              <w:t>）</w:t>
            </w:r>
          </w:p>
        </w:tc>
        <w:tc>
          <w:tcPr>
            <w:tcW w:w="1690" w:type="dxa"/>
            <w:tcBorders>
              <w:top w:val="single" w:color="auto" w:sz="6" w:space="0"/>
              <w:left w:val="single" w:color="auto" w:sz="6" w:space="0"/>
              <w:bottom w:val="single" w:color="auto" w:sz="6" w:space="0"/>
              <w:right w:val="single" w:color="auto" w:sz="6" w:space="0"/>
            </w:tcBorders>
            <w:vAlign w:val="center"/>
          </w:tcPr>
          <w:p w14:paraId="49D8165F">
            <w:pPr>
              <w:snapToGrid w:val="0"/>
              <w:spacing w:line="240" w:lineRule="auto"/>
              <w:jc w:val="left"/>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6272DB1B">
            <w:pPr>
              <w:pStyle w:val="49"/>
              <w:widowControl/>
              <w:snapToGrid w:val="0"/>
              <w:spacing w:line="240" w:lineRule="auto"/>
              <w:rPr>
                <w:rFonts w:ascii="宋体" w:hAnsi="宋体" w:eastAsia="宋体"/>
                <w:color w:val="auto"/>
                <w:kern w:val="2"/>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47A16753">
            <w:pPr>
              <w:snapToGrid w:val="0"/>
              <w:spacing w:line="240" w:lineRule="auto"/>
              <w:jc w:val="left"/>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37EFF3E8">
            <w:pPr>
              <w:snapToGrid w:val="0"/>
              <w:spacing w:line="240" w:lineRule="auto"/>
              <w:jc w:val="left"/>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30A72576">
            <w:pPr>
              <w:snapToGrid w:val="0"/>
              <w:spacing w:line="240" w:lineRule="auto"/>
              <w:jc w:val="left"/>
              <w:rPr>
                <w:rFonts w:ascii="宋体" w:hAnsi="宋体"/>
                <w:color w:val="auto"/>
                <w:spacing w:val="-6"/>
                <w:sz w:val="21"/>
                <w:szCs w:val="21"/>
                <w:highlight w:val="none"/>
              </w:rPr>
            </w:pPr>
          </w:p>
        </w:tc>
      </w:tr>
      <w:tr w14:paraId="455DC9F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26BF20C7">
            <w:pPr>
              <w:widowControl/>
              <w:snapToGrid w:val="0"/>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71</w:t>
            </w:r>
          </w:p>
        </w:tc>
        <w:tc>
          <w:tcPr>
            <w:tcW w:w="2818" w:type="dxa"/>
            <w:tcBorders>
              <w:top w:val="single" w:color="auto" w:sz="6" w:space="0"/>
              <w:left w:val="single" w:color="auto" w:sz="6" w:space="0"/>
              <w:bottom w:val="single" w:color="auto" w:sz="6" w:space="0"/>
              <w:right w:val="single" w:color="auto" w:sz="6" w:space="0"/>
            </w:tcBorders>
            <w:vAlign w:val="center"/>
          </w:tcPr>
          <w:p w14:paraId="6A6210D5">
            <w:pPr>
              <w:snapToGrid w:val="0"/>
              <w:spacing w:line="240" w:lineRule="auto"/>
              <w:jc w:val="left"/>
              <w:rPr>
                <w:rFonts w:ascii="宋体" w:hAnsi="宋体"/>
                <w:color w:val="auto"/>
                <w:sz w:val="21"/>
                <w:szCs w:val="21"/>
                <w:highlight w:val="none"/>
              </w:rPr>
            </w:pPr>
            <w:r>
              <w:rPr>
                <w:rFonts w:ascii="宋体" w:hAnsi="宋体"/>
                <w:color w:val="auto"/>
                <w:sz w:val="21"/>
                <w:szCs w:val="21"/>
                <w:highlight w:val="none"/>
              </w:rPr>
              <w:t>水质试验</w:t>
            </w:r>
            <w:r>
              <w:rPr>
                <w:rFonts w:hint="eastAsia" w:ascii="宋体" w:hAnsi="宋体"/>
                <w:color w:val="auto"/>
                <w:sz w:val="21"/>
                <w:szCs w:val="21"/>
                <w:highlight w:val="none"/>
              </w:rPr>
              <w:t>（</w:t>
            </w:r>
            <w:r>
              <w:rPr>
                <w:rFonts w:ascii="宋体" w:hAnsi="宋体"/>
                <w:color w:val="auto"/>
                <w:sz w:val="21"/>
                <w:szCs w:val="21"/>
                <w:highlight w:val="none"/>
              </w:rPr>
              <w:t>总大肠菌群</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w:t>
            </w:r>
            <w:r>
              <w:rPr>
                <w:rFonts w:ascii="宋体" w:hAnsi="宋体"/>
                <w:color w:val="auto"/>
                <w:sz w:val="21"/>
                <w:szCs w:val="21"/>
                <w:highlight w:val="none"/>
              </w:rPr>
              <w:t>水质</w:t>
            </w:r>
            <w:r>
              <w:rPr>
                <w:rFonts w:hint="eastAsia" w:ascii="宋体" w:hAnsi="宋体"/>
                <w:color w:val="auto"/>
                <w:sz w:val="21"/>
                <w:szCs w:val="21"/>
                <w:highlight w:val="none"/>
              </w:rPr>
              <w:t>分析（</w:t>
            </w:r>
            <w:r>
              <w:rPr>
                <w:rFonts w:ascii="宋体" w:hAnsi="宋体"/>
                <w:color w:val="auto"/>
                <w:sz w:val="21"/>
                <w:szCs w:val="21"/>
                <w:highlight w:val="none"/>
              </w:rPr>
              <w:t>总大肠菌群</w:t>
            </w:r>
            <w:r>
              <w:rPr>
                <w:rFonts w:hint="eastAsia" w:ascii="宋体" w:hAnsi="宋体"/>
                <w:color w:val="auto"/>
                <w:sz w:val="21"/>
                <w:szCs w:val="21"/>
                <w:highlight w:val="none"/>
              </w:rPr>
              <w:t>）</w:t>
            </w:r>
          </w:p>
        </w:tc>
        <w:tc>
          <w:tcPr>
            <w:tcW w:w="1690" w:type="dxa"/>
            <w:tcBorders>
              <w:top w:val="single" w:color="auto" w:sz="6" w:space="0"/>
              <w:left w:val="single" w:color="auto" w:sz="6" w:space="0"/>
              <w:bottom w:val="single" w:color="auto" w:sz="6" w:space="0"/>
              <w:right w:val="single" w:color="auto" w:sz="6" w:space="0"/>
            </w:tcBorders>
            <w:vAlign w:val="center"/>
          </w:tcPr>
          <w:p w14:paraId="2F42F4D9">
            <w:pPr>
              <w:snapToGrid w:val="0"/>
              <w:spacing w:line="240" w:lineRule="auto"/>
              <w:jc w:val="left"/>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2A6DC7DB">
            <w:pPr>
              <w:pStyle w:val="49"/>
              <w:widowControl/>
              <w:snapToGrid w:val="0"/>
              <w:spacing w:line="240" w:lineRule="auto"/>
              <w:rPr>
                <w:rFonts w:ascii="宋体" w:hAnsi="宋体" w:eastAsia="宋体"/>
                <w:color w:val="auto"/>
                <w:kern w:val="2"/>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0B406C1B">
            <w:pPr>
              <w:snapToGrid w:val="0"/>
              <w:spacing w:line="240" w:lineRule="auto"/>
              <w:jc w:val="left"/>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60EE85AD">
            <w:pPr>
              <w:snapToGrid w:val="0"/>
              <w:spacing w:line="240" w:lineRule="auto"/>
              <w:jc w:val="left"/>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24C4C74A">
            <w:pPr>
              <w:snapToGrid w:val="0"/>
              <w:spacing w:line="240" w:lineRule="auto"/>
              <w:jc w:val="left"/>
              <w:rPr>
                <w:rFonts w:ascii="宋体" w:hAnsi="宋体"/>
                <w:color w:val="auto"/>
                <w:spacing w:val="-6"/>
                <w:sz w:val="21"/>
                <w:szCs w:val="21"/>
                <w:highlight w:val="none"/>
              </w:rPr>
            </w:pPr>
          </w:p>
        </w:tc>
      </w:tr>
      <w:tr w14:paraId="18FF50B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362424E7">
            <w:pPr>
              <w:widowControl/>
              <w:snapToGrid w:val="0"/>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72</w:t>
            </w:r>
          </w:p>
        </w:tc>
        <w:tc>
          <w:tcPr>
            <w:tcW w:w="2818" w:type="dxa"/>
            <w:tcBorders>
              <w:top w:val="single" w:color="auto" w:sz="6" w:space="0"/>
              <w:left w:val="single" w:color="auto" w:sz="6" w:space="0"/>
              <w:bottom w:val="single" w:color="auto" w:sz="6" w:space="0"/>
              <w:right w:val="single" w:color="auto" w:sz="6" w:space="0"/>
            </w:tcBorders>
            <w:vAlign w:val="center"/>
          </w:tcPr>
          <w:p w14:paraId="205C6C65">
            <w:pPr>
              <w:snapToGrid w:val="0"/>
              <w:spacing w:line="240" w:lineRule="auto"/>
              <w:jc w:val="left"/>
              <w:rPr>
                <w:rFonts w:ascii="宋体" w:hAnsi="宋体"/>
                <w:color w:val="auto"/>
                <w:sz w:val="21"/>
                <w:szCs w:val="21"/>
                <w:highlight w:val="none"/>
              </w:rPr>
            </w:pPr>
            <w:r>
              <w:rPr>
                <w:rFonts w:ascii="宋体" w:hAnsi="宋体"/>
                <w:color w:val="auto"/>
                <w:sz w:val="21"/>
                <w:szCs w:val="21"/>
                <w:highlight w:val="none"/>
              </w:rPr>
              <w:t>水质试验</w:t>
            </w:r>
            <w:r>
              <w:rPr>
                <w:rFonts w:hint="eastAsia" w:ascii="宋体" w:hAnsi="宋体"/>
                <w:color w:val="auto"/>
                <w:sz w:val="21"/>
                <w:szCs w:val="21"/>
                <w:highlight w:val="none"/>
              </w:rPr>
              <w:t>（细菌总数）</w:t>
            </w:r>
            <w:r>
              <w:rPr>
                <w:rFonts w:hint="eastAsia" w:ascii="宋体" w:hAnsi="宋体"/>
                <w:color w:val="auto"/>
                <w:sz w:val="21"/>
                <w:szCs w:val="21"/>
                <w:highlight w:val="none"/>
                <w:lang w:val="en-US" w:eastAsia="zh-CN"/>
              </w:rPr>
              <w:t>/</w:t>
            </w:r>
            <w:r>
              <w:rPr>
                <w:rFonts w:ascii="宋体" w:hAnsi="宋体"/>
                <w:color w:val="auto"/>
                <w:sz w:val="21"/>
                <w:szCs w:val="21"/>
                <w:highlight w:val="none"/>
              </w:rPr>
              <w:t>水质</w:t>
            </w:r>
            <w:r>
              <w:rPr>
                <w:rFonts w:hint="eastAsia" w:ascii="宋体" w:hAnsi="宋体"/>
                <w:color w:val="auto"/>
                <w:sz w:val="21"/>
                <w:szCs w:val="21"/>
                <w:highlight w:val="none"/>
              </w:rPr>
              <w:t>分析菌落总数</w:t>
            </w:r>
          </w:p>
        </w:tc>
        <w:tc>
          <w:tcPr>
            <w:tcW w:w="1690" w:type="dxa"/>
            <w:tcBorders>
              <w:top w:val="single" w:color="auto" w:sz="6" w:space="0"/>
              <w:left w:val="single" w:color="auto" w:sz="6" w:space="0"/>
              <w:bottom w:val="single" w:color="auto" w:sz="6" w:space="0"/>
              <w:right w:val="single" w:color="auto" w:sz="6" w:space="0"/>
            </w:tcBorders>
            <w:vAlign w:val="center"/>
          </w:tcPr>
          <w:p w14:paraId="5CAFD789">
            <w:pPr>
              <w:snapToGrid w:val="0"/>
              <w:spacing w:line="240" w:lineRule="auto"/>
              <w:jc w:val="left"/>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7FA21F97">
            <w:pPr>
              <w:pStyle w:val="49"/>
              <w:widowControl/>
              <w:snapToGrid w:val="0"/>
              <w:spacing w:line="240" w:lineRule="auto"/>
              <w:rPr>
                <w:rFonts w:ascii="宋体" w:hAnsi="宋体" w:eastAsia="宋体"/>
                <w:color w:val="auto"/>
                <w:kern w:val="2"/>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031FFF83">
            <w:pPr>
              <w:snapToGrid w:val="0"/>
              <w:spacing w:line="240" w:lineRule="auto"/>
              <w:jc w:val="left"/>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5276C2F4">
            <w:pPr>
              <w:snapToGrid w:val="0"/>
              <w:spacing w:line="240" w:lineRule="auto"/>
              <w:jc w:val="left"/>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20CD336D">
            <w:pPr>
              <w:snapToGrid w:val="0"/>
              <w:spacing w:line="240" w:lineRule="auto"/>
              <w:jc w:val="left"/>
              <w:rPr>
                <w:rFonts w:ascii="宋体" w:hAnsi="宋体"/>
                <w:color w:val="auto"/>
                <w:spacing w:val="-6"/>
                <w:sz w:val="21"/>
                <w:szCs w:val="21"/>
                <w:highlight w:val="none"/>
              </w:rPr>
            </w:pPr>
          </w:p>
        </w:tc>
      </w:tr>
      <w:tr w14:paraId="44AF587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26D064C5">
            <w:pPr>
              <w:widowControl/>
              <w:snapToGrid w:val="0"/>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73</w:t>
            </w:r>
          </w:p>
        </w:tc>
        <w:tc>
          <w:tcPr>
            <w:tcW w:w="2818" w:type="dxa"/>
            <w:tcBorders>
              <w:top w:val="single" w:color="auto" w:sz="6" w:space="0"/>
              <w:left w:val="single" w:color="auto" w:sz="6" w:space="0"/>
              <w:bottom w:val="single" w:color="auto" w:sz="6" w:space="0"/>
              <w:right w:val="single" w:color="auto" w:sz="6" w:space="0"/>
            </w:tcBorders>
            <w:vAlign w:val="center"/>
          </w:tcPr>
          <w:p w14:paraId="644B4AA8">
            <w:pPr>
              <w:snapToGrid w:val="0"/>
              <w:spacing w:line="240" w:lineRule="auto"/>
              <w:jc w:val="left"/>
              <w:rPr>
                <w:rFonts w:ascii="宋体" w:hAnsi="宋体"/>
                <w:color w:val="auto"/>
                <w:sz w:val="21"/>
                <w:szCs w:val="21"/>
                <w:highlight w:val="none"/>
              </w:rPr>
            </w:pPr>
            <w:r>
              <w:rPr>
                <w:rFonts w:ascii="宋体" w:hAnsi="宋体"/>
                <w:color w:val="auto"/>
                <w:sz w:val="21"/>
                <w:szCs w:val="21"/>
                <w:highlight w:val="none"/>
              </w:rPr>
              <w:t>水质试验</w:t>
            </w:r>
            <w:r>
              <w:rPr>
                <w:rFonts w:hint="eastAsia" w:ascii="宋体" w:hAnsi="宋体"/>
                <w:color w:val="auto"/>
                <w:sz w:val="21"/>
                <w:szCs w:val="21"/>
                <w:highlight w:val="none"/>
              </w:rPr>
              <w:t>（CODmn）</w:t>
            </w:r>
            <w:r>
              <w:rPr>
                <w:rFonts w:hint="eastAsia" w:ascii="宋体" w:hAnsi="宋体"/>
                <w:color w:val="auto"/>
                <w:sz w:val="21"/>
                <w:szCs w:val="21"/>
                <w:highlight w:val="none"/>
                <w:lang w:val="en-US" w:eastAsia="zh-CN"/>
              </w:rPr>
              <w:t>/</w:t>
            </w:r>
            <w:r>
              <w:rPr>
                <w:rFonts w:ascii="宋体" w:hAnsi="宋体"/>
                <w:color w:val="auto"/>
                <w:sz w:val="21"/>
                <w:szCs w:val="21"/>
                <w:highlight w:val="none"/>
              </w:rPr>
              <w:t>水质</w:t>
            </w:r>
            <w:r>
              <w:rPr>
                <w:rFonts w:hint="eastAsia" w:ascii="宋体" w:hAnsi="宋体"/>
                <w:color w:val="auto"/>
                <w:sz w:val="21"/>
                <w:szCs w:val="21"/>
                <w:highlight w:val="none"/>
              </w:rPr>
              <w:t>分析（耗氧量）</w:t>
            </w:r>
          </w:p>
        </w:tc>
        <w:tc>
          <w:tcPr>
            <w:tcW w:w="1690" w:type="dxa"/>
            <w:tcBorders>
              <w:top w:val="single" w:color="auto" w:sz="6" w:space="0"/>
              <w:left w:val="single" w:color="auto" w:sz="6" w:space="0"/>
              <w:bottom w:val="single" w:color="auto" w:sz="6" w:space="0"/>
              <w:right w:val="single" w:color="auto" w:sz="6" w:space="0"/>
            </w:tcBorders>
            <w:vAlign w:val="center"/>
          </w:tcPr>
          <w:p w14:paraId="27D28722">
            <w:pPr>
              <w:snapToGrid w:val="0"/>
              <w:spacing w:line="240" w:lineRule="auto"/>
              <w:jc w:val="left"/>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39A65198">
            <w:pPr>
              <w:pStyle w:val="49"/>
              <w:widowControl/>
              <w:snapToGrid w:val="0"/>
              <w:spacing w:line="240" w:lineRule="auto"/>
              <w:rPr>
                <w:rFonts w:ascii="宋体" w:hAnsi="宋体" w:eastAsia="宋体"/>
                <w:color w:val="auto"/>
                <w:kern w:val="2"/>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1D9DB42E">
            <w:pPr>
              <w:snapToGrid w:val="0"/>
              <w:spacing w:line="240" w:lineRule="auto"/>
              <w:jc w:val="left"/>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677EBB19">
            <w:pPr>
              <w:snapToGrid w:val="0"/>
              <w:spacing w:line="240" w:lineRule="auto"/>
              <w:jc w:val="left"/>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0A6B1BAC">
            <w:pPr>
              <w:snapToGrid w:val="0"/>
              <w:spacing w:line="240" w:lineRule="auto"/>
              <w:jc w:val="left"/>
              <w:rPr>
                <w:rFonts w:ascii="宋体" w:hAnsi="宋体"/>
                <w:color w:val="auto"/>
                <w:spacing w:val="-6"/>
                <w:sz w:val="21"/>
                <w:szCs w:val="21"/>
                <w:highlight w:val="none"/>
              </w:rPr>
            </w:pPr>
          </w:p>
        </w:tc>
      </w:tr>
      <w:tr w14:paraId="1E528D2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14:paraId="637761EE">
            <w:pPr>
              <w:pStyle w:val="16"/>
              <w:snapToGrid w:val="0"/>
              <w:jc w:val="center"/>
              <w:rPr>
                <w:color w:val="auto"/>
                <w:sz w:val="21"/>
                <w:szCs w:val="21"/>
                <w:highlight w:val="none"/>
              </w:rPr>
            </w:pPr>
            <w:r>
              <w:rPr>
                <w:rFonts w:hint="eastAsia"/>
                <w:color w:val="auto"/>
                <w:sz w:val="21"/>
                <w:szCs w:val="21"/>
                <w:highlight w:val="none"/>
              </w:rPr>
              <w:t>74</w:t>
            </w:r>
          </w:p>
        </w:tc>
        <w:tc>
          <w:tcPr>
            <w:tcW w:w="2818" w:type="dxa"/>
            <w:tcBorders>
              <w:top w:val="single" w:color="auto" w:sz="6" w:space="0"/>
              <w:left w:val="single" w:color="auto" w:sz="6" w:space="0"/>
              <w:bottom w:val="single" w:color="auto" w:sz="6" w:space="0"/>
              <w:right w:val="single" w:color="auto" w:sz="6" w:space="0"/>
            </w:tcBorders>
            <w:vAlign w:val="center"/>
          </w:tcPr>
          <w:p w14:paraId="62A80363">
            <w:pPr>
              <w:snapToGrid w:val="0"/>
              <w:spacing w:line="240" w:lineRule="auto"/>
              <w:jc w:val="left"/>
              <w:rPr>
                <w:rFonts w:ascii="宋体" w:hAnsi="宋体" w:cs="Calibri"/>
                <w:color w:val="auto"/>
                <w:sz w:val="21"/>
                <w:szCs w:val="21"/>
                <w:highlight w:val="none"/>
              </w:rPr>
            </w:pPr>
            <w:r>
              <w:rPr>
                <w:rFonts w:ascii="宋体" w:hAnsi="宋体"/>
                <w:color w:val="auto"/>
                <w:sz w:val="21"/>
                <w:szCs w:val="21"/>
                <w:highlight w:val="none"/>
              </w:rPr>
              <w:t>水质试验</w:t>
            </w:r>
            <w:r>
              <w:rPr>
                <w:rFonts w:hint="eastAsia" w:ascii="宋体" w:hAnsi="宋体"/>
                <w:color w:val="auto"/>
                <w:sz w:val="21"/>
                <w:szCs w:val="21"/>
                <w:highlight w:val="none"/>
              </w:rPr>
              <w:t>（PH）</w:t>
            </w:r>
            <w:r>
              <w:rPr>
                <w:rFonts w:hint="eastAsia" w:ascii="宋体" w:hAnsi="宋体"/>
                <w:color w:val="auto"/>
                <w:sz w:val="21"/>
                <w:szCs w:val="21"/>
                <w:highlight w:val="none"/>
                <w:lang w:val="en-US" w:eastAsia="zh-CN"/>
              </w:rPr>
              <w:t>/</w:t>
            </w:r>
            <w:r>
              <w:rPr>
                <w:rFonts w:ascii="宋体" w:hAnsi="宋体"/>
                <w:color w:val="auto"/>
                <w:sz w:val="21"/>
                <w:szCs w:val="21"/>
                <w:highlight w:val="none"/>
              </w:rPr>
              <w:t>水质</w:t>
            </w:r>
            <w:r>
              <w:rPr>
                <w:rFonts w:hint="eastAsia" w:ascii="宋体" w:hAnsi="宋体"/>
                <w:color w:val="auto"/>
                <w:sz w:val="21"/>
                <w:szCs w:val="21"/>
                <w:highlight w:val="none"/>
              </w:rPr>
              <w:t>分析（PH）</w:t>
            </w:r>
          </w:p>
        </w:tc>
        <w:tc>
          <w:tcPr>
            <w:tcW w:w="1690" w:type="dxa"/>
            <w:tcBorders>
              <w:top w:val="single" w:color="auto" w:sz="6" w:space="0"/>
              <w:left w:val="single" w:color="auto" w:sz="6" w:space="0"/>
              <w:bottom w:val="single" w:color="auto" w:sz="6" w:space="0"/>
              <w:right w:val="single" w:color="auto" w:sz="6" w:space="0"/>
            </w:tcBorders>
            <w:vAlign w:val="center"/>
          </w:tcPr>
          <w:p w14:paraId="0E464686">
            <w:pPr>
              <w:snapToGrid w:val="0"/>
              <w:spacing w:line="240" w:lineRule="auto"/>
              <w:jc w:val="left"/>
              <w:rPr>
                <w:rFonts w:ascii="宋体" w:hAnsi="宋体"/>
                <w:color w:val="auto"/>
                <w:spacing w:val="-6"/>
                <w:sz w:val="21"/>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14:paraId="7B6EA2E7">
            <w:pPr>
              <w:pStyle w:val="49"/>
              <w:widowControl/>
              <w:snapToGrid w:val="0"/>
              <w:spacing w:line="240" w:lineRule="auto"/>
              <w:rPr>
                <w:rFonts w:ascii="宋体" w:hAnsi="宋体" w:eastAsia="宋体"/>
                <w:color w:val="auto"/>
                <w:kern w:val="2"/>
                <w:sz w:val="21"/>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14:paraId="71DEBA0B">
            <w:pPr>
              <w:snapToGrid w:val="0"/>
              <w:spacing w:line="240" w:lineRule="auto"/>
              <w:jc w:val="left"/>
              <w:rPr>
                <w:rFonts w:ascii="宋体" w:hAnsi="宋体"/>
                <w:color w:val="auto"/>
                <w:spacing w:val="-6"/>
                <w:sz w:val="21"/>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14:paraId="430D417F">
            <w:pPr>
              <w:snapToGrid w:val="0"/>
              <w:spacing w:line="240" w:lineRule="auto"/>
              <w:jc w:val="left"/>
              <w:rPr>
                <w:rFonts w:ascii="宋体" w:hAnsi="宋体"/>
                <w:color w:val="auto"/>
                <w:spacing w:val="-6"/>
                <w:sz w:val="21"/>
                <w:szCs w:val="21"/>
                <w:highlight w:val="none"/>
              </w:rPr>
            </w:pPr>
          </w:p>
        </w:tc>
        <w:tc>
          <w:tcPr>
            <w:tcW w:w="1314" w:type="dxa"/>
            <w:tcBorders>
              <w:top w:val="single" w:color="auto" w:sz="6" w:space="0"/>
              <w:left w:val="single" w:color="auto" w:sz="6" w:space="0"/>
              <w:bottom w:val="single" w:color="auto" w:sz="6" w:space="0"/>
              <w:right w:val="single" w:color="auto" w:sz="2" w:space="0"/>
            </w:tcBorders>
            <w:vAlign w:val="center"/>
          </w:tcPr>
          <w:p w14:paraId="7307FE74">
            <w:pPr>
              <w:snapToGrid w:val="0"/>
              <w:spacing w:line="240" w:lineRule="auto"/>
              <w:jc w:val="left"/>
              <w:rPr>
                <w:rFonts w:ascii="宋体" w:hAnsi="宋体"/>
                <w:color w:val="auto"/>
                <w:spacing w:val="-6"/>
                <w:sz w:val="21"/>
                <w:szCs w:val="21"/>
                <w:highlight w:val="none"/>
              </w:rPr>
            </w:pPr>
          </w:p>
        </w:tc>
      </w:tr>
    </w:tbl>
    <w:p w14:paraId="7F67A966">
      <w:pPr>
        <w:pStyle w:val="2"/>
        <w:ind w:left="0" w:leftChars="0" w:firstLine="0" w:firstLineChars="0"/>
        <w:rPr>
          <w:rFonts w:hint="eastAsia" w:ascii="宋体" w:hAnsi="宋体" w:cs="宋体"/>
          <w:b/>
          <w:color w:val="auto"/>
          <w:sz w:val="24"/>
          <w:szCs w:val="24"/>
          <w:highlight w:val="none"/>
          <w:lang w:val="en-US" w:eastAsia="zh-CN" w:bidi="ar-SA"/>
        </w:rPr>
      </w:pPr>
    </w:p>
    <w:p w14:paraId="3EC39F18">
      <w:pPr>
        <w:widowControl/>
        <w:numPr>
          <w:ilvl w:val="0"/>
          <w:numId w:val="0"/>
        </w:numPr>
        <w:shd w:val="clear"/>
        <w:autoSpaceDE/>
        <w:autoSpaceDN/>
        <w:adjustRightInd/>
        <w:spacing w:line="360" w:lineRule="auto"/>
        <w:jc w:val="both"/>
        <w:rPr>
          <w:rFonts w:hint="eastAsia" w:ascii="宋体" w:hAnsi="宋体" w:eastAsia="宋体" w:cs="宋体"/>
          <w:b/>
          <w:color w:val="auto"/>
          <w:sz w:val="24"/>
          <w:szCs w:val="24"/>
          <w:highlight w:val="none"/>
          <w:lang w:val="en-US" w:eastAsia="zh-CN" w:bidi="ar-SA"/>
        </w:rPr>
      </w:pPr>
    </w:p>
    <w:p w14:paraId="175250E4">
      <w:pPr>
        <w:pStyle w:val="2"/>
        <w:rPr>
          <w:rFonts w:hint="eastAsia" w:ascii="宋体" w:hAnsi="宋体" w:eastAsia="宋体" w:cs="宋体"/>
          <w:b/>
          <w:color w:val="auto"/>
          <w:sz w:val="24"/>
          <w:szCs w:val="24"/>
          <w:highlight w:val="none"/>
          <w:lang w:val="en-US" w:eastAsia="zh-CN" w:bidi="ar-SA"/>
        </w:rPr>
      </w:pPr>
    </w:p>
    <w:p w14:paraId="503BD1A7">
      <w:pPr>
        <w:pStyle w:val="2"/>
        <w:rPr>
          <w:rFonts w:hint="eastAsia" w:ascii="宋体" w:hAnsi="宋体" w:eastAsia="宋体" w:cs="宋体"/>
          <w:b/>
          <w:color w:val="auto"/>
          <w:sz w:val="24"/>
          <w:szCs w:val="24"/>
          <w:highlight w:val="none"/>
          <w:lang w:val="en-US" w:eastAsia="zh-CN" w:bidi="ar-SA"/>
        </w:rPr>
      </w:pPr>
    </w:p>
    <w:p w14:paraId="095A20AF">
      <w:pPr>
        <w:pStyle w:val="2"/>
        <w:rPr>
          <w:rFonts w:hint="eastAsia" w:ascii="宋体" w:hAnsi="宋体" w:eastAsia="宋体" w:cs="宋体"/>
          <w:b/>
          <w:color w:val="auto"/>
          <w:sz w:val="24"/>
          <w:szCs w:val="24"/>
          <w:highlight w:val="none"/>
          <w:lang w:val="en-US" w:eastAsia="zh-CN" w:bidi="ar-SA"/>
        </w:rPr>
      </w:pPr>
    </w:p>
    <w:p w14:paraId="031FAE07">
      <w:pPr>
        <w:pStyle w:val="2"/>
        <w:rPr>
          <w:rFonts w:hint="eastAsia" w:ascii="宋体" w:hAnsi="宋体" w:eastAsia="宋体" w:cs="宋体"/>
          <w:b/>
          <w:color w:val="auto"/>
          <w:sz w:val="24"/>
          <w:szCs w:val="24"/>
          <w:highlight w:val="none"/>
          <w:lang w:val="en-US" w:eastAsia="zh-CN" w:bidi="ar-SA"/>
        </w:rPr>
      </w:pPr>
    </w:p>
    <w:p w14:paraId="7C10C2DF">
      <w:pPr>
        <w:widowControl w:val="0"/>
        <w:numPr>
          <w:ilvl w:val="0"/>
          <w:numId w:val="0"/>
        </w:numPr>
        <w:autoSpaceDE w:val="0"/>
        <w:autoSpaceDN w:val="0"/>
        <w:adjustRightInd w:val="0"/>
        <w:rPr>
          <w:rFonts w:hint="eastAsia" w:ascii="宋体" w:hAnsi="宋体" w:eastAsia="宋体" w:cs="宋体"/>
          <w:color w:val="auto"/>
          <w:highlight w:val="none"/>
          <w:lang w:eastAsia="zh-CN"/>
        </w:rPr>
      </w:pPr>
      <w:r>
        <w:rPr>
          <w:rFonts w:hint="eastAsia" w:ascii="黑体" w:hAnsi="黑体" w:eastAsia="黑体" w:cs="黑体"/>
          <w:b/>
          <w:color w:val="auto"/>
          <w:sz w:val="24"/>
          <w:szCs w:val="24"/>
          <w:highlight w:val="none"/>
        </w:rPr>
        <w:t>（</w:t>
      </w:r>
      <w:r>
        <w:rPr>
          <w:rFonts w:hint="eastAsia" w:ascii="黑体" w:hAnsi="黑体" w:eastAsia="黑体" w:cs="黑体"/>
          <w:b/>
          <w:color w:val="auto"/>
          <w:sz w:val="24"/>
          <w:szCs w:val="24"/>
          <w:highlight w:val="none"/>
          <w:lang w:eastAsia="zh-CN"/>
        </w:rPr>
        <w:t>六</w:t>
      </w:r>
      <w:r>
        <w:rPr>
          <w:rFonts w:hint="eastAsia" w:ascii="黑体" w:hAnsi="黑体" w:eastAsia="黑体" w:cs="黑体"/>
          <w:b/>
          <w:color w:val="auto"/>
          <w:sz w:val="24"/>
          <w:szCs w:val="24"/>
          <w:highlight w:val="none"/>
        </w:rPr>
        <w:t>）</w:t>
      </w:r>
      <w:r>
        <w:rPr>
          <w:rFonts w:hint="eastAsia" w:eastAsia="黑体"/>
          <w:b/>
          <w:color w:val="auto"/>
          <w:sz w:val="24"/>
          <w:szCs w:val="24"/>
          <w:highlight w:val="none"/>
          <w:lang w:eastAsia="zh-CN"/>
        </w:rPr>
        <w:t>其他</w:t>
      </w:r>
      <w:r>
        <w:rPr>
          <w:rFonts w:hint="eastAsia"/>
          <w:b/>
          <w:color w:val="auto"/>
          <w:sz w:val="24"/>
          <w:szCs w:val="24"/>
          <w:highlight w:val="none"/>
        </w:rPr>
        <w:t>资料</w:t>
      </w:r>
    </w:p>
    <w:p w14:paraId="5CC32D11">
      <w:pPr>
        <w:pStyle w:val="2"/>
        <w:rPr>
          <w:rFonts w:hint="eastAsia" w:ascii="宋体" w:hAnsi="宋体" w:eastAsia="宋体" w:cs="宋体"/>
          <w:color w:val="auto"/>
          <w:highlight w:val="none"/>
        </w:rPr>
      </w:pPr>
    </w:p>
    <w:p w14:paraId="70D4B26F">
      <w:pPr>
        <w:pStyle w:val="2"/>
        <w:ind w:left="0" w:leftChars="0" w:firstLine="0" w:firstLineChars="0"/>
        <w:rPr>
          <w:rFonts w:hint="eastAsia" w:ascii="宋体" w:hAnsi="宋体" w:eastAsia="宋体" w:cs="宋体"/>
          <w:color w:val="auto"/>
          <w:highlight w:val="none"/>
        </w:rPr>
      </w:pPr>
    </w:p>
    <w:p w14:paraId="1D287A73">
      <w:pPr>
        <w:pStyle w:val="2"/>
        <w:rPr>
          <w:rFonts w:hint="eastAsia" w:ascii="宋体" w:hAnsi="宋体" w:eastAsia="宋体" w:cs="宋体"/>
          <w:color w:val="auto"/>
          <w:highlight w:val="none"/>
        </w:rPr>
      </w:pPr>
    </w:p>
    <w:p w14:paraId="69E196E5">
      <w:pPr>
        <w:pStyle w:val="2"/>
        <w:rPr>
          <w:rFonts w:hint="eastAsia" w:ascii="宋体" w:hAnsi="宋体" w:eastAsia="宋体" w:cs="宋体"/>
          <w:color w:val="auto"/>
          <w:highlight w:val="none"/>
        </w:rPr>
      </w:pPr>
    </w:p>
    <w:p w14:paraId="72AD4989">
      <w:pPr>
        <w:pStyle w:val="2"/>
        <w:ind w:left="0" w:leftChars="0" w:firstLine="0" w:firstLineChars="0"/>
        <w:rPr>
          <w:rFonts w:hint="eastAsia" w:ascii="宋体" w:hAnsi="宋体" w:eastAsia="宋体" w:cs="宋体"/>
          <w:color w:val="auto"/>
          <w:highlight w:val="none"/>
        </w:rPr>
        <w:sectPr>
          <w:headerReference r:id="rId24" w:type="default"/>
          <w:footerReference r:id="rId25" w:type="default"/>
          <w:pgSz w:w="11905" w:h="16838"/>
          <w:pgMar w:top="1417" w:right="1417" w:bottom="1417" w:left="1417" w:header="992" w:footer="992" w:gutter="0"/>
          <w:lnNumType w:countBy="0" w:distance="360"/>
          <w:pgNumType w:fmt="decimal"/>
          <w:cols w:space="0" w:num="1"/>
          <w:rtlGutter w:val="0"/>
          <w:docGrid w:linePitch="0" w:charSpace="0"/>
        </w:sectPr>
      </w:pPr>
    </w:p>
    <w:p w14:paraId="6A925116">
      <w:pPr>
        <w:pStyle w:val="6"/>
        <w:outlineLvl w:val="0"/>
        <w:rPr>
          <w:rFonts w:hint="eastAsia" w:ascii="宋体" w:hAnsi="宋体" w:eastAsia="宋体" w:cs="宋体"/>
          <w:color w:val="auto"/>
          <w:sz w:val="44"/>
          <w:szCs w:val="44"/>
          <w:highlight w:val="none"/>
        </w:rPr>
      </w:pPr>
      <w:bookmarkStart w:id="248" w:name="_Toc17258"/>
      <w:r>
        <w:rPr>
          <w:rFonts w:hint="eastAsia" w:ascii="宋体" w:hAnsi="宋体" w:eastAsia="宋体" w:cs="宋体"/>
          <w:color w:val="auto"/>
          <w:sz w:val="44"/>
          <w:szCs w:val="44"/>
          <w:highlight w:val="none"/>
          <w:lang w:val="en-US" w:eastAsia="zh-CN"/>
        </w:rPr>
        <w:t xml:space="preserve">第七章 </w:t>
      </w:r>
      <w:r>
        <w:rPr>
          <w:rFonts w:hint="eastAsia" w:ascii="宋体" w:hAnsi="宋体" w:eastAsia="宋体" w:cs="宋体"/>
          <w:color w:val="auto"/>
          <w:sz w:val="44"/>
          <w:szCs w:val="44"/>
          <w:highlight w:val="none"/>
        </w:rPr>
        <w:t>投标人须知前附表规定的其他资料。</w:t>
      </w:r>
      <w:bookmarkEnd w:id="248"/>
    </w:p>
    <w:p w14:paraId="37AE4C27">
      <w:pPr>
        <w:rPr>
          <w:rFonts w:hint="eastAsia" w:ascii="宋体" w:hAnsi="宋体" w:eastAsia="宋体" w:cs="宋体"/>
          <w:color w:val="auto"/>
          <w:sz w:val="24"/>
          <w:szCs w:val="24"/>
          <w:highlight w:val="none"/>
        </w:rPr>
      </w:pPr>
    </w:p>
    <w:p w14:paraId="1EE25262">
      <w:pPr>
        <w:pStyle w:val="7"/>
        <w:jc w:val="center"/>
        <w:outlineLvl w:val="0"/>
        <w:rPr>
          <w:rFonts w:hint="eastAsia" w:ascii="宋体" w:hAnsi="宋体" w:eastAsia="宋体" w:cs="宋体"/>
          <w:color w:val="auto"/>
          <w:sz w:val="30"/>
          <w:szCs w:val="24"/>
          <w:highlight w:val="none"/>
          <w:lang w:val="en-US" w:eastAsia="zh-CN"/>
        </w:rPr>
      </w:pPr>
      <w:bookmarkStart w:id="249" w:name="_Toc21589"/>
      <w:r>
        <w:rPr>
          <w:rFonts w:hint="eastAsia" w:ascii="宋体" w:hAnsi="宋体" w:eastAsia="宋体" w:cs="宋体"/>
          <w:color w:val="auto"/>
          <w:sz w:val="30"/>
          <w:szCs w:val="24"/>
          <w:highlight w:val="none"/>
          <w:lang w:val="en-US" w:eastAsia="zh-CN"/>
        </w:rPr>
        <w:t>否决性条款汇总</w:t>
      </w:r>
      <w:bookmarkEnd w:id="249"/>
    </w:p>
    <w:p w14:paraId="151146CC">
      <w:pPr>
        <w:widowControl w:val="0"/>
        <w:shd w:val="clear"/>
        <w:tabs>
          <w:tab w:val="left" w:pos="720"/>
        </w:tabs>
        <w:autoSpaceDE/>
        <w:autoSpaceDN/>
        <w:adjustRightInd/>
        <w:snapToGrid w:val="0"/>
        <w:spacing w:line="360" w:lineRule="auto"/>
        <w:ind w:left="0" w:leftChars="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招标人应当在招标文件中将投标文件的否决性条款单列，招标文件的其他条款与该单列的否决性条款不一致的，以单列的否决性条款为准。如招标文件补遗中增加否决性条款的，招标人应当重新单列完整的投标文件否决性条款，并发给所有投标人。</w:t>
      </w:r>
    </w:p>
    <w:p w14:paraId="632DCEDF">
      <w:pPr>
        <w:widowControl w:val="0"/>
        <w:shd w:val="clear"/>
        <w:tabs>
          <w:tab w:val="left" w:pos="720"/>
        </w:tabs>
        <w:autoSpaceDE/>
        <w:autoSpaceDN/>
        <w:adjustRightInd/>
        <w:snapToGrid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否决性条款是指招标文件中规定的不予受理投标或者作无效标、废标以及不合格标处理等否定投标文件效力的条款。</w:t>
      </w:r>
    </w:p>
    <w:p w14:paraId="08CD5EA5">
      <w:pPr>
        <w:widowControl w:val="0"/>
        <w:shd w:val="clear"/>
        <w:tabs>
          <w:tab w:val="left" w:pos="720"/>
        </w:tabs>
        <w:autoSpaceDE/>
        <w:autoSpaceDN/>
        <w:adjustRightInd/>
        <w:snapToGrid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1、拒绝受理投标文件的情形：</w:t>
      </w:r>
    </w:p>
    <w:p w14:paraId="6B923B50">
      <w:pPr>
        <w:widowControl w:val="0"/>
        <w:shd w:val="clear"/>
        <w:tabs>
          <w:tab w:val="left" w:pos="720"/>
        </w:tabs>
        <w:autoSpaceDE/>
        <w:autoSpaceDN/>
        <w:adjustRightInd/>
        <w:snapToGrid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（1）电子投标文件未在投标截止时间前完整上传并保存在广州交易集团有限公司（广州公共资源交易中心）电子评标系统且取得回执的； </w:t>
      </w:r>
    </w:p>
    <w:p w14:paraId="7C048330">
      <w:pPr>
        <w:widowControl w:val="0"/>
        <w:shd w:val="clear"/>
        <w:tabs>
          <w:tab w:val="left" w:pos="720"/>
        </w:tabs>
        <w:autoSpaceDE/>
        <w:autoSpaceDN/>
        <w:adjustRightInd/>
        <w:snapToGrid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（2）投标文件未按招标文件要求进行电子签章，并进行加密的；</w:t>
      </w:r>
    </w:p>
    <w:p w14:paraId="3B9C021A">
      <w:pPr>
        <w:widowControl w:val="0"/>
        <w:shd w:val="clear"/>
        <w:tabs>
          <w:tab w:val="left" w:pos="720"/>
        </w:tabs>
        <w:autoSpaceDE/>
        <w:autoSpaceDN/>
        <w:adjustRightInd/>
        <w:snapToGrid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（3）因投标人原因造成电子投标文件未解密或逾期解密的。</w:t>
      </w:r>
    </w:p>
    <w:p w14:paraId="62D24E57">
      <w:pPr>
        <w:widowControl w:val="0"/>
        <w:shd w:val="clear"/>
        <w:tabs>
          <w:tab w:val="left" w:pos="720"/>
        </w:tabs>
        <w:autoSpaceDE/>
        <w:autoSpaceDN/>
        <w:adjustRightInd/>
        <w:snapToGrid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2、作无效投标的情形</w:t>
      </w:r>
    </w:p>
    <w:p w14:paraId="788C40C8">
      <w:pPr>
        <w:widowControl w:val="0"/>
        <w:shd w:val="clear"/>
        <w:tabs>
          <w:tab w:val="left" w:pos="720"/>
        </w:tabs>
        <w:autoSpaceDE/>
        <w:autoSpaceDN/>
        <w:adjustRightInd/>
        <w:snapToGrid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（1）投标文件不符合招标文件评标办法中</w:t>
      </w:r>
      <w:r>
        <w:rPr>
          <w:rFonts w:hint="eastAsia" w:ascii="宋体" w:hAnsi="宋体" w:cs="宋体"/>
          <w:color w:val="auto"/>
          <w:highlight w:val="none"/>
          <w:lang w:eastAsia="zh-CN"/>
        </w:rPr>
        <w:t>初步评审</w:t>
      </w:r>
      <w:r>
        <w:rPr>
          <w:rFonts w:hint="eastAsia" w:ascii="宋体" w:hAnsi="宋体" w:eastAsia="宋体" w:cs="宋体"/>
          <w:color w:val="auto"/>
          <w:kern w:val="2"/>
          <w:sz w:val="24"/>
          <w:szCs w:val="24"/>
          <w:highlight w:val="none"/>
          <w:lang w:val="en-US" w:eastAsia="zh-CN" w:bidi="ar-SA"/>
        </w:rPr>
        <w:t>标准的要求；</w:t>
      </w:r>
    </w:p>
    <w:p w14:paraId="21EDE17A">
      <w:pPr>
        <w:widowControl w:val="0"/>
        <w:shd w:val="clear"/>
        <w:tabs>
          <w:tab w:val="left" w:pos="720"/>
        </w:tabs>
        <w:autoSpaceDE/>
        <w:autoSpaceDN/>
        <w:adjustRightInd/>
        <w:snapToGrid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（2）第二章“投标人须知”第1.4.3项规定的任何一种情形的；</w:t>
      </w:r>
    </w:p>
    <w:p w14:paraId="33EC0484">
      <w:pPr>
        <w:widowControl w:val="0"/>
        <w:shd w:val="clear"/>
        <w:tabs>
          <w:tab w:val="left" w:pos="720"/>
        </w:tabs>
        <w:autoSpaceDE/>
        <w:autoSpaceDN/>
        <w:adjustRightInd/>
        <w:snapToGrid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（3）不按评标委员会要求澄清、说明或补正的；</w:t>
      </w:r>
    </w:p>
    <w:p w14:paraId="32003CE5">
      <w:pPr>
        <w:widowControl w:val="0"/>
        <w:shd w:val="clear"/>
        <w:tabs>
          <w:tab w:val="left" w:pos="720"/>
        </w:tabs>
        <w:autoSpaceDE/>
        <w:autoSpaceDN/>
        <w:adjustRightInd/>
        <w:snapToGrid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（4）投标人的报价明显低于其他投标报价，投标人不能合理说明或者不能提供相应证明材料的；</w:t>
      </w:r>
    </w:p>
    <w:p w14:paraId="2478BC48">
      <w:pPr>
        <w:widowControl w:val="0"/>
        <w:shd w:val="clear"/>
        <w:tabs>
          <w:tab w:val="left" w:pos="720"/>
        </w:tabs>
        <w:autoSpaceDE/>
        <w:autoSpaceDN/>
        <w:adjustRightInd/>
        <w:snapToGrid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（5）不对评标委员会修正后的价格进行书面确认；</w:t>
      </w:r>
    </w:p>
    <w:p w14:paraId="29E5C7DD">
      <w:pPr>
        <w:widowControl w:val="0"/>
        <w:shd w:val="clear"/>
        <w:tabs>
          <w:tab w:val="left" w:pos="720"/>
        </w:tabs>
        <w:autoSpaceDE/>
        <w:autoSpaceDN/>
        <w:adjustRightInd/>
        <w:snapToGrid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（6）要求提交投标保证金的，未按招标文件要求提供投标保证金的。</w:t>
      </w:r>
    </w:p>
    <w:p w14:paraId="6B2E53B0">
      <w:pPr>
        <w:widowControl w:val="0"/>
        <w:shd w:val="clear"/>
        <w:tabs>
          <w:tab w:val="left" w:pos="720"/>
        </w:tabs>
        <w:autoSpaceDE/>
        <w:autoSpaceDN/>
        <w:adjustRightInd/>
        <w:snapToGrid w:val="0"/>
        <w:spacing w:after="0" w:line="360" w:lineRule="auto"/>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3、其他否定投标文件效力情形：</w:t>
      </w:r>
    </w:p>
    <w:p w14:paraId="7DF4967A">
      <w:pPr>
        <w:widowControl w:val="0"/>
        <w:tabs>
          <w:tab w:val="left" w:pos="720"/>
        </w:tabs>
        <w:autoSpaceDE/>
        <w:autoSpaceDN/>
        <w:adjustRightInd/>
        <w:snapToGrid w:val="0"/>
        <w:spacing w:line="360" w:lineRule="auto"/>
        <w:ind w:firstLine="480" w:firstLineChars="200"/>
        <w:jc w:val="both"/>
        <w:rPr>
          <w:rFonts w:hint="eastAsia" w:ascii="宋体" w:hAnsi="宋体" w:cs="宋体"/>
          <w:color w:val="auto"/>
          <w:kern w:val="2"/>
          <w:highlight w:val="none"/>
          <w:lang w:val="en-US" w:eastAsia="zh-CN" w:bidi="ar-SA"/>
        </w:rPr>
      </w:pPr>
      <w:r>
        <w:rPr>
          <w:rFonts w:hint="eastAsia" w:ascii="宋体" w:hAnsi="宋体" w:cs="宋体"/>
          <w:color w:val="auto"/>
          <w:kern w:val="2"/>
          <w:highlight w:val="none"/>
          <w:lang w:val="en-US" w:eastAsia="zh-CN" w:bidi="ar-SA"/>
        </w:rPr>
        <w:t>（1）两个（含两个）以上的投标人加密打包投标文件电脑机器码一致的；</w:t>
      </w:r>
    </w:p>
    <w:p w14:paraId="77130797">
      <w:pPr>
        <w:tabs>
          <w:tab w:val="left" w:pos="720"/>
        </w:tabs>
        <w:autoSpaceDE/>
        <w:autoSpaceDN/>
        <w:adjustRightInd/>
        <w:snapToGrid w:val="0"/>
        <w:spacing w:line="360" w:lineRule="auto"/>
        <w:ind w:left="0" w:leftChars="0" w:firstLine="480"/>
        <w:rPr>
          <w:rFonts w:hint="eastAsia" w:ascii="宋体" w:hAnsi="宋体" w:eastAsia="宋体" w:cs="宋体"/>
          <w:color w:val="auto"/>
          <w:kern w:val="2"/>
          <w:highlight w:val="none"/>
          <w:lang w:val="en-US" w:eastAsia="zh-CN" w:bidi="ar-SA"/>
        </w:rPr>
      </w:pPr>
      <w:r>
        <w:rPr>
          <w:rFonts w:hint="eastAsia" w:ascii="宋体" w:hAnsi="宋体" w:eastAsia="宋体" w:cs="宋体"/>
          <w:color w:val="auto"/>
          <w:kern w:val="2"/>
          <w:highlight w:val="none"/>
          <w:lang w:val="en-US" w:eastAsia="zh-CN" w:bidi="ar-SA"/>
        </w:rPr>
        <w:t>（2）串通投标或弄虚作假或有其他违法行为的。</w:t>
      </w:r>
    </w:p>
    <w:p w14:paraId="42DBCB5B">
      <w:pPr>
        <w:widowControl/>
        <w:autoSpaceDE/>
        <w:autoSpaceDN/>
        <w:adjustRightInd/>
        <w:spacing w:after="135" w:line="360" w:lineRule="auto"/>
        <w:ind w:firstLine="480" w:firstLineChars="200"/>
        <w:rPr>
          <w:rFonts w:hint="eastAsia" w:ascii="宋体" w:hAnsi="宋体" w:eastAsia="宋体" w:cs="宋体"/>
          <w:color w:val="auto"/>
          <w:kern w:val="21"/>
          <w:sz w:val="24"/>
          <w:szCs w:val="24"/>
          <w:highlight w:val="none"/>
        </w:rPr>
      </w:pPr>
    </w:p>
    <w:sectPr>
      <w:headerReference r:id="rId26" w:type="default"/>
      <w:footerReference r:id="rId27" w:type="default"/>
      <w:pgSz w:w="11905" w:h="16838"/>
      <w:pgMar w:top="1417" w:right="1417" w:bottom="1417" w:left="1417" w:header="992" w:footer="992" w:gutter="0"/>
      <w:lnNumType w:countBy="0" w:distance="36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0"/>
    <w:family w:val="auto"/>
    <w:pitch w:val="default"/>
    <w:sig w:usb0="00000000" w:usb1="00000000" w:usb2="00000000" w:usb3="00000000" w:csb0="80000000" w:csb1="0000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7588A">
    <w:pPr>
      <w:pStyle w:val="18"/>
      <w:rPr>
        <w:rFonts w:hint="default"/>
        <w:sz w:val="18"/>
        <w:szCs w:val="24"/>
      </w:rPr>
    </w:pPr>
    <w:r>
      <w:rPr>
        <w:rFonts w:hint="default"/>
        <w:sz w:val="18"/>
        <w:szCs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CD421B">
                          <w:pPr>
                            <w:pStyle w:val="18"/>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wps:txbx>
                    <wps:bodyPr vert="horz" wrap="none" lIns="0" tIns="0" rIns="0" bIns="0" anchor="t" anchorCtr="0" upright="1">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4ie7z98BAAC/AwAADgAAAAAA&#10;AAABACAAAAAeAQAAZHJzL2Uyb0RvYy54bWxQSwUGAAAAAAYABgBZAQAAbwUAAAAA&#10;">
              <v:fill on="f" focussize="0,0"/>
              <v:stroke on="f"/>
              <v:imagedata o:title=""/>
              <o:lock v:ext="edit" aspectratio="f"/>
              <v:textbox inset="0mm,0mm,0mm,0mm" style="mso-fit-shape-to-text:t;">
                <w:txbxContent>
                  <w:p w14:paraId="1ECD421B">
                    <w:pPr>
                      <w:pStyle w:val="18"/>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C3518">
    <w:pPr>
      <w:pStyle w:val="18"/>
      <w:spacing w:line="276" w:lineRule="auto"/>
      <w:jc w:val="center"/>
      <w:rPr>
        <w:sz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4C243">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4F4C243">
                    <w:pPr>
                      <w:pStyle w:val="18"/>
                    </w:pPr>
                    <w:r>
                      <w:fldChar w:fldCharType="begin"/>
                    </w:r>
                    <w:r>
                      <w:instrText xml:space="preserve"> PAGE  \* MERGEFORMAT </w:instrText>
                    </w:r>
                    <w:r>
                      <w:fldChar w:fldCharType="separate"/>
                    </w:r>
                    <w:r>
                      <w:t>1</w:t>
                    </w:r>
                    <w:r>
                      <w:fldChar w:fldCharType="end"/>
                    </w:r>
                  </w:p>
                </w:txbxContent>
              </v:textbox>
            </v:shape>
          </w:pict>
        </mc:Fallback>
      </mc:AlternateContent>
    </w:r>
  </w:p>
  <w:p w14:paraId="33359872">
    <w:pPr>
      <w:pStyle w:val="1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AF20E">
    <w:pPr>
      <w:pStyle w:val="14"/>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71780" cy="1397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271780" cy="139700"/>
                      </a:xfrm>
                      <a:prstGeom prst="rect">
                        <a:avLst/>
                      </a:prstGeom>
                      <a:noFill/>
                      <a:ln>
                        <a:noFill/>
                      </a:ln>
                    </wps:spPr>
                    <wps:txbx>
                      <w:txbxContent>
                        <w:p w14:paraId="09B1E7B9">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wps:txbx>
                    <wps:bodyPr vert="horz" wrap="square" lIns="0" tIns="0" rIns="0" bIns="0" anchor="t" anchorCtr="0" upright="1"/>
                  </wps:wsp>
                </a:graphicData>
              </a:graphic>
            </wp:anchor>
          </w:drawing>
        </mc:Choice>
        <mc:Fallback>
          <w:pict>
            <v:shape id="文本框 15" o:spid="_x0000_s1026" o:spt="202" type="#_x0000_t202" style="position:absolute;left:0pt;margin-top:0pt;height:11pt;width:21.4pt;mso-position-horizontal:center;mso-position-horizontal-relative:margin;z-index:251662336;mso-width-relative:page;mso-height-relative:page;" filled="f" stroked="f" coordsize="21600,21600" o:gfxdata="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IWn47TAAAAAwEAAA8AAAAAAAAAAQAg&#10;AAAAIgAAAGRycy9kb3ducmV2LnhtbFBLAQIUABQAAAAIAIdO4kB/MJvh2gEAAKUDAAAOAAAAAAAA&#10;AAEAIAAAACIBAABkcnMvZTJvRG9jLnhtbFBLBQYAAAAABgAGAFkBAABuBQAAAAA=&#10;">
              <v:fill on="f" focussize="0,0"/>
              <v:stroke on="f"/>
              <v:imagedata o:title=""/>
              <o:lock v:ext="edit" aspectratio="f"/>
              <v:textbox inset="0mm,0mm,0mm,0mm">
                <w:txbxContent>
                  <w:p w14:paraId="09B1E7B9">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7212F">
    <w:pPr>
      <w:pStyle w:val="14"/>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261620" cy="149225"/>
              <wp:effectExtent l="0" t="0" r="0" b="0"/>
              <wp:wrapNone/>
              <wp:docPr id="11" name="文本框 17"/>
              <wp:cNvGraphicFramePr/>
              <a:graphic xmlns:a="http://schemas.openxmlformats.org/drawingml/2006/main">
                <a:graphicData uri="http://schemas.microsoft.com/office/word/2010/wordprocessingShape">
                  <wps:wsp>
                    <wps:cNvSpPr txBox="1"/>
                    <wps:spPr>
                      <a:xfrm>
                        <a:off x="0" y="0"/>
                        <a:ext cx="261620" cy="149225"/>
                      </a:xfrm>
                      <a:prstGeom prst="rect">
                        <a:avLst/>
                      </a:prstGeom>
                      <a:noFill/>
                      <a:ln>
                        <a:noFill/>
                      </a:ln>
                    </wps:spPr>
                    <wps:txbx>
                      <w:txbxContent>
                        <w:p w14:paraId="7E8333FE">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75pt;width:20.6pt;mso-position-horizontal:center;mso-position-horizontal-relative:margin;z-index:251666432;mso-width-relative:page;mso-height-relative:page;" filled="f" stroked="f" coordsize="21600,21600" o:gfxdata="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FHNsjUAAAAAwEAAA8AAAAAAAAAAQAgAAAAIgAAAGRycy9kb3ducmV2Lnht&#10;bFBLAQIUABQAAAAIAIdO4kCUSCazxAEAAIEDAAAOAAAAAAAAAAEAIAAAACMBAABkcnMvZTJvRG9j&#10;LnhtbFBLBQYAAAAABgAGAFkBAABZBQAAAAA=&#10;">
              <v:fill on="f" focussize="0,0"/>
              <v:stroke on="f"/>
              <v:imagedata o:title=""/>
              <o:lock v:ext="edit" aspectratio="f"/>
              <v:textbox inset="0mm,0mm,0mm,0mm">
                <w:txbxContent>
                  <w:p w14:paraId="7E8333FE">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16E0B">
    <w:pPr>
      <w:pStyle w:val="14"/>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261620" cy="139700"/>
              <wp:effectExtent l="0" t="0" r="0" b="0"/>
              <wp:wrapNone/>
              <wp:docPr id="12" name="文本框 17"/>
              <wp:cNvGraphicFramePr/>
              <a:graphic xmlns:a="http://schemas.openxmlformats.org/drawingml/2006/main">
                <a:graphicData uri="http://schemas.microsoft.com/office/word/2010/wordprocessingShape">
                  <wps:wsp>
                    <wps:cNvSpPr txBox="1"/>
                    <wps:spPr>
                      <a:xfrm>
                        <a:off x="0" y="0"/>
                        <a:ext cx="261620" cy="139700"/>
                      </a:xfrm>
                      <a:prstGeom prst="rect">
                        <a:avLst/>
                      </a:prstGeom>
                      <a:noFill/>
                      <a:ln>
                        <a:noFill/>
                      </a:ln>
                    </wps:spPr>
                    <wps:txbx>
                      <w:txbxContent>
                        <w:p w14:paraId="154CFEBB">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20.6pt;mso-position-horizontal:center;mso-position-horizontal-relative:margin;z-index:251669504;mso-width-relative:page;mso-height-relative:page;" filled="f" stroked="f" coordsize="21600,21600" o:gfxdata="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3x25PTAAAAAwEAAA8AAAAAAAAAAQAgAAAAIgAAAGRycy9kb3ducmV2Lnht&#10;bFBLAQIUABQAAAAIAIdO4kAgQ2jJxQEAAIEDAAAOAAAAAAAAAAEAIAAAACIBAABkcnMvZTJvRG9j&#10;LnhtbFBLBQYAAAAABgAGAFkBAABZBQAAAAA=&#10;">
              <v:fill on="f" focussize="0,0"/>
              <v:stroke on="f"/>
              <v:imagedata o:title=""/>
              <o:lock v:ext="edit" aspectratio="f"/>
              <v:textbox inset="0mm,0mm,0mm,0mm">
                <w:txbxContent>
                  <w:p w14:paraId="154CFEBB">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2919B">
    <w:pPr>
      <w:pStyle w:val="14"/>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67005" cy="139700"/>
              <wp:effectExtent l="0" t="0" r="0" b="0"/>
              <wp:wrapNone/>
              <wp:docPr id="10"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0C3F9AED">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848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X0avfCAQAAgQ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0EsgSZywtPHDzx+HX38O&#10;v7+z+VUSqA9YUd1doMo4vPMDFU9xpGDiPbRg05cYMcoT1v4krxoik+nS5VVZvuFMUmr++pqchFI8&#10;XA6A8b3yliWj5kDby6KK3UeMY+lUkno5f6uNyRs07r8AYaZIkSYfJ0xWHNbDkc7aN3ti09Pia47f&#10;tgIUZ+aDI2XTK5kMmIz1ZGwD6E1Hw2UFcgPaTGZxfEVp9f/6eYyHP2f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BV9Gr3wgEAAIEDAAAOAAAAAAAAAAEAIAAAACIBAABkcnMvZTJvRG9jLnht&#10;bFBLBQYAAAAABgAGAFkBAABWBQAAAAA=&#10;">
              <v:fill on="f" focussize="0,0"/>
              <v:stroke on="f"/>
              <v:imagedata o:title=""/>
              <o:lock v:ext="edit" aspectratio="f"/>
              <v:textbox inset="0mm,0mm,0mm,0mm">
                <w:txbxContent>
                  <w:p w14:paraId="0C3F9AED">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D6BAC">
    <w:pPr>
      <w:pStyle w:val="14"/>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261620" cy="149225"/>
              <wp:effectExtent l="0" t="0" r="0" b="0"/>
              <wp:wrapNone/>
              <wp:docPr id="9" name="文本框 17"/>
              <wp:cNvGraphicFramePr/>
              <a:graphic xmlns:a="http://schemas.openxmlformats.org/drawingml/2006/main">
                <a:graphicData uri="http://schemas.microsoft.com/office/word/2010/wordprocessingShape">
                  <wps:wsp>
                    <wps:cNvSpPr txBox="1"/>
                    <wps:spPr>
                      <a:xfrm>
                        <a:off x="0" y="0"/>
                        <a:ext cx="261620" cy="149225"/>
                      </a:xfrm>
                      <a:prstGeom prst="rect">
                        <a:avLst/>
                      </a:prstGeom>
                      <a:noFill/>
                      <a:ln>
                        <a:noFill/>
                      </a:ln>
                    </wps:spPr>
                    <wps:txbx>
                      <w:txbxContent>
                        <w:p w14:paraId="566CD3E0">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75pt;width:20.6pt;mso-position-horizontal:center;mso-position-horizontal-relative:margin;z-index:251665408;mso-width-relative:page;mso-height-relative:page;" filled="f" stroked="f" coordsize="21600,21600" o:gfxdata="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FHNsjUAAAAAwEAAA8AAAAAAAAAAQAgAAAAIgAAAGRycy9kb3ducmV2Lnht&#10;bFBLAQIUABQAAAAIAIdO4kAHH5WjxAEAAIADAAAOAAAAAAAAAAEAIAAAACMBAABkcnMvZTJvRG9j&#10;LnhtbFBLBQYAAAAABgAGAFkBAABZBQAAAAA=&#10;">
              <v:fill on="f" focussize="0,0"/>
              <v:stroke on="f"/>
              <v:imagedata o:title=""/>
              <o:lock v:ext="edit" aspectratio="f"/>
              <v:textbox inset="0mm,0mm,0mm,0mm">
                <w:txbxContent>
                  <w:p w14:paraId="566CD3E0">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2EA49">
    <w:pPr>
      <w:pStyle w:val="14"/>
      <w:kinsoku w:val="0"/>
      <w:overflowPunct w:val="0"/>
      <w:spacing w:line="14" w:lineRule="auto"/>
      <w:ind w:left="0"/>
      <w:jc w:val="both"/>
      <w:rPr>
        <w:rFonts w:hint="default"/>
        <w:sz w:val="20"/>
        <w:szCs w:val="24"/>
      </w:rPr>
    </w:pPr>
    <w:r>
      <w:rPr>
        <w:rFonts w:hint="default"/>
        <w:sz w:val="21"/>
        <w:szCs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302895" cy="139700"/>
              <wp:effectExtent l="0" t="0" r="0" b="0"/>
              <wp:wrapNone/>
              <wp:docPr id="15" name="文本框 17"/>
              <wp:cNvGraphicFramePr/>
              <a:graphic xmlns:a="http://schemas.openxmlformats.org/drawingml/2006/main">
                <a:graphicData uri="http://schemas.microsoft.com/office/word/2010/wordprocessingShape">
                  <wps:wsp>
                    <wps:cNvSpPr txBox="1"/>
                    <wps:spPr>
                      <a:xfrm>
                        <a:off x="0" y="0"/>
                        <a:ext cx="302895" cy="139700"/>
                      </a:xfrm>
                      <a:prstGeom prst="rect">
                        <a:avLst/>
                      </a:prstGeom>
                      <a:noFill/>
                      <a:ln>
                        <a:noFill/>
                      </a:ln>
                    </wps:spPr>
                    <wps:txbx>
                      <w:txbxContent>
                        <w:p w14:paraId="6D3B5DF7">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23.85pt;mso-position-horizontal:center;mso-position-horizontal-relative:margin;z-index:251667456;mso-width-relative:page;mso-height-relative:page;" filled="f" stroked="f" coordsize="21600,21600" o:gfxdata="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4+qmdQAAAADAQAADwAAAAAAAAABACAAAAAiAAAAZHJzL2Rvd25yZXYu&#10;eG1sUEsBAhQAFAAAAAgAh07iQGZmDxLGAQAAgQMAAA4AAAAAAAAAAQAgAAAAIwEAAGRycy9lMm9E&#10;b2MueG1sUEsFBgAAAAAGAAYAWQEAAFsFAAAAAA==&#10;">
              <v:fill on="f" focussize="0,0"/>
              <v:stroke on="f"/>
              <v:imagedata o:title=""/>
              <o:lock v:ext="edit" aspectratio="f"/>
              <v:textbox inset="0mm,0mm,0mm,0mm">
                <w:txbxContent>
                  <w:p w14:paraId="6D3B5DF7">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19B8F">
    <w:pPr>
      <w:pStyle w:val="14"/>
      <w:kinsoku w:val="0"/>
      <w:overflowPunct w:val="0"/>
      <w:spacing w:line="14" w:lineRule="auto"/>
      <w:ind w:left="0"/>
      <w:rPr>
        <w:rFonts w:hint="default"/>
        <w:sz w:val="18"/>
        <w:szCs w:val="24"/>
      </w:rPr>
    </w:pPr>
    <w:r>
      <w:rPr>
        <w:rFonts w:hint="default" w:ascii="Calibri" w:hAnsi="Calibri" w:eastAsia="Calibri"/>
        <w:sz w:val="21"/>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7170" cy="1123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17170" cy="112395"/>
                      </a:xfrm>
                      <a:prstGeom prst="rect">
                        <a:avLst/>
                      </a:prstGeom>
                      <a:noFill/>
                      <a:ln>
                        <a:noFill/>
                      </a:ln>
                    </wps:spPr>
                    <wps:txbx>
                      <w:txbxContent>
                        <w:p w14:paraId="079F77B2">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top:0pt;height:8.85pt;width:17.1pt;mso-position-horizontal:center;mso-position-horizontal-relative:margin;z-index:251659264;mso-width-relative:page;mso-height-relative:page;" filled="f" stroked="f" coordsize="21600,21600" o:gfxdata="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ih1fNQAAAADAQAADwAAAAAAAAABACAA&#10;AAAiAAAAZHJzL2Rvd25yZXYueG1sUEsBAhQAFAAAAAgAh07iQCVq2JfYAQAApAMAAA4AAAAAAAAA&#10;AQAgAAAAIwEAAGRycy9lMm9Eb2MueG1sUEsFBgAAAAAGAAYAWQEAAG0FAAAAAA==&#10;">
              <v:fill on="f" focussize="0,0"/>
              <v:stroke on="f"/>
              <v:imagedata o:title=""/>
              <o:lock v:ext="edit" aspectratio="f"/>
              <v:textbox inset="0mm,0mm,0mm,0mm">
                <w:txbxContent>
                  <w:p w14:paraId="079F77B2">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2D665">
    <w:pPr>
      <w:pStyle w:val="14"/>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7005" cy="1397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31F203F2">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wps:txbx>
                    <wps:bodyPr vert="horz" wrap="square" lIns="0" tIns="0" rIns="0" bIns="0" anchor="t" anchorCtr="0" upright="1"/>
                  </wps:wsp>
                </a:graphicData>
              </a:graphic>
            </wp:anchor>
          </w:drawing>
        </mc:Choice>
        <mc:Fallback>
          <w:pict>
            <v:shape id="文本框 5" o:spid="_x0000_s1026" o:spt="202" type="#_x0000_t202" style="position:absolute;left:0pt;margin-top:0pt;height:11pt;width:13.15pt;mso-position-horizontal:center;mso-position-horizontal-relative:margin;z-index:25166028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bJP2jTAAAAAwEAAA8AAAAAAAAAAQAgAAAA&#10;IgAAAGRycy9kb3ducmV2LnhtbFBLAQIUABQAAAAIAIdO4kAsxo181wEAAKQDAAAOAAAAAAAAAAEA&#10;IAAAACIBAABkcnMvZTJvRG9jLnhtbFBLBQYAAAAABgAGAFkBAABrBQAAAAA=&#10;">
              <v:fill on="f" focussize="0,0"/>
              <v:stroke on="f"/>
              <v:imagedata o:title=""/>
              <o:lock v:ext="edit" aspectratio="f"/>
              <v:textbox inset="0mm,0mm,0mm,0mm">
                <w:txbxContent>
                  <w:p w14:paraId="31F203F2">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87D74">
    <w:pPr>
      <w:pStyle w:val="14"/>
      <w:kinsoku w:val="0"/>
      <w:overflowPunct w:val="0"/>
      <w:spacing w:line="14" w:lineRule="auto"/>
      <w:ind w:left="0"/>
      <w:rPr>
        <w:rFonts w:hint="default"/>
        <w:sz w:val="18"/>
        <w:szCs w:val="24"/>
      </w:rPr>
    </w:pPr>
    <w:r>
      <w:rPr>
        <w:rFonts w:hint="default"/>
        <w:sz w:val="21"/>
        <w:szCs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67005" cy="1397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46C9D7DD">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wps:txbx>
                    <wps:bodyPr wrap="square" lIns="0" tIns="0" rIns="0" bIns="0" upright="1"/>
                  </wps:wsp>
                </a:graphicData>
              </a:graphic>
            </wp:anchor>
          </w:drawing>
        </mc:Choice>
        <mc:Fallback>
          <w:pict>
            <v:shape id="文本框 7" o:spid="_x0000_s1026" o:spt="202" type="#_x0000_t202" style="position:absolute;left:0pt;margin-top:0pt;height:11pt;width:13.15pt;mso-position-horizontal:center;mso-position-horizontal-relative:margin;z-index:25166438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DdTT57BAQAAfw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1JzW7oSlhR9+/jj8+nP4&#10;/Z1dJXn6gBVV3QWqi8M7P9CjmeJIwcR6aMGmL/FhlCdx9ydx1RCZTJcur8ryDWeSUvPX1+QklOLh&#10;cgCM75W3LBk1B9pdllTsPmIcS6eS1Mv5W21M3p9x/wUIM0WKNPk4YbLisB6OdNa+2RObntZec/y2&#10;FaA4Mx8c6ZreyGTAZKwnYxtAbzoaLiuQG9BeMovjG0qL/9fPYzz8N8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sk/aNMAAAADAQAADwAAAAAAAAABACAAAAAiAAAAZHJzL2Rvd25yZXYueG1sUEsB&#10;AhQAFAAAAAgAh07iQDdTT57BAQAAfwMAAA4AAAAAAAAAAQAgAAAAIgEAAGRycy9lMm9Eb2MueG1s&#10;UEsFBgAAAAAGAAYAWQEAAFUFAAAAAA==&#10;">
              <v:fill on="f" focussize="0,0"/>
              <v:stroke on="f"/>
              <v:imagedata o:title=""/>
              <o:lock v:ext="edit" aspectratio="f"/>
              <v:textbox inset="0mm,0mm,0mm,0mm">
                <w:txbxContent>
                  <w:p w14:paraId="46C9D7DD">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A29B4">
    <w:pPr>
      <w:pStyle w:val="18"/>
      <w:jc w:val="center"/>
      <w:rPr>
        <w:rFonts w:cs="Times New Roma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6561B">
                          <w:pPr>
                            <w:pStyle w:val="1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A76561B">
                    <w:pPr>
                      <w:pStyle w:val="18"/>
                    </w:pPr>
                    <w:r>
                      <w:fldChar w:fldCharType="begin"/>
                    </w:r>
                    <w:r>
                      <w:instrText xml:space="preserve"> PAGE  \* MERGEFORMAT </w:instrText>
                    </w:r>
                    <w:r>
                      <w:fldChar w:fldCharType="separate"/>
                    </w:r>
                    <w:r>
                      <w:t>42</w:t>
                    </w:r>
                    <w:r>
                      <w:fldChar w:fldCharType="end"/>
                    </w:r>
                  </w:p>
                </w:txbxContent>
              </v:textbox>
            </v:shape>
          </w:pict>
        </mc:Fallback>
      </mc:AlternateContent>
    </w:r>
  </w:p>
  <w:p w14:paraId="7A44DC77">
    <w:pPr>
      <w:pStyle w:val="18"/>
      <w:rPr>
        <w:rFonts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02D0D">
    <w:pPr>
      <w:pStyle w:val="18"/>
      <w:jc w:val="center"/>
      <w:rPr>
        <w:rFonts w:cs="Times New Roman"/>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982E1">
                          <w:pPr>
                            <w:pStyle w:val="1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A7982E1">
                    <w:pPr>
                      <w:pStyle w:val="18"/>
                    </w:pPr>
                    <w:r>
                      <w:fldChar w:fldCharType="begin"/>
                    </w:r>
                    <w:r>
                      <w:instrText xml:space="preserve"> PAGE  \* MERGEFORMAT </w:instrText>
                    </w:r>
                    <w:r>
                      <w:fldChar w:fldCharType="separate"/>
                    </w:r>
                    <w:r>
                      <w:t>41</w:t>
                    </w:r>
                    <w:r>
                      <w:fldChar w:fldCharType="end"/>
                    </w:r>
                  </w:p>
                </w:txbxContent>
              </v:textbox>
            </v:shape>
          </w:pict>
        </mc:Fallback>
      </mc:AlternateContent>
    </w:r>
  </w:p>
  <w:p w14:paraId="69BE8593">
    <w:pPr>
      <w:pStyle w:val="18"/>
      <w:rPr>
        <w:rFonts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82A69">
    <w:pPr>
      <w:pStyle w:val="14"/>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7005" cy="1397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0BCC5B96">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wps:txbx>
                    <wps:bodyPr vert="horz" wrap="square" lIns="0" tIns="0" rIns="0" bIns="0" anchor="t" anchorCtr="0" upright="1"/>
                  </wps:wsp>
                </a:graphicData>
              </a:graphic>
            </wp:anchor>
          </w:drawing>
        </mc:Choice>
        <mc:Fallback>
          <w:pict>
            <v:shape id="文本框 13" o:spid="_x0000_s1026" o:spt="202" type="#_x0000_t202" style="position:absolute;left:0pt;margin-top:0pt;height:11pt;width:13.15pt;mso-position-horizontal:center;mso-position-horizontal-relative:margin;z-index:25166131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yT9o0wAAAAMBAAAPAAAAAAAAAAEAIAAA&#10;ACIAAABkcnMvZG93bnJldi54bWxQSwECFAAUAAAACACHTuJAHeZl9NgBAAClAwAADgAAAAAAAAAB&#10;ACAAAAAiAQAAZHJzL2Uyb0RvYy54bWxQSwUGAAAAAAYABgBZAQAAbAUAAAAA&#10;">
              <v:fill on="f" focussize="0,0"/>
              <v:stroke on="f"/>
              <v:imagedata o:title=""/>
              <o:lock v:ext="edit" aspectratio="f"/>
              <v:textbox inset="0mm,0mm,0mm,0mm">
                <w:txbxContent>
                  <w:p w14:paraId="0BCC5B96">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BD9DC">
    <w:pPr>
      <w:pStyle w:val="18"/>
      <w:spacing w:line="276" w:lineRule="auto"/>
      <w:jc w:val="center"/>
      <w:rPr>
        <w:sz w:val="20"/>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4C608">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EF4C608">
                    <w:pPr>
                      <w:pStyle w:val="18"/>
                    </w:pPr>
                    <w:r>
                      <w:fldChar w:fldCharType="begin"/>
                    </w:r>
                    <w:r>
                      <w:instrText xml:space="preserve"> PAGE  \* MERGEFORMAT </w:instrText>
                    </w:r>
                    <w:r>
                      <w:fldChar w:fldCharType="separate"/>
                    </w:r>
                    <w:r>
                      <w:t>1</w:t>
                    </w:r>
                    <w:r>
                      <w:fldChar w:fldCharType="end"/>
                    </w:r>
                  </w:p>
                </w:txbxContent>
              </v:textbox>
            </v:shape>
          </w:pict>
        </mc:Fallback>
      </mc:AlternateContent>
    </w:r>
    <w:sdt>
      <w:sdtPr>
        <w:id w:val="1316989140"/>
      </w:sdtPr>
      <w:sdtEndPr>
        <w:rPr>
          <w:sz w:val="20"/>
        </w:rPr>
      </w:sdtEndPr>
      <w:sdtContent/>
    </w:sdt>
  </w:p>
  <w:p w14:paraId="3C3B3844">
    <w:pPr>
      <w:pStyle w:val="1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DB911">
    <w:pPr>
      <w:pStyle w:val="18"/>
      <w:jc w:val="cente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43A3C">
                          <w:pPr>
                            <w:pStyle w:val="1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0B43A3C">
                    <w:pPr>
                      <w:pStyle w:val="18"/>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259C8">
    <w:pPr>
      <w:pStyle w:val="19"/>
      <w:rPr>
        <w:rFonts w:hint="default"/>
        <w:sz w:val="1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B3E8A">
    <w:pPr>
      <w:pStyle w:val="19"/>
      <w:rPr>
        <w:rFonts w:hint="default"/>
        <w:sz w:val="1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342D7">
    <w:pPr>
      <w:pStyle w:val="19"/>
      <w:pBdr>
        <w:bottom w:val="none" w:color="auto" w:sz="0" w:space="0"/>
      </w:pBdr>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8C49F">
    <w:pPr>
      <w:pStyle w:val="19"/>
      <w:rPr>
        <w:rFonts w:hint="default"/>
        <w:sz w:val="18"/>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FD7E4">
    <w:pPr>
      <w:pStyle w:val="19"/>
      <w:rPr>
        <w:rFonts w:hint="default"/>
        <w:sz w:val="18"/>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81F16">
    <w:pPr>
      <w:pStyle w:val="19"/>
      <w:rPr>
        <w:rFonts w:hint="default"/>
        <w:sz w:val="18"/>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1A193">
    <w:pPr>
      <w:pStyle w:val="19"/>
      <w:rPr>
        <w:rFonts w:hint="default"/>
        <w:sz w:val="18"/>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BC222">
    <w:pPr>
      <w:pStyle w:val="19"/>
      <w:rPr>
        <w:rFonts w:hint="default"/>
        <w:sz w:val="18"/>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25108">
    <w:pPr>
      <w:pStyle w:val="19"/>
      <w:rPr>
        <w:rFonts w:hint="default"/>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965F6"/>
    <w:multiLevelType w:val="singleLevel"/>
    <w:tmpl w:val="B02965F6"/>
    <w:lvl w:ilvl="0" w:tentative="0">
      <w:start w:val="1"/>
      <w:numFmt w:val="chineseCounting"/>
      <w:suff w:val="nothing"/>
      <w:lvlText w:val="（%1）"/>
      <w:lvlJc w:val="left"/>
      <w:pPr>
        <w:ind w:left="0" w:firstLine="420"/>
      </w:pPr>
      <w:rPr>
        <w:rFonts w:hint="eastAsia"/>
      </w:rPr>
    </w:lvl>
  </w:abstractNum>
  <w:abstractNum w:abstractNumId="1">
    <w:nsid w:val="D824A416"/>
    <w:multiLevelType w:val="singleLevel"/>
    <w:tmpl w:val="D824A416"/>
    <w:lvl w:ilvl="0" w:tentative="0">
      <w:start w:val="2"/>
      <w:numFmt w:val="chineseCounting"/>
      <w:suff w:val="nothing"/>
      <w:lvlText w:val="（%1）"/>
      <w:lvlJc w:val="left"/>
      <w:rPr>
        <w:rFonts w:hint="eastAsia"/>
      </w:rPr>
    </w:lvl>
  </w:abstractNum>
  <w:abstractNum w:abstractNumId="2">
    <w:nsid w:val="F5290130"/>
    <w:multiLevelType w:val="singleLevel"/>
    <w:tmpl w:val="F5290130"/>
    <w:lvl w:ilvl="0" w:tentative="0">
      <w:start w:val="1"/>
      <w:numFmt w:val="decimal"/>
      <w:lvlText w:val="(%1)"/>
      <w:lvlJc w:val="left"/>
      <w:pPr>
        <w:ind w:left="425" w:hanging="425"/>
      </w:pPr>
      <w:rPr>
        <w:rFonts w:hint="default"/>
      </w:rPr>
    </w:lvl>
  </w:abstractNum>
  <w:abstractNum w:abstractNumId="3">
    <w:nsid w:val="0127AB90"/>
    <w:multiLevelType w:val="singleLevel"/>
    <w:tmpl w:val="0127AB90"/>
    <w:lvl w:ilvl="0" w:tentative="0">
      <w:start w:val="1"/>
      <w:numFmt w:val="decimal"/>
      <w:suff w:val="space"/>
      <w:lvlText w:val="第%1章"/>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hdrShapeDefaults>
    <o:shapelayout v:ext="edit">
      <o:idmap v:ext="edit" data="1"/>
    </o:shapelayout>
  </w:hdrShapeDefaults>
  <w:compat>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Y2FiODY3MTY3MDM2MmMyMGQ2ZDU5YzE5NzU4ZDAifQ=="/>
  </w:docVars>
  <w:rsids>
    <w:rsidRoot w:val="00172A27"/>
    <w:rsid w:val="00434AD7"/>
    <w:rsid w:val="00BA3FBE"/>
    <w:rsid w:val="014F2E8B"/>
    <w:rsid w:val="015F5C05"/>
    <w:rsid w:val="020F624B"/>
    <w:rsid w:val="028D352C"/>
    <w:rsid w:val="02E52BEF"/>
    <w:rsid w:val="037109A0"/>
    <w:rsid w:val="03C12165"/>
    <w:rsid w:val="04590E88"/>
    <w:rsid w:val="04A24B84"/>
    <w:rsid w:val="055054CB"/>
    <w:rsid w:val="055A6E6C"/>
    <w:rsid w:val="055E32F7"/>
    <w:rsid w:val="06371977"/>
    <w:rsid w:val="06781993"/>
    <w:rsid w:val="070204F3"/>
    <w:rsid w:val="07577FFE"/>
    <w:rsid w:val="07646AB0"/>
    <w:rsid w:val="079D30DF"/>
    <w:rsid w:val="085C03C1"/>
    <w:rsid w:val="08C473E5"/>
    <w:rsid w:val="09452310"/>
    <w:rsid w:val="09C27272"/>
    <w:rsid w:val="0A396C8F"/>
    <w:rsid w:val="0AA35EA3"/>
    <w:rsid w:val="0BDE5A88"/>
    <w:rsid w:val="0C997CA3"/>
    <w:rsid w:val="0D427218"/>
    <w:rsid w:val="0EB775D4"/>
    <w:rsid w:val="0F302425"/>
    <w:rsid w:val="10921B46"/>
    <w:rsid w:val="116059FD"/>
    <w:rsid w:val="11702C8D"/>
    <w:rsid w:val="12207D6B"/>
    <w:rsid w:val="146E0681"/>
    <w:rsid w:val="15FA071C"/>
    <w:rsid w:val="16385846"/>
    <w:rsid w:val="1646377E"/>
    <w:rsid w:val="17377029"/>
    <w:rsid w:val="17C00184"/>
    <w:rsid w:val="184711C8"/>
    <w:rsid w:val="187237A6"/>
    <w:rsid w:val="189B1E31"/>
    <w:rsid w:val="19031AA7"/>
    <w:rsid w:val="1AE837D0"/>
    <w:rsid w:val="1CA20C86"/>
    <w:rsid w:val="1D8B6EF6"/>
    <w:rsid w:val="1DE17229"/>
    <w:rsid w:val="1E6132B9"/>
    <w:rsid w:val="1EAE2913"/>
    <w:rsid w:val="1EF03D4E"/>
    <w:rsid w:val="1EF273EC"/>
    <w:rsid w:val="1F493040"/>
    <w:rsid w:val="1F9121D5"/>
    <w:rsid w:val="1FB76ED1"/>
    <w:rsid w:val="1FD72A0E"/>
    <w:rsid w:val="202B55B3"/>
    <w:rsid w:val="20CE3F4B"/>
    <w:rsid w:val="217C4D86"/>
    <w:rsid w:val="21A27D50"/>
    <w:rsid w:val="221729FA"/>
    <w:rsid w:val="22DE2CCF"/>
    <w:rsid w:val="2338257F"/>
    <w:rsid w:val="23604F80"/>
    <w:rsid w:val="238920F9"/>
    <w:rsid w:val="25465A38"/>
    <w:rsid w:val="25A44C59"/>
    <w:rsid w:val="26CF6181"/>
    <w:rsid w:val="27AB1AAE"/>
    <w:rsid w:val="288B74C9"/>
    <w:rsid w:val="29874B91"/>
    <w:rsid w:val="2AA4383A"/>
    <w:rsid w:val="2ADC6B69"/>
    <w:rsid w:val="2B8C0D79"/>
    <w:rsid w:val="2D07305C"/>
    <w:rsid w:val="2DDE6527"/>
    <w:rsid w:val="2E6508F1"/>
    <w:rsid w:val="2E9615FD"/>
    <w:rsid w:val="2EAD14DA"/>
    <w:rsid w:val="2F4A16AB"/>
    <w:rsid w:val="2FAC4831"/>
    <w:rsid w:val="300375DA"/>
    <w:rsid w:val="31A36774"/>
    <w:rsid w:val="322B758E"/>
    <w:rsid w:val="324A2A66"/>
    <w:rsid w:val="32B12E4B"/>
    <w:rsid w:val="32D57EA5"/>
    <w:rsid w:val="343D666E"/>
    <w:rsid w:val="345F54D2"/>
    <w:rsid w:val="351D0975"/>
    <w:rsid w:val="3585281D"/>
    <w:rsid w:val="35A854A7"/>
    <w:rsid w:val="36115F43"/>
    <w:rsid w:val="365B63BD"/>
    <w:rsid w:val="37090E2F"/>
    <w:rsid w:val="37742288"/>
    <w:rsid w:val="37865B8C"/>
    <w:rsid w:val="39037C61"/>
    <w:rsid w:val="39750026"/>
    <w:rsid w:val="39A93314"/>
    <w:rsid w:val="39AE2942"/>
    <w:rsid w:val="39F01EE0"/>
    <w:rsid w:val="3A040547"/>
    <w:rsid w:val="3A636281"/>
    <w:rsid w:val="3A960DB6"/>
    <w:rsid w:val="3AE64F8C"/>
    <w:rsid w:val="3BEB0376"/>
    <w:rsid w:val="3DDD445E"/>
    <w:rsid w:val="3E353902"/>
    <w:rsid w:val="3EF62559"/>
    <w:rsid w:val="3FB95E4C"/>
    <w:rsid w:val="3FF3077A"/>
    <w:rsid w:val="40CF6FE2"/>
    <w:rsid w:val="410C5032"/>
    <w:rsid w:val="419671D8"/>
    <w:rsid w:val="42671C2F"/>
    <w:rsid w:val="436F789F"/>
    <w:rsid w:val="44363DD5"/>
    <w:rsid w:val="44917A80"/>
    <w:rsid w:val="45EB2D55"/>
    <w:rsid w:val="46EF0756"/>
    <w:rsid w:val="46F459F4"/>
    <w:rsid w:val="47B67BBB"/>
    <w:rsid w:val="481749B6"/>
    <w:rsid w:val="489C6820"/>
    <w:rsid w:val="49247828"/>
    <w:rsid w:val="4A742A58"/>
    <w:rsid w:val="4A914BA1"/>
    <w:rsid w:val="4AB1638A"/>
    <w:rsid w:val="4AD14E40"/>
    <w:rsid w:val="4B3E45F3"/>
    <w:rsid w:val="4C60006F"/>
    <w:rsid w:val="4C6E2B14"/>
    <w:rsid w:val="4CF93DC1"/>
    <w:rsid w:val="4D0369F0"/>
    <w:rsid w:val="4D903A6C"/>
    <w:rsid w:val="4E18106A"/>
    <w:rsid w:val="4E537616"/>
    <w:rsid w:val="4EAD5B36"/>
    <w:rsid w:val="51D810FA"/>
    <w:rsid w:val="5223443E"/>
    <w:rsid w:val="522C3C23"/>
    <w:rsid w:val="526000EE"/>
    <w:rsid w:val="52A929CD"/>
    <w:rsid w:val="52EE0725"/>
    <w:rsid w:val="5307612F"/>
    <w:rsid w:val="53134075"/>
    <w:rsid w:val="538C6AFB"/>
    <w:rsid w:val="53EF77F2"/>
    <w:rsid w:val="5473581A"/>
    <w:rsid w:val="54865CDB"/>
    <w:rsid w:val="54971AA0"/>
    <w:rsid w:val="55096426"/>
    <w:rsid w:val="560411DE"/>
    <w:rsid w:val="570B2D4C"/>
    <w:rsid w:val="57AB2575"/>
    <w:rsid w:val="57E70337"/>
    <w:rsid w:val="58E533AC"/>
    <w:rsid w:val="59F76F76"/>
    <w:rsid w:val="5AAB597E"/>
    <w:rsid w:val="5BA2577F"/>
    <w:rsid w:val="5CE35492"/>
    <w:rsid w:val="5D1560FD"/>
    <w:rsid w:val="5D405D1E"/>
    <w:rsid w:val="5D764ABE"/>
    <w:rsid w:val="5DD4483E"/>
    <w:rsid w:val="5E364D5F"/>
    <w:rsid w:val="5F5F4C1E"/>
    <w:rsid w:val="5F7C3630"/>
    <w:rsid w:val="5F98073B"/>
    <w:rsid w:val="604F09E7"/>
    <w:rsid w:val="60545B6A"/>
    <w:rsid w:val="60834F19"/>
    <w:rsid w:val="618B26CD"/>
    <w:rsid w:val="61EA613C"/>
    <w:rsid w:val="620078ED"/>
    <w:rsid w:val="62AB097F"/>
    <w:rsid w:val="62C12D55"/>
    <w:rsid w:val="63DB2CB0"/>
    <w:rsid w:val="63E130AC"/>
    <w:rsid w:val="643631F8"/>
    <w:rsid w:val="654A3E4B"/>
    <w:rsid w:val="65D76672"/>
    <w:rsid w:val="662C3171"/>
    <w:rsid w:val="66CA3897"/>
    <w:rsid w:val="67460FA0"/>
    <w:rsid w:val="683834E1"/>
    <w:rsid w:val="68BC5AA8"/>
    <w:rsid w:val="69B47845"/>
    <w:rsid w:val="69F10417"/>
    <w:rsid w:val="6A9C6657"/>
    <w:rsid w:val="6AC8299D"/>
    <w:rsid w:val="6C1153BA"/>
    <w:rsid w:val="6F0116B5"/>
    <w:rsid w:val="6F585C48"/>
    <w:rsid w:val="6FB6545E"/>
    <w:rsid w:val="6FDC5A0F"/>
    <w:rsid w:val="702B37BF"/>
    <w:rsid w:val="703561A8"/>
    <w:rsid w:val="71CE68BB"/>
    <w:rsid w:val="71DE6605"/>
    <w:rsid w:val="729554DB"/>
    <w:rsid w:val="730C671E"/>
    <w:rsid w:val="731E0F50"/>
    <w:rsid w:val="757635DC"/>
    <w:rsid w:val="758D03CD"/>
    <w:rsid w:val="76A25114"/>
    <w:rsid w:val="76C74632"/>
    <w:rsid w:val="76D743F1"/>
    <w:rsid w:val="77322A0F"/>
    <w:rsid w:val="77563D2B"/>
    <w:rsid w:val="77F34C42"/>
    <w:rsid w:val="7811525D"/>
    <w:rsid w:val="7838546B"/>
    <w:rsid w:val="784210E3"/>
    <w:rsid w:val="79BF259A"/>
    <w:rsid w:val="7B8A5777"/>
    <w:rsid w:val="7C0A310B"/>
    <w:rsid w:val="7CC325E8"/>
    <w:rsid w:val="7CD97AAC"/>
    <w:rsid w:val="7D430458"/>
    <w:rsid w:val="7D4B3C28"/>
    <w:rsid w:val="7DCE4049"/>
    <w:rsid w:val="7E6B29FD"/>
    <w:rsid w:val="7E8D2B2E"/>
    <w:rsid w:val="7EF14D6B"/>
    <w:rsid w:val="7F831D43"/>
    <w:rsid w:val="7FDA3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1"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1" w:semiHidden="0" w:name="Body Text"/>
    <w:lsdException w:qFormat="1"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99" w:semiHidden="0" w:name="Body Text 2"/>
    <w:lsdException w:qFormat="1" w:uiPriority="0" w:semiHidden="0" w:name="Body Text 3"/>
    <w:lsdException w:qFormat="1"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0"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pPr>
    <w:rPr>
      <w:rFonts w:hint="default" w:ascii="Times New Roman" w:hAnsi="Times New Roman" w:eastAsia="宋体" w:cs="Times New Roman"/>
      <w:sz w:val="24"/>
      <w:szCs w:val="24"/>
    </w:rPr>
  </w:style>
  <w:style w:type="paragraph" w:styleId="5">
    <w:name w:val="heading 1"/>
    <w:basedOn w:val="1"/>
    <w:next w:val="1"/>
    <w:unhideWhenUsed/>
    <w:qFormat/>
    <w:uiPriority w:val="1"/>
    <w:pPr>
      <w:ind w:left="3"/>
      <w:jc w:val="center"/>
      <w:outlineLvl w:val="0"/>
    </w:pPr>
    <w:rPr>
      <w:rFonts w:hint="eastAsia" w:ascii="Microsoft JhengHei" w:hAnsi="Microsoft JhengHei" w:eastAsia="Microsoft JhengHei"/>
      <w:b/>
      <w:sz w:val="44"/>
      <w:szCs w:val="24"/>
    </w:rPr>
  </w:style>
  <w:style w:type="paragraph" w:styleId="6">
    <w:name w:val="heading 2"/>
    <w:basedOn w:val="1"/>
    <w:next w:val="1"/>
    <w:link w:val="40"/>
    <w:unhideWhenUsed/>
    <w:qFormat/>
    <w:uiPriority w:val="1"/>
    <w:pPr>
      <w:ind w:left="3"/>
      <w:jc w:val="center"/>
      <w:outlineLvl w:val="1"/>
    </w:pPr>
    <w:rPr>
      <w:rFonts w:hint="default" w:ascii="宋体" w:hAnsi="宋体" w:eastAsia="宋体"/>
      <w:sz w:val="30"/>
      <w:szCs w:val="24"/>
    </w:rPr>
  </w:style>
  <w:style w:type="paragraph" w:styleId="7">
    <w:name w:val="heading 3"/>
    <w:basedOn w:val="1"/>
    <w:next w:val="1"/>
    <w:link w:val="32"/>
    <w:unhideWhenUsed/>
    <w:qFormat/>
    <w:uiPriority w:val="1"/>
    <w:pPr>
      <w:spacing w:before="50" w:beforeLines="50" w:after="50" w:afterLines="50" w:line="360" w:lineRule="auto"/>
      <w:outlineLvl w:val="2"/>
    </w:pPr>
    <w:rPr>
      <w:rFonts w:hint="default" w:ascii="宋体" w:hAnsi="宋体" w:eastAsia="宋体"/>
      <w:b/>
      <w:sz w:val="24"/>
      <w:szCs w:val="24"/>
    </w:rPr>
  </w:style>
  <w:style w:type="paragraph" w:styleId="8">
    <w:name w:val="heading 4"/>
    <w:basedOn w:val="1"/>
    <w:next w:val="1"/>
    <w:unhideWhenUsed/>
    <w:qFormat/>
    <w:uiPriority w:val="1"/>
    <w:pPr>
      <w:outlineLvl w:val="3"/>
    </w:pPr>
    <w:rPr>
      <w:rFonts w:hint="default" w:ascii="宋体" w:hAnsi="宋体" w:eastAsia="宋体"/>
      <w:sz w:val="28"/>
      <w:szCs w:val="24"/>
    </w:rPr>
  </w:style>
  <w:style w:type="paragraph" w:styleId="9">
    <w:name w:val="heading 5"/>
    <w:basedOn w:val="1"/>
    <w:next w:val="1"/>
    <w:unhideWhenUsed/>
    <w:qFormat/>
    <w:uiPriority w:val="1"/>
    <w:pPr>
      <w:ind w:left="237"/>
      <w:outlineLvl w:val="4"/>
    </w:pPr>
    <w:rPr>
      <w:rFonts w:hint="default" w:ascii="宋体" w:hAnsi="宋体" w:eastAsia="宋体"/>
      <w:sz w:val="28"/>
      <w:szCs w:val="24"/>
    </w:rPr>
  </w:style>
  <w:style w:type="paragraph" w:styleId="10">
    <w:name w:val="heading 6"/>
    <w:basedOn w:val="1"/>
    <w:next w:val="1"/>
    <w:unhideWhenUsed/>
    <w:qFormat/>
    <w:uiPriority w:val="1"/>
    <w:pPr>
      <w:ind w:left="513"/>
      <w:outlineLvl w:val="5"/>
    </w:pPr>
    <w:rPr>
      <w:rFonts w:hint="eastAsia" w:ascii="Times New Roman" w:hAnsi="Times New Roman" w:eastAsia="Times New Roman"/>
      <w:b/>
      <w:sz w:val="21"/>
      <w:szCs w:val="24"/>
    </w:rPr>
  </w:style>
  <w:style w:type="character" w:default="1" w:styleId="26">
    <w:name w:val="Default Paragraph Font"/>
    <w:unhideWhenUsed/>
    <w:qFormat/>
    <w:uiPriority w:val="99"/>
    <w:rPr>
      <w:rFonts w:hint="default"/>
      <w:sz w:val="24"/>
      <w:szCs w:val="24"/>
    </w:rPr>
  </w:style>
  <w:style w:type="table" w:default="1" w:styleId="24">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11">
    <w:name w:val="Normal Indent"/>
    <w:basedOn w:val="1"/>
    <w:next w:val="1"/>
    <w:unhideWhenUsed/>
    <w:qFormat/>
    <w:uiPriority w:val="99"/>
    <w:pPr>
      <w:ind w:firstLine="420"/>
    </w:pPr>
    <w:rPr>
      <w:rFonts w:ascii="Times New Roman" w:hAnsi="Times New Roman" w:eastAsia="楷体_GB2312" w:cs="Times New Roman"/>
      <w:lang w:val="en-US" w:eastAsia="zh-CN" w:bidi="ar-SA"/>
    </w:rPr>
  </w:style>
  <w:style w:type="paragraph" w:styleId="12">
    <w:name w:val="annotation text"/>
    <w:basedOn w:val="1"/>
    <w:unhideWhenUsed/>
    <w:qFormat/>
    <w:uiPriority w:val="99"/>
    <w:pPr>
      <w:jc w:val="left"/>
    </w:pPr>
  </w:style>
  <w:style w:type="paragraph" w:styleId="13">
    <w:name w:val="Body Text 3"/>
    <w:unhideWhenUsed/>
    <w:qFormat/>
    <w:uiPriority w:val="0"/>
    <w:pPr>
      <w:widowControl w:val="0"/>
      <w:spacing w:beforeLines="0" w:after="120" w:afterLines="0"/>
      <w:jc w:val="both"/>
    </w:pPr>
    <w:rPr>
      <w:rFonts w:hint="eastAsia" w:ascii="Times New Roman" w:hAnsi="Times New Roman" w:eastAsia="Times New Roman" w:cs="Times New Roman"/>
      <w:kern w:val="2"/>
      <w:sz w:val="16"/>
      <w:szCs w:val="16"/>
      <w:lang w:val="en-US" w:eastAsia="zh-CN" w:bidi="ar-SA"/>
    </w:rPr>
  </w:style>
  <w:style w:type="paragraph" w:styleId="14">
    <w:name w:val="Body Text"/>
    <w:basedOn w:val="1"/>
    <w:next w:val="1"/>
    <w:unhideWhenUsed/>
    <w:qFormat/>
    <w:uiPriority w:val="1"/>
    <w:pPr>
      <w:ind w:left="520"/>
    </w:pPr>
    <w:rPr>
      <w:rFonts w:hint="default" w:ascii="宋体" w:hAnsi="宋体" w:eastAsia="宋体"/>
      <w:sz w:val="21"/>
      <w:szCs w:val="24"/>
    </w:rPr>
  </w:style>
  <w:style w:type="paragraph" w:styleId="15">
    <w:name w:val="toc 3"/>
    <w:basedOn w:val="1"/>
    <w:next w:val="1"/>
    <w:qFormat/>
    <w:uiPriority w:val="99"/>
    <w:pPr>
      <w:ind w:left="840" w:leftChars="400"/>
    </w:pPr>
  </w:style>
  <w:style w:type="paragraph" w:styleId="16">
    <w:name w:val="Plain Text"/>
    <w:basedOn w:val="1"/>
    <w:next w:val="1"/>
    <w:unhideWhenUsed/>
    <w:qFormat/>
    <w:uiPriority w:val="0"/>
    <w:rPr>
      <w:rFonts w:hint="default" w:ascii="宋体" w:hAnsi="Courier New" w:eastAsia="宋体"/>
      <w:sz w:val="24"/>
      <w:szCs w:val="24"/>
    </w:rPr>
  </w:style>
  <w:style w:type="paragraph" w:styleId="17">
    <w:name w:val="Body Text Indent 2"/>
    <w:unhideWhenUsed/>
    <w:qFormat/>
    <w:uiPriority w:val="99"/>
    <w:pPr>
      <w:spacing w:after="120" w:line="480" w:lineRule="auto"/>
      <w:ind w:left="420" w:leftChars="200"/>
    </w:pPr>
    <w:rPr>
      <w:rFonts w:ascii="Times New Roman" w:hAnsi="Times New Roman" w:eastAsia="宋体" w:cs="Times New Roman"/>
      <w:lang w:val="en-US" w:eastAsia="zh-CN" w:bidi="ar-SA"/>
    </w:rPr>
  </w:style>
  <w:style w:type="paragraph" w:styleId="18">
    <w:name w:val="footer"/>
    <w:basedOn w:val="1"/>
    <w:unhideWhenUsed/>
    <w:qFormat/>
    <w:uiPriority w:val="99"/>
    <w:pPr>
      <w:tabs>
        <w:tab w:val="center" w:pos="4153"/>
        <w:tab w:val="right" w:pos="8306"/>
      </w:tabs>
      <w:snapToGrid w:val="0"/>
    </w:pPr>
    <w:rPr>
      <w:rFonts w:hint="default"/>
      <w:sz w:val="18"/>
      <w:szCs w:val="24"/>
    </w:rPr>
  </w:style>
  <w:style w:type="paragraph" w:styleId="19">
    <w:name w:val="header"/>
    <w:basedOn w:val="1"/>
    <w:unhideWhenUsed/>
    <w:qFormat/>
    <w:uiPriority w:val="99"/>
    <w:pPr>
      <w:tabs>
        <w:tab w:val="center" w:pos="4153"/>
        <w:tab w:val="right" w:pos="8306"/>
      </w:tabs>
      <w:snapToGrid w:val="0"/>
      <w:jc w:val="both"/>
    </w:pPr>
    <w:rPr>
      <w:rFonts w:hint="default"/>
      <w:sz w:val="18"/>
      <w:szCs w:val="24"/>
    </w:rPr>
  </w:style>
  <w:style w:type="paragraph" w:styleId="20">
    <w:name w:val="toc 1"/>
    <w:basedOn w:val="1"/>
    <w:next w:val="1"/>
    <w:qFormat/>
    <w:uiPriority w:val="99"/>
  </w:style>
  <w:style w:type="paragraph" w:styleId="21">
    <w:name w:val="toc 2"/>
    <w:basedOn w:val="1"/>
    <w:next w:val="1"/>
    <w:qFormat/>
    <w:uiPriority w:val="99"/>
    <w:pPr>
      <w:ind w:left="420" w:leftChars="200"/>
    </w:pPr>
  </w:style>
  <w:style w:type="paragraph" w:styleId="22">
    <w:name w:val="Normal (Web)"/>
    <w:basedOn w:val="1"/>
    <w:unhideWhenUsed/>
    <w:qFormat/>
    <w:uiPriority w:val="99"/>
    <w:pPr>
      <w:widowControl/>
      <w:spacing w:before="100" w:beforeAutospacing="1" w:after="100" w:afterAutospacing="1"/>
    </w:pPr>
    <w:rPr>
      <w:rFonts w:hint="eastAsia" w:ascii="Times New Roman" w:hAnsi="Times New Roman" w:eastAsia="Times New Roman" w:cs="Times New Roman"/>
      <w:sz w:val="24"/>
      <w:szCs w:val="24"/>
    </w:rPr>
  </w:style>
  <w:style w:type="paragraph" w:styleId="23">
    <w:name w:val="Body Text First Indent"/>
    <w:basedOn w:val="14"/>
    <w:unhideWhenUsed/>
    <w:qFormat/>
    <w:uiPriority w:val="0"/>
    <w:pPr>
      <w:ind w:firstLine="420"/>
    </w:pPr>
    <w:rPr>
      <w:rFonts w:hint="eastAsia" w:ascii="Times New Roman" w:hAnsi="Times New Roman" w:eastAsia="楷体_GB2312"/>
      <w:sz w:val="20"/>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99"/>
  </w:style>
  <w:style w:type="character" w:styleId="28">
    <w:name w:val="Hyperlink"/>
    <w:unhideWhenUsed/>
    <w:qFormat/>
    <w:uiPriority w:val="99"/>
    <w:rPr>
      <w:rFonts w:hint="default" w:ascii="Arial" w:hAnsi="Arial" w:eastAsia="黑体"/>
      <w:color w:val="0000FF"/>
      <w:kern w:val="2"/>
      <w:sz w:val="21"/>
      <w:szCs w:val="24"/>
      <w:u w:val="single"/>
      <w:lang w:val="en-US" w:eastAsia="zh-CN" w:bidi="ar-SA"/>
    </w:rPr>
  </w:style>
  <w:style w:type="paragraph" w:customStyle="1" w:styleId="29">
    <w:name w:val="正文文本首行缩进"/>
    <w:basedOn w:val="14"/>
    <w:qFormat/>
    <w:uiPriority w:val="0"/>
    <w:pPr>
      <w:widowControl w:val="0"/>
      <w:spacing w:beforeLines="0" w:after="0" w:afterLines="0"/>
      <w:ind w:left="120" w:firstLine="420" w:firstLineChars="100"/>
      <w:jc w:val="both"/>
    </w:pPr>
    <w:rPr>
      <w:rFonts w:hint="eastAsia" w:ascii="宋体" w:hAnsi="宋体" w:eastAsia="宋体" w:cs="Times New Roman"/>
      <w:kern w:val="2"/>
      <w:sz w:val="24"/>
      <w:szCs w:val="24"/>
      <w:lang w:val="en-US" w:eastAsia="en-US" w:bidi="ar-SA"/>
    </w:rPr>
  </w:style>
  <w:style w:type="paragraph" w:customStyle="1" w:styleId="30">
    <w:name w:val="正文缩进1"/>
    <w:basedOn w:val="31"/>
    <w:unhideWhenUsed/>
    <w:qFormat/>
    <w:uiPriority w:val="0"/>
    <w:pPr>
      <w:spacing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31">
    <w:name w:val="正文1"/>
    <w:basedOn w:val="1"/>
    <w:unhideWhenUsed/>
    <w:qFormat/>
    <w:uiPriority w:val="0"/>
    <w:pPr>
      <w:spacing w:line="240" w:lineRule="atLeast"/>
      <w:jc w:val="center"/>
      <w:textAlignment w:val="baseline"/>
    </w:pPr>
    <w:rPr>
      <w:rFonts w:hint="default" w:ascii="Tahoma" w:hAnsi="Tahoma" w:eastAsia="宋体"/>
      <w:sz w:val="24"/>
      <w:szCs w:val="24"/>
    </w:rPr>
  </w:style>
  <w:style w:type="character" w:customStyle="1" w:styleId="32">
    <w:name w:val="标题 3 Char"/>
    <w:link w:val="7"/>
    <w:unhideWhenUsed/>
    <w:qFormat/>
    <w:uiPriority w:val="1"/>
    <w:rPr>
      <w:rFonts w:hint="default" w:ascii="宋体" w:hAnsi="宋体" w:eastAsia="宋体"/>
      <w:b/>
      <w:sz w:val="24"/>
      <w:szCs w:val="24"/>
    </w:rPr>
  </w:style>
  <w:style w:type="paragraph" w:customStyle="1" w:styleId="33">
    <w:name w:val="Table Paragraph"/>
    <w:basedOn w:val="1"/>
    <w:unhideWhenUsed/>
    <w:qFormat/>
    <w:uiPriority w:val="1"/>
    <w:rPr>
      <w:rFonts w:hint="default"/>
      <w:sz w:val="24"/>
      <w:szCs w:val="24"/>
    </w:rPr>
  </w:style>
  <w:style w:type="paragraph" w:customStyle="1" w:styleId="34">
    <w:name w:val="公文正文"/>
    <w:unhideWhenUsed/>
    <w:qFormat/>
    <w:uiPriority w:val="0"/>
    <w:pPr>
      <w:widowControl w:val="0"/>
      <w:tabs>
        <w:tab w:val="left" w:pos="1260"/>
        <w:tab w:val="left" w:pos="6030"/>
        <w:tab w:val="left" w:pos="6720"/>
      </w:tabs>
      <w:spacing w:line="360" w:lineRule="auto"/>
      <w:ind w:firstLine="720" w:firstLineChars="225"/>
      <w:jc w:val="both"/>
    </w:pPr>
    <w:rPr>
      <w:rFonts w:hint="eastAsia" w:ascii="仿宋_GB2312" w:hAnsi="宋体" w:eastAsia="仿宋_GB2312" w:cs="Times New Roman"/>
      <w:sz w:val="32"/>
      <w:szCs w:val="18"/>
      <w:lang w:val="en-US" w:eastAsia="zh-CN" w:bidi="ar-SA"/>
    </w:rPr>
  </w:style>
  <w:style w:type="paragraph" w:customStyle="1" w:styleId="35">
    <w:name w:val="p0"/>
    <w:basedOn w:val="1"/>
    <w:unhideWhenUsed/>
    <w:qFormat/>
    <w:uiPriority w:val="0"/>
    <w:pPr>
      <w:widowControl/>
      <w:spacing w:before="75" w:after="75"/>
    </w:pPr>
    <w:rPr>
      <w:rFonts w:hint="default" w:ascii="宋体" w:hAnsi="宋体" w:eastAsia="宋体" w:cs="宋体"/>
      <w:sz w:val="24"/>
      <w:szCs w:val="24"/>
    </w:rPr>
  </w:style>
  <w:style w:type="paragraph" w:styleId="36">
    <w:name w:val="List Paragraph"/>
    <w:basedOn w:val="1"/>
    <w:unhideWhenUsed/>
    <w:qFormat/>
    <w:uiPriority w:val="1"/>
    <w:rPr>
      <w:rFonts w:hint="default"/>
      <w:sz w:val="24"/>
      <w:szCs w:val="24"/>
    </w:rPr>
  </w:style>
  <w:style w:type="paragraph" w:customStyle="1" w:styleId="37">
    <w:name w:val="文一"/>
    <w:basedOn w:val="1"/>
    <w:unhideWhenUsed/>
    <w:qFormat/>
    <w:uiPriority w:val="0"/>
    <w:pPr>
      <w:topLinePunct/>
      <w:snapToGrid w:val="0"/>
      <w:spacing w:line="360" w:lineRule="auto"/>
      <w:ind w:firstLine="200" w:firstLineChars="200"/>
    </w:pPr>
    <w:rPr>
      <w:rFonts w:hint="default" w:ascii="Calibri" w:hAnsi="Calibri" w:eastAsia="宋体"/>
      <w:snapToGrid w:val="0"/>
      <w:spacing w:val="4"/>
      <w:sz w:val="24"/>
      <w:szCs w:val="24"/>
    </w:rPr>
  </w:style>
  <w:style w:type="paragraph" w:customStyle="1" w:styleId="38">
    <w:name w:val="样式 宋体 行距: 1.5 倍行距"/>
    <w:basedOn w:val="1"/>
    <w:unhideWhenUsed/>
    <w:qFormat/>
    <w:uiPriority w:val="0"/>
    <w:pPr>
      <w:jc w:val="center"/>
    </w:pPr>
    <w:rPr>
      <w:rFonts w:hint="default"/>
      <w:b/>
      <w:sz w:val="24"/>
      <w:szCs w:val="24"/>
    </w:rPr>
  </w:style>
  <w:style w:type="paragraph" w:customStyle="1" w:styleId="39">
    <w:name w:val="发文落款"/>
    <w:basedOn w:val="34"/>
    <w:unhideWhenUsed/>
    <w:qFormat/>
    <w:uiPriority w:val="99"/>
    <w:pPr>
      <w:ind w:left="4094" w:right="607" w:firstLine="0"/>
      <w:jc w:val="center"/>
    </w:pPr>
    <w:rPr>
      <w:rFonts w:hint="eastAsia" w:cs="仿宋_GB2312"/>
      <w:sz w:val="32"/>
      <w:szCs w:val="32"/>
    </w:rPr>
  </w:style>
  <w:style w:type="character" w:customStyle="1" w:styleId="40">
    <w:name w:val="标题 2 Char"/>
    <w:link w:val="6"/>
    <w:unhideWhenUsed/>
    <w:qFormat/>
    <w:uiPriority w:val="1"/>
    <w:rPr>
      <w:rFonts w:hint="default" w:ascii="宋体" w:hAnsi="宋体" w:eastAsia="宋体"/>
      <w:b/>
      <w:sz w:val="30"/>
      <w:szCs w:val="24"/>
    </w:rPr>
  </w:style>
  <w:style w:type="character" w:customStyle="1" w:styleId="41">
    <w:name w:val="NormalCharacter"/>
    <w:unhideWhenUsed/>
    <w:qFormat/>
    <w:uiPriority w:val="0"/>
    <w:rPr>
      <w:rFonts w:hint="default"/>
      <w:sz w:val="24"/>
      <w:szCs w:val="24"/>
    </w:rPr>
  </w:style>
  <w:style w:type="paragraph" w:customStyle="1" w:styleId="42">
    <w:name w:val="WPSOffice手动目录 1"/>
    <w:qFormat/>
    <w:uiPriority w:val="0"/>
    <w:pPr>
      <w:ind w:leftChars="0"/>
    </w:pPr>
    <w:rPr>
      <w:rFonts w:ascii="Times New Roman" w:hAnsi="Times New Roman" w:eastAsia="宋体" w:cs="Times New Roman"/>
      <w:sz w:val="20"/>
      <w:szCs w:val="20"/>
    </w:rPr>
  </w:style>
  <w:style w:type="paragraph" w:customStyle="1" w:styleId="43">
    <w:name w:val="WPSOffice手动目录 2"/>
    <w:qFormat/>
    <w:uiPriority w:val="0"/>
    <w:pPr>
      <w:ind w:leftChars="200"/>
    </w:pPr>
    <w:rPr>
      <w:rFonts w:ascii="Times New Roman" w:hAnsi="Times New Roman" w:eastAsia="宋体" w:cs="Times New Roman"/>
      <w:sz w:val="20"/>
      <w:szCs w:val="20"/>
    </w:rPr>
  </w:style>
  <w:style w:type="paragraph" w:customStyle="1" w:styleId="44">
    <w:name w:val="WPSOffice手动目录 3"/>
    <w:qFormat/>
    <w:uiPriority w:val="0"/>
    <w:pPr>
      <w:ind w:leftChars="400"/>
    </w:pPr>
    <w:rPr>
      <w:rFonts w:ascii="Times New Roman" w:hAnsi="Times New Roman" w:eastAsia="宋体" w:cs="Times New Roman"/>
      <w:sz w:val="20"/>
      <w:szCs w:val="20"/>
    </w:rPr>
  </w:style>
  <w:style w:type="table" w:customStyle="1" w:styleId="45">
    <w:name w:val="Table Normal"/>
    <w:semiHidden/>
    <w:unhideWhenUsed/>
    <w:qFormat/>
    <w:uiPriority w:val="0"/>
    <w:tblPr>
      <w:tblCellMar>
        <w:top w:w="0" w:type="dxa"/>
        <w:left w:w="0" w:type="dxa"/>
        <w:bottom w:w="0" w:type="dxa"/>
        <w:right w:w="0" w:type="dxa"/>
      </w:tblCellMar>
    </w:tblPr>
  </w:style>
  <w:style w:type="paragraph" w:customStyle="1" w:styleId="4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7">
    <w:name w:val="CM25"/>
    <w:basedOn w:val="46"/>
    <w:next w:val="46"/>
    <w:qFormat/>
    <w:uiPriority w:val="99"/>
    <w:pPr>
      <w:spacing w:line="426" w:lineRule="atLeast"/>
    </w:pPr>
    <w:rPr>
      <w:color w:val="auto"/>
    </w:rPr>
  </w:style>
  <w:style w:type="paragraph" w:customStyle="1" w:styleId="48">
    <w:name w:val="Other|1"/>
    <w:basedOn w:val="1"/>
    <w:qFormat/>
    <w:uiPriority w:val="0"/>
    <w:pPr>
      <w:spacing w:line="408" w:lineRule="auto"/>
      <w:ind w:firstLine="400"/>
      <w:jc w:val="left"/>
    </w:pPr>
    <w:rPr>
      <w:rFonts w:ascii="宋体" w:hAnsi="宋体" w:eastAsia="宋体" w:cs="宋体"/>
      <w:color w:val="000000"/>
      <w:kern w:val="0"/>
      <w:szCs w:val="24"/>
    </w:rPr>
  </w:style>
  <w:style w:type="paragraph" w:customStyle="1" w:styleId="49">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kern w:val="0"/>
      <w:sz w:val="26"/>
      <w:szCs w:val="26"/>
      <w:lang w:val="en-US" w:eastAsia="zh-CN" w:bidi="ar"/>
    </w:rPr>
  </w:style>
  <w:style w:type="character" w:customStyle="1" w:styleId="50">
    <w:name w:val="font41"/>
    <w:basedOn w:val="26"/>
    <w:qFormat/>
    <w:uiPriority w:val="0"/>
    <w:rPr>
      <w:rFonts w:hint="eastAsia" w:ascii="仿宋" w:hAnsi="仿宋" w:eastAsia="仿宋" w:cs="仿宋"/>
      <w:color w:val="000000"/>
      <w:sz w:val="24"/>
      <w:szCs w:val="24"/>
      <w:u w:val="none"/>
    </w:rPr>
  </w:style>
  <w:style w:type="character" w:customStyle="1" w:styleId="51">
    <w:name w:val="font21"/>
    <w:basedOn w:val="26"/>
    <w:qFormat/>
    <w:uiPriority w:val="0"/>
    <w:rPr>
      <w:rFonts w:hint="eastAsia" w:ascii="宋体" w:hAnsi="宋体" w:eastAsia="宋体" w:cs="宋体"/>
      <w:color w:val="000000"/>
      <w:sz w:val="24"/>
      <w:szCs w:val="24"/>
      <w:u w:val="none"/>
    </w:rPr>
  </w:style>
  <w:style w:type="paragraph" w:customStyle="1" w:styleId="52">
    <w:name w:val="正文文本首行缩进1"/>
    <w:basedOn w:val="14"/>
    <w:qFormat/>
    <w:uiPriority w:val="0"/>
    <w:pPr>
      <w:spacing w:after="0"/>
      <w:ind w:left="120" w:firstLine="420" w:firstLineChars="100"/>
    </w:pPr>
    <w:rPr>
      <w:rFonts w:hint="eastAsia" w:ascii="宋体" w:hAnsi="宋体" w:eastAsia="宋体"/>
      <w:szCs w:val="24"/>
      <w:lang w:eastAsia="en-US"/>
    </w:rPr>
  </w:style>
  <w:style w:type="character" w:customStyle="1" w:styleId="53">
    <w:name w:val="font91"/>
    <w:basedOn w:val="26"/>
    <w:qFormat/>
    <w:uiPriority w:val="0"/>
    <w:rPr>
      <w:rFonts w:hint="eastAsia" w:ascii="宋体" w:hAnsi="宋体" w:eastAsia="宋体" w:cs="宋体"/>
      <w:color w:val="000000"/>
      <w:sz w:val="20"/>
      <w:szCs w:val="20"/>
      <w:u w:val="none"/>
    </w:rPr>
  </w:style>
  <w:style w:type="character" w:customStyle="1" w:styleId="54">
    <w:name w:val="font101"/>
    <w:basedOn w:val="26"/>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6.xml"/><Relationship Id="rId26" Type="http://schemas.openxmlformats.org/officeDocument/2006/relationships/header" Target="header9.xml"/><Relationship Id="rId25" Type="http://schemas.openxmlformats.org/officeDocument/2006/relationships/footer" Target="footer15.xml"/><Relationship Id="rId24" Type="http://schemas.openxmlformats.org/officeDocument/2006/relationships/header" Target="header8.xml"/><Relationship Id="rId23" Type="http://schemas.openxmlformats.org/officeDocument/2006/relationships/footer" Target="footer14.xml"/><Relationship Id="rId22" Type="http://schemas.openxmlformats.org/officeDocument/2006/relationships/header" Target="header7.xml"/><Relationship Id="rId21" Type="http://schemas.openxmlformats.org/officeDocument/2006/relationships/footer" Target="footer13.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131</Pages>
  <Words>8701</Words>
  <Characters>9193</Characters>
  <TotalTime>27</TotalTime>
  <ScaleCrop>false</ScaleCrop>
  <LinksUpToDate>false</LinksUpToDate>
  <CharactersWithSpaces>9676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2022-10-24T09:11:00Z</dcterms:created>
  <dc:creator>Administrator</dc:creator>
  <cp:lastModifiedBy>4</cp:lastModifiedBy>
  <dcterms:modified xsi:type="dcterms:W3CDTF">2025-04-23T03:50:02Z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EE6C4665D00045D1B9FAB776C2272AAB</vt:lpwstr>
  </property>
  <property fmtid="{D5CDD505-2E9C-101B-9397-08002B2CF9AE}" pid="4" name="KSOTemplateDocerSaveRecord">
    <vt:lpwstr>eyJoZGlkIjoiZTg1Y2FiODY3MTY3MDM2MmMyMGQ2ZDU5YzE5NzU4ZDAiLCJ1c2VySWQiOiI3MDUyNDcxNDcifQ==</vt:lpwstr>
  </property>
</Properties>
</file>