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416FF">
      <w:pPr>
        <w:pStyle w:val="24"/>
        <w:jc w:val="both"/>
        <w:rPr>
          <w:rFonts w:hint="eastAsia" w:ascii="宋体" w:hAnsi="宋体" w:eastAsia="宋体" w:cs="宋体"/>
          <w:b/>
          <w:color w:val="auto"/>
          <w:spacing w:val="4"/>
          <w:kern w:val="0"/>
          <w:sz w:val="52"/>
          <w:szCs w:val="52"/>
          <w:highlight w:val="none"/>
        </w:rPr>
      </w:pPr>
      <w:bookmarkStart w:id="0" w:name="OLE_LINK3"/>
    </w:p>
    <w:p w14:paraId="57FA90C9">
      <w:pPr>
        <w:pStyle w:val="24"/>
        <w:rPr>
          <w:rFonts w:hint="eastAsia" w:ascii="宋体" w:hAnsi="宋体" w:eastAsia="宋体" w:cs="宋体"/>
          <w:b/>
          <w:color w:val="auto"/>
          <w:spacing w:val="4"/>
          <w:kern w:val="0"/>
          <w:sz w:val="52"/>
          <w:szCs w:val="52"/>
          <w:highlight w:val="none"/>
          <w:lang w:eastAsia="zh-CN"/>
        </w:rPr>
      </w:pPr>
      <w:r>
        <w:rPr>
          <w:rFonts w:hint="eastAsia" w:ascii="宋体" w:hAnsi="宋体" w:eastAsia="宋体" w:cs="宋体"/>
          <w:b/>
          <w:color w:val="auto"/>
          <w:spacing w:val="4"/>
          <w:kern w:val="0"/>
          <w:sz w:val="52"/>
          <w:szCs w:val="52"/>
          <w:highlight w:val="none"/>
          <w:lang w:eastAsia="zh-CN"/>
        </w:rPr>
        <w:t>广州市自来水有限公司北部水厂智慧化系统开发服务公开招标项目</w:t>
      </w:r>
    </w:p>
    <w:p w14:paraId="28B64EFE">
      <w:pPr>
        <w:rPr>
          <w:rFonts w:hint="eastAsia"/>
          <w:color w:val="auto"/>
          <w:highlight w:val="none"/>
          <w:lang w:val="en-US" w:eastAsia="zh-CN"/>
        </w:rPr>
      </w:pPr>
      <w:r>
        <w:rPr>
          <w:rFonts w:hint="eastAsia" w:ascii="宋体" w:hAnsi="宋体" w:cs="宋体"/>
          <w:b/>
          <w:color w:val="auto"/>
          <w:spacing w:val="4"/>
          <w:kern w:val="0"/>
          <w:sz w:val="52"/>
          <w:szCs w:val="52"/>
          <w:highlight w:val="none"/>
          <w:lang w:val="en-US" w:eastAsia="zh-CN"/>
        </w:rPr>
        <w:t xml:space="preserve">            </w:t>
      </w:r>
    </w:p>
    <w:p w14:paraId="7DEF4462">
      <w:pPr>
        <w:spacing w:line="360" w:lineRule="auto"/>
        <w:rPr>
          <w:rFonts w:hint="eastAsia" w:ascii="宋体" w:hAnsi="宋体" w:eastAsia="宋体" w:cs="宋体"/>
          <w:color w:val="auto"/>
          <w:highlight w:val="none"/>
        </w:rPr>
      </w:pPr>
    </w:p>
    <w:bookmarkEnd w:id="0"/>
    <w:p w14:paraId="64895409">
      <w:pPr>
        <w:pStyle w:val="25"/>
        <w:ind w:firstLine="899"/>
        <w:rPr>
          <w:rFonts w:hint="eastAsia" w:ascii="宋体" w:hAnsi="宋体" w:eastAsia="宋体" w:cs="宋体"/>
          <w:b/>
          <w:color w:val="auto"/>
          <w:sz w:val="44"/>
          <w:szCs w:val="44"/>
          <w:highlight w:val="none"/>
        </w:rPr>
      </w:pPr>
    </w:p>
    <w:p w14:paraId="428CDDC2">
      <w:pPr>
        <w:pStyle w:val="24"/>
        <w:rPr>
          <w:rFonts w:hint="eastAsia" w:ascii="宋体" w:hAnsi="宋体" w:eastAsia="宋体" w:cs="宋体"/>
          <w:b/>
          <w:color w:val="auto"/>
          <w:spacing w:val="4"/>
          <w:kern w:val="0"/>
          <w:sz w:val="84"/>
          <w:szCs w:val="84"/>
          <w:highlight w:val="none"/>
        </w:rPr>
      </w:pPr>
    </w:p>
    <w:p w14:paraId="5B84D115">
      <w:pPr>
        <w:pStyle w:val="24"/>
        <w:rPr>
          <w:rFonts w:hint="eastAsia" w:ascii="宋体" w:hAnsi="宋体" w:eastAsia="宋体" w:cs="宋体"/>
          <w:color w:val="auto"/>
          <w:highlight w:val="none"/>
        </w:rPr>
      </w:pPr>
      <w:r>
        <w:rPr>
          <w:rFonts w:hint="eastAsia" w:ascii="宋体" w:hAnsi="宋体" w:eastAsia="宋体" w:cs="宋体"/>
          <w:b/>
          <w:color w:val="auto"/>
          <w:spacing w:val="4"/>
          <w:kern w:val="0"/>
          <w:sz w:val="84"/>
          <w:szCs w:val="84"/>
          <w:highlight w:val="none"/>
        </w:rPr>
        <w:t>招标文件</w:t>
      </w:r>
    </w:p>
    <w:p w14:paraId="23806B31">
      <w:pPr>
        <w:spacing w:line="360" w:lineRule="auto"/>
        <w:rPr>
          <w:rFonts w:hint="eastAsia" w:ascii="宋体" w:hAnsi="宋体" w:eastAsia="宋体" w:cs="宋体"/>
          <w:color w:val="auto"/>
          <w:highlight w:val="none"/>
        </w:rPr>
      </w:pPr>
    </w:p>
    <w:p w14:paraId="748C670C">
      <w:pPr>
        <w:pStyle w:val="5"/>
        <w:spacing w:line="360" w:lineRule="auto"/>
        <w:rPr>
          <w:rFonts w:hint="eastAsia" w:ascii="宋体" w:hAnsi="宋体" w:eastAsia="宋体" w:cs="宋体"/>
          <w:color w:val="auto"/>
          <w:highlight w:val="none"/>
        </w:rPr>
      </w:pPr>
    </w:p>
    <w:p w14:paraId="2EE629FF">
      <w:pPr>
        <w:pStyle w:val="5"/>
        <w:spacing w:line="360" w:lineRule="auto"/>
        <w:rPr>
          <w:rFonts w:hint="eastAsia" w:ascii="宋体" w:hAnsi="宋体" w:eastAsia="宋体" w:cs="宋体"/>
          <w:color w:val="auto"/>
          <w:highlight w:val="none"/>
        </w:rPr>
      </w:pPr>
    </w:p>
    <w:p w14:paraId="7F3CB3D2">
      <w:pPr>
        <w:pStyle w:val="26"/>
        <w:rPr>
          <w:rFonts w:hint="eastAsia" w:ascii="宋体" w:hAnsi="宋体" w:eastAsia="宋体" w:cs="宋体"/>
          <w:b/>
          <w:bCs/>
          <w:color w:val="auto"/>
          <w:highlight w:val="none"/>
        </w:rPr>
      </w:pPr>
      <w:r>
        <w:rPr>
          <w:rFonts w:hint="eastAsia" w:ascii="宋体" w:hAnsi="宋体" w:eastAsia="宋体" w:cs="宋体"/>
          <w:b/>
          <w:bCs/>
          <w:color w:val="auto"/>
          <w:spacing w:val="4"/>
          <w:kern w:val="0"/>
          <w:sz w:val="30"/>
          <w:szCs w:val="24"/>
          <w:highlight w:val="none"/>
        </w:rPr>
        <w:drawing>
          <wp:anchor distT="0" distB="0" distL="114300" distR="114300" simplePos="0" relativeHeight="251661312" behindDoc="0" locked="0" layoutInCell="1" allowOverlap="1">
            <wp:simplePos x="0" y="0"/>
            <wp:positionH relativeFrom="column">
              <wp:posOffset>5334000</wp:posOffset>
            </wp:positionH>
            <wp:positionV relativeFrom="paragraph">
              <wp:posOffset>2469515</wp:posOffset>
            </wp:positionV>
            <wp:extent cx="635" cy="254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a:stretch>
                      <a:fillRect/>
                    </a:stretch>
                  </pic:blipFill>
                  <pic:spPr>
                    <a:xfrm>
                      <a:off x="0" y="0"/>
                      <a:ext cx="635" cy="2540"/>
                    </a:xfrm>
                    <a:prstGeom prst="rect">
                      <a:avLst/>
                    </a:prstGeom>
                    <a:noFill/>
                    <a:ln>
                      <a:noFill/>
                    </a:ln>
                  </pic:spPr>
                </pic:pic>
              </a:graphicData>
            </a:graphic>
          </wp:anchor>
        </w:drawing>
      </w:r>
      <w:r>
        <w:rPr>
          <w:rFonts w:hint="eastAsia" w:ascii="宋体" w:hAnsi="宋体" w:eastAsia="宋体" w:cs="宋体"/>
          <w:b/>
          <w:bCs/>
          <w:color w:val="auto"/>
          <w:spacing w:val="4"/>
          <w:kern w:val="0"/>
          <w:sz w:val="30"/>
          <w:szCs w:val="24"/>
          <w:highlight w:val="none"/>
        </w:rPr>
        <w:t>(项目编号</w:t>
      </w:r>
      <w:r>
        <w:rPr>
          <w:rFonts w:hint="eastAsia" w:ascii="宋体" w:hAnsi="宋体" w:cs="宋体"/>
          <w:b/>
          <w:bCs/>
          <w:color w:val="auto"/>
          <w:spacing w:val="4"/>
          <w:kern w:val="0"/>
          <w:sz w:val="30"/>
          <w:szCs w:val="24"/>
          <w:highlight w:val="none"/>
          <w:lang w:eastAsia="zh-CN"/>
        </w:rPr>
        <w:t>：</w:t>
      </w:r>
      <w:r>
        <w:rPr>
          <w:rFonts w:hint="eastAsia" w:ascii="宋体" w:hAnsi="宋体" w:eastAsia="宋体" w:cs="宋体"/>
          <w:color w:val="auto"/>
          <w:spacing w:val="4"/>
          <w:kern w:val="0"/>
          <w:sz w:val="30"/>
          <w:szCs w:val="24"/>
          <w:highlight w:val="none"/>
        </w:rPr>
        <w:t xml:space="preserve">  </w:t>
      </w:r>
      <w:r>
        <w:rPr>
          <w:rFonts w:hint="eastAsia" w:ascii="宋体" w:hAnsi="宋体" w:cs="宋体"/>
          <w:color w:val="auto"/>
          <w:spacing w:val="4"/>
          <w:kern w:val="0"/>
          <w:sz w:val="30"/>
          <w:szCs w:val="24"/>
          <w:highlight w:val="none"/>
          <w:lang w:val="en-US" w:eastAsia="zh-CN"/>
        </w:rPr>
        <w:t xml:space="preserve">          </w:t>
      </w:r>
      <w:r>
        <w:rPr>
          <w:rFonts w:hint="eastAsia" w:ascii="宋体" w:hAnsi="宋体" w:eastAsia="宋体" w:cs="宋体"/>
          <w:color w:val="auto"/>
          <w:spacing w:val="4"/>
          <w:kern w:val="0"/>
          <w:sz w:val="30"/>
          <w:szCs w:val="24"/>
          <w:highlight w:val="none"/>
        </w:rPr>
        <w:t xml:space="preserve">   </w:t>
      </w:r>
      <w:r>
        <w:rPr>
          <w:rFonts w:hint="eastAsia" w:ascii="宋体" w:hAnsi="宋体" w:eastAsia="宋体" w:cs="宋体"/>
          <w:b/>
          <w:bCs/>
          <w:color w:val="auto"/>
          <w:spacing w:val="4"/>
          <w:kern w:val="0"/>
          <w:sz w:val="30"/>
          <w:szCs w:val="24"/>
          <w:highlight w:val="none"/>
        </w:rPr>
        <w:t>)</w:t>
      </w:r>
    </w:p>
    <w:p w14:paraId="3FED7D93">
      <w:pPr>
        <w:pStyle w:val="25"/>
        <w:ind w:firstLine="496"/>
        <w:rPr>
          <w:rFonts w:hint="eastAsia" w:ascii="宋体" w:hAnsi="宋体" w:eastAsia="宋体" w:cs="宋体"/>
          <w:color w:val="auto"/>
          <w:highlight w:val="none"/>
        </w:rPr>
      </w:pPr>
    </w:p>
    <w:p w14:paraId="43AB5E80">
      <w:pPr>
        <w:pStyle w:val="25"/>
        <w:ind w:firstLine="496"/>
        <w:rPr>
          <w:rFonts w:hint="eastAsia" w:ascii="宋体" w:hAnsi="宋体" w:eastAsia="宋体" w:cs="宋体"/>
          <w:color w:val="auto"/>
          <w:highlight w:val="none"/>
        </w:rPr>
      </w:pPr>
    </w:p>
    <w:p w14:paraId="4FB83CAE">
      <w:pPr>
        <w:pStyle w:val="25"/>
        <w:ind w:firstLine="576"/>
        <w:rPr>
          <w:rFonts w:hint="eastAsia" w:ascii="宋体" w:hAnsi="宋体" w:eastAsia="宋体" w:cs="宋体"/>
          <w:color w:val="auto"/>
          <w:sz w:val="28"/>
          <w:highlight w:val="none"/>
        </w:rPr>
      </w:pPr>
    </w:p>
    <w:p w14:paraId="7C30FF5B">
      <w:pPr>
        <w:spacing w:line="360" w:lineRule="auto"/>
        <w:ind w:firstLine="1581" w:firstLineChars="492"/>
        <w:rPr>
          <w:rFonts w:hint="eastAsia" w:ascii="宋体" w:hAnsi="宋体" w:eastAsia="宋体" w:cs="宋体"/>
          <w:b/>
          <w:color w:val="auto"/>
          <w:sz w:val="32"/>
          <w:szCs w:val="32"/>
          <w:highlight w:val="none"/>
        </w:rPr>
      </w:pPr>
      <w:bookmarkStart w:id="1" w:name="_Toc191089935"/>
      <w:bookmarkStart w:id="2" w:name="_Toc191096773"/>
      <w:bookmarkStart w:id="3" w:name="_Toc191184352"/>
      <w:bookmarkStart w:id="4" w:name="_Toc191090014"/>
      <w:bookmarkStart w:id="5" w:name="_Toc191095400"/>
      <w:bookmarkStart w:id="6" w:name="_Toc191697630"/>
      <w:bookmarkStart w:id="7" w:name="_Toc191444995"/>
      <w:r>
        <w:rPr>
          <w:rFonts w:hint="eastAsia" w:ascii="宋体" w:hAnsi="宋体" w:eastAsia="宋体" w:cs="宋体"/>
          <w:b/>
          <w:color w:val="auto"/>
          <w:sz w:val="32"/>
          <w:szCs w:val="32"/>
          <w:highlight w:val="none"/>
        </w:rPr>
        <w:t>招 标 人：广州市自来水有限公司</w:t>
      </w:r>
    </w:p>
    <w:p w14:paraId="4544CDD5">
      <w:pPr>
        <w:spacing w:line="360" w:lineRule="auto"/>
        <w:ind w:firstLine="1581" w:firstLineChars="492"/>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招标代理：</w:t>
      </w:r>
      <w:r>
        <w:rPr>
          <w:rFonts w:hint="eastAsia" w:ascii="宋体" w:hAnsi="宋体" w:cs="宋体"/>
          <w:b/>
          <w:color w:val="auto"/>
          <w:sz w:val="32"/>
          <w:szCs w:val="32"/>
          <w:highlight w:val="none"/>
          <w:lang w:eastAsia="zh-CN"/>
        </w:rPr>
        <w:t>广东建瀚工程管理有限公司</w:t>
      </w:r>
    </w:p>
    <w:p w14:paraId="22CFC20D">
      <w:pPr>
        <w:spacing w:line="360" w:lineRule="auto"/>
        <w:ind w:firstLine="1581" w:firstLineChars="49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日期：二○二</w:t>
      </w:r>
      <w:r>
        <w:rPr>
          <w:rFonts w:hint="eastAsia" w:ascii="宋体" w:hAnsi="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 xml:space="preserve"> </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月</w:t>
      </w:r>
    </w:p>
    <w:p w14:paraId="1AA433E9">
      <w:pPr>
        <w:pStyle w:val="27"/>
        <w:spacing w:beforeLines="0" w:after="120" w:line="360" w:lineRule="auto"/>
        <w:rPr>
          <w:rFonts w:hint="eastAsia" w:ascii="宋体" w:hAnsi="宋体" w:eastAsia="宋体" w:cs="宋体"/>
          <w:b/>
          <w:color w:val="auto"/>
          <w:spacing w:val="4"/>
          <w:kern w:val="0"/>
          <w:sz w:val="36"/>
          <w:szCs w:val="36"/>
          <w:highlight w:val="none"/>
        </w:rPr>
        <w:sectPr>
          <w:headerReference r:id="rId3" w:type="default"/>
          <w:footerReference r:id="rId4" w:type="default"/>
          <w:pgSz w:w="11907" w:h="16840"/>
          <w:pgMar w:top="1440" w:right="1803" w:bottom="1440" w:left="1803" w:header="851" w:footer="851" w:gutter="340"/>
          <w:pgNumType w:start="0"/>
          <w:cols w:space="720" w:num="1"/>
          <w:titlePg/>
          <w:docGrid w:linePitch="286" w:charSpace="0"/>
        </w:sectPr>
      </w:pPr>
      <w:bookmarkStart w:id="8" w:name="_Toc10552"/>
      <w:bookmarkStart w:id="9" w:name="_Toc34233220"/>
      <w:bookmarkStart w:id="10" w:name="_Toc25251"/>
      <w:bookmarkStart w:id="11" w:name="_Toc93064448"/>
    </w:p>
    <w:p w14:paraId="6083437A">
      <w:pPr>
        <w:pStyle w:val="27"/>
        <w:spacing w:beforeLines="0" w:after="120" w:line="360" w:lineRule="auto"/>
        <w:rPr>
          <w:rFonts w:hint="eastAsia" w:ascii="宋体" w:hAnsi="宋体" w:eastAsia="宋体" w:cs="宋体"/>
          <w:color w:val="auto"/>
          <w:highlight w:val="none"/>
        </w:rPr>
      </w:pPr>
      <w:r>
        <w:rPr>
          <w:rFonts w:hint="eastAsia" w:ascii="宋体" w:hAnsi="宋体" w:eastAsia="宋体" w:cs="宋体"/>
          <w:b/>
          <w:color w:val="auto"/>
          <w:spacing w:val="4"/>
          <w:kern w:val="0"/>
          <w:sz w:val="36"/>
          <w:szCs w:val="36"/>
          <w:highlight w:val="none"/>
        </w:rPr>
        <w:t>目 录</w:t>
      </w:r>
      <w:bookmarkEnd w:id="1"/>
      <w:bookmarkEnd w:id="2"/>
      <w:bookmarkEnd w:id="3"/>
      <w:bookmarkEnd w:id="4"/>
      <w:bookmarkEnd w:id="5"/>
      <w:bookmarkEnd w:id="6"/>
      <w:bookmarkEnd w:id="7"/>
      <w:bookmarkEnd w:id="8"/>
      <w:bookmarkEnd w:id="9"/>
      <w:bookmarkEnd w:id="10"/>
      <w:bookmarkEnd w:id="11"/>
    </w:p>
    <w:p w14:paraId="10BD9F9F">
      <w:pPr>
        <w:pStyle w:val="15"/>
        <w:tabs>
          <w:tab w:val="right" w:leader="dot" w:pos="7980"/>
          <w:tab w:val="right" w:leader="dot" w:pos="8400"/>
        </w:tabs>
        <w:spacing w:line="360" w:lineRule="auto"/>
        <w:rPr>
          <w:rFonts w:hint="eastAsia" w:ascii="宋体" w:hAnsi="宋体" w:eastAsia="宋体" w:cs="宋体"/>
          <w:b w:val="0"/>
          <w:caps w:val="0"/>
          <w:color w:val="auto"/>
          <w:kern w:val="2"/>
          <w:sz w:val="32"/>
          <w:szCs w:val="22"/>
          <w:highlight w:val="none"/>
          <w:lang w:eastAsia="zh-CN"/>
        </w:rPr>
      </w:pPr>
      <w:r>
        <w:rPr>
          <w:rFonts w:hint="eastAsia" w:ascii="宋体" w:hAnsi="宋体" w:eastAsia="宋体" w:cs="宋体"/>
          <w:b w:val="0"/>
          <w:caps/>
          <w:color w:val="auto"/>
          <w:kern w:val="0"/>
          <w:sz w:val="28"/>
          <w:szCs w:val="28"/>
          <w:highlight w:val="none"/>
        </w:rPr>
        <w:fldChar w:fldCharType="begin"/>
      </w:r>
      <w:r>
        <w:rPr>
          <w:rFonts w:hint="eastAsia" w:ascii="宋体" w:hAnsi="宋体" w:eastAsia="宋体" w:cs="宋体"/>
          <w:b w:val="0"/>
          <w:caps/>
          <w:color w:val="auto"/>
          <w:kern w:val="0"/>
          <w:sz w:val="28"/>
          <w:szCs w:val="28"/>
          <w:highlight w:val="none"/>
        </w:rPr>
        <w:instrText xml:space="preserve"> TOC \o "1-3" \h \z \u </w:instrText>
      </w:r>
      <w:r>
        <w:rPr>
          <w:rFonts w:hint="eastAsia" w:ascii="宋体" w:hAnsi="宋体" w:eastAsia="宋体" w:cs="宋体"/>
          <w:b w:val="0"/>
          <w:caps/>
          <w:color w:val="auto"/>
          <w:kern w:val="0"/>
          <w:sz w:val="28"/>
          <w:szCs w:val="28"/>
          <w:highlight w:val="none"/>
        </w:rPr>
        <w:fldChar w:fldCharType="separate"/>
      </w: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"_Toc93064463"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第1章 投标须知及前附表</w:t>
      </w:r>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lang w:val="en-US" w:eastAsia="zh-CN"/>
        </w:rPr>
        <w:t>7</w:t>
      </w:r>
    </w:p>
    <w:p w14:paraId="37AE9EEF">
      <w:pPr>
        <w:pStyle w:val="15"/>
        <w:tabs>
          <w:tab w:val="right" w:leader="dot" w:pos="7980"/>
          <w:tab w:val="right" w:leader="dot" w:pos="8400"/>
        </w:tabs>
        <w:spacing w:line="360" w:lineRule="auto"/>
        <w:rPr>
          <w:rFonts w:hint="eastAsia" w:ascii="宋体" w:hAnsi="宋体" w:eastAsia="宋体" w:cs="宋体"/>
          <w:b w:val="0"/>
          <w:caps w:val="0"/>
          <w:color w:val="auto"/>
          <w:kern w:val="2"/>
          <w:sz w:val="32"/>
          <w:szCs w:val="22"/>
          <w:highlight w:val="none"/>
        </w:rPr>
      </w:pP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"_Toc93064473"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第2章 服务合同</w:t>
      </w:r>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begin"/>
      </w:r>
      <w:r>
        <w:rPr>
          <w:rFonts w:hint="eastAsia" w:ascii="宋体" w:hAnsi="宋体" w:eastAsia="宋体" w:cs="宋体"/>
          <w:b/>
          <w:caps/>
          <w:color w:val="auto"/>
          <w:kern w:val="0"/>
          <w:sz w:val="28"/>
          <w:highlight w:val="none"/>
        </w:rPr>
        <w:instrText xml:space="preserve"> PAGEREF _Toc93064473 \h </w:instrText>
      </w:r>
      <w:r>
        <w:rPr>
          <w:rFonts w:hint="eastAsia" w:ascii="宋体" w:hAnsi="宋体" w:eastAsia="宋体" w:cs="宋体"/>
          <w:b/>
          <w:caps/>
          <w:color w:val="auto"/>
          <w:kern w:val="0"/>
          <w:sz w:val="28"/>
          <w:highlight w:val="none"/>
        </w:rPr>
        <w:fldChar w:fldCharType="separate"/>
      </w:r>
      <w:r>
        <w:rPr>
          <w:rFonts w:hint="eastAsia" w:ascii="宋体" w:hAnsi="宋体" w:eastAsia="宋体" w:cs="宋体"/>
          <w:b/>
          <w:caps/>
          <w:color w:val="auto"/>
          <w:kern w:val="0"/>
          <w:sz w:val="28"/>
          <w:highlight w:val="none"/>
        </w:rPr>
        <w:t>22</w:t>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rPr>
        <w:fldChar w:fldCharType="end"/>
      </w:r>
    </w:p>
    <w:p w14:paraId="1ACFE105">
      <w:pPr>
        <w:pStyle w:val="15"/>
        <w:tabs>
          <w:tab w:val="right" w:leader="dot" w:pos="7980"/>
          <w:tab w:val="right" w:leader="dot" w:pos="8400"/>
        </w:tabs>
        <w:spacing w:line="360" w:lineRule="auto"/>
        <w:rPr>
          <w:rFonts w:hint="default" w:ascii="宋体" w:hAnsi="宋体" w:eastAsia="宋体" w:cs="宋体"/>
          <w:b w:val="0"/>
          <w:caps w:val="0"/>
          <w:color w:val="auto"/>
          <w:kern w:val="2"/>
          <w:sz w:val="32"/>
          <w:szCs w:val="22"/>
          <w:highlight w:val="none"/>
          <w:lang w:val="en-US" w:eastAsia="zh-CN"/>
        </w:rPr>
      </w:pP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"_Toc93064477"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第3章 投标文件格式</w:t>
      </w:r>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lang w:val="en-US" w:eastAsia="zh-CN"/>
        </w:rPr>
        <w:t>59</w:t>
      </w:r>
    </w:p>
    <w:p w14:paraId="3041C981">
      <w:pPr>
        <w:pStyle w:val="15"/>
        <w:tabs>
          <w:tab w:val="right" w:leader="dot" w:pos="7980"/>
          <w:tab w:val="right" w:leader="dot" w:pos="8400"/>
        </w:tabs>
        <w:spacing w:line="360" w:lineRule="auto"/>
        <w:rPr>
          <w:rFonts w:hint="eastAsia" w:ascii="宋体" w:hAnsi="宋体" w:eastAsia="宋体" w:cs="宋体"/>
          <w:b w:val="0"/>
          <w:caps w:val="0"/>
          <w:color w:val="auto"/>
          <w:kern w:val="2"/>
          <w:sz w:val="32"/>
          <w:szCs w:val="22"/>
          <w:highlight w:val="none"/>
        </w:rPr>
      </w:pP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"_Toc93064508"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第4章 否决性条款汇总</w:t>
      </w:r>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begin"/>
      </w:r>
      <w:r>
        <w:rPr>
          <w:rFonts w:hint="eastAsia" w:ascii="宋体" w:hAnsi="宋体" w:eastAsia="宋体" w:cs="宋体"/>
          <w:b/>
          <w:caps/>
          <w:color w:val="auto"/>
          <w:kern w:val="0"/>
          <w:sz w:val="28"/>
          <w:highlight w:val="none"/>
        </w:rPr>
        <w:instrText xml:space="preserve"> PAGEREF _Toc93064508 \h </w:instrText>
      </w:r>
      <w:r>
        <w:rPr>
          <w:rFonts w:hint="eastAsia" w:ascii="宋体" w:hAnsi="宋体" w:eastAsia="宋体" w:cs="宋体"/>
          <w:b/>
          <w:caps/>
          <w:color w:val="auto"/>
          <w:kern w:val="0"/>
          <w:sz w:val="28"/>
          <w:highlight w:val="none"/>
        </w:rPr>
        <w:fldChar w:fldCharType="separate"/>
      </w:r>
      <w:r>
        <w:rPr>
          <w:rFonts w:hint="eastAsia" w:ascii="宋体" w:hAnsi="宋体" w:eastAsia="宋体" w:cs="宋体"/>
          <w:b/>
          <w:caps/>
          <w:color w:val="auto"/>
          <w:kern w:val="0"/>
          <w:sz w:val="28"/>
          <w:highlight w:val="none"/>
        </w:rPr>
        <w:t>96</w:t>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rPr>
        <w:fldChar w:fldCharType="end"/>
      </w:r>
    </w:p>
    <w:p w14:paraId="787BF6B0">
      <w:pPr>
        <w:pStyle w:val="15"/>
        <w:tabs>
          <w:tab w:val="right" w:leader="dot" w:pos="7980"/>
          <w:tab w:val="right" w:leader="dot" w:pos="8400"/>
        </w:tabs>
        <w:spacing w:line="360" w:lineRule="auto"/>
        <w:rPr>
          <w:rFonts w:hint="eastAsia" w:ascii="宋体" w:hAnsi="宋体" w:eastAsia="宋体" w:cs="宋体"/>
          <w:b w:val="0"/>
          <w:caps w:val="0"/>
          <w:color w:val="auto"/>
          <w:kern w:val="2"/>
          <w:sz w:val="32"/>
          <w:szCs w:val="22"/>
          <w:highlight w:val="none"/>
        </w:rPr>
      </w:pP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"_Toc93064509"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第5章 评标办法</w:t>
      </w:r>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begin"/>
      </w:r>
      <w:r>
        <w:rPr>
          <w:rFonts w:hint="eastAsia" w:ascii="宋体" w:hAnsi="宋体" w:eastAsia="宋体" w:cs="宋体"/>
          <w:b/>
          <w:caps/>
          <w:color w:val="auto"/>
          <w:kern w:val="0"/>
          <w:sz w:val="28"/>
          <w:highlight w:val="none"/>
        </w:rPr>
        <w:instrText xml:space="preserve"> PAGEREF _Toc93064509 \h </w:instrText>
      </w:r>
      <w:r>
        <w:rPr>
          <w:rFonts w:hint="eastAsia" w:ascii="宋体" w:hAnsi="宋体" w:eastAsia="宋体" w:cs="宋体"/>
          <w:b/>
          <w:caps/>
          <w:color w:val="auto"/>
          <w:kern w:val="0"/>
          <w:sz w:val="28"/>
          <w:highlight w:val="none"/>
        </w:rPr>
        <w:fldChar w:fldCharType="separate"/>
      </w:r>
      <w:r>
        <w:rPr>
          <w:rFonts w:hint="eastAsia" w:ascii="宋体" w:hAnsi="宋体" w:eastAsia="宋体" w:cs="宋体"/>
          <w:b/>
          <w:caps/>
          <w:color w:val="auto"/>
          <w:kern w:val="0"/>
          <w:sz w:val="28"/>
          <w:highlight w:val="none"/>
        </w:rPr>
        <w:t>98</w:t>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rPr>
        <w:fldChar w:fldCharType="end"/>
      </w:r>
    </w:p>
    <w:p w14:paraId="75CA5660">
      <w:pPr>
        <w:pStyle w:val="15"/>
        <w:tabs>
          <w:tab w:val="right" w:leader="dot" w:pos="7980"/>
          <w:tab w:val="right" w:leader="dot" w:pos="8400"/>
        </w:tabs>
        <w:spacing w:line="360" w:lineRule="auto"/>
        <w:rPr>
          <w:rFonts w:hint="default" w:ascii="宋体" w:hAnsi="宋体" w:eastAsia="宋体" w:cs="宋体"/>
          <w:b/>
          <w:caps/>
          <w:color w:val="auto"/>
          <w:kern w:val="0"/>
          <w:sz w:val="28"/>
          <w:highlight w:val="none"/>
          <w:lang w:val="en-US" w:eastAsia="zh-CN"/>
        </w:rPr>
      </w:pPr>
      <w:r>
        <w:rPr>
          <w:rFonts w:hint="eastAsia" w:ascii="宋体" w:hAnsi="宋体" w:eastAsia="宋体" w:cs="宋体"/>
          <w:b/>
          <w:caps/>
          <w:color w:val="auto"/>
          <w:kern w:val="0"/>
          <w:sz w:val="20"/>
          <w:highlight w:val="none"/>
        </w:rPr>
        <w:fldChar w:fldCharType="begin"/>
      </w:r>
      <w:r>
        <w:rPr>
          <w:rFonts w:hint="eastAsia" w:ascii="宋体" w:hAnsi="宋体" w:eastAsia="宋体" w:cs="宋体"/>
          <w:b/>
          <w:caps/>
          <w:color w:val="auto"/>
          <w:kern w:val="0"/>
          <w:sz w:val="20"/>
          <w:highlight w:val="none"/>
        </w:rPr>
        <w:instrText xml:space="preserve"> HYPERLINK \l "_Toc93064510" </w:instrText>
      </w:r>
      <w:r>
        <w:rPr>
          <w:rFonts w:hint="eastAsia" w:ascii="宋体" w:hAnsi="宋体" w:eastAsia="宋体" w:cs="宋体"/>
          <w:b/>
          <w:caps/>
          <w:color w:val="auto"/>
          <w:kern w:val="0"/>
          <w:sz w:val="20"/>
          <w:highlight w:val="none"/>
        </w:rPr>
        <w:fldChar w:fldCharType="separate"/>
      </w:r>
      <w:r>
        <w:rPr>
          <w:rStyle w:val="23"/>
          <w:rFonts w:hint="eastAsia" w:ascii="宋体" w:hAnsi="宋体" w:eastAsia="宋体" w:cs="宋体"/>
          <w:b/>
          <w:caps/>
          <w:color w:val="auto"/>
          <w:kern w:val="0"/>
          <w:sz w:val="28"/>
          <w:highlight w:val="none"/>
        </w:rPr>
        <w:t>第6章 用户需求</w:t>
      </w:r>
      <w:bookmarkStart w:id="12" w:name="_Hlt93064599"/>
      <w:r>
        <w:rPr>
          <w:rStyle w:val="23"/>
          <w:rFonts w:hint="eastAsia" w:ascii="宋体" w:hAnsi="宋体" w:eastAsia="宋体" w:cs="宋体"/>
          <w:b/>
          <w:caps/>
          <w:color w:val="auto"/>
          <w:kern w:val="0"/>
          <w:sz w:val="28"/>
          <w:highlight w:val="none"/>
        </w:rPr>
        <w:t>书</w:t>
      </w:r>
      <w:bookmarkEnd w:id="12"/>
      <w:r>
        <w:rPr>
          <w:rFonts w:hint="eastAsia" w:ascii="宋体" w:hAnsi="宋体" w:eastAsia="宋体" w:cs="宋体"/>
          <w:b/>
          <w:caps/>
          <w:color w:val="auto"/>
          <w:kern w:val="0"/>
          <w:sz w:val="28"/>
          <w:highlight w:val="none"/>
        </w:rPr>
        <w:tab/>
      </w:r>
      <w:r>
        <w:rPr>
          <w:rFonts w:hint="eastAsia" w:ascii="宋体" w:hAnsi="宋体" w:eastAsia="宋体" w:cs="宋体"/>
          <w:b/>
          <w:caps/>
          <w:color w:val="auto"/>
          <w:kern w:val="0"/>
          <w:sz w:val="28"/>
          <w:highlight w:val="none"/>
        </w:rPr>
        <w:fldChar w:fldCharType="begin"/>
      </w:r>
      <w:r>
        <w:rPr>
          <w:rFonts w:hint="eastAsia" w:ascii="宋体" w:hAnsi="宋体" w:eastAsia="宋体" w:cs="宋体"/>
          <w:b/>
          <w:caps/>
          <w:color w:val="auto"/>
          <w:kern w:val="0"/>
          <w:sz w:val="28"/>
          <w:highlight w:val="none"/>
        </w:rPr>
        <w:instrText xml:space="preserve"> PAGEREF _Toc93064510 \h </w:instrText>
      </w:r>
      <w:r>
        <w:rPr>
          <w:rFonts w:hint="eastAsia" w:ascii="宋体" w:hAnsi="宋体" w:eastAsia="宋体" w:cs="宋体"/>
          <w:b/>
          <w:caps/>
          <w:color w:val="auto"/>
          <w:kern w:val="0"/>
          <w:sz w:val="28"/>
          <w:highlight w:val="none"/>
        </w:rPr>
        <w:fldChar w:fldCharType="separate"/>
      </w:r>
      <w:r>
        <w:rPr>
          <w:rFonts w:hint="eastAsia" w:ascii="宋体" w:hAnsi="宋体" w:eastAsia="宋体" w:cs="宋体"/>
          <w:b/>
          <w:caps/>
          <w:color w:val="auto"/>
          <w:kern w:val="0"/>
          <w:sz w:val="28"/>
          <w:highlight w:val="none"/>
        </w:rPr>
        <w:t>1</w:t>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rPr>
        <w:fldChar w:fldCharType="end"/>
      </w:r>
      <w:r>
        <w:rPr>
          <w:rFonts w:hint="eastAsia" w:ascii="宋体" w:hAnsi="宋体" w:eastAsia="宋体" w:cs="宋体"/>
          <w:b/>
          <w:caps/>
          <w:color w:val="auto"/>
          <w:kern w:val="0"/>
          <w:sz w:val="28"/>
          <w:highlight w:val="none"/>
          <w:lang w:val="en-US" w:eastAsia="zh-CN"/>
        </w:rPr>
        <w:t>17</w:t>
      </w:r>
    </w:p>
    <w:p w14:paraId="12F60525">
      <w:pPr>
        <w:rPr>
          <w:rFonts w:hint="eastAsia"/>
          <w:color w:val="auto"/>
          <w:highlight w:val="none"/>
        </w:rPr>
      </w:pPr>
    </w:p>
    <w:p w14:paraId="22C97A57">
      <w:pPr>
        <w:pStyle w:val="25"/>
        <w:ind w:firstLine="560"/>
        <w:rPr>
          <w:rFonts w:hint="eastAsia" w:ascii="宋体" w:hAnsi="宋体" w:eastAsia="宋体" w:cs="宋体"/>
          <w:b/>
          <w:color w:val="auto"/>
          <w:sz w:val="28"/>
          <w:szCs w:val="28"/>
          <w:highlight w:val="none"/>
        </w:rPr>
      </w:pPr>
      <w:r>
        <w:rPr>
          <w:rFonts w:hint="eastAsia" w:ascii="宋体" w:hAnsi="宋体" w:eastAsia="宋体" w:cs="宋体"/>
          <w:color w:val="auto"/>
          <w:spacing w:val="4"/>
          <w:kern w:val="0"/>
          <w:sz w:val="28"/>
          <w:szCs w:val="28"/>
          <w:highlight w:val="none"/>
        </w:rPr>
        <w:fldChar w:fldCharType="end"/>
      </w:r>
    </w:p>
    <w:p w14:paraId="464879C0">
      <w:pPr>
        <w:widowControl/>
        <w:spacing w:line="360" w:lineRule="auto"/>
        <w:ind w:firstLine="420"/>
        <w:jc w:val="left"/>
        <w:rPr>
          <w:rFonts w:hint="eastAsia" w:ascii="宋体" w:hAnsi="宋体" w:eastAsia="宋体" w:cs="宋体"/>
          <w:b/>
          <w:snapToGrid w:val="0"/>
          <w:color w:val="auto"/>
          <w:spacing w:val="4"/>
          <w:kern w:val="0"/>
          <w:sz w:val="28"/>
          <w:szCs w:val="28"/>
          <w:highlight w:val="none"/>
        </w:rPr>
        <w:sectPr>
          <w:footerReference r:id="rId6" w:type="first"/>
          <w:footerReference r:id="rId5" w:type="default"/>
          <w:pgSz w:w="11907" w:h="16840"/>
          <w:pgMar w:top="1440" w:right="1803" w:bottom="1440" w:left="1803" w:header="851" w:footer="851" w:gutter="340"/>
          <w:pgNumType w:fmt="decimal" w:start="1"/>
          <w:cols w:space="720" w:num="1"/>
          <w:titlePg/>
          <w:docGrid w:linePitch="286" w:charSpace="0"/>
        </w:sectPr>
      </w:pPr>
    </w:p>
    <w:p w14:paraId="2CDBC09F">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outlineLvl w:val="0"/>
        <w:rPr>
          <w:rFonts w:hint="eastAsia" w:ascii="宋体" w:hAnsi="宋体" w:eastAsia="宋体" w:cs="宋体"/>
          <w:b/>
          <w:color w:val="auto"/>
          <w:kern w:val="0"/>
          <w:sz w:val="32"/>
          <w:szCs w:val="32"/>
          <w:highlight w:val="none"/>
          <w:lang w:val="en-US" w:eastAsia="zh-CN"/>
        </w:rPr>
      </w:pPr>
      <w:r>
        <w:rPr>
          <w:rFonts w:hint="eastAsia" w:ascii="宋体" w:hAnsi="宋体" w:cs="宋体"/>
          <w:b/>
          <w:color w:val="auto"/>
          <w:kern w:val="0"/>
          <w:sz w:val="32"/>
          <w:szCs w:val="32"/>
          <w:highlight w:val="none"/>
          <w:lang w:eastAsia="zh-CN"/>
        </w:rPr>
        <w:t>广州市自来水有限公司北部水厂智慧化系统开发服务公开招标项目</w:t>
      </w:r>
      <w:r>
        <w:rPr>
          <w:rFonts w:hint="eastAsia" w:ascii="宋体" w:hAnsi="宋体" w:eastAsia="宋体" w:cs="宋体"/>
          <w:b/>
          <w:color w:val="auto"/>
          <w:kern w:val="0"/>
          <w:sz w:val="32"/>
          <w:szCs w:val="32"/>
          <w:highlight w:val="none"/>
          <w:lang w:val="en-US" w:eastAsia="zh-CN"/>
        </w:rPr>
        <w:t>招标公告</w:t>
      </w:r>
    </w:p>
    <w:p w14:paraId="1284A882">
      <w:pPr>
        <w:spacing w:line="360" w:lineRule="auto"/>
        <w:ind w:firstLine="420" w:firstLineChars="200"/>
        <w:rPr>
          <w:rFonts w:hint="eastAsia" w:ascii="宋体" w:hAnsi="宋体" w:eastAsia="宋体" w:cs="宋体"/>
          <w:color w:val="auto"/>
          <w:highlight w:val="none"/>
        </w:rPr>
      </w:pPr>
    </w:p>
    <w:p w14:paraId="4EDA5D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2"/>
          <w:highlight w:val="none"/>
          <w:u w:val="single"/>
          <w:lang w:eastAsia="zh-CN"/>
        </w:rPr>
        <w:t>广州市自来水有限公司北部水厂智慧化系统开发服务公开招标项目</w:t>
      </w:r>
      <w:r>
        <w:rPr>
          <w:rFonts w:hint="eastAsia" w:ascii="宋体" w:hAnsi="宋体" w:eastAsia="宋体" w:cs="宋体"/>
          <w:color w:val="auto"/>
          <w:sz w:val="24"/>
          <w:szCs w:val="24"/>
          <w:highlight w:val="none"/>
        </w:rPr>
        <w:t>已</w:t>
      </w:r>
      <w:r>
        <w:rPr>
          <w:rFonts w:hint="eastAsia" w:ascii="宋体" w:hAnsi="宋体" w:eastAsia="宋体" w:cs="宋体"/>
          <w:color w:val="auto"/>
          <w:sz w:val="24"/>
          <w:highlight w:val="none"/>
        </w:rPr>
        <w:t>具备招标条件</w:t>
      </w:r>
      <w:r>
        <w:rPr>
          <w:rFonts w:hint="eastAsia" w:ascii="宋体" w:hAnsi="宋体" w:eastAsia="宋体" w:cs="宋体"/>
          <w:color w:val="auto"/>
          <w:sz w:val="24"/>
          <w:szCs w:val="24"/>
          <w:highlight w:val="none"/>
        </w:rPr>
        <w:t>，现招标人决定对该项目依法组织国内公开招标。现将本项目招标的具体事宜公告如下：</w:t>
      </w:r>
    </w:p>
    <w:p w14:paraId="7B2B3513">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一、项目名称：</w:t>
      </w:r>
      <w:r>
        <w:rPr>
          <w:rFonts w:hint="eastAsia" w:ascii="宋体" w:hAnsi="宋体" w:cs="宋体"/>
          <w:color w:val="auto"/>
          <w:sz w:val="24"/>
          <w:szCs w:val="22"/>
          <w:highlight w:val="none"/>
          <w:u w:val="single"/>
          <w:lang w:eastAsia="zh-CN"/>
        </w:rPr>
        <w:t>广州市自来水有限公司北部水厂智慧化系统开发服务公开招标项目</w:t>
      </w:r>
    </w:p>
    <w:p w14:paraId="66E2F0CA">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二、招标单位、招标代理机构及招标监督机构：</w:t>
      </w:r>
    </w:p>
    <w:p w14:paraId="4FADCE2F">
      <w:pPr>
        <w:keepNext w:val="0"/>
        <w:keepLines w:val="0"/>
        <w:pageBreakBefore w:val="0"/>
        <w:widowControl/>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color w:val="auto"/>
          <w:kern w:val="2"/>
          <w:sz w:val="24"/>
          <w:szCs w:val="24"/>
          <w:highlight w:val="none"/>
          <w:u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招标单位：</w:t>
      </w:r>
      <w:r>
        <w:rPr>
          <w:rFonts w:hint="eastAsia" w:ascii="宋体" w:hAnsi="宋体" w:eastAsia="宋体" w:cs="宋体"/>
          <w:color w:val="auto"/>
          <w:kern w:val="0"/>
          <w:sz w:val="24"/>
          <w:szCs w:val="24"/>
          <w:highlight w:val="none"/>
          <w:u w:val="single"/>
        </w:rPr>
        <w:t>广州市自来水有限公司</w:t>
      </w:r>
    </w:p>
    <w:p w14:paraId="79D7E6E0">
      <w:pPr>
        <w:spacing w:line="360" w:lineRule="auto"/>
        <w:ind w:firstLine="48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u w:val="single"/>
          <w:lang w:val="en-US" w:eastAsia="zh-CN"/>
        </w:rPr>
        <w:t>黄工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020-87159</w:t>
      </w:r>
      <w:r>
        <w:rPr>
          <w:rFonts w:hint="eastAsia" w:ascii="宋体" w:hAnsi="宋体"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9(办公时间：8</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00～17</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00）</w:t>
      </w:r>
    </w:p>
    <w:p w14:paraId="070E5099">
      <w:pPr>
        <w:keepNext w:val="0"/>
        <w:keepLines w:val="0"/>
        <w:pageBreakBefore w:val="0"/>
        <w:widowControl/>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招标代理机构：</w:t>
      </w:r>
      <w:r>
        <w:rPr>
          <w:rFonts w:hint="eastAsia" w:ascii="宋体" w:hAnsi="宋体" w:cs="宋体"/>
          <w:color w:val="auto"/>
          <w:sz w:val="24"/>
          <w:szCs w:val="24"/>
          <w:highlight w:val="none"/>
          <w:u w:val="single"/>
          <w:lang w:eastAsia="zh-CN"/>
        </w:rPr>
        <w:t>广东建瀚工程管理有限公司</w:t>
      </w:r>
    </w:p>
    <w:p w14:paraId="2A92DFC7">
      <w:pPr>
        <w:spacing w:line="360" w:lineRule="auto"/>
        <w:ind w:firstLine="480"/>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u w:val="single"/>
          <w:lang w:val="en-US" w:eastAsia="zh-CN"/>
        </w:rPr>
        <w:t>黄</w:t>
      </w:r>
      <w:r>
        <w:rPr>
          <w:rFonts w:hint="eastAsia" w:ascii="宋体" w:hAnsi="宋体" w:cs="宋体"/>
          <w:color w:val="auto"/>
          <w:sz w:val="24"/>
          <w:szCs w:val="24"/>
          <w:highlight w:val="none"/>
          <w:u w:val="single"/>
          <w:lang w:eastAsia="zh-CN"/>
        </w:rPr>
        <w:t>工</w:t>
      </w:r>
      <w:r>
        <w:rPr>
          <w:rFonts w:hint="eastAsia" w:ascii="宋体" w:hAnsi="宋体" w:eastAsia="宋体" w:cs="宋体"/>
          <w:color w:val="auto"/>
          <w:sz w:val="24"/>
          <w:szCs w:val="24"/>
          <w:highlight w:val="none"/>
        </w:rPr>
        <w:t xml:space="preserve">   联系电话：</w:t>
      </w:r>
      <w:r>
        <w:rPr>
          <w:rFonts w:hint="eastAsia" w:ascii="宋体" w:hAnsi="宋体" w:cs="宋体"/>
          <w:color w:val="auto"/>
          <w:sz w:val="24"/>
          <w:szCs w:val="24"/>
          <w:highlight w:val="none"/>
          <w:lang w:val="en-US" w:eastAsia="zh-CN"/>
        </w:rPr>
        <w:t>13640801478</w:t>
      </w:r>
    </w:p>
    <w:p w14:paraId="60F29FDA">
      <w:pPr>
        <w:keepNext w:val="0"/>
        <w:keepLines w:val="0"/>
        <w:pageBreakBefore w:val="0"/>
        <w:widowControl/>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招标监督机构：</w:t>
      </w:r>
      <w:r>
        <w:rPr>
          <w:rFonts w:hint="eastAsia" w:ascii="宋体" w:hAnsi="宋体" w:eastAsia="宋体" w:cs="宋体"/>
          <w:color w:val="auto"/>
          <w:kern w:val="0"/>
          <w:sz w:val="24"/>
          <w:szCs w:val="24"/>
          <w:highlight w:val="none"/>
          <w:u w:val="single"/>
        </w:rPr>
        <w:t>广州市自来水有限公司招标办公室</w:t>
      </w:r>
    </w:p>
    <w:p w14:paraId="07AC6F72">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投诉电话：</w:t>
      </w:r>
      <w:r>
        <w:rPr>
          <w:rFonts w:hint="eastAsia" w:ascii="宋体" w:hAnsi="宋体" w:eastAsia="宋体" w:cs="宋体"/>
          <w:color w:val="auto"/>
          <w:kern w:val="0"/>
          <w:sz w:val="24"/>
          <w:szCs w:val="24"/>
          <w:highlight w:val="none"/>
          <w:u w:val="single"/>
        </w:rPr>
        <w:t>020-87159</w:t>
      </w:r>
      <w:r>
        <w:rPr>
          <w:rFonts w:hint="eastAsia" w:ascii="宋体" w:hAnsi="宋体" w:cs="宋体"/>
          <w:color w:val="auto"/>
          <w:kern w:val="0"/>
          <w:sz w:val="24"/>
          <w:szCs w:val="24"/>
          <w:highlight w:val="none"/>
          <w:u w:val="single"/>
          <w:lang w:val="en-US" w:eastAsia="zh-CN"/>
        </w:rPr>
        <w:t>05</w:t>
      </w:r>
      <w:r>
        <w:rPr>
          <w:rFonts w:hint="eastAsia" w:ascii="宋体" w:hAnsi="宋体" w:eastAsia="宋体" w:cs="宋体"/>
          <w:color w:val="auto"/>
          <w:kern w:val="0"/>
          <w:sz w:val="24"/>
          <w:szCs w:val="24"/>
          <w:highlight w:val="none"/>
          <w:u w:val="single"/>
        </w:rPr>
        <w:t xml:space="preserve">9 </w:t>
      </w:r>
    </w:p>
    <w:p w14:paraId="66AAD0B5">
      <w:pPr>
        <w:numPr>
          <w:ilvl w:val="-1"/>
          <w:numId w:val="0"/>
        </w:numPr>
        <w:spacing w:line="360" w:lineRule="auto"/>
        <w:ind w:firstLine="0"/>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项目概况：</w:t>
      </w:r>
      <w:r>
        <w:rPr>
          <w:rFonts w:hint="eastAsia" w:ascii="宋体" w:hAnsi="宋体" w:cs="宋体"/>
          <w:color w:val="auto"/>
          <w:sz w:val="24"/>
          <w:szCs w:val="24"/>
          <w:highlight w:val="none"/>
        </w:rPr>
        <w:t>北部水厂智慧化系统开发服务项目是依据技术要求、合同等相关文件要求，结合水厂一、二期建设实际情况</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包括硬件部署情况</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完成软件开发、优化工作，运用云计算，物联网，大数据，人工智能，AI大模型等新技术，以智慧生产控制、智慧运营、智慧决策为三个特色系统，结合北部水厂业务应用场景，构建跨平台、多融合、高可靠、数字化的智慧水厂应用场景体系，实现少人值守、远程移动监管、全面信息感知、高可靠运营、科学决策等目标，全面提升北部水厂的智慧化水平和服务质量。本次招标范围为软件系统，不含数据中心以及现场硬件设备</w:t>
      </w:r>
      <w:r>
        <w:rPr>
          <w:rFonts w:hint="eastAsia" w:ascii="宋体" w:hAnsi="宋体" w:cs="宋体"/>
          <w:b w:val="0"/>
          <w:bCs w:val="0"/>
          <w:color w:val="auto"/>
          <w:sz w:val="24"/>
          <w:szCs w:val="24"/>
          <w:highlight w:val="none"/>
          <w:lang w:eastAsia="zh-CN"/>
        </w:rPr>
        <w:t>。</w:t>
      </w:r>
    </w:p>
    <w:p w14:paraId="6F546FC0">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四、资金来源：</w:t>
      </w:r>
      <w:r>
        <w:rPr>
          <w:rFonts w:hint="eastAsia" w:ascii="宋体" w:hAnsi="宋体" w:eastAsia="宋体" w:cs="宋体"/>
          <w:color w:val="auto"/>
          <w:sz w:val="24"/>
          <w:szCs w:val="24"/>
          <w:highlight w:val="none"/>
        </w:rPr>
        <w:t>自筹资金。</w:t>
      </w:r>
    </w:p>
    <w:p w14:paraId="5999A8F0">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五、服务地点：</w:t>
      </w:r>
      <w:r>
        <w:rPr>
          <w:rFonts w:hint="eastAsia" w:ascii="宋体" w:hAnsi="宋体" w:eastAsia="宋体" w:cs="宋体"/>
          <w:color w:val="auto"/>
          <w:sz w:val="24"/>
          <w:szCs w:val="24"/>
          <w:highlight w:val="none"/>
        </w:rPr>
        <w:t>广州市（具体由招标人指定</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地点）。</w:t>
      </w:r>
    </w:p>
    <w:p w14:paraId="75FB3476">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六、标段划分、招标内容、服务期及</w:t>
      </w:r>
      <w:r>
        <w:rPr>
          <w:rFonts w:hint="eastAsia" w:ascii="宋体" w:hAnsi="宋体" w:eastAsia="宋体" w:cs="宋体"/>
          <w:b/>
          <w:bCs/>
          <w:color w:val="auto"/>
          <w:sz w:val="24"/>
          <w:szCs w:val="24"/>
          <w:highlight w:val="none"/>
          <w:lang w:eastAsia="zh-CN"/>
        </w:rPr>
        <w:t>招标控制价</w:t>
      </w:r>
      <w:r>
        <w:rPr>
          <w:rFonts w:hint="eastAsia" w:ascii="宋体" w:hAnsi="宋体" w:eastAsia="宋体" w:cs="宋体"/>
          <w:b/>
          <w:bCs/>
          <w:color w:val="auto"/>
          <w:sz w:val="24"/>
          <w:szCs w:val="24"/>
          <w:highlight w:val="none"/>
        </w:rPr>
        <w:t>：</w:t>
      </w:r>
    </w:p>
    <w:p w14:paraId="5E41E3C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本次招标</w:t>
      </w:r>
      <w:r>
        <w:rPr>
          <w:rFonts w:hint="eastAsia" w:ascii="宋体" w:hAnsi="宋体" w:cs="宋体"/>
          <w:color w:val="auto"/>
          <w:sz w:val="24"/>
          <w:szCs w:val="24"/>
          <w:highlight w:val="none"/>
          <w:lang w:val="en-US" w:eastAsia="zh-CN"/>
        </w:rPr>
        <w:t>不</w:t>
      </w:r>
      <w:r>
        <w:rPr>
          <w:rFonts w:hint="eastAsia" w:ascii="宋体" w:hAnsi="宋体" w:eastAsia="宋体" w:cs="宋体"/>
          <w:color w:val="auto"/>
          <w:sz w:val="24"/>
          <w:szCs w:val="24"/>
          <w:highlight w:val="none"/>
        </w:rPr>
        <w:t>划分标段</w:t>
      </w:r>
      <w:r>
        <w:rPr>
          <w:rFonts w:hint="eastAsia" w:ascii="宋体" w:hAnsi="宋体" w:cs="宋体"/>
          <w:color w:val="auto"/>
          <w:sz w:val="24"/>
          <w:szCs w:val="24"/>
          <w:highlight w:val="none"/>
          <w:lang w:val="en-US" w:eastAsia="zh-CN"/>
        </w:rPr>
        <w:t>。</w:t>
      </w:r>
    </w:p>
    <w:p w14:paraId="48B88EBC">
      <w:pPr>
        <w:pStyle w:val="5"/>
        <w:numPr>
          <w:ilvl w:val="0"/>
          <w:numId w:val="2"/>
        </w:numPr>
        <w:spacing w:after="0"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服务期：</w:t>
      </w:r>
    </w:p>
    <w:p w14:paraId="507B2473">
      <w:pPr>
        <w:pStyle w:val="5"/>
        <w:numPr>
          <w:ilvl w:val="-1"/>
          <w:numId w:val="0"/>
        </w:numPr>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（一）服务期总体要求：</w:t>
      </w:r>
    </w:p>
    <w:p w14:paraId="3F29B0B5">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1.在项目所需硬件部署完成后30个日历天内必须完成AI大模型平台的部署。</w:t>
      </w:r>
    </w:p>
    <w:p w14:paraId="3E37D598">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2.自合同签订生效之日起270个日历天内必须基于北部水厂一期（已投运）完成智慧控制及智慧运营模块的开发并开展试运行；在北部水厂二期（一阶段）主体工程(含工艺设备安装)完工并试运行正常超90个日历天之日后，可开展智慧控制及智慧运营模块部署及试运行。基于北部水厂一期（已投运）和二期（一阶段）的模块试运行时间均超过90个日历天后无重大缺陷可申请分项验收。</w:t>
      </w:r>
    </w:p>
    <w:p w14:paraId="23913AE3">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3.自合同签订生效之日起450个日历天内完成智慧决策模块的开发、部署并开展试运行工作。</w:t>
      </w:r>
    </w:p>
    <w:p w14:paraId="0CA0CEAF">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4.自合同签订生效之日起730个日历天内完成项目的开发并达到招标人项目需求。</w:t>
      </w:r>
    </w:p>
    <w:p w14:paraId="337A58AB">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（二）质保期要求：</w:t>
      </w:r>
    </w:p>
    <w:p w14:paraId="4C5044A1">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1.本项目质保期为1年。</w:t>
      </w:r>
    </w:p>
    <w:p w14:paraId="64FCD512">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2.投标人提供的产品应选用知名品牌、性能可靠的优质产品。</w:t>
      </w:r>
    </w:p>
    <w:p w14:paraId="716D1E09">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3.中标人应保证产品完全符合本技术要求的规定。中标人应保证其产品在正常使用条件下，在其质保期内具有满意的性能。在本项目验收合格后的质保期内，中标人应免费负责产品的缺陷完善。</w:t>
      </w:r>
    </w:p>
    <w:p w14:paraId="61D0ADBC">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4.质保期计算是以最终验收合格后开始计算。</w:t>
      </w:r>
    </w:p>
    <w:p w14:paraId="77DE149F">
      <w:pPr>
        <w:pStyle w:val="5"/>
        <w:spacing w:after="0" w:line="360" w:lineRule="auto"/>
        <w:ind w:firstLine="480" w:firstLineChars="200"/>
        <w:rPr>
          <w:rFonts w:hint="eastAsia" w:ascii="宋体" w:hAnsi="宋体" w:cs="宋体"/>
          <w:color w:val="auto"/>
          <w:kern w:val="2"/>
          <w:sz w:val="24"/>
          <w:szCs w:val="24"/>
          <w:highlight w:val="none"/>
          <w:u w:val="none"/>
        </w:rPr>
      </w:pPr>
      <w:r>
        <w:rPr>
          <w:rFonts w:hint="eastAsia" w:ascii="宋体" w:hAnsi="宋体" w:cs="宋体"/>
          <w:color w:val="auto"/>
          <w:kern w:val="2"/>
          <w:sz w:val="24"/>
          <w:szCs w:val="24"/>
          <w:highlight w:val="none"/>
          <w:u w:val="none"/>
        </w:rPr>
        <w:t>5.质保期内，若非因招标人使用不当出现的故障，中标人应免费予以维修或更换。</w:t>
      </w:r>
    </w:p>
    <w:p w14:paraId="3B9AA617">
      <w:pPr>
        <w:pStyle w:val="5"/>
        <w:spacing w:after="0"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u w:val="none"/>
        </w:rPr>
        <w:t>6.本项目所有软件平台、设备、源代码开发成果应永久授权，项目验收前应相应升级至最新版本</w:t>
      </w:r>
      <w:r>
        <w:rPr>
          <w:rFonts w:hint="eastAsia" w:ascii="宋体" w:hAnsi="宋体" w:eastAsia="宋体" w:cs="宋体"/>
          <w:color w:val="auto"/>
          <w:sz w:val="24"/>
          <w:szCs w:val="24"/>
          <w:highlight w:val="none"/>
        </w:rPr>
        <w:t>。</w:t>
      </w:r>
    </w:p>
    <w:p w14:paraId="25400A87">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招标内容：</w:t>
      </w:r>
    </w:p>
    <w:p w14:paraId="0B682F49">
      <w:pPr>
        <w:numPr>
          <w:ilvl w:val="0"/>
          <w:numId w:val="0"/>
        </w:num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（一）开发AI大模型平台，建立一个统一的AI研发与部署平台，集中管理AI模型训练、测试、部署全生命周期，降低AI技术应用的门槛，加速AI成果的业务转化；</w:t>
      </w:r>
    </w:p>
    <w:p w14:paraId="1954DECC">
      <w:pPr>
        <w:numPr>
          <w:ilvl w:val="0"/>
          <w:numId w:val="0"/>
        </w:num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开发智慧生产控制模块，主要包括11个智慧控制模块以及“生产交互控制”等功能模块，利用先进、成熟的模型算法优化水处理过程，并为现场提供各类数据限值计算、异常诊断、产能评估和高级控制等功能；</w:t>
      </w:r>
    </w:p>
    <w:p w14:paraId="761800B6">
      <w:pPr>
        <w:numPr>
          <w:ilvl w:val="0"/>
          <w:numId w:val="0"/>
        </w:num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开发智慧运营模块，主要包括生产运行监控管理、综合运营管理服务、设备智慧管理服务、智能巡检服务、化验室服务、应急事件管理服务、水厂仿真和预测分析软件、碳管理主题分析服务、成本管理主题分析服务等应用服务；</w:t>
      </w:r>
    </w:p>
    <w:p w14:paraId="1BE07E51">
      <w:pPr>
        <w:numPr>
          <w:ilvl w:val="0"/>
          <w:numId w:val="0"/>
        </w:numPr>
        <w:spacing w:line="360" w:lineRule="auto"/>
        <w:ind w:firstLine="480" w:firstLineChars="200"/>
        <w:rPr>
          <w:rFonts w:hint="eastAsia" w:ascii="宋体" w:hAnsi="宋体" w:cs="宋体"/>
          <w:color w:val="auto"/>
          <w:kern w:val="2"/>
          <w:sz w:val="24"/>
          <w:szCs w:val="24"/>
          <w:highlight w:val="none"/>
          <w:u w:val="none"/>
          <w:lang w:val="en-US" w:eastAsia="zh-CN" w:bidi="ar-SA"/>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开发智慧决策模块，主要包含数字孪生模块、视频智能平台、安全生产系统、智能安防系统、大模型智能运营数据分析助手、大模型工艺优化调度助手、大模型设备助手、讲解机器人等，接入水厂生产监控管理模块数据，融合水厂数字孪生平台三维场景，综合展示水厂总体运行态势，实现水厂运行态势实时数据“一张图”展示</w:t>
      </w:r>
      <w:r>
        <w:rPr>
          <w:rFonts w:hint="eastAsia" w:ascii="宋体" w:hAnsi="宋体" w:cs="宋体"/>
          <w:color w:val="auto"/>
          <w:kern w:val="2"/>
          <w:sz w:val="24"/>
          <w:szCs w:val="24"/>
          <w:highlight w:val="none"/>
          <w:u w:val="none"/>
          <w:lang w:val="en-US" w:eastAsia="zh-CN" w:bidi="ar-SA"/>
        </w:rPr>
        <w:t>；</w:t>
      </w:r>
    </w:p>
    <w:p w14:paraId="74AD0E59">
      <w:pPr>
        <w:numPr>
          <w:ilvl w:val="0"/>
          <w:numId w:val="0"/>
        </w:numPr>
        <w:spacing w:line="360" w:lineRule="auto"/>
        <w:ind w:firstLine="480" w:firstLineChars="20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（具体详见用户需求书）</w:t>
      </w:r>
      <w:r>
        <w:rPr>
          <w:rFonts w:hint="eastAsia" w:ascii="宋体" w:hAnsi="宋体" w:cs="宋体"/>
          <w:color w:val="auto"/>
          <w:kern w:val="2"/>
          <w:sz w:val="24"/>
          <w:szCs w:val="24"/>
          <w:highlight w:val="none"/>
          <w:u w:val="none"/>
          <w:lang w:val="en-US" w:eastAsia="zh-CN" w:bidi="ar-SA"/>
        </w:rPr>
        <w:t>。</w:t>
      </w:r>
    </w:p>
    <w:p w14:paraId="0C84B0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招标控制价</w:t>
      </w:r>
      <w:r>
        <w:rPr>
          <w:rFonts w:hint="eastAsia" w:ascii="宋体" w:hAnsi="宋体" w:eastAsia="宋体" w:cs="宋体"/>
          <w:color w:val="auto"/>
          <w:sz w:val="24"/>
          <w:szCs w:val="24"/>
          <w:highlight w:val="none"/>
        </w:rPr>
        <w:t>：</w:t>
      </w:r>
    </w:p>
    <w:p w14:paraId="1611C3F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本项目招标控制价为</w:t>
      </w:r>
      <w:r>
        <w:rPr>
          <w:rFonts w:hint="default" w:ascii="宋体" w:hAnsi="宋体" w:cs="宋体"/>
          <w:color w:val="auto"/>
          <w:sz w:val="24"/>
          <w:szCs w:val="24"/>
          <w:highlight w:val="none"/>
          <w:lang w:bidi="ar"/>
        </w:rPr>
        <w:t>28974700.00</w:t>
      </w:r>
      <w:r>
        <w:rPr>
          <w:rFonts w:hint="eastAsia" w:ascii="宋体" w:hAnsi="宋体" w:cs="宋体"/>
          <w:color w:val="auto"/>
          <w:kern w:val="2"/>
          <w:sz w:val="24"/>
          <w:szCs w:val="24"/>
          <w:highlight w:val="none"/>
          <w:lang w:val="en-US" w:eastAsia="zh-CN" w:bidi="ar"/>
        </w:rPr>
        <w:t>元</w:t>
      </w:r>
      <w:r>
        <w:rPr>
          <w:rFonts w:hint="eastAsia" w:ascii="宋体" w:hAnsi="宋体" w:cs="宋体"/>
          <w:color w:val="auto"/>
          <w:kern w:val="2"/>
          <w:sz w:val="24"/>
          <w:szCs w:val="24"/>
          <w:highlight w:val="none"/>
          <w:lang w:eastAsia="zh-CN" w:bidi="ar"/>
        </w:rPr>
        <w:t>，</w:t>
      </w:r>
      <w:r>
        <w:rPr>
          <w:rFonts w:hint="eastAsia" w:ascii="宋体" w:hAnsi="宋体" w:eastAsia="宋体" w:cs="宋体"/>
          <w:color w:val="auto"/>
          <w:sz w:val="24"/>
          <w:szCs w:val="24"/>
          <w:highlight w:val="none"/>
          <w:lang w:val="en-US" w:eastAsia="zh-CN"/>
        </w:rPr>
        <w:t>详见《</w:t>
      </w:r>
      <w:r>
        <w:rPr>
          <w:rFonts w:hint="eastAsia" w:ascii="宋体" w:hAnsi="宋体" w:cs="宋体"/>
          <w:color w:val="auto"/>
          <w:sz w:val="24"/>
          <w:szCs w:val="24"/>
          <w:highlight w:val="none"/>
          <w:lang w:val="en-US" w:eastAsia="zh-CN"/>
        </w:rPr>
        <w:t>最高投标限价公布函</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p>
    <w:p w14:paraId="2F0A295B">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七、投标人合格条件：</w:t>
      </w:r>
      <w:r>
        <w:rPr>
          <w:rFonts w:hint="eastAsia" w:ascii="宋体" w:hAnsi="宋体" w:eastAsia="宋体" w:cs="宋体"/>
          <w:b/>
          <w:bCs/>
          <w:color w:val="auto"/>
          <w:sz w:val="24"/>
          <w:szCs w:val="24"/>
          <w:highlight w:val="none"/>
          <w:lang w:val="en-US" w:eastAsia="zh-CN"/>
        </w:rPr>
        <w:t xml:space="preserve"> </w:t>
      </w:r>
    </w:p>
    <w:p w14:paraId="05905E13">
      <w:pPr>
        <w:pStyle w:val="12"/>
        <w:spacing w:beforeLines="0" w:afterLines="0" w:line="360" w:lineRule="auto"/>
        <w:ind w:firstLine="480" w:firstLineChars="200"/>
        <w:rPr>
          <w:rFonts w:hint="eastAsia" w:ascii="宋体" w:hAnsi="宋体" w:eastAsia="宋体" w:cs="宋体"/>
          <w:color w:val="auto"/>
          <w:sz w:val="24"/>
          <w:szCs w:val="24"/>
          <w:highlight w:val="none"/>
          <w:lang w:eastAsia="zh-CN"/>
        </w:rPr>
      </w:pPr>
      <w:bookmarkStart w:id="13" w:name="_Toc25420"/>
      <w:bookmarkStart w:id="14" w:name="_Toc93064304"/>
      <w:bookmarkStart w:id="15" w:name="_Toc93064449"/>
      <w:r>
        <w:rPr>
          <w:rFonts w:hint="eastAsia" w:ascii="宋体" w:hAnsi="宋体" w:eastAsia="宋体" w:cs="宋体"/>
          <w:color w:val="auto"/>
          <w:sz w:val="24"/>
          <w:szCs w:val="24"/>
          <w:highlight w:val="none"/>
          <w:lang w:val="en-US" w:eastAsia="zh-CN"/>
        </w:rPr>
        <w:t xml:space="preserve">1. </w:t>
      </w:r>
      <w:r>
        <w:rPr>
          <w:rFonts w:hint="eastAsia" w:hAnsi="宋体" w:cs="宋体"/>
          <w:color w:val="auto"/>
          <w:sz w:val="24"/>
          <w:szCs w:val="24"/>
          <w:highlight w:val="none"/>
          <w:lang w:eastAsia="zh-CN"/>
        </w:rPr>
        <w:t>投标人须为符合《中华人民共和国招标投标法》规定的独立法人或其他组织，按国家法律经营；投标人具有有效的营业执照。单位负责人为同一人或者存在控股、管理关系的不同单位，不得同时参与本项目同一个标段的投标。</w:t>
      </w:r>
    </w:p>
    <w:p w14:paraId="4F7C6D9E">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i w:val="0"/>
          <w:iCs w:val="0"/>
          <w:caps w:val="0"/>
          <w:color w:val="auto"/>
          <w:spacing w:val="0"/>
          <w:kern w:val="0"/>
          <w:sz w:val="24"/>
          <w:szCs w:val="24"/>
          <w:highlight w:val="none"/>
          <w:shd w:val="clear" w:color="auto" w:fill="auto"/>
          <w:lang w:bidi="ar-SA"/>
        </w:rPr>
      </w:pPr>
      <w:r>
        <w:rPr>
          <w:rFonts w:hint="eastAsia" w:ascii="宋体" w:hAnsi="宋体" w:eastAsia="宋体" w:cs="宋体"/>
          <w:color w:val="auto"/>
          <w:kern w:val="0"/>
          <w:sz w:val="24"/>
          <w:szCs w:val="24"/>
          <w:highlight w:val="none"/>
          <w:lang w:val="en-US" w:eastAsia="zh-CN"/>
        </w:rPr>
        <w:t xml:space="preserve">2. </w:t>
      </w:r>
      <w:r>
        <w:rPr>
          <w:rFonts w:hint="eastAsia" w:ascii="宋体" w:hAnsi="宋体" w:eastAsia="宋体" w:cs="宋体"/>
          <w:i w:val="0"/>
          <w:iCs w:val="0"/>
          <w:caps w:val="0"/>
          <w:color w:val="auto"/>
          <w:spacing w:val="0"/>
          <w:kern w:val="0"/>
          <w:sz w:val="24"/>
          <w:szCs w:val="24"/>
          <w:highlight w:val="none"/>
          <w:shd w:val="clear" w:color="auto" w:fill="auto"/>
          <w:lang w:bidi="ar-SA"/>
        </w:rPr>
        <w:t>投标人自20</w:t>
      </w:r>
      <w:r>
        <w:rPr>
          <w:rFonts w:hint="eastAsia" w:ascii="宋体" w:hAnsi="宋体" w:eastAsia="宋体" w:cs="宋体"/>
          <w:i w:val="0"/>
          <w:iCs w:val="0"/>
          <w:caps w:val="0"/>
          <w:color w:val="auto"/>
          <w:spacing w:val="0"/>
          <w:kern w:val="0"/>
          <w:sz w:val="24"/>
          <w:szCs w:val="24"/>
          <w:highlight w:val="none"/>
          <w:shd w:val="clear" w:color="auto" w:fill="auto"/>
          <w:lang w:eastAsia="zh-CN" w:bidi="ar-SA"/>
        </w:rPr>
        <w:t>1</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auto"/>
          <w:lang w:bidi="ar-SA"/>
        </w:rPr>
        <w:t>年1月1日至</w:t>
      </w:r>
      <w:r>
        <w:rPr>
          <w:rFonts w:hint="eastAsia" w:ascii="宋体" w:hAnsi="宋体" w:eastAsia="宋体" w:cs="宋体"/>
          <w:bCs w:val="0"/>
          <w:color w:val="auto"/>
          <w:kern w:val="0"/>
          <w:sz w:val="24"/>
          <w:szCs w:val="24"/>
          <w:highlight w:val="none"/>
          <w:shd w:val="clear" w:color="auto" w:fill="auto"/>
          <w:lang w:bidi="ar-SA"/>
        </w:rPr>
        <w:t>本项目招标公告发布之日止</w:t>
      </w:r>
      <w:r>
        <w:rPr>
          <w:rFonts w:hint="eastAsia" w:ascii="宋体" w:hAnsi="宋体" w:eastAsia="宋体" w:cs="宋体"/>
          <w:i w:val="0"/>
          <w:iCs w:val="0"/>
          <w:caps w:val="0"/>
          <w:color w:val="auto"/>
          <w:spacing w:val="0"/>
          <w:kern w:val="0"/>
          <w:sz w:val="24"/>
          <w:szCs w:val="24"/>
          <w:highlight w:val="none"/>
          <w:shd w:val="clear" w:color="auto" w:fill="auto"/>
          <w:lang w:bidi="ar-SA"/>
        </w:rPr>
        <w:t>，至少</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完成</w:t>
      </w:r>
      <w:r>
        <w:rPr>
          <w:rFonts w:hint="eastAsia" w:ascii="宋体" w:hAnsi="宋体" w:eastAsia="宋体" w:cs="宋体"/>
          <w:i w:val="0"/>
          <w:iCs w:val="0"/>
          <w:caps w:val="0"/>
          <w:color w:val="auto"/>
          <w:spacing w:val="0"/>
          <w:kern w:val="0"/>
          <w:sz w:val="24"/>
          <w:szCs w:val="24"/>
          <w:highlight w:val="none"/>
          <w:shd w:val="clear" w:color="auto" w:fill="auto"/>
          <w:lang w:bidi="ar-SA"/>
        </w:rPr>
        <w:t>过一项</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合同金额为400万元或以上</w:t>
      </w:r>
      <w:r>
        <w:rPr>
          <w:rFonts w:hint="eastAsia" w:ascii="宋体" w:hAnsi="宋体" w:eastAsia="宋体" w:cs="宋体"/>
          <w:i w:val="0"/>
          <w:iCs w:val="0"/>
          <w:caps w:val="0"/>
          <w:color w:val="auto"/>
          <w:spacing w:val="0"/>
          <w:kern w:val="0"/>
          <w:sz w:val="24"/>
          <w:szCs w:val="24"/>
          <w:highlight w:val="none"/>
          <w:shd w:val="clear" w:color="auto" w:fill="auto"/>
          <w:lang w:bidi="ar-SA"/>
        </w:rPr>
        <w:t xml:space="preserve">基于大模型或智能化应用的相关项目建设业绩。 </w:t>
      </w:r>
    </w:p>
    <w:p w14:paraId="66691D8A">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kern w:val="0"/>
          <w:sz w:val="24"/>
          <w:szCs w:val="24"/>
          <w:highlight w:val="none"/>
          <w:shd w:val="clear" w:color="auto" w:fill="auto"/>
          <w:lang w:val="en-US"/>
        </w:rPr>
      </w:pPr>
      <w:r>
        <w:rPr>
          <w:rFonts w:hint="eastAsia" w:ascii="宋体" w:hAnsi="宋体" w:eastAsia="宋体" w:cs="宋体"/>
          <w:i w:val="0"/>
          <w:iCs w:val="0"/>
          <w:caps w:val="0"/>
          <w:color w:val="auto"/>
          <w:spacing w:val="0"/>
          <w:kern w:val="0"/>
          <w:sz w:val="24"/>
          <w:szCs w:val="24"/>
          <w:highlight w:val="none"/>
          <w:shd w:val="clear" w:color="auto" w:fill="auto"/>
          <w:lang w:bidi="ar-SA"/>
        </w:rPr>
        <w:t>注：</w:t>
      </w:r>
      <w:r>
        <w:rPr>
          <w:rFonts w:hint="eastAsia" w:ascii="宋体" w:hAnsi="宋体" w:eastAsia="宋体" w:cs="宋体"/>
          <w:i w:val="0"/>
          <w:iCs w:val="0"/>
          <w:caps w:val="0"/>
          <w:color w:val="auto"/>
          <w:spacing w:val="0"/>
          <w:kern w:val="0"/>
          <w:sz w:val="24"/>
          <w:szCs w:val="24"/>
          <w:highlight w:val="none"/>
          <w:shd w:val="clear" w:color="auto" w:fill="auto"/>
          <w:lang w:eastAsia="zh-CN" w:bidi="ar-SA"/>
        </w:rPr>
        <w:t>（</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1</w:t>
      </w:r>
      <w:r>
        <w:rPr>
          <w:rFonts w:hint="eastAsia" w:ascii="宋体" w:hAnsi="宋体" w:eastAsia="宋体" w:cs="宋体"/>
          <w:i w:val="0"/>
          <w:iCs w:val="0"/>
          <w:caps w:val="0"/>
          <w:color w:val="auto"/>
          <w:spacing w:val="0"/>
          <w:kern w:val="0"/>
          <w:sz w:val="24"/>
          <w:szCs w:val="24"/>
          <w:highlight w:val="none"/>
          <w:shd w:val="clear" w:color="auto" w:fill="auto"/>
          <w:lang w:eastAsia="zh-CN" w:bidi="ar-SA"/>
        </w:rPr>
        <w:t>）</w:t>
      </w:r>
      <w:r>
        <w:rPr>
          <w:rFonts w:hint="eastAsia" w:ascii="宋体" w:hAnsi="宋体" w:eastAsia="宋体" w:cs="宋体"/>
          <w:color w:val="auto"/>
          <w:kern w:val="0"/>
          <w:sz w:val="24"/>
          <w:szCs w:val="24"/>
          <w:highlight w:val="none"/>
          <w:shd w:val="clear" w:color="auto" w:fill="auto"/>
          <w:lang w:val="en-US"/>
        </w:rPr>
        <w:t>基于大模型的业绩是指包含模型训练</w:t>
      </w:r>
      <w:r>
        <w:rPr>
          <w:rFonts w:hint="eastAsia" w:ascii="宋体" w:hAnsi="宋体" w:eastAsia="宋体" w:cs="宋体"/>
          <w:color w:val="auto"/>
          <w:kern w:val="0"/>
          <w:sz w:val="24"/>
          <w:szCs w:val="24"/>
          <w:highlight w:val="none"/>
          <w:shd w:val="clear" w:color="auto" w:fill="auto"/>
          <w:lang w:val="en-US" w:eastAsia="zh-CN"/>
        </w:rPr>
        <w:t>或大模型平台</w:t>
      </w:r>
      <w:r>
        <w:rPr>
          <w:rFonts w:hint="eastAsia" w:ascii="宋体" w:hAnsi="宋体" w:eastAsia="宋体" w:cs="宋体"/>
          <w:color w:val="auto"/>
          <w:kern w:val="0"/>
          <w:sz w:val="24"/>
          <w:szCs w:val="24"/>
          <w:highlight w:val="none"/>
          <w:shd w:val="clear" w:color="auto" w:fill="auto"/>
          <w:lang w:val="en-US"/>
        </w:rPr>
        <w:t>或大模型加工或大模型应用开发或大模型应用服务内容的项目；</w:t>
      </w:r>
    </w:p>
    <w:p w14:paraId="683351AC">
      <w:pPr>
        <w:widowControl/>
        <w:numPr>
          <w:ilvl w:val="0"/>
          <w:numId w:val="0"/>
        </w:numPr>
        <w:spacing w:line="360" w:lineRule="auto"/>
        <w:ind w:firstLine="480" w:firstLineChars="200"/>
        <w:jc w:val="left"/>
        <w:rPr>
          <w:rFonts w:hint="eastAsia" w:ascii="宋体" w:hAnsi="宋体" w:eastAsia="宋体" w:cs="宋体"/>
          <w:i w:val="0"/>
          <w:iCs w:val="0"/>
          <w:caps w:val="0"/>
          <w:color w:val="auto"/>
          <w:spacing w:val="0"/>
          <w:kern w:val="0"/>
          <w:sz w:val="24"/>
          <w:szCs w:val="24"/>
          <w:highlight w:val="none"/>
          <w:shd w:val="clear" w:color="auto" w:fill="auto"/>
          <w:lang w:bidi="ar-SA"/>
        </w:rPr>
      </w:pP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lang w:val="en-US"/>
        </w:rPr>
        <w:t>基于智能化应用的相关项目建设业绩指在智慧城市、智慧水务、智能工业制造、智能交通等多个行业实现有效应用和价值创造的智慧信息化项目；</w:t>
      </w:r>
    </w:p>
    <w:p w14:paraId="2794DCEA">
      <w:pPr>
        <w:widowControl/>
        <w:numPr>
          <w:ilvl w:val="0"/>
          <w:numId w:val="0"/>
        </w:numPr>
        <w:spacing w:line="360" w:lineRule="auto"/>
        <w:ind w:firstLine="480" w:firstLineChars="200"/>
        <w:jc w:val="left"/>
        <w:rPr>
          <w:rFonts w:hint="eastAsia" w:ascii="宋体" w:hAnsi="宋体" w:eastAsia="宋体" w:cs="宋体"/>
          <w:i w:val="0"/>
          <w:iCs w:val="0"/>
          <w:caps w:val="0"/>
          <w:color w:val="auto"/>
          <w:spacing w:val="0"/>
          <w:kern w:val="0"/>
          <w:sz w:val="24"/>
          <w:szCs w:val="24"/>
          <w:highlight w:val="none"/>
          <w:shd w:val="clear" w:color="auto" w:fill="auto"/>
          <w:lang w:bidi="ar-SA"/>
        </w:rPr>
      </w:pPr>
      <w:r>
        <w:rPr>
          <w:rFonts w:hint="eastAsia" w:ascii="宋体" w:hAnsi="宋体" w:eastAsia="宋体" w:cs="宋体"/>
          <w:i w:val="0"/>
          <w:iCs w:val="0"/>
          <w:caps w:val="0"/>
          <w:color w:val="auto"/>
          <w:spacing w:val="0"/>
          <w:kern w:val="0"/>
          <w:sz w:val="24"/>
          <w:szCs w:val="24"/>
          <w:highlight w:val="none"/>
          <w:shd w:val="clear" w:color="auto" w:fill="auto"/>
          <w:lang w:bidi="ar-SA"/>
        </w:rPr>
        <w:t>（3）本项目的业绩时间以项目</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验收报告或相关项目验收证明文件</w:t>
      </w:r>
      <w:r>
        <w:rPr>
          <w:rFonts w:hint="eastAsia" w:ascii="宋体" w:hAnsi="宋体" w:eastAsia="宋体" w:cs="宋体"/>
          <w:i w:val="0"/>
          <w:iCs w:val="0"/>
          <w:caps w:val="0"/>
          <w:color w:val="auto"/>
          <w:spacing w:val="0"/>
          <w:kern w:val="0"/>
          <w:sz w:val="24"/>
          <w:szCs w:val="24"/>
          <w:highlight w:val="none"/>
          <w:shd w:val="clear" w:color="auto" w:fill="auto"/>
          <w:lang w:bidi="ar-SA"/>
        </w:rPr>
        <w:t>时间为准</w:t>
      </w:r>
      <w:r>
        <w:rPr>
          <w:rFonts w:hint="eastAsia" w:ascii="宋体" w:hAnsi="宋体" w:eastAsia="宋体" w:cs="宋体"/>
          <w:i w:val="0"/>
          <w:iCs w:val="0"/>
          <w:caps w:val="0"/>
          <w:color w:val="auto"/>
          <w:spacing w:val="0"/>
          <w:kern w:val="0"/>
          <w:sz w:val="24"/>
          <w:szCs w:val="24"/>
          <w:highlight w:val="none"/>
          <w:shd w:val="clear" w:color="auto" w:fill="auto"/>
          <w:lang w:eastAsia="zh-CN" w:bidi="ar-SA"/>
        </w:rPr>
        <w:t>；</w:t>
      </w:r>
    </w:p>
    <w:p w14:paraId="38FF76BC">
      <w:pPr>
        <w:pStyle w:val="12"/>
        <w:spacing w:beforeLines="0" w:afterLines="0" w:line="360" w:lineRule="auto"/>
        <w:ind w:firstLine="480" w:firstLineChars="200"/>
        <w:rPr>
          <w:rFonts w:hint="eastAsia" w:hAnsi="宋体" w:cs="宋体"/>
          <w:color w:val="auto"/>
          <w:kern w:val="0"/>
          <w:sz w:val="24"/>
          <w:szCs w:val="24"/>
          <w:highlight w:val="none"/>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auto"/>
          <w:lang w:val="en-US" w:bidi="ar-SA"/>
        </w:rPr>
        <w:t>（4）</w:t>
      </w:r>
      <w:r>
        <w:rPr>
          <w:rFonts w:hint="eastAsia" w:ascii="宋体" w:hAnsi="宋体" w:eastAsia="宋体" w:cs="宋体"/>
          <w:color w:val="auto"/>
          <w:kern w:val="0"/>
          <w:sz w:val="24"/>
          <w:szCs w:val="24"/>
          <w:highlight w:val="none"/>
          <w:shd w:val="clear" w:color="auto" w:fill="auto"/>
          <w:lang w:val="en-US"/>
        </w:rPr>
        <w:t>业绩证</w:t>
      </w:r>
      <w:r>
        <w:rPr>
          <w:rFonts w:hint="eastAsia" w:ascii="宋体" w:hAnsi="宋体" w:eastAsia="宋体" w:cs="宋体"/>
          <w:color w:val="auto"/>
          <w:kern w:val="0"/>
          <w:sz w:val="24"/>
          <w:szCs w:val="24"/>
          <w:highlight w:val="none"/>
          <w:shd w:val="clear" w:color="auto" w:fill="auto"/>
          <w:lang w:val="en-US" w:eastAsia="zh-CN"/>
        </w:rPr>
        <w:t>明需提供项目合同原件扫描件和验收报告等，如以上资料不能证明业绩、规模的，须另提供可证明的其他资料。</w:t>
      </w:r>
    </w:p>
    <w:p w14:paraId="7F64E044">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投标人未被纳入失信联合惩戒名单，失信联合惩戒名”以“信用广州”网站公布的“黑名单”为准。</w:t>
      </w:r>
    </w:p>
    <w:p w14:paraId="6C61B282">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注：①以投标人提供自本项目招标公告发布之日起至本项目投标截止日期止任一天在“信用广州”网站查询的截图为准。</w:t>
      </w:r>
    </w:p>
    <w:p w14:paraId="20531EEC">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②查询截图的路径如下：查询网址https</w:t>
      </w:r>
      <w:r>
        <w:rPr>
          <w:rFonts w:hint="eastAsia"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//credit1.gz.gov.cn/publicity/honourFuzzyList?type=2→黑名单）。</w:t>
      </w:r>
    </w:p>
    <w:p w14:paraId="76FB19CF">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③如网站查询结果显示“找不到和您的查询相符的记录”或类似意思的表述，则视为没有上述不良信用记录。</w:t>
      </w:r>
    </w:p>
    <w:p w14:paraId="6FBC1C72">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投标人须按招标人规定格式提交《投标人声明》。</w:t>
      </w:r>
    </w:p>
    <w:p w14:paraId="4689B8EE">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投标人须按招标人规定格式提交《投标人廉洁承诺书》。</w:t>
      </w:r>
    </w:p>
    <w:p w14:paraId="2BBBB907">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关于联合体</w:t>
      </w:r>
      <w:r>
        <w:rPr>
          <w:rFonts w:hint="eastAsia"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：本项目不接受联合体</w:t>
      </w:r>
      <w:r>
        <w:rPr>
          <w:rFonts w:hint="eastAsia"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w:t>
      </w:r>
    </w:p>
    <w:p w14:paraId="026549C5">
      <w:pPr>
        <w:pStyle w:val="12"/>
        <w:spacing w:beforeLines="0" w:afterLines="0"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说明：未在招标公告第七点单列的投标人合格条件，不作为资审不合格的依据。</w:t>
      </w:r>
      <w:bookmarkEnd w:id="13"/>
      <w:bookmarkEnd w:id="14"/>
      <w:bookmarkEnd w:id="15"/>
    </w:p>
    <w:p w14:paraId="06462F6D">
      <w:pPr>
        <w:pStyle w:val="12"/>
        <w:spacing w:beforeLines="0" w:afterLines="0"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八、</w:t>
      </w:r>
      <w:r>
        <w:rPr>
          <w:rFonts w:hint="eastAsia" w:ascii="宋体" w:hAnsi="宋体" w:eastAsia="宋体" w:cs="宋体"/>
          <w:b/>
          <w:color w:val="auto"/>
          <w:sz w:val="24"/>
          <w:szCs w:val="24"/>
          <w:highlight w:val="none"/>
        </w:rPr>
        <w:t>投标文件递交的截止时间、开标时间及地点、解密时间：</w:t>
      </w:r>
    </w:p>
    <w:p w14:paraId="3797F4F5">
      <w:pPr>
        <w:spacing w:line="360" w:lineRule="auto"/>
        <w:ind w:left="0" w:leftChars="0"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 xml:space="preserve">1. </w:t>
      </w:r>
      <w:r>
        <w:rPr>
          <w:rFonts w:hint="eastAsia" w:ascii="宋体" w:hAnsi="宋体" w:eastAsia="宋体" w:cs="宋体"/>
          <w:color w:val="auto"/>
          <w:kern w:val="0"/>
          <w:sz w:val="24"/>
          <w:szCs w:val="24"/>
          <w:highlight w:val="none"/>
        </w:rPr>
        <w:t>递交投标文件起始时间：</w:t>
      </w:r>
      <w:r>
        <w:rPr>
          <w:rFonts w:hint="eastAsia" w:ascii="宋体" w:hAnsi="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   月  日  时  分</w:t>
      </w:r>
      <w:r>
        <w:rPr>
          <w:rFonts w:hint="eastAsia" w:ascii="宋体" w:hAnsi="宋体" w:cs="宋体"/>
          <w:color w:val="auto"/>
          <w:kern w:val="0"/>
          <w:sz w:val="24"/>
          <w:szCs w:val="24"/>
          <w:highlight w:val="none"/>
          <w:lang w:eastAsia="zh-CN"/>
        </w:rPr>
        <w:t>；</w:t>
      </w:r>
    </w:p>
    <w:p w14:paraId="1B6DE113">
      <w:pPr>
        <w:spacing w:line="360" w:lineRule="auto"/>
        <w:ind w:left="0" w:leftChars="0" w:firstLine="2640" w:firstLineChars="11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截止时间：</w:t>
      </w:r>
      <w:r>
        <w:rPr>
          <w:rFonts w:hint="eastAsia" w:ascii="宋体" w:hAnsi="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   月  日  时  分</w:t>
      </w:r>
      <w:r>
        <w:rPr>
          <w:rFonts w:hint="eastAsia" w:ascii="宋体" w:hAnsi="宋体" w:cs="宋体"/>
          <w:color w:val="auto"/>
          <w:kern w:val="0"/>
          <w:sz w:val="24"/>
          <w:szCs w:val="24"/>
          <w:highlight w:val="none"/>
          <w:lang w:eastAsia="zh-CN"/>
        </w:rPr>
        <w:t>；</w:t>
      </w:r>
    </w:p>
    <w:p w14:paraId="2B1EF6B6">
      <w:pPr>
        <w:spacing w:line="360" w:lineRule="auto"/>
        <w:ind w:firstLine="540" w:firstLineChars="225"/>
        <w:rPr>
          <w:rFonts w:hint="eastAsia" w:ascii="宋体" w:hAnsi="宋体" w:eastAsia="宋体" w:cs="宋体"/>
          <w:iCs/>
          <w:color w:val="auto"/>
          <w:kern w:val="0"/>
          <w:sz w:val="24"/>
          <w:szCs w:val="24"/>
          <w:highlight w:val="none"/>
        </w:rPr>
      </w:pPr>
      <w:r>
        <w:rPr>
          <w:rFonts w:hint="eastAsia" w:ascii="宋体" w:hAnsi="宋体" w:eastAsia="宋体" w:cs="宋体"/>
          <w:iCs/>
          <w:color w:val="auto"/>
          <w:sz w:val="24"/>
          <w:szCs w:val="24"/>
          <w:highlight w:val="none"/>
        </w:rPr>
        <w:t>（说明：招标公告发布之日起计算编制投标文件时间，编制投标文件的时间不得少于20天。）</w:t>
      </w:r>
    </w:p>
    <w:p w14:paraId="77BAAF7B">
      <w:pPr>
        <w:spacing w:line="360" w:lineRule="auto"/>
        <w:ind w:firstLine="540" w:firstLineChars="22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递交投标文件方式：通过广州交易集团有限公司（广州公共资源交易中心）网站递交电子投标文件。投标人应在递交投标文件截止时间前，登录广州交易集团有限公司（广州公共资源交易中心）网站办理网上投标登记手续。按照广州交易集团有限公司（广州公共资源交易中心）网站关于全流程电子化项目的相关指南进行操作</w:t>
      </w:r>
      <w:r>
        <w:rPr>
          <w:rFonts w:hint="eastAsia" w:ascii="宋体" w:hAnsi="宋体" w:cs="宋体"/>
          <w:color w:val="auto"/>
          <w:sz w:val="24"/>
          <w:szCs w:val="24"/>
          <w:highlight w:val="none"/>
          <w:lang w:eastAsia="zh-CN"/>
        </w:rPr>
        <w:t>。</w:t>
      </w:r>
    </w:p>
    <w:p w14:paraId="42393639">
      <w:pPr>
        <w:spacing w:line="360" w:lineRule="auto"/>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投标文件解密时间：</w:t>
      </w:r>
      <w:r>
        <w:rPr>
          <w:rFonts w:hint="eastAsia" w:ascii="宋体" w:hAnsi="宋体" w:eastAsia="宋体" w:cs="宋体"/>
          <w:color w:val="auto"/>
          <w:sz w:val="24"/>
          <w:szCs w:val="24"/>
          <w:highlight w:val="none"/>
          <w:u w:val="single"/>
          <w:lang w:eastAsia="zh-CN"/>
        </w:rPr>
        <w:t>投标截止时间后半小时内</w:t>
      </w:r>
      <w:r>
        <w:rPr>
          <w:rFonts w:hint="eastAsia" w:ascii="宋体" w:hAnsi="宋体" w:eastAsia="宋体" w:cs="宋体"/>
          <w:color w:val="auto"/>
          <w:sz w:val="24"/>
          <w:szCs w:val="24"/>
          <w:highlight w:val="none"/>
          <w:u w:val="single"/>
          <w:lang w:val="en-US" w:eastAsia="zh-CN"/>
        </w:rPr>
        <w:t xml:space="preserve"> ，投标人通过广州交易集团有限公司（广州公共资源交易中心）网站对已递交的电子投标文件进行解密</w:t>
      </w:r>
      <w:r>
        <w:rPr>
          <w:rFonts w:hint="eastAsia" w:ascii="宋体" w:hAnsi="宋体" w:eastAsia="宋体" w:cs="宋体"/>
          <w:color w:val="auto"/>
          <w:sz w:val="24"/>
          <w:szCs w:val="24"/>
          <w:highlight w:val="none"/>
        </w:rPr>
        <w:t>，逾时解密的投标文件将被确认为无效投标。</w:t>
      </w:r>
    </w:p>
    <w:p w14:paraId="4D439BA4">
      <w:pPr>
        <w:spacing w:line="360" w:lineRule="auto"/>
        <w:ind w:left="0" w:leftChars="0" w:firstLine="540" w:firstLineChars="22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开标地点：</w:t>
      </w:r>
      <w:r>
        <w:rPr>
          <w:rFonts w:hint="eastAsia" w:ascii="宋体" w:hAnsi="宋体" w:eastAsia="宋体" w:cs="宋体"/>
          <w:color w:val="auto"/>
          <w:sz w:val="24"/>
          <w:szCs w:val="24"/>
          <w:highlight w:val="none"/>
          <w:u w:val="none"/>
        </w:rPr>
        <w:t>广州交易集团有限公司（广州公共资源交易中心）第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开标室</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投标人也可选择参加在线开标，具体按照交易平台相关指南进行操作。详见：广州交易集团有限公司（广州公共资源交易中心）网站</w:t>
      </w:r>
      <w:r>
        <w:rPr>
          <w:rFonts w:hint="eastAsia" w:ascii="宋体" w:hAnsi="宋体" w:eastAsia="宋体" w:cs="宋体"/>
          <w:color w:val="auto"/>
          <w:sz w:val="24"/>
          <w:szCs w:val="24"/>
          <w:highlight w:val="none"/>
          <w:lang w:eastAsia="zh-CN"/>
        </w:rPr>
        <w:t>。</w:t>
      </w:r>
    </w:p>
    <w:p w14:paraId="7D4D46FB">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九、办理投标登记手续</w:t>
      </w:r>
    </w:p>
    <w:p w14:paraId="27774A2B">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本次招标要求投标人办理网上投标登记前，须在广州交易集团有限公司（广州公共资源交易中心）网站完成企业信息登记。企业信息登记应按照广州交易集团有限公司（广州公共资源交易中心）网站关于企业信息登记的相关指南进行操作</w:t>
      </w:r>
      <w:r>
        <w:rPr>
          <w:rFonts w:hint="eastAsia" w:ascii="宋体" w:hAnsi="宋体" w:eastAsia="宋体" w:cs="宋体"/>
          <w:color w:val="auto"/>
          <w:sz w:val="24"/>
          <w:szCs w:val="24"/>
          <w:highlight w:val="none"/>
        </w:rPr>
        <w:t>。</w:t>
      </w:r>
    </w:p>
    <w:p w14:paraId="7157EE79">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资格审查方式：</w:t>
      </w:r>
    </w:p>
    <w:p w14:paraId="4EB9F97C">
      <w:pPr>
        <w:numPr>
          <w:ilvl w:val="0"/>
          <w:numId w:val="3"/>
        </w:numPr>
        <w:spacing w:line="360" w:lineRule="auto"/>
        <w:ind w:left="480"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本项目采用资格后审方式，在评标时由评标委员会对投标人的资格进行审查。</w:t>
      </w:r>
    </w:p>
    <w:p w14:paraId="08088FBE">
      <w:pPr>
        <w:numPr>
          <w:ilvl w:val="0"/>
          <w:numId w:val="3"/>
        </w:numPr>
        <w:spacing w:line="360" w:lineRule="auto"/>
        <w:ind w:left="480"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本次招标资格审查实行合格制法，即只要投标人的资格条件满足投标人资格要求，则该投标人的资格审查结果为合格。</w:t>
      </w:r>
    </w:p>
    <w:p w14:paraId="0FDAB010">
      <w:pPr>
        <w:pStyle w:val="2"/>
        <w:keepNext w:val="0"/>
        <w:keepLines w:val="0"/>
        <w:pageBreakBefore w:val="0"/>
        <w:widowControl w:val="0"/>
        <w:numPr>
          <w:ilvl w:val="0"/>
          <w:numId w:val="0"/>
        </w:numPr>
        <w:kinsoku/>
        <w:wordWrap/>
        <w:overflowPunct/>
        <w:topLinePunct w:val="0"/>
        <w:autoSpaceDE/>
        <w:autoSpaceDN/>
        <w:bidi w:val="0"/>
        <w:adjustRightInd w:val="0"/>
        <w:snapToGrid/>
        <w:spacing w:after="0" w:line="360" w:lineRule="auto"/>
        <w:ind w:left="0" w:firstLine="480" w:firstLineChars="200"/>
        <w:textAlignment w:val="baseline"/>
        <w:outlineLvl w:val="9"/>
        <w:rPr>
          <w:rFonts w:hint="eastAsia"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当通过资格审查的投标人不足3名时，则</w:t>
      </w:r>
      <w:r>
        <w:rPr>
          <w:rFonts w:hint="eastAsia" w:ascii="宋体" w:hAnsi="宋体" w:cs="宋体"/>
          <w:b w:val="0"/>
          <w:bCs/>
          <w:color w:val="auto"/>
          <w:sz w:val="24"/>
          <w:szCs w:val="24"/>
          <w:highlight w:val="none"/>
          <w:lang w:val="en-US" w:eastAsia="zh-CN"/>
        </w:rPr>
        <w:t>本项目</w:t>
      </w:r>
      <w:r>
        <w:rPr>
          <w:rFonts w:hint="eastAsia" w:ascii="宋体" w:hAnsi="宋体" w:eastAsia="宋体" w:cs="宋体"/>
          <w:b w:val="0"/>
          <w:bCs/>
          <w:color w:val="auto"/>
          <w:sz w:val="24"/>
          <w:szCs w:val="24"/>
          <w:highlight w:val="none"/>
          <w:lang w:val="en-US" w:eastAsia="zh-CN"/>
        </w:rPr>
        <w:t>招标失败。</w:t>
      </w:r>
    </w:p>
    <w:p w14:paraId="6CFCBB04">
      <w:pPr>
        <w:widowControl/>
        <w:spacing w:line="360" w:lineRule="auto"/>
        <w:ind w:firstLine="0" w:firstLineChars="0"/>
        <w:jc w:val="left"/>
        <w:rPr>
          <w:rFonts w:hint="eastAsia" w:ascii="宋体" w:hAnsi="宋体" w:eastAsia="宋体" w:cs="宋体"/>
          <w:b/>
          <w:color w:val="auto"/>
          <w:kern w:val="0"/>
          <w:sz w:val="24"/>
          <w:szCs w:val="24"/>
          <w:highlight w:val="none"/>
          <w:shd w:val="clear" w:color="auto" w:fill="FFFFFF"/>
        </w:rPr>
      </w:pPr>
      <w:r>
        <w:rPr>
          <w:rFonts w:hint="eastAsia" w:ascii="宋体" w:hAnsi="宋体" w:eastAsia="宋体" w:cs="宋体"/>
          <w:b/>
          <w:color w:val="auto"/>
          <w:kern w:val="0"/>
          <w:sz w:val="24"/>
          <w:szCs w:val="24"/>
          <w:highlight w:val="none"/>
          <w:shd w:val="clear" w:color="auto" w:fill="FFFFFF"/>
        </w:rPr>
        <w:t>十一、投标说明</w:t>
      </w:r>
    </w:p>
    <w:p w14:paraId="51379E1F">
      <w:pPr>
        <w:snapToGrid w:val="0"/>
        <w:spacing w:line="360" w:lineRule="auto"/>
        <w:ind w:firstLine="480" w:firstLineChars="200"/>
        <w:contextualSpacing/>
        <w:rPr>
          <w:rFonts w:hint="eastAsia" w:ascii="宋体" w:hAnsi="宋体" w:eastAsia="宋体" w:cs="宋体"/>
          <w:b/>
          <w:bCs/>
          <w:color w:val="auto"/>
          <w:kern w:val="0"/>
          <w:sz w:val="24"/>
          <w:szCs w:val="24"/>
          <w:highlight w:val="none"/>
          <w:shd w:val="clear" w:color="auto" w:fill="FFFFFF"/>
        </w:rPr>
      </w:pPr>
      <w:r>
        <w:rPr>
          <w:rFonts w:hint="eastAsia" w:ascii="宋体" w:hAnsi="宋体" w:eastAsia="宋体" w:cs="宋体"/>
          <w:b w:val="0"/>
          <w:bCs w:val="0"/>
          <w:color w:val="auto"/>
          <w:kern w:val="0"/>
          <w:sz w:val="24"/>
          <w:szCs w:val="24"/>
          <w:highlight w:val="none"/>
          <w:shd w:val="clear" w:color="auto" w:fill="FFFFFF"/>
        </w:rPr>
        <w:t>投标人必须对投标项目的所有招标内容进行投标，不允许只对部分内容进行投标。不允许投标人对同一项目提交两份或两份以上不同的投标文件。</w:t>
      </w:r>
    </w:p>
    <w:p w14:paraId="104A53D2">
      <w:pPr>
        <w:widowControl/>
        <w:spacing w:line="360" w:lineRule="auto"/>
        <w:jc w:val="left"/>
        <w:rPr>
          <w:rFonts w:hint="eastAsia" w:ascii="宋体" w:hAnsi="宋体" w:eastAsia="宋体" w:cs="宋体"/>
          <w:b/>
          <w:color w:val="auto"/>
          <w:kern w:val="0"/>
          <w:sz w:val="24"/>
          <w:szCs w:val="24"/>
          <w:highlight w:val="none"/>
          <w:shd w:val="clear" w:color="auto" w:fill="FFFFFF"/>
        </w:rPr>
      </w:pPr>
      <w:r>
        <w:rPr>
          <w:rFonts w:hint="eastAsia" w:ascii="宋体" w:hAnsi="宋体" w:eastAsia="宋体" w:cs="宋体"/>
          <w:b/>
          <w:color w:val="auto"/>
          <w:kern w:val="0"/>
          <w:sz w:val="24"/>
          <w:szCs w:val="24"/>
          <w:highlight w:val="none"/>
          <w:shd w:val="clear" w:color="auto" w:fill="FFFFFF"/>
        </w:rPr>
        <w:t>十二、异议及投诉的受理：</w:t>
      </w:r>
    </w:p>
    <w:p w14:paraId="1D68181A">
      <w:pPr>
        <w:adjustRightInd w:val="0"/>
        <w:snapToGrid w:val="0"/>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kern w:val="2"/>
          <w:sz w:val="24"/>
          <w:highlight w:val="none"/>
        </w:rPr>
        <w:t>潜在投标人或利害关系人对本招标公告及招标文件中任何违法及不公平内容有异议的，可以书面提出异议。如潜在投标人或其他利害关系人对招标人答复仍持有异议的，可按相关规定进行投诉。</w:t>
      </w:r>
    </w:p>
    <w:p w14:paraId="742AC41D">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异议受理部门：广州市自来水有限公司</w:t>
      </w:r>
    </w:p>
    <w:p w14:paraId="05A2F02C">
      <w:pPr>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kern w:val="2"/>
          <w:sz w:val="24"/>
          <w:szCs w:val="24"/>
          <w:highlight w:val="none"/>
        </w:rPr>
        <w:t>联系人：</w:t>
      </w:r>
      <w:r>
        <w:rPr>
          <w:rFonts w:hint="eastAsia" w:ascii="宋体" w:hAnsi="宋体" w:cs="宋体"/>
          <w:bCs/>
          <w:color w:val="auto"/>
          <w:kern w:val="2"/>
          <w:sz w:val="24"/>
          <w:szCs w:val="24"/>
          <w:highlight w:val="none"/>
          <w:lang w:val="en-US" w:eastAsia="zh-CN"/>
        </w:rPr>
        <w:t>黄工</w:t>
      </w:r>
      <w:r>
        <w:rPr>
          <w:rFonts w:hint="eastAsia" w:ascii="宋体" w:hAnsi="宋体" w:eastAsia="宋体" w:cs="宋体"/>
          <w:bCs/>
          <w:color w:val="auto"/>
          <w:kern w:val="2"/>
          <w:sz w:val="24"/>
          <w:szCs w:val="24"/>
          <w:highlight w:val="none"/>
        </w:rPr>
        <w:t xml:space="preserve">     电话：020-87159</w:t>
      </w:r>
      <w:r>
        <w:rPr>
          <w:rFonts w:hint="eastAsia" w:ascii="宋体" w:hAnsi="宋体" w:cs="宋体"/>
          <w:bCs/>
          <w:color w:val="auto"/>
          <w:kern w:val="2"/>
          <w:sz w:val="24"/>
          <w:szCs w:val="24"/>
          <w:highlight w:val="none"/>
          <w:lang w:val="en-US" w:eastAsia="zh-CN"/>
        </w:rPr>
        <w:t>29</w:t>
      </w:r>
      <w:r>
        <w:rPr>
          <w:rFonts w:hint="eastAsia" w:ascii="宋体" w:hAnsi="宋体" w:eastAsia="宋体" w:cs="宋体"/>
          <w:bCs/>
          <w:color w:val="auto"/>
          <w:kern w:val="2"/>
          <w:sz w:val="24"/>
          <w:szCs w:val="24"/>
          <w:highlight w:val="none"/>
        </w:rPr>
        <w:t>9    传真：</w:t>
      </w:r>
      <w:r>
        <w:rPr>
          <w:rFonts w:hint="eastAsia" w:ascii="宋体" w:hAnsi="宋体" w:eastAsia="宋体" w:cs="宋体"/>
          <w:color w:val="auto"/>
          <w:kern w:val="2"/>
          <w:sz w:val="24"/>
          <w:highlight w:val="none"/>
        </w:rPr>
        <w:t>020－</w:t>
      </w:r>
      <w:r>
        <w:rPr>
          <w:rFonts w:hint="eastAsia" w:ascii="宋体" w:hAnsi="宋体" w:eastAsia="宋体" w:cs="宋体"/>
          <w:color w:val="auto"/>
          <w:kern w:val="2"/>
          <w:sz w:val="24"/>
          <w:szCs w:val="24"/>
          <w:highlight w:val="none"/>
          <w:u w:val="single"/>
        </w:rPr>
        <w:t>87159</w:t>
      </w:r>
      <w:r>
        <w:rPr>
          <w:rFonts w:hint="eastAsia" w:ascii="宋体" w:hAnsi="宋体" w:cs="宋体"/>
          <w:color w:val="auto"/>
          <w:kern w:val="2"/>
          <w:sz w:val="24"/>
          <w:szCs w:val="24"/>
          <w:highlight w:val="none"/>
          <w:u w:val="single"/>
          <w:lang w:val="en-US" w:eastAsia="zh-CN"/>
        </w:rPr>
        <w:t>29</w:t>
      </w:r>
      <w:r>
        <w:rPr>
          <w:rFonts w:hint="eastAsia" w:ascii="宋体" w:hAnsi="宋体" w:eastAsia="宋体" w:cs="宋体"/>
          <w:color w:val="auto"/>
          <w:kern w:val="2"/>
          <w:sz w:val="24"/>
          <w:szCs w:val="24"/>
          <w:highlight w:val="none"/>
          <w:u w:val="single"/>
        </w:rPr>
        <w:t>9</w:t>
      </w:r>
    </w:p>
    <w:p w14:paraId="2E3C8C7C">
      <w:pPr>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kern w:val="2"/>
          <w:sz w:val="24"/>
          <w:szCs w:val="24"/>
          <w:highlight w:val="none"/>
        </w:rPr>
        <w:t>地址：广州市越秀区中山一路12号</w:t>
      </w:r>
    </w:p>
    <w:p w14:paraId="1EDFA90A">
      <w:pPr>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color w:val="auto"/>
          <w:kern w:val="2"/>
          <w:sz w:val="24"/>
          <w:highlight w:val="none"/>
        </w:rPr>
        <w:t>投诉受理部门：广州市自来水有限公司招标办公室，联系电话：020-87159</w:t>
      </w:r>
      <w:r>
        <w:rPr>
          <w:rFonts w:hint="eastAsia" w:ascii="宋体" w:hAnsi="宋体" w:cs="宋体"/>
          <w:color w:val="auto"/>
          <w:kern w:val="2"/>
          <w:sz w:val="24"/>
          <w:highlight w:val="none"/>
          <w:lang w:val="en-US" w:eastAsia="zh-CN"/>
        </w:rPr>
        <w:t>05</w:t>
      </w:r>
      <w:r>
        <w:rPr>
          <w:rFonts w:hint="eastAsia" w:ascii="宋体" w:hAnsi="宋体" w:eastAsia="宋体" w:cs="宋体"/>
          <w:color w:val="auto"/>
          <w:kern w:val="2"/>
          <w:sz w:val="24"/>
          <w:highlight w:val="none"/>
        </w:rPr>
        <w:t>9</w:t>
      </w:r>
    </w:p>
    <w:p w14:paraId="60B53781">
      <w:pPr>
        <w:widowControl/>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十</w:t>
      </w:r>
      <w:r>
        <w:rPr>
          <w:rFonts w:hint="eastAsia" w:ascii="宋体" w:hAnsi="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w:t>
      </w:r>
      <w:r>
        <w:rPr>
          <w:rFonts w:hint="eastAsia" w:ascii="宋体" w:hAnsi="宋体" w:eastAsia="宋体" w:cs="宋体"/>
          <w:b/>
          <w:color w:val="auto"/>
          <w:kern w:val="2"/>
          <w:sz w:val="24"/>
          <w:szCs w:val="22"/>
          <w:highlight w:val="none"/>
        </w:rPr>
        <w:t>发布公告的媒介：</w:t>
      </w:r>
    </w:p>
    <w:p w14:paraId="1A9A27EA">
      <w:pPr>
        <w:adjustRightInd/>
        <w:snapToGrid/>
        <w:spacing w:line="360" w:lineRule="auto"/>
        <w:ind w:left="0" w:leftChars="0" w:right="0" w:firstLine="420" w:firstLineChars="175"/>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rPr>
        <w:t>本公告在广州交易集团有限公司（广州公共资源交易中心）网（网址：http://www.gzggzy.cn）和中国招标投标公共服务平台（网址：http://www.cebpubservice.com/）发布，本公告的修改、补充，在广州交易集团有限公司（广州公共资源交易中心）网发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zggzy.cn）、广东省招标投标监管网（http:/www.gdzbtb.gov.cn/）和广州市自来水有限公司（http:/www.gzwatersupply.com）上发布。本公告的修改、补充，在广州公共资源交易中心网站发布。本公告在各媒体发布的文本如有不同之处，以在广州公共资源交易中心网站发布的文本为准。"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。本公告在各媒体发布的文本如有不同之处，以在</w:t>
      </w:r>
      <w:r>
        <w:rPr>
          <w:rFonts w:hint="eastAsia" w:ascii="宋体" w:hAnsi="宋体" w:cs="宋体"/>
          <w:color w:val="auto"/>
          <w:sz w:val="24"/>
          <w:szCs w:val="24"/>
          <w:highlight w:val="none"/>
        </w:rPr>
        <w:t>广州交易集团有限公司（广州公共资源交易中心）网</w:t>
      </w:r>
      <w:r>
        <w:rPr>
          <w:rFonts w:hint="eastAsia" w:ascii="宋体" w:hAnsi="宋体" w:eastAsia="宋体" w:cs="宋体"/>
          <w:color w:val="auto"/>
          <w:sz w:val="24"/>
          <w:szCs w:val="24"/>
          <w:highlight w:val="none"/>
        </w:rPr>
        <w:t>站发布的文本为准。</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kern w:val="0"/>
          <w:sz w:val="24"/>
          <w:szCs w:val="24"/>
          <w:highlight w:val="none"/>
        </w:rPr>
        <w:t xml:space="preserve"> </w:t>
      </w:r>
    </w:p>
    <w:p w14:paraId="16E3C024">
      <w:pPr>
        <w:widowControl/>
        <w:spacing w:line="360" w:lineRule="auto"/>
        <w:ind w:firstLine="480"/>
        <w:jc w:val="left"/>
        <w:rPr>
          <w:rFonts w:hint="eastAsia" w:ascii="宋体" w:hAnsi="宋体" w:eastAsia="宋体" w:cs="宋体"/>
          <w:color w:val="auto"/>
          <w:kern w:val="0"/>
          <w:sz w:val="24"/>
          <w:szCs w:val="24"/>
          <w:highlight w:val="none"/>
        </w:rPr>
      </w:pPr>
    </w:p>
    <w:p w14:paraId="085B94A3">
      <w:pPr>
        <w:adjustRightInd w:val="0"/>
        <w:snapToGrid w:val="0"/>
        <w:spacing w:line="360" w:lineRule="auto"/>
        <w:ind w:left="0" w:leftChars="0" w:right="840" w:firstLine="0" w:firstLineChars="0"/>
        <w:jc w:val="right"/>
        <w:rPr>
          <w:rFonts w:hint="eastAsia" w:ascii="宋体" w:hAnsi="宋体" w:eastAsia="宋体" w:cs="宋体"/>
          <w:color w:val="auto"/>
          <w:kern w:val="0"/>
          <w:sz w:val="24"/>
          <w:szCs w:val="24"/>
          <w:highlight w:val="none"/>
        </w:rPr>
      </w:pPr>
    </w:p>
    <w:p w14:paraId="4B9208E6">
      <w:pPr>
        <w:adjustRightInd w:val="0"/>
        <w:snapToGrid w:val="0"/>
        <w:spacing w:line="360" w:lineRule="auto"/>
        <w:ind w:right="840"/>
        <w:jc w:val="right"/>
        <w:rPr>
          <w:rFonts w:hint="eastAsia" w:ascii="宋体" w:hAnsi="宋体" w:eastAsia="宋体" w:cs="宋体"/>
          <w:color w:val="auto"/>
          <w:sz w:val="24"/>
          <w:szCs w:val="24"/>
          <w:highlight w:val="none"/>
          <w:u w:val="single"/>
        </w:rPr>
      </w:pPr>
      <w:r>
        <w:rPr>
          <w:rFonts w:hint="eastAsia" w:ascii="宋体" w:hAnsi="宋体" w:eastAsia="宋体" w:cs="宋体"/>
          <w:color w:val="auto"/>
          <w:kern w:val="2"/>
          <w:sz w:val="24"/>
          <w:szCs w:val="24"/>
          <w:highlight w:val="none"/>
        </w:rPr>
        <w:t>招 标 单 位：广州市自来水有限公司</w:t>
      </w:r>
    </w:p>
    <w:p w14:paraId="3F3DA21F">
      <w:pPr>
        <w:keepNext w:val="0"/>
        <w:keepLines w:val="0"/>
        <w:pageBreakBefore w:val="0"/>
        <w:widowControl/>
        <w:kinsoku/>
        <w:wordWrap/>
        <w:overflowPunct/>
        <w:topLinePunct w:val="0"/>
        <w:autoSpaceDE/>
        <w:autoSpaceDN/>
        <w:bidi w:val="0"/>
        <w:adjustRightInd w:val="0"/>
        <w:snapToGrid w:val="0"/>
        <w:spacing w:line="360" w:lineRule="auto"/>
        <w:ind w:right="840"/>
        <w:jc w:val="righ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2"/>
          <w:sz w:val="24"/>
          <w:szCs w:val="24"/>
          <w:highlight w:val="none"/>
        </w:rPr>
        <w:t>招标代理单位：</w:t>
      </w:r>
      <w:r>
        <w:rPr>
          <w:rFonts w:hint="eastAsia" w:ascii="宋体" w:hAnsi="宋体" w:cs="宋体"/>
          <w:color w:val="auto"/>
          <w:kern w:val="2"/>
          <w:sz w:val="24"/>
          <w:szCs w:val="24"/>
          <w:highlight w:val="none"/>
          <w:lang w:eastAsia="zh-CN"/>
        </w:rPr>
        <w:t>广东建瀚工程管理有限公司</w:t>
      </w:r>
    </w:p>
    <w:p w14:paraId="78475C8C">
      <w:pPr>
        <w:adjustRightInd w:val="0"/>
        <w:snapToGrid w:val="0"/>
        <w:spacing w:line="360" w:lineRule="auto"/>
        <w:ind w:right="840"/>
        <w:jc w:val="right"/>
        <w:rPr>
          <w:rFonts w:hint="eastAsia" w:ascii="宋体" w:hAnsi="宋体" w:eastAsia="宋体" w:cs="宋体"/>
          <w:b/>
          <w:color w:val="auto"/>
          <w:spacing w:val="4"/>
          <w:sz w:val="36"/>
          <w:szCs w:val="36"/>
          <w:highlight w:val="none"/>
        </w:rPr>
      </w:pPr>
      <w:r>
        <w:rPr>
          <w:rFonts w:hint="eastAsia" w:ascii="宋体" w:hAnsi="宋体" w:eastAsia="宋体" w:cs="宋体"/>
          <w:color w:val="auto"/>
          <w:kern w:val="2"/>
          <w:sz w:val="24"/>
          <w:szCs w:val="24"/>
          <w:highlight w:val="none"/>
          <w:lang w:eastAsia="zh-CN"/>
        </w:rPr>
        <w:t>202</w:t>
      </w:r>
      <w:r>
        <w:rPr>
          <w:rFonts w:hint="eastAsia" w:ascii="宋体" w:hAnsi="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lang w:eastAsia="zh-CN"/>
        </w:rPr>
        <w:t>年</w:t>
      </w:r>
      <w:r>
        <w:rPr>
          <w:rFonts w:hint="eastAsia" w:ascii="宋体" w:hAnsi="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月    日</w:t>
      </w:r>
    </w:p>
    <w:p w14:paraId="26DAB75B">
      <w:pPr>
        <w:pStyle w:val="27"/>
        <w:spacing w:before="120" w:after="120" w:line="360" w:lineRule="auto"/>
        <w:rPr>
          <w:rFonts w:hint="eastAsia" w:ascii="宋体" w:hAnsi="宋体" w:eastAsia="宋体" w:cs="宋体"/>
          <w:color w:val="auto"/>
          <w:highlight w:val="none"/>
        </w:rPr>
      </w:pPr>
      <w:r>
        <w:rPr>
          <w:rFonts w:hint="eastAsia" w:ascii="宋体" w:hAnsi="宋体" w:eastAsia="宋体" w:cs="宋体"/>
          <w:b/>
          <w:color w:val="auto"/>
          <w:spacing w:val="4"/>
          <w:sz w:val="36"/>
          <w:szCs w:val="36"/>
          <w:highlight w:val="none"/>
        </w:rPr>
        <w:t>第1章  投标须知及前附表</w:t>
      </w:r>
    </w:p>
    <w:p w14:paraId="256DBB89">
      <w:pPr>
        <w:pStyle w:val="28"/>
        <w:spacing w:before="156" w:beforeLines="0" w:after="120" w:line="360" w:lineRule="auto"/>
        <w:ind w:firstLine="496"/>
        <w:rPr>
          <w:rFonts w:hint="eastAsia" w:ascii="宋体" w:hAnsi="宋体" w:eastAsia="宋体" w:cs="宋体"/>
          <w:color w:val="auto"/>
          <w:highlight w:val="none"/>
        </w:rPr>
      </w:pPr>
      <w:bookmarkStart w:id="16" w:name="_Toc360635063"/>
      <w:bookmarkStart w:id="17" w:name="_Toc93064319"/>
      <w:bookmarkStart w:id="18" w:name="_Toc93064464"/>
      <w:bookmarkStart w:id="19" w:name="_Toc318905632"/>
      <w:bookmarkStart w:id="20" w:name="_Toc364793121"/>
      <w:bookmarkStart w:id="21" w:name="_Toc8434"/>
      <w:bookmarkStart w:id="22" w:name="_Toc426445881"/>
      <w:bookmarkStart w:id="23" w:name="_Toc367891663"/>
      <w:r>
        <w:rPr>
          <w:rFonts w:hint="eastAsia" w:ascii="宋体" w:hAnsi="宋体" w:eastAsia="宋体" w:cs="宋体"/>
          <w:b/>
          <w:color w:val="auto"/>
          <w:spacing w:val="4"/>
          <w:sz w:val="30"/>
          <w:szCs w:val="30"/>
          <w:highlight w:val="none"/>
        </w:rPr>
        <w:t>一、投标须知前附表</w:t>
      </w:r>
      <w:bookmarkEnd w:id="16"/>
      <w:bookmarkEnd w:id="17"/>
      <w:bookmarkEnd w:id="18"/>
      <w:bookmarkEnd w:id="19"/>
      <w:bookmarkEnd w:id="20"/>
      <w:bookmarkEnd w:id="21"/>
      <w:bookmarkEnd w:id="22"/>
      <w:bookmarkEnd w:id="23"/>
    </w:p>
    <w:tbl>
      <w:tblPr>
        <w:tblStyle w:val="20"/>
        <w:tblW w:w="903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019"/>
        <w:gridCol w:w="1518"/>
        <w:gridCol w:w="5950"/>
      </w:tblGrid>
      <w:tr w14:paraId="7D6222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547" w:type="dxa"/>
            <w:tcBorders>
              <w:top w:val="double" w:color="auto" w:sz="4" w:space="0"/>
              <w:left w:val="double" w:color="auto" w:sz="4" w:space="0"/>
              <w:bottom w:val="single" w:color="auto" w:sz="4" w:space="0"/>
              <w:right w:val="single" w:color="auto" w:sz="4" w:space="0"/>
            </w:tcBorders>
            <w:noWrap w:val="0"/>
            <w:vAlign w:val="center"/>
          </w:tcPr>
          <w:p w14:paraId="178F8259">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项目</w:t>
            </w:r>
          </w:p>
        </w:tc>
        <w:tc>
          <w:tcPr>
            <w:tcW w:w="1019" w:type="dxa"/>
            <w:tcBorders>
              <w:top w:val="double" w:color="auto" w:sz="4" w:space="0"/>
              <w:left w:val="single" w:color="auto" w:sz="4" w:space="0"/>
              <w:bottom w:val="single" w:color="auto" w:sz="4" w:space="0"/>
              <w:right w:val="single" w:color="auto" w:sz="4" w:space="0"/>
            </w:tcBorders>
            <w:noWrap w:val="0"/>
            <w:vAlign w:val="center"/>
          </w:tcPr>
          <w:p w14:paraId="67CB299D">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条款号</w:t>
            </w:r>
          </w:p>
        </w:tc>
        <w:tc>
          <w:tcPr>
            <w:tcW w:w="1518" w:type="dxa"/>
            <w:tcBorders>
              <w:top w:val="double" w:color="auto" w:sz="4" w:space="0"/>
              <w:left w:val="single" w:color="auto" w:sz="4" w:space="0"/>
              <w:bottom w:val="single" w:color="auto" w:sz="4" w:space="0"/>
              <w:right w:val="single" w:color="auto" w:sz="4" w:space="0"/>
            </w:tcBorders>
            <w:noWrap w:val="0"/>
            <w:vAlign w:val="center"/>
          </w:tcPr>
          <w:p w14:paraId="00564ABA">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内容</w:t>
            </w:r>
          </w:p>
        </w:tc>
        <w:tc>
          <w:tcPr>
            <w:tcW w:w="5950" w:type="dxa"/>
            <w:tcBorders>
              <w:top w:val="double" w:color="auto" w:sz="4" w:space="0"/>
              <w:left w:val="single" w:color="auto" w:sz="4" w:space="0"/>
              <w:bottom w:val="single" w:color="auto" w:sz="4" w:space="0"/>
              <w:right w:val="double" w:color="auto" w:sz="4" w:space="0"/>
            </w:tcBorders>
            <w:noWrap w:val="0"/>
            <w:vAlign w:val="center"/>
          </w:tcPr>
          <w:p w14:paraId="714AB2F5">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说明与要求</w:t>
            </w:r>
          </w:p>
        </w:tc>
      </w:tr>
      <w:tr w14:paraId="53B44F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275FFBD9">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6AC2AC8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2.2.1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27400329">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项目名称</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483E3FD6">
            <w:pPr>
              <w:rPr>
                <w:color w:val="auto"/>
                <w:highlight w:val="none"/>
              </w:rPr>
            </w:pPr>
            <w:r>
              <w:rPr>
                <w:rFonts w:hint="eastAsia" w:ascii="宋体" w:hAnsi="宋体" w:cs="宋体"/>
                <w:color w:val="auto"/>
                <w:sz w:val="24"/>
                <w:szCs w:val="24"/>
                <w:highlight w:val="none"/>
                <w:u w:val="none"/>
                <w:lang w:eastAsia="zh-CN"/>
              </w:rPr>
              <w:t>广州市自来水有限公司北部水厂智慧化系统开发服务公开招标项目</w:t>
            </w:r>
          </w:p>
          <w:p w14:paraId="49EE68EE">
            <w:pPr>
              <w:numPr>
                <w:ilvl w:val="-1"/>
                <w:numId w:val="0"/>
              </w:numPr>
              <w:spacing w:line="240" w:lineRule="auto"/>
              <w:ind w:left="0" w:firstLine="0" w:firstLineChars="0"/>
              <w:rPr>
                <w:rFonts w:hint="eastAsia" w:ascii="宋体" w:hAnsi="宋体" w:eastAsia="宋体" w:cs="宋体"/>
                <w:color w:val="auto"/>
                <w:highlight w:val="none"/>
                <w:lang w:eastAsia="zh-CN"/>
              </w:rPr>
            </w:pPr>
          </w:p>
        </w:tc>
      </w:tr>
      <w:tr w14:paraId="4BA74E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E494C30">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7A04BDF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2.2.2</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3D01749">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服务地点</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44A8CB83">
            <w:pPr>
              <w:pStyle w:val="2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详见招标公告。</w:t>
            </w:r>
          </w:p>
        </w:tc>
      </w:tr>
      <w:tr w14:paraId="2CD0CC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1E87823">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F5A83AF">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2.2.3</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54DBABBB">
            <w:pPr>
              <w:pStyle w:val="29"/>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eastAsia="zh-CN"/>
              </w:rPr>
              <w:t>招标控制价</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0B0A95F3">
            <w:pPr>
              <w:ind w:firstLine="240" w:firstLineChars="100"/>
              <w:rPr>
                <w:rFonts w:hint="default"/>
                <w:color w:val="auto"/>
                <w:highlight w:val="none"/>
                <w:lang w:val="en-US"/>
              </w:rPr>
            </w:pPr>
            <w:r>
              <w:rPr>
                <w:rFonts w:hint="eastAsia" w:ascii="宋体" w:hAnsi="宋体" w:eastAsia="宋体" w:cs="宋体"/>
                <w:color w:val="auto"/>
                <w:sz w:val="24"/>
                <w:szCs w:val="24"/>
                <w:highlight w:val="none"/>
                <w:lang w:val="en-US" w:eastAsia="zh-CN"/>
              </w:rPr>
              <w:t>本项目招标控制价为</w:t>
            </w:r>
            <w:r>
              <w:rPr>
                <w:rFonts w:hint="default" w:ascii="宋体" w:hAnsi="宋体" w:cs="宋体"/>
                <w:color w:val="auto"/>
                <w:sz w:val="24"/>
                <w:szCs w:val="24"/>
                <w:highlight w:val="none"/>
              </w:rPr>
              <w:t>28974700.00</w:t>
            </w:r>
            <w:r>
              <w:rPr>
                <w:rFonts w:hint="eastAsia" w:ascii="宋体" w:hAnsi="宋体" w:cs="宋体"/>
                <w:color w:val="auto"/>
                <w:sz w:val="24"/>
                <w:szCs w:val="24"/>
                <w:highlight w:val="none"/>
                <w:lang w:val="en-US" w:eastAsia="zh-CN"/>
              </w:rPr>
              <w:t>元</w:t>
            </w:r>
          </w:p>
          <w:p w14:paraId="526D9091">
            <w:pPr>
              <w:pStyle w:val="29"/>
              <w:numPr>
                <w:ilvl w:val="0"/>
                <w:numId w:val="0"/>
              </w:numPr>
              <w:spacing w:line="240" w:lineRule="auto"/>
              <w:ind w:firstLine="240" w:firstLineChars="100"/>
              <w:rPr>
                <w:rFonts w:hint="eastAsia" w:ascii="宋体" w:hAnsi="宋体" w:eastAsia="宋体" w:cs="宋体"/>
                <w:snapToGrid w:val="0"/>
                <w:color w:val="auto"/>
                <w:sz w:val="24"/>
                <w:szCs w:val="24"/>
                <w:highlight w:val="none"/>
              </w:rPr>
            </w:pPr>
            <w:r>
              <w:rPr>
                <w:rFonts w:hint="eastAsia" w:ascii="宋体" w:hAnsi="宋体" w:eastAsia="宋体" w:cs="宋体"/>
                <w:color w:val="auto"/>
                <w:kern w:val="2"/>
                <w:sz w:val="24"/>
                <w:szCs w:val="24"/>
                <w:highlight w:val="none"/>
                <w:lang w:bidi="ar-SA"/>
              </w:rPr>
              <w:t>本项目招标控制价详见《</w:t>
            </w:r>
            <w:r>
              <w:rPr>
                <w:rFonts w:hint="eastAsia" w:ascii="宋体" w:hAnsi="宋体" w:eastAsia="宋体" w:cs="宋体"/>
                <w:b w:val="0"/>
                <w:bCs w:val="0"/>
                <w:color w:val="auto"/>
                <w:kern w:val="2"/>
                <w:sz w:val="24"/>
                <w:szCs w:val="24"/>
                <w:highlight w:val="none"/>
                <w:lang w:bidi="ar-SA"/>
              </w:rPr>
              <w:t>最高投标限价公布函</w:t>
            </w:r>
            <w:r>
              <w:rPr>
                <w:rFonts w:hint="eastAsia" w:ascii="宋体" w:hAnsi="宋体" w:eastAsia="宋体" w:cs="宋体"/>
                <w:color w:val="auto"/>
                <w:kern w:val="2"/>
                <w:sz w:val="24"/>
                <w:szCs w:val="24"/>
                <w:highlight w:val="none"/>
                <w:lang w:bidi="ar-SA"/>
              </w:rPr>
              <w:t>》，超过招标控制价的报价将被拒绝。</w:t>
            </w:r>
          </w:p>
        </w:tc>
      </w:tr>
      <w:tr w14:paraId="5F833D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547" w:type="dxa"/>
            <w:tcBorders>
              <w:top w:val="single" w:color="auto" w:sz="4" w:space="0"/>
              <w:left w:val="double" w:color="auto" w:sz="4" w:space="0"/>
              <w:bottom w:val="single" w:color="auto" w:sz="4" w:space="0"/>
              <w:right w:val="single" w:color="auto" w:sz="4" w:space="0"/>
            </w:tcBorders>
            <w:shd w:val="clear" w:color="auto" w:fill="auto"/>
            <w:noWrap w:val="0"/>
            <w:vAlign w:val="center"/>
          </w:tcPr>
          <w:p w14:paraId="385BB958">
            <w:pPr>
              <w:pStyle w:val="29"/>
              <w:spacing w:before="156" w:after="156"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w:t>
            </w:r>
          </w:p>
        </w:tc>
        <w:tc>
          <w:tcPr>
            <w:tcW w:w="10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2C21A8">
            <w:pPr>
              <w:pStyle w:val="29"/>
              <w:spacing w:line="360" w:lineRule="auto"/>
              <w:jc w:val="center"/>
              <w:rPr>
                <w:rFonts w:hint="eastAsia" w:ascii="宋体" w:hAnsi="宋体" w:eastAsia="宋体" w:cs="宋体"/>
                <w:color w:val="auto"/>
                <w:sz w:val="24"/>
                <w:szCs w:val="24"/>
                <w:highlight w:val="none"/>
              </w:rPr>
            </w:pPr>
          </w:p>
        </w:tc>
        <w:tc>
          <w:tcPr>
            <w:tcW w:w="15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D8CBDF">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标段划分</w:t>
            </w:r>
          </w:p>
        </w:tc>
        <w:tc>
          <w:tcPr>
            <w:tcW w:w="5950" w:type="dxa"/>
            <w:tcBorders>
              <w:top w:val="single" w:color="auto" w:sz="4" w:space="0"/>
              <w:left w:val="single" w:color="auto" w:sz="4" w:space="0"/>
              <w:bottom w:val="single" w:color="auto" w:sz="4" w:space="0"/>
              <w:right w:val="double" w:color="auto" w:sz="4" w:space="0"/>
            </w:tcBorders>
            <w:shd w:val="clear" w:color="auto" w:fill="FFFFFF"/>
            <w:noWrap w:val="0"/>
            <w:vAlign w:val="center"/>
          </w:tcPr>
          <w:p w14:paraId="369ED152">
            <w:pPr>
              <w:pStyle w:val="2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本招标项目</w:t>
            </w:r>
            <w:r>
              <w:rPr>
                <w:rFonts w:hint="eastAsia" w:cs="宋体"/>
                <w:color w:val="auto"/>
                <w:kern w:val="2"/>
                <w:sz w:val="24"/>
                <w:szCs w:val="24"/>
                <w:highlight w:val="none"/>
                <w:lang w:val="en-US" w:eastAsia="zh-CN"/>
              </w:rPr>
              <w:t>不</w:t>
            </w:r>
            <w:r>
              <w:rPr>
                <w:rFonts w:hint="eastAsia" w:ascii="宋体" w:hAnsi="宋体" w:eastAsia="宋体" w:cs="宋体"/>
                <w:color w:val="auto"/>
                <w:kern w:val="2"/>
                <w:sz w:val="24"/>
                <w:szCs w:val="24"/>
                <w:highlight w:val="none"/>
              </w:rPr>
              <w:t>划分标段。</w:t>
            </w:r>
          </w:p>
        </w:tc>
      </w:tr>
      <w:tr w14:paraId="1C4418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547" w:type="dxa"/>
            <w:tcBorders>
              <w:top w:val="single" w:color="auto" w:sz="4" w:space="0"/>
              <w:left w:val="double" w:color="auto" w:sz="4" w:space="0"/>
              <w:bottom w:val="single" w:color="auto" w:sz="4" w:space="0"/>
              <w:right w:val="single" w:color="auto" w:sz="4" w:space="0"/>
            </w:tcBorders>
            <w:shd w:val="clear" w:color="auto" w:fill="auto"/>
            <w:noWrap w:val="0"/>
            <w:vAlign w:val="center"/>
          </w:tcPr>
          <w:p w14:paraId="7A523C66">
            <w:pPr>
              <w:pStyle w:val="29"/>
              <w:spacing w:before="156" w:after="156"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w:t>
            </w:r>
          </w:p>
        </w:tc>
        <w:tc>
          <w:tcPr>
            <w:tcW w:w="10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4D0394">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2.3.1</w:t>
            </w:r>
          </w:p>
        </w:tc>
        <w:tc>
          <w:tcPr>
            <w:tcW w:w="15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634D1">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招标范围及内容</w:t>
            </w:r>
          </w:p>
        </w:tc>
        <w:tc>
          <w:tcPr>
            <w:tcW w:w="5950" w:type="dxa"/>
            <w:tcBorders>
              <w:top w:val="single" w:color="auto" w:sz="4" w:space="0"/>
              <w:left w:val="single" w:color="auto" w:sz="4" w:space="0"/>
              <w:bottom w:val="single" w:color="auto" w:sz="4" w:space="0"/>
              <w:right w:val="double" w:color="auto" w:sz="4" w:space="0"/>
            </w:tcBorders>
            <w:shd w:val="clear" w:color="auto" w:fill="FFFFFF"/>
            <w:noWrap w:val="0"/>
            <w:vAlign w:val="center"/>
          </w:tcPr>
          <w:p w14:paraId="418863FB">
            <w:pPr>
              <w:autoSpaceDE w:val="0"/>
              <w:autoSpaceDN w:val="0"/>
              <w:adjustRightInd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详见招标公告。</w:t>
            </w:r>
          </w:p>
        </w:tc>
      </w:tr>
      <w:tr w14:paraId="40A89C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A8D4D91">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6</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0992FA7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2.3.2</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05DAD0BF">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服务期</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00E92CEE">
            <w:pPr>
              <w:pStyle w:val="5"/>
              <w:spacing w:line="240" w:lineRule="auto"/>
              <w:ind w:firstLine="0" w:firstLineChars="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详见招标公告。</w:t>
            </w:r>
          </w:p>
        </w:tc>
      </w:tr>
      <w:tr w14:paraId="6503C0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38CD454E">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FEF4680">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5010B37D">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4D398D9D">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企业自筹</w:t>
            </w:r>
          </w:p>
        </w:tc>
      </w:tr>
      <w:tr w14:paraId="55814E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692D32F0">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0F93A0E">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08C11D25">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投标人资质要求</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10D4DCEF">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按招标公告要求</w:t>
            </w:r>
          </w:p>
        </w:tc>
      </w:tr>
      <w:tr w14:paraId="0B5BD3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545D2B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0EA0939">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71622A4E">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资格审查方式</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1DAC9D6E">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资格后审</w:t>
            </w:r>
          </w:p>
        </w:tc>
      </w:tr>
      <w:tr w14:paraId="23E137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6E443F60">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F374DAC">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4C92A5E">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报价方式</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4F89A7D9">
            <w:pPr>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本招标项目设置总价最高投标限价和每项</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投标综合单价最高投标限价；</w:t>
            </w:r>
          </w:p>
          <w:p w14:paraId="2AA573DD">
            <w:pPr>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2</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投标人的总投标报价不得超过总价最高投标限价；</w:t>
            </w:r>
          </w:p>
          <w:p w14:paraId="1E000307">
            <w:pPr>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3</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投标人的每项</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单价的投标报价不得超过每项设备综合单价最高投标限价；</w:t>
            </w:r>
          </w:p>
          <w:p w14:paraId="35922B30">
            <w:pPr>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4</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总价最高投标限价和每项</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综合单价最高投标限价详见本</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项目的《最高投标限价公布函》；</w:t>
            </w:r>
          </w:p>
          <w:p w14:paraId="3C42E30F">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最高限价包括了服务费、差旅费、误餐费、保险、税费及其他费用等一切支出，招标人不再支付任何费用。投标人的报价，是各项费用和含税综合计算的结果,且所报价格为闭口价,中标结果有效期内价格不再允许变化。</w:t>
            </w:r>
          </w:p>
          <w:p w14:paraId="49AE1214">
            <w:pPr>
              <w:spacing w:line="240" w:lineRule="auto"/>
              <w:ind w:firstLine="0"/>
              <w:rPr>
                <w:rFonts w:hint="eastAsia" w:ascii="宋体" w:hAnsi="宋体" w:eastAsia="宋体" w:cs="宋体"/>
                <w:color w:val="auto"/>
                <w:sz w:val="24"/>
                <w:szCs w:val="24"/>
                <w:highlight w:val="none"/>
              </w:rPr>
            </w:pPr>
          </w:p>
        </w:tc>
      </w:tr>
      <w:tr w14:paraId="69BD68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452528E4">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40A1597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4C14B358">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6974C33C">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日历天（从投标截止之日算起）</w:t>
            </w:r>
          </w:p>
        </w:tc>
      </w:tr>
      <w:tr w14:paraId="4FD58D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03"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28776139">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BFFCB73">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59982426">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382B5197">
            <w:pPr>
              <w:spacing w:line="240" w:lineRule="auto"/>
              <w:ind w:left="0" w:leftChars="0" w:firstLine="0" w:firstLineChars="0"/>
              <w:jc w:val="left"/>
              <w:rPr>
                <w:rFonts w:hint="eastAsia"/>
                <w:color w:val="auto"/>
                <w:sz w:val="24"/>
                <w:szCs w:val="24"/>
                <w:highlight w:val="none"/>
              </w:rPr>
            </w:pPr>
            <w:r>
              <w:rPr>
                <w:rFonts w:hint="eastAsia"/>
                <w:color w:val="auto"/>
                <w:sz w:val="24"/>
                <w:szCs w:val="24"/>
                <w:highlight w:val="none"/>
              </w:rPr>
              <w:t>是否要求投标人递交投标保证金：</w:t>
            </w:r>
          </w:p>
          <w:p w14:paraId="1B5DA95B">
            <w:pPr>
              <w:spacing w:line="240" w:lineRule="auto"/>
              <w:ind w:left="0" w:leftChars="0" w:firstLine="0" w:firstLineChars="0"/>
              <w:jc w:val="left"/>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rPr>
              <w:t>要求，</w:t>
            </w:r>
            <w:r>
              <w:rPr>
                <w:rFonts w:hint="eastAsia"/>
                <w:color w:val="auto"/>
                <w:sz w:val="24"/>
                <w:szCs w:val="24"/>
                <w:highlight w:val="none"/>
                <w:lang w:val="en-US" w:eastAsia="zh-CN"/>
              </w:rPr>
              <w:t>50</w:t>
            </w:r>
            <w:r>
              <w:rPr>
                <w:rFonts w:hint="eastAsia"/>
                <w:color w:val="auto"/>
                <w:sz w:val="24"/>
                <w:szCs w:val="24"/>
                <w:highlight w:val="none"/>
              </w:rPr>
              <w:t>万元人民币，缴纳时间在递交投标文件截止时间前。</w:t>
            </w:r>
          </w:p>
          <w:p w14:paraId="4E3652FA">
            <w:pPr>
              <w:spacing w:line="240" w:lineRule="auto"/>
              <w:ind w:left="0" w:leftChars="0" w:firstLine="0" w:firstLineChars="0"/>
              <w:jc w:val="left"/>
              <w:rPr>
                <w:rFonts w:hint="eastAsia"/>
                <w:color w:val="auto"/>
                <w:sz w:val="24"/>
                <w:szCs w:val="24"/>
                <w:highlight w:val="none"/>
              </w:rPr>
            </w:pPr>
            <w:r>
              <w:rPr>
                <w:rFonts w:hint="eastAsia"/>
                <w:color w:val="auto"/>
                <w:sz w:val="24"/>
                <w:szCs w:val="24"/>
                <w:highlight w:val="none"/>
              </w:rPr>
              <w:t>缴纳方式：投标保证金可采用现金、支票、银行投标保函、担保保函或投标保证保险的形式，须在递交投标文件截止时间前完成缴纳。</w:t>
            </w:r>
          </w:p>
          <w:p w14:paraId="600DF79E">
            <w:pPr>
              <w:spacing w:line="240" w:lineRule="auto"/>
              <w:ind w:left="0" w:leftChars="0" w:firstLine="0" w:firstLineChars="0"/>
              <w:jc w:val="left"/>
              <w:rPr>
                <w:rFonts w:hint="eastAsia"/>
                <w:color w:val="auto"/>
                <w:sz w:val="24"/>
                <w:szCs w:val="24"/>
                <w:highlight w:val="none"/>
              </w:rPr>
            </w:pPr>
            <w:r>
              <w:rPr>
                <w:rFonts w:hint="eastAsia"/>
                <w:color w:val="auto"/>
                <w:sz w:val="24"/>
                <w:szCs w:val="24"/>
                <w:highlight w:val="none"/>
              </w:rPr>
              <w:t>（1）如采用现金、支票形式提交的，投标保证金从投标人基本账户递交，由广州交易集团有限公司（广州公共资源交易中心）代收。具体操作要求详见广州交易集团有限公司（广州公共资源交易中心）有关指引，递交事宜请自行咨询交易中心；请各投标人在投标文件递交截止时间前按上述金额递交至广州交易集团有限公司（广州公共资源交易中心），到账情况以开标时广州交易集团有限公司（广州公共资源交易中心）数据库查询的信息为准。</w:t>
            </w:r>
          </w:p>
          <w:p w14:paraId="40D48087">
            <w:pPr>
              <w:spacing w:line="240" w:lineRule="auto"/>
              <w:ind w:left="0" w:leftChars="0" w:firstLine="0" w:firstLineChars="0"/>
              <w:jc w:val="left"/>
              <w:rPr>
                <w:rFonts w:hint="eastAsia"/>
                <w:color w:val="auto"/>
                <w:sz w:val="24"/>
                <w:szCs w:val="24"/>
                <w:highlight w:val="none"/>
              </w:rPr>
            </w:pPr>
            <w:r>
              <w:rPr>
                <w:rFonts w:hint="eastAsia"/>
                <w:color w:val="auto"/>
                <w:sz w:val="24"/>
                <w:szCs w:val="24"/>
                <w:highlight w:val="none"/>
              </w:rPr>
              <w:t>（2）如采用银行投标保函、担保保函或投标保证保险提交投标保证金的，银行投标保函、担保保函或投标保证保险须开具给招标人（保险受益人须为招标人）。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广州交易集团有限公司（广州公共资源交易中心）数据库查询信息为准。</w:t>
            </w:r>
          </w:p>
          <w:p w14:paraId="362C56FD">
            <w:pPr>
              <w:rPr>
                <w:rFonts w:hint="eastAsia"/>
                <w:color w:val="auto"/>
                <w:sz w:val="24"/>
                <w:szCs w:val="24"/>
                <w:highlight w:val="none"/>
              </w:rPr>
            </w:pPr>
            <w:r>
              <w:rPr>
                <w:rFonts w:hint="eastAsia"/>
                <w:color w:val="auto"/>
                <w:sz w:val="24"/>
                <w:szCs w:val="24"/>
                <w:highlight w:val="none"/>
              </w:rPr>
              <w:t>□不要求</w:t>
            </w:r>
            <w:r>
              <w:rPr>
                <w:rFonts w:hint="eastAsia" w:ascii="Times New Roman" w:hAnsi="Times New Roman" w:cs="Times New Roman"/>
                <w:color w:val="auto"/>
                <w:sz w:val="24"/>
                <w:szCs w:val="24"/>
                <w:highlight w:val="none"/>
              </w:rPr>
              <w:t>。</w:t>
            </w:r>
          </w:p>
        </w:tc>
      </w:tr>
      <w:tr w14:paraId="5ACEE8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468C7B8F">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65639D0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6F738879">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01A3C0F3">
            <w:pPr>
              <w:pStyle w:val="2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本项目不组织勘察现场，投标人如有需要，请自行前往。</w:t>
            </w:r>
          </w:p>
        </w:tc>
      </w:tr>
      <w:tr w14:paraId="5E082E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24"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57FB80E">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FB0A39A">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C484AD0">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6E21407F">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1.方式：网上答疑</w:t>
            </w:r>
          </w:p>
          <w:p w14:paraId="5AFFBA39">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2.投标人质疑期限：在投标截止日期</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日前</w:t>
            </w:r>
          </w:p>
          <w:p w14:paraId="64BBC4E6">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3.招标人答疑期限：在投标截止日期</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日前</w:t>
            </w:r>
          </w:p>
          <w:p w14:paraId="2503DB63">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4.网上答疑的相关事项详见招标文件8.1款。</w:t>
            </w:r>
          </w:p>
          <w:p w14:paraId="4DA6ACF6">
            <w:pPr>
              <w:pStyle w:val="29"/>
              <w:spacing w:line="240" w:lineRule="auto"/>
              <w:rPr>
                <w:rFonts w:hint="eastAsia" w:ascii="宋体" w:hAnsi="宋体" w:eastAsia="宋体" w:cs="宋体"/>
                <w:color w:val="auto"/>
                <w:spacing w:val="4"/>
                <w:szCs w:val="24"/>
                <w:highlight w:val="none"/>
              </w:rPr>
            </w:pPr>
            <w:r>
              <w:rPr>
                <w:rFonts w:hint="eastAsia" w:ascii="宋体" w:hAnsi="宋体" w:eastAsia="宋体" w:cs="宋体"/>
                <w:color w:val="auto"/>
                <w:sz w:val="24"/>
                <w:szCs w:val="24"/>
                <w:highlight w:val="none"/>
              </w:rPr>
              <w:t>5.答疑纪要一经网站发布即视为已发放给投标人，投标人需密切关注</w:t>
            </w:r>
            <w:r>
              <w:rPr>
                <w:rFonts w:hint="eastAsia" w:cs="宋体"/>
                <w:color w:val="auto"/>
                <w:sz w:val="24"/>
                <w:szCs w:val="24"/>
                <w:highlight w:val="none"/>
              </w:rPr>
              <w:t>广州交易集团有限公司（广州公共资源交易中心）</w:t>
            </w:r>
            <w:r>
              <w:rPr>
                <w:rFonts w:hint="eastAsia" w:cs="宋体"/>
                <w:color w:val="auto"/>
                <w:sz w:val="24"/>
                <w:szCs w:val="24"/>
                <w:highlight w:val="none"/>
                <w:lang w:val="en-US" w:eastAsia="zh-CN"/>
              </w:rPr>
              <w:t>网站</w:t>
            </w:r>
            <w:r>
              <w:rPr>
                <w:rFonts w:hint="eastAsia" w:ascii="宋体" w:hAnsi="宋体" w:eastAsia="宋体" w:cs="宋体"/>
                <w:color w:val="auto"/>
                <w:sz w:val="24"/>
                <w:szCs w:val="24"/>
                <w:highlight w:val="none"/>
              </w:rPr>
              <w:t>有关本项目的答疑纪要发布情况。</w:t>
            </w:r>
          </w:p>
        </w:tc>
      </w:tr>
      <w:tr w14:paraId="0F15CC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61873C8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943FB7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0141D7C7">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w:t>
            </w:r>
            <w:r>
              <w:rPr>
                <w:rFonts w:hint="eastAsia" w:ascii="宋体" w:hAnsi="宋体" w:eastAsia="宋体" w:cs="宋体"/>
                <w:color w:val="auto"/>
                <w:spacing w:val="-3"/>
                <w:sz w:val="24"/>
                <w:szCs w:val="24"/>
                <w:highlight w:val="none"/>
              </w:rPr>
              <w:t>或</w:t>
            </w:r>
            <w:r>
              <w:rPr>
                <w:rFonts w:hint="eastAsia" w:ascii="宋体" w:hAnsi="宋体" w:eastAsia="宋体" w:cs="宋体"/>
                <w:color w:val="auto"/>
                <w:sz w:val="24"/>
                <w:szCs w:val="24"/>
                <w:highlight w:val="none"/>
              </w:rPr>
              <w:t>盖</w:t>
            </w:r>
            <w:r>
              <w:rPr>
                <w:rFonts w:hint="eastAsia" w:ascii="宋体" w:hAnsi="宋体" w:eastAsia="宋体" w:cs="宋体"/>
                <w:color w:val="auto"/>
                <w:spacing w:val="-3"/>
                <w:sz w:val="24"/>
                <w:szCs w:val="24"/>
                <w:highlight w:val="none"/>
              </w:rPr>
              <w:t>章</w:t>
            </w:r>
            <w:r>
              <w:rPr>
                <w:rFonts w:hint="eastAsia" w:ascii="宋体" w:hAnsi="宋体" w:eastAsia="宋体" w:cs="宋体"/>
                <w:color w:val="auto"/>
                <w:sz w:val="24"/>
                <w:szCs w:val="24"/>
                <w:highlight w:val="none"/>
              </w:rPr>
              <w:t>要求</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402799BD">
            <w:pPr>
              <w:pStyle w:val="30"/>
              <w:numPr>
                <w:ilvl w:val="0"/>
                <w:numId w:val="0"/>
              </w:numPr>
              <w:kinsoku w:val="0"/>
              <w:overflowPunct w:val="0"/>
              <w:spacing w:line="24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 xml:space="preserve">投标文件格式规定盖章的页面必须盖章（可以使用电子签章），规定法定代表人或授权委托人签字的页面必须签字或签章（可以使用电子签名）。 </w:t>
            </w:r>
          </w:p>
        </w:tc>
      </w:tr>
      <w:tr w14:paraId="480E54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47F1DA46">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070F9C9">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17.6</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F067695">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24DFD581">
            <w:pPr>
              <w:pStyle w:val="30"/>
              <w:kinsoku w:val="0"/>
              <w:overflowPunct w:val="0"/>
              <w:spacing w:line="240" w:lineRule="auto"/>
              <w:rPr>
                <w:rFonts w:hint="eastAsia" w:ascii="宋体" w:hAnsi="宋体" w:eastAsia="宋体" w:cs="宋体"/>
                <w:color w:val="auto"/>
                <w:szCs w:val="24"/>
                <w:highlight w:val="none"/>
              </w:rPr>
            </w:pPr>
            <w:r>
              <w:rPr>
                <w:rFonts w:hint="eastAsia" w:ascii="宋体" w:hAnsi="宋体" w:eastAsia="宋体" w:cs="宋体"/>
                <w:color w:val="auto"/>
                <w:spacing w:val="4"/>
                <w:szCs w:val="24"/>
                <w:highlight w:val="none"/>
              </w:rPr>
              <w:t>投标文件为含签章</w:t>
            </w:r>
            <w:r>
              <w:rPr>
                <w:rFonts w:hint="eastAsia" w:ascii="宋体" w:hAnsi="宋体" w:eastAsia="宋体" w:cs="宋体"/>
                <w:color w:val="auto"/>
                <w:spacing w:val="7"/>
                <w:szCs w:val="24"/>
                <w:highlight w:val="none"/>
              </w:rPr>
              <w:t>的</w:t>
            </w:r>
            <w:r>
              <w:rPr>
                <w:rFonts w:hint="eastAsia" w:ascii="宋体" w:hAnsi="宋体" w:eastAsia="宋体" w:cs="宋体"/>
                <w:color w:val="auto"/>
                <w:spacing w:val="4"/>
                <w:szCs w:val="24"/>
                <w:highlight w:val="none"/>
              </w:rPr>
              <w:t>加密电</w:t>
            </w:r>
            <w:r>
              <w:rPr>
                <w:rFonts w:hint="eastAsia" w:ascii="宋体" w:hAnsi="宋体" w:eastAsia="宋体" w:cs="宋体"/>
                <w:color w:val="auto"/>
                <w:spacing w:val="2"/>
                <w:szCs w:val="24"/>
                <w:highlight w:val="none"/>
              </w:rPr>
              <w:t>子</w:t>
            </w:r>
            <w:r>
              <w:rPr>
                <w:rFonts w:hint="eastAsia" w:ascii="宋体" w:hAnsi="宋体" w:eastAsia="宋体" w:cs="宋体"/>
                <w:color w:val="auto"/>
                <w:szCs w:val="24"/>
                <w:highlight w:val="none"/>
              </w:rPr>
              <w:t>投标</w:t>
            </w:r>
            <w:r>
              <w:rPr>
                <w:rFonts w:hint="eastAsia" w:ascii="宋体" w:hAnsi="宋体" w:eastAsia="宋体" w:cs="宋体"/>
                <w:color w:val="auto"/>
                <w:spacing w:val="-3"/>
                <w:szCs w:val="24"/>
                <w:highlight w:val="none"/>
              </w:rPr>
              <w:t>文</w:t>
            </w:r>
            <w:r>
              <w:rPr>
                <w:rFonts w:hint="eastAsia" w:ascii="宋体" w:hAnsi="宋体" w:eastAsia="宋体" w:cs="宋体"/>
                <w:color w:val="auto"/>
                <w:szCs w:val="24"/>
                <w:highlight w:val="none"/>
              </w:rPr>
              <w:t>件</w:t>
            </w:r>
            <w:r>
              <w:rPr>
                <w:rFonts w:hint="eastAsia" w:ascii="宋体" w:hAnsi="宋体" w:eastAsia="宋体" w:cs="宋体"/>
                <w:color w:val="auto"/>
                <w:spacing w:val="-53"/>
                <w:szCs w:val="24"/>
                <w:highlight w:val="none"/>
              </w:rPr>
              <w:t xml:space="preserve"> </w:t>
            </w:r>
            <w:r>
              <w:rPr>
                <w:rFonts w:hint="eastAsia" w:ascii="宋体" w:hAnsi="宋体" w:eastAsia="宋体" w:cs="宋体"/>
                <w:color w:val="auto"/>
                <w:szCs w:val="24"/>
                <w:highlight w:val="none"/>
              </w:rPr>
              <w:t xml:space="preserve">1套。 </w:t>
            </w:r>
          </w:p>
        </w:tc>
      </w:tr>
      <w:tr w14:paraId="1885D4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4A52E440">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00EC197">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209DE770">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w:t>
            </w:r>
          </w:p>
          <w:p w14:paraId="67B7BDD4">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提交方式及截止时间</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0A48A70A">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投标文件提交方式：</w:t>
            </w:r>
            <w:r>
              <w:rPr>
                <w:rFonts w:hint="eastAsia" w:cs="宋体"/>
                <w:color w:val="auto"/>
                <w:sz w:val="24"/>
                <w:szCs w:val="24"/>
                <w:highlight w:val="none"/>
              </w:rPr>
              <w:t>广州交易集团有限公司（广州公共资源交易中心）</w:t>
            </w:r>
            <w:r>
              <w:rPr>
                <w:rFonts w:hint="eastAsia" w:cs="宋体"/>
                <w:color w:val="auto"/>
                <w:sz w:val="24"/>
                <w:szCs w:val="24"/>
                <w:highlight w:val="none"/>
                <w:lang w:val="en-US" w:eastAsia="zh-CN"/>
              </w:rPr>
              <w:t>网站</w:t>
            </w:r>
            <w:r>
              <w:rPr>
                <w:rFonts w:hint="eastAsia" w:ascii="宋体" w:hAnsi="宋体" w:eastAsia="宋体" w:cs="宋体"/>
                <w:color w:val="auto"/>
                <w:sz w:val="24"/>
                <w:szCs w:val="24"/>
                <w:highlight w:val="none"/>
              </w:rPr>
              <w:t>线上递交。</w:t>
            </w:r>
          </w:p>
          <w:p w14:paraId="356B537A">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投标文件提交截止时间：详见招标公告。</w:t>
            </w:r>
          </w:p>
          <w:p w14:paraId="6FAF4A67">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上述时间是否有改变，请密切留意招标答疑纪要的相关信息。</w:t>
            </w:r>
          </w:p>
        </w:tc>
      </w:tr>
      <w:tr w14:paraId="51E8D7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10"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1A77BDF2">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77EEE61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0CF5359D">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73DD8146">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（1）开标时间：详见招标公告。</w:t>
            </w:r>
          </w:p>
          <w:p w14:paraId="26D3A86A">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（2）地点：详见招标公告。</w:t>
            </w:r>
          </w:p>
          <w:p w14:paraId="2B23A27F">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上述时间及地点是否有改变，请密切留意招标答疑纪要的相关信息。</w:t>
            </w:r>
          </w:p>
        </w:tc>
      </w:tr>
      <w:tr w14:paraId="79F500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2E8D6373">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06B5CA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7AB876AA">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评标方法及标准</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12E6E31E">
            <w:pPr>
              <w:pStyle w:val="30"/>
              <w:kinsoku w:val="0"/>
              <w:overflowPunct w:val="0"/>
              <w:spacing w:line="240" w:lineRule="auto"/>
              <w:rPr>
                <w:rFonts w:hint="eastAsia" w:ascii="宋体" w:hAnsi="宋体" w:eastAsia="宋体" w:cs="宋体"/>
                <w:color w:val="auto"/>
                <w:spacing w:val="4"/>
                <w:szCs w:val="24"/>
                <w:highlight w:val="none"/>
                <w:lang w:val="en-US" w:eastAsia="zh-CN"/>
              </w:rPr>
            </w:pPr>
            <w:r>
              <w:rPr>
                <w:rFonts w:hint="eastAsia" w:ascii="宋体" w:hAnsi="宋体" w:eastAsia="宋体" w:cs="宋体"/>
                <w:color w:val="auto"/>
                <w:szCs w:val="24"/>
                <w:highlight w:val="none"/>
              </w:rPr>
              <w:t>综合评分法。</w:t>
            </w:r>
            <w:r>
              <w:rPr>
                <w:rFonts w:hint="eastAsia" w:ascii="宋体" w:hAnsi="宋体" w:eastAsia="宋体" w:cs="宋体"/>
                <w:color w:val="auto"/>
                <w:szCs w:val="24"/>
                <w:highlight w:val="none"/>
                <w:lang w:val="en-US" w:eastAsia="zh-CN"/>
              </w:rPr>
              <w:t>价格分占</w:t>
            </w:r>
            <w:r>
              <w:rPr>
                <w:rFonts w:hint="eastAsia" w:ascii="宋体" w:hAnsi="宋体" w:cs="宋体"/>
                <w:color w:val="auto"/>
                <w:szCs w:val="24"/>
                <w:highlight w:val="none"/>
                <w:lang w:val="en-US" w:eastAsia="zh-CN"/>
              </w:rPr>
              <w:t>30</w:t>
            </w:r>
            <w:r>
              <w:rPr>
                <w:rFonts w:hint="eastAsia" w:ascii="宋体" w:hAnsi="宋体" w:eastAsia="宋体" w:cs="宋体"/>
                <w:color w:val="auto"/>
                <w:szCs w:val="24"/>
                <w:highlight w:val="none"/>
                <w:lang w:val="en-US" w:eastAsia="zh-CN"/>
              </w:rPr>
              <w:t>%，商务技术分占</w:t>
            </w:r>
            <w:r>
              <w:rPr>
                <w:rFonts w:hint="eastAsia" w:ascii="宋体" w:hAnsi="宋体" w:cs="宋体"/>
                <w:color w:val="auto"/>
                <w:szCs w:val="24"/>
                <w:highlight w:val="none"/>
                <w:lang w:val="en-US" w:eastAsia="zh-CN"/>
              </w:rPr>
              <w:t>70</w:t>
            </w:r>
            <w:r>
              <w:rPr>
                <w:rFonts w:hint="eastAsia" w:ascii="宋体" w:hAnsi="宋体" w:eastAsia="宋体" w:cs="宋体"/>
                <w:color w:val="auto"/>
                <w:szCs w:val="24"/>
                <w:highlight w:val="none"/>
                <w:lang w:val="en-US" w:eastAsia="zh-CN"/>
              </w:rPr>
              <w:t>%。</w:t>
            </w:r>
          </w:p>
        </w:tc>
      </w:tr>
      <w:tr w14:paraId="52B00F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093EAFE5">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5844BDE7">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2EB3C667">
            <w:pPr>
              <w:pStyle w:val="29"/>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评委</w:t>
            </w:r>
            <w:r>
              <w:rPr>
                <w:rFonts w:hint="eastAsia" w:cs="宋体"/>
                <w:color w:val="auto"/>
                <w:sz w:val="24"/>
                <w:szCs w:val="24"/>
                <w:highlight w:val="none"/>
                <w:lang w:val="en-US" w:eastAsia="zh-CN"/>
              </w:rPr>
              <w:t>委员会</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3C50D1A7">
            <w:pPr>
              <w:pStyle w:val="30"/>
              <w:kinsoku w:val="0"/>
              <w:overflowPunct w:val="0"/>
              <w:spacing w:line="24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评标委员会构成：</w:t>
            </w:r>
            <w:r>
              <w:rPr>
                <w:rFonts w:hint="eastAsia" w:ascii="宋体" w:hAnsi="宋体" w:cs="宋体"/>
                <w:color w:val="auto"/>
                <w:spacing w:val="4"/>
                <w:szCs w:val="24"/>
                <w:highlight w:val="none"/>
                <w:lang w:val="en-US" w:eastAsia="zh-CN"/>
              </w:rPr>
              <w:t>7</w:t>
            </w:r>
            <w:r>
              <w:rPr>
                <w:rFonts w:hint="eastAsia" w:ascii="宋体" w:hAnsi="宋体" w:eastAsia="宋体" w:cs="宋体"/>
                <w:color w:val="auto"/>
                <w:spacing w:val="4"/>
                <w:szCs w:val="24"/>
                <w:highlight w:val="none"/>
              </w:rPr>
              <w:t>人，其中招标人代表</w:t>
            </w:r>
            <w:r>
              <w:rPr>
                <w:rFonts w:hint="eastAsia" w:ascii="宋体" w:hAnsi="宋体" w:cs="宋体"/>
                <w:color w:val="auto"/>
                <w:spacing w:val="4"/>
                <w:szCs w:val="24"/>
                <w:highlight w:val="none"/>
                <w:lang w:val="en-US" w:eastAsia="zh-CN"/>
              </w:rPr>
              <w:t>2</w:t>
            </w:r>
            <w:r>
              <w:rPr>
                <w:rFonts w:hint="eastAsia" w:ascii="宋体" w:hAnsi="宋体" w:eastAsia="宋体" w:cs="宋体"/>
                <w:color w:val="auto"/>
                <w:spacing w:val="4"/>
                <w:szCs w:val="24"/>
                <w:highlight w:val="none"/>
              </w:rPr>
              <w:t>人，专家</w:t>
            </w:r>
            <w:r>
              <w:rPr>
                <w:rFonts w:hint="eastAsia" w:ascii="宋体" w:hAnsi="宋体" w:cs="宋体"/>
                <w:color w:val="auto"/>
                <w:spacing w:val="4"/>
                <w:szCs w:val="24"/>
                <w:highlight w:val="none"/>
                <w:lang w:val="en-US" w:eastAsia="zh-CN"/>
              </w:rPr>
              <w:t>5</w:t>
            </w:r>
            <w:r>
              <w:rPr>
                <w:rFonts w:hint="eastAsia" w:ascii="宋体" w:hAnsi="宋体" w:eastAsia="宋体" w:cs="宋体"/>
                <w:color w:val="auto"/>
                <w:spacing w:val="4"/>
                <w:szCs w:val="24"/>
                <w:highlight w:val="none"/>
              </w:rPr>
              <w:t>人；</w:t>
            </w:r>
          </w:p>
          <w:p w14:paraId="38B486C1">
            <w:pPr>
              <w:pStyle w:val="30"/>
              <w:kinsoku w:val="0"/>
              <w:overflowPunct w:val="0"/>
              <w:spacing w:line="24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评标专家确定方式：开标前从广东省综合评标评审专家库中随机抽取。</w:t>
            </w:r>
          </w:p>
        </w:tc>
      </w:tr>
      <w:tr w14:paraId="79291E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08"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677D55E8">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4EF802FF">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086E312">
            <w:pPr>
              <w:pStyle w:val="5"/>
              <w:spacing w:after="0"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履约担保</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2F083B0C">
            <w:pPr>
              <w:pStyle w:val="5"/>
              <w:spacing w:after="0" w:line="240" w:lineRule="auto"/>
              <w:ind w:firstLine="0"/>
              <w:rPr>
                <w:rFonts w:hint="eastAsia" w:ascii="宋体" w:hAnsi="宋体"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rPr>
              <w:t>1、中标人应在合同签订后30日内，以招标人可以接受的方式向招标人提交履约保证金或履约保函，金额按</w:t>
            </w:r>
            <w:r>
              <w:rPr>
                <w:rFonts w:hint="eastAsia" w:ascii="宋体" w:hAnsi="宋体" w:eastAsia="宋体" w:cs="宋体"/>
                <w:color w:val="auto"/>
                <w:spacing w:val="4"/>
                <w:kern w:val="2"/>
                <w:sz w:val="24"/>
                <w:szCs w:val="24"/>
                <w:highlight w:val="none"/>
                <w:lang w:val="en-US" w:eastAsia="zh-CN"/>
              </w:rPr>
              <w:t>合同总价</w:t>
            </w:r>
            <w:r>
              <w:rPr>
                <w:rFonts w:hint="eastAsia" w:ascii="宋体" w:hAnsi="宋体" w:eastAsia="宋体" w:cs="宋体"/>
                <w:color w:val="auto"/>
                <w:spacing w:val="4"/>
                <w:kern w:val="2"/>
                <w:sz w:val="24"/>
                <w:szCs w:val="24"/>
                <w:highlight w:val="none"/>
              </w:rPr>
              <w:t>的</w:t>
            </w:r>
            <w:r>
              <w:rPr>
                <w:rFonts w:hint="eastAsia" w:ascii="宋体" w:hAnsi="宋体" w:cs="宋体"/>
                <w:color w:val="auto"/>
                <w:spacing w:val="4"/>
                <w:kern w:val="2"/>
                <w:sz w:val="24"/>
                <w:szCs w:val="24"/>
                <w:highlight w:val="none"/>
                <w:lang w:val="en-US" w:eastAsia="zh-CN"/>
              </w:rPr>
              <w:t>5</w:t>
            </w:r>
            <w:r>
              <w:rPr>
                <w:rFonts w:hint="eastAsia" w:ascii="宋体" w:hAnsi="宋体" w:eastAsia="宋体" w:cs="宋体"/>
                <w:color w:val="auto"/>
                <w:spacing w:val="4"/>
                <w:kern w:val="2"/>
                <w:sz w:val="24"/>
                <w:szCs w:val="24"/>
                <w:highlight w:val="none"/>
              </w:rPr>
              <w:t>%提交。</w:t>
            </w:r>
          </w:p>
          <w:p w14:paraId="539C461B">
            <w:pPr>
              <w:pStyle w:val="5"/>
              <w:spacing w:after="0" w:line="24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pacing w:val="4"/>
                <w:kern w:val="2"/>
                <w:sz w:val="24"/>
                <w:szCs w:val="24"/>
                <w:highlight w:val="none"/>
              </w:rPr>
              <w:t>2、履约保证金以银行保函形式提交的，需为无条件、不可撤销履约保函形式。</w:t>
            </w:r>
          </w:p>
        </w:tc>
      </w:tr>
      <w:tr w14:paraId="2755A0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2856CE4C">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70CAFE58">
            <w:pPr>
              <w:pStyle w:val="29"/>
              <w:spacing w:line="360" w:lineRule="auto"/>
              <w:jc w:val="center"/>
              <w:rPr>
                <w:rFonts w:hint="eastAsia" w:ascii="宋体" w:hAnsi="宋体" w:eastAsia="宋体" w:cs="宋体"/>
                <w:color w:val="auto"/>
                <w:sz w:val="24"/>
                <w:szCs w:val="24"/>
                <w:highlight w:val="none"/>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14:paraId="51716B51">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109C335D">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1、投标文件语言：汉语。</w:t>
            </w:r>
          </w:p>
          <w:p w14:paraId="4205BC0D">
            <w:pPr>
              <w:pStyle w:val="29"/>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2、招标人对本次投标结果将不负任何解释责任。</w:t>
            </w:r>
          </w:p>
        </w:tc>
      </w:tr>
      <w:tr w14:paraId="2EEE36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54777F87">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4C9C703C">
            <w:pPr>
              <w:pStyle w:val="29"/>
              <w:spacing w:line="360" w:lineRule="auto"/>
              <w:jc w:val="center"/>
              <w:rPr>
                <w:rFonts w:hint="eastAsia" w:ascii="宋体" w:hAnsi="宋体" w:eastAsia="宋体" w:cs="宋体"/>
                <w:color w:val="auto"/>
                <w:sz w:val="24"/>
                <w:szCs w:val="24"/>
                <w:highlight w:val="none"/>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14:paraId="35FACBCC">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3AC651C8">
            <w:pPr>
              <w:pStyle w:val="30"/>
              <w:kinsoku w:val="0"/>
              <w:overflowPunct w:val="0"/>
              <w:spacing w:line="24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sym w:font="Wingdings 2" w:char="0052"/>
            </w:r>
            <w:r>
              <w:rPr>
                <w:rFonts w:hint="eastAsia" w:ascii="宋体" w:hAnsi="宋体" w:eastAsia="宋体" w:cs="宋体"/>
                <w:color w:val="auto"/>
                <w:spacing w:val="4"/>
                <w:szCs w:val="24"/>
                <w:highlight w:val="none"/>
              </w:rPr>
              <w:t>不接受</w:t>
            </w:r>
          </w:p>
          <w:p w14:paraId="06B47F77">
            <w:pPr>
              <w:pStyle w:val="30"/>
              <w:kinsoku w:val="0"/>
              <w:overflowPunct w:val="0"/>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接受，应满足下列要求</w:t>
            </w:r>
            <w:r>
              <w:rPr>
                <w:rFonts w:hint="eastAsia" w:ascii="宋体" w:hAnsi="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详见招标公告。</w:t>
            </w:r>
          </w:p>
        </w:tc>
      </w:tr>
      <w:tr w14:paraId="16EB3E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052" w:hRule="atLeast"/>
          <w:jc w:val="center"/>
        </w:trPr>
        <w:tc>
          <w:tcPr>
            <w:tcW w:w="547" w:type="dxa"/>
            <w:tcBorders>
              <w:top w:val="single" w:color="auto" w:sz="4" w:space="0"/>
              <w:left w:val="double" w:color="auto" w:sz="4" w:space="0"/>
              <w:bottom w:val="single" w:color="auto" w:sz="4" w:space="0"/>
              <w:right w:val="single" w:color="auto" w:sz="4" w:space="0"/>
            </w:tcBorders>
            <w:noWrap w:val="0"/>
            <w:vAlign w:val="center"/>
          </w:tcPr>
          <w:p w14:paraId="41C37DB8">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5DF74D8B">
            <w:pPr>
              <w:pStyle w:val="29"/>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w:t>
            </w:r>
          </w:p>
        </w:tc>
        <w:tc>
          <w:tcPr>
            <w:tcW w:w="1518" w:type="dxa"/>
            <w:tcBorders>
              <w:top w:val="single" w:color="auto" w:sz="4" w:space="0"/>
              <w:left w:val="single" w:color="auto" w:sz="4" w:space="0"/>
              <w:bottom w:val="single" w:color="auto" w:sz="4" w:space="0"/>
              <w:right w:val="single" w:color="auto" w:sz="4" w:space="0"/>
            </w:tcBorders>
            <w:noWrap w:val="0"/>
            <w:vAlign w:val="center"/>
          </w:tcPr>
          <w:p w14:paraId="0139CECC">
            <w:pPr>
              <w:pStyle w:val="29"/>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特别说明</w:t>
            </w:r>
          </w:p>
        </w:tc>
        <w:tc>
          <w:tcPr>
            <w:tcW w:w="5950" w:type="dxa"/>
            <w:tcBorders>
              <w:top w:val="single" w:color="auto" w:sz="4" w:space="0"/>
              <w:left w:val="single" w:color="auto" w:sz="4" w:space="0"/>
              <w:bottom w:val="single" w:color="auto" w:sz="4" w:space="0"/>
              <w:right w:val="double" w:color="auto" w:sz="4" w:space="0"/>
            </w:tcBorders>
            <w:noWrap w:val="0"/>
            <w:vAlign w:val="center"/>
          </w:tcPr>
          <w:p w14:paraId="296D0E92">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的中标单位必须保证服务的品质满足招标人要求，若在服务过程中发现服务不能满足招标人要求，则招标人有权要求该中标单位进行限期整改直至服务能满足要求，否则，招标人有权终止合同，并向该中标人追索由此给招标人造成的一切损失。</w:t>
            </w:r>
          </w:p>
          <w:p w14:paraId="770BE5E8">
            <w:pPr>
              <w:snapToGrid/>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2、本项目的</w:t>
            </w:r>
            <w:r>
              <w:rPr>
                <w:rFonts w:hint="eastAsia" w:ascii="宋体" w:hAnsi="宋体" w:eastAsia="宋体" w:cs="宋体"/>
                <w:color w:val="auto"/>
                <w:sz w:val="24"/>
                <w:szCs w:val="24"/>
                <w:highlight w:val="none"/>
                <w:lang w:val="en-US" w:eastAsia="zh-CN"/>
              </w:rPr>
              <w:t>各项</w:t>
            </w:r>
            <w:r>
              <w:rPr>
                <w:rFonts w:hint="eastAsia" w:ascii="宋体" w:hAnsi="宋体" w:eastAsia="宋体" w:cs="宋体"/>
                <w:color w:val="auto"/>
                <w:sz w:val="24"/>
                <w:szCs w:val="24"/>
                <w:highlight w:val="none"/>
              </w:rPr>
              <w:t>投标总报价最高限价、综合单价的最高限价详见本招标文件，投标人报价中的综合单价和</w:t>
            </w:r>
            <w:r>
              <w:rPr>
                <w:rFonts w:hint="eastAsia" w:ascii="宋体" w:hAnsi="宋体" w:eastAsia="宋体" w:cs="宋体"/>
                <w:color w:val="auto"/>
                <w:sz w:val="24"/>
                <w:szCs w:val="24"/>
                <w:highlight w:val="none"/>
                <w:lang w:val="en-US" w:eastAsia="zh-CN"/>
              </w:rPr>
              <w:t>各项</w:t>
            </w:r>
            <w:r>
              <w:rPr>
                <w:rFonts w:hint="eastAsia" w:ascii="宋体" w:hAnsi="宋体" w:eastAsia="宋体" w:cs="宋体"/>
                <w:color w:val="auto"/>
                <w:sz w:val="24"/>
                <w:szCs w:val="24"/>
                <w:highlight w:val="none"/>
              </w:rPr>
              <w:t>投标总报价不得高于</w:t>
            </w:r>
            <w:r>
              <w:rPr>
                <w:rFonts w:hint="eastAsia" w:ascii="宋体" w:hAnsi="宋体" w:eastAsia="宋体" w:cs="宋体"/>
                <w:color w:val="auto"/>
                <w:sz w:val="24"/>
                <w:szCs w:val="24"/>
                <w:highlight w:val="none"/>
                <w:lang w:val="en-US" w:eastAsia="zh-CN"/>
              </w:rPr>
              <w:t>对应的</w:t>
            </w:r>
            <w:r>
              <w:rPr>
                <w:rFonts w:hint="eastAsia" w:ascii="宋体" w:hAnsi="宋体" w:eastAsia="宋体" w:cs="宋体"/>
                <w:color w:val="auto"/>
                <w:sz w:val="24"/>
                <w:szCs w:val="24"/>
                <w:highlight w:val="none"/>
              </w:rPr>
              <w:t>投标综合单价限价和投标总报价最高限价，否则，其投标将会被否决。</w:t>
            </w:r>
          </w:p>
          <w:p w14:paraId="7BD33406">
            <w:pPr>
              <w:snapToGrid/>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在中标候选人公示时，将同时公示中标候选人投标时所提供的所有业绩，必要时将公示合同、发票或中标通知书等证明材料。在公示期间，招标人或招标代理机构如收到相关单位对所公示的中标候选人的业绩的有关异议，则招标人或招标代理有权要求被异议的中标候选人在接到通知的三日内提供相关证明材料的原件（包括业绩对应的合同、发票、业绩要求的其他证明材料及投标文件中的相关证明材料等）进行核查。如该被异议人不能按要求提供原件或提供的某些原件经招标人、招标代理机构共同核查后确认与原件不一致，则招标人有权取消其中标候选人资格。如第一中标候选人被取消中标候选人资格，则招标人有权按中标候选人的顺序依次确定其他中标候选人为中标人，或重新招标。</w:t>
            </w:r>
          </w:p>
          <w:p w14:paraId="0AA84A66">
            <w:pPr>
              <w:rPr>
                <w:color w:val="auto"/>
                <w:highlight w:val="none"/>
              </w:rPr>
            </w:pPr>
          </w:p>
          <w:p w14:paraId="09689954">
            <w:pPr>
              <w:snapToGrid/>
              <w:spacing w:line="240" w:lineRule="auto"/>
              <w:ind w:firstLine="0" w:firstLineChars="0"/>
              <w:rPr>
                <w:rFonts w:hint="eastAsia" w:ascii="宋体" w:hAnsi="宋体" w:eastAsia="宋体" w:cs="宋体"/>
                <w:color w:val="auto"/>
                <w:szCs w:val="21"/>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交易服务费：本项目的交易服务费由招标人根据相关规定向</w:t>
            </w:r>
            <w:r>
              <w:rPr>
                <w:rFonts w:hint="eastAsia" w:ascii="宋体" w:hAnsi="宋体" w:cs="宋体"/>
                <w:color w:val="auto"/>
                <w:sz w:val="24"/>
                <w:szCs w:val="24"/>
                <w:highlight w:val="none"/>
              </w:rPr>
              <w:t>广州交易集团有限公司（广州公共资源交易中心）</w:t>
            </w:r>
            <w:r>
              <w:rPr>
                <w:rFonts w:hint="eastAsia" w:ascii="宋体" w:hAnsi="宋体" w:eastAsia="宋体" w:cs="宋体"/>
                <w:color w:val="auto"/>
                <w:sz w:val="24"/>
                <w:szCs w:val="24"/>
                <w:highlight w:val="none"/>
              </w:rPr>
              <w:t>缴纳。</w:t>
            </w:r>
          </w:p>
        </w:tc>
      </w:tr>
    </w:tbl>
    <w:p w14:paraId="1E65729D">
      <w:pPr>
        <w:rPr>
          <w:rFonts w:hint="eastAsia" w:ascii="宋体" w:hAnsi="宋体" w:eastAsia="宋体" w:cs="宋体"/>
          <w:b/>
          <w:color w:val="auto"/>
          <w:spacing w:val="4"/>
          <w:kern w:val="0"/>
          <w:sz w:val="30"/>
          <w:szCs w:val="30"/>
          <w:highlight w:val="none"/>
        </w:rPr>
      </w:pPr>
      <w:r>
        <w:rPr>
          <w:rFonts w:hint="eastAsia" w:ascii="宋体" w:hAnsi="宋体" w:eastAsia="宋体" w:cs="宋体"/>
          <w:b/>
          <w:color w:val="auto"/>
          <w:spacing w:val="4"/>
          <w:kern w:val="0"/>
          <w:sz w:val="30"/>
          <w:szCs w:val="30"/>
          <w:highlight w:val="none"/>
        </w:rPr>
        <w:br w:type="page"/>
      </w:r>
    </w:p>
    <w:p w14:paraId="4C497737">
      <w:pPr>
        <w:pStyle w:val="28"/>
        <w:spacing w:beforeLines="0" w:after="120" w:line="360" w:lineRule="auto"/>
        <w:jc w:val="center"/>
        <w:rPr>
          <w:rFonts w:hint="eastAsia" w:ascii="宋体" w:hAnsi="宋体" w:eastAsia="宋体" w:cs="宋体"/>
          <w:color w:val="auto"/>
          <w:sz w:val="36"/>
          <w:szCs w:val="36"/>
          <w:highlight w:val="none"/>
        </w:rPr>
      </w:pPr>
      <w:r>
        <w:rPr>
          <w:rFonts w:hint="eastAsia" w:ascii="宋体" w:hAnsi="宋体" w:eastAsia="宋体" w:cs="宋体"/>
          <w:b/>
          <w:color w:val="auto"/>
          <w:spacing w:val="4"/>
          <w:kern w:val="0"/>
          <w:sz w:val="30"/>
          <w:szCs w:val="30"/>
          <w:highlight w:val="none"/>
        </w:rPr>
        <w:t>二、投标须知</w:t>
      </w:r>
    </w:p>
    <w:p w14:paraId="79768522">
      <w:pPr>
        <w:pStyle w:val="31"/>
        <w:spacing w:beforeLines="0" w:after="120" w:line="360" w:lineRule="auto"/>
        <w:rPr>
          <w:rFonts w:hint="eastAsia" w:ascii="宋体" w:hAnsi="宋体" w:eastAsia="宋体" w:cs="宋体"/>
          <w:color w:val="auto"/>
          <w:highlight w:val="none"/>
        </w:rPr>
      </w:pPr>
      <w:bookmarkStart w:id="24" w:name="_Toc360635065"/>
      <w:bookmarkStart w:id="25" w:name="_Toc93064321"/>
      <w:bookmarkStart w:id="26" w:name="_Toc364793123"/>
      <w:bookmarkStart w:id="27" w:name="_Toc367891665"/>
      <w:bookmarkStart w:id="28" w:name="_Toc318905634"/>
      <w:bookmarkStart w:id="29" w:name="_Toc93064466"/>
      <w:bookmarkStart w:id="30" w:name="_Toc426445883"/>
      <w:bookmarkStart w:id="31" w:name="_Toc4305"/>
      <w:r>
        <w:rPr>
          <w:rFonts w:hint="eastAsia" w:ascii="宋体" w:hAnsi="宋体" w:eastAsia="宋体" w:cs="宋体"/>
          <w:b/>
          <w:color w:val="auto"/>
          <w:spacing w:val="4"/>
          <w:kern w:val="0"/>
          <w:szCs w:val="24"/>
          <w:highlight w:val="none"/>
        </w:rPr>
        <w:t>（一）总则</w:t>
      </w:r>
      <w:bookmarkEnd w:id="24"/>
      <w:bookmarkEnd w:id="25"/>
      <w:bookmarkEnd w:id="26"/>
      <w:bookmarkEnd w:id="27"/>
      <w:bookmarkEnd w:id="28"/>
      <w:bookmarkEnd w:id="29"/>
      <w:bookmarkEnd w:id="30"/>
      <w:bookmarkEnd w:id="31"/>
    </w:p>
    <w:p w14:paraId="18AC316D">
      <w:pPr>
        <w:pStyle w:val="25"/>
        <w:ind w:firstLine="498"/>
        <w:rPr>
          <w:rFonts w:hint="eastAsia" w:ascii="宋体" w:hAnsi="宋体" w:eastAsia="宋体" w:cs="宋体"/>
          <w:b/>
          <w:bCs/>
          <w:color w:val="auto"/>
          <w:highlight w:val="none"/>
        </w:rPr>
      </w:pPr>
      <w:r>
        <w:rPr>
          <w:rFonts w:hint="eastAsia" w:ascii="宋体" w:hAnsi="宋体" w:eastAsia="宋体" w:cs="宋体"/>
          <w:b/>
          <w:bCs/>
          <w:color w:val="auto"/>
          <w:spacing w:val="4"/>
          <w:kern w:val="0"/>
          <w:szCs w:val="24"/>
          <w:highlight w:val="none"/>
        </w:rPr>
        <w:t>1、定义</w:t>
      </w:r>
    </w:p>
    <w:p w14:paraId="4A6F4BC6">
      <w:pPr>
        <w:pStyle w:val="25"/>
        <w:ind w:firstLine="496"/>
        <w:rPr>
          <w:rFonts w:hint="eastAsia" w:ascii="宋体" w:hAnsi="宋体" w:eastAsia="宋体" w:cs="宋体"/>
          <w:b/>
          <w:bCs/>
          <w:color w:val="auto"/>
          <w:highlight w:val="none"/>
        </w:rPr>
      </w:pPr>
      <w:r>
        <w:rPr>
          <w:rFonts w:hint="eastAsia" w:ascii="宋体" w:hAnsi="宋体" w:eastAsia="宋体" w:cs="宋体"/>
          <w:color w:val="auto"/>
          <w:spacing w:val="4"/>
          <w:kern w:val="0"/>
          <w:szCs w:val="24"/>
          <w:highlight w:val="none"/>
        </w:rPr>
        <w:t>本招标文件使用的下列词语具有如下规定的意义：</w:t>
      </w:r>
    </w:p>
    <w:p w14:paraId="38A07CC8">
      <w:pPr>
        <w:pStyle w:val="25"/>
        <w:ind w:firstLine="496"/>
        <w:rPr>
          <w:rFonts w:hint="eastAsia" w:ascii="宋体" w:hAnsi="宋体" w:eastAsia="宋体" w:cs="宋体"/>
          <w:b/>
          <w:bCs/>
          <w:color w:val="auto"/>
          <w:highlight w:val="none"/>
          <w:u w:val="single"/>
        </w:rPr>
      </w:pPr>
      <w:r>
        <w:rPr>
          <w:rFonts w:hint="eastAsia" w:ascii="宋体" w:hAnsi="宋体" w:eastAsia="宋体" w:cs="宋体"/>
          <w:color w:val="auto"/>
          <w:spacing w:val="4"/>
          <w:kern w:val="0"/>
          <w:szCs w:val="24"/>
          <w:highlight w:val="none"/>
        </w:rPr>
        <w:t>1.1“招标人”（即委托人）指广州市自来水有限公司，也是本招标采购服务的最终使用者之一，负责本项目的招标工作，本招标文件中“用户”、“业主”的表述也指“招标人”。</w:t>
      </w:r>
    </w:p>
    <w:p w14:paraId="10A6AA6C">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1.2“投标人”指向招标人提交投标文件的当事人，响应招标、参加投标竞争的依法成立的法人或其他组织。</w:t>
      </w:r>
    </w:p>
    <w:p w14:paraId="08B921FF">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1.3“服务”</w:t>
      </w:r>
      <w:r>
        <w:rPr>
          <w:rFonts w:hint="eastAsia" w:ascii="宋体" w:hAnsi="宋体" w:eastAsia="宋体" w:cs="宋体"/>
          <w:bCs/>
          <w:color w:val="auto"/>
          <w:spacing w:val="4"/>
          <w:kern w:val="0"/>
          <w:szCs w:val="24"/>
          <w:highlight w:val="none"/>
        </w:rPr>
        <w:t>指招标文件规定投标人须承担的</w:t>
      </w:r>
      <w:r>
        <w:rPr>
          <w:rFonts w:hint="eastAsia" w:ascii="宋体" w:hAnsi="宋体" w:cs="宋体"/>
          <w:color w:val="auto"/>
          <w:sz w:val="24"/>
          <w:szCs w:val="24"/>
          <w:highlight w:val="none"/>
          <w:u w:val="none"/>
          <w:lang w:eastAsia="zh-CN"/>
        </w:rPr>
        <w:t>广州市自来水有限公司北部水厂智慧化系统开发服务</w:t>
      </w:r>
      <w:r>
        <w:rPr>
          <w:rFonts w:hint="eastAsia" w:ascii="宋体" w:hAnsi="宋体" w:eastAsia="宋体" w:cs="宋体"/>
          <w:color w:val="auto"/>
          <w:spacing w:val="4"/>
          <w:kern w:val="0"/>
          <w:szCs w:val="24"/>
          <w:highlight w:val="none"/>
        </w:rPr>
        <w:t>。</w:t>
      </w:r>
    </w:p>
    <w:p w14:paraId="45C49BE9">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1.4“招标代理”指</w:t>
      </w:r>
      <w:r>
        <w:rPr>
          <w:rFonts w:hint="eastAsia" w:ascii="宋体" w:hAnsi="宋体" w:cs="宋体"/>
          <w:color w:val="auto"/>
          <w:spacing w:val="4"/>
          <w:kern w:val="0"/>
          <w:szCs w:val="24"/>
          <w:highlight w:val="none"/>
          <w:lang w:eastAsia="zh-CN"/>
        </w:rPr>
        <w:t>广东建瀚工程管理有限公司</w:t>
      </w:r>
      <w:r>
        <w:rPr>
          <w:rFonts w:hint="eastAsia" w:ascii="宋体" w:hAnsi="宋体" w:eastAsia="宋体" w:cs="宋体"/>
          <w:color w:val="auto"/>
          <w:spacing w:val="4"/>
          <w:kern w:val="0"/>
          <w:szCs w:val="24"/>
          <w:highlight w:val="none"/>
        </w:rPr>
        <w:t>。</w:t>
      </w:r>
    </w:p>
    <w:p w14:paraId="59844F66">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1.5 买方：指本项目的招标人，与卖方签署服务合同的一方。</w:t>
      </w:r>
    </w:p>
    <w:p w14:paraId="1E9D2481">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1.6 卖方：招标人采用招标方式确定的中标单位，与买方签署服务合同的一方。</w:t>
      </w:r>
    </w:p>
    <w:p w14:paraId="127AE076">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1.7“招标文件”指由招标人和招标代理发出的本文件（包括全部章节、附件）及澄清补充文件。招标文件中的标题或题名仅起引导作用，而不应视为对招标文件内容的理解和解释。</w:t>
      </w:r>
    </w:p>
    <w:p w14:paraId="7663B0B6">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1.8“投标文件”指投标人根据本招标文件向招标人提交的全部文件。</w:t>
      </w:r>
    </w:p>
    <w:p w14:paraId="34A58D62">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1.9“书面函件”指打字或印刷的函件，包括电传、电报和传真。</w:t>
      </w:r>
    </w:p>
    <w:p w14:paraId="501B0778">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1.10评标委员会：评标委员会是依法组建的专门负责本次招标的评标工作的临时性机构。</w:t>
      </w:r>
    </w:p>
    <w:p w14:paraId="0FF5CF9F">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1.11服务期：指公历日（日历天）。</w:t>
      </w:r>
    </w:p>
    <w:p w14:paraId="1C4FC8AC">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1.12合同：指由本次招标所产生的合同或合约文件。</w:t>
      </w:r>
    </w:p>
    <w:p w14:paraId="389EE43C">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1.13“招标人”、“买方”、“卖方”、“投标人”、“成员”和“各方”等人或有关组织的用词均是指依法成立的公司或组织。根据上下文的需要，这些用词的单复数句要相同的定义。</w:t>
      </w:r>
    </w:p>
    <w:p w14:paraId="749FCF48">
      <w:pPr>
        <w:spacing w:line="360" w:lineRule="auto"/>
        <w:ind w:left="426"/>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1.14 招标文件：是指包括招标公告和招标文件及其补充、变更和澄清等</w:t>
      </w:r>
    </w:p>
    <w:p w14:paraId="2819F63C">
      <w:pPr>
        <w:spacing w:line="360" w:lineRule="auto"/>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一系列文件。</w:t>
      </w:r>
    </w:p>
    <w:p w14:paraId="6B5EDAE0">
      <w:pPr>
        <w:pStyle w:val="32"/>
        <w:spacing w:line="360" w:lineRule="auto"/>
        <w:ind w:left="431" w:firstLine="0" w:firstLineChars="0"/>
        <w:rPr>
          <w:rFonts w:hint="eastAsia" w:cs="宋体"/>
          <w:color w:val="auto"/>
          <w:sz w:val="24"/>
          <w:szCs w:val="24"/>
          <w:highlight w:val="none"/>
        </w:rPr>
      </w:pPr>
      <w:r>
        <w:rPr>
          <w:rFonts w:hint="eastAsia" w:ascii="宋体" w:hAnsi="宋体" w:eastAsia="宋体" w:cs="宋体"/>
          <w:color w:val="auto"/>
          <w:sz w:val="24"/>
          <w:szCs w:val="24"/>
          <w:highlight w:val="none"/>
        </w:rPr>
        <w:t>1.15电子投标文件：是指投标人应招标文件要求使用</w:t>
      </w:r>
      <w:r>
        <w:rPr>
          <w:rFonts w:hint="eastAsia" w:cs="宋体"/>
          <w:color w:val="auto"/>
          <w:sz w:val="24"/>
          <w:szCs w:val="24"/>
          <w:highlight w:val="none"/>
        </w:rPr>
        <w:t>广州交易集团有限公司</w:t>
      </w:r>
    </w:p>
    <w:p w14:paraId="326C74B9">
      <w:pPr>
        <w:pStyle w:val="32"/>
        <w:spacing w:line="360" w:lineRule="auto"/>
        <w:ind w:left="0" w:firstLine="0" w:firstLineChars="0"/>
        <w:rPr>
          <w:rFonts w:hint="eastAsia" w:ascii="宋体" w:hAnsi="宋体" w:eastAsia="宋体" w:cs="宋体"/>
          <w:color w:val="auto"/>
          <w:sz w:val="24"/>
          <w:szCs w:val="24"/>
          <w:highlight w:val="none"/>
        </w:rPr>
      </w:pPr>
      <w:r>
        <w:rPr>
          <w:rFonts w:hint="eastAsia" w:cs="宋体"/>
          <w:color w:val="auto"/>
          <w:sz w:val="24"/>
          <w:szCs w:val="24"/>
          <w:highlight w:val="none"/>
        </w:rPr>
        <w:t>（广州公共资源交易中心）</w:t>
      </w:r>
      <w:r>
        <w:rPr>
          <w:rFonts w:hint="eastAsia" w:cs="宋体"/>
          <w:color w:val="auto"/>
          <w:sz w:val="24"/>
          <w:szCs w:val="24"/>
          <w:highlight w:val="none"/>
          <w:lang w:val="en-US" w:eastAsia="zh-CN"/>
        </w:rPr>
        <w:t>网站</w:t>
      </w:r>
      <w:r>
        <w:rPr>
          <w:rFonts w:hint="eastAsia" w:ascii="宋体" w:hAnsi="宋体" w:eastAsia="宋体" w:cs="宋体"/>
          <w:color w:val="auto"/>
          <w:sz w:val="24"/>
          <w:szCs w:val="24"/>
          <w:highlight w:val="none"/>
        </w:rPr>
        <w:t>提供的投标文件管理软件制作的响应性文件。</w:t>
      </w:r>
    </w:p>
    <w:p w14:paraId="0A92F17C">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1.16电子签名和电子签章：是指广东省内依法设立的电子认证服务机构签发的电子签名认证证书和电子签章，投标人应当到上述服务机构办理。电子签名及电子签章具有与手写签名或者盖章同等的法律效力。</w:t>
      </w:r>
    </w:p>
    <w:p w14:paraId="56D1C891">
      <w:pPr>
        <w:pStyle w:val="25"/>
        <w:ind w:firstLine="498"/>
        <w:rPr>
          <w:rFonts w:hint="eastAsia" w:ascii="宋体" w:hAnsi="宋体" w:eastAsia="宋体" w:cs="宋体"/>
          <w:b/>
          <w:bCs/>
          <w:color w:val="auto"/>
          <w:highlight w:val="none"/>
        </w:rPr>
      </w:pPr>
      <w:r>
        <w:rPr>
          <w:rFonts w:hint="eastAsia" w:ascii="宋体" w:hAnsi="宋体" w:eastAsia="宋体" w:cs="宋体"/>
          <w:b/>
          <w:bCs/>
          <w:color w:val="auto"/>
          <w:spacing w:val="4"/>
          <w:kern w:val="0"/>
          <w:szCs w:val="24"/>
          <w:highlight w:val="none"/>
        </w:rPr>
        <w:t>2、招标说明</w:t>
      </w:r>
    </w:p>
    <w:p w14:paraId="7F70FA40">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2.1本次招标的服务内容为广州市自来水有限公司北部水厂智慧化系统开发服务</w:t>
      </w:r>
      <w:r>
        <w:rPr>
          <w:rFonts w:hint="eastAsia" w:ascii="宋体" w:hAnsi="宋体" w:eastAsia="宋体" w:cs="宋体"/>
          <w:color w:val="auto"/>
          <w:kern w:val="0"/>
          <w:sz w:val="24"/>
          <w:highlight w:val="none"/>
          <w:lang w:bidi="ar"/>
        </w:rPr>
        <w:t>。</w:t>
      </w:r>
    </w:p>
    <w:p w14:paraId="68630BD9">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2.2项目概况</w:t>
      </w:r>
    </w:p>
    <w:p w14:paraId="51486D32">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2.2.1项目名称：见投标须知前附表第1项。</w:t>
      </w:r>
    </w:p>
    <w:p w14:paraId="61DB59D6">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2.2.2服务地点：见投标须知前附表第2项。</w:t>
      </w:r>
    </w:p>
    <w:p w14:paraId="31D48620">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2.2.3</w:t>
      </w:r>
      <w:r>
        <w:rPr>
          <w:rFonts w:hint="eastAsia" w:ascii="宋体" w:hAnsi="宋体" w:eastAsia="宋体" w:cs="宋体"/>
          <w:color w:val="auto"/>
          <w:spacing w:val="4"/>
          <w:kern w:val="0"/>
          <w:szCs w:val="24"/>
          <w:highlight w:val="none"/>
          <w:lang w:eastAsia="zh-CN"/>
        </w:rPr>
        <w:t>招标控制价</w:t>
      </w:r>
      <w:r>
        <w:rPr>
          <w:rFonts w:hint="eastAsia" w:ascii="宋体" w:hAnsi="宋体" w:eastAsia="宋体" w:cs="宋体"/>
          <w:color w:val="auto"/>
          <w:spacing w:val="4"/>
          <w:kern w:val="0"/>
          <w:szCs w:val="24"/>
          <w:highlight w:val="none"/>
        </w:rPr>
        <w:t>：见投标须知前附表第3项。</w:t>
      </w:r>
    </w:p>
    <w:p w14:paraId="52A2066D">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2.3招标范围及服务期要求。</w:t>
      </w:r>
    </w:p>
    <w:p w14:paraId="0B6FFE1B">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2.3.1 本招标项目的范围及内容：见投标须知前附表第5项。</w:t>
      </w:r>
    </w:p>
    <w:p w14:paraId="428A81B8">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2.3.2 本招标项目的服务期要求：见投标须知前附表第6项。</w:t>
      </w:r>
    </w:p>
    <w:p w14:paraId="6963AC16">
      <w:pPr>
        <w:pStyle w:val="25"/>
        <w:ind w:firstLine="498"/>
        <w:rPr>
          <w:rFonts w:hint="eastAsia" w:ascii="宋体" w:hAnsi="宋体" w:eastAsia="宋体" w:cs="宋体"/>
          <w:b/>
          <w:color w:val="auto"/>
          <w:highlight w:val="none"/>
        </w:rPr>
      </w:pPr>
      <w:r>
        <w:rPr>
          <w:rFonts w:hint="eastAsia" w:ascii="宋体" w:hAnsi="宋体" w:eastAsia="宋体" w:cs="宋体"/>
          <w:b/>
          <w:color w:val="auto"/>
          <w:spacing w:val="4"/>
          <w:kern w:val="0"/>
          <w:szCs w:val="24"/>
          <w:highlight w:val="none"/>
        </w:rPr>
        <w:t>3．资金来源</w:t>
      </w:r>
    </w:p>
    <w:p w14:paraId="47093FE0">
      <w:pPr>
        <w:pStyle w:val="25"/>
        <w:ind w:firstLine="496"/>
        <w:rPr>
          <w:rFonts w:hint="eastAsia" w:ascii="宋体" w:hAnsi="宋体" w:eastAsia="宋体" w:cs="宋体"/>
          <w:bCs/>
          <w:color w:val="auto"/>
          <w:highlight w:val="none"/>
        </w:rPr>
      </w:pPr>
      <w:r>
        <w:rPr>
          <w:rFonts w:hint="eastAsia" w:ascii="宋体" w:hAnsi="宋体" w:eastAsia="宋体" w:cs="宋体"/>
          <w:color w:val="auto"/>
          <w:spacing w:val="4"/>
          <w:kern w:val="0"/>
          <w:szCs w:val="24"/>
          <w:highlight w:val="none"/>
        </w:rPr>
        <w:t>3.1</w:t>
      </w:r>
      <w:r>
        <w:rPr>
          <w:rFonts w:hint="eastAsia" w:ascii="宋体" w:hAnsi="宋体" w:eastAsia="宋体" w:cs="宋体"/>
          <w:bCs/>
          <w:color w:val="auto"/>
          <w:spacing w:val="4"/>
          <w:kern w:val="0"/>
          <w:szCs w:val="24"/>
          <w:highlight w:val="none"/>
        </w:rPr>
        <w:t xml:space="preserve"> 本招标工程项目资金来源见投标须知前附表第7项。</w:t>
      </w:r>
    </w:p>
    <w:p w14:paraId="67E14959">
      <w:pPr>
        <w:pStyle w:val="25"/>
        <w:ind w:firstLine="498"/>
        <w:rPr>
          <w:rFonts w:hint="eastAsia" w:ascii="宋体" w:hAnsi="宋体" w:eastAsia="宋体" w:cs="宋体"/>
          <w:b/>
          <w:color w:val="auto"/>
          <w:highlight w:val="none"/>
        </w:rPr>
      </w:pPr>
      <w:r>
        <w:rPr>
          <w:rFonts w:hint="eastAsia" w:ascii="宋体" w:hAnsi="宋体" w:eastAsia="宋体" w:cs="宋体"/>
          <w:b/>
          <w:color w:val="auto"/>
          <w:spacing w:val="4"/>
          <w:kern w:val="0"/>
          <w:szCs w:val="24"/>
          <w:highlight w:val="none"/>
        </w:rPr>
        <w:t>4．合格的投标人（以招标公告内容为准）</w:t>
      </w:r>
    </w:p>
    <w:p w14:paraId="71E4B07E">
      <w:pPr>
        <w:spacing w:line="360" w:lineRule="auto"/>
        <w:ind w:firstLine="496" w:firstLineChars="200"/>
        <w:rPr>
          <w:rFonts w:hint="eastAsia" w:ascii="宋体" w:hAnsi="宋体" w:eastAsia="宋体" w:cs="宋体"/>
          <w:color w:val="auto"/>
          <w:sz w:val="24"/>
          <w:highlight w:val="none"/>
        </w:rPr>
      </w:pPr>
      <w:r>
        <w:rPr>
          <w:rFonts w:hint="eastAsia" w:ascii="宋体" w:hAnsi="宋体" w:eastAsia="宋体" w:cs="宋体"/>
          <w:color w:val="auto"/>
          <w:spacing w:val="4"/>
          <w:kern w:val="0"/>
          <w:sz w:val="24"/>
          <w:szCs w:val="24"/>
          <w:highlight w:val="none"/>
        </w:rPr>
        <w:t>4.1</w:t>
      </w:r>
      <w:r>
        <w:rPr>
          <w:rFonts w:hint="eastAsia" w:ascii="宋体" w:hAnsi="宋体" w:eastAsia="宋体" w:cs="宋体"/>
          <w:color w:val="auto"/>
          <w:sz w:val="24"/>
          <w:highlight w:val="none"/>
        </w:rPr>
        <w:t>投标人资质要求以招标公告内容为准。</w:t>
      </w:r>
    </w:p>
    <w:p w14:paraId="5E459C64">
      <w:pP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4.2 本招标项目采用</w:t>
      </w:r>
      <w:r>
        <w:rPr>
          <w:rFonts w:hint="eastAsia" w:ascii="宋体" w:hAnsi="宋体" w:eastAsia="宋体" w:cs="宋体"/>
          <w:color w:val="auto"/>
          <w:spacing w:val="4"/>
          <w:kern w:val="0"/>
          <w:sz w:val="24"/>
          <w:highlight w:val="none"/>
        </w:rPr>
        <w:t>资格审</w:t>
      </w:r>
      <w:r>
        <w:rPr>
          <w:rFonts w:hint="eastAsia" w:ascii="宋体" w:hAnsi="宋体" w:eastAsia="宋体" w:cs="宋体"/>
          <w:color w:val="auto"/>
          <w:spacing w:val="4"/>
          <w:kern w:val="0"/>
          <w:sz w:val="24"/>
          <w:szCs w:val="24"/>
          <w:highlight w:val="none"/>
        </w:rPr>
        <w:t>方式（见投标须知前附表第9项）确定合格投标人。</w:t>
      </w:r>
    </w:p>
    <w:p w14:paraId="170187C3">
      <w:pPr>
        <w:pStyle w:val="25"/>
        <w:ind w:firstLine="496"/>
        <w:rPr>
          <w:rFonts w:hint="eastAsia" w:ascii="宋体" w:hAnsi="宋体" w:eastAsia="宋体" w:cs="宋体"/>
          <w:b/>
          <w:color w:val="auto"/>
          <w:highlight w:val="none"/>
        </w:rPr>
      </w:pPr>
      <w:r>
        <w:rPr>
          <w:rFonts w:hint="eastAsia" w:ascii="宋体" w:hAnsi="宋体" w:eastAsia="宋体" w:cs="宋体"/>
          <w:color w:val="auto"/>
          <w:spacing w:val="4"/>
          <w:kern w:val="0"/>
          <w:szCs w:val="24"/>
          <w:highlight w:val="none"/>
        </w:rPr>
        <w:t>4.3投标人不允许有挂靠或转包的行为，招标人或评标委员会在任何时候发现投标人是挂靠或转包的，该投标人的投标作废标处理，招标人有权取消其投标资格并不予退还其投标保证金，已签订合同的，终止合同，并追究该投标人的有关法律责任。</w:t>
      </w:r>
    </w:p>
    <w:p w14:paraId="11FC9B9B">
      <w:pPr>
        <w:pStyle w:val="25"/>
        <w:ind w:firstLine="498"/>
        <w:rPr>
          <w:rFonts w:hint="eastAsia" w:ascii="宋体" w:hAnsi="宋体" w:eastAsia="宋体" w:cs="宋体"/>
          <w:b/>
          <w:color w:val="auto"/>
          <w:highlight w:val="none"/>
        </w:rPr>
      </w:pPr>
      <w:r>
        <w:rPr>
          <w:rFonts w:hint="eastAsia" w:ascii="宋体" w:hAnsi="宋体" w:eastAsia="宋体" w:cs="宋体"/>
          <w:b/>
          <w:color w:val="auto"/>
          <w:spacing w:val="4"/>
          <w:kern w:val="0"/>
          <w:szCs w:val="24"/>
          <w:highlight w:val="none"/>
        </w:rPr>
        <w:t>5．踏勘现场</w:t>
      </w:r>
    </w:p>
    <w:p w14:paraId="01F7D27E">
      <w:pPr>
        <w:pStyle w:val="25"/>
        <w:ind w:firstLine="496"/>
        <w:rPr>
          <w:rFonts w:hint="eastAsia" w:ascii="宋体" w:hAnsi="宋体" w:eastAsia="宋体" w:cs="宋体"/>
          <w:color w:val="auto"/>
          <w:highlight w:val="none"/>
        </w:rPr>
      </w:pPr>
      <w:r>
        <w:rPr>
          <w:rFonts w:hint="eastAsia" w:ascii="宋体" w:hAnsi="宋体" w:eastAsia="宋体" w:cs="宋体"/>
          <w:bCs/>
          <w:color w:val="auto"/>
          <w:spacing w:val="4"/>
          <w:kern w:val="0"/>
          <w:szCs w:val="24"/>
          <w:highlight w:val="none"/>
        </w:rPr>
        <w:t xml:space="preserve">5.1 </w:t>
      </w:r>
      <w:r>
        <w:rPr>
          <w:rFonts w:hint="eastAsia" w:ascii="宋体" w:hAnsi="宋体" w:eastAsia="宋体" w:cs="宋体"/>
          <w:color w:val="auto"/>
          <w:spacing w:val="4"/>
          <w:kern w:val="0"/>
          <w:szCs w:val="24"/>
          <w:highlight w:val="none"/>
        </w:rPr>
        <w:t>投标人可按投标须知前附表第13项所述时间和要求对服务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16F2E3FA">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5.2 招标人向投标人提供的有关现场的数据和资料，是招标人现有的能被投标人利用的资料，招标人对投标人做出的任何推论、理解和结论均不负责任。</w:t>
      </w:r>
    </w:p>
    <w:p w14:paraId="64D3334F">
      <w:pPr>
        <w:pStyle w:val="25"/>
        <w:ind w:firstLine="496"/>
        <w:rPr>
          <w:rFonts w:hint="eastAsia" w:ascii="宋体" w:hAnsi="宋体" w:eastAsia="宋体" w:cs="宋体"/>
          <w:color w:val="auto"/>
          <w:highlight w:val="none"/>
        </w:rPr>
      </w:pPr>
      <w:r>
        <w:rPr>
          <w:rFonts w:hint="eastAsia" w:ascii="宋体" w:hAnsi="宋体" w:eastAsia="宋体" w:cs="宋体"/>
          <w:color w:val="auto"/>
          <w:spacing w:val="4"/>
          <w:kern w:val="0"/>
          <w:szCs w:val="24"/>
          <w:highlight w:val="none"/>
        </w:rPr>
        <w:t>5.3 经招标人允许，投标人可为踏勘目的进入招标人的服务现场。投标人及其代表必须清楚进入服务现场的一切风险，并应承担踏勘现场的全部责任和风险，进入现场后，由于外界及自身的行为所造成的人身伤害（不管是否致命）、财产损失或损坏，以及其他任何原因造成的损失、损坏或费用，招标人不负任何责任。投标人也不得因此使招标人承担有关的责任和蒙受损失。</w:t>
      </w:r>
    </w:p>
    <w:p w14:paraId="47117284">
      <w:pPr>
        <w:pStyle w:val="25"/>
        <w:ind w:firstLine="498"/>
        <w:rPr>
          <w:rFonts w:hint="eastAsia" w:ascii="宋体" w:hAnsi="宋体" w:eastAsia="宋体" w:cs="宋体"/>
          <w:b/>
          <w:color w:val="auto"/>
          <w:highlight w:val="none"/>
        </w:rPr>
      </w:pPr>
      <w:r>
        <w:rPr>
          <w:rFonts w:hint="eastAsia" w:ascii="宋体" w:hAnsi="宋体" w:eastAsia="宋体" w:cs="宋体"/>
          <w:b/>
          <w:color w:val="auto"/>
          <w:spacing w:val="4"/>
          <w:kern w:val="0"/>
          <w:szCs w:val="24"/>
          <w:highlight w:val="none"/>
        </w:rPr>
        <w:t>6．投标费用</w:t>
      </w:r>
    </w:p>
    <w:p w14:paraId="6C4E643B">
      <w:pPr>
        <w:pStyle w:val="25"/>
        <w:ind w:firstLine="496"/>
        <w:rPr>
          <w:rFonts w:hint="eastAsia" w:ascii="宋体" w:hAnsi="宋体" w:eastAsia="宋体" w:cs="宋体"/>
          <w:bCs/>
          <w:color w:val="auto"/>
          <w:highlight w:val="none"/>
        </w:rPr>
      </w:pPr>
      <w:r>
        <w:rPr>
          <w:rFonts w:hint="eastAsia" w:ascii="宋体" w:hAnsi="宋体" w:eastAsia="宋体" w:cs="宋体"/>
          <w:bCs/>
          <w:color w:val="auto"/>
          <w:spacing w:val="4"/>
          <w:kern w:val="0"/>
          <w:szCs w:val="24"/>
          <w:highlight w:val="none"/>
        </w:rPr>
        <w:t>6.1</w:t>
      </w:r>
      <w:r>
        <w:rPr>
          <w:rFonts w:hint="eastAsia" w:ascii="宋体" w:hAnsi="宋体" w:eastAsia="宋体" w:cs="宋体"/>
          <w:color w:val="auto"/>
          <w:spacing w:val="4"/>
          <w:kern w:val="0"/>
          <w:szCs w:val="24"/>
          <w:highlight w:val="none"/>
        </w:rPr>
        <w:t>不论投标结果如何，投标人应承担投标文件编制与递交所涉及的一切费用。</w:t>
      </w:r>
    </w:p>
    <w:p w14:paraId="695FA35E">
      <w:pPr>
        <w:pStyle w:val="25"/>
        <w:ind w:firstLine="496"/>
        <w:rPr>
          <w:rFonts w:hint="eastAsia" w:ascii="宋体" w:hAnsi="宋体" w:eastAsia="宋体" w:cs="宋体"/>
          <w:bCs/>
          <w:color w:val="auto"/>
          <w:highlight w:val="none"/>
        </w:rPr>
      </w:pPr>
      <w:r>
        <w:rPr>
          <w:rFonts w:hint="eastAsia" w:ascii="宋体" w:hAnsi="宋体" w:eastAsia="宋体" w:cs="宋体"/>
          <w:bCs/>
          <w:color w:val="auto"/>
          <w:spacing w:val="4"/>
          <w:kern w:val="0"/>
          <w:szCs w:val="24"/>
          <w:highlight w:val="none"/>
        </w:rPr>
        <w:t>6.2 投标人应承担其参加本招标活动自身所发生的其他一切费用</w:t>
      </w:r>
      <w:r>
        <w:rPr>
          <w:rFonts w:hint="eastAsia" w:ascii="宋体" w:hAnsi="宋体" w:eastAsia="宋体" w:cs="宋体"/>
          <w:color w:val="auto"/>
          <w:spacing w:val="4"/>
          <w:kern w:val="0"/>
          <w:szCs w:val="24"/>
          <w:highlight w:val="none"/>
        </w:rPr>
        <w:t>，招标人对上述费用均不负任何责任</w:t>
      </w:r>
      <w:r>
        <w:rPr>
          <w:rFonts w:hint="eastAsia" w:ascii="宋体" w:hAnsi="宋体" w:eastAsia="宋体" w:cs="宋体"/>
          <w:bCs/>
          <w:color w:val="auto"/>
          <w:spacing w:val="4"/>
          <w:kern w:val="0"/>
          <w:szCs w:val="24"/>
          <w:highlight w:val="none"/>
        </w:rPr>
        <w:t>。</w:t>
      </w:r>
    </w:p>
    <w:p w14:paraId="3BDBE3F3">
      <w:pPr>
        <w:pStyle w:val="25"/>
        <w:spacing w:line="240" w:lineRule="auto"/>
        <w:ind w:firstLine="496"/>
        <w:rPr>
          <w:rFonts w:hint="eastAsia" w:ascii="宋体" w:hAnsi="宋体" w:eastAsia="宋体" w:cs="宋体"/>
          <w:bCs/>
          <w:color w:val="auto"/>
          <w:highlight w:val="none"/>
        </w:rPr>
      </w:pPr>
      <w:r>
        <w:rPr>
          <w:rFonts w:hint="eastAsia" w:ascii="宋体" w:hAnsi="宋体" w:eastAsia="宋体" w:cs="宋体"/>
          <w:bCs/>
          <w:color w:val="auto"/>
          <w:highlight w:val="none"/>
        </w:rPr>
        <w:t>6.3 本项目招标代理服务费及平台</w:t>
      </w:r>
      <w:r>
        <w:rPr>
          <w:rFonts w:hint="eastAsia" w:ascii="宋体" w:hAnsi="宋体" w:eastAsia="宋体" w:cs="宋体"/>
          <w:color w:val="auto"/>
          <w:sz w:val="24"/>
          <w:szCs w:val="24"/>
          <w:highlight w:val="none"/>
          <w:u w:val="none"/>
        </w:rPr>
        <w:t>交易</w:t>
      </w:r>
      <w:r>
        <w:rPr>
          <w:rFonts w:hint="eastAsia" w:ascii="宋体" w:hAnsi="宋体" w:eastAsia="宋体" w:cs="宋体"/>
          <w:bCs/>
          <w:color w:val="auto"/>
          <w:highlight w:val="none"/>
        </w:rPr>
        <w:t>服务费由招标人支付。</w:t>
      </w:r>
    </w:p>
    <w:p w14:paraId="52E7F12C">
      <w:pPr>
        <w:pStyle w:val="31"/>
        <w:spacing w:beforeLines="0" w:afterLines="0" w:line="360" w:lineRule="auto"/>
        <w:rPr>
          <w:rFonts w:hint="eastAsia" w:ascii="宋体" w:hAnsi="宋体" w:eastAsia="宋体" w:cs="宋体"/>
          <w:color w:val="auto"/>
          <w:highlight w:val="none"/>
        </w:rPr>
      </w:pPr>
      <w:bookmarkStart w:id="32" w:name="_Toc93064467"/>
      <w:bookmarkStart w:id="33" w:name="_Toc367891666"/>
      <w:bookmarkStart w:id="34" w:name="_Toc93064322"/>
      <w:bookmarkStart w:id="35" w:name="_Toc360635066"/>
      <w:bookmarkStart w:id="36" w:name="_Toc364793124"/>
      <w:bookmarkStart w:id="37" w:name="_Toc426445884"/>
      <w:bookmarkStart w:id="38" w:name="_Toc11119"/>
      <w:bookmarkStart w:id="39" w:name="_Toc318905635"/>
      <w:r>
        <w:rPr>
          <w:rFonts w:hint="eastAsia" w:ascii="宋体" w:hAnsi="宋体" w:eastAsia="宋体" w:cs="宋体"/>
          <w:b/>
          <w:bCs/>
          <w:color w:val="auto"/>
          <w:highlight w:val="none"/>
        </w:rPr>
        <w:t>（</w:t>
      </w:r>
      <w:r>
        <w:rPr>
          <w:rFonts w:hint="eastAsia" w:ascii="宋体" w:hAnsi="宋体" w:eastAsia="宋体" w:cs="宋体"/>
          <w:b/>
          <w:color w:val="auto"/>
          <w:highlight w:val="none"/>
        </w:rPr>
        <w:t>二）招标文件</w:t>
      </w:r>
      <w:bookmarkEnd w:id="32"/>
      <w:bookmarkEnd w:id="33"/>
      <w:bookmarkEnd w:id="34"/>
      <w:bookmarkEnd w:id="35"/>
      <w:bookmarkEnd w:id="36"/>
      <w:bookmarkEnd w:id="37"/>
      <w:bookmarkEnd w:id="38"/>
      <w:bookmarkEnd w:id="39"/>
    </w:p>
    <w:p w14:paraId="70BD9665">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7.招标文件的组成</w:t>
      </w:r>
    </w:p>
    <w:p w14:paraId="715C417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7.1本招标文件包括下列文件，以及所有按投标须知第8、9条发出的答疑纪要、澄清或修改：</w:t>
      </w:r>
    </w:p>
    <w:p w14:paraId="7E9D6355">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 招标公告</w:t>
      </w:r>
    </w:p>
    <w:p w14:paraId="47C80D43">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 投标须知及前附表</w:t>
      </w:r>
    </w:p>
    <w:p w14:paraId="344401A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（3） 服务合同</w:t>
      </w:r>
    </w:p>
    <w:p w14:paraId="7BAC0067">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（4） 投标文件格式</w:t>
      </w:r>
    </w:p>
    <w:p w14:paraId="64B4689B">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（5） 否决性条款汇总</w:t>
      </w:r>
    </w:p>
    <w:p w14:paraId="005E9700">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（6） 评标办法</w:t>
      </w:r>
    </w:p>
    <w:p w14:paraId="4A2ABFE0">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（7） 服务需求书</w:t>
      </w:r>
    </w:p>
    <w:p w14:paraId="4EEBD043">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 xml:space="preserve">（8） </w:t>
      </w:r>
      <w:r>
        <w:rPr>
          <w:rFonts w:hint="eastAsia" w:ascii="宋体" w:hAnsi="宋体" w:eastAsia="宋体" w:cs="宋体"/>
          <w:color w:val="auto"/>
          <w:highlight w:val="none"/>
          <w:lang w:eastAsia="zh-CN"/>
        </w:rPr>
        <w:t>招标控制价</w:t>
      </w:r>
      <w:r>
        <w:rPr>
          <w:rFonts w:hint="eastAsia" w:ascii="宋体" w:hAnsi="宋体" w:eastAsia="宋体" w:cs="宋体"/>
          <w:color w:val="auto"/>
          <w:highlight w:val="none"/>
        </w:rPr>
        <w:t>公布函</w:t>
      </w:r>
    </w:p>
    <w:p w14:paraId="217333D2">
      <w:pPr>
        <w:pStyle w:val="6"/>
        <w:kinsoku w:val="0"/>
        <w:overflowPunct w:val="0"/>
        <w:spacing w:before="34" w:line="360" w:lineRule="auto"/>
        <w:ind w:right="236" w:firstLine="496" w:firstLineChars="200"/>
        <w:rPr>
          <w:rFonts w:hint="eastAsia" w:ascii="宋体" w:hAnsi="宋体" w:eastAsia="宋体" w:cs="宋体"/>
          <w:color w:val="auto"/>
          <w:sz w:val="24"/>
          <w:szCs w:val="22"/>
          <w:highlight w:val="none"/>
          <w:shd w:val="clear" w:color="FFFFFF" w:fill="D9D9D9"/>
        </w:rPr>
      </w:pPr>
      <w:r>
        <w:rPr>
          <w:rFonts w:hint="eastAsia" w:ascii="宋体" w:hAnsi="宋体" w:eastAsia="宋体" w:cs="宋体"/>
          <w:color w:val="auto"/>
          <w:spacing w:val="4"/>
          <w:sz w:val="24"/>
          <w:szCs w:val="24"/>
          <w:highlight w:val="none"/>
        </w:rPr>
        <w:t>7.2  招标人（</w:t>
      </w:r>
      <w:r>
        <w:rPr>
          <w:rFonts w:hint="eastAsia" w:ascii="宋体" w:hAnsi="宋体" w:eastAsia="宋体" w:cs="宋体"/>
          <w:color w:val="auto"/>
          <w:spacing w:val="0"/>
          <w:sz w:val="24"/>
          <w:szCs w:val="22"/>
          <w:highlight w:val="none"/>
        </w:rPr>
        <w:t>或委托招标代理机构）可使用广东省内依法设立的电子认证服务机构签发的电子签名认证证书对电子形式的招标文件进行电子签名及电子签章。该电子签名及电子签章与招标人手写签名或者盖章具备同等的法律效力。</w:t>
      </w:r>
    </w:p>
    <w:p w14:paraId="59AAC364">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7.3 投标人获取招标文件后，应仔细检查招标文件的所有内容，如有缺失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销其不符合要求的差异或保留使之成为具有响应性的投标文件。</w:t>
      </w:r>
    </w:p>
    <w:p w14:paraId="69764B63">
      <w:pPr>
        <w:pStyle w:val="25"/>
        <w:ind w:firstLine="498"/>
        <w:rPr>
          <w:rFonts w:hint="eastAsia" w:ascii="宋体" w:hAnsi="宋体" w:eastAsia="宋体" w:cs="宋体"/>
          <w:color w:val="auto"/>
          <w:highlight w:val="none"/>
        </w:rPr>
      </w:pPr>
      <w:r>
        <w:rPr>
          <w:rFonts w:hint="eastAsia" w:ascii="宋体" w:hAnsi="宋体" w:eastAsia="宋体" w:cs="宋体"/>
          <w:b/>
          <w:color w:val="auto"/>
          <w:highlight w:val="none"/>
        </w:rPr>
        <w:t>8．招标答疑</w:t>
      </w:r>
    </w:p>
    <w:p w14:paraId="320BE337">
      <w:pPr>
        <w:pStyle w:val="5"/>
        <w:spacing w:after="0" w:line="360" w:lineRule="auto"/>
        <w:ind w:firstLine="496"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8.1招标答疑采用网上答疑方式进行。投标人若对招标文件有疑问的，通过广州交易集团有限公司（广州公共资源交易中心）网站提交，应按照广州交易集团有限公司（广州公共资源交易中心）交易平台关于全流程电子化项目的相关指南进行操作。提问一律不得署名。</w:t>
      </w:r>
    </w:p>
    <w:p w14:paraId="39E4AA5E">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8.2招标答疑会议纪要将在提交投标文件截止时间15日前在广州交易集团有限公司（广州公共资源交易中心）网站“项目查询(日程安排、答疑纪要)”专区公开发布。</w:t>
      </w:r>
    </w:p>
    <w:p w14:paraId="7C8E6C0C">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8.3答疑纪要一经在广州交易集团有限公司（广州公共资源交易中心）网站发布，视作已发放给所有投标人。</w:t>
      </w:r>
    </w:p>
    <w:p w14:paraId="3176B722">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8.4招标答疑纪要为招标文件的一部分，视为签订合同和结算的依据。投标人可在广州交易集团有限公司（广州公共资源交易中心）网站浏览、下载招标答疑纪要。</w:t>
      </w:r>
    </w:p>
    <w:p w14:paraId="5CA768C2">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8.5若招标答疑纪要与招标文件有矛盾时，以广州交易集团有限公司（广州公共资源交易中心）网站最后发布的答疑纪要为准。</w:t>
      </w:r>
    </w:p>
    <w:p w14:paraId="433FEE04">
      <w:pPr>
        <w:pStyle w:val="25"/>
        <w:ind w:firstLine="498"/>
        <w:rPr>
          <w:rFonts w:hint="eastAsia" w:ascii="宋体" w:hAnsi="宋体" w:eastAsia="宋体" w:cs="宋体"/>
          <w:color w:val="auto"/>
          <w:highlight w:val="none"/>
        </w:rPr>
      </w:pPr>
      <w:r>
        <w:rPr>
          <w:rFonts w:hint="eastAsia" w:ascii="宋体" w:hAnsi="宋体" w:eastAsia="宋体" w:cs="宋体"/>
          <w:b/>
          <w:color w:val="auto"/>
          <w:highlight w:val="none"/>
        </w:rPr>
        <w:t>9.招标文件的澄清与修改</w:t>
      </w:r>
    </w:p>
    <w:p w14:paraId="0E773DE5">
      <w:pPr>
        <w:spacing w:line="360" w:lineRule="auto"/>
        <w:ind w:firstLine="496" w:firstLineChars="200"/>
        <w:rPr>
          <w:rFonts w:hint="eastAsia" w:ascii="宋体" w:hAnsi="宋体" w:eastAsia="宋体" w:cs="宋体"/>
          <w:color w:val="auto"/>
          <w:spacing w:val="4"/>
          <w:kern w:val="0"/>
          <w:sz w:val="24"/>
          <w:szCs w:val="24"/>
          <w:highlight w:val="none"/>
        </w:rPr>
      </w:pPr>
      <w:bookmarkStart w:id="40" w:name="_Toc360635067"/>
      <w:bookmarkStart w:id="41" w:name="_Toc364793125"/>
      <w:bookmarkStart w:id="42" w:name="_Toc318905636"/>
      <w:bookmarkStart w:id="43" w:name="_Toc426445885"/>
      <w:bookmarkStart w:id="44" w:name="_Toc367891667"/>
      <w:r>
        <w:rPr>
          <w:rFonts w:hint="eastAsia" w:ascii="宋体" w:hAnsi="宋体" w:eastAsia="宋体" w:cs="宋体"/>
          <w:color w:val="auto"/>
          <w:spacing w:val="4"/>
          <w:kern w:val="0"/>
          <w:sz w:val="24"/>
          <w:szCs w:val="24"/>
          <w:highlight w:val="none"/>
        </w:rPr>
        <w:t>9.1招标人对招标文件进行必要的澄清或者修改的，在广州交易集团有限公司（广州公共资源交易中心）网站上发布。澄清或者修改的内容可能影响投标文件编制的，澄清纪要在投标截止时间至少15日前发出；不足15日的，顺延提交投标文件截止时间。</w:t>
      </w:r>
    </w:p>
    <w:p w14:paraId="5510AF86">
      <w:pP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9.2招标文件的澄清与修改为招标文件的组成部分，将在广州交易集团有限公司（广州公共资源交易中心）网站发布，招标文件的澄清或修改文件一经网站发布即视为已发放给投标人，投标人需密切关注网站内有关本项目招标文件的澄清或修改文件发布情况。</w:t>
      </w:r>
    </w:p>
    <w:p w14:paraId="11BA347B">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9.3 招标文件的澄清、修改、补充等均以书面形式明确的内容为准。当招标文件的澄清、修改、补充等关于同一内容的表述不一致时，以最后发出的书面文件为准。</w:t>
      </w:r>
    </w:p>
    <w:p w14:paraId="229B09C7">
      <w:pP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9.4为使投标人在编制投标文件时有充分的时间将招标文件的澄清、修改、补充等内容考虑进去，招标人将酌情延长提交投标文件的截止时间，具体时间将在招标文件的澄清、修改、补充通知中予以明确。若通知中没有明确延长时间，即表示投标时间不延长。</w:t>
      </w:r>
    </w:p>
    <w:p w14:paraId="20E0DEBB">
      <w:pP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9.5投标人在规定的时间内未对招标文件提出疑问、质疑或要求澄清的，将视其为无异议。对招标文件中描述有歧义或前后不一致的地方，评标委员会或招标人有权进行评判或解释，但对同一条款的评判应适用于每个投标人。</w:t>
      </w:r>
    </w:p>
    <w:p w14:paraId="5C98D424">
      <w:pPr>
        <w:pStyle w:val="25"/>
        <w:ind w:firstLine="0" w:firstLineChars="0"/>
        <w:jc w:val="left"/>
        <w:rPr>
          <w:rFonts w:hint="eastAsia" w:ascii="宋体" w:hAnsi="宋体" w:eastAsia="宋体" w:cs="宋体"/>
          <w:b/>
          <w:color w:val="auto"/>
          <w:highlight w:val="none"/>
        </w:rPr>
      </w:pPr>
      <w:r>
        <w:rPr>
          <w:rFonts w:hint="eastAsia" w:ascii="宋体" w:hAnsi="宋体" w:eastAsia="宋体" w:cs="宋体"/>
          <w:b/>
          <w:color w:val="auto"/>
          <w:highlight w:val="none"/>
        </w:rPr>
        <w:t>（三）投标文件的编制</w:t>
      </w:r>
      <w:bookmarkEnd w:id="40"/>
      <w:bookmarkEnd w:id="41"/>
      <w:bookmarkEnd w:id="42"/>
      <w:bookmarkEnd w:id="43"/>
      <w:bookmarkEnd w:id="44"/>
    </w:p>
    <w:p w14:paraId="695ED9D7">
      <w:pPr>
        <w:pStyle w:val="25"/>
        <w:ind w:firstLine="498"/>
        <w:rPr>
          <w:rFonts w:hint="eastAsia" w:ascii="宋体" w:hAnsi="宋体" w:eastAsia="宋体" w:cs="宋体"/>
          <w:color w:val="auto"/>
          <w:highlight w:val="none"/>
        </w:rPr>
      </w:pPr>
      <w:r>
        <w:rPr>
          <w:rFonts w:hint="eastAsia" w:ascii="宋体" w:hAnsi="宋体" w:eastAsia="宋体" w:cs="宋体"/>
          <w:b/>
          <w:color w:val="auto"/>
          <w:highlight w:val="none"/>
        </w:rPr>
        <w:t>10．投标文件的语言及度量衡单位</w:t>
      </w:r>
    </w:p>
    <w:p w14:paraId="3D1F9AC3">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10.1 投标文件和与投标有关的所有文件均应使用</w:t>
      </w:r>
      <w:r>
        <w:rPr>
          <w:rFonts w:hint="eastAsia" w:ascii="宋体" w:hAnsi="宋体" w:eastAsia="宋体" w:cs="宋体"/>
          <w:color w:val="auto"/>
          <w:highlight w:val="none"/>
          <w:u w:val="single"/>
        </w:rPr>
        <w:t>　汉语　</w:t>
      </w:r>
      <w:r>
        <w:rPr>
          <w:rFonts w:hint="eastAsia" w:ascii="宋体" w:hAnsi="宋体" w:eastAsia="宋体" w:cs="宋体"/>
          <w:color w:val="auto"/>
          <w:highlight w:val="none"/>
        </w:rPr>
        <w:t>。</w:t>
      </w:r>
    </w:p>
    <w:p w14:paraId="1F308BCF">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10.2 除工程规范另有规定外，投标文件使用的度量衡单位，均采用中华人民共和国法定计量单位。</w:t>
      </w:r>
    </w:p>
    <w:p w14:paraId="115DC282">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11．</w:t>
      </w:r>
      <w:r>
        <w:rPr>
          <w:rFonts w:hint="eastAsia" w:ascii="宋体" w:hAnsi="宋体" w:eastAsia="宋体" w:cs="宋体"/>
          <w:b/>
          <w:bCs/>
          <w:color w:val="auto"/>
          <w:highlight w:val="none"/>
        </w:rPr>
        <w:t>投标文件的组成：电子文件</w:t>
      </w:r>
    </w:p>
    <w:p w14:paraId="1C872951">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11.1投标文件目录；</w:t>
      </w:r>
    </w:p>
    <w:p w14:paraId="72FA06FD">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11.2投标报价部分（具体内容详见招标文件 第3章 投标文件格式）；</w:t>
      </w:r>
    </w:p>
    <w:p w14:paraId="775F03B8">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11.3资格审查部分（具体内容详见招标文件 第3章 投标文件格式）；</w:t>
      </w:r>
    </w:p>
    <w:p w14:paraId="71F0A32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11.4商务技术部分（具体内容详见招标文件 第3章 投标文件格式）；</w:t>
      </w:r>
    </w:p>
    <w:p w14:paraId="6DF474D3">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11.5根据招标文件及评标办法要求，投标文件格式未能尽列的其他内容。</w:t>
      </w:r>
    </w:p>
    <w:p w14:paraId="02AD2072">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备注：以上资料除注明复印件/网页打印件扫描件外，均提交原件扫描件。复印件或网页打印件须加盖单位公章。</w:t>
      </w:r>
    </w:p>
    <w:p w14:paraId="534157BE">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12．投标文件格式</w:t>
      </w:r>
    </w:p>
    <w:p w14:paraId="28E71158">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12.1 投标文件包括本须知第11条中规定的内容，投标人提交的投标文件应当使用招标文件所提供的投标格式文件的格式（表格可以按同样格式扩展）。</w:t>
      </w:r>
    </w:p>
    <w:p w14:paraId="0FE3F5C9">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13．投标报价</w:t>
      </w:r>
    </w:p>
    <w:p w14:paraId="316FBCEF">
      <w:pPr>
        <w:snapToGrid w:val="0"/>
        <w:spacing w:line="360" w:lineRule="auto"/>
        <w:ind w:right="-142"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pacing w:val="0"/>
          <w:kern w:val="2"/>
          <w:sz w:val="24"/>
          <w:szCs w:val="24"/>
          <w:highlight w:val="none"/>
        </w:rPr>
        <w:t>13.1投标报价应为合同期内完成全部服务内容的总费用，投标人应根据招标文件的要求，参照投标报价表格式的填报内容进行逐项报价。投标人未单独列明的分项价格将被视为该项目的费用已包含在投标总价中，合同执行中不另予支付。</w:t>
      </w:r>
    </w:p>
    <w:p w14:paraId="7DB202B6">
      <w:pPr>
        <w:spacing w:line="360" w:lineRule="auto"/>
        <w:ind w:firstLine="476" w:firstLineChars="192"/>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13.2投标人的投标报价必须是人民币固定价，即投标人投标总报价和综合单价均只允许有唯一个报价，招标代理机构/业主不接受有任何选择的报价。</w:t>
      </w:r>
    </w:p>
    <w:p w14:paraId="61BAC468">
      <w:pPr>
        <w:pStyle w:val="5"/>
        <w:snapToGri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13.3投标价格表的价格应按招标文件第3章要求的格式填报。对于招标文件中提供的所有表格，投标人必须按格式内容全部填写，不得缺项，如出现漏项、未报的项目，招标人认为此项费用已包括在其他项目的报价内，</w:t>
      </w:r>
      <w:r>
        <w:rPr>
          <w:rFonts w:hint="eastAsia" w:ascii="宋体" w:hAnsi="宋体" w:eastAsia="宋体" w:cs="宋体"/>
          <w:snapToGrid w:val="0"/>
          <w:color w:val="auto"/>
          <w:spacing w:val="4"/>
          <w:sz w:val="24"/>
          <w:szCs w:val="24"/>
          <w:highlight w:val="none"/>
        </w:rPr>
        <w:t>合同执行中不另予支付。</w:t>
      </w:r>
      <w:r>
        <w:rPr>
          <w:rFonts w:hint="eastAsia" w:ascii="宋体" w:hAnsi="宋体" w:eastAsia="宋体" w:cs="宋体"/>
          <w:color w:val="auto"/>
          <w:spacing w:val="0"/>
          <w:sz w:val="24"/>
          <w:szCs w:val="24"/>
          <w:highlight w:val="none"/>
        </w:rPr>
        <w:t>投标报价应是招标文件所确定招标范围内的全部内容的价格体现。</w:t>
      </w:r>
    </w:p>
    <w:p w14:paraId="11916E66">
      <w:pPr>
        <w:pStyle w:val="5"/>
        <w:snapToGrid w:val="0"/>
        <w:spacing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pacing w:val="0"/>
          <w:sz w:val="24"/>
          <w:szCs w:val="21"/>
          <w:highlight w:val="none"/>
        </w:rPr>
        <w:t>13.4 投标报价以元为单位，保留小数点后两位小数,第三位小数四舍五入。投标人报价不得高于</w:t>
      </w:r>
      <w:r>
        <w:rPr>
          <w:rFonts w:hint="eastAsia" w:ascii="宋体" w:hAnsi="宋体" w:eastAsia="宋体" w:cs="宋体"/>
          <w:color w:val="auto"/>
          <w:spacing w:val="0"/>
          <w:sz w:val="24"/>
          <w:szCs w:val="21"/>
          <w:highlight w:val="none"/>
          <w:lang w:eastAsia="zh-CN"/>
        </w:rPr>
        <w:t>招标控制价</w:t>
      </w:r>
      <w:r>
        <w:rPr>
          <w:rFonts w:hint="eastAsia" w:ascii="宋体" w:hAnsi="宋体" w:eastAsia="宋体" w:cs="宋体"/>
          <w:color w:val="auto"/>
          <w:spacing w:val="0"/>
          <w:sz w:val="24"/>
          <w:szCs w:val="21"/>
          <w:highlight w:val="none"/>
        </w:rPr>
        <w:t>，且投标人单项单价报价不得高于对应项投标限价中的综合单价，否则一律视为废标。</w:t>
      </w:r>
    </w:p>
    <w:p w14:paraId="51821BC6">
      <w:pPr>
        <w:widowControl/>
        <w:tabs>
          <w:tab w:val="left" w:pos="735"/>
        </w:tabs>
        <w:spacing w:line="360" w:lineRule="auto"/>
        <w:ind w:left="2" w:firstLine="480" w:firstLineChars="200"/>
        <w:rPr>
          <w:rFonts w:hint="eastAsia" w:ascii="宋体" w:hAnsi="宋体" w:eastAsia="宋体" w:cs="宋体"/>
          <w:bCs/>
          <w:color w:val="auto"/>
          <w:spacing w:val="0"/>
          <w:kern w:val="2"/>
          <w:sz w:val="24"/>
          <w:szCs w:val="24"/>
          <w:highlight w:val="none"/>
        </w:rPr>
      </w:pPr>
      <w:r>
        <w:rPr>
          <w:rFonts w:hint="eastAsia" w:ascii="宋体" w:hAnsi="宋体" w:eastAsia="宋体" w:cs="宋体"/>
          <w:color w:val="auto"/>
          <w:spacing w:val="0"/>
          <w:kern w:val="2"/>
          <w:sz w:val="24"/>
          <w:szCs w:val="21"/>
          <w:highlight w:val="none"/>
        </w:rPr>
        <w:t xml:space="preserve">13.5 </w:t>
      </w:r>
      <w:r>
        <w:rPr>
          <w:rFonts w:hint="eastAsia" w:ascii="宋体" w:hAnsi="宋体" w:eastAsia="宋体" w:cs="宋体"/>
          <w:bCs/>
          <w:color w:val="auto"/>
          <w:spacing w:val="0"/>
          <w:kern w:val="2"/>
          <w:sz w:val="24"/>
          <w:szCs w:val="21"/>
          <w:highlight w:val="none"/>
        </w:rPr>
        <w:t>除非招标文件中另有规定，投标人在报价表中所报的总报价应至少包括：</w:t>
      </w:r>
      <w:r>
        <w:rPr>
          <w:rFonts w:hint="eastAsia" w:ascii="宋体" w:hAnsi="宋体" w:eastAsia="宋体" w:cs="宋体"/>
          <w:color w:val="auto"/>
          <w:spacing w:val="0"/>
          <w:kern w:val="2"/>
          <w:sz w:val="24"/>
          <w:szCs w:val="24"/>
          <w:highlight w:val="none"/>
        </w:rPr>
        <w:t>服务内容所需的服务成本、企业利润、法定税费等费用及由此带来的一切价格的风险</w:t>
      </w:r>
      <w:r>
        <w:rPr>
          <w:rFonts w:hint="eastAsia" w:ascii="宋体" w:hAnsi="宋体" w:eastAsia="宋体" w:cs="宋体"/>
          <w:bCs/>
          <w:color w:val="auto"/>
          <w:spacing w:val="0"/>
          <w:kern w:val="2"/>
          <w:sz w:val="24"/>
          <w:szCs w:val="24"/>
          <w:highlight w:val="none"/>
        </w:rPr>
        <w:t>。</w:t>
      </w:r>
    </w:p>
    <w:p w14:paraId="16B1F158">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14．投标货币</w:t>
      </w:r>
    </w:p>
    <w:p w14:paraId="578AE712">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14.1投标报价采用的币种为人民币。</w:t>
      </w:r>
    </w:p>
    <w:p w14:paraId="7AA7675C">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15．投标有效期</w:t>
      </w:r>
    </w:p>
    <w:p w14:paraId="59FD249A">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 xml:space="preserve">15.1 </w:t>
      </w:r>
      <w:r>
        <w:rPr>
          <w:rFonts w:hint="eastAsia" w:ascii="宋体" w:hAnsi="宋体" w:eastAsia="宋体" w:cs="宋体"/>
          <w:color w:val="auto"/>
          <w:spacing w:val="6"/>
          <w:highlight w:val="none"/>
        </w:rPr>
        <w:t>投标文件有效期为投标文件递交截止之日后90天，</w:t>
      </w:r>
      <w:r>
        <w:rPr>
          <w:rFonts w:hint="eastAsia" w:ascii="宋体" w:hAnsi="宋体" w:eastAsia="宋体" w:cs="宋体"/>
          <w:color w:val="auto"/>
          <w:highlight w:val="none"/>
        </w:rPr>
        <w:t>在此期限内，凡符合本招标文件要求的投标文件均保持有效。</w:t>
      </w:r>
    </w:p>
    <w:p w14:paraId="7008AF8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15.2 在特殊情况下，招标人在原定投标有效期内，可以根据需要以书面形式向投标人提出延长投标有效期的要求，对此要求投标人须以书面形式予以答复。投标人可以拒绝招标人这种要求，而不被没收投标保证金。同意延长投标有效期的投标人既不能要求也不允许修改其投标文件，但需要相应地延长投标保证金的有效期，在延长的投标有效期内，本须知第16条关于投标保证金的退还与没收的规定仍然适用。同意延期的投标人其权利与义务相应延至新的截止期。</w:t>
      </w:r>
    </w:p>
    <w:p w14:paraId="555A15CD">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16．投标保证金</w:t>
      </w:r>
    </w:p>
    <w:p w14:paraId="1DA8644D">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16.1投标人应按投标须知前附表第12项所述的人民币金额的投标保证金递交。</w:t>
      </w:r>
    </w:p>
    <w:p w14:paraId="05CF944F">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16.2对于未能按要求提交投标保证金的投标文件，招标人可以视为不响应投标而予以拒绝。</w:t>
      </w:r>
    </w:p>
    <w:p w14:paraId="2EE3B125">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16.3未中标的保证金将尽快退还。</w:t>
      </w:r>
    </w:p>
    <w:p w14:paraId="20C7E776">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16.4中标人的投标保证金，在签署合同并按要求提供了履约担保后予以退还。</w:t>
      </w:r>
    </w:p>
    <w:p w14:paraId="6424359E">
      <w:pPr>
        <w:pStyle w:val="25"/>
        <w:ind w:firstLine="498"/>
        <w:rPr>
          <w:rFonts w:hint="eastAsia" w:ascii="宋体" w:hAnsi="宋体" w:eastAsia="宋体" w:cs="宋体"/>
          <w:b/>
          <w:bCs/>
          <w:color w:val="auto"/>
          <w:highlight w:val="none"/>
        </w:rPr>
      </w:pPr>
      <w:r>
        <w:rPr>
          <w:rFonts w:hint="eastAsia" w:ascii="宋体" w:hAnsi="宋体" w:eastAsia="宋体" w:cs="宋体"/>
          <w:b/>
          <w:bCs/>
          <w:color w:val="auto"/>
          <w:highlight w:val="none"/>
        </w:rPr>
        <w:t>16.5如有下列情况之一的（包括但不限于），投标人的投标保证金将不予退还：</w:t>
      </w:r>
    </w:p>
    <w:p w14:paraId="2A93276A">
      <w:pPr>
        <w:pStyle w:val="25"/>
        <w:numPr>
          <w:ilvl w:val="0"/>
          <w:numId w:val="4"/>
        </w:numPr>
        <w:ind w:firstLine="498"/>
        <w:rPr>
          <w:rFonts w:hint="eastAsia" w:ascii="宋体" w:hAnsi="宋体" w:eastAsia="宋体" w:cs="宋体"/>
          <w:b/>
          <w:bCs/>
          <w:color w:val="auto"/>
          <w:highlight w:val="none"/>
        </w:rPr>
      </w:pPr>
      <w:r>
        <w:rPr>
          <w:rFonts w:hint="eastAsia" w:ascii="宋体" w:hAnsi="宋体" w:eastAsia="宋体" w:cs="宋体"/>
          <w:b/>
          <w:bCs/>
          <w:color w:val="auto"/>
          <w:highlight w:val="none"/>
        </w:rPr>
        <w:t>投标人在投标有效期内撤销或修改其投标文件；</w:t>
      </w:r>
    </w:p>
    <w:p w14:paraId="1107019D">
      <w:pPr>
        <w:pStyle w:val="25"/>
        <w:numPr>
          <w:ilvl w:val="0"/>
          <w:numId w:val="4"/>
        </w:numPr>
        <w:ind w:firstLine="498"/>
        <w:rPr>
          <w:rFonts w:hint="eastAsia" w:ascii="宋体" w:hAnsi="宋体" w:eastAsia="宋体" w:cs="宋体"/>
          <w:b/>
          <w:bCs/>
          <w:color w:val="auto"/>
          <w:highlight w:val="none"/>
        </w:rPr>
      </w:pPr>
      <w:r>
        <w:rPr>
          <w:rFonts w:hint="eastAsia" w:ascii="宋体" w:hAnsi="宋体" w:eastAsia="宋体" w:cs="宋体"/>
          <w:b/>
          <w:bCs/>
          <w:color w:val="auto"/>
          <w:highlight w:val="none"/>
        </w:rPr>
        <w:t>投标人在招标过程存在弄虚作假行为、虚报资料情况的</w:t>
      </w:r>
      <w:r>
        <w:rPr>
          <w:rFonts w:hint="eastAsia" w:ascii="宋体" w:hAnsi="宋体" w:eastAsia="宋体" w:cs="宋体"/>
          <w:b/>
          <w:bCs/>
          <w:color w:val="auto"/>
          <w:kern w:val="2"/>
          <w:highlight w:val="none"/>
        </w:rPr>
        <w:t>；</w:t>
      </w:r>
    </w:p>
    <w:p w14:paraId="0F015E1B">
      <w:pPr>
        <w:pStyle w:val="25"/>
        <w:numPr>
          <w:ilvl w:val="0"/>
          <w:numId w:val="4"/>
        </w:numPr>
        <w:ind w:firstLine="498"/>
        <w:rPr>
          <w:rFonts w:hint="eastAsia" w:ascii="宋体" w:hAnsi="宋体" w:eastAsia="宋体" w:cs="宋体"/>
          <w:b/>
          <w:bCs/>
          <w:color w:val="auto"/>
          <w:highlight w:val="none"/>
        </w:rPr>
      </w:pPr>
      <w:r>
        <w:rPr>
          <w:rFonts w:hint="eastAsia" w:ascii="宋体" w:hAnsi="宋体" w:eastAsia="宋体" w:cs="宋体"/>
          <w:b/>
          <w:bCs/>
          <w:color w:val="auto"/>
          <w:highlight w:val="none"/>
        </w:rPr>
        <w:t>中标人未能在规定期限内签署合同，或者在签订合同时向招标人提出附加条件，或者不按照招标文件要求提交履约保证金</w:t>
      </w:r>
      <w:r>
        <w:rPr>
          <w:rFonts w:hint="eastAsia" w:ascii="宋体" w:hAnsi="宋体" w:eastAsia="宋体" w:cs="宋体"/>
          <w:b/>
          <w:bCs/>
          <w:color w:val="auto"/>
          <w:highlight w:val="none"/>
          <w:lang w:eastAsia="zh-CN"/>
        </w:rPr>
        <w:t>。</w:t>
      </w:r>
    </w:p>
    <w:p w14:paraId="65369AAD">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16.6所有投标保证金必须由投标单位的银行账户转出或以银行投标保函（或投标保证保险）的形式递交。</w:t>
      </w:r>
    </w:p>
    <w:p w14:paraId="5309E0F5">
      <w:pPr>
        <w:pStyle w:val="25"/>
        <w:ind w:left="420" w:firstLine="0" w:firstLineChars="0"/>
        <w:rPr>
          <w:rFonts w:hint="eastAsia" w:ascii="宋体" w:hAnsi="宋体" w:eastAsia="宋体" w:cs="宋体"/>
          <w:color w:val="auto"/>
          <w:sz w:val="11"/>
          <w:highlight w:val="none"/>
        </w:rPr>
      </w:pPr>
      <w:r>
        <w:rPr>
          <w:rFonts w:hint="eastAsia" w:ascii="宋体" w:hAnsi="宋体" w:eastAsia="宋体" w:cs="宋体"/>
          <w:b/>
          <w:color w:val="auto"/>
          <w:highlight w:val="none"/>
        </w:rPr>
        <w:t>17.电子投标文件的编制</w:t>
      </w:r>
    </w:p>
    <w:p w14:paraId="098DBD67">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1"/>
          <w:highlight w:val="none"/>
        </w:rPr>
        <w:t>17.1</w:t>
      </w:r>
      <w:r>
        <w:rPr>
          <w:rFonts w:hint="eastAsia" w:ascii="宋体" w:hAnsi="宋体" w:eastAsia="宋体" w:cs="宋体"/>
          <w:color w:val="auto"/>
          <w:spacing w:val="4"/>
          <w:kern w:val="2"/>
          <w:sz w:val="24"/>
          <w:szCs w:val="21"/>
          <w:highlight w:val="none"/>
        </w:rPr>
        <w:t xml:space="preserve"> </w:t>
      </w:r>
      <w:r>
        <w:rPr>
          <w:rFonts w:hint="eastAsia" w:ascii="宋体" w:hAnsi="宋体" w:eastAsia="宋体" w:cs="宋体"/>
          <w:color w:val="auto"/>
          <w:spacing w:val="0"/>
          <w:kern w:val="2"/>
          <w:sz w:val="24"/>
          <w:szCs w:val="24"/>
          <w:highlight w:val="none"/>
        </w:rPr>
        <w:t>投标文件应按照广州交易集团有限公司（广州公共资源交易中心）交易平台关于全流程电子化项目的相关指南进行编制。如因不按上述编排要求编制而所引起系统无法检索、读取相关信息时，其后果将由投标人自行承担。</w:t>
      </w:r>
    </w:p>
    <w:p w14:paraId="1EF9A1BD">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17.2投标人应按招标文件的规定及附件要求的内容和格式完整地填写和提供资料。投标人必须对投标文件所提供的全部资料的真实性承担法律责任，并无条件接受招标人对其中任何资料进行核实（核对原件）的要求。招标人核对发现有不一致或投标人无正当理由不按时提供原件的，按中标无效处理。</w:t>
      </w:r>
    </w:p>
    <w:p w14:paraId="738CA414">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17.3投标人须对招标文件的对应要求给予唯一的实质性响应，否则将视为不响应。</w:t>
      </w:r>
    </w:p>
    <w:p w14:paraId="513A2157">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17.4投标文件以及投标人与招标人就有关投标的往来函电均应使用中文。投标人提交的支持性文件和印制的文件可以用另一种语言，但相应内容应翻译成中文，在解释投标文件时以中文文本为准。</w:t>
      </w:r>
    </w:p>
    <w:p w14:paraId="0718247D">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17.5投投标文件如有编页码，页码必须连续。</w:t>
      </w:r>
    </w:p>
    <w:p w14:paraId="6224E83A">
      <w:pPr>
        <w:pStyle w:val="32"/>
        <w:tabs>
          <w:tab w:val="left" w:pos="851"/>
        </w:tabs>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17.6对完整的电子投标文件首页及投标文件格式要求盖章处进行电子签章，视为具有有效、完整电子签章的投标文件，具有同等的法律效力。</w:t>
      </w:r>
    </w:p>
    <w:p w14:paraId="0E3BF9A3">
      <w:pPr>
        <w:pStyle w:val="6"/>
        <w:kinsoku w:val="0"/>
        <w:overflowPunct w:val="0"/>
        <w:spacing w:after="0" w:line="360" w:lineRule="auto"/>
        <w:ind w:right="113" w:firstLine="480" w:firstLineChars="200"/>
        <w:rPr>
          <w:rFonts w:hint="eastAsia" w:ascii="宋体" w:hAnsi="宋体" w:eastAsia="宋体" w:cs="宋体"/>
          <w:color w:val="auto"/>
          <w:sz w:val="11"/>
          <w:highlight w:val="none"/>
        </w:rPr>
      </w:pPr>
      <w:r>
        <w:rPr>
          <w:rFonts w:hint="eastAsia" w:ascii="宋体" w:hAnsi="宋体" w:eastAsia="宋体" w:cs="宋体"/>
          <w:color w:val="auto"/>
          <w:spacing w:val="0"/>
          <w:sz w:val="24"/>
          <w:szCs w:val="22"/>
          <w:highlight w:val="none"/>
        </w:rPr>
        <w:t>17.7电子投标文件为含签章的加密电子投标文件1套。</w:t>
      </w:r>
    </w:p>
    <w:p w14:paraId="18077CB4">
      <w:pPr>
        <w:pStyle w:val="31"/>
        <w:spacing w:beforeLines="0" w:after="120" w:line="360" w:lineRule="auto"/>
        <w:rPr>
          <w:rFonts w:hint="eastAsia" w:ascii="宋体" w:hAnsi="宋体" w:eastAsia="宋体" w:cs="宋体"/>
          <w:color w:val="auto"/>
          <w:highlight w:val="none"/>
        </w:rPr>
      </w:pPr>
      <w:bookmarkStart w:id="45" w:name="_Toc318905637"/>
      <w:bookmarkStart w:id="46" w:name="_Toc367891668"/>
      <w:bookmarkStart w:id="47" w:name="_Toc12114"/>
      <w:bookmarkStart w:id="48" w:name="_Toc93064323"/>
      <w:bookmarkStart w:id="49" w:name="_Toc426445886"/>
      <w:bookmarkStart w:id="50" w:name="_Toc364793126"/>
      <w:bookmarkStart w:id="51" w:name="_Toc360635068"/>
      <w:bookmarkStart w:id="52" w:name="_Toc93064468"/>
      <w:r>
        <w:rPr>
          <w:rFonts w:hint="eastAsia" w:ascii="宋体" w:hAnsi="宋体" w:eastAsia="宋体" w:cs="宋体"/>
          <w:b/>
          <w:color w:val="auto"/>
          <w:highlight w:val="none"/>
        </w:rPr>
        <w:t>（四）投标文件的提交</w:t>
      </w:r>
      <w:bookmarkEnd w:id="45"/>
      <w:bookmarkEnd w:id="46"/>
      <w:bookmarkEnd w:id="47"/>
      <w:bookmarkEnd w:id="48"/>
      <w:bookmarkEnd w:id="49"/>
      <w:bookmarkEnd w:id="50"/>
      <w:bookmarkEnd w:id="51"/>
      <w:bookmarkEnd w:id="52"/>
    </w:p>
    <w:p w14:paraId="3730BD93">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18．投标文件的加密</w:t>
      </w:r>
    </w:p>
    <w:p w14:paraId="031B3EA8">
      <w:pPr>
        <w:pStyle w:val="6"/>
        <w:kinsoku w:val="0"/>
        <w:overflowPunct w:val="0"/>
        <w:spacing w:line="360" w:lineRule="auto"/>
        <w:ind w:right="114" w:firstLine="496" w:firstLineChars="200"/>
        <w:rPr>
          <w:rFonts w:hint="eastAsia" w:ascii="宋体" w:hAnsi="宋体" w:eastAsia="宋体" w:cs="宋体"/>
          <w:color w:val="auto"/>
          <w:spacing w:val="4"/>
          <w:sz w:val="24"/>
          <w:highlight w:val="none"/>
        </w:rPr>
      </w:pPr>
      <w:r>
        <w:rPr>
          <w:rFonts w:hint="eastAsia" w:ascii="宋体" w:hAnsi="宋体" w:eastAsia="宋体" w:cs="宋体"/>
          <w:color w:val="auto"/>
          <w:spacing w:val="4"/>
          <w:sz w:val="24"/>
          <w:szCs w:val="21"/>
          <w:highlight w:val="none"/>
        </w:rPr>
        <w:t>18.1递交的电子投标文件必须进行加密。按照广州交易集团有限公司（广州公共资源交易中心）交易平台关于全流程电子化项目的相关指南进行操作。</w:t>
      </w:r>
    </w:p>
    <w:p w14:paraId="764E6B4E">
      <w:pPr>
        <w:pStyle w:val="25"/>
        <w:ind w:firstLine="498"/>
        <w:rPr>
          <w:rFonts w:hint="eastAsia" w:ascii="宋体" w:hAnsi="宋体" w:eastAsia="宋体" w:cs="宋体"/>
          <w:b/>
          <w:color w:val="auto"/>
          <w:highlight w:val="none"/>
          <w:lang w:val="en-US" w:eastAsia="zh-CN"/>
        </w:rPr>
      </w:pPr>
      <w:r>
        <w:rPr>
          <w:rFonts w:hint="eastAsia" w:ascii="宋体" w:hAnsi="宋体" w:eastAsia="宋体" w:cs="宋体"/>
          <w:color w:val="auto"/>
          <w:spacing w:val="4"/>
          <w:sz w:val="24"/>
          <w:szCs w:val="21"/>
          <w:highlight w:val="none"/>
        </w:rPr>
        <w:t>18.</w:t>
      </w:r>
      <w:r>
        <w:rPr>
          <w:rFonts w:hint="eastAsia" w:ascii="宋体" w:hAnsi="宋体" w:eastAsia="宋体" w:cs="宋体"/>
          <w:color w:val="auto"/>
          <w:spacing w:val="4"/>
          <w:sz w:val="24"/>
          <w:szCs w:val="21"/>
          <w:highlight w:val="none"/>
          <w:lang w:val="en-US" w:eastAsia="zh-CN"/>
        </w:rPr>
        <w:t xml:space="preserve">2 </w:t>
      </w:r>
      <w:r>
        <w:rPr>
          <w:rFonts w:hint="eastAsia" w:ascii="宋体" w:hAnsi="宋体" w:cs="宋体"/>
          <w:color w:val="auto"/>
          <w:szCs w:val="21"/>
          <w:highlight w:val="none"/>
        </w:rPr>
        <w:t>未按要求加密的投标文件，广州交易集团有限公司（广州公共资源交易中心）交易平台将予以拒收</w:t>
      </w:r>
      <w:r>
        <w:rPr>
          <w:rFonts w:hint="eastAsia" w:ascii="宋体" w:hAnsi="宋体" w:eastAsia="宋体" w:cs="宋体"/>
          <w:color w:val="auto"/>
          <w:szCs w:val="21"/>
          <w:highlight w:val="none"/>
          <w:lang w:eastAsia="zh-CN"/>
        </w:rPr>
        <w:t>。</w:t>
      </w:r>
    </w:p>
    <w:p w14:paraId="48F5C54E">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19．投标文件的提交</w:t>
      </w:r>
    </w:p>
    <w:p w14:paraId="0DAEE28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kern w:val="2"/>
          <w:sz w:val="24"/>
          <w:szCs w:val="24"/>
          <w:highlight w:val="none"/>
        </w:rPr>
        <w:t>19.1投标人通过广州交易集团有限公司（广州公共资源交易中心）交易平台递交电子投标文件。投标人完成电子投标文件上传后，广州交易集团有限公司（广州公共资源交易中心）交易平台即时向投标人发出递交回执通知。递交时间以递交回执通知载明的传输完成时间为准</w:t>
      </w:r>
      <w:r>
        <w:rPr>
          <w:rFonts w:hint="eastAsia" w:ascii="宋体" w:hAnsi="宋体" w:cs="宋体"/>
          <w:color w:val="auto"/>
          <w:spacing w:val="0"/>
          <w:kern w:val="2"/>
          <w:sz w:val="24"/>
          <w:szCs w:val="24"/>
          <w:highlight w:val="none"/>
          <w:lang w:eastAsia="zh-CN"/>
        </w:rPr>
        <w:t>。</w:t>
      </w:r>
    </w:p>
    <w:p w14:paraId="240BAEC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19.2本项目不接受现场纸质、邮寄纸质、电报、电话、传真方式投标。</w:t>
      </w:r>
    </w:p>
    <w:p w14:paraId="2B8AEB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19.3广州交易集团有限公司（广州公共资源交易中心）对因不可抗力事件造成的投标文件的损坏、丢失的，不承担责任。</w:t>
      </w:r>
    </w:p>
    <w:p w14:paraId="334017BD">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pacing w:val="0"/>
          <w:kern w:val="2"/>
          <w:sz w:val="24"/>
          <w:szCs w:val="24"/>
          <w:highlight w:val="none"/>
        </w:rPr>
        <w:t>19.4若出现以下情况之一的，招标人将拒绝受理该投标文件：</w:t>
      </w:r>
    </w:p>
    <w:p w14:paraId="5284BA09">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pacing w:val="0"/>
          <w:kern w:val="2"/>
          <w:sz w:val="24"/>
          <w:szCs w:val="24"/>
          <w:highlight w:val="none"/>
        </w:rPr>
        <w:t>（1）电子投标文件未在投标截止时间前成功上传并保存在广州交易集团有限公司（广州公共资源交易中心）</w:t>
      </w:r>
      <w:r>
        <w:rPr>
          <w:rFonts w:hint="eastAsia" w:ascii="宋体" w:hAnsi="宋体" w:cs="宋体"/>
          <w:b/>
          <w:bCs/>
          <w:color w:val="auto"/>
          <w:spacing w:val="0"/>
          <w:kern w:val="2"/>
          <w:sz w:val="24"/>
          <w:szCs w:val="24"/>
          <w:highlight w:val="none"/>
          <w:lang w:val="en-US" w:eastAsia="zh-CN"/>
        </w:rPr>
        <w:t>网站</w:t>
      </w:r>
      <w:r>
        <w:rPr>
          <w:rFonts w:hint="eastAsia" w:ascii="宋体" w:hAnsi="宋体" w:eastAsia="宋体" w:cs="宋体"/>
          <w:b/>
          <w:bCs/>
          <w:color w:val="auto"/>
          <w:spacing w:val="0"/>
          <w:kern w:val="2"/>
          <w:sz w:val="24"/>
          <w:szCs w:val="24"/>
          <w:highlight w:val="none"/>
        </w:rPr>
        <w:t>的；</w:t>
      </w:r>
    </w:p>
    <w:p w14:paraId="73663A9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pacing w:val="0"/>
          <w:kern w:val="2"/>
          <w:sz w:val="24"/>
          <w:szCs w:val="24"/>
          <w:highlight w:val="none"/>
        </w:rPr>
        <w:t>（2）因投标人原因造成电子投标文件未解密或逾期解密的；</w:t>
      </w:r>
    </w:p>
    <w:p w14:paraId="258020F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pacing w:val="0"/>
          <w:kern w:val="2"/>
          <w:sz w:val="24"/>
          <w:szCs w:val="24"/>
          <w:highlight w:val="none"/>
        </w:rPr>
        <w:t>（3）未按招标文件要求提供投标担保的；</w:t>
      </w:r>
    </w:p>
    <w:p w14:paraId="5F179EFD">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pacing w:val="0"/>
          <w:kern w:val="2"/>
          <w:sz w:val="24"/>
          <w:szCs w:val="24"/>
          <w:highlight w:val="none"/>
        </w:rPr>
        <w:t>（4）两个（含两个）以上的投标人加密打包的电子投标文件电脑机器码一致的；</w:t>
      </w:r>
    </w:p>
    <w:p w14:paraId="32A71C1D">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20．投标文件提交的截止时间</w:t>
      </w:r>
    </w:p>
    <w:p w14:paraId="1AE4B6AE">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20.1投标人应按前附表第17项所述的地点、日期和时间前将投标文件提交给招标人。截止时间以北京时间为准。</w:t>
      </w:r>
    </w:p>
    <w:p w14:paraId="28D3D28B">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20.2招标人可按本须知第9条规定，以澄清、修改、补充通知的方式，酌情延长提交投标文件的截止时间。在此情况下，投标人的所有权利和义务以及投标人受制约的截止时间，均以延长后新的投标截止时间为准。</w:t>
      </w:r>
    </w:p>
    <w:p w14:paraId="3E19706A">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20.3</w:t>
      </w:r>
      <w:r>
        <w:rPr>
          <w:rFonts w:hint="eastAsia" w:ascii="宋体" w:hAnsi="宋体" w:eastAsia="宋体" w:cs="宋体"/>
          <w:snapToGrid w:val="0"/>
          <w:color w:val="auto"/>
          <w:highlight w:val="none"/>
        </w:rPr>
        <w:t>到投标截止时间止，若收到递交的投标文件数量未达到通过资格审查要求的投标人数量，则本次招标失败，招标人将依法重新组织该项目的招标。</w:t>
      </w:r>
    </w:p>
    <w:p w14:paraId="08B5D508">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 xml:space="preserve">20.4迟交的投标文件。 </w:t>
      </w:r>
    </w:p>
    <w:p w14:paraId="04107CEA">
      <w:pPr>
        <w:pStyle w:val="25"/>
        <w:ind w:firstLine="496"/>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rPr>
        <w:t>投标截止时间到达后，广州交易集团有限公司（广州公共资源交易中心）将不允许投标人上传投标文件。</w:t>
      </w:r>
    </w:p>
    <w:p w14:paraId="52E9DA75">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20.5 投标文件的解密</w:t>
      </w:r>
    </w:p>
    <w:p w14:paraId="17F2631E">
      <w:pPr>
        <w:pStyle w:val="25"/>
        <w:ind w:firstLine="498"/>
        <w:rPr>
          <w:rFonts w:hint="eastAsia" w:ascii="宋体" w:hAnsi="宋体" w:eastAsia="宋体" w:cs="宋体"/>
          <w:b/>
          <w:bCs/>
          <w:color w:val="auto"/>
          <w:highlight w:val="none"/>
        </w:rPr>
      </w:pPr>
      <w:r>
        <w:rPr>
          <w:rFonts w:hint="eastAsia" w:ascii="宋体" w:hAnsi="宋体" w:eastAsia="宋体" w:cs="宋体"/>
          <w:b/>
          <w:bCs/>
          <w:color w:val="auto"/>
          <w:highlight w:val="none"/>
        </w:rPr>
        <w:t>投标人必须在《投标须知前附表》规定的时间内对投标文件进行解密。因投标人原因造成投标文件未解密或未在规定的时间内解密的，视为撤销其投标文件。电子投标文件解密应按照广州交易集团有限公司（广州公共资源交易中心）交易平台关于全流程电子化项目的相关指南进行操作</w:t>
      </w:r>
    </w:p>
    <w:p w14:paraId="318B6E7A">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21．投标文件的修改和撤回</w:t>
      </w:r>
    </w:p>
    <w:p w14:paraId="0195FF7E">
      <w:pPr>
        <w:pStyle w:val="32"/>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0"/>
          <w:kern w:val="2"/>
          <w:sz w:val="24"/>
          <w:szCs w:val="24"/>
          <w:highlight w:val="none"/>
        </w:rPr>
        <w:t>21.1在提交投标文件截止时间前，投标人可以修改或撤回未解密的投标文件。</w:t>
      </w:r>
    </w:p>
    <w:p w14:paraId="4EEA8A42">
      <w:pPr>
        <w:pStyle w:val="32"/>
        <w:spacing w:line="360" w:lineRule="auto"/>
        <w:ind w:firstLine="480"/>
        <w:rPr>
          <w:rFonts w:hint="eastAsia" w:ascii="宋体" w:hAnsi="宋体" w:eastAsia="宋体" w:cs="宋体"/>
          <w:color w:val="auto"/>
          <w:spacing w:val="0"/>
          <w:kern w:val="2"/>
          <w:sz w:val="24"/>
          <w:szCs w:val="24"/>
          <w:highlight w:val="none"/>
        </w:rPr>
      </w:pPr>
      <w:r>
        <w:rPr>
          <w:rFonts w:hint="eastAsia" w:ascii="宋体" w:hAnsi="宋体" w:eastAsia="宋体" w:cs="宋体"/>
          <w:color w:val="auto"/>
          <w:spacing w:val="0"/>
          <w:kern w:val="2"/>
          <w:sz w:val="24"/>
          <w:szCs w:val="24"/>
          <w:highlight w:val="none"/>
        </w:rPr>
        <w:t>21.2在提交投标文件截止时间后，投标人不得补充、修改、撤回或更换投标文件。</w:t>
      </w:r>
    </w:p>
    <w:p w14:paraId="37D10B7E">
      <w:pPr>
        <w:pStyle w:val="31"/>
        <w:spacing w:beforeLines="0" w:after="120" w:line="360" w:lineRule="auto"/>
        <w:rPr>
          <w:rFonts w:hint="eastAsia" w:ascii="宋体" w:hAnsi="宋体" w:eastAsia="宋体" w:cs="宋体"/>
          <w:color w:val="auto"/>
          <w:highlight w:val="none"/>
        </w:rPr>
      </w:pPr>
      <w:bookmarkStart w:id="53" w:name="_Toc93064324"/>
      <w:bookmarkStart w:id="54" w:name="_Toc318905638"/>
      <w:bookmarkStart w:id="55" w:name="_Toc24995"/>
      <w:bookmarkStart w:id="56" w:name="_Toc360635069"/>
      <w:bookmarkStart w:id="57" w:name="_Toc93064469"/>
      <w:bookmarkStart w:id="58" w:name="_Toc367891669"/>
      <w:bookmarkStart w:id="59" w:name="_Toc364793127"/>
      <w:bookmarkStart w:id="60" w:name="_Toc426445887"/>
      <w:r>
        <w:rPr>
          <w:rFonts w:hint="eastAsia" w:ascii="宋体" w:hAnsi="宋体" w:eastAsia="宋体" w:cs="宋体"/>
          <w:b/>
          <w:color w:val="auto"/>
          <w:highlight w:val="none"/>
        </w:rPr>
        <w:t>（五）开标（详见第5章）</w:t>
      </w:r>
      <w:bookmarkEnd w:id="53"/>
      <w:bookmarkEnd w:id="54"/>
      <w:bookmarkEnd w:id="55"/>
      <w:bookmarkEnd w:id="56"/>
      <w:bookmarkEnd w:id="57"/>
      <w:bookmarkEnd w:id="58"/>
      <w:bookmarkEnd w:id="59"/>
      <w:bookmarkEnd w:id="60"/>
    </w:p>
    <w:p w14:paraId="6768B21C">
      <w:pPr>
        <w:pStyle w:val="31"/>
        <w:spacing w:beforeLines="0" w:after="120" w:line="360" w:lineRule="auto"/>
        <w:rPr>
          <w:rFonts w:hint="eastAsia" w:ascii="宋体" w:hAnsi="宋体" w:eastAsia="宋体" w:cs="宋体"/>
          <w:color w:val="auto"/>
          <w:highlight w:val="none"/>
        </w:rPr>
      </w:pPr>
      <w:bookmarkStart w:id="61" w:name="_Toc318905639"/>
      <w:bookmarkStart w:id="62" w:name="_Toc367891670"/>
      <w:bookmarkStart w:id="63" w:name="_Toc364793128"/>
      <w:bookmarkStart w:id="64" w:name="_Toc360635070"/>
      <w:bookmarkStart w:id="65" w:name="_Toc93064325"/>
      <w:bookmarkStart w:id="66" w:name="_Toc426445888"/>
      <w:bookmarkStart w:id="67" w:name="_Toc9521"/>
      <w:bookmarkStart w:id="68" w:name="_Toc93064470"/>
      <w:r>
        <w:rPr>
          <w:rFonts w:hint="eastAsia" w:ascii="宋体" w:hAnsi="宋体" w:eastAsia="宋体" w:cs="宋体"/>
          <w:b/>
          <w:color w:val="auto"/>
          <w:highlight w:val="none"/>
        </w:rPr>
        <w:t>（六）评标（详见第5章）</w:t>
      </w:r>
      <w:bookmarkEnd w:id="61"/>
      <w:bookmarkEnd w:id="62"/>
      <w:bookmarkEnd w:id="63"/>
      <w:bookmarkEnd w:id="64"/>
      <w:bookmarkEnd w:id="65"/>
      <w:bookmarkEnd w:id="66"/>
      <w:bookmarkEnd w:id="67"/>
      <w:bookmarkEnd w:id="68"/>
    </w:p>
    <w:p w14:paraId="476C2212">
      <w:pPr>
        <w:pStyle w:val="31"/>
        <w:spacing w:before="156" w:beforeLines="0" w:after="120" w:line="360" w:lineRule="auto"/>
        <w:rPr>
          <w:rFonts w:hint="eastAsia" w:ascii="宋体" w:hAnsi="宋体" w:eastAsia="宋体" w:cs="宋体"/>
          <w:color w:val="auto"/>
          <w:highlight w:val="none"/>
        </w:rPr>
      </w:pPr>
      <w:bookmarkStart w:id="69" w:name="_Toc93064326"/>
      <w:bookmarkStart w:id="70" w:name="_Toc426445889"/>
      <w:bookmarkStart w:id="71" w:name="_Toc360635071"/>
      <w:bookmarkStart w:id="72" w:name="_Toc93064471"/>
      <w:bookmarkStart w:id="73" w:name="_Toc367891671"/>
      <w:bookmarkStart w:id="74" w:name="_Toc364793129"/>
      <w:bookmarkStart w:id="75" w:name="_Toc318905640"/>
      <w:bookmarkStart w:id="76" w:name="_Toc19892"/>
      <w:r>
        <w:rPr>
          <w:rFonts w:hint="eastAsia" w:ascii="宋体" w:hAnsi="宋体" w:eastAsia="宋体" w:cs="宋体"/>
          <w:b/>
          <w:color w:val="auto"/>
          <w:highlight w:val="none"/>
        </w:rPr>
        <w:t>（七）合同的授予</w:t>
      </w:r>
      <w:bookmarkEnd w:id="69"/>
      <w:bookmarkEnd w:id="70"/>
      <w:bookmarkEnd w:id="71"/>
      <w:bookmarkEnd w:id="72"/>
      <w:bookmarkEnd w:id="73"/>
      <w:bookmarkEnd w:id="74"/>
      <w:bookmarkEnd w:id="75"/>
      <w:bookmarkEnd w:id="76"/>
    </w:p>
    <w:p w14:paraId="5596E8E4">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22．合同授予标准</w:t>
      </w:r>
    </w:p>
    <w:p w14:paraId="3C297EA0">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22.1 本招标项目合同将授予按第5章评标办法第10款所确定的中标人。</w:t>
      </w:r>
    </w:p>
    <w:p w14:paraId="53A4B046">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23．中标通知书</w:t>
      </w:r>
    </w:p>
    <w:p w14:paraId="140D533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23.1 评标结果得出后，中标候选人公示在广州交易集团有限公司（广州公共资源交易中心）公示三天。</w:t>
      </w:r>
    </w:p>
    <w:p w14:paraId="1C1C48D9">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23.2 中标通知书经广州交易集团有限公司（广州公共资源交易中心）确认后颁发。</w:t>
      </w:r>
    </w:p>
    <w:p w14:paraId="6405DD4C">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 xml:space="preserve">23.3 </w:t>
      </w:r>
      <w:r>
        <w:rPr>
          <w:rFonts w:hint="eastAsia" w:ascii="宋体" w:hAnsi="宋体" w:eastAsia="宋体" w:cs="宋体"/>
          <w:bCs/>
          <w:color w:val="auto"/>
          <w:highlight w:val="none"/>
        </w:rPr>
        <w:t>中标通知书将成为合同的组成部分。</w:t>
      </w:r>
    </w:p>
    <w:p w14:paraId="77DB56CF">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24．合同的签订</w:t>
      </w:r>
    </w:p>
    <w:p w14:paraId="79013152">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24.1 招标人与中标人将于中标通知书发出之日起30日内，按照招标文件和中标人的投标文件签订合同，招标人和中标人不得再行订立背离合同实质性内容的其他协议。</w:t>
      </w:r>
    </w:p>
    <w:p w14:paraId="4D6E6E97">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24.2 中标人放弃中标资格的、无正当理由不按投标须知第24.1款的规定与招标人签订合同的、在签订合同时向招标人提出附加条件或者更改合同实质性内容的，招标人可取消其中标资格，并没收其投标保证金。如给招标人造成的损失超过投标保证金数额的，中标人应当对超过部分予以赔偿；没有提交投标保证金的，应当对招标人的损失承担赔偿责任。</w:t>
      </w:r>
    </w:p>
    <w:p w14:paraId="09ECE743">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24.3 中标人在投标过程中使用的投标人名称、银行名称和账号至完成结算不得随意变更，否则，招标人有权停止服务款项的拨付及至解除合同，由此造成的一切责任由中标人承担。</w:t>
      </w:r>
    </w:p>
    <w:p w14:paraId="6F565B2C">
      <w:pPr>
        <w:pStyle w:val="25"/>
        <w:ind w:firstLine="498"/>
        <w:rPr>
          <w:rFonts w:hint="eastAsia" w:ascii="宋体" w:hAnsi="宋体" w:eastAsia="宋体" w:cs="宋体"/>
          <w:b/>
          <w:bCs/>
          <w:color w:val="auto"/>
          <w:highlight w:val="none"/>
        </w:rPr>
      </w:pPr>
      <w:r>
        <w:rPr>
          <w:rFonts w:hint="eastAsia" w:ascii="宋体" w:hAnsi="宋体" w:eastAsia="宋体" w:cs="宋体"/>
          <w:b/>
          <w:color w:val="auto"/>
          <w:highlight w:val="none"/>
        </w:rPr>
        <w:t>25．</w:t>
      </w:r>
      <w:r>
        <w:rPr>
          <w:rFonts w:hint="eastAsia" w:ascii="宋体" w:hAnsi="宋体" w:eastAsia="宋体" w:cs="宋体"/>
          <w:b/>
          <w:bCs/>
          <w:color w:val="auto"/>
          <w:highlight w:val="none"/>
        </w:rPr>
        <w:t>履约保证金</w:t>
      </w:r>
    </w:p>
    <w:p w14:paraId="68615019">
      <w:pPr>
        <w:pStyle w:val="5"/>
        <w:spacing w:after="0" w:line="360" w:lineRule="auto"/>
        <w:ind w:firstLine="496" w:firstLineChars="200"/>
        <w:rPr>
          <w:rFonts w:hint="eastAsia" w:ascii="宋体" w:hAnsi="宋体" w:eastAsia="宋体" w:cs="宋体"/>
          <w:snapToGrid w:val="0"/>
          <w:color w:val="auto"/>
          <w:spacing w:val="4"/>
          <w:sz w:val="24"/>
          <w:highlight w:val="none"/>
        </w:rPr>
      </w:pPr>
      <w:r>
        <w:rPr>
          <w:rFonts w:hint="eastAsia" w:ascii="宋体" w:hAnsi="宋体" w:eastAsia="宋体" w:cs="宋体"/>
          <w:snapToGrid w:val="0"/>
          <w:color w:val="auto"/>
          <w:spacing w:val="4"/>
          <w:sz w:val="24"/>
          <w:szCs w:val="21"/>
          <w:highlight w:val="none"/>
        </w:rPr>
        <w:t>25.1 中标人应在合同签订后30日内，以招标人可以接受的方式向招标人提交履约保证金或履约保函，金额按</w:t>
      </w:r>
      <w:r>
        <w:rPr>
          <w:rFonts w:hint="eastAsia" w:ascii="宋体" w:hAnsi="宋体" w:eastAsia="宋体" w:cs="宋体"/>
          <w:color w:val="auto"/>
          <w:spacing w:val="0"/>
          <w:sz w:val="24"/>
          <w:szCs w:val="21"/>
          <w:highlight w:val="none"/>
          <w:lang w:val="en-US" w:eastAsia="zh-CN"/>
        </w:rPr>
        <w:t>合同总价</w:t>
      </w:r>
      <w:r>
        <w:rPr>
          <w:rFonts w:hint="eastAsia" w:ascii="宋体" w:hAnsi="宋体" w:eastAsia="宋体" w:cs="宋体"/>
          <w:color w:val="auto"/>
          <w:spacing w:val="0"/>
          <w:sz w:val="24"/>
          <w:szCs w:val="21"/>
          <w:highlight w:val="none"/>
        </w:rPr>
        <w:t>的</w:t>
      </w:r>
      <w:r>
        <w:rPr>
          <w:rFonts w:hint="eastAsia" w:ascii="宋体" w:hAnsi="宋体" w:cs="宋体"/>
          <w:color w:val="auto"/>
          <w:spacing w:val="0"/>
          <w:sz w:val="24"/>
          <w:szCs w:val="21"/>
          <w:highlight w:val="none"/>
          <w:lang w:val="en-US" w:eastAsia="zh-CN"/>
        </w:rPr>
        <w:t>5</w:t>
      </w:r>
      <w:r>
        <w:rPr>
          <w:rFonts w:hint="eastAsia" w:ascii="宋体" w:hAnsi="宋体" w:eastAsia="宋体" w:cs="宋体"/>
          <w:color w:val="auto"/>
          <w:spacing w:val="0"/>
          <w:sz w:val="24"/>
          <w:szCs w:val="21"/>
          <w:highlight w:val="none"/>
        </w:rPr>
        <w:t>%</w:t>
      </w:r>
      <w:r>
        <w:rPr>
          <w:rFonts w:hint="eastAsia" w:ascii="宋体" w:hAnsi="宋体" w:eastAsia="宋体" w:cs="宋体"/>
          <w:snapToGrid w:val="0"/>
          <w:color w:val="auto"/>
          <w:spacing w:val="4"/>
          <w:sz w:val="24"/>
          <w:szCs w:val="21"/>
          <w:highlight w:val="none"/>
        </w:rPr>
        <w:t>提交。</w:t>
      </w:r>
    </w:p>
    <w:p w14:paraId="71C72F78">
      <w:pPr>
        <w:spacing w:line="360" w:lineRule="auto"/>
        <w:ind w:firstLine="496" w:firstLineChars="200"/>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kern w:val="2"/>
          <w:sz w:val="24"/>
          <w:szCs w:val="24"/>
          <w:highlight w:val="none"/>
        </w:rPr>
        <w:t>25.2履约保证金以银行保函形式提交的，需为无条件、不可撤销履约保函形式。</w:t>
      </w:r>
    </w:p>
    <w:p w14:paraId="6BEAE959">
      <w:pPr>
        <w:spacing w:line="360" w:lineRule="auto"/>
        <w:ind w:firstLine="496" w:firstLineChars="200"/>
        <w:rPr>
          <w:rFonts w:hint="eastAsia" w:ascii="宋体" w:hAnsi="宋体" w:eastAsia="宋体" w:cs="宋体"/>
          <w:snapToGrid w:val="0"/>
          <w:color w:val="auto"/>
          <w:spacing w:val="4"/>
          <w:sz w:val="24"/>
          <w:szCs w:val="24"/>
          <w:highlight w:val="none"/>
        </w:rPr>
      </w:pPr>
      <w:r>
        <w:rPr>
          <w:rFonts w:hint="eastAsia" w:ascii="宋体" w:hAnsi="宋体" w:eastAsia="宋体" w:cs="宋体"/>
          <w:snapToGrid w:val="0"/>
          <w:color w:val="auto"/>
          <w:spacing w:val="4"/>
          <w:kern w:val="2"/>
          <w:sz w:val="24"/>
          <w:szCs w:val="24"/>
          <w:highlight w:val="none"/>
        </w:rPr>
        <w:t>25.3</w:t>
      </w:r>
      <w:r>
        <w:rPr>
          <w:rFonts w:hint="eastAsia" w:ascii="宋体" w:hAnsi="宋体" w:eastAsia="宋体" w:cs="宋体"/>
          <w:color w:val="auto"/>
          <w:spacing w:val="0"/>
          <w:kern w:val="2"/>
          <w:sz w:val="24"/>
          <w:szCs w:val="21"/>
          <w:highlight w:val="none"/>
        </w:rPr>
        <w:t>在中标人不能履行其在本合同项下任何一项义务的情况下，造成违约责任，招标人有权用履约保证金的资金补偿任何直接损失。</w:t>
      </w:r>
    </w:p>
    <w:p w14:paraId="545388B5">
      <w:pPr>
        <w:pStyle w:val="25"/>
        <w:ind w:firstLine="496"/>
        <w:rPr>
          <w:rFonts w:hint="eastAsia" w:ascii="宋体" w:hAnsi="宋体" w:eastAsia="宋体" w:cs="宋体"/>
          <w:bCs/>
          <w:color w:val="auto"/>
          <w:highlight w:val="none"/>
        </w:rPr>
      </w:pPr>
      <w:r>
        <w:rPr>
          <w:rFonts w:hint="eastAsia" w:ascii="宋体" w:hAnsi="宋体" w:eastAsia="宋体" w:cs="宋体"/>
          <w:color w:val="auto"/>
          <w:highlight w:val="none"/>
        </w:rPr>
        <w:t>25.4签订合同后的30日内，中标人未按上款的规定提交履约担保，招标人将解除合同，原中标人的投标担保不予退还，且依法承担相应法律责任。原中标人给招标人造成的损失超过投标担保数额的，还应当对超过部分予以赔偿。原中标人有异议的，可以向人民法院起诉。</w:t>
      </w:r>
    </w:p>
    <w:p w14:paraId="6BAA3B77">
      <w:pPr>
        <w:pStyle w:val="25"/>
        <w:ind w:firstLine="498"/>
        <w:rPr>
          <w:rFonts w:hint="eastAsia" w:ascii="宋体" w:hAnsi="宋体" w:eastAsia="宋体" w:cs="宋体"/>
          <w:b/>
          <w:color w:val="auto"/>
          <w:highlight w:val="none"/>
        </w:rPr>
      </w:pPr>
      <w:r>
        <w:rPr>
          <w:rFonts w:hint="eastAsia" w:ascii="宋体" w:hAnsi="宋体" w:eastAsia="宋体" w:cs="宋体"/>
          <w:b/>
          <w:color w:val="auto"/>
          <w:highlight w:val="none"/>
        </w:rPr>
        <w:t>26．合同生效</w:t>
      </w:r>
    </w:p>
    <w:p w14:paraId="1056441B">
      <w:pPr>
        <w:pStyle w:val="25"/>
        <w:ind w:firstLine="496"/>
        <w:rPr>
          <w:rFonts w:hint="eastAsia" w:ascii="宋体" w:hAnsi="宋体" w:eastAsia="宋体" w:cs="宋体"/>
          <w:color w:val="auto"/>
          <w:highlight w:val="none"/>
        </w:rPr>
      </w:pPr>
      <w:r>
        <w:rPr>
          <w:rFonts w:hint="eastAsia" w:ascii="宋体" w:hAnsi="宋体" w:eastAsia="宋体" w:cs="宋体"/>
          <w:color w:val="auto"/>
          <w:highlight w:val="none"/>
        </w:rPr>
        <w:t>26.1 合同双方全权代表在合同协议书上签字，分别加盖双方单位的公章，且中标人提交履约保证金后，合同正式生效。</w:t>
      </w:r>
    </w:p>
    <w:p w14:paraId="49520824">
      <w:pPr>
        <w:pStyle w:val="31"/>
        <w:spacing w:beforeLines="0" w:afterLines="0" w:line="360" w:lineRule="auto"/>
        <w:rPr>
          <w:rFonts w:hint="eastAsia" w:ascii="宋体" w:hAnsi="宋体" w:eastAsia="宋体" w:cs="宋体"/>
          <w:color w:val="auto"/>
          <w:highlight w:val="none"/>
        </w:rPr>
      </w:pPr>
      <w:bookmarkStart w:id="77" w:name="_Toc12947"/>
      <w:bookmarkStart w:id="78" w:name="_Toc367891672"/>
      <w:bookmarkStart w:id="79" w:name="_Toc93064327"/>
      <w:bookmarkStart w:id="80" w:name="_Toc318905641"/>
      <w:bookmarkStart w:id="81" w:name="_Toc360635072"/>
      <w:bookmarkStart w:id="82" w:name="_Toc93064472"/>
      <w:bookmarkStart w:id="83" w:name="_Toc426445890"/>
      <w:bookmarkStart w:id="84" w:name="_Toc364793130"/>
      <w:r>
        <w:rPr>
          <w:rFonts w:hint="eastAsia" w:ascii="宋体" w:hAnsi="宋体" w:eastAsia="宋体" w:cs="宋体"/>
          <w:b/>
          <w:color w:val="auto"/>
          <w:highlight w:val="none"/>
        </w:rPr>
        <w:t>（八）其他</w:t>
      </w:r>
      <w:bookmarkEnd w:id="77"/>
      <w:bookmarkEnd w:id="78"/>
      <w:bookmarkEnd w:id="79"/>
      <w:bookmarkEnd w:id="80"/>
      <w:bookmarkEnd w:id="81"/>
      <w:bookmarkEnd w:id="82"/>
      <w:bookmarkEnd w:id="83"/>
      <w:bookmarkEnd w:id="84"/>
    </w:p>
    <w:p w14:paraId="26937B0E">
      <w:pPr>
        <w:pStyle w:val="5"/>
        <w:spacing w:after="0" w:line="360" w:lineRule="auto"/>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27.腐败与敲诈行为</w:t>
      </w:r>
    </w:p>
    <w:p w14:paraId="4DD3FEAA">
      <w:pPr>
        <w:pStyle w:val="5"/>
        <w:spacing w:after="0" w:line="360" w:lineRule="auto"/>
        <w:ind w:firstLine="40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0"/>
          <w:sz w:val="20"/>
          <w:szCs w:val="21"/>
          <w:highlight w:val="none"/>
        </w:rPr>
        <w:t xml:space="preserve"> </w:t>
      </w:r>
      <w:r>
        <w:rPr>
          <w:rFonts w:hint="eastAsia" w:ascii="宋体" w:hAnsi="宋体" w:eastAsia="宋体" w:cs="宋体"/>
          <w:color w:val="auto"/>
          <w:spacing w:val="4"/>
          <w:sz w:val="24"/>
          <w:szCs w:val="24"/>
          <w:highlight w:val="none"/>
        </w:rPr>
        <w:t>在招标和合同实施期间，招标人要求投标人和中标人遵守最高的道德标准。</w:t>
      </w:r>
    </w:p>
    <w:p w14:paraId="3723BB39">
      <w:pP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27.1对本条款的规定，特定义如下词汇：</w:t>
      </w:r>
    </w:p>
    <w:p w14:paraId="185EDFBC">
      <w:pPr>
        <w:pStyle w:val="5"/>
        <w:spacing w:after="0" w:line="360" w:lineRule="auto"/>
        <w:ind w:firstLine="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（1）“腐败行为”是指在招标采购或合同执行期间，通过提供、给予、接受或索要任何有价值的东西，从而影响公职人员工作的行为；</w:t>
      </w:r>
    </w:p>
    <w:p w14:paraId="0D68C60E">
      <w:pPr>
        <w:pStyle w:val="5"/>
        <w:spacing w:after="0" w:line="360" w:lineRule="auto"/>
        <w:ind w:firstLine="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33166278">
      <w:pPr>
        <w:pStyle w:val="11"/>
        <w:snapToGrid w:val="0"/>
        <w:spacing w:line="360" w:lineRule="auto"/>
        <w:ind w:firstLine="496"/>
        <w:rPr>
          <w:rFonts w:hint="eastAsia" w:ascii="宋体" w:hAnsi="宋体" w:eastAsia="宋体" w:cs="宋体"/>
          <w:color w:val="auto"/>
          <w:spacing w:val="4"/>
          <w:kern w:val="0"/>
          <w:sz w:val="24"/>
          <w:highlight w:val="none"/>
        </w:rPr>
      </w:pPr>
      <w:r>
        <w:rPr>
          <w:rFonts w:hint="eastAsia" w:ascii="宋体" w:hAnsi="宋体" w:eastAsia="宋体" w:cs="宋体"/>
          <w:color w:val="auto"/>
          <w:spacing w:val="4"/>
          <w:kern w:val="0"/>
          <w:sz w:val="24"/>
          <w:highlight w:val="none"/>
        </w:rPr>
        <w:t>27.2如果认定被推荐的中标人在该合同招标的竞争中有腐败或欺诈行为，则会拒绝该授标建议。</w:t>
      </w:r>
    </w:p>
    <w:p w14:paraId="7C1A6528">
      <w:pPr>
        <w:pStyle w:val="12"/>
        <w:spacing w:line="360" w:lineRule="auto"/>
        <w:ind w:firstLine="496" w:firstLineChars="200"/>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rPr>
        <w:t>27.3</w:t>
      </w:r>
      <w:r>
        <w:rPr>
          <w:rFonts w:hint="eastAsia" w:ascii="宋体" w:hAnsi="宋体" w:eastAsia="宋体" w:cs="宋体"/>
          <w:color w:val="auto"/>
          <w:spacing w:val="0"/>
          <w:sz w:val="24"/>
          <w:szCs w:val="24"/>
          <w:highlight w:val="none"/>
        </w:rPr>
        <w:t>招标人于中标通知书发出前至合同执行期内的任何时间有权对投标人投标文件中所提交资料的真实性进行核实，如经核实其投标文件所提交的资料有虚假情况，则不退还其投标保证金或履约保证金，如是被推荐为中标候选人或确定为中标人，则招标人还应取消其中标候选人资格或终止合同。</w:t>
      </w:r>
    </w:p>
    <w:p w14:paraId="53A4A4A0">
      <w:pPr>
        <w:pStyle w:val="25"/>
        <w:spacing w:after="156"/>
        <w:ind w:firstLine="496"/>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052C737">
      <w:pPr>
        <w:pStyle w:val="25"/>
        <w:spacing w:after="156"/>
        <w:ind w:firstLine="496"/>
        <w:rPr>
          <w:rFonts w:hint="eastAsia" w:ascii="宋体" w:hAnsi="宋体" w:eastAsia="宋体" w:cs="宋体"/>
          <w:color w:val="auto"/>
          <w:highlight w:val="none"/>
        </w:rPr>
      </w:pPr>
    </w:p>
    <w:p w14:paraId="6BB9F5C1">
      <w:pPr>
        <w:spacing w:line="360" w:lineRule="auto"/>
        <w:rPr>
          <w:rFonts w:hint="eastAsia" w:ascii="宋体" w:hAnsi="宋体" w:eastAsia="宋体" w:cs="宋体"/>
          <w:color w:val="auto"/>
          <w:highlight w:val="none"/>
        </w:rPr>
      </w:pPr>
    </w:p>
    <w:p w14:paraId="6823AA55">
      <w:pPr>
        <w:pStyle w:val="5"/>
        <w:spacing w:line="360" w:lineRule="auto"/>
        <w:rPr>
          <w:rFonts w:hint="eastAsia" w:ascii="宋体" w:hAnsi="宋体" w:eastAsia="宋体" w:cs="宋体"/>
          <w:color w:val="auto"/>
          <w:highlight w:val="none"/>
        </w:rPr>
      </w:pPr>
    </w:p>
    <w:p w14:paraId="36931CA1">
      <w:pPr>
        <w:pStyle w:val="5"/>
        <w:spacing w:line="360" w:lineRule="auto"/>
        <w:rPr>
          <w:rFonts w:hint="eastAsia" w:ascii="宋体" w:hAnsi="宋体" w:eastAsia="宋体" w:cs="宋体"/>
          <w:color w:val="auto"/>
          <w:highlight w:val="none"/>
        </w:rPr>
      </w:pPr>
    </w:p>
    <w:p w14:paraId="768C6724">
      <w:pPr>
        <w:pStyle w:val="5"/>
        <w:spacing w:line="360" w:lineRule="auto"/>
        <w:rPr>
          <w:rFonts w:hint="eastAsia" w:ascii="宋体" w:hAnsi="宋体" w:eastAsia="宋体" w:cs="宋体"/>
          <w:color w:val="auto"/>
          <w:highlight w:val="none"/>
        </w:rPr>
      </w:pPr>
    </w:p>
    <w:p w14:paraId="6218E549">
      <w:pPr>
        <w:pStyle w:val="5"/>
        <w:spacing w:line="360" w:lineRule="auto"/>
        <w:rPr>
          <w:rFonts w:hint="eastAsia" w:ascii="宋体" w:hAnsi="宋体" w:eastAsia="宋体" w:cs="宋体"/>
          <w:color w:val="auto"/>
          <w:highlight w:val="none"/>
        </w:rPr>
      </w:pPr>
    </w:p>
    <w:p w14:paraId="0DBB99A0">
      <w:pPr>
        <w:pStyle w:val="5"/>
        <w:spacing w:line="360" w:lineRule="auto"/>
        <w:rPr>
          <w:rFonts w:hint="eastAsia" w:ascii="宋体" w:hAnsi="宋体" w:eastAsia="宋体" w:cs="宋体"/>
          <w:color w:val="auto"/>
          <w:highlight w:val="none"/>
        </w:rPr>
      </w:pPr>
    </w:p>
    <w:p w14:paraId="07F398A4">
      <w:pPr>
        <w:pStyle w:val="27"/>
        <w:spacing w:beforeLines="0" w:after="120" w:line="360" w:lineRule="auto"/>
        <w:outlineLvl w:val="9"/>
        <w:rPr>
          <w:rFonts w:hint="eastAsia" w:ascii="宋体" w:hAnsi="宋体" w:eastAsia="宋体" w:cs="宋体"/>
          <w:color w:val="auto"/>
          <w:sz w:val="44"/>
          <w:szCs w:val="44"/>
          <w:highlight w:val="none"/>
        </w:rPr>
      </w:pPr>
    </w:p>
    <w:p w14:paraId="56EB1DCD">
      <w:pPr>
        <w:pStyle w:val="27"/>
        <w:numPr>
          <w:ilvl w:val="0"/>
          <w:numId w:val="0"/>
        </w:numPr>
        <w:spacing w:beforeLines="0" w:after="120" w:line="360" w:lineRule="auto"/>
        <w:rPr>
          <w:rFonts w:hint="eastAsia" w:ascii="宋体" w:hAnsi="宋体" w:eastAsia="宋体" w:cs="宋体"/>
          <w:color w:val="auto"/>
          <w:highlight w:val="none"/>
        </w:rPr>
      </w:pPr>
      <w:bookmarkStart w:id="85" w:name="_Toc26851"/>
      <w:bookmarkStart w:id="86" w:name="_Toc93064473"/>
      <w:bookmarkStart w:id="87" w:name="_Toc34233222"/>
      <w:r>
        <w:rPr>
          <w:rFonts w:hint="eastAsia" w:ascii="宋体" w:hAnsi="宋体" w:eastAsia="宋体" w:cs="宋体"/>
          <w:b/>
          <w:color w:val="auto"/>
          <w:spacing w:val="4"/>
          <w:kern w:val="0"/>
          <w:sz w:val="36"/>
          <w:szCs w:val="36"/>
          <w:highlight w:val="none"/>
          <w:lang w:val="en-US" w:eastAsia="zh-CN" w:bidi="ar-SA"/>
        </w:rPr>
        <w:t xml:space="preserve">第2章 </w:t>
      </w:r>
      <w:r>
        <w:rPr>
          <w:rFonts w:hint="eastAsia" w:ascii="宋体" w:hAnsi="宋体" w:eastAsia="宋体" w:cs="宋体"/>
          <w:b/>
          <w:color w:val="auto"/>
          <w:sz w:val="36"/>
          <w:szCs w:val="36"/>
          <w:highlight w:val="none"/>
        </w:rPr>
        <w:t>服务合同</w:t>
      </w:r>
      <w:bookmarkEnd w:id="85"/>
      <w:bookmarkEnd w:id="86"/>
      <w:bookmarkEnd w:id="87"/>
    </w:p>
    <w:p w14:paraId="44C9B5A0">
      <w:pPr>
        <w:rPr>
          <w:rFonts w:hint="eastAsia" w:ascii="宋体" w:hAnsi="宋体" w:eastAsia="宋体" w:cs="宋体"/>
          <w:b/>
          <w:color w:val="auto"/>
          <w:kern w:val="2"/>
          <w:sz w:val="44"/>
          <w:szCs w:val="44"/>
          <w:highlight w:val="none"/>
        </w:rPr>
      </w:pPr>
    </w:p>
    <w:p w14:paraId="425C28AB">
      <w:pPr>
        <w:pStyle w:val="2"/>
        <w:rPr>
          <w:rFonts w:hint="eastAsia"/>
          <w:color w:val="auto"/>
          <w:highlight w:val="none"/>
        </w:rPr>
        <w:sectPr>
          <w:headerReference r:id="rId7" w:type="default"/>
          <w:footerReference r:id="rId8" w:type="default"/>
          <w:type w:val="continuous"/>
          <w:pgSz w:w="11906" w:h="16838"/>
          <w:pgMar w:top="1440" w:right="1803" w:bottom="1440" w:left="1803" w:header="851" w:footer="992" w:gutter="0"/>
          <w:pgNumType w:fmt="decimal"/>
          <w:cols w:space="720" w:num="1"/>
          <w:titlePg/>
          <w:docGrid w:type="lines" w:linePitch="312" w:charSpace="0"/>
        </w:sectPr>
      </w:pPr>
    </w:p>
    <w:p w14:paraId="1D2214B0">
      <w:pPr>
        <w:spacing w:afterLines="0" w:line="240" w:lineRule="auto"/>
        <w:rPr>
          <w:rFonts w:hint="eastAsia" w:ascii="宋体" w:hAnsi="宋体" w:eastAsia="宋体" w:cs="宋体"/>
          <w:color w:val="auto"/>
          <w:sz w:val="24"/>
          <w:highlight w:val="none"/>
        </w:rPr>
      </w:pPr>
      <w:bookmarkStart w:id="88" w:name="_Toc34233223"/>
      <w:bookmarkStart w:id="89" w:name="_Toc93064477"/>
      <w:bookmarkStart w:id="90" w:name="_Toc867"/>
    </w:p>
    <w:p w14:paraId="13D71FCF">
      <w:pPr>
        <w:pStyle w:val="33"/>
        <w:tabs>
          <w:tab w:val="left" w:pos="720"/>
        </w:tabs>
        <w:adjustRightInd w:val="0"/>
        <w:snapToGrid w:val="0"/>
        <w:spacing w:line="360" w:lineRule="auto"/>
        <w:jc w:val="center"/>
        <w:rPr>
          <w:rFonts w:hint="eastAsia" w:ascii="宋体" w:hAnsi="宋体" w:cs="宋体"/>
          <w:b/>
          <w:color w:val="auto"/>
          <w:kern w:val="2"/>
          <w:sz w:val="52"/>
          <w:szCs w:val="52"/>
          <w:highlight w:val="none"/>
          <w:lang w:eastAsia="zh-CN"/>
        </w:rPr>
      </w:pPr>
      <w:bookmarkStart w:id="91" w:name="_Toc424061964"/>
      <w:bookmarkEnd w:id="91"/>
      <w:bookmarkStart w:id="92" w:name="_Toc383442152"/>
      <w:bookmarkEnd w:id="92"/>
      <w:bookmarkStart w:id="93" w:name="_Toc383442145"/>
      <w:bookmarkEnd w:id="93"/>
      <w:bookmarkStart w:id="94" w:name="_Toc424061969"/>
      <w:bookmarkEnd w:id="94"/>
      <w:bookmarkStart w:id="95" w:name="_项目人员要求"/>
      <w:bookmarkEnd w:id="95"/>
      <w:bookmarkStart w:id="96" w:name="_合同附件1"/>
      <w:r>
        <w:rPr>
          <w:rFonts w:hint="eastAsia" w:ascii="宋体" w:hAnsi="宋体" w:cs="宋体"/>
          <w:b/>
          <w:color w:val="auto"/>
          <w:kern w:val="2"/>
          <w:sz w:val="52"/>
          <w:szCs w:val="52"/>
          <w:highlight w:val="none"/>
          <w:lang w:eastAsia="zh-CN"/>
        </w:rPr>
        <w:t>广州市自来水有限公司北部水厂智慧化系统开发服务公开招标项目</w:t>
      </w:r>
    </w:p>
    <w:p w14:paraId="2269E214">
      <w:pPr>
        <w:pStyle w:val="33"/>
        <w:tabs>
          <w:tab w:val="left" w:pos="720"/>
        </w:tabs>
        <w:adjustRightInd w:val="0"/>
        <w:snapToGrid w:val="0"/>
        <w:spacing w:line="360" w:lineRule="auto"/>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合 同 书</w:t>
      </w:r>
    </w:p>
    <w:p w14:paraId="3FE698A7">
      <w:pPr>
        <w:pStyle w:val="18"/>
        <w:spacing w:line="360" w:lineRule="auto"/>
        <w:ind w:left="-181" w:leftChars="-86" w:right="-153" w:rightChars="-73"/>
        <w:rPr>
          <w:rFonts w:hint="eastAsia" w:ascii="宋体" w:hAnsi="宋体" w:cs="宋体"/>
          <w:color w:val="auto"/>
          <w:sz w:val="24"/>
          <w:highlight w:val="none"/>
        </w:rPr>
      </w:pPr>
    </w:p>
    <w:p w14:paraId="1434E2BD">
      <w:pPr>
        <w:pStyle w:val="18"/>
        <w:spacing w:line="360" w:lineRule="auto"/>
        <w:ind w:left="-181" w:leftChars="-86" w:right="-153" w:rightChars="-73"/>
        <w:rPr>
          <w:rFonts w:hint="eastAsia" w:ascii="宋体" w:hAnsi="宋体" w:cs="宋体"/>
          <w:color w:val="auto"/>
          <w:sz w:val="24"/>
          <w:highlight w:val="none"/>
        </w:rPr>
      </w:pPr>
    </w:p>
    <w:p w14:paraId="58FB10FD">
      <w:pPr>
        <w:pStyle w:val="18"/>
        <w:spacing w:line="360" w:lineRule="auto"/>
        <w:ind w:left="-181" w:leftChars="-86" w:right="-153" w:rightChars="-73"/>
        <w:rPr>
          <w:rFonts w:hint="eastAsia" w:ascii="宋体" w:hAnsi="宋体" w:cs="宋体"/>
          <w:color w:val="auto"/>
          <w:sz w:val="24"/>
          <w:highlight w:val="none"/>
        </w:rPr>
      </w:pPr>
    </w:p>
    <w:p w14:paraId="22E78006">
      <w:pPr>
        <w:pStyle w:val="18"/>
        <w:spacing w:line="360" w:lineRule="auto"/>
        <w:ind w:left="-181" w:leftChars="-86" w:right="-153" w:rightChars="-73"/>
        <w:rPr>
          <w:rFonts w:hint="eastAsia" w:ascii="宋体" w:hAnsi="宋体" w:cs="宋体"/>
          <w:color w:val="auto"/>
          <w:sz w:val="24"/>
          <w:highlight w:val="none"/>
        </w:rPr>
      </w:pPr>
    </w:p>
    <w:p w14:paraId="244A158F">
      <w:pPr>
        <w:pStyle w:val="18"/>
        <w:spacing w:line="360" w:lineRule="auto"/>
        <w:ind w:left="-181" w:leftChars="-86" w:right="-153" w:rightChars="-73"/>
        <w:rPr>
          <w:rFonts w:hint="eastAsia" w:ascii="宋体" w:hAnsi="宋体" w:cs="宋体"/>
          <w:color w:val="auto"/>
          <w:sz w:val="24"/>
          <w:highlight w:val="none"/>
        </w:rPr>
      </w:pPr>
    </w:p>
    <w:p w14:paraId="53C63E84">
      <w:pPr>
        <w:pStyle w:val="18"/>
        <w:spacing w:line="360" w:lineRule="auto"/>
        <w:ind w:left="-181" w:leftChars="-86" w:right="-153" w:rightChars="-73"/>
        <w:rPr>
          <w:rFonts w:hint="eastAsia" w:ascii="宋体" w:hAnsi="宋体" w:cs="宋体"/>
          <w:color w:val="auto"/>
          <w:sz w:val="24"/>
          <w:highlight w:val="none"/>
        </w:rPr>
      </w:pPr>
    </w:p>
    <w:p w14:paraId="599586CA">
      <w:pPr>
        <w:pStyle w:val="18"/>
        <w:spacing w:line="360" w:lineRule="auto"/>
        <w:ind w:left="-181" w:leftChars="-86" w:right="-153" w:rightChars="-73"/>
        <w:rPr>
          <w:rFonts w:hint="eastAsia" w:ascii="宋体" w:hAnsi="宋体" w:cs="宋体"/>
          <w:color w:val="auto"/>
          <w:sz w:val="24"/>
          <w:highlight w:val="none"/>
        </w:rPr>
      </w:pPr>
    </w:p>
    <w:p w14:paraId="29CD3AF5">
      <w:pPr>
        <w:pStyle w:val="18"/>
        <w:spacing w:line="360" w:lineRule="auto"/>
        <w:ind w:left="-181" w:leftChars="-86" w:right="-153" w:rightChars="-73"/>
        <w:rPr>
          <w:rFonts w:hint="eastAsia" w:ascii="宋体" w:hAnsi="宋体" w:cs="宋体"/>
          <w:color w:val="auto"/>
          <w:sz w:val="24"/>
          <w:highlight w:val="none"/>
        </w:rPr>
      </w:pPr>
    </w:p>
    <w:p w14:paraId="68753106">
      <w:pPr>
        <w:pStyle w:val="18"/>
        <w:spacing w:line="360" w:lineRule="auto"/>
        <w:ind w:left="-181" w:leftChars="-86" w:right="-153" w:rightChars="-73"/>
        <w:rPr>
          <w:rFonts w:hint="eastAsia" w:ascii="宋体" w:hAnsi="宋体" w:cs="宋体"/>
          <w:color w:val="auto"/>
          <w:sz w:val="24"/>
          <w:highlight w:val="none"/>
        </w:rPr>
      </w:pPr>
    </w:p>
    <w:p w14:paraId="1251E111">
      <w:pPr>
        <w:pStyle w:val="18"/>
        <w:spacing w:line="360" w:lineRule="auto"/>
        <w:ind w:left="-181" w:leftChars="-86" w:right="-153" w:rightChars="-73"/>
        <w:rPr>
          <w:rFonts w:hint="eastAsia" w:ascii="宋体" w:hAnsi="宋体" w:cs="宋体"/>
          <w:color w:val="auto"/>
          <w:sz w:val="24"/>
          <w:highlight w:val="none"/>
        </w:rPr>
      </w:pPr>
    </w:p>
    <w:p w14:paraId="2AC87473">
      <w:pPr>
        <w:pStyle w:val="18"/>
        <w:spacing w:line="360" w:lineRule="auto"/>
        <w:ind w:left="0" w:leftChars="0" w:right="-153" w:rightChars="-73" w:firstLine="1285" w:firstLineChars="400"/>
        <w:rPr>
          <w:rFonts w:hint="eastAsia" w:cs="宋体"/>
          <w:b/>
          <w:color w:val="auto"/>
          <w:sz w:val="32"/>
          <w:highlight w:val="none"/>
          <w:u w:val="none"/>
        </w:rPr>
      </w:pPr>
      <w:r>
        <w:rPr>
          <w:rFonts w:hint="eastAsia" w:cs="宋体"/>
          <w:b/>
          <w:color w:val="auto"/>
          <w:sz w:val="32"/>
          <w:highlight w:val="none"/>
          <w:u w:val="none"/>
        </w:rPr>
        <w:t xml:space="preserve">甲    方：广州市自来水有限公司   </w:t>
      </w:r>
    </w:p>
    <w:p w14:paraId="50E78D0D">
      <w:pPr>
        <w:pStyle w:val="18"/>
        <w:spacing w:line="360" w:lineRule="auto"/>
        <w:ind w:left="-181" w:leftChars="-86" w:right="-153" w:rightChars="-73"/>
        <w:rPr>
          <w:rFonts w:hint="eastAsia" w:cs="宋体"/>
          <w:b/>
          <w:color w:val="auto"/>
          <w:sz w:val="32"/>
          <w:highlight w:val="none"/>
          <w:u w:val="none"/>
        </w:rPr>
      </w:pPr>
      <w:r>
        <w:rPr>
          <w:rFonts w:hint="eastAsia" w:cs="宋体"/>
          <w:b/>
          <w:color w:val="auto"/>
          <w:sz w:val="32"/>
          <w:highlight w:val="none"/>
          <w:u w:val="none"/>
        </w:rPr>
        <w:t xml:space="preserve">         乙    方：</w:t>
      </w:r>
    </w:p>
    <w:p w14:paraId="0996B78D">
      <w:pPr>
        <w:pStyle w:val="18"/>
        <w:tabs>
          <w:tab w:val="left" w:pos="6174"/>
        </w:tabs>
        <w:spacing w:line="360" w:lineRule="auto"/>
        <w:ind w:right="-153" w:rightChars="-73" w:firstLine="1259" w:firstLineChars="392"/>
        <w:rPr>
          <w:rFonts w:hint="eastAsia" w:cs="宋体"/>
          <w:b/>
          <w:color w:val="auto"/>
          <w:sz w:val="32"/>
          <w:highlight w:val="none"/>
          <w:u w:val="none"/>
        </w:rPr>
      </w:pPr>
      <w:r>
        <w:rPr>
          <w:rFonts w:hint="eastAsia" w:cs="宋体"/>
          <w:b/>
          <w:color w:val="auto"/>
          <w:sz w:val="32"/>
          <w:highlight w:val="none"/>
          <w:u w:val="none"/>
        </w:rPr>
        <w:t xml:space="preserve">合同编号：                     </w:t>
      </w:r>
    </w:p>
    <w:p w14:paraId="3CFDB05E">
      <w:pPr>
        <w:pageBreakBefore w:val="0"/>
        <w:kinsoku/>
        <w:wordWrap/>
        <w:overflowPunct/>
        <w:bidi w:val="0"/>
        <w:adjustRightInd w:val="0"/>
        <w:snapToGrid w:val="0"/>
        <w:spacing w:afterLines="0" w:line="360" w:lineRule="auto"/>
        <w:ind w:firstLine="1285" w:firstLineChars="400"/>
        <w:rPr>
          <w:rFonts w:hint="eastAsia" w:ascii="宋体" w:hAnsi="宋体" w:eastAsia="宋体" w:cs="宋体"/>
          <w:color w:val="auto"/>
          <w:sz w:val="24"/>
          <w:szCs w:val="24"/>
          <w:highlight w:val="none"/>
        </w:rPr>
        <w:sectPr>
          <w:headerReference r:id="rId9" w:type="default"/>
          <w:footerReference r:id="rId10" w:type="default"/>
          <w:pgSz w:w="11906" w:h="16838"/>
          <w:pgMar w:top="1701" w:right="1701" w:bottom="1418" w:left="1701" w:header="851" w:footer="851" w:gutter="0"/>
          <w:pgNumType w:fmt="decimal"/>
          <w:cols w:space="720" w:num="1"/>
          <w:docGrid w:linePitch="312" w:charSpace="0"/>
        </w:sectPr>
      </w:pPr>
      <w:r>
        <w:rPr>
          <w:rFonts w:hint="eastAsia" w:ascii="宋体" w:hAnsi="宋体" w:cs="宋体"/>
          <w:b/>
          <w:color w:val="auto"/>
          <w:sz w:val="32"/>
          <w:highlight w:val="none"/>
          <w:u w:val="none"/>
        </w:rPr>
        <w:t>签订日期：       年   月   日</w:t>
      </w:r>
    </w:p>
    <w:p w14:paraId="5CD8F900">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lang w:val="en-US" w:eastAsia="zh-CN"/>
        </w:rPr>
        <w:t xml:space="preserve"> 广州市自来水有限公司 </w:t>
      </w:r>
      <w:r>
        <w:rPr>
          <w:rFonts w:hint="eastAsia" w:ascii="宋体" w:hAnsi="宋体" w:eastAsia="宋体" w:cs="宋体"/>
          <w:color w:val="auto"/>
          <w:sz w:val="24"/>
          <w:szCs w:val="24"/>
          <w:highlight w:val="none"/>
        </w:rPr>
        <w:t xml:space="preserve"> (以下简称甲方)</w:t>
      </w:r>
    </w:p>
    <w:p w14:paraId="1883390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(以下简称乙方)</w:t>
      </w:r>
    </w:p>
    <w:p w14:paraId="5E7685AB">
      <w:pPr>
        <w:pStyle w:val="33"/>
        <w:pageBreakBefore w:val="0"/>
        <w:tabs>
          <w:tab w:val="left" w:pos="720"/>
        </w:tabs>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根据《中华人民共和国民法典》、《中华人民共和国招标投标法》相关法律法规及</w:t>
      </w:r>
      <w:r>
        <w:rPr>
          <w:rFonts w:hint="eastAsia" w:ascii="宋体" w:hAnsi="宋体" w:cs="宋体"/>
          <w:color w:val="auto"/>
          <w:sz w:val="24"/>
          <w:szCs w:val="24"/>
          <w:highlight w:val="none"/>
          <w:u w:val="none"/>
        </w:rPr>
        <w:t>广州市自来水有限公司北部水厂智慧化系统开发服务项目</w:t>
      </w:r>
      <w:r>
        <w:rPr>
          <w:rFonts w:hint="eastAsia" w:ascii="宋体" w:hAnsi="宋体" w:eastAsia="宋体" w:cs="宋体"/>
          <w:color w:val="auto"/>
          <w:sz w:val="24"/>
          <w:szCs w:val="24"/>
          <w:highlight w:val="none"/>
        </w:rPr>
        <w:t>招标文件的要求和招标结果，</w:t>
      </w:r>
      <w:r>
        <w:rPr>
          <w:rFonts w:hint="eastAsia" w:ascii="宋体" w:hAnsi="宋体" w:eastAsia="宋体" w:cs="宋体"/>
          <w:color w:val="auto"/>
          <w:sz w:val="24"/>
          <w:szCs w:val="24"/>
          <w:highlight w:val="none"/>
          <w:lang w:val="en-US" w:eastAsia="zh-CN"/>
        </w:rPr>
        <w:t>经</w:t>
      </w:r>
      <w:r>
        <w:rPr>
          <w:rFonts w:hint="eastAsia" w:ascii="宋体" w:hAnsi="宋体" w:eastAsia="宋体" w:cs="宋体"/>
          <w:color w:val="auto"/>
          <w:sz w:val="24"/>
          <w:szCs w:val="24"/>
          <w:highlight w:val="none"/>
        </w:rPr>
        <w:t>甲乙双方协商</w:t>
      </w:r>
      <w:r>
        <w:rPr>
          <w:rFonts w:hint="eastAsia" w:ascii="宋体" w:hAnsi="宋体" w:eastAsia="宋体" w:cs="宋体"/>
          <w:color w:val="auto"/>
          <w:sz w:val="24"/>
          <w:szCs w:val="24"/>
          <w:highlight w:val="none"/>
          <w:lang w:val="en-US" w:eastAsia="zh-CN"/>
        </w:rPr>
        <w:t>一致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签订本合同。</w:t>
      </w:r>
      <w:r>
        <w:rPr>
          <w:rFonts w:hint="eastAsia" w:ascii="宋体" w:hAnsi="宋体" w:cs="宋体"/>
          <w:color w:val="auto"/>
          <w:sz w:val="24"/>
          <w:szCs w:val="24"/>
          <w:highlight w:val="none"/>
          <w:lang w:val="en-US" w:eastAsia="zh-CN"/>
        </w:rPr>
        <w:t>就</w:t>
      </w:r>
      <w:r>
        <w:rPr>
          <w:rFonts w:hint="eastAsia" w:ascii="宋体" w:hAnsi="宋体" w:eastAsia="宋体" w:cs="宋体"/>
          <w:color w:val="auto"/>
          <w:sz w:val="24"/>
          <w:szCs w:val="24"/>
          <w:highlight w:val="none"/>
        </w:rPr>
        <w:t>甲方委托乙方负责</w:t>
      </w:r>
      <w:r>
        <w:rPr>
          <w:rFonts w:hint="eastAsia" w:ascii="宋体" w:hAnsi="宋体" w:cs="宋体"/>
          <w:color w:val="auto"/>
          <w:sz w:val="24"/>
          <w:szCs w:val="24"/>
          <w:highlight w:val="none"/>
          <w:u w:val="none"/>
        </w:rPr>
        <w:t>广州市自来水有限公司北部水厂智慧化系统开发服务项目</w:t>
      </w:r>
      <w:r>
        <w:rPr>
          <w:rFonts w:hint="eastAsia" w:ascii="宋体" w:hAnsi="宋体" w:eastAsia="宋体" w:cs="宋体"/>
          <w:color w:val="auto"/>
          <w:sz w:val="24"/>
          <w:szCs w:val="24"/>
          <w:highlight w:val="none"/>
        </w:rPr>
        <w:t>（以下简称本项目或项目）规划、设计、开发和实施，提供软件配置、软件的编程、平台的搭建、系统的开发、安装、调试、上线、运行维护、以及技术培训、售后服务等工作</w:t>
      </w:r>
      <w:r>
        <w:rPr>
          <w:rFonts w:hint="eastAsia" w:ascii="宋体" w:hAnsi="宋体" w:eastAsia="宋体" w:cs="宋体"/>
          <w:color w:val="auto"/>
          <w:sz w:val="24"/>
          <w:szCs w:val="24"/>
          <w:highlight w:val="none"/>
          <w:lang w:val="en-US" w:eastAsia="zh-CN"/>
        </w:rPr>
        <w:t>事宜</w:t>
      </w:r>
      <w:r>
        <w:rPr>
          <w:rFonts w:hint="eastAsia" w:ascii="宋体" w:hAnsi="宋体" w:eastAsia="宋体" w:cs="宋体"/>
          <w:color w:val="auto"/>
          <w:sz w:val="24"/>
          <w:szCs w:val="24"/>
          <w:highlight w:val="none"/>
        </w:rPr>
        <w:t>。乙方承诺严格按照本合同和合同附件的约定为甲方提供专业、规范、完善的服务。双方共同遵守如下条款（技术说明及其他有关合同项目的特定信息由合同附件予以说明，合同附件及本项目的招标文件、投标文件等均为本合同不可分割之一部分）：</w:t>
      </w:r>
    </w:p>
    <w:p w14:paraId="27B1DBAF">
      <w:pPr>
        <w:pStyle w:val="10"/>
        <w:pageBreakBefore w:val="0"/>
        <w:numPr>
          <w:ilvl w:val="2"/>
          <w:numId w:val="0"/>
        </w:numPr>
        <w:tabs>
          <w:tab w:val="left" w:pos="960"/>
        </w:tabs>
        <w:kinsoku/>
        <w:wordWrap/>
        <w:overflowPunct/>
        <w:bidi w:val="0"/>
        <w:snapToGrid w:val="0"/>
        <w:spacing w:afterLines="0" w:line="360" w:lineRule="auto"/>
        <w:ind w:leftChars="200"/>
        <w:rPr>
          <w:rFonts w:hint="eastAsia" w:ascii="宋体" w:hAnsi="宋体" w:eastAsia="宋体" w:cs="宋体"/>
          <w:color w:val="auto"/>
          <w:sz w:val="28"/>
          <w:szCs w:val="28"/>
          <w:highlight w:val="none"/>
        </w:rPr>
      </w:pPr>
      <w:bookmarkStart w:id="97" w:name="_Toc383442129"/>
      <w:bookmarkStart w:id="98" w:name="_Toc424061948"/>
      <w:r>
        <w:rPr>
          <w:rFonts w:hint="eastAsia" w:ascii="宋体" w:hAnsi="宋体" w:eastAsia="宋体" w:cs="宋体"/>
          <w:color w:val="auto"/>
          <w:sz w:val="28"/>
          <w:szCs w:val="28"/>
          <w:highlight w:val="none"/>
          <w:lang w:val="en-US" w:eastAsia="zh-CN"/>
        </w:rPr>
        <w:t>一、名词</w:t>
      </w:r>
      <w:r>
        <w:rPr>
          <w:rFonts w:hint="eastAsia" w:ascii="宋体" w:hAnsi="宋体" w:eastAsia="宋体" w:cs="宋体"/>
          <w:color w:val="auto"/>
          <w:sz w:val="28"/>
          <w:szCs w:val="28"/>
          <w:highlight w:val="none"/>
        </w:rPr>
        <w:t>定义</w:t>
      </w:r>
      <w:bookmarkEnd w:id="97"/>
      <w:bookmarkEnd w:id="98"/>
    </w:p>
    <w:p w14:paraId="1369A88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本合同和附件中所用下列名词的含义在此予以确定。</w:t>
      </w:r>
    </w:p>
    <w:p w14:paraId="4996F8BA">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b w:val="0"/>
          <w:bCs/>
          <w:color w:val="auto"/>
          <w:sz w:val="24"/>
          <w:szCs w:val="24"/>
          <w:highlight w:val="none"/>
        </w:rPr>
        <w:t>“甲方”是指，包括该法人的继任方和法人的受让方。</w:t>
      </w:r>
    </w:p>
    <w:p w14:paraId="50855CCB">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1.2</w:t>
      </w:r>
      <w:r>
        <w:rPr>
          <w:rFonts w:hint="eastAsia" w:ascii="宋体" w:hAnsi="宋体" w:eastAsia="宋体" w:cs="宋体"/>
          <w:b w:val="0"/>
          <w:bCs/>
          <w:color w:val="auto"/>
          <w:sz w:val="24"/>
          <w:szCs w:val="24"/>
          <w:highlight w:val="none"/>
        </w:rPr>
        <w:t>“乙方”是指，包括该法人的继任方和法人的受让方。</w:t>
      </w:r>
    </w:p>
    <w:p w14:paraId="44ADDF34">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1.3</w:t>
      </w:r>
      <w:r>
        <w:rPr>
          <w:rFonts w:hint="eastAsia" w:ascii="宋体" w:hAnsi="宋体" w:eastAsia="宋体" w:cs="宋体"/>
          <w:b w:val="0"/>
          <w:bCs/>
          <w:color w:val="auto"/>
          <w:sz w:val="24"/>
          <w:szCs w:val="24"/>
          <w:highlight w:val="none"/>
        </w:rPr>
        <w:t>“合同”或“本合同”是指本合同文件及其附件中的所有部分。</w:t>
      </w:r>
    </w:p>
    <w:p w14:paraId="53AB1228">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1.4</w:t>
      </w:r>
      <w:r>
        <w:rPr>
          <w:rFonts w:hint="eastAsia" w:ascii="宋体" w:hAnsi="宋体" w:eastAsia="宋体" w:cs="宋体"/>
          <w:b w:val="0"/>
          <w:bCs/>
          <w:color w:val="auto"/>
          <w:sz w:val="24"/>
          <w:szCs w:val="24"/>
          <w:highlight w:val="none"/>
        </w:rPr>
        <w:t>“合同价格”是指在本合同第3条中规定的金额。</w:t>
      </w:r>
    </w:p>
    <w:p w14:paraId="2B8ECAA7">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“合同生效日期”是指本合同第22条中所规定的合同的生效日期。</w:t>
      </w:r>
    </w:p>
    <w:p w14:paraId="415A7723">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1.6</w:t>
      </w:r>
      <w:r>
        <w:rPr>
          <w:rFonts w:hint="eastAsia" w:ascii="宋体" w:hAnsi="宋体" w:eastAsia="宋体" w:cs="宋体"/>
          <w:b w:val="0"/>
          <w:bCs/>
          <w:color w:val="auto"/>
          <w:sz w:val="24"/>
          <w:szCs w:val="24"/>
          <w:highlight w:val="none"/>
        </w:rPr>
        <w:t>“质量保证期”是自项目</w:t>
      </w:r>
      <w:r>
        <w:rPr>
          <w:rFonts w:hint="eastAsia" w:ascii="宋体" w:hAnsi="宋体" w:eastAsia="宋体" w:cs="宋体"/>
          <w:b w:val="0"/>
          <w:bCs/>
          <w:color w:val="auto"/>
          <w:sz w:val="24"/>
          <w:szCs w:val="24"/>
          <w:highlight w:val="none"/>
          <w:lang w:val="en-US" w:eastAsia="zh-CN"/>
        </w:rPr>
        <w:t>竣工</w:t>
      </w:r>
      <w:r>
        <w:rPr>
          <w:rFonts w:hint="eastAsia" w:ascii="宋体" w:hAnsi="宋体" w:eastAsia="宋体" w:cs="宋体"/>
          <w:b w:val="0"/>
          <w:bCs/>
          <w:color w:val="auto"/>
          <w:sz w:val="24"/>
          <w:szCs w:val="24"/>
          <w:highlight w:val="none"/>
        </w:rPr>
        <w:t>验收通过之日起12个月。</w:t>
      </w:r>
    </w:p>
    <w:p w14:paraId="13AF303B">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1.7</w:t>
      </w:r>
      <w:r>
        <w:rPr>
          <w:rFonts w:hint="eastAsia" w:ascii="宋体" w:hAnsi="宋体" w:eastAsia="宋体" w:cs="宋体"/>
          <w:b w:val="0"/>
          <w:bCs/>
          <w:color w:val="auto"/>
          <w:sz w:val="24"/>
          <w:szCs w:val="24"/>
          <w:highlight w:val="none"/>
        </w:rPr>
        <w:t>“技术资料”是指乙方提供的包括本项目设计、安装、使用、测试、诊断和维修等有关技术文件。</w:t>
      </w:r>
    </w:p>
    <w:p w14:paraId="1CF44971">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1.8</w:t>
      </w:r>
      <w:r>
        <w:rPr>
          <w:rFonts w:hint="eastAsia" w:ascii="宋体" w:hAnsi="宋体" w:eastAsia="宋体" w:cs="宋体"/>
          <w:b w:val="0"/>
          <w:bCs/>
          <w:color w:val="auto"/>
          <w:sz w:val="24"/>
          <w:szCs w:val="24"/>
          <w:highlight w:val="none"/>
        </w:rPr>
        <w:t>“日、月、年”是指公历的日、月、年；“天”是指24小时；“周”是指7天；“年”是指365天。</w:t>
      </w:r>
    </w:p>
    <w:p w14:paraId="0654665D">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1.9</w:t>
      </w:r>
      <w:r>
        <w:rPr>
          <w:rFonts w:hint="eastAsia" w:ascii="宋体" w:hAnsi="宋体" w:eastAsia="宋体" w:cs="宋体"/>
          <w:b w:val="0"/>
          <w:bCs/>
          <w:color w:val="auto"/>
          <w:sz w:val="24"/>
          <w:szCs w:val="24"/>
          <w:highlight w:val="none"/>
        </w:rPr>
        <w:t>“技术服务”是指由乙方提供的与本合同有关的技术工作，包括但不限于：调研、分析、设计、开发、测试、实施、试运行、验收、维护、培训、咨询、技术支持和项目管理等。</w:t>
      </w:r>
    </w:p>
    <w:p w14:paraId="1BB47B46">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1.10</w:t>
      </w:r>
      <w:r>
        <w:rPr>
          <w:rFonts w:hint="eastAsia" w:ascii="宋体" w:hAnsi="宋体" w:eastAsia="宋体" w:cs="宋体"/>
          <w:b w:val="0"/>
          <w:bCs/>
          <w:color w:val="auto"/>
          <w:sz w:val="24"/>
          <w:szCs w:val="24"/>
          <w:highlight w:val="none"/>
        </w:rPr>
        <w:t>“验收”是指甲方依据合同所规定的验收的程序和条件，对可交付物进行检验和测试，以验证其是否满足本合同规定的标准及合同附件的要求。</w:t>
      </w:r>
      <w:r>
        <w:rPr>
          <w:rFonts w:hint="eastAsia" w:ascii="宋体" w:hAnsi="宋体" w:eastAsia="宋体" w:cs="宋体"/>
          <w:b w:val="0"/>
          <w:bCs/>
          <w:color w:val="auto"/>
          <w:kern w:val="2"/>
          <w:sz w:val="24"/>
          <w:szCs w:val="24"/>
          <w:highlight w:val="none"/>
          <w:lang w:val="en-US" w:eastAsia="zh-CN" w:bidi="ar"/>
        </w:rPr>
        <w:t>验收报告加盖甲乙双方公司公章</w:t>
      </w:r>
      <w:r>
        <w:rPr>
          <w:rFonts w:hint="eastAsia" w:ascii="宋体" w:hAnsi="宋体" w:eastAsia="宋体" w:cs="宋体"/>
          <w:b w:val="0"/>
          <w:bCs/>
          <w:color w:val="auto"/>
          <w:sz w:val="24"/>
          <w:szCs w:val="24"/>
          <w:highlight w:val="none"/>
        </w:rPr>
        <w:t>，验收报告模板详见附件</w:t>
      </w:r>
      <w:r>
        <w:rPr>
          <w:rFonts w:hint="eastAsia" w:ascii="宋体" w:hAnsi="宋体" w:eastAsia="宋体" w:cs="宋体"/>
          <w:b w:val="0"/>
          <w:bCs/>
          <w:color w:val="auto"/>
          <w:sz w:val="24"/>
          <w:szCs w:val="24"/>
          <w:highlight w:val="none"/>
          <w:lang w:val="en-US" w:eastAsia="zh-CN"/>
        </w:rPr>
        <w:t>一</w:t>
      </w:r>
      <w:r>
        <w:rPr>
          <w:rFonts w:hint="eastAsia" w:ascii="宋体" w:hAnsi="宋体" w:eastAsia="宋体" w:cs="宋体"/>
          <w:b w:val="0"/>
          <w:bCs/>
          <w:color w:val="auto"/>
          <w:sz w:val="24"/>
          <w:szCs w:val="24"/>
          <w:highlight w:val="none"/>
          <w:lang w:eastAsia="zh-CN"/>
        </w:rPr>
        <w:t>。</w:t>
      </w:r>
    </w:p>
    <w:p w14:paraId="193D5953">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1.11</w:t>
      </w:r>
      <w:r>
        <w:rPr>
          <w:rFonts w:hint="eastAsia" w:ascii="宋体" w:hAnsi="宋体" w:eastAsia="宋体" w:cs="宋体"/>
          <w:b w:val="0"/>
          <w:bCs/>
          <w:color w:val="auto"/>
          <w:sz w:val="24"/>
          <w:szCs w:val="24"/>
          <w:highlight w:val="none"/>
        </w:rPr>
        <w:t>“书面文件”是指任何手稿、打字或印刷的有印章和/或签名的文件。</w:t>
      </w:r>
    </w:p>
    <w:p w14:paraId="214089A6">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1.12</w:t>
      </w:r>
      <w:r>
        <w:rPr>
          <w:rFonts w:hint="eastAsia" w:ascii="宋体" w:hAnsi="宋体" w:eastAsia="宋体" w:cs="宋体"/>
          <w:b w:val="0"/>
          <w:bCs/>
          <w:color w:val="auto"/>
          <w:sz w:val="24"/>
          <w:szCs w:val="24"/>
          <w:highlight w:val="none"/>
        </w:rPr>
        <w:t>“分包商”或“分供货商”是指由乙方将合同工作（供货）范围内任何部分分包给其他的法人及该法人的继任方和该法人允许的受让方。</w:t>
      </w:r>
    </w:p>
    <w:p w14:paraId="099E32DC">
      <w:pPr>
        <w:pageBreakBefore w:val="0"/>
        <w:kinsoku/>
        <w:wordWrap/>
        <w:overflowPunct/>
        <w:bidi w:val="0"/>
        <w:adjustRightInd w:val="0"/>
        <w:snapToGrid w:val="0"/>
        <w:spacing w:afterLines="0" w:line="360" w:lineRule="auto"/>
        <w:ind w:firstLine="562" w:firstLineChars="200"/>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lang w:val="en-US" w:eastAsia="zh-CN"/>
        </w:rPr>
        <w:t>二、服务</w:t>
      </w:r>
      <w:r>
        <w:rPr>
          <w:rFonts w:hint="eastAsia" w:ascii="宋体" w:hAnsi="宋体" w:eastAsia="宋体" w:cs="宋体"/>
          <w:b/>
          <w:bCs w:val="0"/>
          <w:color w:val="auto"/>
          <w:sz w:val="28"/>
          <w:szCs w:val="28"/>
          <w:highlight w:val="none"/>
        </w:rPr>
        <w:t>范围</w:t>
      </w:r>
    </w:p>
    <w:p w14:paraId="1C69C465">
      <w:pPr>
        <w:pStyle w:val="10"/>
        <w:pageBreakBefore w:val="0"/>
        <w:numPr>
          <w:ilvl w:val="-1"/>
          <w:numId w:val="0"/>
        </w:numPr>
        <w:tabs>
          <w:tab w:val="left" w:pos="960"/>
        </w:tabs>
        <w:kinsoku/>
        <w:wordWrap/>
        <w:overflowPunct/>
        <w:bidi w:val="0"/>
        <w:snapToGrid w:val="0"/>
        <w:spacing w:afterLines="0" w:line="360" w:lineRule="auto"/>
        <w:ind w:left="0" w:leftChars="0"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2.1乙方在本合同项下严格按照技术文件、可行性研究报告的要求，为甲方提供北部水厂智慧化系统开发服务项目的技术服务。乙方提供的服务及提交的项目成果应完全满足甲方的要求，具体要求详见本合同附件一。</w:t>
      </w:r>
    </w:p>
    <w:p w14:paraId="51B5F88B">
      <w:pPr>
        <w:pageBreakBefore w:val="0"/>
        <w:tabs>
          <w:tab w:val="left" w:pos="540"/>
          <w:tab w:val="left" w:pos="599"/>
        </w:tabs>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2.2乙方应按本合同附件一的要求为甲方有关人员提供培训，从而实现知识向甲方的有效转移。</w:t>
      </w:r>
    </w:p>
    <w:p w14:paraId="126ACA53">
      <w:pPr>
        <w:pageBreakBefore w:val="0"/>
        <w:tabs>
          <w:tab w:val="left" w:pos="540"/>
          <w:tab w:val="left" w:pos="599"/>
        </w:tabs>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2.3乙方提供的软件服务要兼顾今后的维护成本，使甲方用户的总成本得到合理的控制。</w:t>
      </w:r>
    </w:p>
    <w:p w14:paraId="3DB59C7D">
      <w:pPr>
        <w:keepNext w:val="0"/>
        <w:keepLines w:val="0"/>
        <w:pageBreakBefore w:val="0"/>
        <w:numPr>
          <w:ilvl w:val="2"/>
          <w:numId w:val="0"/>
        </w:numPr>
        <w:tabs>
          <w:tab w:val="left" w:pos="540"/>
          <w:tab w:val="left" w:pos="599"/>
        </w:tabs>
        <w:kinsoku/>
        <w:wordWrap/>
        <w:overflowPunct/>
        <w:bidi w:val="0"/>
        <w:adjustRightInd w:val="0"/>
        <w:snapToGrid w:val="0"/>
        <w:spacing w:afterLines="0"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2.4本项目根据实际情况分阶段实施，各阶段满足验收条件的，可以对各个模块单独进行验</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。所有模块验收通过后，再开展本项目的整体</w:t>
      </w:r>
      <w:r>
        <w:rPr>
          <w:rFonts w:hint="eastAsia" w:ascii="宋体" w:hAnsi="宋体" w:eastAsia="宋体" w:cs="宋体"/>
          <w:color w:val="auto"/>
          <w:sz w:val="24"/>
          <w:szCs w:val="24"/>
          <w:highlight w:val="none"/>
          <w:lang w:val="en-US" w:eastAsia="zh-CN"/>
        </w:rPr>
        <w:t>竣工</w:t>
      </w:r>
      <w:r>
        <w:rPr>
          <w:rFonts w:hint="eastAsia" w:ascii="宋体" w:hAnsi="宋体" w:eastAsia="宋体" w:cs="宋体"/>
          <w:color w:val="auto"/>
          <w:sz w:val="24"/>
          <w:szCs w:val="24"/>
          <w:highlight w:val="none"/>
        </w:rPr>
        <w:t>验收。</w:t>
      </w:r>
      <w:bookmarkStart w:id="99" w:name="_Toc383442131"/>
      <w:bookmarkStart w:id="100" w:name="_Toc424061951"/>
    </w:p>
    <w:p w14:paraId="1F47FE89">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rPr>
        <w:t>合同价款</w:t>
      </w:r>
      <w:bookmarkEnd w:id="99"/>
      <w:bookmarkEnd w:id="100"/>
    </w:p>
    <w:p w14:paraId="2EEB7B78">
      <w:pPr>
        <w:pageBreakBefore w:val="0"/>
        <w:widowControl/>
        <w:kinsoku/>
        <w:wordWrap/>
        <w:overflowPunct/>
        <w:bidi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3.1项目合同总价为人民币</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元整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本合同总价为</w:t>
      </w:r>
      <w:r>
        <w:rPr>
          <w:rFonts w:hint="eastAsia" w:ascii="宋体" w:hAnsi="宋体" w:cs="宋体"/>
          <w:color w:val="auto"/>
          <w:sz w:val="24"/>
          <w:szCs w:val="24"/>
          <w:highlight w:val="none"/>
          <w:lang w:val="en-US" w:eastAsia="zh-CN"/>
        </w:rPr>
        <w:t>暂定总价</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，以各分项功能模块对应的综合报价包干，按实结算。已包括实施本项目所需的全部费用，在本合同约定的实施项目范围内，费用不再调整。(各分项明细详见合同附件二)</w:t>
      </w:r>
      <w:r>
        <w:rPr>
          <w:rFonts w:hint="eastAsia" w:ascii="宋体" w:hAnsi="宋体" w:cs="宋体"/>
          <w:color w:val="auto"/>
          <w:sz w:val="24"/>
          <w:szCs w:val="24"/>
          <w:highlight w:val="none"/>
          <w:lang w:eastAsia="zh-CN"/>
        </w:rPr>
        <w:t>。</w:t>
      </w:r>
    </w:p>
    <w:p w14:paraId="17281838">
      <w:pPr>
        <w:pageBreakBefore w:val="0"/>
        <w:widowControl/>
        <w:kinsoku/>
        <w:wordWrap/>
        <w:overflowPunct/>
        <w:bidi w:val="0"/>
        <w:spacing w:afterLines="0" w:line="360" w:lineRule="auto"/>
        <w:ind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本项目的各分项功能模块对应的综合报价为含税固定价，</w:t>
      </w:r>
      <w:r>
        <w:rPr>
          <w:rFonts w:hint="eastAsia" w:ascii="宋体" w:hAnsi="宋体" w:eastAsia="宋体" w:cs="宋体"/>
          <w:bCs/>
          <w:snapToGrid w:val="0"/>
          <w:color w:val="auto"/>
          <w:sz w:val="24"/>
          <w:szCs w:val="24"/>
          <w:highlight w:val="none"/>
        </w:rPr>
        <w:t>包括但不限于定制开发服务费、安装调试费、系统实施费、系统</w:t>
      </w:r>
      <w:r>
        <w:rPr>
          <w:rFonts w:hint="eastAsia" w:ascii="宋体" w:hAnsi="宋体" w:eastAsia="宋体" w:cs="宋体"/>
          <w:bCs/>
          <w:snapToGrid w:val="0"/>
          <w:color w:val="auto"/>
          <w:sz w:val="24"/>
          <w:szCs w:val="24"/>
          <w:highlight w:val="none"/>
          <w:lang w:val="en-US" w:eastAsia="zh-CN"/>
        </w:rPr>
        <w:t>升级及</w:t>
      </w:r>
      <w:r>
        <w:rPr>
          <w:rFonts w:hint="eastAsia" w:ascii="宋体" w:hAnsi="宋体" w:eastAsia="宋体" w:cs="宋体"/>
          <w:bCs/>
          <w:snapToGrid w:val="0"/>
          <w:color w:val="auto"/>
          <w:sz w:val="24"/>
          <w:szCs w:val="24"/>
          <w:highlight w:val="none"/>
        </w:rPr>
        <w:t>维护费、系统第三方检测认证费（</w:t>
      </w:r>
      <w:r>
        <w:rPr>
          <w:rFonts w:hint="eastAsia" w:ascii="宋体" w:hAnsi="宋体" w:eastAsia="宋体" w:cs="宋体"/>
          <w:bCs/>
          <w:snapToGrid w:val="0"/>
          <w:color w:val="auto"/>
          <w:sz w:val="24"/>
          <w:szCs w:val="24"/>
          <w:highlight w:val="none"/>
          <w:lang w:val="en-US" w:eastAsia="zh-CN"/>
        </w:rPr>
        <w:t>等保三级</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第三方版权使用费（本项目自用第三方软件版权费用）</w:t>
      </w:r>
      <w:r>
        <w:rPr>
          <w:rFonts w:hint="eastAsia" w:ascii="宋体" w:hAnsi="宋体" w:eastAsia="宋体" w:cs="宋体"/>
          <w:bCs/>
          <w:snapToGrid w:val="0"/>
          <w:color w:val="auto"/>
          <w:sz w:val="24"/>
          <w:szCs w:val="24"/>
          <w:highlight w:val="none"/>
        </w:rPr>
        <w:t>售后服务费、培训费，专家评审费、项目团队及支援人员到达实施地点的工资、福利费、工会经费、教育经费、各类保险（包括养老保险等）、住房公积金、办公费、差旅费、餐饮费、现场补贴、公司管理费、劳保用品费、现场必备的办公器具（包括计算机）、检测设备和交通费用、现场的电话、网络通讯费，国家规定的所有税费（包括关税、海关杂费等，如有）等在内的完成本项目所需的全部费用。乙方的合同总价应已考虑了履行本项目的所有市场风险，包括但不限于人力成本的增加、原材料的价格上涨、国家宏观调控、经济环境变化等因素。</w:t>
      </w:r>
    </w:p>
    <w:p w14:paraId="5A7A72B5">
      <w:pPr>
        <w:pageBreakBefore w:val="0"/>
        <w:kinsoku/>
        <w:wordWrap/>
        <w:overflowPunct/>
        <w:bidi w:val="0"/>
        <w:adjustRightInd w:val="0"/>
        <w:snapToGrid w:val="0"/>
        <w:spacing w:afterLines="0"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应当认为乙方已经彻底查清，并在合同总价中充分考虑到了以下几项：</w:t>
      </w:r>
    </w:p>
    <w:p w14:paraId="24292FFD">
      <w:pPr>
        <w:pageBreakBefore w:val="0"/>
        <w:numPr>
          <w:ilvl w:val="0"/>
          <w:numId w:val="5"/>
        </w:numPr>
        <w:tabs>
          <w:tab w:val="left" w:pos="-5103"/>
        </w:tabs>
        <w:kinsoku/>
        <w:wordWrap/>
        <w:overflowPunct/>
        <w:bidi w:val="0"/>
        <w:adjustRightInd w:val="0"/>
        <w:snapToGrid w:val="0"/>
        <w:spacing w:afterLines="0" w:line="360" w:lineRule="auto"/>
        <w:ind w:left="0"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影响到合同总价的全部条件和情况；</w:t>
      </w:r>
    </w:p>
    <w:p w14:paraId="4CD64AFF">
      <w:pPr>
        <w:pageBreakBefore w:val="0"/>
        <w:numPr>
          <w:ilvl w:val="0"/>
          <w:numId w:val="5"/>
        </w:numPr>
        <w:tabs>
          <w:tab w:val="left" w:pos="-4962"/>
        </w:tabs>
        <w:kinsoku/>
        <w:wordWrap/>
        <w:overflowPunct/>
        <w:bidi w:val="0"/>
        <w:adjustRightInd w:val="0"/>
        <w:snapToGrid w:val="0"/>
        <w:spacing w:afterLines="0" w:line="360" w:lineRule="auto"/>
        <w:ind w:left="0"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完成项目中所有可能出现的情况；</w:t>
      </w:r>
    </w:p>
    <w:p w14:paraId="06FEE029">
      <w:pPr>
        <w:pageBreakBefore w:val="0"/>
        <w:numPr>
          <w:ilvl w:val="0"/>
          <w:numId w:val="5"/>
        </w:numPr>
        <w:tabs>
          <w:tab w:val="left" w:pos="-5103"/>
        </w:tabs>
        <w:kinsoku/>
        <w:wordWrap/>
        <w:overflowPunct/>
        <w:bidi w:val="0"/>
        <w:adjustRightInd w:val="0"/>
        <w:snapToGrid w:val="0"/>
        <w:spacing w:afterLines="0" w:line="360" w:lineRule="auto"/>
        <w:ind w:left="0"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现场的综合情况；</w:t>
      </w:r>
    </w:p>
    <w:p w14:paraId="3796F8EE">
      <w:pPr>
        <w:pageBreakBefore w:val="0"/>
        <w:numPr>
          <w:ilvl w:val="0"/>
          <w:numId w:val="5"/>
        </w:numPr>
        <w:kinsoku/>
        <w:wordWrap/>
        <w:overflowPunct/>
        <w:bidi w:val="0"/>
        <w:adjustRightInd w:val="0"/>
        <w:snapToGrid w:val="0"/>
        <w:spacing w:afterLines="0" w:line="360" w:lineRule="auto"/>
        <w:ind w:left="0"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现场总的劳务情况；</w:t>
      </w:r>
    </w:p>
    <w:p w14:paraId="53FBADEC">
      <w:pPr>
        <w:pageBreakBefore w:val="0"/>
        <w:numPr>
          <w:ilvl w:val="0"/>
          <w:numId w:val="5"/>
        </w:numPr>
        <w:kinsoku/>
        <w:wordWrap/>
        <w:overflowPunct/>
        <w:bidi w:val="0"/>
        <w:adjustRightInd w:val="0"/>
        <w:snapToGrid w:val="0"/>
        <w:spacing w:afterLines="0" w:line="360" w:lineRule="auto"/>
        <w:ind w:left="0"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合同总的税费情况</w:t>
      </w:r>
      <w:r>
        <w:rPr>
          <w:rFonts w:hint="eastAsia" w:ascii="宋体" w:hAnsi="宋体" w:eastAsia="宋体" w:cs="宋体"/>
          <w:snapToGrid w:val="0"/>
          <w:color w:val="auto"/>
          <w:sz w:val="24"/>
          <w:szCs w:val="24"/>
          <w:highlight w:val="none"/>
        </w:rPr>
        <w:t>。</w:t>
      </w:r>
    </w:p>
    <w:p w14:paraId="469C4C57">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除上述合同价款外，乙方履行本合同约定义务不再要求甲方支付任何费用。</w:t>
      </w:r>
    </w:p>
    <w:p w14:paraId="7270A6C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合同款项由甲方分期支付给乙方。具体支付方式和时间如下：</w:t>
      </w:r>
    </w:p>
    <w:p w14:paraId="581B6B6E">
      <w:pPr>
        <w:keepNext w:val="0"/>
        <w:keepLines w:val="0"/>
        <w:pageBreakBefore w:val="0"/>
        <w:widowControl w:val="0"/>
        <w:suppressLineNumbers w:val="0"/>
        <w:kinsoku/>
        <w:wordWrap/>
        <w:overflowPunct/>
        <w:bidi w:val="0"/>
        <w:spacing w:before="0" w:beforeAutospacing="0" w:after="0" w:afterLines="0" w:afterAutospacing="0" w:line="360" w:lineRule="auto"/>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.1合同签订生效后，提交如下申请付款单据并经甲方检查合格后15个工作日内支付</w:t>
      </w:r>
      <w:r>
        <w:rPr>
          <w:rFonts w:hint="eastAsia" w:ascii="宋体" w:hAnsi="宋体" w:eastAsia="宋体" w:cs="宋体"/>
          <w:color w:val="auto"/>
          <w:sz w:val="24"/>
          <w:szCs w:val="24"/>
          <w:highlight w:val="none"/>
          <w:lang w:val="en-US" w:eastAsia="zh-CN"/>
        </w:rPr>
        <w:t>本合同</w:t>
      </w:r>
      <w:r>
        <w:rPr>
          <w:rFonts w:hint="eastAsia" w:ascii="宋体" w:hAnsi="宋体" w:eastAsia="宋体" w:cs="宋体"/>
          <w:color w:val="auto"/>
          <w:sz w:val="24"/>
          <w:szCs w:val="24"/>
          <w:highlight w:val="none"/>
        </w:rPr>
        <w:t>总额10%作为预付款，即人民币：</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rPr>
        <w:t>元整（大写：</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元整），乙方提供付款申请1份，申请付款同等金额发票1份，并提供金额为合同价款</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%的银行预付款保函（预付款保函</w:t>
      </w:r>
      <w:r>
        <w:rPr>
          <w:rFonts w:hint="eastAsia" w:ascii="宋体" w:hAnsi="宋体" w:eastAsia="宋体" w:cs="宋体"/>
          <w:color w:val="auto"/>
          <w:sz w:val="24"/>
          <w:szCs w:val="24"/>
          <w:highlight w:val="none"/>
          <w:lang w:val="en-US" w:eastAsia="zh-CN"/>
        </w:rPr>
        <w:t>有效期为自提交之日起至质保期开始前）</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
        </w:rPr>
        <w:t>乙方收到</w:t>
      </w:r>
      <w:r>
        <w:rPr>
          <w:rFonts w:hint="eastAsia" w:ascii="宋体" w:hAnsi="宋体" w:eastAsia="宋体" w:cs="宋体"/>
          <w:color w:val="auto"/>
          <w:kern w:val="2"/>
          <w:sz w:val="24"/>
          <w:szCs w:val="24"/>
          <w:highlight w:val="none"/>
          <w:lang w:eastAsia="zh-CN" w:bidi="ar"/>
        </w:rPr>
        <w:t>预付款</w:t>
      </w:r>
      <w:r>
        <w:rPr>
          <w:rFonts w:hint="eastAsia" w:ascii="宋体" w:hAnsi="宋体" w:eastAsia="宋体" w:cs="宋体"/>
          <w:color w:val="auto"/>
          <w:kern w:val="2"/>
          <w:sz w:val="24"/>
          <w:szCs w:val="24"/>
          <w:highlight w:val="none"/>
          <w:lang w:val="en-US" w:eastAsia="zh-CN" w:bidi="ar"/>
        </w:rPr>
        <w:t>后交付</w:t>
      </w:r>
      <w:r>
        <w:rPr>
          <w:rFonts w:hint="eastAsia" w:ascii="宋体" w:hAnsi="宋体" w:eastAsia="宋体" w:cs="宋体"/>
          <w:color w:val="auto"/>
          <w:sz w:val="24"/>
          <w:szCs w:val="24"/>
          <w:highlight w:val="none"/>
        </w:rPr>
        <w:t>；</w:t>
      </w:r>
    </w:p>
    <w:p w14:paraId="7E7E3A06">
      <w:pPr>
        <w:pageBreakBefore w:val="0"/>
        <w:tabs>
          <w:tab w:val="left" w:pos="-5103"/>
        </w:tabs>
        <w:kinsoku/>
        <w:wordWrap/>
        <w:overflowPunct/>
        <w:bidi w:val="0"/>
        <w:adjustRightInd w:val="0"/>
        <w:snapToGrid w:val="0"/>
        <w:spacing w:before="156" w:beforeLines="5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2本合同</w:t>
      </w:r>
      <w:r>
        <w:rPr>
          <w:rFonts w:hint="eastAsia" w:ascii="宋体" w:hAnsi="宋体" w:eastAsia="宋体" w:cs="宋体"/>
          <w:color w:val="auto"/>
          <w:sz w:val="24"/>
          <w:szCs w:val="24"/>
          <w:highlight w:val="none"/>
        </w:rPr>
        <w:t>费用按以下方式支付：</w:t>
      </w:r>
    </w:p>
    <w:p w14:paraId="270009D4">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乙方按照合同要求，每完成项目一个一级功能模块（或二级功能模块）的</w:t>
      </w:r>
      <w:r>
        <w:rPr>
          <w:rFonts w:hint="eastAsia" w:ascii="宋体" w:hAnsi="宋体" w:eastAsia="宋体" w:cs="宋体"/>
          <w:color w:val="auto"/>
          <w:sz w:val="24"/>
          <w:szCs w:val="24"/>
          <w:highlight w:val="none"/>
          <w:lang w:val="en-US" w:eastAsia="zh-CN"/>
        </w:rPr>
        <w:t>系统设计说明</w:t>
      </w:r>
      <w:r>
        <w:rPr>
          <w:rFonts w:hint="eastAsia" w:ascii="宋体" w:hAnsi="宋体" w:eastAsia="宋体" w:cs="宋体"/>
          <w:color w:val="auto"/>
          <w:sz w:val="24"/>
          <w:szCs w:val="24"/>
          <w:highlight w:val="none"/>
        </w:rPr>
        <w:t>并经甲方确认后，乙方提交如下申请付款单据并经甲方确认后15个工作日内支付上述合同价格表中相应模块合同金额的30%，乙方提供付款申请1份, 申请付款同等金额发票1份；</w:t>
      </w:r>
    </w:p>
    <w:p w14:paraId="55CBF9C3">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乙方按照合同要求，每完成项目一个一级功能模块（或二级功能模块）的开发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软件测试并经甲方确认</w:t>
      </w:r>
      <w:r>
        <w:rPr>
          <w:rFonts w:hint="eastAsia" w:ascii="宋体" w:hAnsi="宋体" w:eastAsia="宋体" w:cs="宋体"/>
          <w:color w:val="auto"/>
          <w:sz w:val="24"/>
          <w:szCs w:val="24"/>
          <w:highlight w:val="none"/>
          <w:lang w:val="en-US" w:eastAsia="zh-CN"/>
        </w:rPr>
        <w:t>可上线</w:t>
      </w:r>
      <w:r>
        <w:rPr>
          <w:rFonts w:hint="eastAsia" w:ascii="宋体" w:hAnsi="宋体" w:eastAsia="宋体" w:cs="宋体"/>
          <w:color w:val="auto"/>
          <w:sz w:val="24"/>
          <w:szCs w:val="24"/>
          <w:highlight w:val="none"/>
        </w:rPr>
        <w:t>后，乙方提交如下申请付款单据并经甲方确认后15个工作日内支付上述合同价格表中相应模块合同金额的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0%，乙方提供付款申请1份, 申请付款同等金额发票1份；</w:t>
      </w:r>
    </w:p>
    <w:p w14:paraId="11E4FA18">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乙方按照合同要求，每完成项目一个一级功能模块（或二级功能模块）的</w:t>
      </w:r>
      <w:r>
        <w:rPr>
          <w:rFonts w:hint="eastAsia" w:ascii="宋体" w:hAnsi="宋体" w:eastAsia="宋体" w:cs="宋体"/>
          <w:color w:val="auto"/>
          <w:sz w:val="24"/>
          <w:szCs w:val="24"/>
          <w:highlight w:val="none"/>
          <w:lang w:val="en-US" w:eastAsia="zh-CN"/>
        </w:rPr>
        <w:t>上线超90日历天</w:t>
      </w:r>
      <w:r>
        <w:rPr>
          <w:rFonts w:hint="eastAsia" w:ascii="宋体" w:hAnsi="宋体" w:eastAsia="宋体" w:cs="宋体"/>
          <w:color w:val="auto"/>
          <w:sz w:val="24"/>
          <w:szCs w:val="24"/>
          <w:highlight w:val="none"/>
        </w:rPr>
        <w:t>试运行正常</w:t>
      </w:r>
      <w:r>
        <w:rPr>
          <w:rFonts w:hint="eastAsia" w:ascii="宋体" w:hAnsi="宋体" w:eastAsia="宋体" w:cs="宋体"/>
          <w:color w:val="auto"/>
          <w:sz w:val="24"/>
          <w:szCs w:val="24"/>
          <w:highlight w:val="none"/>
          <w:lang w:val="en-US" w:eastAsia="zh-CN"/>
        </w:rPr>
        <w:t>且无重大缺陷</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val="en-US" w:eastAsia="zh-CN"/>
        </w:rPr>
        <w:t>经分项验收通过后，</w:t>
      </w:r>
      <w:r>
        <w:rPr>
          <w:rFonts w:hint="eastAsia" w:ascii="宋体" w:hAnsi="宋体" w:eastAsia="宋体" w:cs="宋体"/>
          <w:color w:val="auto"/>
          <w:sz w:val="24"/>
          <w:szCs w:val="24"/>
          <w:highlight w:val="none"/>
        </w:rPr>
        <w:t>乙方提交如下申请付款单据并经甲方确认后15个工作日内支付上述合同价格表中相应模块合同金额的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0%，乙方提供付款申请1份, 申请付款同等金额发票1份；</w:t>
      </w:r>
    </w:p>
    <w:p w14:paraId="72E74030">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前述3.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款支付时，预付款抵扣支付的模块开发费用直至预付款抵扣完为止</w:t>
      </w:r>
      <w:r>
        <w:rPr>
          <w:rFonts w:hint="eastAsia" w:ascii="宋体" w:hAnsi="宋体" w:eastAsia="宋体" w:cs="宋体"/>
          <w:color w:val="auto"/>
          <w:sz w:val="24"/>
          <w:szCs w:val="24"/>
          <w:highlight w:val="none"/>
          <w:lang w:eastAsia="zh-CN"/>
        </w:rPr>
        <w:t>；</w:t>
      </w:r>
    </w:p>
    <w:p w14:paraId="0BB21A8A">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本项目所有模块均完成分项验收且运行</w:t>
      </w:r>
      <w:r>
        <w:rPr>
          <w:rFonts w:hint="eastAsia" w:ascii="宋体" w:hAnsi="宋体" w:eastAsia="宋体" w:cs="宋体"/>
          <w:color w:val="auto"/>
          <w:sz w:val="24"/>
          <w:szCs w:val="24"/>
          <w:highlight w:val="none"/>
          <w:lang w:val="en-US" w:eastAsia="zh-CN"/>
        </w:rPr>
        <w:t>超</w:t>
      </w:r>
      <w:r>
        <w:rPr>
          <w:rFonts w:hint="eastAsia" w:ascii="宋体" w:hAnsi="宋体" w:eastAsia="宋体" w:cs="宋体"/>
          <w:color w:val="auto"/>
          <w:sz w:val="24"/>
          <w:szCs w:val="24"/>
          <w:highlight w:val="none"/>
        </w:rPr>
        <w:t>180个日历天后，经甲方</w:t>
      </w:r>
      <w:r>
        <w:rPr>
          <w:rFonts w:hint="eastAsia" w:ascii="宋体" w:hAnsi="宋体" w:eastAsia="宋体" w:cs="宋体"/>
          <w:color w:val="auto"/>
          <w:sz w:val="24"/>
          <w:szCs w:val="24"/>
          <w:highlight w:val="none"/>
          <w:lang w:val="en-US" w:eastAsia="zh-CN"/>
        </w:rPr>
        <w:t>竣工</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en-US" w:eastAsia="zh-CN"/>
        </w:rPr>
        <w:t>通过</w:t>
      </w:r>
      <w:r>
        <w:rPr>
          <w:rFonts w:hint="eastAsia" w:ascii="宋体" w:hAnsi="宋体" w:cs="宋体"/>
          <w:color w:val="auto"/>
          <w:sz w:val="24"/>
          <w:szCs w:val="24"/>
          <w:highlight w:val="none"/>
          <w:lang w:val="en-US" w:eastAsia="zh-CN"/>
        </w:rPr>
        <w:t>和完成项目结算</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rPr>
        <w:t>，乙方提交如下申请付款单据并经甲方确认后15个工作日内支付至</w:t>
      </w:r>
      <w:r>
        <w:rPr>
          <w:rFonts w:hint="eastAsia" w:ascii="宋体" w:hAnsi="宋体" w:eastAsia="宋体" w:cs="宋体"/>
          <w:color w:val="auto"/>
          <w:sz w:val="24"/>
          <w:szCs w:val="24"/>
          <w:highlight w:val="none"/>
          <w:lang w:val="en-US" w:eastAsia="zh-CN"/>
        </w:rPr>
        <w:t>本合同</w:t>
      </w:r>
      <w:r>
        <w:rPr>
          <w:rFonts w:hint="eastAsia" w:ascii="宋体" w:hAnsi="宋体" w:eastAsia="宋体" w:cs="宋体"/>
          <w:color w:val="auto"/>
          <w:sz w:val="24"/>
          <w:szCs w:val="24"/>
          <w:highlight w:val="none"/>
        </w:rPr>
        <w:t>总额的</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％，乙方提供付款申请1份，</w:t>
      </w:r>
      <w:r>
        <w:rPr>
          <w:rFonts w:hint="eastAsia" w:ascii="宋体" w:hAnsi="宋体" w:eastAsia="宋体" w:cs="宋体"/>
          <w:color w:val="auto"/>
          <w:sz w:val="24"/>
          <w:szCs w:val="24"/>
          <w:highlight w:val="none"/>
          <w:lang w:val="en-US" w:eastAsia="zh-CN"/>
        </w:rPr>
        <w:t>竣工</w:t>
      </w:r>
      <w:r>
        <w:rPr>
          <w:rFonts w:hint="eastAsia" w:ascii="宋体" w:hAnsi="宋体" w:eastAsia="宋体" w:cs="宋体"/>
          <w:color w:val="auto"/>
          <w:sz w:val="24"/>
          <w:szCs w:val="24"/>
          <w:highlight w:val="none"/>
        </w:rPr>
        <w:t>验收合格证明1份，申请付款同等金额发票1份；乙方提供的结算资料包括：本合同结算书、各阶段的成果资料（包括但不限于全套技术资料、培训资料）、各阶段及最终的验收表格、验收评审会议记录</w:t>
      </w:r>
      <w:r>
        <w:rPr>
          <w:rFonts w:hint="eastAsia" w:ascii="宋体" w:hAnsi="宋体" w:cs="宋体"/>
          <w:color w:val="auto"/>
          <w:sz w:val="24"/>
          <w:szCs w:val="24"/>
          <w:highlight w:val="none"/>
          <w:lang w:eastAsia="zh-CN"/>
        </w:rPr>
        <w:t>。</w:t>
      </w:r>
    </w:p>
    <w:p w14:paraId="2DD99E48">
      <w:pPr>
        <w:pageBreakBefore w:val="0"/>
        <w:tabs>
          <w:tab w:val="left" w:pos="-5103"/>
        </w:tabs>
        <w:kinsoku/>
        <w:wordWrap/>
        <w:overflowPunct/>
        <w:bidi w:val="0"/>
        <w:adjustRightInd w:val="0"/>
        <w:snapToGrid w:val="0"/>
        <w:spacing w:before="156" w:beforeLines="50"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6本合同</w:t>
      </w:r>
      <w:r>
        <w:rPr>
          <w:rFonts w:hint="eastAsia" w:ascii="宋体" w:hAnsi="宋体" w:eastAsia="宋体" w:cs="宋体"/>
          <w:color w:val="auto"/>
          <w:sz w:val="24"/>
          <w:szCs w:val="24"/>
          <w:highlight w:val="none"/>
        </w:rPr>
        <w:t>总额的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%作为质量保证金，在系统正式上线</w:t>
      </w:r>
      <w:r>
        <w:rPr>
          <w:rFonts w:hint="eastAsia" w:ascii="宋体" w:hAnsi="宋体" w:eastAsia="宋体" w:cs="宋体"/>
          <w:color w:val="auto"/>
          <w:sz w:val="24"/>
          <w:szCs w:val="24"/>
          <w:highlight w:val="none"/>
          <w:lang w:val="en-US" w:eastAsia="zh-CN"/>
        </w:rPr>
        <w:t>竣工</w:t>
      </w:r>
      <w:r>
        <w:rPr>
          <w:rFonts w:hint="eastAsia" w:ascii="宋体" w:hAnsi="宋体" w:eastAsia="宋体" w:cs="宋体"/>
          <w:color w:val="auto"/>
          <w:sz w:val="24"/>
          <w:szCs w:val="24"/>
          <w:highlight w:val="none"/>
        </w:rPr>
        <w:t>验收合格且质量保证期内无任何质量问题后支付；乙方提交如下申请付款单据并经甲方检查合格后15个工作日内支付：乙方提供付款申请1份，申请付款对应发票1份；</w:t>
      </w:r>
    </w:p>
    <w:p w14:paraId="5AF2B541">
      <w:pPr>
        <w:tabs>
          <w:tab w:val="left" w:pos="-5103"/>
        </w:tabs>
        <w:adjustRightInd w:val="0"/>
        <w:snapToGrid w:val="0"/>
        <w:spacing w:before="156" w:beforeLines="50" w:afterLines="0"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 履约保证金</w:t>
      </w:r>
    </w:p>
    <w:p w14:paraId="633DB13B">
      <w:pPr>
        <w:tabs>
          <w:tab w:val="left" w:pos="-5103"/>
        </w:tabs>
        <w:adjustRightInd w:val="0"/>
        <w:snapToGrid w:val="0"/>
        <w:spacing w:before="156" w:beforeLines="50"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3.6.1乙方</w:t>
      </w:r>
      <w:r>
        <w:rPr>
          <w:rFonts w:hint="eastAsia" w:ascii="宋体" w:hAnsi="宋体" w:eastAsia="宋体" w:cs="宋体"/>
          <w:color w:val="auto"/>
          <w:sz w:val="24"/>
          <w:szCs w:val="24"/>
          <w:highlight w:val="none"/>
        </w:rPr>
        <w:t>应在合同签订后30日内，以</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可以接受的方式向</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提交履约保证金或履约保函，金额按</w:t>
      </w:r>
      <w:r>
        <w:rPr>
          <w:rFonts w:hint="eastAsia" w:ascii="宋体" w:hAnsi="宋体" w:eastAsia="宋体" w:cs="宋体"/>
          <w:color w:val="auto"/>
          <w:sz w:val="24"/>
          <w:szCs w:val="24"/>
          <w:highlight w:val="none"/>
          <w:lang w:val="en-US" w:eastAsia="zh-CN"/>
        </w:rPr>
        <w:t>合同总价</w:t>
      </w:r>
      <w:r>
        <w:rPr>
          <w:rFonts w:hint="eastAsia" w:ascii="宋体" w:hAnsi="宋体" w:eastAsia="宋体" w:cs="宋体"/>
          <w:color w:val="auto"/>
          <w:sz w:val="24"/>
          <w:szCs w:val="24"/>
          <w:highlight w:val="none"/>
        </w:rPr>
        <w:t>的5%</w:t>
      </w:r>
      <w:r>
        <w:rPr>
          <w:rFonts w:hint="eastAsia" w:ascii="宋体" w:hAnsi="宋体" w:eastAsia="宋体" w:cs="宋体"/>
          <w:color w:val="auto"/>
          <w:sz w:val="24"/>
          <w:szCs w:val="24"/>
          <w:highlight w:val="none"/>
          <w:lang w:val="en-US" w:eastAsia="zh-CN"/>
        </w:rPr>
        <w:t>提交</w:t>
      </w:r>
      <w:r>
        <w:rPr>
          <w:rFonts w:hint="eastAsia" w:ascii="宋体" w:hAnsi="宋体" w:eastAsia="宋体" w:cs="宋体"/>
          <w:color w:val="auto"/>
          <w:sz w:val="24"/>
          <w:szCs w:val="24"/>
          <w:highlight w:val="none"/>
        </w:rPr>
        <w:t>，即人民币：</w:t>
      </w:r>
      <w:r>
        <w:rPr>
          <w:rFonts w:hint="eastAsia" w:ascii="宋体" w:hAnsi="宋体" w:eastAsia="宋体" w:cs="宋体"/>
          <w:color w:val="auto"/>
          <w:kern w:val="2"/>
          <w:sz w:val="24"/>
          <w:szCs w:val="24"/>
          <w:highlight w:val="none"/>
          <w:u w:val="none"/>
        </w:rPr>
        <w:t>¥</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sz w:val="24"/>
          <w:szCs w:val="24"/>
          <w:highlight w:val="none"/>
        </w:rPr>
        <w:t>元整（大写：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元整）。履约保证金以银行保函形式提交的，需为无条件、不可撤销履约保函形式。（</w:t>
      </w:r>
      <w:r>
        <w:rPr>
          <w:rFonts w:hint="eastAsia" w:ascii="宋体" w:hAnsi="宋体" w:cs="宋体"/>
          <w:color w:val="auto"/>
          <w:sz w:val="24"/>
          <w:szCs w:val="24"/>
          <w:highlight w:val="none"/>
          <w:lang w:val="en-US" w:eastAsia="zh-CN"/>
        </w:rPr>
        <w:t>履约</w:t>
      </w:r>
      <w:r>
        <w:rPr>
          <w:rFonts w:hint="eastAsia" w:ascii="宋体" w:hAnsi="宋体" w:eastAsia="宋体" w:cs="宋体"/>
          <w:color w:val="auto"/>
          <w:sz w:val="24"/>
          <w:szCs w:val="24"/>
          <w:highlight w:val="none"/>
        </w:rPr>
        <w:t>保函有效期为自提交之日起至质保期</w:t>
      </w:r>
      <w:r>
        <w:rPr>
          <w:rFonts w:hint="eastAsia" w:ascii="宋体" w:hAnsi="宋体" w:cs="宋体"/>
          <w:color w:val="auto"/>
          <w:sz w:val="24"/>
          <w:szCs w:val="24"/>
          <w:highlight w:val="none"/>
          <w:lang w:val="en-US" w:eastAsia="zh-CN"/>
        </w:rPr>
        <w:t>结束之日</w:t>
      </w:r>
      <w:r>
        <w:rPr>
          <w:rFonts w:hint="eastAsia" w:ascii="宋体" w:hAnsi="宋体" w:eastAsia="宋体" w:cs="宋体"/>
          <w:color w:val="auto"/>
          <w:sz w:val="24"/>
          <w:szCs w:val="24"/>
          <w:highlight w:val="none"/>
        </w:rPr>
        <w:t>）</w:t>
      </w:r>
    </w:p>
    <w:p w14:paraId="16515EF3">
      <w:pPr>
        <w:tabs>
          <w:tab w:val="left" w:pos="-5103"/>
        </w:tabs>
        <w:adjustRightInd w:val="0"/>
        <w:snapToGrid w:val="0"/>
        <w:spacing w:before="156" w:beforeLines="50" w:afterLines="0" w:line="360" w:lineRule="auto"/>
        <w:ind w:left="0" w:leftChars="0" w:firstLine="480" w:firstLineChars="2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3.6.2</w:t>
      </w:r>
      <w:r>
        <w:rPr>
          <w:rFonts w:hint="eastAsia" w:ascii="宋体" w:hAnsi="宋体" w:cs="宋体"/>
          <w:color w:val="auto"/>
          <w:sz w:val="24"/>
          <w:szCs w:val="24"/>
          <w:highlight w:val="none"/>
        </w:rPr>
        <w:t>乙方不履行或怠于履行其在本合同书项下任何一项义务，即构成违约，甲方有权用履约保证金补偿其任何直接或间接损失及收取违约金等。</w:t>
      </w:r>
    </w:p>
    <w:p w14:paraId="60A91C0A">
      <w:pPr>
        <w:tabs>
          <w:tab w:val="left" w:pos="-5103"/>
        </w:tabs>
        <w:adjustRightInd w:val="0"/>
        <w:snapToGrid w:val="0"/>
        <w:spacing w:before="156" w:beforeLines="50" w:afterLines="0" w:line="360" w:lineRule="auto"/>
        <w:ind w:left="0" w:leftChars="0" w:firstLine="480" w:firstLineChars="2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3.6.3</w:t>
      </w:r>
      <w:r>
        <w:rPr>
          <w:rFonts w:hint="eastAsia" w:ascii="宋体" w:hAnsi="宋体" w:cs="宋体"/>
          <w:color w:val="auto"/>
          <w:sz w:val="24"/>
          <w:szCs w:val="24"/>
          <w:highlight w:val="none"/>
        </w:rPr>
        <w:t>如在履约保函有效期内，乙方未完全履行合同或合同双方存在合同纠纷并且尚未完全得到解决，乙方应无条件在保函到期日前办理完毕保函延期或续办保函手续，保函延期或续办保函的有效期应到上述纠纷最终解决且双方所有债权债务结清时止。</w:t>
      </w:r>
    </w:p>
    <w:p w14:paraId="323A63B5">
      <w:pPr>
        <w:pageBreakBefore w:val="0"/>
        <w:tabs>
          <w:tab w:val="left" w:pos="-5103"/>
        </w:tabs>
        <w:kinsoku/>
        <w:wordWrap/>
        <w:overflowPunct/>
        <w:bidi w:val="0"/>
        <w:snapToGrid w:val="0"/>
        <w:spacing w:before="156" w:beforeLines="50" w:afterLines="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eastAsia="zh-CN"/>
        </w:rPr>
        <w:t>3.6.4</w:t>
      </w:r>
      <w:r>
        <w:rPr>
          <w:rFonts w:hint="eastAsia" w:ascii="宋体" w:hAnsi="宋体" w:cs="宋体"/>
          <w:color w:val="auto"/>
          <w:sz w:val="24"/>
          <w:szCs w:val="24"/>
          <w:highlight w:val="none"/>
        </w:rPr>
        <w:t>出具履约保函的费用由乙方负担。</w:t>
      </w:r>
    </w:p>
    <w:p w14:paraId="0BE1319F">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rPr>
        <w:t>项目工期、服务地点</w:t>
      </w:r>
    </w:p>
    <w:p w14:paraId="2EE6836A">
      <w:pPr>
        <w:pageBreakBefore w:val="0"/>
        <w:tabs>
          <w:tab w:val="left" w:pos="420"/>
        </w:tabs>
        <w:kinsoku/>
        <w:wordWrap/>
        <w:overflowPunct/>
        <w:bidi w:val="0"/>
        <w:adjustRightInd w:val="0"/>
        <w:snapToGrid w:val="0"/>
        <w:spacing w:afterLines="0" w:line="360" w:lineRule="auto"/>
        <w:ind w:left="210" w:leftChars="1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4.1本项目建设工期自</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日起至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日止，建设工期共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个月，质保期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p>
    <w:p w14:paraId="718AEEA2">
      <w:pPr>
        <w:pageBreakBefore w:val="0"/>
        <w:tabs>
          <w:tab w:val="left" w:pos="420"/>
        </w:tabs>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项目实施总工期必须满足整个项目建设进度、生产运营需要。乙方应保证</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年 月 日前完成</w:t>
      </w:r>
      <w:r>
        <w:rPr>
          <w:rFonts w:hint="eastAsia" w:ascii="宋体" w:hAnsi="宋体" w:eastAsia="宋体" w:cs="宋体"/>
          <w:color w:val="auto"/>
          <w:sz w:val="24"/>
          <w:szCs w:val="24"/>
          <w:highlight w:val="none"/>
          <w:lang w:val="en-US" w:eastAsia="zh-CN"/>
        </w:rPr>
        <w:t>所有系统设计说明</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年 月 日</w:t>
      </w:r>
      <w:r>
        <w:rPr>
          <w:rFonts w:hint="eastAsia" w:ascii="宋体" w:hAnsi="宋体" w:eastAsia="宋体" w:cs="宋体"/>
          <w:color w:val="auto"/>
          <w:sz w:val="24"/>
          <w:szCs w:val="24"/>
          <w:highlight w:val="none"/>
        </w:rPr>
        <w:t>前完成</w:t>
      </w:r>
      <w:r>
        <w:rPr>
          <w:rFonts w:hint="eastAsia" w:ascii="宋体" w:hAnsi="宋体" w:eastAsia="宋体" w:cs="宋体"/>
          <w:color w:val="auto"/>
          <w:sz w:val="24"/>
          <w:szCs w:val="24"/>
          <w:highlight w:val="none"/>
          <w:lang w:val="en-US" w:eastAsia="zh-CN"/>
        </w:rPr>
        <w:t>系统</w:t>
      </w:r>
      <w:r>
        <w:rPr>
          <w:rFonts w:hint="eastAsia" w:ascii="宋体" w:hAnsi="宋体" w:eastAsia="宋体" w:cs="宋体"/>
          <w:color w:val="auto"/>
          <w:sz w:val="24"/>
          <w:szCs w:val="24"/>
          <w:highlight w:val="none"/>
        </w:rPr>
        <w:t>的主要功能，并投入试运行，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年 月 日</w:t>
      </w:r>
      <w:r>
        <w:rPr>
          <w:rFonts w:hint="eastAsia" w:ascii="宋体" w:hAnsi="宋体" w:eastAsia="宋体" w:cs="宋体"/>
          <w:color w:val="auto"/>
          <w:sz w:val="24"/>
          <w:szCs w:val="24"/>
          <w:highlight w:val="none"/>
        </w:rPr>
        <w:t>前投入正式运行；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年 月 日</w:t>
      </w:r>
      <w:r>
        <w:rPr>
          <w:rFonts w:hint="eastAsia" w:ascii="宋体" w:hAnsi="宋体" w:eastAsia="宋体" w:cs="宋体"/>
          <w:color w:val="auto"/>
          <w:sz w:val="24"/>
          <w:szCs w:val="24"/>
          <w:highlight w:val="none"/>
        </w:rPr>
        <w:t>前全部完工，完成整个系统联合调试和试运行。</w:t>
      </w:r>
    </w:p>
    <w:p w14:paraId="644CCFCD">
      <w:pPr>
        <w:pageBreakBefore w:val="0"/>
        <w:tabs>
          <w:tab w:val="left" w:pos="420"/>
        </w:tabs>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乙方原因造成本软件开发项目总工期迟延，每逾期一天，乙方须按合同总价款的万分之五向甲方支付违约金。逾期50日的，甲方有权单方终止合同，并不免除乙方应承担相应的违约责任，对乙方已实施的工作，甲乙双方按实结算。</w:t>
      </w:r>
    </w:p>
    <w:p w14:paraId="279FF53C">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4.2项目服务地点主要在甲方建设现场办公地，根据项目需要，乙方的项目人员须到甲方各所属机构所在其它地区（中国境内），进行</w:t>
      </w:r>
      <w:bookmarkStart w:id="101" w:name="_Toc383442134"/>
      <w:bookmarkStart w:id="102" w:name="_Toc424061953"/>
      <w:r>
        <w:rPr>
          <w:rFonts w:hint="eastAsia" w:ascii="宋体" w:hAnsi="宋体" w:eastAsia="宋体" w:cs="宋体"/>
          <w:color w:val="auto"/>
          <w:sz w:val="24"/>
          <w:szCs w:val="24"/>
          <w:highlight w:val="none"/>
        </w:rPr>
        <w:t>合同约定的项目工</w:t>
      </w:r>
      <w:bookmarkEnd w:id="101"/>
      <w:bookmarkEnd w:id="102"/>
      <w:r>
        <w:rPr>
          <w:rFonts w:hint="eastAsia" w:ascii="宋体" w:hAnsi="宋体" w:eastAsia="宋体" w:cs="宋体"/>
          <w:color w:val="auto"/>
          <w:sz w:val="24"/>
          <w:szCs w:val="24"/>
          <w:highlight w:val="none"/>
        </w:rPr>
        <w:t>作，对此发生的相关费用亦由乙方负责。</w:t>
      </w:r>
    </w:p>
    <w:p w14:paraId="2048EB70">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五、服务</w:t>
      </w:r>
      <w:r>
        <w:rPr>
          <w:rFonts w:hint="eastAsia" w:ascii="宋体" w:hAnsi="宋体" w:eastAsia="宋体" w:cs="宋体"/>
          <w:color w:val="auto"/>
          <w:sz w:val="28"/>
          <w:szCs w:val="28"/>
          <w:highlight w:val="none"/>
        </w:rPr>
        <w:t>项目人员要求</w:t>
      </w:r>
    </w:p>
    <w:p w14:paraId="1D5FA47C">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5.1人员配置与确认</w:t>
      </w:r>
    </w:p>
    <w:p w14:paraId="25D6AE16">
      <w:pPr>
        <w:pageBreakBefore w:val="0"/>
        <w:kinsoku/>
        <w:wordWrap/>
        <w:overflowPunct/>
        <w:bidi w:val="0"/>
        <w:adjustRightInd w:val="0"/>
        <w:snapToGrid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5.1.1乙方应按照投标文件中承诺的内容提供本项目管理、实施、售后服务成员名单，乙方指派的上述人员应满足甲方在本项目招标文件中对项目人员的资质要求、项目经验丰富而且可以信赖的人员来完成项目和提供服务，符合本项目的实际需求，并保证在合同履行期间，乙方人员按照</w:t>
      </w: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"file:///C:\\Users\\liuhm\\Desktop\\综合管理系统研发项目技术文件V2-226.docx"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bCs/>
          <w:color w:val="auto"/>
          <w:sz w:val="24"/>
          <w:szCs w:val="24"/>
          <w:highlight w:val="none"/>
        </w:rPr>
        <w:t>合同附件一</w:t>
      </w:r>
      <w:r>
        <w:rPr>
          <w:rFonts w:hint="eastAsia" w:ascii="宋体" w:hAnsi="宋体" w:eastAsia="宋体" w:cs="宋体"/>
          <w:bCs/>
          <w:color w:val="auto"/>
          <w:sz w:val="24"/>
          <w:szCs w:val="24"/>
          <w:highlight w:val="none"/>
        </w:rPr>
        <w:fldChar w:fldCharType="end"/>
      </w:r>
      <w:r>
        <w:rPr>
          <w:rFonts w:hint="eastAsia" w:ascii="宋体" w:hAnsi="宋体" w:eastAsia="宋体" w:cs="宋体"/>
          <w:bCs/>
          <w:color w:val="auto"/>
          <w:sz w:val="24"/>
          <w:szCs w:val="24"/>
          <w:highlight w:val="none"/>
        </w:rPr>
        <w:t>规定的时间阶段在甲方办公现场工作。双方约定的项目组成员名单见附件本项目管理、实施、售后服务成员情况。</w:t>
      </w:r>
    </w:p>
    <w:p w14:paraId="289C86E8">
      <w:pPr>
        <w:pageBreakBefore w:val="0"/>
        <w:numPr>
          <w:ilvl w:val="-1"/>
          <w:numId w:val="0"/>
        </w:numPr>
        <w:kinsoku/>
        <w:wordWrap/>
        <w:overflowPunct/>
        <w:bidi w:val="0"/>
        <w:adjustRightInd w:val="0"/>
        <w:snapToGrid w:val="0"/>
        <w:spacing w:afterLines="0" w:line="360" w:lineRule="auto"/>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5.1.2乙方参与本项目人员必须为乙方正式员工，如个别服务内容具有特殊性，需非乙方员工参与，乙方必须向甲方提出书面申请，并征得甲方同意；且该同意不视为乙方任何责任或义务的转移，所有后果由乙方承担。</w:t>
      </w:r>
    </w:p>
    <w:p w14:paraId="2EFD281E">
      <w:pPr>
        <w:pageBreakBefore w:val="0"/>
        <w:numPr>
          <w:ilvl w:val="-1"/>
          <w:numId w:val="0"/>
        </w:numPr>
        <w:kinsoku/>
        <w:wordWrap/>
        <w:overflowPunct/>
        <w:bidi w:val="0"/>
        <w:adjustRightInd w:val="0"/>
        <w:snapToGrid w:val="0"/>
        <w:spacing w:afterLines="0" w:line="360" w:lineRule="auto"/>
        <w:ind w:left="0" w:leftChars="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5.1.3</w:t>
      </w:r>
      <w:r>
        <w:rPr>
          <w:rFonts w:hint="eastAsia" w:ascii="宋体" w:hAnsi="宋体" w:eastAsia="宋体" w:cs="宋体"/>
          <w:bCs/>
          <w:color w:val="auto"/>
          <w:sz w:val="24"/>
          <w:szCs w:val="24"/>
          <w:highlight w:val="none"/>
          <w:lang w:val="en-US" w:eastAsia="zh-CN"/>
        </w:rPr>
        <w:t>在整个项目建设周期中项目经理、技术总监每月驻点办公场所时间不少于21天（若该月法定工作日少于21天，则按该月法定工作日天数执行）。在项目调研、实施、测试、上线等阶段，各模块主要模块实施人员应现场办公。</w:t>
      </w:r>
    </w:p>
    <w:p w14:paraId="14F36995">
      <w:pPr>
        <w:pageBreakBefore w:val="0"/>
        <w:kinsoku/>
        <w:wordWrap/>
        <w:overflowPunct/>
        <w:bidi w:val="0"/>
        <w:adjustRightInd w:val="0"/>
        <w:snapToGrid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5.1.4</w:t>
      </w:r>
      <w:r>
        <w:rPr>
          <w:rFonts w:hint="eastAsia" w:ascii="宋体" w:hAnsi="宋体" w:eastAsia="宋体" w:cs="宋体"/>
          <w:bCs/>
          <w:color w:val="auto"/>
          <w:sz w:val="24"/>
          <w:szCs w:val="24"/>
          <w:highlight w:val="none"/>
        </w:rPr>
        <w:t>乙方人员的配置要求需满足本合同附件一的规定。</w:t>
      </w:r>
    </w:p>
    <w:p w14:paraId="433713B0">
      <w:pPr>
        <w:pageBreakBefore w:val="0"/>
        <w:kinsoku/>
        <w:wordWrap/>
        <w:overflowPunct/>
        <w:bidi w:val="0"/>
        <w:adjustRightInd w:val="0"/>
        <w:snapToGrid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5.2人员更换与变动</w:t>
      </w:r>
    </w:p>
    <w:p w14:paraId="301CFAA7">
      <w:pPr>
        <w:pageBreakBefore w:val="0"/>
        <w:kinsoku/>
        <w:wordWrap/>
        <w:overflowPunct/>
        <w:bidi w:val="0"/>
        <w:spacing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5.2.1在项目实施过程中，乙方原则上不能进行项目人员变动。乙方应保证其在履行本合同的责任期内，项目经理、</w:t>
      </w:r>
      <w:r>
        <w:rPr>
          <w:rFonts w:hint="eastAsia" w:ascii="宋体" w:hAnsi="宋体" w:eastAsia="宋体" w:cs="宋体"/>
          <w:color w:val="auto"/>
          <w:sz w:val="24"/>
          <w:szCs w:val="24"/>
          <w:highlight w:val="none"/>
          <w:lang w:val="en-US" w:eastAsia="zh-CN"/>
        </w:rPr>
        <w:t>技术总监、</w:t>
      </w:r>
      <w:r>
        <w:rPr>
          <w:rFonts w:hint="eastAsia" w:ascii="宋体" w:hAnsi="宋体" w:eastAsia="宋体" w:cs="宋体"/>
          <w:color w:val="auto"/>
          <w:sz w:val="24"/>
          <w:szCs w:val="24"/>
          <w:highlight w:val="none"/>
        </w:rPr>
        <w:t>各模块负责人及其项目机构的主要成员未经</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同意不得调换。否则视为</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违约，项目经理的违约罚金为50万元/人，其项目机构的主要成员（包括</w:t>
      </w:r>
      <w:r>
        <w:rPr>
          <w:rFonts w:hint="eastAsia" w:ascii="宋体" w:hAnsi="宋体" w:eastAsia="宋体" w:cs="宋体"/>
          <w:color w:val="auto"/>
          <w:sz w:val="24"/>
          <w:szCs w:val="24"/>
          <w:highlight w:val="none"/>
          <w:lang w:val="en-US" w:eastAsia="zh-CN"/>
        </w:rPr>
        <w:t>技术总监和</w:t>
      </w:r>
      <w:r>
        <w:rPr>
          <w:rFonts w:hint="eastAsia" w:ascii="宋体" w:hAnsi="宋体" w:eastAsia="宋体" w:cs="宋体"/>
          <w:color w:val="auto"/>
          <w:sz w:val="24"/>
          <w:szCs w:val="24"/>
          <w:highlight w:val="none"/>
        </w:rPr>
        <w:t>各模块负责人）的违约罚金为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万元/人，并从本合同价款中扣除。如</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不按照投标文件承诺或本合同约定的服务人员名单派出人员，</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有权终止本合同。</w:t>
      </w:r>
    </w:p>
    <w:p w14:paraId="4529108D">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5.2.2在特殊情况下如确需变动，须提前一个月向甲方提出申请，得到甲方认可后方可变动。</w:t>
      </w:r>
    </w:p>
    <w:p w14:paraId="0F10B44F">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5.2.3替换人员须提前两周入场，和被替换人员保证至少两周的共同工作时间。</w:t>
      </w:r>
    </w:p>
    <w:p w14:paraId="6BA664D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5.2.4替换人员须在资历、项目领域经验上需等于或优于被替换人员。</w:t>
      </w:r>
    </w:p>
    <w:p w14:paraId="496AAB2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5.2.5如果甲方认为乙方派出的项目人员不能胜任或者不适合本项目，可随时要求乙方进行更换，乙方须在合理时间内指派合适的替换人员。在通知乙方后的3个工作日内乙方应以书面形式答复甲方，并在5个工作日内安排能胜任该项工作且取得甲方认可的人员到位。如果承包人未能在规定的时间内按照甲方的要求更换所需要人员到岗位，甲方将向乙方处以5万元的罚金，并在甲方向乙方支付的合同款项中扣除。</w:t>
      </w:r>
    </w:p>
    <w:p w14:paraId="0B05453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5.3保险与赔偿</w:t>
      </w:r>
    </w:p>
    <w:p w14:paraId="15BD33D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乙方对派出的人员负全部责任，不论该人员是否为其雇员，都应为乙方派到工作现场的人购买适当的保险，保障因这些人员的受伤（包括致命伤害）而产生</w:t>
      </w:r>
      <w:bookmarkStart w:id="103" w:name="_Toc424061954"/>
      <w:bookmarkStart w:id="104" w:name="_Toc383442135"/>
      <w:r>
        <w:rPr>
          <w:rFonts w:hint="eastAsia" w:ascii="宋体" w:hAnsi="宋体" w:eastAsia="宋体" w:cs="宋体"/>
          <w:color w:val="auto"/>
          <w:sz w:val="24"/>
          <w:szCs w:val="24"/>
          <w:highlight w:val="none"/>
        </w:rPr>
        <w:t>的索赔和费用</w:t>
      </w:r>
      <w:bookmarkEnd w:id="103"/>
      <w:bookmarkEnd w:id="104"/>
      <w:r>
        <w:rPr>
          <w:rFonts w:hint="eastAsia" w:ascii="宋体" w:hAnsi="宋体" w:eastAsia="宋体" w:cs="宋体"/>
          <w:color w:val="auto"/>
          <w:sz w:val="24"/>
          <w:szCs w:val="24"/>
          <w:highlight w:val="none"/>
        </w:rPr>
        <w:t>。甲方不对乙方人员承担任何责任和费用。</w:t>
      </w:r>
    </w:p>
    <w:p w14:paraId="33A65E87">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如乙方未按合同规定购买保险导致甲方损失无法索赔时，由此而引起的甲方的损失由乙方负责赔偿。</w:t>
      </w:r>
    </w:p>
    <w:p w14:paraId="64575873">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六、</w:t>
      </w:r>
      <w:r>
        <w:rPr>
          <w:rFonts w:hint="eastAsia" w:ascii="宋体" w:hAnsi="宋体" w:eastAsia="宋体" w:cs="宋体"/>
          <w:color w:val="auto"/>
          <w:sz w:val="28"/>
          <w:szCs w:val="28"/>
          <w:highlight w:val="none"/>
        </w:rPr>
        <w:t>项目进度与管理</w:t>
      </w:r>
    </w:p>
    <w:p w14:paraId="37753B27">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6.1乙方应安排充足的人力与技术投入，以保证项目达到合同要求的技术进度要求；详细项目进度要求见本</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"file:///C:\\Users\\liuhm\\Desktop\\综合管理系统研发项目技术文件V2-226.docx" </w:instrText>
      </w:r>
      <w:r>
        <w:rPr>
          <w:rFonts w:hint="eastAsia" w:ascii="宋体" w:hAnsi="宋体" w:eastAsia="宋体" w:cs="宋体"/>
          <w:color w:val="auto"/>
          <w:sz w:val="24"/>
          <w:szCs w:val="24"/>
          <w:highlight w:val="none"/>
        </w:rPr>
        <w:fldChar w:fldCharType="separate"/>
      </w:r>
      <w:r>
        <w:rPr>
          <w:rStyle w:val="23"/>
          <w:rFonts w:hint="eastAsia" w:ascii="宋体" w:hAnsi="宋体" w:eastAsia="宋体" w:cs="宋体"/>
          <w:color w:val="auto"/>
          <w:sz w:val="24"/>
          <w:szCs w:val="24"/>
          <w:highlight w:val="none"/>
        </w:rPr>
        <w:t>合同附件一</w:t>
      </w:r>
      <w:r>
        <w:rPr>
          <w:rStyle w:val="23"/>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2755C934">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6.2合同生效后</w:t>
      </w:r>
      <w:r>
        <w:rPr>
          <w:rFonts w:hint="eastAsia" w:ascii="宋体" w:hAnsi="宋体" w:eastAsia="宋体" w:cs="宋体"/>
          <w:snapToGrid w:val="0"/>
          <w:color w:val="auto"/>
          <w:sz w:val="24"/>
          <w:szCs w:val="24"/>
          <w:highlight w:val="none"/>
          <w:lang w:val="en-US" w:eastAsia="zh-CN"/>
        </w:rPr>
        <w:t>两</w:t>
      </w:r>
      <w:r>
        <w:rPr>
          <w:rFonts w:hint="eastAsia" w:ascii="宋体" w:hAnsi="宋体" w:eastAsia="宋体" w:cs="宋体"/>
          <w:snapToGrid w:val="0"/>
          <w:color w:val="auto"/>
          <w:sz w:val="24"/>
          <w:szCs w:val="24"/>
          <w:highlight w:val="none"/>
        </w:rPr>
        <w:t>周内，乙方必须依据本合同附件一编制项目工作详细计划（以下简称项目计划），经甲方审核通过后，作为项目进度控制标准予以执行。</w:t>
      </w:r>
    </w:p>
    <w:p w14:paraId="6BBCE031">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6.3项目实施过程中，乙方应在每月的第五个工作日前向甲方提交月工作报告，每周一向甲方提交周工作报告。工作报告里须说明项目计划的执行情况，以及下一个时间段的工作计划内容，并应针对项目的实际进展情况提出相关合理化建议。</w:t>
      </w:r>
    </w:p>
    <w:p w14:paraId="6B27EA2C">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6.4由于任何一方的原因需调整项目进度计划须得到另一方的确认，并及时调整项目实施安排，调整后的项目计划须由合同双方签字确认。</w:t>
      </w:r>
    </w:p>
    <w:p w14:paraId="344BBE4F">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6.</w:t>
      </w:r>
      <w:r>
        <w:rPr>
          <w:rFonts w:hint="eastAsia" w:ascii="宋体" w:hAnsi="宋体" w:cs="宋体"/>
          <w:snapToGrid w:val="0"/>
          <w:color w:val="auto"/>
          <w:sz w:val="24"/>
          <w:szCs w:val="24"/>
          <w:highlight w:val="none"/>
          <w:lang w:eastAsia="zh-CN"/>
        </w:rPr>
        <w:t>5</w:t>
      </w:r>
      <w:r>
        <w:rPr>
          <w:rFonts w:hint="eastAsia" w:ascii="宋体" w:hAnsi="宋体" w:eastAsia="宋体" w:cs="宋体"/>
          <w:snapToGrid w:val="0"/>
          <w:color w:val="auto"/>
          <w:sz w:val="24"/>
          <w:szCs w:val="24"/>
          <w:highlight w:val="none"/>
        </w:rPr>
        <w:t>如甲方聘请第三方单位对本项目实施监理(或咨询)工作，乙方应在项目实施期间对其工作予以配合并服从其管理，包括但不限于需求调研、基础建设、开发与测试、</w:t>
      </w:r>
      <w:r>
        <w:rPr>
          <w:rFonts w:hint="eastAsia" w:ascii="宋体" w:hAnsi="宋体" w:eastAsia="宋体" w:cs="宋体"/>
          <w:snapToGrid w:val="0"/>
          <w:color w:val="auto"/>
          <w:sz w:val="24"/>
          <w:szCs w:val="24"/>
          <w:highlight w:val="none"/>
          <w:lang w:val="en-US" w:eastAsia="zh-CN"/>
        </w:rPr>
        <w:t>分项</w:t>
      </w:r>
      <w:r>
        <w:rPr>
          <w:rFonts w:hint="eastAsia" w:ascii="宋体" w:hAnsi="宋体" w:eastAsia="宋体" w:cs="宋体"/>
          <w:snapToGrid w:val="0"/>
          <w:color w:val="auto"/>
          <w:sz w:val="24"/>
          <w:szCs w:val="24"/>
          <w:highlight w:val="none"/>
        </w:rPr>
        <w:t>验收、质保期等各阶段。</w:t>
      </w:r>
    </w:p>
    <w:p w14:paraId="053B525D">
      <w:pPr>
        <w:pageBreakBefore w:val="0"/>
        <w:numPr>
          <w:ilvl w:val="-1"/>
          <w:numId w:val="0"/>
        </w:numPr>
        <w:kinsoku/>
        <w:wordWrap/>
        <w:overflowPunct/>
        <w:bidi w:val="0"/>
        <w:adjustRightInd w:val="0"/>
        <w:snapToGrid w:val="0"/>
        <w:spacing w:afterLines="0" w:line="360" w:lineRule="auto"/>
        <w:ind w:left="420" w:leftChars="200" w:firstLine="480" w:firstLineChars="200"/>
        <w:rPr>
          <w:rFonts w:hint="default" w:ascii="宋体" w:hAnsi="宋体" w:cs="宋体"/>
          <w:snapToGrid w:val="0"/>
          <w:color w:val="auto"/>
          <w:sz w:val="24"/>
          <w:szCs w:val="24"/>
          <w:highlight w:val="none"/>
          <w:lang w:val="en-US" w:eastAsia="zh-CN"/>
        </w:rPr>
      </w:pPr>
      <w:r>
        <w:rPr>
          <w:rFonts w:hint="eastAsia" w:ascii="宋体" w:hAnsi="宋体" w:cs="宋体"/>
          <w:snapToGrid w:val="0"/>
          <w:color w:val="auto"/>
          <w:sz w:val="24"/>
          <w:szCs w:val="24"/>
          <w:highlight w:val="none"/>
          <w:lang w:val="en-US" w:eastAsia="zh-CN"/>
        </w:rPr>
        <w:t>6.6测试标准：</w:t>
      </w:r>
      <w:r>
        <w:rPr>
          <w:rFonts w:hint="eastAsia" w:ascii="宋体" w:hAnsi="宋体" w:cs="宋体"/>
          <w:snapToGrid w:val="0"/>
          <w:color w:val="auto"/>
          <w:sz w:val="24"/>
          <w:szCs w:val="24"/>
          <w:highlight w:val="none"/>
          <w:lang w:eastAsia="zh-CN"/>
        </w:rPr>
        <w:t>按规范对</w:t>
      </w:r>
      <w:r>
        <w:rPr>
          <w:rFonts w:hint="eastAsia" w:ascii="宋体" w:hAnsi="宋体" w:cs="宋体"/>
          <w:snapToGrid w:val="0"/>
          <w:color w:val="auto"/>
          <w:sz w:val="24"/>
          <w:szCs w:val="24"/>
          <w:highlight w:val="none"/>
          <w:lang w:val="en-US" w:eastAsia="zh-CN"/>
        </w:rPr>
        <w:t>技术要求、用户需求书、</w:t>
      </w:r>
      <w:r>
        <w:rPr>
          <w:rFonts w:hint="eastAsia" w:ascii="宋体" w:hAnsi="宋体" w:cs="宋体"/>
          <w:snapToGrid w:val="0"/>
          <w:color w:val="auto"/>
          <w:sz w:val="24"/>
          <w:szCs w:val="24"/>
          <w:highlight w:val="none"/>
          <w:lang w:eastAsia="zh-CN"/>
        </w:rPr>
        <w:t>设计文档规定的功能、性能、接口等逐项测试，</w:t>
      </w:r>
      <w:r>
        <w:rPr>
          <w:rFonts w:hint="eastAsia" w:ascii="宋体" w:hAnsi="宋体" w:cs="宋体"/>
          <w:snapToGrid w:val="0"/>
          <w:color w:val="auto"/>
          <w:sz w:val="24"/>
          <w:szCs w:val="24"/>
          <w:highlight w:val="none"/>
          <w:lang w:val="en-US" w:eastAsia="zh-CN"/>
        </w:rPr>
        <w:t>测试应包含</w:t>
      </w:r>
      <w:r>
        <w:rPr>
          <w:rFonts w:hint="eastAsia" w:ascii="宋体" w:hAnsi="宋体" w:cs="宋体"/>
          <w:snapToGrid w:val="0"/>
          <w:color w:val="auto"/>
          <w:sz w:val="24"/>
          <w:szCs w:val="24"/>
          <w:highlight w:val="none"/>
          <w:lang w:eastAsia="zh-CN"/>
        </w:rPr>
        <w:t>正常测试试用例和异常测试用例，</w:t>
      </w:r>
      <w:r>
        <w:rPr>
          <w:rFonts w:hint="eastAsia" w:ascii="宋体" w:hAnsi="宋体" w:cs="宋体"/>
          <w:snapToGrid w:val="0"/>
          <w:color w:val="auto"/>
          <w:sz w:val="24"/>
          <w:szCs w:val="24"/>
          <w:highlight w:val="none"/>
          <w:lang w:val="en-US" w:eastAsia="zh-CN"/>
        </w:rPr>
        <w:t>功能点</w:t>
      </w:r>
      <w:r>
        <w:rPr>
          <w:rFonts w:hint="eastAsia" w:ascii="宋体" w:hAnsi="宋体" w:cs="宋体"/>
          <w:snapToGrid w:val="0"/>
          <w:color w:val="auto"/>
          <w:sz w:val="24"/>
          <w:szCs w:val="24"/>
          <w:highlight w:val="none"/>
          <w:lang w:eastAsia="zh-CN"/>
        </w:rPr>
        <w:t>覆盖</w:t>
      </w:r>
      <w:r>
        <w:rPr>
          <w:rFonts w:hint="eastAsia" w:ascii="宋体" w:hAnsi="宋体" w:cs="宋体"/>
          <w:snapToGrid w:val="0"/>
          <w:color w:val="auto"/>
          <w:sz w:val="24"/>
          <w:szCs w:val="24"/>
          <w:highlight w:val="none"/>
          <w:lang w:val="en-US" w:eastAsia="zh-CN"/>
        </w:rPr>
        <w:t>完整</w:t>
      </w:r>
      <w:r>
        <w:rPr>
          <w:rFonts w:hint="eastAsia" w:ascii="宋体" w:hAnsi="宋体" w:cs="宋体"/>
          <w:snapToGrid w:val="0"/>
          <w:color w:val="auto"/>
          <w:sz w:val="24"/>
          <w:szCs w:val="24"/>
          <w:highlight w:val="none"/>
          <w:lang w:eastAsia="zh-CN"/>
        </w:rPr>
        <w:t>。</w:t>
      </w:r>
    </w:p>
    <w:p w14:paraId="03DB39C3">
      <w:pPr>
        <w:pageBreakBefore w:val="0"/>
        <w:kinsoku/>
        <w:wordWrap/>
        <w:overflowPunct/>
        <w:bidi w:val="0"/>
        <w:adjustRightInd w:val="0"/>
        <w:snapToGrid w:val="0"/>
        <w:spacing w:afterLines="0" w:line="360" w:lineRule="auto"/>
        <w:ind w:left="485" w:firstLine="480" w:firstLineChars="200"/>
        <w:rPr>
          <w:rFonts w:hint="eastAsia" w:ascii="宋体" w:hAnsi="宋体" w:cs="宋体"/>
          <w:snapToGrid w:val="0"/>
          <w:color w:val="auto"/>
          <w:sz w:val="24"/>
          <w:szCs w:val="24"/>
          <w:highlight w:val="none"/>
          <w:lang w:eastAsia="zh-CN"/>
        </w:rPr>
      </w:pPr>
      <w:r>
        <w:rPr>
          <w:rFonts w:hint="eastAsia" w:ascii="宋体" w:hAnsi="宋体" w:cs="宋体"/>
          <w:snapToGrid w:val="0"/>
          <w:color w:val="auto"/>
          <w:sz w:val="24"/>
          <w:szCs w:val="24"/>
          <w:highlight w:val="none"/>
          <w:lang w:val="en-US" w:eastAsia="zh-CN"/>
        </w:rPr>
        <w:t>6.7</w:t>
      </w:r>
      <w:r>
        <w:rPr>
          <w:rFonts w:hint="eastAsia" w:ascii="宋体" w:hAnsi="宋体" w:eastAsia="宋体" w:cs="宋体"/>
          <w:snapToGrid w:val="0"/>
          <w:color w:val="auto"/>
          <w:sz w:val="24"/>
          <w:szCs w:val="24"/>
          <w:highlight w:val="none"/>
        </w:rPr>
        <w:t>合同履行期间，</w:t>
      </w:r>
      <w:r>
        <w:rPr>
          <w:rFonts w:hint="eastAsia" w:ascii="宋体" w:hAnsi="宋体" w:cs="宋体"/>
          <w:snapToGrid w:val="0"/>
          <w:color w:val="auto"/>
          <w:sz w:val="24"/>
          <w:szCs w:val="24"/>
          <w:highlight w:val="none"/>
          <w:lang w:val="en-US" w:eastAsia="zh-CN"/>
        </w:rPr>
        <w:t>双方</w:t>
      </w:r>
      <w:r>
        <w:rPr>
          <w:rFonts w:hint="eastAsia" w:ascii="宋体" w:hAnsi="宋体" w:eastAsia="宋体" w:cs="宋体"/>
          <w:snapToGrid w:val="0"/>
          <w:color w:val="auto"/>
          <w:sz w:val="24"/>
          <w:szCs w:val="24"/>
          <w:highlight w:val="none"/>
        </w:rPr>
        <w:t>可对合同</w:t>
      </w:r>
      <w:r>
        <w:rPr>
          <w:rFonts w:hint="eastAsia" w:ascii="宋体" w:hAnsi="宋体" w:cs="宋体"/>
          <w:snapToGrid w:val="0"/>
          <w:color w:val="auto"/>
          <w:sz w:val="24"/>
          <w:szCs w:val="24"/>
          <w:highlight w:val="none"/>
          <w:lang w:val="en-US" w:eastAsia="zh-CN"/>
        </w:rPr>
        <w:t>建设内容</w:t>
      </w:r>
      <w:r>
        <w:rPr>
          <w:rFonts w:hint="eastAsia" w:ascii="宋体" w:hAnsi="宋体" w:eastAsia="宋体" w:cs="宋体"/>
          <w:snapToGrid w:val="0"/>
          <w:color w:val="auto"/>
          <w:sz w:val="24"/>
          <w:szCs w:val="24"/>
          <w:highlight w:val="none"/>
        </w:rPr>
        <w:t>或其任何部分的形式、质量或数量作出</w:t>
      </w:r>
      <w:r>
        <w:rPr>
          <w:rFonts w:hint="eastAsia" w:ascii="宋体" w:hAnsi="宋体" w:cs="宋体"/>
          <w:snapToGrid w:val="0"/>
          <w:color w:val="auto"/>
          <w:sz w:val="24"/>
          <w:szCs w:val="24"/>
          <w:highlight w:val="none"/>
          <w:lang w:val="en-US" w:eastAsia="zh-CN"/>
        </w:rPr>
        <w:t>需求</w:t>
      </w:r>
      <w:r>
        <w:rPr>
          <w:rFonts w:hint="eastAsia" w:ascii="宋体" w:hAnsi="宋体" w:eastAsia="宋体" w:cs="宋体"/>
          <w:snapToGrid w:val="0"/>
          <w:color w:val="auto"/>
          <w:sz w:val="24"/>
          <w:szCs w:val="24"/>
          <w:highlight w:val="none"/>
        </w:rPr>
        <w:t>变更。发生下列情形之一，应按照本条规定进行变更</w:t>
      </w:r>
      <w:r>
        <w:rPr>
          <w:rFonts w:hint="eastAsia" w:ascii="宋体" w:hAnsi="宋体" w:cs="宋体"/>
          <w:snapToGrid w:val="0"/>
          <w:color w:val="auto"/>
          <w:sz w:val="24"/>
          <w:szCs w:val="24"/>
          <w:highlight w:val="none"/>
          <w:lang w:eastAsia="zh-CN"/>
        </w:rPr>
        <w:t>：</w:t>
      </w:r>
    </w:p>
    <w:p w14:paraId="2287E102">
      <w:pPr>
        <w:pageBreakBefore w:val="0"/>
        <w:numPr>
          <w:ilvl w:val="0"/>
          <w:numId w:val="6"/>
        </w:numPr>
        <w:kinsoku/>
        <w:wordWrap/>
        <w:overflowPunct/>
        <w:bidi w:val="0"/>
        <w:adjustRightInd w:val="0"/>
        <w:snapToGrid w:val="0"/>
        <w:spacing w:afterLines="0" w:line="360" w:lineRule="auto"/>
        <w:ind w:left="485" w:firstLine="480" w:firstLineChars="200"/>
        <w:rPr>
          <w:rFonts w:hint="eastAsia" w:ascii="宋体" w:hAnsi="宋体" w:cs="宋体"/>
          <w:snapToGrid w:val="0"/>
          <w:color w:val="auto"/>
          <w:sz w:val="24"/>
          <w:szCs w:val="24"/>
          <w:highlight w:val="none"/>
          <w:lang w:val="en-US" w:eastAsia="zh-CN"/>
        </w:rPr>
      </w:pPr>
      <w:r>
        <w:rPr>
          <w:rFonts w:hint="eastAsia" w:ascii="宋体" w:hAnsi="宋体" w:cs="宋体"/>
          <w:snapToGrid w:val="0"/>
          <w:color w:val="auto"/>
          <w:sz w:val="24"/>
          <w:szCs w:val="24"/>
          <w:highlight w:val="none"/>
          <w:lang w:val="en-US" w:eastAsia="zh-CN"/>
        </w:rPr>
        <w:t>甲方提出功能需求变更、技术标准调整、交付时间等调整；</w:t>
      </w:r>
    </w:p>
    <w:p w14:paraId="23CA438C">
      <w:pPr>
        <w:pageBreakBefore w:val="0"/>
        <w:numPr>
          <w:ilvl w:val="0"/>
          <w:numId w:val="6"/>
        </w:numPr>
        <w:kinsoku/>
        <w:wordWrap/>
        <w:overflowPunct/>
        <w:bidi w:val="0"/>
        <w:adjustRightInd w:val="0"/>
        <w:snapToGrid w:val="0"/>
        <w:spacing w:afterLines="0" w:line="360" w:lineRule="auto"/>
        <w:ind w:left="485" w:firstLine="480" w:firstLineChars="200"/>
        <w:rPr>
          <w:rFonts w:hint="default" w:ascii="宋体" w:hAnsi="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rPr>
        <w:t>乙方因</w:t>
      </w:r>
      <w:r>
        <w:rPr>
          <w:rFonts w:hint="default" w:ascii="宋体" w:hAnsi="宋体" w:cs="宋体"/>
          <w:snapToGrid w:val="0"/>
          <w:color w:val="auto"/>
          <w:sz w:val="24"/>
          <w:szCs w:val="24"/>
          <w:highlight w:val="none"/>
          <w:lang w:val="en-US" w:eastAsia="zh-CN"/>
        </w:rPr>
        <w:t>不可预见性物质条件</w:t>
      </w:r>
      <w:r>
        <w:rPr>
          <w:rFonts w:hint="eastAsia" w:ascii="宋体" w:hAnsi="宋体" w:eastAsia="宋体" w:cs="宋体"/>
          <w:snapToGrid w:val="0"/>
          <w:color w:val="auto"/>
          <w:sz w:val="24"/>
          <w:szCs w:val="24"/>
          <w:highlight w:val="none"/>
        </w:rPr>
        <w:t>或不可抗力提出的改变任何工作内容的性质、质量或其他特征</w:t>
      </w:r>
      <w:r>
        <w:rPr>
          <w:rFonts w:hint="eastAsia" w:ascii="宋体" w:hAnsi="宋体" w:cs="宋体"/>
          <w:snapToGrid w:val="0"/>
          <w:color w:val="auto"/>
          <w:sz w:val="24"/>
          <w:szCs w:val="24"/>
          <w:highlight w:val="none"/>
          <w:lang w:eastAsia="zh-CN"/>
        </w:rPr>
        <w:t>；</w:t>
      </w:r>
    </w:p>
    <w:p w14:paraId="6779289F">
      <w:pPr>
        <w:pageBreakBefore w:val="0"/>
        <w:numPr>
          <w:ilvl w:val="-1"/>
          <w:numId w:val="0"/>
        </w:numPr>
        <w:kinsoku/>
        <w:wordWrap/>
        <w:overflowPunct/>
        <w:bidi w:val="0"/>
        <w:adjustRightInd w:val="0"/>
        <w:snapToGrid w:val="0"/>
        <w:spacing w:afterLines="0" w:line="360" w:lineRule="auto"/>
        <w:ind w:left="420" w:leftChars="0" w:firstLine="420" w:firstLineChars="0"/>
        <w:rPr>
          <w:rFonts w:hint="default" w:ascii="宋体" w:hAnsi="宋体" w:cs="宋体"/>
          <w:snapToGrid w:val="0"/>
          <w:color w:val="auto"/>
          <w:sz w:val="24"/>
          <w:szCs w:val="24"/>
          <w:highlight w:val="none"/>
          <w:lang w:val="en-US" w:eastAsia="zh-CN"/>
        </w:rPr>
      </w:pPr>
      <w:r>
        <w:rPr>
          <w:rFonts w:hint="default" w:ascii="宋体" w:hAnsi="宋体" w:cs="宋体"/>
          <w:snapToGrid w:val="0"/>
          <w:color w:val="auto"/>
          <w:sz w:val="24"/>
          <w:szCs w:val="24"/>
          <w:highlight w:val="none"/>
          <w:lang w:val="en-US" w:eastAsia="zh-CN"/>
        </w:rPr>
        <w:t>但对合同工期、质量标准等实质性变更的，应在作出变更前，</w:t>
      </w:r>
      <w:r>
        <w:rPr>
          <w:rFonts w:hint="eastAsia" w:ascii="宋体" w:hAnsi="宋体" w:cs="宋体"/>
          <w:snapToGrid w:val="0"/>
          <w:color w:val="auto"/>
          <w:sz w:val="24"/>
          <w:szCs w:val="24"/>
          <w:highlight w:val="none"/>
          <w:lang w:val="en-US" w:eastAsia="zh-CN"/>
        </w:rPr>
        <w:t>甲乙双方</w:t>
      </w:r>
      <w:r>
        <w:rPr>
          <w:rFonts w:hint="default" w:ascii="宋体" w:hAnsi="宋体" w:cs="宋体"/>
          <w:snapToGrid w:val="0"/>
          <w:color w:val="auto"/>
          <w:sz w:val="24"/>
          <w:szCs w:val="24"/>
          <w:highlight w:val="none"/>
          <w:lang w:val="en-US" w:eastAsia="zh-CN"/>
        </w:rPr>
        <w:t>签订补充协议书，作为本合同的补充文件。</w:t>
      </w:r>
    </w:p>
    <w:p w14:paraId="5CEDD5BB">
      <w:pPr>
        <w:pageBreakBefore w:val="0"/>
        <w:kinsoku/>
        <w:wordWrap/>
        <w:overflowPunct/>
        <w:bidi w:val="0"/>
        <w:adjustRightInd w:val="0"/>
        <w:snapToGrid w:val="0"/>
        <w:spacing w:afterLines="0" w:line="360" w:lineRule="auto"/>
        <w:ind w:left="485" w:firstLine="480" w:firstLineChars="200"/>
        <w:rPr>
          <w:rFonts w:hint="eastAsia" w:ascii="宋体" w:hAnsi="宋体" w:eastAsia="宋体" w:cs="宋体"/>
          <w:color w:val="auto"/>
          <w:sz w:val="24"/>
          <w:szCs w:val="24"/>
          <w:highlight w:val="none"/>
        </w:rPr>
      </w:pPr>
      <w:r>
        <w:rPr>
          <w:rFonts w:hint="eastAsia" w:ascii="宋体" w:hAnsi="宋体" w:cs="宋体"/>
          <w:snapToGrid w:val="0"/>
          <w:color w:val="auto"/>
          <w:sz w:val="24"/>
          <w:szCs w:val="24"/>
          <w:highlight w:val="none"/>
          <w:lang w:val="en-US" w:eastAsia="zh-CN"/>
        </w:rPr>
        <w:t>6.8变更程序：提出方应提前7个工作日与对方沟通，确需做变更的，填写“变更单”。乙方在一周内评估变更的变化内容以及涉及范围，按照国家省市标准（包括但不限于《软件工程软件开发成本度量规范》(GB/T36964-2018)）评估工作量情况，并反馈给甲方；甲方委托第三方单位开展变更工作量评估，评估后在“变更单”上双方确认变更工作量以及费用；经双方签字确认后，乙方开展相关工作，相关变更内容经测试、上线、验收后，乙方按照变更单上确认的工作量，在项目终验时结算相关费用</w:t>
      </w:r>
      <w:r>
        <w:rPr>
          <w:rFonts w:hint="eastAsia" w:ascii="宋体" w:hAnsi="宋体" w:cs="宋体"/>
          <w:snapToGrid w:val="0"/>
          <w:color w:val="auto"/>
          <w:sz w:val="24"/>
          <w:szCs w:val="24"/>
          <w:highlight w:val="none"/>
          <w:lang w:eastAsia="zh-CN"/>
        </w:rPr>
        <w:t>。</w:t>
      </w:r>
    </w:p>
    <w:p w14:paraId="0D96A49F">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七、</w:t>
      </w:r>
      <w:r>
        <w:rPr>
          <w:rFonts w:hint="eastAsia" w:ascii="宋体" w:hAnsi="宋体" w:eastAsia="宋体" w:cs="宋体"/>
          <w:color w:val="auto"/>
          <w:sz w:val="28"/>
          <w:szCs w:val="28"/>
          <w:highlight w:val="none"/>
        </w:rPr>
        <w:t>项目成果的交付</w:t>
      </w:r>
    </w:p>
    <w:p w14:paraId="40613DAC">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7.1乙方应按照项目进度提交各个阶段的项目成果，具体要求及项目成果验收方式详见</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"file:///C:\\Users\\liuhm\\Desktop\\综合管理系统研发项目技术文件V2-226.docx" </w:instrText>
      </w:r>
      <w:r>
        <w:rPr>
          <w:rFonts w:hint="eastAsia" w:ascii="宋体" w:hAnsi="宋体" w:eastAsia="宋体" w:cs="宋体"/>
          <w:color w:val="auto"/>
          <w:sz w:val="24"/>
          <w:szCs w:val="24"/>
          <w:highlight w:val="none"/>
        </w:rPr>
        <w:fldChar w:fldCharType="separate"/>
      </w:r>
      <w:r>
        <w:rPr>
          <w:rStyle w:val="23"/>
          <w:rFonts w:hint="eastAsia" w:ascii="宋体" w:hAnsi="宋体" w:eastAsia="宋体" w:cs="宋体"/>
          <w:color w:val="auto"/>
          <w:sz w:val="24"/>
          <w:szCs w:val="24"/>
          <w:highlight w:val="none"/>
        </w:rPr>
        <w:t>合同附件一</w:t>
      </w:r>
      <w:r>
        <w:rPr>
          <w:rStyle w:val="23"/>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0F12D4B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7.2乙方应有规范的管理以控制项目成果质量，在成果交付给甲方前，乙方应</w:t>
      </w:r>
      <w:r>
        <w:rPr>
          <w:rFonts w:hint="eastAsia" w:ascii="宋体" w:hAnsi="宋体" w:cs="宋体"/>
          <w:color w:val="auto"/>
          <w:sz w:val="24"/>
          <w:szCs w:val="24"/>
          <w:highlight w:val="none"/>
          <w:lang w:val="en-US" w:eastAsia="zh-CN"/>
        </w:rPr>
        <w:t>对照《就绪可用软件产品(RUSP)的质量要求和测试细则》、</w:t>
      </w:r>
      <w:r>
        <w:rPr>
          <w:rFonts w:hint="eastAsia" w:ascii="宋体" w:hAnsi="宋体" w:cs="宋体"/>
          <w:snapToGrid w:val="0"/>
          <w:color w:val="auto"/>
          <w:sz w:val="24"/>
          <w:szCs w:val="24"/>
          <w:highlight w:val="none"/>
          <w:lang w:val="en-US" w:eastAsia="zh-CN"/>
        </w:rPr>
        <w:t>技术要求、用户需求书</w:t>
      </w:r>
      <w:r>
        <w:rPr>
          <w:rFonts w:hint="eastAsia" w:ascii="宋体" w:hAnsi="宋体" w:eastAsia="宋体" w:cs="宋体"/>
          <w:color w:val="auto"/>
          <w:sz w:val="24"/>
          <w:szCs w:val="24"/>
          <w:highlight w:val="none"/>
        </w:rPr>
        <w:t>进行严格审核。对乙方正式提交的项目成果，如经甲方审核认定未符合合同要求的，乙方须按甲方的审核意见予以修改直至验收通过，由此引起的所有责任和费用由乙方承担。甲方将在乙方提交项目成果后具书面的验收意见或组织验收。</w:t>
      </w:r>
    </w:p>
    <w:p w14:paraId="55844F0E">
      <w:pPr>
        <w:pageBreakBefore w:val="0"/>
        <w:numPr>
          <w:ilvl w:val="1"/>
          <w:numId w:val="7"/>
        </w:numPr>
        <w:kinsoku/>
        <w:wordWrap/>
        <w:overflowPunct/>
        <w:bidi w:val="0"/>
        <w:adjustRightInd w:val="0"/>
        <w:snapToGrid w:val="0"/>
        <w:spacing w:afterLines="0" w:line="360" w:lineRule="auto"/>
        <w:ind w:left="-359" w:leftChars="-17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7.3乙方需安排相关技术培训人员对业主甲方指定人员进行全面培训，具体要求详见</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"file:///C:\\Users\\liuhm\\Desktop\\综合管理系统研发项目技术文件V2-226.docx" </w:instrText>
      </w:r>
      <w:r>
        <w:rPr>
          <w:rFonts w:hint="eastAsia" w:ascii="宋体" w:hAnsi="宋体" w:eastAsia="宋体" w:cs="宋体"/>
          <w:color w:val="auto"/>
          <w:sz w:val="24"/>
          <w:szCs w:val="24"/>
          <w:highlight w:val="none"/>
        </w:rPr>
        <w:fldChar w:fldCharType="separate"/>
      </w:r>
      <w:r>
        <w:rPr>
          <w:rStyle w:val="23"/>
          <w:rFonts w:hint="eastAsia" w:ascii="宋体" w:hAnsi="宋体" w:eastAsia="宋体" w:cs="宋体"/>
          <w:color w:val="auto"/>
          <w:sz w:val="24"/>
          <w:szCs w:val="24"/>
          <w:highlight w:val="none"/>
        </w:rPr>
        <w:t>合同附件一</w:t>
      </w:r>
      <w:r>
        <w:rPr>
          <w:rStyle w:val="23"/>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35DAF643">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验收标准和方式</w:t>
      </w:r>
    </w:p>
    <w:p w14:paraId="21B669A2">
      <w:pPr>
        <w:pageBreakBefore w:val="0"/>
        <w:kinsoku/>
        <w:wordWrap/>
        <w:overflowPunct/>
        <w:bidi w:val="0"/>
        <w:adjustRightInd w:val="0"/>
        <w:snapToGrid w:val="0"/>
        <w:spacing w:afterLines="0"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8.1验收标准：乙方完成的项目成果满足本项目的目标要求和验收要求，且各功能模块性能达到目标主要参数，双方以《项目技术要求》（合同附件一）及签字确认的《需求分析报告》为验收依据，并根据国家标准GB/T 25000.51－2016《系统与软件工程 系统与软件质量要求和评价（SQuaRE）第51部分：就绪可用软件产品（RUSP）的质量要求和测试细则》的测试标准与要求，由甲方委托有资质的单位（必须具有cnas）进行验收测评，出具验收测评报告，测评通过后由甲方组织验收并出具项目验收报告。</w:t>
      </w:r>
    </w:p>
    <w:p w14:paraId="36824D18">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乙方向甲方提供的各项服务内容、项目的验收方式，均按以下方式实施：</w:t>
      </w:r>
    </w:p>
    <w:p w14:paraId="3F03254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.1验收阶段：本项目分为</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验收、项目竣工验收。</w:t>
      </w:r>
    </w:p>
    <w:p w14:paraId="260E84F9">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验收：</w:t>
      </w:r>
    </w:p>
    <w:p w14:paraId="6D7D6BEF">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.2.1验收要求：</w:t>
      </w:r>
    </w:p>
    <w:p w14:paraId="72132E9E">
      <w:pPr>
        <w:pageBreakBefore w:val="0"/>
        <w:numPr>
          <w:ilvl w:val="-1"/>
          <w:numId w:val="0"/>
        </w:numPr>
        <w:kinsoku/>
        <w:wordWrap/>
        <w:overflowPunct/>
        <w:bidi w:val="0"/>
        <w:spacing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相关模块功能上线运行</w:t>
      </w:r>
      <w:r>
        <w:rPr>
          <w:rFonts w:hint="eastAsia" w:ascii="宋体" w:hAnsi="宋体" w:eastAsia="宋体" w:cs="宋体"/>
          <w:color w:val="auto"/>
          <w:sz w:val="24"/>
          <w:szCs w:val="24"/>
          <w:highlight w:val="none"/>
          <w:lang w:val="en-US" w:eastAsia="zh-CN"/>
        </w:rPr>
        <w:t>90个日历天</w:t>
      </w:r>
      <w:r>
        <w:rPr>
          <w:rFonts w:hint="eastAsia" w:ascii="宋体" w:hAnsi="宋体" w:eastAsia="宋体" w:cs="宋体"/>
          <w:color w:val="auto"/>
          <w:sz w:val="24"/>
          <w:szCs w:val="24"/>
          <w:highlight w:val="none"/>
        </w:rPr>
        <w:t>以上，相关功能符合项目要求，运行稳定。</w:t>
      </w:r>
    </w:p>
    <w:p w14:paraId="4B20604E">
      <w:pPr>
        <w:pageBreakBefore w:val="0"/>
        <w:numPr>
          <w:ilvl w:val="-1"/>
          <w:numId w:val="0"/>
        </w:numPr>
        <w:kinsoku/>
        <w:wordWrap/>
        <w:overflowPunct/>
        <w:bidi w:val="0"/>
        <w:spacing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相关模块已通过功能、性能、安全测试。</w:t>
      </w:r>
    </w:p>
    <w:p w14:paraId="245342A7">
      <w:pPr>
        <w:pageBreakBefore w:val="0"/>
        <w:numPr>
          <w:ilvl w:val="-1"/>
          <w:numId w:val="0"/>
        </w:numPr>
        <w:kinsoku/>
        <w:wordWrap/>
        <w:overflowPunct/>
        <w:bidi w:val="0"/>
        <w:spacing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项目已遵照培训计划完成相关培训。</w:t>
      </w:r>
    </w:p>
    <w:p w14:paraId="45151E36">
      <w:pPr>
        <w:pageBreakBefore w:val="0"/>
        <w:numPr>
          <w:ilvl w:val="-1"/>
          <w:numId w:val="0"/>
        </w:numPr>
        <w:kinsoku/>
        <w:wordWrap/>
        <w:overflowPunct/>
        <w:bidi w:val="0"/>
        <w:spacing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相关报告已经经过</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审核。</w:t>
      </w:r>
    </w:p>
    <w:p w14:paraId="47B11C1D">
      <w:pPr>
        <w:pageBreakBefore w:val="0"/>
        <w:numPr>
          <w:ilvl w:val="-1"/>
          <w:numId w:val="0"/>
        </w:numPr>
        <w:kinsoku/>
        <w:wordWrap/>
        <w:overflowPunct/>
        <w:bidi w:val="0"/>
        <w:spacing w:afterLines="0"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所提交的文档资料齐全、正确。</w:t>
      </w:r>
    </w:p>
    <w:p w14:paraId="30EF026D">
      <w:pPr>
        <w:pageBreakBefore w:val="0"/>
        <w:numPr>
          <w:ilvl w:val="-1"/>
          <w:numId w:val="0"/>
        </w:numPr>
        <w:kinsoku/>
        <w:wordWrap/>
        <w:overflowPunct/>
        <w:bidi w:val="0"/>
        <w:spacing w:line="36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所涉及</w:t>
      </w:r>
      <w:r>
        <w:rPr>
          <w:rFonts w:hint="eastAsia" w:ascii="宋体" w:hAnsi="宋体" w:eastAsia="宋体" w:cs="宋体"/>
          <w:color w:val="auto"/>
          <w:sz w:val="24"/>
          <w:szCs w:val="24"/>
          <w:highlight w:val="none"/>
          <w:lang w:val="en-US" w:eastAsia="zh-CN"/>
        </w:rPr>
        <w:t>定制开发</w:t>
      </w:r>
      <w:r>
        <w:rPr>
          <w:rFonts w:hint="eastAsia" w:ascii="宋体" w:hAnsi="宋体" w:eastAsia="宋体" w:cs="宋体"/>
          <w:color w:val="auto"/>
          <w:sz w:val="24"/>
          <w:szCs w:val="24"/>
          <w:highlight w:val="none"/>
        </w:rPr>
        <w:t>的二次开发源代码已经提交</w:t>
      </w:r>
    </w:p>
    <w:p w14:paraId="3B74E2BD">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.2.2验收流程：</w:t>
      </w:r>
    </w:p>
    <w:p w14:paraId="02D91DA5">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项目模块试运行超过90个日历天后且无重大缺陷可申请进行分项验收。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根据验收办法规定的验收的条件、验收的内容、验收通过的标准以及需要提交的资料清单等要求完成相关内容、交付相关成果并完成自验收后，向</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书面提出验收申请，</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组织对交付成果进行初步验收，并将验收结果反馈书面意见给</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修改完善交付成果直至验收合格，确认交付成果，验收结束应给予</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书面验收同意意见。</w:t>
      </w:r>
    </w:p>
    <w:p w14:paraId="47D1222B">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.2.3验收资料要求：</w:t>
      </w:r>
      <w:r>
        <w:rPr>
          <w:rFonts w:hint="eastAsia" w:ascii="宋体" w:hAnsi="宋体" w:eastAsia="宋体" w:cs="宋体"/>
          <w:color w:val="auto"/>
          <w:sz w:val="24"/>
          <w:szCs w:val="24"/>
          <w:highlight w:val="none"/>
          <w:lang w:val="en-US" w:eastAsia="zh-CN"/>
        </w:rPr>
        <w:t>验收资料包括但不限于需求分析报告、软件系统设计说明、测试文档、培训方案等本项目实施过程中形成的重要文件，详见附件一要求</w:t>
      </w:r>
      <w:r>
        <w:rPr>
          <w:rFonts w:hint="eastAsia" w:ascii="宋体" w:hAnsi="宋体" w:eastAsia="宋体" w:cs="宋体"/>
          <w:color w:val="auto"/>
          <w:sz w:val="24"/>
          <w:szCs w:val="24"/>
          <w:highlight w:val="none"/>
        </w:rPr>
        <w:t>。</w:t>
      </w:r>
    </w:p>
    <w:p w14:paraId="6862B86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项目竣工验收</w:t>
      </w:r>
    </w:p>
    <w:p w14:paraId="725F7F7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.1验收要求：</w:t>
      </w:r>
    </w:p>
    <w:p w14:paraId="22163923">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lang w:val="en-US" w:eastAsia="zh-CN"/>
        </w:rPr>
        <w:t>（1）项目系统所有模块均完成分项验收且运行180个日历天后</w:t>
      </w:r>
      <w:r>
        <w:rPr>
          <w:rFonts w:hint="eastAsia" w:ascii="宋体" w:hAnsi="宋体" w:eastAsia="宋体" w:cs="宋体"/>
          <w:color w:val="auto"/>
          <w:sz w:val="24"/>
          <w:szCs w:val="24"/>
          <w:highlight w:val="none"/>
        </w:rPr>
        <w:t>，总体功能符合项目要求，运行稳定。</w:t>
      </w:r>
    </w:p>
    <w:p w14:paraId="51B68270">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项目已遵照培训计划完成所有培训。</w:t>
      </w:r>
    </w:p>
    <w:p w14:paraId="5C6EAA98">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所提交的文档资料齐全、正确。</w:t>
      </w:r>
    </w:p>
    <w:p w14:paraId="30EF4CFD">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相关报告已经经过</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审核。</w:t>
      </w:r>
    </w:p>
    <w:p w14:paraId="04A57883">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整体上线运行期间遗留问题已解决。</w:t>
      </w:r>
    </w:p>
    <w:p w14:paraId="16BC308B">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项目整体上线试运行符合要求。</w:t>
      </w:r>
    </w:p>
    <w:p w14:paraId="22939BC3">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详细的试运行记录符合要求。</w:t>
      </w:r>
    </w:p>
    <w:p w14:paraId="37DB88A2">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完成运维移交。</w:t>
      </w:r>
    </w:p>
    <w:p w14:paraId="09C752E9">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系统功能无缺陷。</w:t>
      </w:r>
    </w:p>
    <w:p w14:paraId="2451AAB1">
      <w:pPr>
        <w:pageBreakBefore w:val="0"/>
        <w:numPr>
          <w:ilvl w:val="-1"/>
          <w:numId w:val="0"/>
        </w:numPr>
        <w:kinsoku/>
        <w:wordWrap/>
        <w:overflowPunct/>
        <w:bidi w:val="0"/>
        <w:spacing w:afterLines="0"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系统</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第三方检测认证（等保三级）</w:t>
      </w:r>
      <w:r>
        <w:rPr>
          <w:rFonts w:hint="eastAsia" w:ascii="宋体" w:hAnsi="宋体" w:eastAsia="宋体" w:cs="宋体"/>
          <w:color w:val="auto"/>
          <w:sz w:val="24"/>
          <w:szCs w:val="24"/>
          <w:highlight w:val="none"/>
          <w:lang w:eastAsia="zh-CN"/>
        </w:rPr>
        <w:t>。</w:t>
      </w:r>
    </w:p>
    <w:p w14:paraId="2FB0E4E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.2验收流程：</w:t>
      </w:r>
    </w:p>
    <w:p w14:paraId="64C5DB7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项目系统所有模块均完成分项验收且运行180个日历天后，具备项目竣工验收条件时，由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完成项目竣工自验收，并编写项目竣工自验收报告，向</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书面提出验收申请（附自验收报告和项目交付成果签字版），经</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同意后组织相关用户等，召开项目竣工验收评审会，评审会出具书面验收意见，经</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根据验收意见逐条修改完善系统或文档，直至全部满足验收通过要求。</w:t>
      </w:r>
    </w:p>
    <w:p w14:paraId="18BF237D">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.3验收资料要求：</w:t>
      </w:r>
      <w:r>
        <w:rPr>
          <w:rFonts w:hint="eastAsia" w:ascii="宋体" w:hAnsi="宋体" w:eastAsia="宋体" w:cs="宋体"/>
          <w:color w:val="auto"/>
          <w:sz w:val="24"/>
          <w:szCs w:val="24"/>
          <w:highlight w:val="none"/>
          <w:lang w:val="en-US" w:eastAsia="zh-CN"/>
        </w:rPr>
        <w:t>验收资料包括但不限于需求分析报告、软件系统设计说明、测试文档、培训方案等本项目实施过程中形成的重要文件，详见附件一要求</w:t>
      </w:r>
      <w:r>
        <w:rPr>
          <w:rFonts w:hint="eastAsia" w:ascii="宋体" w:hAnsi="宋体" w:eastAsia="宋体" w:cs="宋体"/>
          <w:color w:val="auto"/>
          <w:sz w:val="24"/>
          <w:szCs w:val="24"/>
          <w:highlight w:val="none"/>
        </w:rPr>
        <w:t>。</w:t>
      </w:r>
    </w:p>
    <w:p w14:paraId="512D7220">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3</w:t>
      </w:r>
      <w:r>
        <w:rPr>
          <w:rFonts w:hint="eastAsia" w:ascii="宋体" w:hAnsi="宋体" w:eastAsia="宋体" w:cs="宋体"/>
          <w:color w:val="auto"/>
          <w:sz w:val="24"/>
          <w:szCs w:val="24"/>
          <w:highlight w:val="none"/>
        </w:rPr>
        <w:t>乙方负责完成相关项目工作，并配合甲方（或指定监理机构、人员）按项目实施服务需求书中的有关规定对项目进行验收。</w:t>
      </w:r>
    </w:p>
    <w:p w14:paraId="2C7A35D9">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4</w:t>
      </w:r>
      <w:r>
        <w:rPr>
          <w:rFonts w:hint="eastAsia" w:ascii="宋体" w:hAnsi="宋体" w:eastAsia="宋体" w:cs="宋体"/>
          <w:color w:val="auto"/>
          <w:sz w:val="24"/>
          <w:szCs w:val="24"/>
          <w:highlight w:val="none"/>
        </w:rPr>
        <w:t>如果不能通过验收，乙方须采取一切补救措施以使验收能够尽快再次进行并通过。</w:t>
      </w:r>
    </w:p>
    <w:p w14:paraId="49835B10">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验收申请：乙方认为系统进度符合验收条件时，应向甲方提出书面申请，申请内容应包含验收相关的全部提交项，以及建议的验收标准和初步自查结果。</w:t>
      </w:r>
    </w:p>
    <w:p w14:paraId="5EF102F8">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6</w:t>
      </w:r>
      <w:r>
        <w:rPr>
          <w:rFonts w:hint="eastAsia" w:ascii="宋体" w:hAnsi="宋体" w:eastAsia="宋体" w:cs="宋体"/>
          <w:color w:val="auto"/>
          <w:sz w:val="24"/>
          <w:szCs w:val="24"/>
          <w:highlight w:val="none"/>
        </w:rPr>
        <w:t>验收申请答复：甲方在收到乙方提出的书面申请后5个工作日内，将给乙方书面答复（包含对各提交项的意见）。</w:t>
      </w:r>
    </w:p>
    <w:p w14:paraId="3F819F85">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7</w:t>
      </w:r>
      <w:r>
        <w:rPr>
          <w:rFonts w:hint="eastAsia" w:ascii="宋体" w:hAnsi="宋体" w:eastAsia="宋体" w:cs="宋体"/>
          <w:color w:val="auto"/>
          <w:sz w:val="24"/>
          <w:szCs w:val="24"/>
          <w:highlight w:val="none"/>
        </w:rPr>
        <w:t>验收报告：乙方应根据测试验收意见对系统进行修改完善后，应重新以书面形式申请进行复查，甲方应在收到申请后10个工作日对系统进行复查并签署验收报告以确认验收是否通过。</w:t>
      </w:r>
    </w:p>
    <w:p w14:paraId="29EAFBD1">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8</w:t>
      </w:r>
      <w:r>
        <w:rPr>
          <w:rFonts w:hint="eastAsia" w:ascii="宋体" w:hAnsi="宋体" w:eastAsia="宋体" w:cs="宋体"/>
          <w:color w:val="auto"/>
          <w:sz w:val="24"/>
          <w:szCs w:val="24"/>
          <w:highlight w:val="none"/>
        </w:rPr>
        <w:t>遗留问题：对于部分短期内无法解决但不影响系统正常运行的问题，甲方可以决定先行签署验收报告确认验收通过，但遗留问题通过备忘录的形式由双方签署，乙方应在规定的时间内予以解决，否则乙方应承担由此带来的违约责任。</w:t>
      </w:r>
    </w:p>
    <w:p w14:paraId="36A6839F">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9</w:t>
      </w:r>
      <w:r>
        <w:rPr>
          <w:rFonts w:hint="eastAsia" w:ascii="宋体" w:hAnsi="宋体" w:eastAsia="宋体" w:cs="宋体"/>
          <w:color w:val="auto"/>
          <w:sz w:val="24"/>
          <w:szCs w:val="24"/>
          <w:highlight w:val="none"/>
        </w:rPr>
        <w:t>乙方需协助甲方完成相关模块的检测和认证</w:t>
      </w:r>
      <w:r>
        <w:rPr>
          <w:rFonts w:hint="eastAsia" w:ascii="宋体" w:hAnsi="宋体" w:cs="宋体"/>
          <w:color w:val="auto"/>
          <w:sz w:val="24"/>
          <w:szCs w:val="24"/>
          <w:highlight w:val="none"/>
          <w:lang w:val="en-US" w:eastAsia="zh-CN"/>
        </w:rPr>
        <w:t>工作</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直至通过</w:t>
      </w:r>
      <w:r>
        <w:rPr>
          <w:rFonts w:hint="eastAsia" w:ascii="宋体" w:hAnsi="宋体" w:eastAsia="宋体" w:cs="宋体"/>
          <w:color w:val="auto"/>
          <w:sz w:val="24"/>
          <w:szCs w:val="24"/>
          <w:highlight w:val="none"/>
        </w:rPr>
        <w:t>。</w:t>
      </w:r>
    </w:p>
    <w:p w14:paraId="1389A37E">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九、</w:t>
      </w:r>
      <w:r>
        <w:rPr>
          <w:rFonts w:hint="eastAsia" w:ascii="宋体" w:hAnsi="宋体" w:eastAsia="宋体" w:cs="宋体"/>
          <w:color w:val="auto"/>
          <w:sz w:val="28"/>
          <w:szCs w:val="28"/>
          <w:highlight w:val="none"/>
        </w:rPr>
        <w:t>技术维护服务</w:t>
      </w:r>
    </w:p>
    <w:p w14:paraId="0372599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 质量保证期内的服务</w:t>
      </w:r>
    </w:p>
    <w:p w14:paraId="5F7CCEB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9.1.1本项目质量保证期是自项目</w:t>
      </w:r>
      <w:r>
        <w:rPr>
          <w:rFonts w:hint="eastAsia" w:ascii="宋体" w:hAnsi="宋体" w:eastAsia="宋体" w:cs="宋体"/>
          <w:color w:val="auto"/>
          <w:sz w:val="24"/>
          <w:szCs w:val="24"/>
          <w:highlight w:val="none"/>
          <w:lang w:val="en-US" w:eastAsia="zh-CN"/>
        </w:rPr>
        <w:t>竣工</w:t>
      </w:r>
      <w:r>
        <w:rPr>
          <w:rFonts w:hint="eastAsia" w:ascii="宋体" w:hAnsi="宋体" w:eastAsia="宋体" w:cs="宋体"/>
          <w:color w:val="auto"/>
          <w:sz w:val="24"/>
          <w:szCs w:val="24"/>
          <w:highlight w:val="none"/>
        </w:rPr>
        <w:t>验收通过之日起12个月。若系统发生故障，乙方需免费调查故障原因并修复直至满足验收指标和性能的要求，包括且不限于更换整个或部分有缺陷的材料。乙方应</w:t>
      </w:r>
      <w:r>
        <w:rPr>
          <w:rFonts w:hint="eastAsia" w:ascii="宋体" w:hAnsi="宋体" w:eastAsia="宋体" w:cs="宋体"/>
          <w:color w:val="auto"/>
          <w:sz w:val="24"/>
          <w:szCs w:val="24"/>
          <w:highlight w:val="none"/>
          <w:lang w:val="en-US" w:eastAsia="zh-CN"/>
        </w:rPr>
        <w:t>向甲方已</w:t>
      </w:r>
      <w:r>
        <w:rPr>
          <w:rFonts w:hint="eastAsia" w:ascii="宋体" w:hAnsi="宋体" w:eastAsia="宋体" w:cs="宋体"/>
          <w:color w:val="auto"/>
          <w:sz w:val="24"/>
          <w:szCs w:val="24"/>
          <w:highlight w:val="none"/>
        </w:rPr>
        <w:t>书面</w:t>
      </w:r>
      <w:r>
        <w:rPr>
          <w:rFonts w:hint="eastAsia" w:ascii="宋体" w:hAnsi="宋体" w:eastAsia="宋体" w:cs="宋体"/>
          <w:color w:val="auto"/>
          <w:sz w:val="24"/>
          <w:szCs w:val="24"/>
          <w:highlight w:val="none"/>
          <w:lang w:val="en-US" w:eastAsia="zh-CN"/>
        </w:rPr>
        <w:t>形式指</w:t>
      </w:r>
      <w:r>
        <w:rPr>
          <w:rFonts w:hint="eastAsia" w:ascii="宋体" w:hAnsi="宋体" w:eastAsia="宋体" w:cs="宋体"/>
          <w:color w:val="auto"/>
          <w:sz w:val="24"/>
          <w:szCs w:val="24"/>
          <w:highlight w:val="none"/>
        </w:rPr>
        <w:t>定质保期项目联系人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以确保甲方在质保期内能得到优质服务。</w:t>
      </w:r>
    </w:p>
    <w:p w14:paraId="3D9C44E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9.1.2质量保证期内，乙方应按以下方式提供服务：</w:t>
      </w:r>
    </w:p>
    <w:p w14:paraId="1DBEEFF9">
      <w:pPr>
        <w:pageBreakBefore w:val="0"/>
        <w:tabs>
          <w:tab w:val="left" w:pos="900"/>
          <w:tab w:val="left" w:pos="1455"/>
        </w:tabs>
        <w:kinsoku/>
        <w:wordWrap/>
        <w:overflowPunct/>
        <w:autoSpaceDE w:val="0"/>
        <w:autoSpaceDN w:val="0"/>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9.1.2.1驻场服务：乙方至少派遣</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名驻场工程师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按国家规定的工作日时间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，对系统提供的业务中断、业务问题或功能提升予以支持。</w:t>
      </w:r>
    </w:p>
    <w:p w14:paraId="3DDB8907">
      <w:pPr>
        <w:pageBreakBefore w:val="0"/>
        <w:tabs>
          <w:tab w:val="left" w:pos="900"/>
          <w:tab w:val="left" w:pos="1455"/>
        </w:tabs>
        <w:kinsoku/>
        <w:wordWrap/>
        <w:overflowPunct/>
        <w:autoSpaceDE w:val="0"/>
        <w:autoSpaceDN w:val="0"/>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9.1.2.2远程登录：当系统提供的业务中断、业务问题或功能提升复杂等级高时，需要提供远端登录支持。</w:t>
      </w:r>
    </w:p>
    <w:p w14:paraId="13B718A0">
      <w:pPr>
        <w:pageBreakBefore w:val="0"/>
        <w:tabs>
          <w:tab w:val="left" w:pos="900"/>
          <w:tab w:val="left" w:pos="1455"/>
        </w:tabs>
        <w:kinsoku/>
        <w:wordWrap/>
        <w:overflowPunct/>
        <w:autoSpaceDE w:val="0"/>
        <w:autoSpaceDN w:val="0"/>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9.1.2.3现场服务：当系统提供的业务中断、业务问题或功能提升复杂等级高时且远程登录无法解决问题时，乙方须按照合同附件一的要求在规定时限内派遣工程师赴现场解决问题，确保甲方云平台及系统在规定时限内恢复正常运行。</w:t>
      </w:r>
    </w:p>
    <w:p w14:paraId="36060976">
      <w:pPr>
        <w:pageBreakBefore w:val="0"/>
        <w:tabs>
          <w:tab w:val="left" w:pos="900"/>
        </w:tabs>
        <w:kinsoku/>
        <w:wordWrap/>
        <w:overflowPunct/>
        <w:autoSpaceDE w:val="0"/>
        <w:autoSpaceDN w:val="0"/>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9.1.3 在质量保证期内，乙方须提供二次开发服务。如果甲方为适应新的标准和工作要求，须对系统做小范围改进或增加新功能等，乙方应及时进行修改或提供相关软件给甲方单位使用。</w:t>
      </w:r>
    </w:p>
    <w:p w14:paraId="15CC1C1A">
      <w:pPr>
        <w:pageBreakBefore w:val="0"/>
        <w:tabs>
          <w:tab w:val="left" w:pos="900"/>
        </w:tabs>
        <w:kinsoku/>
        <w:wordWrap/>
        <w:overflowPunct/>
        <w:autoSpaceDE w:val="0"/>
        <w:autoSpaceDN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9.1.4 </w:t>
      </w:r>
      <w:r>
        <w:rPr>
          <w:rFonts w:hint="eastAsia" w:ascii="宋体" w:hAnsi="宋体" w:eastAsia="宋体" w:cs="宋体"/>
          <w:color w:val="auto"/>
          <w:sz w:val="24"/>
          <w:szCs w:val="24"/>
          <w:highlight w:val="none"/>
          <w:lang w:val="en-US" w:eastAsia="zh-CN"/>
        </w:rPr>
        <w:t>在质保期结束之前</w:t>
      </w:r>
      <w:r>
        <w:rPr>
          <w:rFonts w:hint="eastAsia" w:ascii="宋体" w:hAnsi="宋体" w:eastAsia="宋体" w:cs="宋体"/>
          <w:color w:val="auto"/>
          <w:sz w:val="24"/>
          <w:szCs w:val="24"/>
          <w:highlight w:val="none"/>
        </w:rPr>
        <w:t>，由于乙方对系</w:t>
      </w:r>
      <w:bookmarkStart w:id="105" w:name="_Toc383442137"/>
      <w:bookmarkStart w:id="106" w:name="_Toc424061956"/>
      <w:r>
        <w:rPr>
          <w:rFonts w:hint="eastAsia" w:ascii="宋体" w:hAnsi="宋体" w:eastAsia="宋体" w:cs="宋体"/>
          <w:color w:val="auto"/>
          <w:sz w:val="24"/>
          <w:szCs w:val="24"/>
          <w:highlight w:val="none"/>
        </w:rPr>
        <w:t>统软件进</w:t>
      </w:r>
      <w:bookmarkEnd w:id="105"/>
      <w:bookmarkEnd w:id="106"/>
      <w:r>
        <w:rPr>
          <w:rFonts w:hint="eastAsia" w:ascii="宋体" w:hAnsi="宋体" w:eastAsia="宋体" w:cs="宋体"/>
          <w:color w:val="auto"/>
          <w:sz w:val="24"/>
          <w:szCs w:val="24"/>
          <w:highlight w:val="none"/>
        </w:rPr>
        <w:t>行升级，乙方应向甲方提供升级服务。</w:t>
      </w:r>
    </w:p>
    <w:p w14:paraId="2C880364">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w:t>
      </w:r>
      <w:r>
        <w:rPr>
          <w:rFonts w:hint="eastAsia" w:ascii="宋体" w:hAnsi="宋体" w:eastAsia="宋体" w:cs="宋体"/>
          <w:color w:val="auto"/>
          <w:sz w:val="28"/>
          <w:szCs w:val="28"/>
          <w:highlight w:val="none"/>
        </w:rPr>
        <w:t>分包</w:t>
      </w:r>
    </w:p>
    <w:p w14:paraId="11B141D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未经甲方书面同意，乙方不得将项目主要工作分包给任何第三方进行。经甲方同意</w:t>
      </w:r>
      <w:bookmarkStart w:id="107" w:name="_Toc424061957"/>
      <w:bookmarkStart w:id="108" w:name="_Toc383442138"/>
      <w:r>
        <w:rPr>
          <w:rFonts w:hint="eastAsia" w:ascii="宋体" w:hAnsi="宋体" w:eastAsia="宋体" w:cs="宋体"/>
          <w:color w:val="auto"/>
          <w:sz w:val="24"/>
          <w:szCs w:val="24"/>
          <w:highlight w:val="none"/>
        </w:rPr>
        <w:t>的分包，乙方与分包商</w:t>
      </w:r>
      <w:bookmarkEnd w:id="107"/>
      <w:bookmarkEnd w:id="108"/>
      <w:r>
        <w:rPr>
          <w:rFonts w:hint="eastAsia" w:ascii="宋体" w:hAnsi="宋体" w:eastAsia="宋体" w:cs="宋体"/>
          <w:color w:val="auto"/>
          <w:sz w:val="24"/>
          <w:szCs w:val="24"/>
          <w:highlight w:val="none"/>
        </w:rPr>
        <w:t>对分包的工作成果承担连带责任。</w:t>
      </w:r>
    </w:p>
    <w:p w14:paraId="0766EBBD">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十一、</w:t>
      </w:r>
      <w:r>
        <w:rPr>
          <w:rFonts w:hint="eastAsia" w:ascii="宋体" w:hAnsi="宋体" w:eastAsia="宋体" w:cs="宋体"/>
          <w:color w:val="auto"/>
          <w:sz w:val="28"/>
          <w:szCs w:val="28"/>
          <w:highlight w:val="none"/>
        </w:rPr>
        <w:t>工作成果的所有权</w:t>
      </w:r>
    </w:p>
    <w:p w14:paraId="5A69BF71">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本条所称“工作成果”指乙方为履行本合同而为甲方制定、创作、设计、开发和制作的全部工作成果，在甲方付清本合同下已到期并应当由甲方支付的所有价款和费用后，工作成果由甲方拥有完全的所有权、使用权和支配权。甲方有权对该技术成果进行后续开发，由此产生的具有实质性或创造性技术进步特征的新技术成果及使用权、转让权归属甲方。乙方特此无条件和不可撤销地向甲方转让对于任何工作成果的一切权利和利益，包括但不限于著作权和其他知识产权，但乙方拥有工作成果的内部使用权。</w:t>
      </w:r>
    </w:p>
    <w:p w14:paraId="0D9C06D8">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工作成果不包括乙方在本合同开始之前已经存在或在本合同之外开发和制作的软件、工具、材料等属于乙方或第三方的成果。无论本合同其他条款如何约定，包含在项目成果中的由乙方创作的模块、组件、设计、工具、模型、方法论、程序等(统称“技术元素”)的知识产权仍由乙方拥有(包括在服务提供过程中对技术元素的修改和改进)。但乙方同意授权甲方在本合同履行期限内以及本合同履行完毕后，为本合同之目的无条件永久使用包含在本项目中的乙方成果、技术元素和第三方成果。该许可为全球性的、不可撤消的、非专有的且已支付许可费的许可，且该使用也无需支付合同约定之外的任何费用。</w:t>
      </w:r>
    </w:p>
    <w:p w14:paraId="4DB2E8C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lang w:val="en-US" w:eastAsia="zh-CN"/>
        </w:rPr>
        <w:t>定制的二次开发部分，</w:t>
      </w:r>
      <w:r>
        <w:rPr>
          <w:rFonts w:hint="eastAsia" w:ascii="宋体" w:hAnsi="宋体" w:eastAsia="宋体" w:cs="宋体"/>
          <w:color w:val="auto"/>
          <w:sz w:val="24"/>
          <w:szCs w:val="24"/>
          <w:highlight w:val="none"/>
        </w:rPr>
        <w:t>即使乙方未能完成整体开发任务，已开发完成部分软件内容的软件著作权也应归甲方所有。</w:t>
      </w:r>
    </w:p>
    <w:p w14:paraId="057E92F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11.4在验收完成之后，如果乙方按甲方要求在本合同有效期内运行与维护阶段对系统进行了必要的扩充或删改，该扩充或删改后的软件著作权仍归甲方所有。</w:t>
      </w:r>
    </w:p>
    <w:p w14:paraId="06F79801">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11.5乙方承诺通过本项目，为甲方取得知识产权（包括软件著作权等），其中获得软件著作权</w:t>
      </w:r>
      <w:r>
        <w:rPr>
          <w:rFonts w:hint="eastAsia" w:ascii="宋体" w:hAnsi="宋体" w:cs="宋体"/>
          <w:color w:val="auto"/>
          <w:sz w:val="24"/>
          <w:szCs w:val="24"/>
          <w:highlight w:val="none"/>
          <w:lang w:val="en-US" w:eastAsia="zh-CN"/>
        </w:rPr>
        <w:t>不少于15</w:t>
      </w:r>
      <w:r>
        <w:rPr>
          <w:rFonts w:hint="eastAsia" w:ascii="宋体" w:hAnsi="宋体" w:eastAsia="宋体" w:cs="宋体"/>
          <w:color w:val="auto"/>
          <w:sz w:val="24"/>
          <w:szCs w:val="24"/>
          <w:highlight w:val="none"/>
          <w:lang w:val="en-US" w:eastAsia="zh-CN"/>
        </w:rPr>
        <w:t>项</w:t>
      </w:r>
      <w:r>
        <w:rPr>
          <w:rFonts w:hint="eastAsia" w:ascii="宋体" w:hAnsi="宋体" w:eastAsia="宋体" w:cs="宋体"/>
          <w:color w:val="auto"/>
          <w:sz w:val="24"/>
          <w:szCs w:val="24"/>
          <w:highlight w:val="none"/>
        </w:rPr>
        <w:t>，满足科技研发项目立项和研发费用归集要求。</w:t>
      </w:r>
    </w:p>
    <w:p w14:paraId="6559BAA1">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十二、</w:t>
      </w:r>
      <w:r>
        <w:rPr>
          <w:rFonts w:hint="eastAsia" w:ascii="宋体" w:hAnsi="宋体" w:eastAsia="宋体" w:cs="宋体"/>
          <w:color w:val="auto"/>
          <w:sz w:val="28"/>
          <w:szCs w:val="28"/>
          <w:highlight w:val="none"/>
        </w:rPr>
        <w:t>乙方保证</w:t>
      </w:r>
    </w:p>
    <w:p w14:paraId="4E63161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12.1乙方保证向甲方提供的全部服务和交付的全部工作成果不侵犯任何第三方的知识产权及其他合法权益。</w:t>
      </w:r>
    </w:p>
    <w:p w14:paraId="1926B6A6">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如任何第三方指控甲方使用本合同成果或服务侵犯其知识产权或其他权益，乙方应自费为甲方或协助甲方进行答辩。如最终由司法机关或仲裁机关判决或裁定甲方构成侵权并需要赔偿，或在乙方同意前提下甲方与指控方进行和解，由此给甲方造成的一切损失（包括</w:t>
      </w:r>
      <w:bookmarkStart w:id="109" w:name="_Toc424061959"/>
      <w:bookmarkStart w:id="110" w:name="_Toc383442140"/>
      <w:r>
        <w:rPr>
          <w:rFonts w:hint="eastAsia" w:ascii="宋体" w:hAnsi="宋体" w:eastAsia="宋体" w:cs="宋体"/>
          <w:color w:val="auto"/>
          <w:sz w:val="24"/>
          <w:szCs w:val="24"/>
          <w:highlight w:val="none"/>
        </w:rPr>
        <w:t>但不限于答</w:t>
      </w:r>
      <w:bookmarkEnd w:id="109"/>
      <w:bookmarkEnd w:id="110"/>
      <w:r>
        <w:rPr>
          <w:rFonts w:hint="eastAsia" w:ascii="宋体" w:hAnsi="宋体" w:eastAsia="宋体" w:cs="宋体"/>
          <w:color w:val="auto"/>
          <w:sz w:val="24"/>
          <w:szCs w:val="24"/>
          <w:highlight w:val="none"/>
        </w:rPr>
        <w:t>辩费用、律师费、赔偿费等）均由乙方承担。</w:t>
      </w:r>
    </w:p>
    <w:p w14:paraId="43314F9E">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十三、</w:t>
      </w:r>
      <w:r>
        <w:rPr>
          <w:rFonts w:hint="eastAsia" w:ascii="宋体" w:hAnsi="宋体" w:eastAsia="宋体" w:cs="宋体"/>
          <w:color w:val="auto"/>
          <w:sz w:val="28"/>
          <w:szCs w:val="28"/>
          <w:highlight w:val="none"/>
        </w:rPr>
        <w:t>保密</w:t>
      </w:r>
    </w:p>
    <w:p w14:paraId="3C83E238">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甲乙双方一致同意对因订立和履行本合同获知的对方的信息予以保</w:t>
      </w:r>
      <w:bookmarkStart w:id="111" w:name="_Toc424061960"/>
      <w:bookmarkStart w:id="112" w:name="_Toc383442141"/>
      <w:r>
        <w:rPr>
          <w:rFonts w:hint="eastAsia" w:ascii="宋体" w:hAnsi="宋体" w:eastAsia="宋体" w:cs="宋体"/>
          <w:color w:val="auto"/>
          <w:sz w:val="24"/>
          <w:szCs w:val="24"/>
          <w:highlight w:val="none"/>
        </w:rPr>
        <w:t>密</w:t>
      </w:r>
      <w:r>
        <w:rPr>
          <w:rFonts w:hint="eastAsia" w:ascii="宋体" w:hAnsi="宋体" w:cs="宋体"/>
          <w:color w:val="auto"/>
          <w:kern w:val="2"/>
          <w:sz w:val="24"/>
          <w:szCs w:val="24"/>
          <w:highlight w:val="none"/>
        </w:rPr>
        <w:t>，乙方保证乙方及乙方的服务人员</w:t>
      </w:r>
      <w:r>
        <w:rPr>
          <w:rFonts w:hint="eastAsia" w:ascii="宋体" w:hAnsi="宋体" w:cs="宋体"/>
          <w:color w:val="auto"/>
          <w:kern w:val="2"/>
          <w:sz w:val="24"/>
          <w:szCs w:val="24"/>
          <w:highlight w:val="none"/>
          <w:lang w:val="en-US" w:eastAsia="zh-CN"/>
        </w:rPr>
        <w:t>对履行</w:t>
      </w:r>
      <w:r>
        <w:rPr>
          <w:rFonts w:hint="eastAsia" w:ascii="宋体" w:hAnsi="宋体" w:cs="宋体"/>
          <w:color w:val="auto"/>
          <w:kern w:val="2"/>
          <w:sz w:val="24"/>
          <w:szCs w:val="24"/>
          <w:highlight w:val="none"/>
        </w:rPr>
        <w:t>本合同期间获知的有关甲方及其关联公司的产品、技术、业务、经营及其他信息承担保密义务未经</w:t>
      </w:r>
      <w:r>
        <w:rPr>
          <w:rFonts w:hint="eastAsia" w:ascii="宋体" w:hAnsi="宋体" w:cs="宋体"/>
          <w:color w:val="auto"/>
          <w:kern w:val="2"/>
          <w:sz w:val="24"/>
          <w:szCs w:val="24"/>
          <w:highlight w:val="none"/>
          <w:lang w:val="en-US" w:eastAsia="zh-CN"/>
        </w:rPr>
        <w:t>双方</w:t>
      </w:r>
      <w:r>
        <w:rPr>
          <w:rFonts w:hint="eastAsia" w:ascii="宋体" w:hAnsi="宋体" w:cs="宋体"/>
          <w:color w:val="auto"/>
          <w:kern w:val="2"/>
          <w:sz w:val="24"/>
          <w:szCs w:val="24"/>
          <w:highlight w:val="none"/>
        </w:rPr>
        <w:t>事先书面</w:t>
      </w:r>
      <w:r>
        <w:rPr>
          <w:rFonts w:hint="eastAsia" w:ascii="宋体" w:hAnsi="宋体" w:cs="宋体"/>
          <w:color w:val="auto"/>
          <w:kern w:val="2"/>
          <w:sz w:val="24"/>
          <w:szCs w:val="24"/>
          <w:highlight w:val="none"/>
          <w:lang w:val="en-US" w:eastAsia="zh-CN"/>
        </w:rPr>
        <w:t>确认</w:t>
      </w:r>
      <w:r>
        <w:rPr>
          <w:rFonts w:hint="eastAsia" w:ascii="宋体" w:hAnsi="宋体" w:cs="宋体"/>
          <w:color w:val="auto"/>
          <w:kern w:val="2"/>
          <w:sz w:val="24"/>
          <w:szCs w:val="24"/>
          <w:highlight w:val="none"/>
        </w:rPr>
        <w:t>或法定的程序，不得将</w:t>
      </w:r>
      <w:r>
        <w:rPr>
          <w:rFonts w:hint="eastAsia" w:ascii="宋体" w:hAnsi="宋体" w:cs="宋体"/>
          <w:color w:val="auto"/>
          <w:kern w:val="2"/>
          <w:sz w:val="24"/>
          <w:szCs w:val="24"/>
          <w:highlight w:val="none"/>
          <w:lang w:val="en-US" w:eastAsia="zh-CN"/>
        </w:rPr>
        <w:t>保密</w:t>
      </w:r>
      <w:r>
        <w:rPr>
          <w:rFonts w:hint="eastAsia" w:ascii="宋体" w:hAnsi="宋体" w:cs="宋体"/>
          <w:color w:val="auto"/>
          <w:kern w:val="2"/>
          <w:sz w:val="24"/>
          <w:szCs w:val="24"/>
          <w:highlight w:val="none"/>
        </w:rPr>
        <w:t>信息向任何第三方透露，</w:t>
      </w:r>
      <w:r>
        <w:rPr>
          <w:rFonts w:hint="eastAsia" w:ascii="宋体" w:hAnsi="宋体" w:eastAsia="宋体" w:cs="宋体"/>
          <w:color w:val="auto"/>
          <w:sz w:val="24"/>
          <w:szCs w:val="24"/>
          <w:highlight w:val="none"/>
        </w:rPr>
        <w:t>并应签署专</w:t>
      </w:r>
      <w:r>
        <w:rPr>
          <w:rFonts w:hint="eastAsia" w:ascii="宋体" w:hAnsi="宋体" w:eastAsia="宋体" w:cs="宋体"/>
          <w:color w:val="auto"/>
          <w:sz w:val="24"/>
          <w:szCs w:val="24"/>
          <w:highlight w:val="none"/>
          <w:lang w:val="en-US" w:eastAsia="zh-CN"/>
        </w:rPr>
        <w:t>项</w:t>
      </w:r>
      <w:r>
        <w:rPr>
          <w:rFonts w:hint="eastAsia" w:ascii="宋体" w:hAnsi="宋体" w:eastAsia="宋体" w:cs="宋体"/>
          <w:color w:val="auto"/>
          <w:sz w:val="24"/>
          <w:szCs w:val="24"/>
          <w:highlight w:val="none"/>
        </w:rPr>
        <w:t>的</w:t>
      </w:r>
      <w:bookmarkEnd w:id="111"/>
      <w:bookmarkEnd w:id="112"/>
      <w:r>
        <w:rPr>
          <w:rFonts w:hint="eastAsia" w:ascii="宋体" w:hAnsi="宋体" w:eastAsia="宋体" w:cs="宋体"/>
          <w:color w:val="auto"/>
          <w:sz w:val="24"/>
          <w:szCs w:val="24"/>
          <w:highlight w:val="none"/>
        </w:rPr>
        <w:t>《保密协议》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详见合同附件四</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作为本合同附件。</w:t>
      </w:r>
    </w:p>
    <w:p w14:paraId="7E13B2CC">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lang w:val="en-US" w:eastAsia="zh-CN"/>
        </w:rPr>
        <w:t>十四、</w:t>
      </w:r>
      <w:r>
        <w:rPr>
          <w:rFonts w:hint="eastAsia" w:ascii="宋体" w:hAnsi="宋体" w:eastAsia="宋体" w:cs="宋体"/>
          <w:color w:val="auto"/>
          <w:sz w:val="28"/>
          <w:szCs w:val="28"/>
          <w:highlight w:val="none"/>
        </w:rPr>
        <w:t>合同的变更和终止</w:t>
      </w:r>
    </w:p>
    <w:p w14:paraId="5D0FDED3">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对本合同任何条款和内容作出变更或修改，均须经甲乙双方协商一致并签署书面协议。</w:t>
      </w:r>
    </w:p>
    <w:p w14:paraId="4A30CE49">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如非因甲方所能控制的原因导致本合同项目不能继续施行，甲方可向乙方发出书面通知全部或部分终止合同，终止通知应披露相关原因，并明确合同终止的范围，以及终止的生效日期。</w:t>
      </w:r>
    </w:p>
    <w:p w14:paraId="080D272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任何一方迟延履行合同主要义务，经对方催告后在合理期限内仍未履行，或任何一方迟延履行</w:t>
      </w:r>
      <w:bookmarkStart w:id="113" w:name="_Toc424061961"/>
      <w:bookmarkStart w:id="114" w:name="_Toc383442142"/>
      <w:r>
        <w:rPr>
          <w:rFonts w:hint="eastAsia" w:ascii="宋体" w:hAnsi="宋体" w:eastAsia="宋体" w:cs="宋体"/>
          <w:color w:val="auto"/>
          <w:sz w:val="24"/>
          <w:szCs w:val="24"/>
          <w:highlight w:val="none"/>
        </w:rPr>
        <w:t>义务致使本合同</w:t>
      </w:r>
      <w:bookmarkEnd w:id="113"/>
      <w:bookmarkEnd w:id="114"/>
      <w:r>
        <w:rPr>
          <w:rFonts w:hint="eastAsia" w:ascii="宋体" w:hAnsi="宋体" w:eastAsia="宋体" w:cs="宋体"/>
          <w:color w:val="auto"/>
          <w:sz w:val="24"/>
          <w:szCs w:val="24"/>
          <w:highlight w:val="none"/>
        </w:rPr>
        <w:t>目的不能实现，守约方可以</w:t>
      </w:r>
      <w:r>
        <w:rPr>
          <w:rFonts w:hint="eastAsia" w:ascii="宋体" w:hAnsi="宋体" w:eastAsia="宋体" w:cs="宋体"/>
          <w:color w:val="auto"/>
          <w:sz w:val="24"/>
          <w:szCs w:val="24"/>
          <w:highlight w:val="none"/>
          <w:lang w:val="en-US" w:eastAsia="zh-CN"/>
        </w:rPr>
        <w:t>暂停服务或</w:t>
      </w:r>
      <w:r>
        <w:rPr>
          <w:rFonts w:hint="eastAsia" w:ascii="宋体" w:hAnsi="宋体" w:eastAsia="宋体" w:cs="宋体"/>
          <w:color w:val="auto"/>
          <w:sz w:val="24"/>
          <w:szCs w:val="24"/>
          <w:highlight w:val="none"/>
        </w:rPr>
        <w:t>终止本合同。</w:t>
      </w:r>
    </w:p>
    <w:p w14:paraId="0B7C3FDB">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非乙方原因造成的合同终止，乙方有权要求甲方按照终止前实际完成工作量支付相应的合同价款。</w:t>
      </w:r>
    </w:p>
    <w:p w14:paraId="54F35437">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十五、</w:t>
      </w:r>
      <w:r>
        <w:rPr>
          <w:rFonts w:hint="eastAsia" w:ascii="宋体" w:hAnsi="宋体" w:eastAsia="宋体" w:cs="宋体"/>
          <w:color w:val="auto"/>
          <w:sz w:val="28"/>
          <w:szCs w:val="28"/>
          <w:highlight w:val="none"/>
        </w:rPr>
        <w:t>违约责任</w:t>
      </w:r>
    </w:p>
    <w:p w14:paraId="2652DD2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无论本合同其他条款如何约定，在法律允许的最大范围内，一方对另一方因后者遭受损失或损害而基于本合同提出的全部索赔的总赔偿责任不应超过甲方根据本合同所应当支付的全部金额，而不论责任产生的原因为何，该等原因包括但不限于违约、侵权、错误陈述或违反法定义务，且任何一方不对另一方的任何间接损失负责。无论本合同其他条款如何约定，任何一方在本合同项下所需承担的违约金累计总额不应超过本合同总价款的10%。任何一方违反本合同第13条保密义务的，另一方对违约方全部索赔的总赔偿责任不受甲方根据本合同应当支付的全部金额限制。</w:t>
      </w:r>
    </w:p>
    <w:p w14:paraId="27E945B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15.2在项目实施过程中，未经甲方同意，乙方擅自更换项目经理、项目</w:t>
      </w:r>
      <w:r>
        <w:rPr>
          <w:rFonts w:hint="eastAsia" w:ascii="宋体" w:hAnsi="宋体" w:eastAsia="宋体" w:cs="宋体"/>
          <w:color w:val="auto"/>
          <w:sz w:val="24"/>
          <w:szCs w:val="24"/>
          <w:highlight w:val="none"/>
          <w:lang w:val="en-US" w:eastAsia="zh-CN"/>
        </w:rPr>
        <w:t>技术总监</w:t>
      </w:r>
      <w:r>
        <w:rPr>
          <w:rFonts w:hint="eastAsia" w:ascii="宋体" w:hAnsi="宋体" w:eastAsia="宋体" w:cs="宋体"/>
          <w:color w:val="auto"/>
          <w:sz w:val="24"/>
          <w:szCs w:val="24"/>
          <w:highlight w:val="none"/>
        </w:rPr>
        <w:t>和模块负责人的, 视为乙方违约，处违约罚金</w:t>
      </w:r>
      <w:r>
        <w:rPr>
          <w:rFonts w:hint="eastAsia" w:ascii="宋体" w:hAnsi="宋体" w:eastAsia="宋体" w:cs="宋体"/>
          <w:color w:val="auto"/>
          <w:sz w:val="24"/>
          <w:szCs w:val="24"/>
          <w:highlight w:val="none"/>
          <w:lang w:val="en-US" w:eastAsia="zh-CN"/>
        </w:rPr>
        <w:t>按本合同5.2.1款约定，</w:t>
      </w:r>
      <w:r>
        <w:rPr>
          <w:rFonts w:hint="eastAsia" w:ascii="宋体" w:hAnsi="宋体" w:eastAsia="宋体" w:cs="宋体"/>
          <w:color w:val="auto"/>
          <w:sz w:val="24"/>
          <w:szCs w:val="24"/>
          <w:highlight w:val="none"/>
        </w:rPr>
        <w:t>于合同款中扣除。</w:t>
      </w:r>
    </w:p>
    <w:p w14:paraId="4EE0E373">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15.3乙方非因不可抗力或甲方原因不履行或不完全履行本合同超过50天，视为违约，守约方有权终止本合同并要求违约方赔偿因违约而造成的损失。</w:t>
      </w:r>
    </w:p>
    <w:p w14:paraId="7C3101AB">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15.4在质量保证期内，甲方有权对乙方的技术服务作出考核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考核标准见附件三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，乙方如未能按甲方的要求提供相应的技术支持和服务，每次扣罚质量保证金中的</w:t>
      </w:r>
      <w:r>
        <w:rPr>
          <w:rFonts w:hint="eastAsia" w:ascii="宋体" w:hAnsi="宋体" w:eastAsia="宋体" w:cs="宋体"/>
          <w:color w:val="auto"/>
          <w:sz w:val="24"/>
          <w:szCs w:val="24"/>
          <w:highlight w:val="none"/>
          <w:lang w:val="en-US" w:eastAsia="zh-CN"/>
        </w:rPr>
        <w:t>万分之</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。扣罚情况甲方将以书面形式通知乙方。</w:t>
      </w:r>
    </w:p>
    <w:p w14:paraId="77050928">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15.5在项目合同履行期间，乙方未按甲方确认的设计说明开发系统的，甲方出具整改通知书，若乙方逾期未完成整改的，甲方出具违约通知书，</w:t>
      </w:r>
      <w:r>
        <w:rPr>
          <w:rFonts w:hint="eastAsia" w:ascii="宋体" w:hAnsi="宋体" w:eastAsia="宋体" w:cs="宋体"/>
          <w:b w:val="0"/>
          <w:bCs w:val="0"/>
          <w:color w:val="auto"/>
          <w:sz w:val="24"/>
          <w:szCs w:val="24"/>
          <w:highlight w:val="none"/>
        </w:rPr>
        <w:t>违约罚金为</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万元/次</w:t>
      </w:r>
      <w:r>
        <w:rPr>
          <w:rFonts w:hint="eastAsia" w:ascii="宋体" w:hAnsi="宋体" w:eastAsia="宋体" w:cs="宋体"/>
          <w:b w:val="0"/>
          <w:bCs w:val="0"/>
          <w:color w:val="auto"/>
          <w:sz w:val="24"/>
          <w:szCs w:val="24"/>
          <w:highlight w:val="none"/>
          <w:lang w:eastAsia="zh-CN"/>
        </w:rPr>
        <w:t>。</w:t>
      </w:r>
    </w:p>
    <w:p w14:paraId="3424699A">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15.6在项目合同履行期间，乙方提供的项目成果未达到甲方要求的，甲方出具整改通知书，若乙方逾期未完成整改的，甲方出具违约通知书，</w:t>
      </w:r>
      <w:r>
        <w:rPr>
          <w:rFonts w:hint="eastAsia" w:ascii="宋体" w:hAnsi="宋体" w:eastAsia="宋体" w:cs="宋体"/>
          <w:b w:val="0"/>
          <w:bCs w:val="0"/>
          <w:color w:val="auto"/>
          <w:sz w:val="24"/>
          <w:szCs w:val="24"/>
          <w:highlight w:val="none"/>
        </w:rPr>
        <w:t>违约罚金为</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万元/次</w:t>
      </w:r>
      <w:r>
        <w:rPr>
          <w:rFonts w:hint="eastAsia" w:ascii="宋体" w:hAnsi="宋体" w:eastAsia="宋体" w:cs="宋体"/>
          <w:b w:val="0"/>
          <w:bCs w:val="0"/>
          <w:color w:val="auto"/>
          <w:sz w:val="24"/>
          <w:szCs w:val="24"/>
          <w:highlight w:val="none"/>
          <w:lang w:eastAsia="zh-CN"/>
        </w:rPr>
        <w:t>。</w:t>
      </w:r>
    </w:p>
    <w:p w14:paraId="2371EDE9">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15.7</w:t>
      </w:r>
      <w:r>
        <w:rPr>
          <w:rFonts w:hint="eastAsia" w:ascii="宋体" w:hAnsi="宋体" w:eastAsia="宋体" w:cs="宋体"/>
          <w:b w:val="0"/>
          <w:bCs w:val="0"/>
          <w:color w:val="auto"/>
          <w:sz w:val="24"/>
          <w:szCs w:val="24"/>
          <w:highlight w:val="none"/>
          <w:lang w:eastAsia="zh-CN"/>
        </w:rPr>
        <w:t>本</w:t>
      </w:r>
      <w:r>
        <w:rPr>
          <w:rFonts w:hint="eastAsia" w:ascii="宋体" w:hAnsi="宋体" w:eastAsia="宋体" w:cs="宋体"/>
          <w:b w:val="0"/>
          <w:bCs w:val="0"/>
          <w:color w:val="auto"/>
          <w:sz w:val="24"/>
          <w:szCs w:val="24"/>
          <w:highlight w:val="none"/>
          <w:lang w:val="en-US" w:eastAsia="zh-CN"/>
        </w:rPr>
        <w:t>项目</w:t>
      </w:r>
      <w:r>
        <w:rPr>
          <w:rFonts w:hint="eastAsia" w:ascii="宋体" w:hAnsi="宋体" w:eastAsia="宋体" w:cs="宋体"/>
          <w:b w:val="0"/>
          <w:bCs w:val="0"/>
          <w:color w:val="auto"/>
          <w:sz w:val="24"/>
          <w:szCs w:val="24"/>
          <w:highlight w:val="none"/>
          <w:lang w:eastAsia="zh-CN"/>
        </w:rPr>
        <w:t>工期实行节点工期和总工期双控制。</w:t>
      </w:r>
    </w:p>
    <w:p w14:paraId="5B588FE1">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如因乙方原因造成本软件开发项目总工期迟延，每逾期一天，乙方须按合同总价款的万分之五向甲方支付违约金。逾期50日的，甲方有权单方终止合同，并不免除乙方应承担相应的违约责任，对乙方已实施的工作，甲乙双方按实结算</w:t>
      </w:r>
      <w:r>
        <w:rPr>
          <w:rFonts w:hint="eastAsia" w:ascii="宋体" w:hAnsi="宋体" w:cs="宋体"/>
          <w:b w:val="0"/>
          <w:bCs w:val="0"/>
          <w:color w:val="auto"/>
          <w:sz w:val="24"/>
          <w:szCs w:val="24"/>
          <w:highlight w:val="none"/>
          <w:lang w:eastAsia="zh-CN"/>
        </w:rPr>
        <w:t>。</w:t>
      </w:r>
    </w:p>
    <w:p w14:paraId="5B77216A">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节点工期完成时间经</w:t>
      </w:r>
      <w:r>
        <w:rPr>
          <w:rFonts w:hint="eastAsia" w:ascii="宋体" w:hAnsi="宋体" w:eastAsia="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eastAsia="zh-CN"/>
        </w:rPr>
        <w:t>确认后做为控制阶段工期的依据。当</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实际完成节点进度时间比计划时间拖迟但少于</w:t>
      </w:r>
      <w:r>
        <w:rPr>
          <w:rFonts w:hint="eastAsia" w:ascii="宋体" w:hAnsi="宋体" w:eastAsia="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eastAsia="zh-CN"/>
        </w:rPr>
        <w:t>天的，视为</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按计划完成，但</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必须采取有效措施，保证在下一节点工作完成时符合计划进度时间。节点工期拖迟超过</w:t>
      </w:r>
      <w:r>
        <w:rPr>
          <w:rFonts w:hint="eastAsia" w:ascii="宋体" w:hAnsi="宋体" w:eastAsia="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lang w:eastAsia="zh-CN"/>
        </w:rPr>
        <w:t>天的，从第</w:t>
      </w:r>
      <w:r>
        <w:rPr>
          <w:rFonts w:hint="eastAsia" w:ascii="宋体" w:hAnsi="宋体" w:eastAsia="宋体" w:cs="宋体"/>
          <w:b w:val="0"/>
          <w:bCs w:val="0"/>
          <w:color w:val="auto"/>
          <w:sz w:val="24"/>
          <w:szCs w:val="24"/>
          <w:highlight w:val="none"/>
          <w:lang w:val="en-US" w:eastAsia="zh-CN"/>
        </w:rPr>
        <w:t>16</w:t>
      </w:r>
      <w:r>
        <w:rPr>
          <w:rFonts w:hint="eastAsia" w:ascii="宋体" w:hAnsi="宋体" w:eastAsia="宋体" w:cs="宋体"/>
          <w:b w:val="0"/>
          <w:bCs w:val="0"/>
          <w:color w:val="auto"/>
          <w:sz w:val="24"/>
          <w:szCs w:val="24"/>
          <w:highlight w:val="none"/>
          <w:lang w:eastAsia="zh-CN"/>
        </w:rPr>
        <w:t>天开始，其所延误的工期赔偿为每天收取</w:t>
      </w:r>
      <w:r>
        <w:rPr>
          <w:rFonts w:hint="eastAsia" w:ascii="宋体" w:hAnsi="宋体" w:eastAsia="宋体" w:cs="宋体"/>
          <w:color w:val="auto"/>
          <w:sz w:val="24"/>
          <w:szCs w:val="24"/>
          <w:highlight w:val="none"/>
        </w:rPr>
        <w:t>合同总价款的</w:t>
      </w:r>
      <w:r>
        <w:rPr>
          <w:rFonts w:hint="eastAsia" w:ascii="宋体" w:hAnsi="宋体" w:eastAsia="宋体" w:cs="宋体"/>
          <w:color w:val="auto"/>
          <w:sz w:val="24"/>
          <w:szCs w:val="24"/>
          <w:highlight w:val="none"/>
          <w:lang w:val="en-US" w:eastAsia="zh-CN"/>
        </w:rPr>
        <w:t>万分之</w:t>
      </w:r>
      <w:r>
        <w:rPr>
          <w:rFonts w:hint="eastAsia" w:ascii="宋体" w:hAnsi="宋体" w:eastAsia="宋体" w:cs="宋体"/>
          <w:color w:val="auto"/>
          <w:sz w:val="24"/>
          <w:szCs w:val="24"/>
          <w:highlight w:val="none"/>
          <w:lang w:eastAsia="zh-CN"/>
        </w:rPr>
        <w:t>五</w:t>
      </w:r>
      <w:r>
        <w:rPr>
          <w:rFonts w:hint="eastAsia" w:ascii="宋体" w:hAnsi="宋体" w:eastAsia="宋体" w:cs="宋体"/>
          <w:b w:val="0"/>
          <w:bCs w:val="0"/>
          <w:color w:val="auto"/>
          <w:sz w:val="24"/>
          <w:szCs w:val="24"/>
          <w:highlight w:val="none"/>
          <w:lang w:eastAsia="zh-CN"/>
        </w:rPr>
        <w:t>，整改无效或节点工期延迟超过</w:t>
      </w:r>
      <w:r>
        <w:rPr>
          <w:rFonts w:hint="eastAsia" w:ascii="宋体" w:hAnsi="宋体" w:eastAsia="宋体" w:cs="宋体"/>
          <w:b w:val="0"/>
          <w:bCs w:val="0"/>
          <w:color w:val="auto"/>
          <w:sz w:val="24"/>
          <w:szCs w:val="24"/>
          <w:highlight w:val="none"/>
          <w:lang w:val="en-US" w:eastAsia="zh-CN"/>
        </w:rPr>
        <w:t>50</w:t>
      </w:r>
      <w:r>
        <w:rPr>
          <w:rFonts w:hint="eastAsia" w:ascii="宋体" w:hAnsi="宋体" w:eastAsia="宋体" w:cs="宋体"/>
          <w:b w:val="0"/>
          <w:bCs w:val="0"/>
          <w:color w:val="auto"/>
          <w:sz w:val="24"/>
          <w:szCs w:val="24"/>
          <w:highlight w:val="none"/>
          <w:lang w:eastAsia="zh-CN"/>
        </w:rPr>
        <w:t>天以上，</w:t>
      </w:r>
      <w:r>
        <w:rPr>
          <w:rFonts w:hint="eastAsia" w:ascii="宋体" w:hAnsi="宋体" w:eastAsia="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eastAsia="zh-CN"/>
        </w:rPr>
        <w:t>有权</w:t>
      </w:r>
      <w:r>
        <w:rPr>
          <w:rFonts w:hint="eastAsia" w:ascii="宋体" w:hAnsi="宋体" w:eastAsia="宋体" w:cs="宋体"/>
          <w:b w:val="0"/>
          <w:bCs w:val="0"/>
          <w:color w:val="auto"/>
          <w:sz w:val="24"/>
          <w:szCs w:val="24"/>
          <w:highlight w:val="none"/>
          <w:lang w:val="en-US" w:eastAsia="zh-CN"/>
        </w:rPr>
        <w:t>单方面</w:t>
      </w:r>
      <w:r>
        <w:rPr>
          <w:rFonts w:hint="eastAsia" w:ascii="宋体" w:hAnsi="宋体" w:eastAsia="宋体" w:cs="宋体"/>
          <w:b w:val="0"/>
          <w:bCs w:val="0"/>
          <w:color w:val="auto"/>
          <w:sz w:val="24"/>
          <w:szCs w:val="24"/>
          <w:highlight w:val="none"/>
          <w:lang w:eastAsia="zh-CN"/>
        </w:rPr>
        <w:t>终止部分合同，并追究</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的违约责任。</w:t>
      </w:r>
    </w:p>
    <w:p w14:paraId="72CE7625">
      <w:pPr>
        <w:pageBreakBefore w:val="0"/>
        <w:kinsoku/>
        <w:wordWrap/>
        <w:overflowPunct/>
        <w:bidi w:val="0"/>
        <w:adjustRightInd w:val="0"/>
        <w:snapToGrid w:val="0"/>
        <w:spacing w:afterLines="0"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甲方根据乙方实际进度曲线，若判断项目</w:t>
      </w:r>
      <w:r>
        <w:rPr>
          <w:rFonts w:hint="eastAsia" w:ascii="宋体" w:hAnsi="宋体" w:eastAsia="宋体" w:cs="宋体"/>
          <w:b w:val="0"/>
          <w:bCs w:val="0"/>
          <w:color w:val="auto"/>
          <w:sz w:val="24"/>
          <w:szCs w:val="24"/>
          <w:highlight w:val="none"/>
          <w:lang w:eastAsia="zh-CN"/>
        </w:rPr>
        <w:t>进度过慢，</w:t>
      </w:r>
      <w:r>
        <w:rPr>
          <w:rFonts w:hint="eastAsia" w:ascii="宋体" w:hAnsi="宋体" w:eastAsia="宋体" w:cs="宋体"/>
          <w:b w:val="0"/>
          <w:bCs w:val="0"/>
          <w:color w:val="auto"/>
          <w:sz w:val="24"/>
          <w:szCs w:val="24"/>
          <w:highlight w:val="none"/>
          <w:lang w:val="en-US" w:eastAsia="zh-CN"/>
        </w:rPr>
        <w:t>可</w:t>
      </w:r>
      <w:r>
        <w:rPr>
          <w:rFonts w:hint="eastAsia" w:ascii="宋体" w:hAnsi="宋体" w:eastAsia="宋体" w:cs="宋体"/>
          <w:b w:val="0"/>
          <w:bCs w:val="0"/>
          <w:color w:val="auto"/>
          <w:sz w:val="24"/>
          <w:szCs w:val="24"/>
          <w:highlight w:val="none"/>
          <w:lang w:eastAsia="zh-CN"/>
        </w:rPr>
        <w:t>对</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发出限期改正通知，</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应采取措施（包括但不限于增加人员等）</w:t>
      </w:r>
      <w:r>
        <w:rPr>
          <w:rFonts w:hint="eastAsia" w:ascii="宋体" w:hAnsi="宋体" w:eastAsia="宋体" w:cs="宋体"/>
          <w:b w:val="0"/>
          <w:bCs w:val="0"/>
          <w:color w:val="auto"/>
          <w:sz w:val="24"/>
          <w:szCs w:val="24"/>
          <w:highlight w:val="none"/>
          <w:lang w:val="en-US" w:eastAsia="zh-CN"/>
        </w:rPr>
        <w:t>及时调整</w:t>
      </w:r>
      <w:r>
        <w:rPr>
          <w:rFonts w:hint="eastAsia" w:ascii="宋体" w:hAnsi="宋体" w:eastAsia="宋体" w:cs="宋体"/>
          <w:b w:val="0"/>
          <w:bCs w:val="0"/>
          <w:color w:val="auto"/>
          <w:sz w:val="24"/>
          <w:szCs w:val="24"/>
          <w:highlight w:val="none"/>
          <w:lang w:eastAsia="zh-CN"/>
        </w:rPr>
        <w:t>进度，并承担加快进度所增加的费用。</w:t>
      </w:r>
      <w:r>
        <w:rPr>
          <w:rFonts w:hint="eastAsia" w:ascii="宋体" w:hAnsi="宋体" w:eastAsia="宋体" w:cs="宋体"/>
          <w:b w:val="0"/>
          <w:bCs w:val="0"/>
          <w:color w:val="auto"/>
          <w:sz w:val="24"/>
          <w:szCs w:val="24"/>
          <w:highlight w:val="none"/>
          <w:lang w:val="en-US" w:eastAsia="zh-CN"/>
        </w:rPr>
        <w:t>如乙方在限期内未完成整改，甲方出具违约通知书，</w:t>
      </w:r>
      <w:r>
        <w:rPr>
          <w:rFonts w:hint="eastAsia" w:ascii="宋体" w:hAnsi="宋体" w:eastAsia="宋体" w:cs="宋体"/>
          <w:b w:val="0"/>
          <w:bCs w:val="0"/>
          <w:color w:val="auto"/>
          <w:sz w:val="24"/>
          <w:szCs w:val="24"/>
          <w:highlight w:val="none"/>
        </w:rPr>
        <w:t>违约罚金为</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万元/次</w:t>
      </w:r>
      <w:r>
        <w:rPr>
          <w:rFonts w:hint="eastAsia" w:ascii="宋体" w:hAnsi="宋体" w:eastAsia="宋体" w:cs="宋体"/>
          <w:b w:val="0"/>
          <w:bCs w:val="0"/>
          <w:color w:val="auto"/>
          <w:sz w:val="24"/>
          <w:szCs w:val="24"/>
          <w:highlight w:val="none"/>
          <w:lang w:eastAsia="zh-CN"/>
        </w:rPr>
        <w:t>。</w:t>
      </w:r>
    </w:p>
    <w:p w14:paraId="1BFDC8C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15.8甲方</w:t>
      </w:r>
      <w:r>
        <w:rPr>
          <w:rFonts w:hint="eastAsia" w:ascii="宋体" w:hAnsi="宋体" w:eastAsia="宋体" w:cs="宋体"/>
          <w:b w:val="0"/>
          <w:bCs w:val="0"/>
          <w:color w:val="auto"/>
          <w:sz w:val="24"/>
          <w:szCs w:val="24"/>
          <w:highlight w:val="none"/>
          <w:lang w:eastAsia="zh-CN"/>
        </w:rPr>
        <w:t>发现</w:t>
      </w:r>
      <w:r>
        <w:rPr>
          <w:rFonts w:hint="eastAsia" w:ascii="宋体" w:hAnsi="宋体" w:eastAsia="宋体" w:cs="宋体"/>
          <w:b w:val="0"/>
          <w:bCs w:val="0"/>
          <w:color w:val="auto"/>
          <w:sz w:val="24"/>
          <w:szCs w:val="24"/>
          <w:highlight w:val="none"/>
          <w:lang w:val="en-US" w:eastAsia="zh-CN"/>
        </w:rPr>
        <w:t>乙</w:t>
      </w:r>
      <w:r>
        <w:rPr>
          <w:rFonts w:hint="eastAsia" w:ascii="宋体" w:hAnsi="宋体" w:eastAsia="宋体" w:cs="宋体"/>
          <w:b w:val="0"/>
          <w:bCs w:val="0"/>
          <w:color w:val="auto"/>
          <w:sz w:val="24"/>
          <w:szCs w:val="24"/>
          <w:highlight w:val="none"/>
          <w:lang w:eastAsia="zh-CN"/>
        </w:rPr>
        <w:t>方未遵守安全生产和文明施工规定或施工现场存在安全事故隐患的，以书面形式通知</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整改；情况严重的，可要求</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暂停施工。</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在收到书面通知后的48小时内仍未整改的，</w:t>
      </w:r>
      <w:r>
        <w:rPr>
          <w:rFonts w:hint="eastAsia" w:ascii="宋体" w:hAnsi="宋体" w:eastAsia="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eastAsia="zh-CN"/>
        </w:rPr>
        <w:t>可以聘请或指派第三方采取措施，所产生的费用，由</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eastAsia="zh-CN"/>
        </w:rPr>
        <w:t>从应付或将付给</w:t>
      </w:r>
      <w:r>
        <w:rPr>
          <w:rFonts w:hint="eastAsia" w:ascii="宋体" w:hAnsi="宋体" w:eastAsia="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lang w:eastAsia="zh-CN"/>
        </w:rPr>
        <w:t>的款项中扣除。</w:t>
      </w:r>
      <w:r>
        <w:rPr>
          <w:rFonts w:hint="eastAsia" w:ascii="宋体" w:hAnsi="宋体" w:eastAsia="宋体" w:cs="宋体"/>
          <w:b w:val="0"/>
          <w:bCs w:val="0"/>
          <w:color w:val="auto"/>
          <w:sz w:val="24"/>
          <w:szCs w:val="24"/>
          <w:highlight w:val="none"/>
          <w:lang w:val="en-US" w:eastAsia="zh-CN"/>
        </w:rPr>
        <w:t>若乙方在限期内未完成整改，甲方出具违约通知书，</w:t>
      </w:r>
      <w:r>
        <w:rPr>
          <w:rFonts w:hint="eastAsia" w:ascii="宋体" w:hAnsi="宋体" w:eastAsia="宋体" w:cs="宋体"/>
          <w:b w:val="0"/>
          <w:bCs w:val="0"/>
          <w:color w:val="auto"/>
          <w:sz w:val="24"/>
          <w:szCs w:val="24"/>
          <w:highlight w:val="none"/>
        </w:rPr>
        <w:t>违约罚金为</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万元/次</w:t>
      </w:r>
      <w:r>
        <w:rPr>
          <w:rFonts w:hint="eastAsia" w:ascii="宋体" w:hAnsi="宋体" w:eastAsia="宋体" w:cs="宋体"/>
          <w:b w:val="0"/>
          <w:bCs w:val="0"/>
          <w:color w:val="auto"/>
          <w:sz w:val="24"/>
          <w:szCs w:val="24"/>
          <w:highlight w:val="none"/>
          <w:lang w:eastAsia="zh-CN"/>
        </w:rPr>
        <w:t>。</w:t>
      </w:r>
    </w:p>
    <w:p w14:paraId="4B29FB2C">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en-US" w:eastAsia="zh-CN"/>
        </w:rPr>
        <w:t>有以上违约行为或</w:t>
      </w:r>
      <w:r>
        <w:rPr>
          <w:rFonts w:hint="eastAsia" w:ascii="宋体" w:hAnsi="宋体" w:eastAsia="宋体" w:cs="宋体"/>
          <w:color w:val="auto"/>
          <w:sz w:val="24"/>
          <w:szCs w:val="24"/>
          <w:highlight w:val="none"/>
        </w:rPr>
        <w:t>其它</w:t>
      </w:r>
      <w:r>
        <w:rPr>
          <w:rFonts w:hint="eastAsia" w:ascii="宋体" w:hAnsi="宋体" w:eastAsia="宋体" w:cs="宋体"/>
          <w:color w:val="auto"/>
          <w:sz w:val="24"/>
          <w:szCs w:val="24"/>
          <w:highlight w:val="none"/>
          <w:lang w:val="en-US" w:eastAsia="zh-CN"/>
        </w:rPr>
        <w:t>一般违约责任</w:t>
      </w:r>
      <w:r>
        <w:rPr>
          <w:rFonts w:hint="eastAsia" w:ascii="宋体" w:hAnsi="宋体" w:eastAsia="宋体" w:cs="宋体"/>
          <w:color w:val="auto"/>
          <w:sz w:val="24"/>
          <w:szCs w:val="24"/>
          <w:highlight w:val="none"/>
        </w:rPr>
        <w:t>的行为，</w:t>
      </w:r>
      <w:r>
        <w:rPr>
          <w:rFonts w:hint="eastAsia" w:ascii="宋体" w:hAnsi="宋体" w:eastAsia="宋体" w:cs="宋体"/>
          <w:color w:val="auto"/>
          <w:sz w:val="24"/>
          <w:szCs w:val="24"/>
          <w:highlight w:val="none"/>
          <w:lang w:val="en-US" w:eastAsia="zh-CN"/>
        </w:rPr>
        <w:t>每</w:t>
      </w:r>
      <w:r>
        <w:rPr>
          <w:rFonts w:hint="eastAsia" w:ascii="宋体" w:hAnsi="宋体" w:eastAsia="宋体" w:cs="宋体"/>
          <w:color w:val="auto"/>
          <w:sz w:val="24"/>
          <w:szCs w:val="24"/>
          <w:highlight w:val="none"/>
        </w:rPr>
        <w:t>三次一般违约责任相当于一次严重违约责任，</w:t>
      </w:r>
      <w:r>
        <w:rPr>
          <w:rFonts w:hint="eastAsia" w:ascii="宋体" w:hAnsi="宋体" w:eastAsia="宋体" w:cs="宋体"/>
          <w:color w:val="auto"/>
          <w:sz w:val="24"/>
          <w:szCs w:val="24"/>
          <w:highlight w:val="none"/>
          <w:lang w:val="en-US" w:eastAsia="zh-CN"/>
        </w:rPr>
        <w:t>追加</w:t>
      </w:r>
      <w:r>
        <w:rPr>
          <w:rFonts w:hint="eastAsia" w:ascii="宋体" w:hAnsi="宋体" w:eastAsia="宋体" w:cs="宋体"/>
          <w:color w:val="auto"/>
          <w:sz w:val="24"/>
          <w:szCs w:val="24"/>
          <w:highlight w:val="none"/>
        </w:rPr>
        <w:t>违约罚金为2万元/次。</w:t>
      </w:r>
    </w:p>
    <w:p w14:paraId="0B027A9B">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 甲乙双方中任何一方不履行本合同义务或者履行义务不符合约定的，应当承担继续履行、采取补救措施或者赔偿损失等违约责任。</w:t>
      </w:r>
    </w:p>
    <w:p w14:paraId="220FF96F">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合同履约过程中，若</w:t>
      </w:r>
      <w:r>
        <w:rPr>
          <w:rFonts w:hint="eastAsia" w:ascii="宋体" w:hAnsi="宋体" w:eastAsia="宋体" w:cs="宋体"/>
          <w:color w:val="auto"/>
          <w:sz w:val="24"/>
          <w:szCs w:val="24"/>
          <w:highlight w:val="none"/>
        </w:rPr>
        <w:t>乙方为甲方取得知识产权（包括软件著作权等）</w:t>
      </w:r>
      <w:r>
        <w:rPr>
          <w:rFonts w:hint="eastAsia" w:ascii="宋体" w:hAnsi="宋体" w:cs="宋体"/>
          <w:color w:val="auto"/>
          <w:sz w:val="24"/>
          <w:szCs w:val="24"/>
          <w:highlight w:val="none"/>
          <w:lang w:val="en-US" w:eastAsia="zh-CN"/>
        </w:rPr>
        <w:t>的数量</w:t>
      </w:r>
      <w:r>
        <w:rPr>
          <w:rFonts w:hint="eastAsia" w:ascii="宋体" w:hAnsi="宋体" w:eastAsia="宋体" w:cs="宋体"/>
          <w:color w:val="auto"/>
          <w:sz w:val="24"/>
          <w:szCs w:val="24"/>
          <w:highlight w:val="none"/>
        </w:rPr>
        <w:t>少于15项，</w:t>
      </w:r>
      <w:r>
        <w:rPr>
          <w:rFonts w:hint="eastAsia" w:ascii="宋体" w:hAnsi="宋体" w:cs="宋体"/>
          <w:color w:val="auto"/>
          <w:sz w:val="24"/>
          <w:szCs w:val="24"/>
          <w:highlight w:val="none"/>
          <w:lang w:val="en-US" w:eastAsia="zh-CN"/>
        </w:rPr>
        <w:t>每减少1项罚金1万元</w:t>
      </w:r>
      <w:r>
        <w:rPr>
          <w:rFonts w:hint="eastAsia" w:ascii="宋体" w:hAnsi="宋体" w:eastAsia="宋体" w:cs="宋体"/>
          <w:color w:val="auto"/>
          <w:sz w:val="24"/>
          <w:szCs w:val="24"/>
          <w:highlight w:val="none"/>
        </w:rPr>
        <w:t>。</w:t>
      </w:r>
    </w:p>
    <w:p w14:paraId="4226208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15.12</w:t>
      </w:r>
      <w:r>
        <w:rPr>
          <w:rFonts w:hint="eastAsia" w:ascii="宋体" w:hAnsi="宋体" w:eastAsia="宋体" w:cs="宋体"/>
          <w:color w:val="auto"/>
          <w:sz w:val="24"/>
          <w:szCs w:val="24"/>
          <w:highlight w:val="none"/>
        </w:rPr>
        <w:t>乙方严重失职造成甲方重大损失的，甲方</w:t>
      </w:r>
      <w:r>
        <w:rPr>
          <w:rFonts w:hint="eastAsia" w:ascii="宋体" w:hAnsi="宋体" w:eastAsia="宋体" w:cs="宋体"/>
          <w:color w:val="auto"/>
          <w:sz w:val="24"/>
          <w:szCs w:val="24"/>
          <w:highlight w:val="none"/>
          <w:lang w:val="en-US" w:eastAsia="zh-CN"/>
        </w:rPr>
        <w:t>有权</w:t>
      </w:r>
      <w:r>
        <w:rPr>
          <w:rFonts w:hint="eastAsia" w:ascii="宋体" w:hAnsi="宋体" w:eastAsia="宋体" w:cs="宋体"/>
          <w:color w:val="auto"/>
          <w:sz w:val="24"/>
          <w:szCs w:val="24"/>
          <w:highlight w:val="none"/>
        </w:rPr>
        <w:t>解除合同。乙方应按合同总金额</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0%的违约金赔偿给甲方，如该等违约金不足以弥补甲方损失的，甲方有权追偿。</w:t>
      </w:r>
    </w:p>
    <w:p w14:paraId="5F737F1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乙方发生严重违约后,在收到甲方书面知一个月内仍不能采取补救措施,甲方</w:t>
      </w:r>
      <w:r>
        <w:rPr>
          <w:rFonts w:hint="eastAsia" w:ascii="宋体" w:hAnsi="宋体" w:eastAsia="宋体" w:cs="宋体"/>
          <w:color w:val="auto"/>
          <w:sz w:val="24"/>
          <w:szCs w:val="24"/>
          <w:highlight w:val="none"/>
          <w:lang w:val="en-US" w:eastAsia="zh-CN"/>
        </w:rPr>
        <w:t>有权</w:t>
      </w:r>
      <w:r>
        <w:rPr>
          <w:rFonts w:hint="eastAsia" w:ascii="宋体" w:hAnsi="宋体" w:eastAsia="宋体" w:cs="宋体"/>
          <w:color w:val="auto"/>
          <w:sz w:val="24"/>
          <w:szCs w:val="24"/>
          <w:highlight w:val="none"/>
        </w:rPr>
        <w:t>解除合同。乙方应按合同总金额</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0%的违约金赔偿给甲方，如该等违约金不足以弥补甲方损失的，甲方有权追偿。</w:t>
      </w:r>
    </w:p>
    <w:p w14:paraId="6A25390C">
      <w:pPr>
        <w:autoSpaceDE/>
        <w:autoSpaceDN/>
        <w:adjustRightInd w:val="0"/>
        <w:snapToGrid w:val="0"/>
        <w:spacing w:line="360" w:lineRule="auto"/>
        <w:ind w:firstLine="480" w:firstLineChars="200"/>
        <w:rPr>
          <w:rFonts w:hint="eastAsia" w:ascii="宋体" w:hAnsi="宋体" w:cs="宋体"/>
          <w:color w:val="auto"/>
          <w:kern w:val="2"/>
          <w:sz w:val="24"/>
          <w:szCs w:val="24"/>
          <w:highlight w:val="none"/>
        </w:rPr>
      </w:pPr>
      <w:r>
        <w:rPr>
          <w:rFonts w:hint="eastAsia" w:ascii="宋体" w:hAnsi="宋体" w:eastAsia="宋体" w:cs="宋体"/>
          <w:color w:val="auto"/>
          <w:sz w:val="24"/>
          <w:szCs w:val="24"/>
          <w:highlight w:val="none"/>
          <w:lang w:val="en-US" w:eastAsia="zh-CN"/>
        </w:rPr>
        <w:t>15.1</w:t>
      </w:r>
      <w:r>
        <w:rPr>
          <w:rFonts w:hint="eastAsia" w:ascii="宋体" w:hAnsi="宋体" w:cs="宋体"/>
          <w:color w:val="auto"/>
          <w:sz w:val="24"/>
          <w:szCs w:val="24"/>
          <w:highlight w:val="none"/>
          <w:lang w:val="en-US" w:eastAsia="zh-CN"/>
        </w:rPr>
        <w:t>4</w:t>
      </w:r>
      <w:r>
        <w:rPr>
          <w:rFonts w:hint="eastAsia" w:ascii="宋体" w:hAnsi="宋体" w:cs="宋体"/>
          <w:bCs w:val="0"/>
          <w:color w:val="auto"/>
          <w:sz w:val="24"/>
          <w:szCs w:val="24"/>
          <w:highlight w:val="none"/>
          <w:lang w:val="en-US" w:eastAsia="zh-CN"/>
        </w:rPr>
        <w:t>合同履行过程中，</w:t>
      </w:r>
      <w:r>
        <w:rPr>
          <w:rFonts w:hint="eastAsia" w:ascii="宋体" w:hAnsi="宋体" w:eastAsia="宋体" w:cs="宋体"/>
          <w:bCs w:val="0"/>
          <w:color w:val="auto"/>
          <w:sz w:val="24"/>
          <w:szCs w:val="24"/>
          <w:highlight w:val="none"/>
        </w:rPr>
        <w:t>乙</w:t>
      </w:r>
      <w:r>
        <w:rPr>
          <w:rFonts w:hint="eastAsia" w:ascii="宋体" w:hAnsi="宋体" w:eastAsia="宋体" w:cs="宋体"/>
          <w:color w:val="auto"/>
          <w:sz w:val="24"/>
          <w:szCs w:val="24"/>
          <w:highlight w:val="none"/>
          <w:lang w:val="en-US" w:eastAsia="zh-CN"/>
        </w:rPr>
        <w:t>方</w:t>
      </w:r>
      <w:r>
        <w:rPr>
          <w:rFonts w:hint="eastAsia" w:ascii="宋体" w:hAnsi="宋体" w:cs="宋体"/>
          <w:color w:val="auto"/>
          <w:sz w:val="24"/>
          <w:szCs w:val="24"/>
          <w:highlight w:val="none"/>
          <w:lang w:val="en-US" w:eastAsia="zh-CN"/>
        </w:rPr>
        <w:t>不可被纳入“信用广州”公布的“黑名单”中，若乙方被纳入“黑名单”的，</w:t>
      </w:r>
      <w:r>
        <w:rPr>
          <w:rFonts w:hint="eastAsia" w:ascii="宋体" w:hAnsi="宋体" w:eastAsia="宋体" w:cs="宋体"/>
          <w:color w:val="auto"/>
          <w:kern w:val="2"/>
          <w:sz w:val="24"/>
          <w:szCs w:val="24"/>
          <w:highlight w:val="none"/>
          <w:lang w:val="en-US" w:eastAsia="zh-CN" w:bidi="ar-SA"/>
        </w:rPr>
        <w:t>甲方有权</w:t>
      </w:r>
      <w:r>
        <w:rPr>
          <w:rFonts w:hint="eastAsia" w:ascii="宋体" w:hAnsi="宋体" w:eastAsia="宋体" w:cs="宋体"/>
          <w:bCs w:val="0"/>
          <w:color w:val="auto"/>
          <w:sz w:val="24"/>
          <w:szCs w:val="24"/>
          <w:highlight w:val="none"/>
          <w:lang w:val="en-US" w:eastAsia="zh-CN"/>
        </w:rPr>
        <w:t>与乙方</w:t>
      </w:r>
      <w:r>
        <w:rPr>
          <w:rFonts w:hint="eastAsia" w:ascii="宋体" w:hAnsi="宋体" w:eastAsia="宋体" w:cs="宋体"/>
          <w:color w:val="auto"/>
          <w:kern w:val="2"/>
          <w:sz w:val="24"/>
          <w:szCs w:val="24"/>
          <w:highlight w:val="none"/>
          <w:lang w:val="en-US" w:eastAsia="zh-CN" w:bidi="ar-SA"/>
        </w:rPr>
        <w:t>解除合同。</w:t>
      </w:r>
      <w:r>
        <w:rPr>
          <w:rFonts w:hint="eastAsia" w:ascii="宋体" w:hAnsi="宋体" w:cs="宋体"/>
          <w:color w:val="auto"/>
          <w:kern w:val="2"/>
          <w:sz w:val="24"/>
          <w:szCs w:val="24"/>
          <w:highlight w:val="none"/>
          <w:lang w:val="en-US" w:eastAsia="zh-CN" w:bidi="ar-SA"/>
        </w:rPr>
        <w:t>若</w:t>
      </w:r>
      <w:r>
        <w:rPr>
          <w:rFonts w:hint="eastAsia" w:ascii="宋体" w:hAnsi="宋体" w:eastAsia="宋体" w:cs="宋体"/>
          <w:bCs w:val="0"/>
          <w:color w:val="auto"/>
          <w:sz w:val="24"/>
          <w:szCs w:val="24"/>
          <w:highlight w:val="none"/>
          <w:lang w:val="en-US" w:eastAsia="zh-CN"/>
        </w:rPr>
        <w:t>乙方</w:t>
      </w:r>
      <w:r>
        <w:rPr>
          <w:rFonts w:hint="eastAsia" w:ascii="宋体" w:hAnsi="宋体" w:cs="宋体"/>
          <w:bCs w:val="0"/>
          <w:color w:val="auto"/>
          <w:sz w:val="24"/>
          <w:szCs w:val="24"/>
          <w:highlight w:val="none"/>
          <w:lang w:val="en-US" w:eastAsia="zh-CN"/>
        </w:rPr>
        <w:t>被纳入“黑名单”的情形为与本合同履约关联事项，则甲方有权要求乙方</w:t>
      </w:r>
      <w:r>
        <w:rPr>
          <w:rFonts w:hint="eastAsia" w:ascii="宋体" w:hAnsi="宋体" w:eastAsia="宋体" w:cs="宋体"/>
          <w:color w:val="auto"/>
          <w:kern w:val="2"/>
          <w:sz w:val="24"/>
          <w:szCs w:val="24"/>
          <w:highlight w:val="none"/>
          <w:lang w:val="en-US" w:eastAsia="zh-CN" w:bidi="ar-SA"/>
        </w:rPr>
        <w:t>按合同金额</w:t>
      </w:r>
      <w:r>
        <w:rPr>
          <w:rFonts w:hint="eastAsia" w:ascii="宋体" w:hAnsi="宋体" w:cs="宋体"/>
          <w:color w:val="auto"/>
          <w:kern w:val="2"/>
          <w:sz w:val="24"/>
          <w:szCs w:val="24"/>
          <w:highlight w:val="none"/>
          <w:lang w:val="en-US" w:eastAsia="zh-CN" w:bidi="ar-SA"/>
        </w:rPr>
        <w:t>10</w:t>
      </w:r>
      <w:bookmarkStart w:id="1867" w:name="_GoBack"/>
      <w:bookmarkEnd w:id="1867"/>
      <w:r>
        <w:rPr>
          <w:rFonts w:hint="eastAsia" w:ascii="宋体" w:hAnsi="宋体" w:eastAsia="宋体" w:cs="宋体"/>
          <w:color w:val="auto"/>
          <w:kern w:val="2"/>
          <w:sz w:val="24"/>
          <w:szCs w:val="24"/>
          <w:highlight w:val="none"/>
          <w:lang w:val="en-US" w:eastAsia="zh-CN" w:bidi="ar-SA"/>
        </w:rPr>
        <w:t>％的违约金赔偿给甲方，如该等违约金不足以弥补甲方损失的，甲方有权追偿。</w:t>
      </w:r>
    </w:p>
    <w:p w14:paraId="3523B271">
      <w:pPr>
        <w:autoSpaceDE/>
        <w:autoSpaceDN/>
        <w:adjustRightInd w:val="0"/>
        <w:snapToGrid w:val="0"/>
        <w:spacing w:line="360" w:lineRule="auto"/>
        <w:ind w:firstLine="480" w:firstLineChars="200"/>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lang w:val="en-US" w:eastAsia="zh-CN"/>
        </w:rPr>
        <w:t>15.15</w:t>
      </w:r>
      <w:r>
        <w:rPr>
          <w:rFonts w:hint="eastAsia" w:ascii="宋体" w:hAnsi="宋体" w:cs="宋体"/>
          <w:color w:val="auto"/>
          <w:kern w:val="2"/>
          <w:sz w:val="24"/>
          <w:szCs w:val="24"/>
          <w:highlight w:val="none"/>
        </w:rPr>
        <w:t>以上约定的违约金或损失赔偿，甲方有权从应支付给乙方的最近</w:t>
      </w:r>
      <w:r>
        <w:rPr>
          <w:rFonts w:hint="eastAsia" w:ascii="宋体" w:hAnsi="宋体" w:cs="宋体"/>
          <w:color w:val="auto"/>
          <w:kern w:val="2"/>
          <w:sz w:val="24"/>
          <w:szCs w:val="24"/>
          <w:highlight w:val="none"/>
          <w:lang w:val="en-US" w:eastAsia="zh-CN"/>
        </w:rPr>
        <w:t>支付的服务费</w:t>
      </w:r>
      <w:r>
        <w:rPr>
          <w:rFonts w:hint="eastAsia" w:ascii="宋体" w:hAnsi="宋体" w:cs="宋体"/>
          <w:color w:val="auto"/>
          <w:kern w:val="2"/>
          <w:sz w:val="24"/>
          <w:szCs w:val="24"/>
          <w:highlight w:val="none"/>
        </w:rPr>
        <w:t>用中直接扣除；</w:t>
      </w:r>
      <w:r>
        <w:rPr>
          <w:rFonts w:hint="eastAsia" w:ascii="宋体" w:hAnsi="宋体" w:cs="宋体"/>
          <w:color w:val="auto"/>
          <w:kern w:val="2"/>
          <w:sz w:val="24"/>
          <w:szCs w:val="24"/>
          <w:highlight w:val="none"/>
          <w:lang w:val="en-US" w:eastAsia="zh-CN"/>
        </w:rPr>
        <w:t>若当次支付的服务</w:t>
      </w:r>
      <w:r>
        <w:rPr>
          <w:rFonts w:hint="eastAsia" w:ascii="宋体" w:hAnsi="宋体" w:cs="宋体"/>
          <w:color w:val="auto"/>
          <w:kern w:val="2"/>
          <w:sz w:val="24"/>
          <w:szCs w:val="24"/>
          <w:highlight w:val="none"/>
        </w:rPr>
        <w:t>费用不足以扣除的，甲方有权从应付而未付的后续</w:t>
      </w:r>
      <w:r>
        <w:rPr>
          <w:rFonts w:hint="eastAsia" w:ascii="宋体" w:hAnsi="宋体" w:cs="宋体"/>
          <w:color w:val="auto"/>
          <w:kern w:val="2"/>
          <w:sz w:val="24"/>
          <w:szCs w:val="24"/>
          <w:highlight w:val="none"/>
          <w:lang w:val="en-US" w:eastAsia="zh-CN"/>
        </w:rPr>
        <w:t>服务</w:t>
      </w:r>
      <w:r>
        <w:rPr>
          <w:rFonts w:hint="eastAsia" w:ascii="宋体" w:hAnsi="宋体" w:cs="宋体"/>
          <w:color w:val="auto"/>
          <w:kern w:val="2"/>
          <w:sz w:val="24"/>
          <w:szCs w:val="24"/>
          <w:highlight w:val="none"/>
        </w:rPr>
        <w:t>费用中直接扣除；前述</w:t>
      </w:r>
      <w:r>
        <w:rPr>
          <w:rFonts w:hint="eastAsia" w:ascii="宋体" w:hAnsi="宋体" w:cs="宋体"/>
          <w:color w:val="auto"/>
          <w:kern w:val="2"/>
          <w:sz w:val="24"/>
          <w:szCs w:val="24"/>
          <w:highlight w:val="none"/>
          <w:lang w:val="en-US" w:eastAsia="zh-CN"/>
        </w:rPr>
        <w:t>服务</w:t>
      </w:r>
      <w:r>
        <w:rPr>
          <w:rFonts w:hint="eastAsia" w:ascii="宋体" w:hAnsi="宋体" w:cs="宋体"/>
          <w:color w:val="auto"/>
          <w:kern w:val="2"/>
          <w:sz w:val="24"/>
          <w:szCs w:val="24"/>
          <w:highlight w:val="none"/>
        </w:rPr>
        <w:t>费用均不足以扣除的，甲方有权另行向乙方追偿。</w:t>
      </w:r>
    </w:p>
    <w:p w14:paraId="467EEA3F">
      <w:pPr>
        <w:pageBreakBefore w:val="0"/>
        <w:kinsoku/>
        <w:wordWrap/>
        <w:overflowPunct/>
        <w:bidi w:val="0"/>
        <w:adjustRightInd w:val="0"/>
        <w:snapToGrid w:val="0"/>
        <w:spacing w:afterLines="-2147483648"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rPr>
        <w:t>15.</w:t>
      </w:r>
      <w:r>
        <w:rPr>
          <w:rFonts w:hint="eastAsia" w:ascii="宋体" w:hAnsi="宋体" w:cs="宋体"/>
          <w:color w:val="auto"/>
          <w:kern w:val="2"/>
          <w:sz w:val="24"/>
          <w:szCs w:val="24"/>
          <w:highlight w:val="none"/>
          <w:lang w:val="en-US" w:eastAsia="zh-CN"/>
        </w:rPr>
        <w:t>16</w:t>
      </w:r>
      <w:r>
        <w:rPr>
          <w:rFonts w:hint="eastAsia" w:ascii="宋体" w:hAnsi="宋体" w:eastAsia="宋体" w:cs="宋体"/>
          <w:color w:val="auto"/>
          <w:sz w:val="24"/>
          <w:szCs w:val="24"/>
          <w:highlight w:val="none"/>
        </w:rPr>
        <w:t>甲乙双方无正当理由不得无故终止合同,否则违约方应向对方支付违约金。违约金按合同总金额的</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0%计算。</w:t>
      </w:r>
    </w:p>
    <w:p w14:paraId="653246A6">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15.17</w:t>
      </w:r>
      <w:r>
        <w:rPr>
          <w:rFonts w:hint="eastAsia" w:ascii="宋体" w:hAnsi="宋体" w:eastAsia="宋体" w:cs="宋体"/>
          <w:color w:val="auto"/>
          <w:sz w:val="24"/>
          <w:szCs w:val="24"/>
          <w:highlight w:val="none"/>
        </w:rPr>
        <w:t>违约方承担违约责任的标准，本合同有约定</w:t>
      </w:r>
      <w:bookmarkStart w:id="115" w:name="_Toc383442143"/>
      <w:bookmarkStart w:id="116" w:name="_Toc424061962"/>
      <w:r>
        <w:rPr>
          <w:rFonts w:hint="eastAsia" w:ascii="宋体" w:hAnsi="宋体" w:eastAsia="宋体" w:cs="宋体"/>
          <w:color w:val="auto"/>
          <w:sz w:val="24"/>
          <w:szCs w:val="24"/>
          <w:highlight w:val="none"/>
        </w:rPr>
        <w:t>的，从约定；无</w:t>
      </w:r>
      <w:bookmarkEnd w:id="115"/>
      <w:bookmarkEnd w:id="116"/>
      <w:r>
        <w:rPr>
          <w:rFonts w:hint="eastAsia" w:ascii="宋体" w:hAnsi="宋体" w:eastAsia="宋体" w:cs="宋体"/>
          <w:color w:val="auto"/>
          <w:sz w:val="24"/>
          <w:szCs w:val="24"/>
          <w:highlight w:val="none"/>
        </w:rPr>
        <w:t>具体约定的，按照法律、法规规定执行。</w:t>
      </w:r>
    </w:p>
    <w:p w14:paraId="4DCA21D1">
      <w:pPr>
        <w:snapToGrid w:val="0"/>
        <w:spacing w:afterLines="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15.18项目成果质量要求符合国家标准GB/T 25000.51－2016《系统与软件工程 系统与软件质量要求和评价（SQuaRE）第51部分：就绪可用软件产品（RUSP）的质量要求和测试细则》的质量标准，且满足</w:t>
      </w:r>
      <w:r>
        <w:rPr>
          <w:rFonts w:hint="eastAsia" w:ascii="宋体" w:hAnsi="宋体" w:cs="宋体"/>
          <w:snapToGrid w:val="0"/>
          <w:color w:val="auto"/>
          <w:sz w:val="24"/>
          <w:szCs w:val="24"/>
          <w:highlight w:val="none"/>
          <w:lang w:val="en-US" w:eastAsia="zh-CN"/>
        </w:rPr>
        <w:t>技术要求、用户需求书，</w:t>
      </w:r>
      <w:r>
        <w:rPr>
          <w:rFonts w:hint="eastAsia" w:ascii="宋体" w:hAnsi="宋体" w:cs="宋体"/>
          <w:color w:val="auto"/>
          <w:sz w:val="24"/>
          <w:szCs w:val="24"/>
          <w:highlight w:val="none"/>
          <w:lang w:val="en-US" w:eastAsia="zh-CN"/>
        </w:rPr>
        <w:t>若质量不符合标准，乙方应按合同总金额10%的违约金赔偿给甲方</w:t>
      </w:r>
      <w:r>
        <w:rPr>
          <w:rFonts w:hint="eastAsia" w:ascii="宋体" w:hAnsi="宋体" w:eastAsia="宋体" w:cs="宋体"/>
          <w:color w:val="auto"/>
          <w:sz w:val="24"/>
          <w:szCs w:val="24"/>
          <w:highlight w:val="none"/>
        </w:rPr>
        <w:t>。</w:t>
      </w:r>
    </w:p>
    <w:p w14:paraId="696E10B5">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十六、</w:t>
      </w:r>
      <w:r>
        <w:rPr>
          <w:rFonts w:hint="eastAsia" w:ascii="宋体" w:hAnsi="宋体" w:eastAsia="宋体" w:cs="宋体"/>
          <w:color w:val="auto"/>
          <w:sz w:val="28"/>
          <w:szCs w:val="28"/>
          <w:highlight w:val="none"/>
        </w:rPr>
        <w:t>安全管理</w:t>
      </w:r>
    </w:p>
    <w:p w14:paraId="48DDDC2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16.1乙方实施本项目过程中需遵循国家、省、市相关安全生产法律法规及甲方相关安全管理规定，并服从甲方对人员进出生产场所的管理。</w:t>
      </w:r>
    </w:p>
    <w:p w14:paraId="5BDD8CB8">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十七、</w:t>
      </w:r>
      <w:r>
        <w:rPr>
          <w:rFonts w:hint="eastAsia" w:ascii="宋体" w:hAnsi="宋体" w:eastAsia="宋体" w:cs="宋体"/>
          <w:color w:val="auto"/>
          <w:sz w:val="28"/>
          <w:szCs w:val="28"/>
          <w:highlight w:val="none"/>
        </w:rPr>
        <w:t>不可抗力与情势变更</w:t>
      </w:r>
    </w:p>
    <w:p w14:paraId="6FE0D142">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17.1</w:t>
      </w:r>
      <w:r>
        <w:rPr>
          <w:rFonts w:hint="eastAsia" w:ascii="宋体" w:hAnsi="宋体" w:eastAsia="宋体" w:cs="宋体"/>
          <w:color w:val="auto"/>
          <w:sz w:val="24"/>
          <w:szCs w:val="24"/>
          <w:highlight w:val="none"/>
        </w:rPr>
        <w:t>甲乙双方的任何一方，由于自然灾害等不可抗力的原因而不能履行合同时，应及时向对方通报，在取得有关公证机关的证明后，允许延期履行、部分履行或者不履行合同，并根据情况免</w:t>
      </w:r>
      <w:bookmarkStart w:id="117" w:name="_Toc383442144"/>
      <w:bookmarkStart w:id="118" w:name="_Toc424061963"/>
      <w:r>
        <w:rPr>
          <w:rFonts w:hint="eastAsia" w:ascii="宋体" w:hAnsi="宋体" w:eastAsia="宋体" w:cs="宋体"/>
          <w:color w:val="auto"/>
          <w:sz w:val="24"/>
          <w:szCs w:val="24"/>
          <w:highlight w:val="none"/>
        </w:rPr>
        <w:t>于承</w:t>
      </w:r>
      <w:bookmarkEnd w:id="117"/>
      <w:bookmarkEnd w:id="118"/>
      <w:r>
        <w:rPr>
          <w:rFonts w:hint="eastAsia" w:ascii="宋体" w:hAnsi="宋体" w:eastAsia="宋体" w:cs="宋体"/>
          <w:color w:val="auto"/>
          <w:sz w:val="24"/>
          <w:szCs w:val="24"/>
          <w:highlight w:val="none"/>
        </w:rPr>
        <w:t>担违约责任。但双方应尽快安排下一步合同的执行。</w:t>
      </w:r>
    </w:p>
    <w:p w14:paraId="1EDC3C69">
      <w:pPr>
        <w:snapToGrid w:val="0"/>
        <w:spacing w:afterLines="0" w:line="360" w:lineRule="auto"/>
        <w:ind w:firstLine="480" w:firstLineChars="200"/>
        <w:rPr>
          <w:rFonts w:hint="default" w:ascii="Times New Roman" w:hAnsi="Times New Roman" w:eastAsia="宋体" w:cs="Times New Roman"/>
          <w:color w:val="auto"/>
          <w:sz w:val="20"/>
          <w:szCs w:val="20"/>
          <w:highlight w:val="none"/>
        </w:rPr>
      </w:pPr>
      <w:r>
        <w:rPr>
          <w:rFonts w:hint="eastAsia" w:ascii="宋体" w:hAnsi="宋体" w:eastAsia="宋体" w:cs="宋体"/>
          <w:color w:val="auto"/>
          <w:sz w:val="24"/>
          <w:szCs w:val="24"/>
          <w:highlight w:val="none"/>
        </w:rPr>
        <w:t>17.2 因不可归责于甲乙双方的事由，发生了不可预见的重大情势变化，导致合同基础动摇或丧失的，应另行协商变更合同内容或协商解除合同，并免于承担违约责任。</w:t>
      </w:r>
    </w:p>
    <w:p w14:paraId="02A6AAF0">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十八、</w:t>
      </w:r>
      <w:r>
        <w:rPr>
          <w:rFonts w:hint="eastAsia" w:ascii="宋体" w:hAnsi="宋体" w:eastAsia="宋体" w:cs="宋体"/>
          <w:color w:val="auto"/>
          <w:sz w:val="28"/>
          <w:szCs w:val="28"/>
          <w:highlight w:val="none"/>
        </w:rPr>
        <w:t>通知</w:t>
      </w:r>
    </w:p>
    <w:p w14:paraId="76893916">
      <w:pPr>
        <w:pStyle w:val="34"/>
        <w:pageBreakBefore w:val="0"/>
        <w:tabs>
          <w:tab w:val="left" w:pos="900"/>
        </w:tabs>
        <w:kinsoku/>
        <w:wordWrap/>
        <w:overflowPunct/>
        <w:bidi w:val="0"/>
        <w:adjustRightInd w:val="0"/>
        <w:snapToGrid w:val="0"/>
        <w:spacing w:afterLines="-2147483648"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18.1与本合同有关的所有通知和文件均应以书面形式，并按本合同规定的方式进行。通知和文件应以专人递送、特快专递或传真方式</w:t>
      </w:r>
      <w:r>
        <w:rPr>
          <w:rFonts w:hint="eastAsia" w:ascii="宋体" w:hAnsi="宋体" w:cs="宋体"/>
          <w:color w:val="auto"/>
          <w:kern w:val="2"/>
          <w:sz w:val="24"/>
          <w:szCs w:val="24"/>
          <w:highlight w:val="none"/>
        </w:rPr>
        <w:t>均以本合同所列明的地址送达；</w:t>
      </w:r>
      <w:r>
        <w:rPr>
          <w:rFonts w:hint="eastAsia" w:ascii="宋体" w:hAnsi="宋体" w:cs="宋体"/>
          <w:color w:val="auto"/>
          <w:kern w:val="2"/>
          <w:sz w:val="24"/>
          <w:szCs w:val="24"/>
          <w:highlight w:val="none"/>
          <w:lang w:val="en-US" w:eastAsia="zh-CN"/>
        </w:rPr>
        <w:t>若出现</w:t>
      </w:r>
      <w:r>
        <w:rPr>
          <w:rFonts w:hint="eastAsia" w:ascii="宋体" w:hAnsi="宋体" w:cs="宋体"/>
          <w:color w:val="auto"/>
          <w:kern w:val="2"/>
          <w:sz w:val="24"/>
          <w:szCs w:val="24"/>
          <w:highlight w:val="none"/>
        </w:rPr>
        <w:t>迁址或者变更电话，应当及时书面通知另一方，未履行通知义务的，另一方按原地址邮寄相关材料即视为已履行送达义务</w:t>
      </w:r>
      <w:r>
        <w:rPr>
          <w:rFonts w:hint="eastAsia" w:ascii="宋体" w:hAnsi="宋体" w:cs="宋体"/>
          <w:color w:val="auto"/>
          <w:sz w:val="24"/>
          <w:highlight w:val="none"/>
        </w:rPr>
        <w:t>。</w:t>
      </w:r>
      <w:r>
        <w:rPr>
          <w:rFonts w:hint="eastAsia" w:ascii="宋体" w:hAnsi="宋体" w:eastAsia="宋体" w:cs="宋体"/>
          <w:color w:val="auto"/>
          <w:sz w:val="24"/>
          <w:szCs w:val="24"/>
          <w:highlight w:val="none"/>
        </w:rPr>
        <w:t>以专人递送的，以受送达方签收之日为送达日；以特快专递寄送的，自寄出通知和文件之日起第</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日视为送达；以传真发送的，自对方回复确认收到之日为送达日</w:t>
      </w:r>
      <w:r>
        <w:rPr>
          <w:rFonts w:hint="eastAsia" w:ascii="宋体" w:hAnsi="宋体" w:eastAsia="宋体" w:cs="宋体"/>
          <w:color w:val="auto"/>
          <w:sz w:val="24"/>
          <w:szCs w:val="24"/>
          <w:highlight w:val="none"/>
          <w:lang w:eastAsia="zh-CN"/>
        </w:rPr>
        <w:t>；</w:t>
      </w:r>
      <w:r>
        <w:rPr>
          <w:rFonts w:hint="eastAsia" w:ascii="宋体" w:hAnsi="宋体" w:cs="宋体"/>
          <w:color w:val="auto"/>
          <w:kern w:val="2"/>
          <w:sz w:val="24"/>
          <w:szCs w:val="24"/>
          <w:highlight w:val="none"/>
        </w:rPr>
        <w:t>当面交付上述材料的，在交付之时视为送达。</w:t>
      </w:r>
    </w:p>
    <w:p w14:paraId="2B70D19C">
      <w:pPr>
        <w:pStyle w:val="34"/>
        <w:pageBreakBefore w:val="0"/>
        <w:tabs>
          <w:tab w:val="left" w:pos="900"/>
        </w:tabs>
        <w:kinsoku/>
        <w:wordWrap/>
        <w:overflowPunct/>
        <w:bidi w:val="0"/>
        <w:adjustRightInd w:val="0"/>
        <w:snapToGrid w:val="0"/>
        <w:spacing w:afterLines="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18.2双方确认的各自通讯地址和号码为：</w:t>
      </w:r>
    </w:p>
    <w:p w14:paraId="7BE14D1A">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甲方：</w:t>
      </w:r>
    </w:p>
    <w:p w14:paraId="57F96E72">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地址：</w:t>
      </w:r>
    </w:p>
    <w:p w14:paraId="0C772B3A">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传真：</w:t>
      </w:r>
    </w:p>
    <w:p w14:paraId="4A4E5D59">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b/>
          <w:color w:val="auto"/>
          <w:sz w:val="24"/>
          <w:szCs w:val="24"/>
          <w:highlight w:val="none"/>
          <w:lang w:val="en-US" w:eastAsia="zh-CN"/>
        </w:rPr>
      </w:pPr>
    </w:p>
    <w:p w14:paraId="3ABA54B1">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乙方：</w:t>
      </w:r>
    </w:p>
    <w:p w14:paraId="7154CE82">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地址：</w:t>
      </w:r>
    </w:p>
    <w:p w14:paraId="045C6531">
      <w:pPr>
        <w:pStyle w:val="34"/>
        <w:pageBreakBefore w:val="0"/>
        <w:tabs>
          <w:tab w:val="left" w:pos="900"/>
        </w:tabs>
        <w:kinsoku/>
        <w:wordWrap/>
        <w:overflowPunct/>
        <w:bidi w:val="0"/>
        <w:adjustRightInd w:val="0"/>
        <w:snapToGrid w:val="0"/>
        <w:spacing w:afterLines="0" w:line="360" w:lineRule="auto"/>
        <w:ind w:left="0" w:firstLine="482" w:firstLineChars="200"/>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传真：</w:t>
      </w:r>
    </w:p>
    <w:p w14:paraId="0DAC691E">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十九、</w:t>
      </w:r>
      <w:r>
        <w:rPr>
          <w:rFonts w:hint="eastAsia" w:ascii="宋体" w:hAnsi="宋体" w:eastAsia="宋体" w:cs="宋体"/>
          <w:color w:val="auto"/>
          <w:sz w:val="28"/>
          <w:szCs w:val="28"/>
          <w:highlight w:val="none"/>
        </w:rPr>
        <w:t>适用法律</w:t>
      </w:r>
    </w:p>
    <w:p w14:paraId="0739EC6F">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本合同的订立、履行、解释、变更</w:t>
      </w:r>
      <w:bookmarkStart w:id="119" w:name="_Toc424061965"/>
      <w:bookmarkStart w:id="120" w:name="_Toc383442146"/>
      <w:r>
        <w:rPr>
          <w:rFonts w:hint="eastAsia" w:ascii="宋体" w:hAnsi="宋体" w:eastAsia="宋体" w:cs="宋体"/>
          <w:color w:val="auto"/>
          <w:sz w:val="24"/>
          <w:szCs w:val="24"/>
          <w:highlight w:val="none"/>
        </w:rPr>
        <w:t>、终止和争</w:t>
      </w:r>
      <w:bookmarkEnd w:id="119"/>
      <w:bookmarkEnd w:id="120"/>
      <w:r>
        <w:rPr>
          <w:rFonts w:hint="eastAsia" w:ascii="宋体" w:hAnsi="宋体" w:eastAsia="宋体" w:cs="宋体"/>
          <w:color w:val="auto"/>
          <w:sz w:val="24"/>
          <w:szCs w:val="24"/>
          <w:highlight w:val="none"/>
        </w:rPr>
        <w:t>议的解决均适用中华人民共和国法律。</w:t>
      </w:r>
    </w:p>
    <w:p w14:paraId="6F4B1F98">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二十、</w:t>
      </w:r>
      <w:r>
        <w:rPr>
          <w:rFonts w:hint="eastAsia" w:ascii="宋体" w:hAnsi="宋体" w:eastAsia="宋体" w:cs="宋体"/>
          <w:color w:val="auto"/>
          <w:sz w:val="28"/>
          <w:szCs w:val="28"/>
          <w:highlight w:val="none"/>
        </w:rPr>
        <w:t xml:space="preserve">争议的解决  </w:t>
      </w:r>
    </w:p>
    <w:p w14:paraId="263782BD">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w:t>
      </w:r>
      <w:r>
        <w:rPr>
          <w:rFonts w:hint="eastAsia" w:ascii="宋体" w:hAnsi="宋体" w:eastAsia="宋体" w:cs="宋体"/>
          <w:color w:val="auto"/>
          <w:sz w:val="24"/>
          <w:szCs w:val="24"/>
          <w:highlight w:val="none"/>
        </w:rPr>
        <w:t>本合同的订立、效力、履行、解释和争议的解决均适用中国法律。</w:t>
      </w:r>
    </w:p>
    <w:p w14:paraId="7C133AFC">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20.2</w:t>
      </w:r>
      <w:r>
        <w:rPr>
          <w:rFonts w:hint="eastAsia" w:ascii="宋体" w:hAnsi="宋体" w:eastAsia="宋体" w:cs="宋体"/>
          <w:color w:val="auto"/>
          <w:sz w:val="24"/>
          <w:szCs w:val="24"/>
          <w:highlight w:val="none"/>
        </w:rPr>
        <w:t>凡因本合同引起的或与本合同有关的一切争议均应由甲乙双方友好协商解决。双方协商不成的，任何一方可以向原告方所在地人民法院提起诉讼。</w:t>
      </w:r>
    </w:p>
    <w:p w14:paraId="4E2EE151">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二十一、</w:t>
      </w:r>
      <w:r>
        <w:rPr>
          <w:rFonts w:hint="eastAsia" w:ascii="宋体" w:hAnsi="宋体" w:eastAsia="宋体" w:cs="宋体"/>
          <w:color w:val="auto"/>
          <w:sz w:val="28"/>
          <w:szCs w:val="28"/>
          <w:highlight w:val="none"/>
        </w:rPr>
        <w:t>合同组成</w:t>
      </w:r>
    </w:p>
    <w:p w14:paraId="05888176">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本合同由下列文件组成并按下列顺序解释和适用：</w:t>
      </w:r>
    </w:p>
    <w:p w14:paraId="240A5B79">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本合同正文；</w:t>
      </w:r>
    </w:p>
    <w:p w14:paraId="0A9C67FA">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本合同附件；</w:t>
      </w:r>
    </w:p>
    <w:p w14:paraId="0DD7364F">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 本项目中标通知书；</w:t>
      </w:r>
    </w:p>
    <w:p w14:paraId="55A4A8D0">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 本项目招标文件；</w:t>
      </w:r>
    </w:p>
    <w:p w14:paraId="01F9C2DD">
      <w:pPr>
        <w:pStyle w:val="34"/>
        <w:pageBreakBefore w:val="0"/>
        <w:tabs>
          <w:tab w:val="left" w:pos="900"/>
        </w:tabs>
        <w:kinsoku/>
        <w:wordWrap/>
        <w:overflowPunct/>
        <w:bidi w:val="0"/>
        <w:adjustRightInd w:val="0"/>
        <w:snapToGrid w:val="0"/>
        <w:spacing w:afterLines="0"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21.5 乙方投标文件（投标文件中乙方承诺的优于招标</w:t>
      </w:r>
      <w:bookmarkStart w:id="121" w:name="_Toc424061967"/>
      <w:bookmarkStart w:id="122" w:name="_Toc383442148"/>
      <w:r>
        <w:rPr>
          <w:rFonts w:hint="eastAsia" w:ascii="宋体" w:hAnsi="宋体" w:eastAsia="宋体" w:cs="宋体"/>
          <w:color w:val="auto"/>
          <w:sz w:val="24"/>
          <w:szCs w:val="24"/>
          <w:highlight w:val="none"/>
        </w:rPr>
        <w:t>文件的条款，在</w:t>
      </w:r>
      <w:bookmarkEnd w:id="121"/>
      <w:bookmarkEnd w:id="122"/>
      <w:r>
        <w:rPr>
          <w:rFonts w:hint="eastAsia" w:ascii="宋体" w:hAnsi="宋体" w:eastAsia="宋体" w:cs="宋体"/>
          <w:color w:val="auto"/>
          <w:sz w:val="24"/>
          <w:szCs w:val="24"/>
          <w:highlight w:val="none"/>
        </w:rPr>
        <w:t>解释时以对甲方有利的内容解释优先）。</w:t>
      </w:r>
    </w:p>
    <w:p w14:paraId="3C717023">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二十二、</w:t>
      </w:r>
      <w:r>
        <w:rPr>
          <w:rFonts w:hint="eastAsia" w:ascii="宋体" w:hAnsi="宋体" w:eastAsia="宋体" w:cs="宋体"/>
          <w:color w:val="auto"/>
          <w:sz w:val="28"/>
          <w:szCs w:val="28"/>
          <w:highlight w:val="none"/>
        </w:rPr>
        <w:t>合同文字</w:t>
      </w:r>
    </w:p>
    <w:p w14:paraId="1DF11DCD">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本合同以中文书写和签订，合同中出现的任何非中文文字及</w:t>
      </w:r>
      <w:bookmarkStart w:id="123" w:name="_Toc424061968"/>
      <w:bookmarkStart w:id="124" w:name="_Toc383442149"/>
      <w:r>
        <w:rPr>
          <w:rFonts w:hint="eastAsia" w:ascii="宋体" w:hAnsi="宋体" w:eastAsia="宋体" w:cs="宋体"/>
          <w:color w:val="auto"/>
          <w:sz w:val="24"/>
          <w:szCs w:val="24"/>
          <w:highlight w:val="none"/>
        </w:rPr>
        <w:t>缩写均应附有明确的中</w:t>
      </w:r>
      <w:bookmarkEnd w:id="123"/>
      <w:bookmarkEnd w:id="124"/>
      <w:r>
        <w:rPr>
          <w:rFonts w:hint="eastAsia" w:ascii="宋体" w:hAnsi="宋体" w:eastAsia="宋体" w:cs="宋体"/>
          <w:color w:val="auto"/>
          <w:sz w:val="24"/>
          <w:szCs w:val="24"/>
          <w:highlight w:val="none"/>
        </w:rPr>
        <w:t>文翻译，合同的解释以中文为准。</w:t>
      </w:r>
    </w:p>
    <w:p w14:paraId="20A3D3C6">
      <w:pPr>
        <w:pStyle w:val="10"/>
        <w:pageBreakBefore w:val="0"/>
        <w:numPr>
          <w:ilvl w:val="2"/>
          <w:numId w:val="0"/>
        </w:numPr>
        <w:tabs>
          <w:tab w:val="left" w:pos="960"/>
        </w:tabs>
        <w:kinsoku/>
        <w:wordWrap/>
        <w:overflowPunct/>
        <w:bidi w:val="0"/>
        <w:snapToGrid w:val="0"/>
        <w:spacing w:afterLines="0" w:line="360" w:lineRule="auto"/>
        <w:ind w:leftChars="0"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二十三、</w:t>
      </w:r>
      <w:r>
        <w:rPr>
          <w:rFonts w:hint="eastAsia" w:ascii="宋体" w:hAnsi="宋体" w:eastAsia="宋体" w:cs="宋体"/>
          <w:color w:val="auto"/>
          <w:sz w:val="28"/>
          <w:szCs w:val="28"/>
          <w:highlight w:val="none"/>
        </w:rPr>
        <w:t>合同生效及其他</w:t>
      </w:r>
    </w:p>
    <w:p w14:paraId="07DA3407">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23.1本合同</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所包括的附件均为合同的有效组成部分，双方可对本合同的条款进行补充，</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以书面形式签订补充协议。补充协议与本合同具有同等效力。如果合同正文与附件有不一致，以合同正文为准。如果不同时间的文件有不一致时，以时间后者为准。</w:t>
      </w:r>
    </w:p>
    <w:p w14:paraId="6B7CB499">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 任何一方未取得另一方法人代表或法人代表授权人书面同意前，不得将本合同项下的部分或全部权利或义务转让给第三方。</w:t>
      </w:r>
    </w:p>
    <w:p w14:paraId="5381D585">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 本合同项下双方相互提供的文件、资料，双方除为履行合同的目的外，均不得提供给与本项目无关的第三方。</w:t>
      </w:r>
    </w:p>
    <w:p w14:paraId="6207B0A9">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23.4 合同双方应各指定一名联系人，分别负责直接处理有关技术和商务问题。</w:t>
      </w:r>
    </w:p>
    <w:p w14:paraId="4DA6DDD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甲方联系人：              职位：                 联系电话：</w:t>
      </w:r>
    </w:p>
    <w:p w14:paraId="39485B90">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乙方联系人：              职位：                 联系电话：</w:t>
      </w:r>
    </w:p>
    <w:p w14:paraId="703FDBEE">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rPr>
        <w:t>本合同未尽事宜和新增内容，由甲、乙双方协商解决，或签订补充协议。</w:t>
      </w:r>
    </w:p>
    <w:p w14:paraId="2D0FF64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23.6</w:t>
      </w:r>
      <w:r>
        <w:rPr>
          <w:rFonts w:hint="eastAsia" w:ascii="宋体" w:hAnsi="宋体" w:cs="宋体"/>
          <w:color w:val="auto"/>
          <w:sz w:val="24"/>
          <w:szCs w:val="24"/>
          <w:highlight w:val="none"/>
        </w:rPr>
        <w:t>本合同一式</w:t>
      </w:r>
      <w:r>
        <w:rPr>
          <w:rFonts w:hint="eastAsia" w:ascii="宋体" w:hAnsi="宋体" w:cs="宋体"/>
          <w:color w:val="auto"/>
          <w:sz w:val="24"/>
          <w:szCs w:val="24"/>
          <w:highlight w:val="none"/>
          <w:u w:val="none"/>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份，具有同等法律效力，甲、乙双方各执</w:t>
      </w:r>
      <w:r>
        <w:rPr>
          <w:rFonts w:hint="eastAsia" w:ascii="宋体" w:hAnsi="宋体" w:cs="宋体"/>
          <w:color w:val="auto"/>
          <w:sz w:val="24"/>
          <w:szCs w:val="24"/>
          <w:highlight w:val="none"/>
          <w:u w:val="none"/>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rPr>
        <w:t xml:space="preserve"> </w:t>
      </w:r>
      <w:r>
        <w:rPr>
          <w:rFonts w:hint="eastAsia" w:ascii="宋体" w:hAnsi="宋体" w:cs="宋体"/>
          <w:color w:val="auto"/>
          <w:sz w:val="24"/>
          <w:szCs w:val="24"/>
          <w:highlight w:val="none"/>
        </w:rPr>
        <w:t>份，合同自双方签字盖章之日起生效。</w:t>
      </w:r>
    </w:p>
    <w:p w14:paraId="1E6DD629">
      <w:pPr>
        <w:pStyle w:val="2"/>
        <w:ind w:firstLine="0"/>
        <w:rPr>
          <w:rFonts w:hint="eastAsia" w:ascii="宋体" w:hAnsi="宋体" w:eastAsia="宋体" w:cs="宋体"/>
          <w:color w:val="auto"/>
          <w:sz w:val="24"/>
          <w:szCs w:val="24"/>
          <w:highlight w:val="none"/>
          <w:lang w:eastAsia="zh-CN"/>
        </w:rPr>
      </w:pPr>
    </w:p>
    <w:p w14:paraId="55098E27">
      <w:pPr>
        <w:adjustRightInd w:val="0"/>
        <w:snapToGrid w:val="0"/>
        <w:spacing w:line="360" w:lineRule="auto"/>
        <w:rPr>
          <w:rFonts w:hint="eastAsia" w:ascii="宋体" w:hAnsi="宋体" w:cs="宋体"/>
          <w:color w:val="auto"/>
          <w:sz w:val="24"/>
          <w:highlight w:val="none"/>
        </w:rPr>
      </w:pPr>
    </w:p>
    <w:tbl>
      <w:tblPr>
        <w:tblStyle w:val="20"/>
        <w:tblW w:w="8717" w:type="dxa"/>
        <w:jc w:val="center"/>
        <w:tblLayout w:type="fixed"/>
        <w:tblCellMar>
          <w:top w:w="0" w:type="dxa"/>
          <w:left w:w="108" w:type="dxa"/>
          <w:bottom w:w="0" w:type="dxa"/>
          <w:right w:w="108" w:type="dxa"/>
        </w:tblCellMar>
      </w:tblPr>
      <w:tblGrid>
        <w:gridCol w:w="1758"/>
        <w:gridCol w:w="2485"/>
        <w:gridCol w:w="1652"/>
        <w:gridCol w:w="2822"/>
      </w:tblGrid>
      <w:tr w14:paraId="0FB9B59E">
        <w:tblPrEx>
          <w:tblCellMar>
            <w:top w:w="0" w:type="dxa"/>
            <w:left w:w="108" w:type="dxa"/>
            <w:bottom w:w="0" w:type="dxa"/>
            <w:right w:w="108" w:type="dxa"/>
          </w:tblCellMar>
        </w:tblPrEx>
        <w:trPr>
          <w:trHeight w:val="567" w:hRule="atLeast"/>
          <w:jc w:val="center"/>
        </w:trPr>
        <w:tc>
          <w:tcPr>
            <w:tcW w:w="1758" w:type="dxa"/>
          </w:tcPr>
          <w:p w14:paraId="3EAD7A9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甲方：</w:t>
            </w:r>
          </w:p>
        </w:tc>
        <w:tc>
          <w:tcPr>
            <w:tcW w:w="2485" w:type="dxa"/>
          </w:tcPr>
          <w:p w14:paraId="1E471AD4">
            <w:pPr>
              <w:spacing w:line="360" w:lineRule="auto"/>
              <w:ind w:firstLine="720" w:firstLineChars="3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（盖章）</w:t>
            </w:r>
          </w:p>
        </w:tc>
        <w:tc>
          <w:tcPr>
            <w:tcW w:w="1652" w:type="dxa"/>
          </w:tcPr>
          <w:p w14:paraId="728E2491">
            <w:pPr>
              <w:spacing w:line="360" w:lineRule="auto"/>
              <w:ind w:left="1" w:leftChars="-51" w:hanging="108" w:hangingChars="45"/>
              <w:rPr>
                <w:rFonts w:hint="eastAsia" w:ascii="宋体" w:hAnsi="宋体" w:cs="宋体"/>
                <w:color w:val="auto"/>
                <w:sz w:val="24"/>
                <w:szCs w:val="24"/>
                <w:highlight w:val="none"/>
              </w:rPr>
            </w:pPr>
            <w:r>
              <w:rPr>
                <w:rFonts w:hint="eastAsia" w:ascii="宋体" w:hAnsi="宋体" w:cs="宋体"/>
                <w:color w:val="auto"/>
                <w:sz w:val="24"/>
                <w:szCs w:val="24"/>
                <w:highlight w:val="none"/>
              </w:rPr>
              <w:t>乙方：</w:t>
            </w:r>
          </w:p>
        </w:tc>
        <w:tc>
          <w:tcPr>
            <w:tcW w:w="2822" w:type="dxa"/>
          </w:tcPr>
          <w:p w14:paraId="296E6864">
            <w:pPr>
              <w:spacing w:line="360" w:lineRule="auto"/>
              <w:ind w:firstLine="720" w:firstLineChars="300"/>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（盖章）</w:t>
            </w:r>
          </w:p>
        </w:tc>
      </w:tr>
      <w:tr w14:paraId="6132C166">
        <w:tblPrEx>
          <w:tblCellMar>
            <w:top w:w="0" w:type="dxa"/>
            <w:left w:w="108" w:type="dxa"/>
            <w:bottom w:w="0" w:type="dxa"/>
            <w:right w:w="108" w:type="dxa"/>
          </w:tblCellMar>
        </w:tblPrEx>
        <w:trPr>
          <w:trHeight w:val="786" w:hRule="atLeast"/>
          <w:jc w:val="center"/>
        </w:trPr>
        <w:tc>
          <w:tcPr>
            <w:tcW w:w="1758" w:type="dxa"/>
          </w:tcPr>
          <w:p w14:paraId="296DC626">
            <w:pPr>
              <w:spacing w:line="360" w:lineRule="auto"/>
              <w:ind w:right="-181" w:rightChars="-86"/>
              <w:rPr>
                <w:rFonts w:hint="eastAsia" w:ascii="宋体" w:hAnsi="宋体" w:cs="宋体"/>
                <w:color w:val="auto"/>
                <w:sz w:val="24"/>
                <w:szCs w:val="24"/>
                <w:highlight w:val="none"/>
              </w:rPr>
            </w:pPr>
            <w:r>
              <w:rPr>
                <w:rFonts w:hint="eastAsia" w:ascii="宋体" w:hAnsi="宋体" w:cs="宋体"/>
                <w:color w:val="auto"/>
                <w:sz w:val="24"/>
                <w:szCs w:val="24"/>
                <w:highlight w:val="none"/>
              </w:rPr>
              <w:t>法人代表：</w:t>
            </w:r>
          </w:p>
        </w:tc>
        <w:tc>
          <w:tcPr>
            <w:tcW w:w="2485" w:type="dxa"/>
          </w:tcPr>
          <w:p w14:paraId="02B08F43">
            <w:pPr>
              <w:spacing w:line="360" w:lineRule="auto"/>
              <w:rPr>
                <w:rFonts w:hint="eastAsia" w:ascii="宋体" w:hAnsi="宋体" w:cs="宋体"/>
                <w:color w:val="auto"/>
                <w:sz w:val="24"/>
                <w:szCs w:val="24"/>
                <w:highlight w:val="none"/>
              </w:rPr>
            </w:pPr>
          </w:p>
          <w:p w14:paraId="77539F80">
            <w:pPr>
              <w:spacing w:line="360" w:lineRule="auto"/>
              <w:ind w:left="-1203" w:leftChars="-573"/>
              <w:rPr>
                <w:rFonts w:hint="eastAsia"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1652" w:type="dxa"/>
          </w:tcPr>
          <w:p w14:paraId="2AD663E8">
            <w:pPr>
              <w:spacing w:line="360" w:lineRule="auto"/>
              <w:ind w:left="1" w:leftChars="-51" w:hanging="108" w:hangingChars="45"/>
              <w:rPr>
                <w:rFonts w:hint="eastAsia" w:ascii="宋体" w:hAnsi="宋体" w:cs="宋体"/>
                <w:color w:val="auto"/>
                <w:sz w:val="24"/>
                <w:szCs w:val="24"/>
                <w:highlight w:val="none"/>
              </w:rPr>
            </w:pPr>
            <w:r>
              <w:rPr>
                <w:rFonts w:hint="eastAsia" w:ascii="宋体" w:hAnsi="宋体" w:cs="宋体"/>
                <w:color w:val="auto"/>
                <w:sz w:val="24"/>
                <w:szCs w:val="24"/>
                <w:highlight w:val="none"/>
              </w:rPr>
              <w:t>法人代表：</w:t>
            </w:r>
          </w:p>
        </w:tc>
        <w:tc>
          <w:tcPr>
            <w:tcW w:w="2822" w:type="dxa"/>
          </w:tcPr>
          <w:p w14:paraId="05E492A6">
            <w:pPr>
              <w:spacing w:line="360" w:lineRule="auto"/>
              <w:ind w:firstLine="720" w:firstLineChars="300"/>
              <w:rPr>
                <w:rFonts w:hint="eastAsia" w:ascii="宋体" w:hAnsi="宋体" w:cs="宋体"/>
                <w:color w:val="auto"/>
                <w:sz w:val="24"/>
                <w:szCs w:val="24"/>
                <w:highlight w:val="none"/>
              </w:rPr>
            </w:pPr>
          </w:p>
        </w:tc>
      </w:tr>
      <w:tr w14:paraId="4FA2F3B5">
        <w:tblPrEx>
          <w:tblCellMar>
            <w:top w:w="0" w:type="dxa"/>
            <w:left w:w="108" w:type="dxa"/>
            <w:bottom w:w="0" w:type="dxa"/>
            <w:right w:w="108" w:type="dxa"/>
          </w:tblCellMar>
        </w:tblPrEx>
        <w:trPr>
          <w:trHeight w:val="567" w:hRule="atLeast"/>
          <w:jc w:val="center"/>
        </w:trPr>
        <w:tc>
          <w:tcPr>
            <w:tcW w:w="1758" w:type="dxa"/>
          </w:tcPr>
          <w:p w14:paraId="5FE7F499">
            <w:pPr>
              <w:spacing w:line="360" w:lineRule="auto"/>
              <w:ind w:right="-181" w:rightChars="-86"/>
              <w:rPr>
                <w:rFonts w:hint="eastAsia"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2485" w:type="dxa"/>
          </w:tcPr>
          <w:p w14:paraId="3E4C77AE">
            <w:pPr>
              <w:spacing w:line="360" w:lineRule="auto"/>
              <w:rPr>
                <w:rFonts w:hint="eastAsia" w:ascii="宋体" w:hAnsi="宋体" w:cs="宋体"/>
                <w:color w:val="auto"/>
                <w:sz w:val="24"/>
                <w:szCs w:val="24"/>
                <w:highlight w:val="none"/>
              </w:rPr>
            </w:pPr>
          </w:p>
        </w:tc>
        <w:tc>
          <w:tcPr>
            <w:tcW w:w="1652" w:type="dxa"/>
          </w:tcPr>
          <w:p w14:paraId="765CA2FC">
            <w:pPr>
              <w:spacing w:line="360" w:lineRule="auto"/>
              <w:ind w:left="1" w:leftChars="-51" w:hanging="108" w:hangingChars="45"/>
              <w:rPr>
                <w:rFonts w:hint="eastAsia"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2822" w:type="dxa"/>
          </w:tcPr>
          <w:p w14:paraId="23BE1C6C">
            <w:pPr>
              <w:spacing w:line="360" w:lineRule="auto"/>
              <w:ind w:firstLine="720" w:firstLineChars="300"/>
              <w:rPr>
                <w:rFonts w:hint="eastAsia" w:ascii="宋体" w:hAnsi="宋体" w:cs="宋体"/>
                <w:color w:val="auto"/>
                <w:sz w:val="24"/>
                <w:szCs w:val="24"/>
                <w:highlight w:val="none"/>
              </w:rPr>
            </w:pPr>
          </w:p>
        </w:tc>
      </w:tr>
      <w:tr w14:paraId="09D4AF5F">
        <w:tblPrEx>
          <w:tblCellMar>
            <w:top w:w="0" w:type="dxa"/>
            <w:left w:w="108" w:type="dxa"/>
            <w:bottom w:w="0" w:type="dxa"/>
            <w:right w:w="108" w:type="dxa"/>
          </w:tblCellMar>
        </w:tblPrEx>
        <w:trPr>
          <w:trHeight w:val="567" w:hRule="atLeast"/>
          <w:jc w:val="center"/>
        </w:trPr>
        <w:tc>
          <w:tcPr>
            <w:tcW w:w="1758" w:type="dxa"/>
          </w:tcPr>
          <w:p w14:paraId="01BE9F4C">
            <w:pPr>
              <w:spacing w:line="360" w:lineRule="auto"/>
              <w:ind w:right="-181" w:rightChars="-86"/>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p>
        </w:tc>
        <w:tc>
          <w:tcPr>
            <w:tcW w:w="2485" w:type="dxa"/>
          </w:tcPr>
          <w:p w14:paraId="38B354B9">
            <w:pPr>
              <w:spacing w:line="360" w:lineRule="auto"/>
              <w:rPr>
                <w:rFonts w:hint="eastAsia" w:ascii="宋体" w:hAnsi="宋体" w:cs="宋体"/>
                <w:color w:val="auto"/>
                <w:sz w:val="24"/>
                <w:szCs w:val="24"/>
                <w:highlight w:val="none"/>
              </w:rPr>
            </w:pPr>
          </w:p>
        </w:tc>
        <w:tc>
          <w:tcPr>
            <w:tcW w:w="1652" w:type="dxa"/>
          </w:tcPr>
          <w:p w14:paraId="4D3F5C71">
            <w:pPr>
              <w:spacing w:line="360" w:lineRule="auto"/>
              <w:ind w:left="1" w:leftChars="-51" w:hanging="108" w:hangingChars="45"/>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p>
        </w:tc>
        <w:tc>
          <w:tcPr>
            <w:tcW w:w="2822" w:type="dxa"/>
          </w:tcPr>
          <w:p w14:paraId="7359609E">
            <w:pPr>
              <w:spacing w:line="360" w:lineRule="auto"/>
              <w:ind w:firstLine="720" w:firstLineChars="300"/>
              <w:rPr>
                <w:rFonts w:hint="eastAsia" w:ascii="宋体" w:hAnsi="宋体" w:cs="宋体"/>
                <w:color w:val="auto"/>
                <w:sz w:val="24"/>
                <w:szCs w:val="24"/>
                <w:highlight w:val="none"/>
              </w:rPr>
            </w:pPr>
          </w:p>
        </w:tc>
      </w:tr>
      <w:tr w14:paraId="4760B945">
        <w:tblPrEx>
          <w:tblCellMar>
            <w:top w:w="0" w:type="dxa"/>
            <w:left w:w="108" w:type="dxa"/>
            <w:bottom w:w="0" w:type="dxa"/>
            <w:right w:w="108" w:type="dxa"/>
          </w:tblCellMar>
        </w:tblPrEx>
        <w:trPr>
          <w:trHeight w:val="567" w:hRule="atLeast"/>
          <w:jc w:val="center"/>
        </w:trPr>
        <w:tc>
          <w:tcPr>
            <w:tcW w:w="1758" w:type="dxa"/>
          </w:tcPr>
          <w:p w14:paraId="149C8B3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地址：</w:t>
            </w:r>
          </w:p>
        </w:tc>
        <w:tc>
          <w:tcPr>
            <w:tcW w:w="2485" w:type="dxa"/>
          </w:tcPr>
          <w:p w14:paraId="3033EE61">
            <w:pPr>
              <w:spacing w:line="360" w:lineRule="auto"/>
              <w:ind w:firstLine="720" w:firstLineChars="300"/>
              <w:rPr>
                <w:rFonts w:hint="eastAsia" w:ascii="宋体" w:hAnsi="宋体" w:cs="宋体"/>
                <w:color w:val="auto"/>
                <w:sz w:val="24"/>
                <w:szCs w:val="24"/>
                <w:highlight w:val="none"/>
              </w:rPr>
            </w:pPr>
          </w:p>
        </w:tc>
        <w:tc>
          <w:tcPr>
            <w:tcW w:w="1652" w:type="dxa"/>
          </w:tcPr>
          <w:p w14:paraId="363EE30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地址：</w:t>
            </w:r>
          </w:p>
        </w:tc>
        <w:tc>
          <w:tcPr>
            <w:tcW w:w="2822" w:type="dxa"/>
          </w:tcPr>
          <w:p w14:paraId="56B7676D">
            <w:pPr>
              <w:spacing w:line="360" w:lineRule="auto"/>
              <w:ind w:firstLine="720" w:firstLineChars="300"/>
              <w:rPr>
                <w:rFonts w:hint="eastAsia" w:ascii="宋体" w:hAnsi="宋体" w:cs="宋体"/>
                <w:color w:val="auto"/>
                <w:sz w:val="24"/>
                <w:szCs w:val="24"/>
                <w:highlight w:val="none"/>
              </w:rPr>
            </w:pPr>
          </w:p>
        </w:tc>
      </w:tr>
      <w:tr w14:paraId="3A4ED41F">
        <w:tblPrEx>
          <w:tblCellMar>
            <w:top w:w="0" w:type="dxa"/>
            <w:left w:w="108" w:type="dxa"/>
            <w:bottom w:w="0" w:type="dxa"/>
            <w:right w:w="108" w:type="dxa"/>
          </w:tblCellMar>
        </w:tblPrEx>
        <w:trPr>
          <w:trHeight w:val="567" w:hRule="atLeast"/>
          <w:jc w:val="center"/>
        </w:trPr>
        <w:tc>
          <w:tcPr>
            <w:tcW w:w="1758" w:type="dxa"/>
          </w:tcPr>
          <w:p w14:paraId="6BECFC1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2485" w:type="dxa"/>
          </w:tcPr>
          <w:p w14:paraId="6E9B4D6B">
            <w:pPr>
              <w:spacing w:line="360" w:lineRule="auto"/>
              <w:ind w:firstLine="720" w:firstLineChars="300"/>
              <w:rPr>
                <w:rFonts w:hint="eastAsia" w:ascii="宋体" w:hAnsi="宋体" w:cs="宋体"/>
                <w:color w:val="auto"/>
                <w:sz w:val="24"/>
                <w:szCs w:val="24"/>
                <w:highlight w:val="none"/>
              </w:rPr>
            </w:pPr>
          </w:p>
        </w:tc>
        <w:tc>
          <w:tcPr>
            <w:tcW w:w="1652" w:type="dxa"/>
          </w:tcPr>
          <w:p w14:paraId="4D1077F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2822" w:type="dxa"/>
          </w:tcPr>
          <w:p w14:paraId="1288F7B8">
            <w:pPr>
              <w:spacing w:line="360" w:lineRule="auto"/>
              <w:ind w:firstLine="720" w:firstLineChars="300"/>
              <w:rPr>
                <w:rFonts w:hint="eastAsia" w:ascii="宋体" w:hAnsi="宋体" w:cs="宋体"/>
                <w:color w:val="auto"/>
                <w:sz w:val="24"/>
                <w:szCs w:val="24"/>
                <w:highlight w:val="none"/>
              </w:rPr>
            </w:pPr>
          </w:p>
        </w:tc>
      </w:tr>
      <w:tr w14:paraId="12CE80E8">
        <w:tblPrEx>
          <w:tblCellMar>
            <w:top w:w="0" w:type="dxa"/>
            <w:left w:w="108" w:type="dxa"/>
            <w:bottom w:w="0" w:type="dxa"/>
            <w:right w:w="108" w:type="dxa"/>
          </w:tblCellMar>
        </w:tblPrEx>
        <w:trPr>
          <w:trHeight w:val="567" w:hRule="atLeast"/>
          <w:jc w:val="center"/>
        </w:trPr>
        <w:tc>
          <w:tcPr>
            <w:tcW w:w="1758" w:type="dxa"/>
          </w:tcPr>
          <w:p w14:paraId="725D87C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传真：</w:t>
            </w:r>
          </w:p>
        </w:tc>
        <w:tc>
          <w:tcPr>
            <w:tcW w:w="2485" w:type="dxa"/>
          </w:tcPr>
          <w:p w14:paraId="1DAE2B51">
            <w:pPr>
              <w:spacing w:line="360" w:lineRule="auto"/>
              <w:ind w:firstLine="720" w:firstLineChars="300"/>
              <w:rPr>
                <w:rFonts w:hint="eastAsia" w:ascii="宋体" w:hAnsi="宋体" w:cs="宋体"/>
                <w:color w:val="auto"/>
                <w:sz w:val="24"/>
                <w:szCs w:val="24"/>
                <w:highlight w:val="none"/>
              </w:rPr>
            </w:pPr>
          </w:p>
        </w:tc>
        <w:tc>
          <w:tcPr>
            <w:tcW w:w="1652" w:type="dxa"/>
          </w:tcPr>
          <w:p w14:paraId="565427B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传真：</w:t>
            </w:r>
          </w:p>
        </w:tc>
        <w:tc>
          <w:tcPr>
            <w:tcW w:w="2822" w:type="dxa"/>
          </w:tcPr>
          <w:p w14:paraId="1669A247">
            <w:pPr>
              <w:spacing w:line="360" w:lineRule="auto"/>
              <w:ind w:firstLine="720" w:firstLineChars="300"/>
              <w:rPr>
                <w:rFonts w:hint="eastAsia" w:ascii="宋体" w:hAnsi="宋体" w:cs="宋体"/>
                <w:color w:val="auto"/>
                <w:sz w:val="24"/>
                <w:szCs w:val="24"/>
                <w:highlight w:val="none"/>
              </w:rPr>
            </w:pPr>
          </w:p>
        </w:tc>
      </w:tr>
      <w:tr w14:paraId="5A1059FB">
        <w:tblPrEx>
          <w:tblCellMar>
            <w:top w:w="0" w:type="dxa"/>
            <w:left w:w="108" w:type="dxa"/>
            <w:bottom w:w="0" w:type="dxa"/>
            <w:right w:w="108" w:type="dxa"/>
          </w:tblCellMar>
        </w:tblPrEx>
        <w:trPr>
          <w:trHeight w:val="567" w:hRule="atLeast"/>
          <w:jc w:val="center"/>
        </w:trPr>
        <w:tc>
          <w:tcPr>
            <w:tcW w:w="1758" w:type="dxa"/>
          </w:tcPr>
          <w:p w14:paraId="5B04544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开户银行：</w:t>
            </w:r>
          </w:p>
        </w:tc>
        <w:tc>
          <w:tcPr>
            <w:tcW w:w="2485" w:type="dxa"/>
          </w:tcPr>
          <w:p w14:paraId="021314B3">
            <w:pPr>
              <w:spacing w:line="360" w:lineRule="auto"/>
              <w:ind w:firstLine="720" w:firstLineChars="300"/>
              <w:rPr>
                <w:rFonts w:hint="eastAsia" w:ascii="宋体" w:hAnsi="宋体" w:cs="宋体"/>
                <w:color w:val="auto"/>
                <w:sz w:val="24"/>
                <w:szCs w:val="24"/>
                <w:highlight w:val="none"/>
              </w:rPr>
            </w:pPr>
          </w:p>
        </w:tc>
        <w:tc>
          <w:tcPr>
            <w:tcW w:w="1652" w:type="dxa"/>
          </w:tcPr>
          <w:p w14:paraId="7140851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开户银行：</w:t>
            </w:r>
          </w:p>
        </w:tc>
        <w:tc>
          <w:tcPr>
            <w:tcW w:w="2822" w:type="dxa"/>
          </w:tcPr>
          <w:p w14:paraId="79175EEB">
            <w:pPr>
              <w:spacing w:line="360" w:lineRule="auto"/>
              <w:ind w:firstLine="720" w:firstLineChars="300"/>
              <w:rPr>
                <w:rFonts w:hint="eastAsia" w:ascii="宋体" w:hAnsi="宋体" w:cs="宋体"/>
                <w:color w:val="auto"/>
                <w:sz w:val="24"/>
                <w:szCs w:val="24"/>
                <w:highlight w:val="none"/>
              </w:rPr>
            </w:pPr>
          </w:p>
        </w:tc>
      </w:tr>
      <w:tr w14:paraId="427B7828">
        <w:tblPrEx>
          <w:tblCellMar>
            <w:top w:w="0" w:type="dxa"/>
            <w:left w:w="108" w:type="dxa"/>
            <w:bottom w:w="0" w:type="dxa"/>
            <w:right w:w="108" w:type="dxa"/>
          </w:tblCellMar>
        </w:tblPrEx>
        <w:trPr>
          <w:trHeight w:val="567" w:hRule="atLeast"/>
          <w:jc w:val="center"/>
        </w:trPr>
        <w:tc>
          <w:tcPr>
            <w:tcW w:w="1758" w:type="dxa"/>
          </w:tcPr>
          <w:p w14:paraId="105167B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账号： </w:t>
            </w:r>
          </w:p>
        </w:tc>
        <w:tc>
          <w:tcPr>
            <w:tcW w:w="2485" w:type="dxa"/>
          </w:tcPr>
          <w:p w14:paraId="2AFF6218">
            <w:pPr>
              <w:spacing w:line="360" w:lineRule="auto"/>
              <w:ind w:firstLine="720" w:firstLineChars="300"/>
              <w:rPr>
                <w:rFonts w:hint="eastAsia" w:ascii="宋体" w:hAnsi="宋体" w:cs="宋体"/>
                <w:color w:val="auto"/>
                <w:sz w:val="24"/>
                <w:szCs w:val="24"/>
                <w:highlight w:val="none"/>
              </w:rPr>
            </w:pPr>
          </w:p>
        </w:tc>
        <w:tc>
          <w:tcPr>
            <w:tcW w:w="1652" w:type="dxa"/>
          </w:tcPr>
          <w:p w14:paraId="76244FC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账号：</w:t>
            </w:r>
          </w:p>
        </w:tc>
        <w:tc>
          <w:tcPr>
            <w:tcW w:w="2822" w:type="dxa"/>
          </w:tcPr>
          <w:p w14:paraId="523B8DAC">
            <w:pPr>
              <w:spacing w:line="360" w:lineRule="auto"/>
              <w:ind w:firstLine="720" w:firstLineChars="300"/>
              <w:rPr>
                <w:rFonts w:hint="eastAsia" w:ascii="宋体" w:hAnsi="宋体" w:cs="宋体"/>
                <w:color w:val="auto"/>
                <w:sz w:val="24"/>
                <w:szCs w:val="24"/>
                <w:highlight w:val="none"/>
              </w:rPr>
            </w:pPr>
          </w:p>
        </w:tc>
      </w:tr>
      <w:tr w14:paraId="3B9EBCBE">
        <w:tblPrEx>
          <w:tblCellMar>
            <w:top w:w="0" w:type="dxa"/>
            <w:left w:w="108" w:type="dxa"/>
            <w:bottom w:w="0" w:type="dxa"/>
            <w:right w:w="108" w:type="dxa"/>
          </w:tblCellMar>
        </w:tblPrEx>
        <w:trPr>
          <w:trHeight w:val="567" w:hRule="atLeast"/>
          <w:jc w:val="center"/>
        </w:trPr>
        <w:tc>
          <w:tcPr>
            <w:tcW w:w="1758" w:type="dxa"/>
          </w:tcPr>
          <w:p w14:paraId="6C649981">
            <w:pPr>
              <w:spacing w:line="360" w:lineRule="auto"/>
              <w:ind w:right="-210" w:rightChars="-100"/>
              <w:rPr>
                <w:rFonts w:hint="eastAsia" w:ascii="宋体" w:hAnsi="宋体" w:cs="宋体"/>
                <w:color w:val="auto"/>
                <w:sz w:val="24"/>
                <w:szCs w:val="24"/>
                <w:highlight w:val="none"/>
              </w:rPr>
            </w:pPr>
            <w:r>
              <w:rPr>
                <w:rFonts w:hint="eastAsia" w:ascii="宋体" w:hAnsi="宋体" w:cs="宋体"/>
                <w:color w:val="auto"/>
                <w:sz w:val="24"/>
                <w:szCs w:val="24"/>
                <w:highlight w:val="none"/>
              </w:rPr>
              <w:t>签约日期：</w:t>
            </w:r>
          </w:p>
        </w:tc>
        <w:tc>
          <w:tcPr>
            <w:tcW w:w="2485" w:type="dxa"/>
          </w:tcPr>
          <w:p w14:paraId="44663C11">
            <w:pPr>
              <w:spacing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tc>
        <w:tc>
          <w:tcPr>
            <w:tcW w:w="1652" w:type="dxa"/>
          </w:tcPr>
          <w:p w14:paraId="58E62930">
            <w:pPr>
              <w:spacing w:line="360" w:lineRule="auto"/>
              <w:ind w:right="-158" w:rightChars="-75"/>
              <w:rPr>
                <w:rFonts w:hint="eastAsia" w:ascii="宋体" w:hAnsi="宋体" w:cs="宋体"/>
                <w:color w:val="auto"/>
                <w:sz w:val="24"/>
                <w:szCs w:val="24"/>
                <w:highlight w:val="none"/>
              </w:rPr>
            </w:pPr>
            <w:r>
              <w:rPr>
                <w:rFonts w:hint="eastAsia" w:ascii="宋体" w:hAnsi="宋体" w:cs="宋体"/>
                <w:color w:val="auto"/>
                <w:sz w:val="24"/>
                <w:szCs w:val="24"/>
                <w:highlight w:val="none"/>
              </w:rPr>
              <w:t>签约日期：</w:t>
            </w:r>
          </w:p>
        </w:tc>
        <w:tc>
          <w:tcPr>
            <w:tcW w:w="2822" w:type="dxa"/>
          </w:tcPr>
          <w:p w14:paraId="55A428EB">
            <w:pPr>
              <w:spacing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tc>
      </w:tr>
    </w:tbl>
    <w:p w14:paraId="08ED6554">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p>
    <w:p w14:paraId="124DDA8F">
      <w:pPr>
        <w:pStyle w:val="2"/>
        <w:rPr>
          <w:rFonts w:hint="eastAsia" w:ascii="宋体" w:hAnsi="宋体" w:eastAsia="宋体" w:cs="宋体"/>
          <w:color w:val="auto"/>
          <w:sz w:val="24"/>
          <w:szCs w:val="24"/>
          <w:highlight w:val="none"/>
        </w:rPr>
      </w:pPr>
    </w:p>
    <w:p w14:paraId="6344CB32">
      <w:pPr>
        <w:pStyle w:val="5"/>
        <w:rPr>
          <w:rFonts w:hint="eastAsia" w:ascii="宋体" w:hAnsi="宋体" w:eastAsia="宋体" w:cs="宋体"/>
          <w:color w:val="auto"/>
          <w:sz w:val="24"/>
          <w:szCs w:val="24"/>
          <w:highlight w:val="none"/>
        </w:rPr>
      </w:pPr>
    </w:p>
    <w:p w14:paraId="38BF85D2">
      <w:pPr>
        <w:pStyle w:val="7"/>
        <w:rPr>
          <w:rFonts w:hint="eastAsia" w:ascii="宋体" w:hAnsi="宋体" w:eastAsia="宋体" w:cs="宋体"/>
          <w:color w:val="auto"/>
          <w:sz w:val="24"/>
          <w:szCs w:val="24"/>
          <w:highlight w:val="none"/>
        </w:rPr>
      </w:pPr>
    </w:p>
    <w:p w14:paraId="6A608918">
      <w:pPr>
        <w:rPr>
          <w:rFonts w:hint="eastAsia" w:ascii="宋体" w:hAnsi="宋体" w:eastAsia="宋体" w:cs="宋体"/>
          <w:color w:val="auto"/>
          <w:sz w:val="24"/>
          <w:szCs w:val="24"/>
          <w:highlight w:val="none"/>
        </w:rPr>
      </w:pPr>
    </w:p>
    <w:p w14:paraId="2AD36A1E">
      <w:pPr>
        <w:pStyle w:val="2"/>
        <w:rPr>
          <w:rFonts w:hint="eastAsia" w:ascii="宋体" w:hAnsi="宋体" w:eastAsia="宋体" w:cs="宋体"/>
          <w:color w:val="auto"/>
          <w:sz w:val="24"/>
          <w:szCs w:val="24"/>
          <w:highlight w:val="none"/>
        </w:rPr>
      </w:pPr>
    </w:p>
    <w:p w14:paraId="13BD6947">
      <w:pPr>
        <w:pStyle w:val="5"/>
        <w:rPr>
          <w:rFonts w:hint="eastAsia" w:ascii="宋体" w:hAnsi="宋体" w:eastAsia="宋体" w:cs="宋体"/>
          <w:color w:val="auto"/>
          <w:sz w:val="24"/>
          <w:szCs w:val="24"/>
          <w:highlight w:val="none"/>
        </w:rPr>
      </w:pPr>
    </w:p>
    <w:p w14:paraId="20EA1BC3">
      <w:pPr>
        <w:pStyle w:val="7"/>
        <w:rPr>
          <w:rFonts w:hint="eastAsia" w:ascii="宋体" w:hAnsi="宋体" w:eastAsia="宋体" w:cs="宋体"/>
          <w:color w:val="auto"/>
          <w:sz w:val="24"/>
          <w:szCs w:val="24"/>
          <w:highlight w:val="none"/>
        </w:rPr>
      </w:pPr>
    </w:p>
    <w:p w14:paraId="3168CBA3">
      <w:pPr>
        <w:pageBreakBefore w:val="0"/>
        <w:kinsoku/>
        <w:wordWrap/>
        <w:overflowPunct/>
        <w:bidi w:val="0"/>
        <w:adjustRightInd w:val="0"/>
        <w:snapToGrid w:val="0"/>
        <w:spacing w:afterLines="0" w:line="480" w:lineRule="auto"/>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合同附件：</w:t>
      </w:r>
    </w:p>
    <w:p w14:paraId="63A1F52B">
      <w:pPr>
        <w:pageBreakBefore w:val="0"/>
        <w:kinsoku/>
        <w:wordWrap/>
        <w:overflowPunct/>
        <w:bidi w:val="0"/>
        <w:adjustRightInd w:val="0"/>
        <w:snapToGrid w:val="0"/>
        <w:spacing w:afterLines="0" w:line="48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合同附件一：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技术要求</w:t>
      </w:r>
    </w:p>
    <w:p w14:paraId="5B684DD9">
      <w:pPr>
        <w:pageBreakBefore w:val="0"/>
        <w:kinsoku/>
        <w:wordWrap/>
        <w:overflowPunct/>
        <w:bidi w:val="0"/>
        <w:adjustRightInd w:val="0"/>
        <w:snapToGrid w:val="0"/>
        <w:spacing w:afterLines="0" w:line="480" w:lineRule="auto"/>
        <w:ind w:firstLine="0" w:firstLineChars="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合同附件二</w:t>
      </w:r>
      <w:r>
        <w:rPr>
          <w:rFonts w:hint="eastAsia" w:ascii="宋体" w:hAnsi="宋体" w:cs="宋体"/>
          <w:color w:val="auto"/>
          <w:sz w:val="24"/>
          <w:szCs w:val="24"/>
          <w:highlight w:val="none"/>
          <w:lang w:val="en-US" w:eastAsia="zh-CN"/>
        </w:rPr>
        <w:t>： 报价表</w:t>
      </w:r>
    </w:p>
    <w:p w14:paraId="75EF2A40">
      <w:pPr>
        <w:pageBreakBefore w:val="0"/>
        <w:kinsoku/>
        <w:wordWrap/>
        <w:overflowPunct/>
        <w:bidi w:val="0"/>
        <w:adjustRightInd w:val="0"/>
        <w:snapToGrid w:val="0"/>
        <w:spacing w:afterLines="0" w:line="48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合同附件三： </w:t>
      </w:r>
      <w:r>
        <w:rPr>
          <w:rFonts w:hint="eastAsia" w:ascii="宋体" w:hAnsi="宋体" w:eastAsia="宋体" w:cs="宋体"/>
          <w:color w:val="auto"/>
          <w:sz w:val="24"/>
          <w:szCs w:val="24"/>
          <w:highlight w:val="none"/>
          <w:lang w:val="en-US" w:eastAsia="zh-CN"/>
        </w:rPr>
        <w:t>质保期服务考核标准</w:t>
      </w:r>
    </w:p>
    <w:p w14:paraId="7AA386AF">
      <w:pPr>
        <w:pStyle w:val="2"/>
        <w:pageBreakBefore w:val="0"/>
        <w:kinsoku/>
        <w:wordWrap/>
        <w:overflowPunct/>
        <w:bidi w:val="0"/>
        <w:adjustRightInd w:val="0"/>
        <w:snapToGrid w:val="0"/>
        <w:spacing w:afterLines="0" w:line="480" w:lineRule="auto"/>
        <w:ind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合同附件四： 保密协议</w:t>
      </w:r>
    </w:p>
    <w:p w14:paraId="4E41A919">
      <w:pPr>
        <w:pStyle w:val="2"/>
        <w:pageBreakBefore w:val="0"/>
        <w:kinsoku/>
        <w:wordWrap/>
        <w:overflowPunct/>
        <w:bidi w:val="0"/>
        <w:adjustRightInd w:val="0"/>
        <w:snapToGrid w:val="0"/>
        <w:spacing w:afterLines="0" w:line="48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合同附件五： </w:t>
      </w:r>
      <w:r>
        <w:rPr>
          <w:rFonts w:hint="eastAsia" w:ascii="宋体" w:hAnsi="宋体" w:eastAsia="宋体" w:cs="宋体"/>
          <w:b w:val="0"/>
          <w:bCs w:val="0"/>
          <w:color w:val="auto"/>
          <w:sz w:val="24"/>
          <w:szCs w:val="24"/>
          <w:highlight w:val="none"/>
          <w:lang w:val="en-US" w:eastAsia="zh-CN"/>
        </w:rPr>
        <w:t>拟投入项目团队人员</w:t>
      </w:r>
    </w:p>
    <w:p w14:paraId="3419450E">
      <w:pPr>
        <w:pStyle w:val="2"/>
        <w:pageBreakBefore w:val="0"/>
        <w:numPr>
          <w:ilvl w:val="-1"/>
          <w:numId w:val="0"/>
        </w:numPr>
        <w:kinsoku/>
        <w:wordWrap/>
        <w:overflowPunct/>
        <w:bidi w:val="0"/>
        <w:adjustRightInd w:val="0"/>
        <w:snapToGrid w:val="0"/>
        <w:spacing w:afterLines="0" w:line="480" w:lineRule="auto"/>
        <w:ind w:firstLine="0" w:firstLineChars="0"/>
        <w:rPr>
          <w:rFonts w:hint="eastAsia" w:ascii="宋体" w:hAnsi="宋体" w:eastAsia="宋体" w:cs="宋体"/>
          <w:color w:val="auto"/>
          <w:sz w:val="24"/>
          <w:szCs w:val="24"/>
          <w:highlight w:val="none"/>
        </w:rPr>
      </w:pPr>
      <w:r>
        <w:rPr>
          <w:rFonts w:hint="eastAsia" w:ascii="宋体" w:hAnsi="宋体" w:cs="宋体"/>
          <w:b w:val="0"/>
          <w:bCs w:val="0"/>
          <w:color w:val="auto"/>
          <w:sz w:val="24"/>
          <w:szCs w:val="24"/>
          <w:highlight w:val="none"/>
          <w:lang w:val="en-US" w:eastAsia="zh-CN"/>
        </w:rPr>
        <w:t xml:space="preserve">合同附件六： </w:t>
      </w:r>
      <w:r>
        <w:rPr>
          <w:rFonts w:hint="eastAsia" w:ascii="宋体" w:hAnsi="宋体" w:eastAsia="宋体" w:cs="宋体"/>
          <w:color w:val="auto"/>
          <w:sz w:val="24"/>
          <w:szCs w:val="24"/>
          <w:highlight w:val="none"/>
        </w:rPr>
        <w:t>廉洁责任书</w:t>
      </w:r>
    </w:p>
    <w:p w14:paraId="6D47F07D">
      <w:pPr>
        <w:pageBreakBefore w:val="0"/>
        <w:kinsoku/>
        <w:wordWrap/>
        <w:overflowPunct/>
        <w:bidi w:val="0"/>
        <w:adjustRightInd w:val="0"/>
        <w:snapToGrid w:val="0"/>
        <w:spacing w:afterLines="0" w:line="480" w:lineRule="auto"/>
        <w:ind w:firstLine="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合同附件七： </w:t>
      </w:r>
      <w:r>
        <w:rPr>
          <w:rFonts w:hint="eastAsia" w:ascii="宋体" w:hAnsi="宋体" w:eastAsia="宋体" w:cs="宋体"/>
          <w:color w:val="auto"/>
          <w:sz w:val="24"/>
          <w:szCs w:val="24"/>
          <w:highlight w:val="none"/>
        </w:rPr>
        <w:t>营运服务安全生产协议书</w:t>
      </w:r>
    </w:p>
    <w:p w14:paraId="6C57F98A">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p>
    <w:p w14:paraId="10D7825E">
      <w:pPr>
        <w:pageBreakBefore w:val="0"/>
        <w:kinsoku/>
        <w:wordWrap/>
        <w:overflowPunct/>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p>
    <w:p w14:paraId="29BBC91C">
      <w:pPr>
        <w:pageBreakBefore w:val="0"/>
        <w:kinsoku/>
        <w:wordWrap/>
        <w:overflowPunct/>
        <w:bidi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96"/>
    </w:p>
    <w:p w14:paraId="370CE1BD">
      <w:pPr>
        <w:pageBreakBefore w:val="0"/>
        <w:kinsoku/>
        <w:wordWrap/>
        <w:overflowPunct/>
        <w:bidi w:val="0"/>
        <w:adjustRightInd w:val="0"/>
        <w:snapToGrid w:val="0"/>
        <w:spacing w:afterLines="0" w:line="480" w:lineRule="auto"/>
        <w:ind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合同附件一： </w:t>
      </w:r>
    </w:p>
    <w:p w14:paraId="5ACEA060">
      <w:pPr>
        <w:pageBreakBefore w:val="0"/>
        <w:kinsoku/>
        <w:wordWrap/>
        <w:overflowPunct/>
        <w:bidi w:val="0"/>
        <w:adjustRightInd w:val="0"/>
        <w:snapToGrid w:val="0"/>
        <w:spacing w:afterLines="0" w:line="480" w:lineRule="auto"/>
        <w:ind w:firstLine="0" w:firstLineChars="0"/>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w:t>
      </w:r>
      <w:r>
        <w:rPr>
          <w:rFonts w:hint="eastAsia" w:ascii="宋体" w:hAnsi="宋体" w:eastAsia="宋体" w:cs="宋体"/>
          <w:b/>
          <w:bCs/>
          <w:color w:val="auto"/>
          <w:sz w:val="32"/>
          <w:szCs w:val="32"/>
          <w:highlight w:val="none"/>
          <w:lang w:val="en-US" w:eastAsia="zh-CN"/>
        </w:rPr>
        <w:t>技术要求</w:t>
      </w:r>
    </w:p>
    <w:p w14:paraId="61749493">
      <w:pPr>
        <w:pageBreakBefore w:val="0"/>
        <w:kinsoku/>
        <w:wordWrap/>
        <w:overflowPunct/>
        <w:bidi w:val="0"/>
        <w:spacing w:afterLines="0" w:line="360" w:lineRule="auto"/>
        <w:ind w:firstLine="480" w:firstLineChars="200"/>
        <w:rPr>
          <w:rFonts w:hint="eastAsia" w:ascii="宋体" w:hAnsi="宋体" w:eastAsia="宋体" w:cs="宋体"/>
          <w:color w:val="auto"/>
          <w:sz w:val="24"/>
          <w:szCs w:val="24"/>
          <w:highlight w:val="none"/>
        </w:rPr>
      </w:pPr>
    </w:p>
    <w:p w14:paraId="4733ADE9">
      <w:pPr>
        <w:pageBreakBefore w:val="0"/>
        <w:kinsoku/>
        <w:wordWrap/>
        <w:overflowPunct/>
        <w:bidi w:val="0"/>
        <w:spacing w:afterLines="0" w:line="360" w:lineRule="auto"/>
        <w:ind w:firstLine="480" w:firstLineChars="200"/>
        <w:rPr>
          <w:rFonts w:hint="eastAsia" w:ascii="宋体" w:hAnsi="宋体" w:eastAsia="宋体" w:cs="宋体"/>
          <w:color w:val="auto"/>
          <w:sz w:val="24"/>
          <w:szCs w:val="24"/>
          <w:highlight w:val="none"/>
        </w:rPr>
      </w:pPr>
    </w:p>
    <w:p w14:paraId="3138B2C4">
      <w:pPr>
        <w:pageBreakBefore w:val="0"/>
        <w:kinsoku/>
        <w:wordWrap/>
        <w:overflowPunct/>
        <w:bidi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CA11C86">
      <w:pPr>
        <w:pageBreakBefore w:val="0"/>
        <w:kinsoku/>
        <w:wordWrap/>
        <w:overflowPunct/>
        <w:bidi w:val="0"/>
        <w:adjustRightInd w:val="0"/>
        <w:snapToGrid w:val="0"/>
        <w:spacing w:afterLines="0" w:line="480" w:lineRule="auto"/>
        <w:ind w:firstLine="0" w:firstLineChars="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合同附件二</w:t>
      </w:r>
      <w:r>
        <w:rPr>
          <w:rFonts w:hint="eastAsia" w:ascii="宋体" w:hAnsi="宋体" w:cs="宋体"/>
          <w:color w:val="auto"/>
          <w:sz w:val="24"/>
          <w:szCs w:val="24"/>
          <w:highlight w:val="none"/>
          <w:lang w:val="en-US" w:eastAsia="zh-CN"/>
        </w:rPr>
        <w:t xml:space="preserve">： </w:t>
      </w:r>
    </w:p>
    <w:p w14:paraId="0D0A6BC6">
      <w:pPr>
        <w:pageBreakBefore w:val="0"/>
        <w:kinsoku/>
        <w:wordWrap/>
        <w:overflowPunct/>
        <w:bidi w:val="0"/>
        <w:adjustRightInd w:val="0"/>
        <w:snapToGrid w:val="0"/>
        <w:spacing w:afterLines="0" w:line="480" w:lineRule="auto"/>
        <w:ind w:firstLine="0" w:firstLineChars="0"/>
        <w:jc w:val="center"/>
        <w:rPr>
          <w:rFonts w:hint="eastAsia" w:ascii="宋体" w:hAnsi="宋体" w:eastAsia="宋体" w:cs="宋体"/>
          <w:b/>
          <w:bCs/>
          <w:color w:val="auto"/>
          <w:sz w:val="32"/>
          <w:szCs w:val="32"/>
          <w:highlight w:val="none"/>
          <w:lang w:val="en-US"/>
        </w:rPr>
      </w:pPr>
      <w:r>
        <w:rPr>
          <w:rFonts w:hint="eastAsia" w:ascii="宋体" w:hAnsi="宋体" w:cs="宋体"/>
          <w:b/>
          <w:bCs/>
          <w:color w:val="auto"/>
          <w:sz w:val="32"/>
          <w:szCs w:val="32"/>
          <w:highlight w:val="none"/>
          <w:lang w:val="en-US" w:eastAsia="zh-CN"/>
        </w:rPr>
        <w:t>报价表</w:t>
      </w:r>
    </w:p>
    <w:p w14:paraId="47943111">
      <w:pPr>
        <w:pageBreakBefore w:val="0"/>
        <w:kinsoku/>
        <w:wordWrap/>
        <w:overflowPunct/>
        <w:bidi w:val="0"/>
        <w:adjustRightInd w:val="0"/>
        <w:snapToGrid w:val="0"/>
        <w:spacing w:afterLines="0" w:line="480" w:lineRule="auto"/>
        <w:ind w:firstLine="0" w:firstLineChars="0"/>
        <w:rPr>
          <w:rFonts w:hint="eastAsia" w:ascii="宋体" w:hAnsi="宋体" w:cs="宋体"/>
          <w:color w:val="auto"/>
          <w:sz w:val="24"/>
          <w:szCs w:val="24"/>
          <w:highlight w:val="none"/>
          <w:lang w:val="en-US" w:eastAsia="zh-CN"/>
        </w:rPr>
        <w:sectPr>
          <w:pgSz w:w="11906" w:h="16838"/>
          <w:pgMar w:top="1701" w:right="1701" w:bottom="1418" w:left="1701" w:header="851" w:footer="851" w:gutter="0"/>
          <w:pgNumType w:fmt="decimal"/>
          <w:cols w:space="720" w:num="1"/>
          <w:docGrid w:linePitch="312" w:charSpace="0"/>
        </w:sectPr>
      </w:pPr>
    </w:p>
    <w:p w14:paraId="168A3553">
      <w:pPr>
        <w:pageBreakBefore w:val="0"/>
        <w:kinsoku/>
        <w:wordWrap/>
        <w:overflowPunct/>
        <w:bidi w:val="0"/>
        <w:adjustRightInd w:val="0"/>
        <w:snapToGrid w:val="0"/>
        <w:spacing w:afterLines="0" w:line="48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合同附件三： </w:t>
      </w:r>
    </w:p>
    <w:p w14:paraId="7B580AEF">
      <w:pPr>
        <w:pStyle w:val="19"/>
        <w:pageBreakBefore w:val="0"/>
        <w:kinsoku/>
        <w:wordWrap/>
        <w:overflowPunct/>
        <w:bidi w:val="0"/>
        <w:spacing w:line="360" w:lineRule="auto"/>
        <w:ind w:firstLine="0" w:firstLineChars="0"/>
        <w:jc w:val="center"/>
        <w:rPr>
          <w:rFonts w:hint="eastAsia" w:ascii="宋体" w:hAnsi="宋体" w:eastAsia="宋体" w:cs="宋体"/>
          <w:color w:val="auto"/>
          <w:sz w:val="32"/>
          <w:szCs w:val="32"/>
          <w:highlight w:val="none"/>
        </w:rPr>
      </w:pPr>
      <w:bookmarkStart w:id="125" w:name="_Toc488772897"/>
      <w:r>
        <w:rPr>
          <w:rFonts w:hint="eastAsia" w:ascii="宋体" w:hAnsi="宋体" w:eastAsia="宋体" w:cs="宋体"/>
          <w:color w:val="auto"/>
          <w:sz w:val="32"/>
          <w:szCs w:val="32"/>
          <w:highlight w:val="none"/>
          <w:lang w:val="en-US" w:eastAsia="zh-CN"/>
        </w:rPr>
        <w:t>质保期</w:t>
      </w:r>
      <w:r>
        <w:rPr>
          <w:rFonts w:hint="eastAsia" w:ascii="宋体" w:hAnsi="宋体" w:eastAsia="宋体" w:cs="宋体"/>
          <w:color w:val="auto"/>
          <w:sz w:val="32"/>
          <w:szCs w:val="32"/>
          <w:highlight w:val="none"/>
        </w:rPr>
        <w:t>服务</w:t>
      </w:r>
      <w:r>
        <w:rPr>
          <w:rFonts w:hint="eastAsia" w:ascii="宋体" w:hAnsi="宋体" w:eastAsia="宋体" w:cs="宋体"/>
          <w:color w:val="auto"/>
          <w:sz w:val="32"/>
          <w:szCs w:val="32"/>
          <w:highlight w:val="none"/>
          <w:lang w:val="en-US" w:eastAsia="zh-CN"/>
        </w:rPr>
        <w:t>考核标准</w:t>
      </w:r>
    </w:p>
    <w:p w14:paraId="1878DBA3">
      <w:pPr>
        <w:pStyle w:val="8"/>
        <w:pageBreakBefore w:val="0"/>
        <w:tabs>
          <w:tab w:val="left" w:pos="360"/>
        </w:tabs>
        <w:kinsoku/>
        <w:wordWrap/>
        <w:overflowPunct/>
        <w:bidi w:val="0"/>
        <w:spacing w:before="0" w:after="0" w:line="360" w:lineRule="auto"/>
        <w:ind w:left="0"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一、服务概述</w:t>
      </w:r>
    </w:p>
    <w:p w14:paraId="0FB594A6">
      <w:pPr>
        <w:pStyle w:val="35"/>
        <w:pageBreakBefore w:val="0"/>
        <w:widowControl w:val="0"/>
        <w:kinsoku/>
        <w:wordWrap/>
        <w:overflowPunct/>
        <w:bidi w:val="0"/>
        <w:spacing w:line="360" w:lineRule="auto"/>
        <w:ind w:left="0" w:firstLine="480" w:firstLineChars="200"/>
        <w:jc w:val="both"/>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本质保期服务考核标准是为用户提供更好的私有化场景运维体验，帮助用户快速了解和掌握产品的使用，协助用户的运维团队优化运维机制，进而降低用户的运维成本，提高运维效率和业务稳定性。</w:t>
      </w:r>
    </w:p>
    <w:bookmarkEnd w:id="125"/>
    <w:p w14:paraId="725CEE82">
      <w:pPr>
        <w:pStyle w:val="8"/>
        <w:pageBreakBefore w:val="0"/>
        <w:tabs>
          <w:tab w:val="left" w:pos="360"/>
        </w:tabs>
        <w:kinsoku/>
        <w:wordWrap/>
        <w:overflowPunct/>
        <w:bidi w:val="0"/>
        <w:spacing w:before="0" w:after="0" w:line="360" w:lineRule="auto"/>
        <w:ind w:left="0"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二、服务内容说明</w:t>
      </w:r>
    </w:p>
    <w:p w14:paraId="225649E8">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（1）7x24小时服务电话响应</w:t>
      </w:r>
    </w:p>
    <w:p w14:paraId="5684A85B">
      <w:pPr>
        <w:pageBreakBefore w:val="0"/>
        <w:kinsoku/>
        <w:wordWrap/>
        <w:overflowPunct/>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为用户提供专属的服务经理作为质保期服务的唯一接口人，提供7*24*365的电话支持，随时为用户提供技术支持和故障申报。当提供的产品或服务出现故障时，可以通过电话/微信等多种渠道和服务经理取得联系，获取相应的技术咨询，产品使用等远程技术支持服务。自接到用户服务请求后，最快15分钟内做出响应。</w:t>
      </w:r>
    </w:p>
    <w:p w14:paraId="5E2D9494">
      <w:pPr>
        <w:pageBreakBefore w:val="0"/>
        <w:kinsoku/>
        <w:wordWrap/>
        <w:overflowPunct/>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（2）驻场服务</w:t>
      </w:r>
    </w:p>
    <w:p w14:paraId="65615613">
      <w:pPr>
        <w:pageBreakBefore w:val="0"/>
        <w:kinsoku/>
        <w:wordWrap/>
        <w:overflowPunct/>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乙方至少派遣1名驻场工程师（按国家规定的工作日时间），对系统提供的业务中断、业务问题或功能提升予以支持。</w:t>
      </w:r>
    </w:p>
    <w:p w14:paraId="55DC4713">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（3）运维管理服务</w:t>
      </w:r>
    </w:p>
    <w:p w14:paraId="10DAF2CF">
      <w:pPr>
        <w:pageBreakBefore w:val="0"/>
        <w:kinsoku/>
        <w:wordWrap/>
        <w:overflowPunct/>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在质保期服务周期内，服务经理会根据用户的描述进行统一的运维事件管理，并对事件进行全生命周期的管理。完成服务之后向用户输出服务报告。</w:t>
      </w:r>
    </w:p>
    <w:p w14:paraId="31D2CAB1">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（4）远程故障诊断服务</w:t>
      </w:r>
    </w:p>
    <w:p w14:paraId="73D1FACC">
      <w:pPr>
        <w:pageBreakBefore w:val="0"/>
        <w:kinsoku/>
        <w:wordWrap/>
        <w:overflowPunct/>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服务经理根据标准服务流程，明确故障发生的时间、错误代码，故障发生前的活动及之后已采取的措施，进行初步诊断分析，判断故障原因。帮助用户在第一时间内完成故障的修复，保障业务正常运行。</w:t>
      </w:r>
    </w:p>
    <w:p w14:paraId="5D961A77">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（5）远程故障修复服务</w:t>
      </w:r>
    </w:p>
    <w:p w14:paraId="21CF4EFF">
      <w:pPr>
        <w:pageBreakBefore w:val="0"/>
        <w:kinsoku/>
        <w:wordWrap/>
        <w:overflowPunct/>
        <w:autoSpaceDE w:val="0"/>
        <w:autoSpaceDN w:val="0"/>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当用户遇到有关的问题，通过电话和现有的故障手册无法自主完成修复的时候。将在取得用户同意的情况下，通过VPN等进行远程连接用户的环境进行故障的修复服务，确保用户的业务顺利进行。 </w:t>
      </w:r>
    </w:p>
    <w:p w14:paraId="5B861AE9">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（6）现场故障诊断和排除</w:t>
      </w:r>
    </w:p>
    <w:p w14:paraId="7337A64B">
      <w:pPr>
        <w:pageBreakBefore w:val="0"/>
        <w:kinsoku/>
        <w:wordWrap/>
        <w:overflowPunct/>
        <w:autoSpaceDE w:val="0"/>
        <w:autoSpaceDN w:val="0"/>
        <w:bidi w:val="0"/>
        <w:spacing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根据用户系统问题的严重程度，当通过电话咨询和远程VPN无法排除故障时，服务经理将以最快速度到达用户故障现场，迅速确定系统的故障点，制定解决方案，负责调动相关资源，包括内部技术专家，用最快时间排除有关故障，保证系统恢复正常运行。</w:t>
      </w:r>
    </w:p>
    <w:p w14:paraId="4C94E66E">
      <w:pPr>
        <w:pStyle w:val="9"/>
        <w:pageBreakBefore w:val="0"/>
        <w:kinsoku/>
        <w:wordWrap/>
        <w:overflowPunct/>
        <w:bidi w:val="0"/>
        <w:spacing w:before="0" w:after="0" w:line="360" w:lineRule="auto"/>
        <w:ind w:left="573"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（7）相关方管理服务</w:t>
      </w:r>
    </w:p>
    <w:p w14:paraId="7F8F8457">
      <w:pPr>
        <w:pageBreakBefore w:val="0"/>
        <w:kinsoku/>
        <w:wordWrap/>
        <w:overflowPunct/>
        <w:bidi w:val="0"/>
        <w:spacing w:afterLines="0" w:line="360" w:lineRule="auto"/>
        <w:ind w:firstLine="480" w:firstLineChars="200"/>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涉及到交付的硬件或供应商产品问题，服务经理管理并协调供应商进行诊断、维护，必要时协调供应商进行现场服务。</w:t>
      </w:r>
    </w:p>
    <w:p w14:paraId="67DDC07B">
      <w:pPr>
        <w:pageBreakBefore w:val="0"/>
        <w:kinsoku/>
        <w:wordWrap/>
        <w:overflowPunct/>
        <w:bidi w:val="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2003E9AD">
      <w:pPr>
        <w:pageBreakBefore w:val="0"/>
        <w:kinsoku/>
        <w:wordWrap/>
        <w:overflowPunct/>
        <w:bidi w:val="0"/>
        <w:ind w:firstLine="480" w:firstLineChars="200"/>
        <w:rPr>
          <w:rFonts w:hint="eastAsia" w:ascii="宋体" w:hAnsi="宋体" w:eastAsia="宋体" w:cs="宋体"/>
          <w:color w:val="auto"/>
          <w:sz w:val="24"/>
          <w:szCs w:val="24"/>
          <w:highlight w:val="none"/>
          <w:lang w:val="en-US" w:eastAsia="zh-CN"/>
        </w:rPr>
        <w:sectPr>
          <w:pgSz w:w="11906" w:h="16838"/>
          <w:pgMar w:top="1701" w:right="1701" w:bottom="1418" w:left="1701" w:header="851" w:footer="851" w:gutter="0"/>
          <w:pgNumType w:fmt="decimal"/>
          <w:cols w:space="720" w:num="1"/>
          <w:docGrid w:linePitch="312" w:charSpace="0"/>
        </w:sectPr>
      </w:pPr>
    </w:p>
    <w:p w14:paraId="28B19F8E">
      <w:pPr>
        <w:pStyle w:val="2"/>
        <w:pageBreakBefore w:val="0"/>
        <w:kinsoku/>
        <w:wordWrap/>
        <w:overflowPunct/>
        <w:bidi w:val="0"/>
        <w:adjustRightInd w:val="0"/>
        <w:snapToGrid w:val="0"/>
        <w:spacing w:afterLines="0" w:line="480" w:lineRule="auto"/>
        <w:ind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合同附件四： </w:t>
      </w:r>
    </w:p>
    <w:p w14:paraId="26F6C097">
      <w:pPr>
        <w:pageBreakBefore w:val="0"/>
        <w:kinsoku/>
        <w:wordWrap/>
        <w:overflowPunct/>
        <w:bidi w:val="0"/>
        <w:adjustRightInd w:val="0"/>
        <w:snapToGrid w:val="0"/>
        <w:spacing w:afterLines="0" w:line="480" w:lineRule="auto"/>
        <w:ind w:firstLine="0" w:firstLineChars="0"/>
        <w:jc w:val="cente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保密协议</w:t>
      </w:r>
    </w:p>
    <w:p w14:paraId="490D9D21">
      <w:pPr>
        <w:pageBreakBefore w:val="0"/>
        <w:kinsoku/>
        <w:wordWrap/>
        <w:overflowPunct/>
        <w:bidi w:val="0"/>
        <w:ind w:firstLine="0" w:firstLineChars="0"/>
        <w:rPr>
          <w:rFonts w:hint="eastAsia" w:ascii="宋体" w:hAnsi="宋体" w:eastAsia="宋体" w:cs="宋体"/>
          <w:color w:val="auto"/>
          <w:sz w:val="24"/>
          <w:szCs w:val="24"/>
          <w:highlight w:val="none"/>
          <w:lang w:val="en-US" w:eastAsia="zh-CN"/>
        </w:rPr>
      </w:pPr>
    </w:p>
    <w:p w14:paraId="28513D0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甲方：广州市自来水</w:t>
      </w:r>
      <w:r>
        <w:rPr>
          <w:rFonts w:hint="eastAsia" w:ascii="宋体" w:hAnsi="宋体" w:eastAsia="宋体" w:cs="宋体"/>
          <w:color w:val="auto"/>
          <w:sz w:val="24"/>
          <w:szCs w:val="24"/>
          <w:highlight w:val="none"/>
          <w:lang w:val="en-US" w:eastAsia="zh-CN"/>
        </w:rPr>
        <w:t>有限</w:t>
      </w:r>
      <w:r>
        <w:rPr>
          <w:rFonts w:hint="eastAsia" w:ascii="宋体" w:hAnsi="宋体" w:eastAsia="宋体" w:cs="宋体"/>
          <w:color w:val="auto"/>
          <w:sz w:val="24"/>
          <w:szCs w:val="24"/>
          <w:highlight w:val="none"/>
        </w:rPr>
        <w:t>公司</w:t>
      </w:r>
    </w:p>
    <w:p w14:paraId="5605873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w:t>
      </w:r>
    </w:p>
    <w:p w14:paraId="072C025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为了便于乙方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，经乙方向甲方提出请求。甲乙双方协商同意，由甲方向乙方提供</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3AA091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针对上述情况，双方经协商，就有关资料数据保密问题达成意见一致的保密协议。甲乙双方保密协议约定如下：</w:t>
      </w:r>
    </w:p>
    <w:p w14:paraId="7A9A10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一、保密的内容和范围</w:t>
      </w:r>
    </w:p>
    <w:p w14:paraId="1F25405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(一)甲方向乙方提供的数据，甲方拥有数据的版权；甲方许可乙方使用该数据，</w:t>
      </w:r>
      <w:r>
        <w:rPr>
          <w:rFonts w:hint="eastAsia" w:ascii="宋体" w:hAnsi="宋体" w:eastAsia="宋体" w:cs="宋体"/>
          <w:color w:val="auto"/>
          <w:sz w:val="24"/>
          <w:szCs w:val="24"/>
          <w:highlight w:val="none"/>
          <w:u w:val="single"/>
        </w:rPr>
        <w:t>用于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。不得用于其他方面。未经甲方书面许可，乙方不得擅自将甲方提供的数据源拷贝、转让、买卖至第三方。</w:t>
      </w:r>
    </w:p>
    <w:p w14:paraId="52367D5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(二)甲方提供的数据属保密信息，乙方应按照数据的密级要求按有关规定进行管理并采取相应的保密措施，保证对甲方所提供的保密数据予以保密，</w:t>
      </w:r>
      <w:r>
        <w:rPr>
          <w:rFonts w:hint="eastAsia" w:ascii="宋体" w:hAnsi="宋体" w:eastAsia="宋体" w:cs="宋体"/>
          <w:color w:val="auto"/>
          <w:sz w:val="24"/>
          <w:szCs w:val="24"/>
          <w:highlight w:val="none"/>
          <w:u w:val="single"/>
        </w:rPr>
        <w:t>除</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，不得以各种方式向</w:t>
      </w:r>
      <w:r>
        <w:rPr>
          <w:rFonts w:hint="eastAsia" w:ascii="宋体" w:hAnsi="宋体" w:eastAsia="宋体" w:cs="宋体"/>
          <w:color w:val="auto"/>
          <w:sz w:val="24"/>
          <w:szCs w:val="24"/>
          <w:highlight w:val="none"/>
          <w:u w:val="single"/>
        </w:rPr>
        <w:t>未被书面许可的</w:t>
      </w:r>
      <w:r>
        <w:rPr>
          <w:rFonts w:hint="eastAsia" w:ascii="宋体" w:hAnsi="宋体" w:eastAsia="宋体" w:cs="宋体"/>
          <w:color w:val="auto"/>
          <w:sz w:val="24"/>
          <w:szCs w:val="24"/>
          <w:highlight w:val="none"/>
        </w:rPr>
        <w:t>第三者传递、散播甲方提供的保密数据，乙方有责任确保所获数据的安全，防止数据丢失或被盗。乙方应管理和监督自己的工作人员严格遵守本协议的规定，严守共享信息保密责任，违者追究其个人法律责任。</w:t>
      </w:r>
    </w:p>
    <w:p w14:paraId="0D812CD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(三)甲方拥有数据的解释权。</w:t>
      </w:r>
    </w:p>
    <w:p w14:paraId="6EF4A41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(四)甲方按规定时间向乙方提供</w:t>
      </w:r>
      <w:r>
        <w:rPr>
          <w:rFonts w:hint="eastAsia" w:ascii="宋体" w:hAnsi="宋体" w:eastAsia="宋体" w:cs="宋体"/>
          <w:color w:val="auto"/>
          <w:sz w:val="24"/>
          <w:szCs w:val="24"/>
          <w:highlight w:val="none"/>
          <w:lang w:val="en-US" w:eastAsia="zh-CN"/>
        </w:rPr>
        <w:t>项目相关数据及资料</w:t>
      </w:r>
      <w:r>
        <w:rPr>
          <w:rFonts w:hint="eastAsia" w:ascii="宋体" w:hAnsi="宋体" w:eastAsia="宋体" w:cs="宋体"/>
          <w:color w:val="auto"/>
          <w:sz w:val="24"/>
          <w:szCs w:val="24"/>
          <w:highlight w:val="none"/>
        </w:rPr>
        <w:t>。</w:t>
      </w:r>
    </w:p>
    <w:p w14:paraId="2ABBDE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(五)甲方如实地向乙方提供数据，但不因该数据本身的瑕疵而对乙方所造成的任何后果承担任何责任。</w:t>
      </w:r>
    </w:p>
    <w:p w14:paraId="62FE10C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(六)乙方主体资格发生变化时，应向甲方重新提出使用申请，并需重新签订使用保密协议。</w:t>
      </w:r>
    </w:p>
    <w:p w14:paraId="2A2898D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二、期限</w:t>
      </w:r>
    </w:p>
    <w:p w14:paraId="3AF5F3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本协议自双方签字盖章之日起生效，至双方签订新的协议替换本协议或甲方有正当理由提前告知乙方终止。</w:t>
      </w:r>
    </w:p>
    <w:p w14:paraId="3C7505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三、泄密责任</w:t>
      </w:r>
    </w:p>
    <w:p w14:paraId="6384EF6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违反本协议的任何约定，甲方有权收回其所提供的数据及相关资料，乙方不得保留该数据的任何拷贝。因乙方的违约行为造成数据泄密或流失，给甲方造成损失的，乙方应承担补救及赔偿甲方损失的责任。甲方有权依照有关法律向乙方追究相应责任。</w:t>
      </w:r>
    </w:p>
    <w:p w14:paraId="09163C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四、信息交付方式</w:t>
      </w:r>
    </w:p>
    <w:p w14:paraId="64D57F1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rPr>
        <w:t>通过</w:t>
      </w:r>
      <w:r>
        <w:rPr>
          <w:rFonts w:hint="eastAsia" w:ascii="宋体" w:hAnsi="宋体" w:eastAsia="宋体" w:cs="宋体"/>
          <w:color w:val="auto"/>
          <w:sz w:val="24"/>
          <w:szCs w:val="24"/>
          <w:highlight w:val="none"/>
          <w:u w:val="single"/>
          <w:lang w:val="en-US" w:eastAsia="zh-CN"/>
        </w:rPr>
        <w:t xml:space="preserve">       方式</w:t>
      </w:r>
      <w:r>
        <w:rPr>
          <w:rFonts w:hint="eastAsia" w:ascii="宋体" w:hAnsi="宋体" w:eastAsia="宋体" w:cs="宋体"/>
          <w:color w:val="auto"/>
          <w:sz w:val="24"/>
          <w:szCs w:val="24"/>
          <w:highlight w:val="none"/>
          <w:u w:val="single"/>
        </w:rPr>
        <w:t>把数据当面交予乙方</w:t>
      </w:r>
      <w:r>
        <w:rPr>
          <w:rFonts w:hint="eastAsia" w:ascii="宋体" w:hAnsi="宋体" w:eastAsia="宋体" w:cs="宋体"/>
          <w:color w:val="auto"/>
          <w:sz w:val="24"/>
          <w:szCs w:val="24"/>
          <w:highlight w:val="none"/>
        </w:rPr>
        <w:t>即视为交付完成。信息交付完成起乙方即产生保密责任。格式则由甲乙双方协商确定。</w:t>
      </w:r>
    </w:p>
    <w:p w14:paraId="0329E3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五、提供信息详细清单</w:t>
      </w:r>
    </w:p>
    <w:p w14:paraId="7D9720B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本协议一式两份，双方各执壹份，自双方签字盖章之日起生效。</w:t>
      </w:r>
    </w:p>
    <w:p w14:paraId="3A5F651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本协议未尽事宜，双方可协商解决。</w:t>
      </w:r>
    </w:p>
    <w:p w14:paraId="59040C1A">
      <w:pPr>
        <w:spacing w:line="360" w:lineRule="auto"/>
        <w:rPr>
          <w:rFonts w:hint="eastAsia" w:ascii="宋体" w:hAnsi="宋体" w:eastAsia="宋体" w:cs="宋体"/>
          <w:color w:val="auto"/>
          <w:sz w:val="24"/>
          <w:szCs w:val="24"/>
          <w:highlight w:val="none"/>
        </w:rPr>
      </w:pPr>
    </w:p>
    <w:p w14:paraId="305A48A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乙方：</w:t>
      </w:r>
    </w:p>
    <w:p w14:paraId="37466B4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p>
    <w:p w14:paraId="5689D595">
      <w:pPr>
        <w:spacing w:line="360" w:lineRule="auto"/>
        <w:ind w:firstLine="480" w:firstLineChars="200"/>
        <w:rPr>
          <w:rFonts w:hint="eastAsia" w:ascii="宋体" w:hAnsi="宋体" w:eastAsia="宋体" w:cs="宋体"/>
          <w:color w:val="auto"/>
          <w:sz w:val="24"/>
          <w:szCs w:val="24"/>
          <w:highlight w:val="none"/>
        </w:rPr>
      </w:pPr>
    </w:p>
    <w:p w14:paraId="5FAD6F1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甲方授权代表(签名)：</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乙方授权代表(签名)：</w:t>
      </w:r>
    </w:p>
    <w:p w14:paraId="59730849">
      <w:pPr>
        <w:spacing w:line="360" w:lineRule="auto"/>
        <w:ind w:firstLine="480" w:firstLineChars="200"/>
        <w:rPr>
          <w:rFonts w:hint="eastAsia" w:ascii="宋体" w:hAnsi="宋体" w:eastAsia="宋体" w:cs="宋体"/>
          <w:color w:val="auto"/>
          <w:sz w:val="24"/>
          <w:szCs w:val="24"/>
          <w:highlight w:val="none"/>
        </w:rPr>
      </w:pPr>
    </w:p>
    <w:p w14:paraId="0B257F1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单位盖章</w:t>
      </w:r>
    </w:p>
    <w:p w14:paraId="721A9CCD">
      <w:pPr>
        <w:spacing w:line="360" w:lineRule="auto"/>
        <w:ind w:firstLine="480" w:firstLineChars="200"/>
        <w:rPr>
          <w:rFonts w:hint="eastAsia" w:ascii="宋体" w:hAnsi="宋体" w:eastAsia="宋体" w:cs="宋体"/>
          <w:color w:val="auto"/>
          <w:sz w:val="24"/>
          <w:szCs w:val="24"/>
          <w:highlight w:val="none"/>
        </w:rPr>
      </w:pPr>
    </w:p>
    <w:p w14:paraId="6A87F412">
      <w:pPr>
        <w:spacing w:line="360" w:lineRule="auto"/>
        <w:ind w:firstLine="480" w:firstLineChars="200"/>
        <w:rPr>
          <w:rFonts w:hint="eastAsia" w:ascii="宋体" w:hAnsi="宋体" w:eastAsia="宋体" w:cs="宋体"/>
          <w:color w:val="auto"/>
          <w:sz w:val="24"/>
          <w:szCs w:val="24"/>
          <w:highlight w:val="none"/>
        </w:rPr>
      </w:pPr>
    </w:p>
    <w:p w14:paraId="3B99BC4B">
      <w:pPr>
        <w:spacing w:line="360" w:lineRule="auto"/>
        <w:ind w:left="42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月   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日</w:t>
      </w:r>
    </w:p>
    <w:p w14:paraId="265A8AA5">
      <w:pPr>
        <w:pStyle w:val="2"/>
        <w:pageBreakBefore w:val="0"/>
        <w:kinsoku/>
        <w:wordWrap/>
        <w:overflowPunct/>
        <w:bidi w:val="0"/>
        <w:ind w:firstLine="480" w:firstLineChars="200"/>
        <w:rPr>
          <w:rFonts w:hint="eastAsia" w:ascii="宋体" w:hAnsi="宋体" w:eastAsia="宋体" w:cs="宋体"/>
          <w:color w:val="auto"/>
          <w:sz w:val="24"/>
          <w:szCs w:val="24"/>
          <w:highlight w:val="none"/>
          <w:lang w:val="en-US" w:eastAsia="zh-CN"/>
        </w:rPr>
        <w:sectPr>
          <w:pgSz w:w="11906" w:h="16838"/>
          <w:pgMar w:top="1701" w:right="1701" w:bottom="1418" w:left="1701" w:header="851" w:footer="851" w:gutter="0"/>
          <w:pgNumType w:fmt="decimal"/>
          <w:cols w:space="720" w:num="1"/>
          <w:docGrid w:linePitch="312" w:charSpace="0"/>
        </w:sectPr>
      </w:pPr>
    </w:p>
    <w:p w14:paraId="2A3D7AC4">
      <w:pPr>
        <w:pStyle w:val="2"/>
        <w:pageBreakBefore w:val="0"/>
        <w:kinsoku/>
        <w:wordWrap/>
        <w:overflowPunct/>
        <w:bidi w:val="0"/>
        <w:adjustRightInd w:val="0"/>
        <w:snapToGrid w:val="0"/>
        <w:spacing w:afterLines="0" w:line="480" w:lineRule="auto"/>
        <w:ind w:firstLine="0" w:firstLineChars="0"/>
        <w:rPr>
          <w:rFonts w:hint="eastAsia" w:ascii="宋体" w:hAnsi="宋体" w:cs="宋体"/>
          <w:b/>
          <w:bCs/>
          <w:color w:val="auto"/>
          <w:kern w:val="2"/>
          <w:sz w:val="32"/>
          <w:szCs w:val="32"/>
          <w:highlight w:val="none"/>
          <w:lang w:val="en-US" w:eastAsia="zh-CN"/>
        </w:rPr>
      </w:pPr>
      <w:r>
        <w:rPr>
          <w:rFonts w:hint="eastAsia" w:ascii="宋体" w:hAnsi="宋体" w:cs="宋体"/>
          <w:color w:val="auto"/>
          <w:sz w:val="24"/>
          <w:szCs w:val="24"/>
          <w:highlight w:val="none"/>
          <w:lang w:val="en-US" w:eastAsia="zh-CN"/>
        </w:rPr>
        <w:t>合同附件五：</w:t>
      </w:r>
    </w:p>
    <w:p w14:paraId="1454C1A8">
      <w:pPr>
        <w:pStyle w:val="2"/>
        <w:pageBreakBefore w:val="0"/>
        <w:kinsoku/>
        <w:wordWrap/>
        <w:overflowPunct/>
        <w:bidi w:val="0"/>
        <w:adjustRightInd w:val="0"/>
        <w:snapToGrid w:val="0"/>
        <w:spacing w:afterLines="0" w:line="480" w:lineRule="auto"/>
        <w:ind w:firstLine="0" w:firstLineChars="0"/>
        <w:jc w:val="center"/>
        <w:rPr>
          <w:rFonts w:hint="eastAsia" w:ascii="宋体" w:hAnsi="宋体" w:eastAsia="宋体" w:cs="宋体"/>
          <w:b/>
          <w:bCs/>
          <w:color w:val="auto"/>
          <w:kern w:val="2"/>
          <w:sz w:val="32"/>
          <w:szCs w:val="32"/>
          <w:highlight w:val="none"/>
          <w:lang w:val="en-US" w:eastAsia="zh-CN"/>
        </w:rPr>
      </w:pPr>
      <w:r>
        <w:rPr>
          <w:rFonts w:hint="eastAsia" w:ascii="宋体" w:hAnsi="宋体" w:eastAsia="宋体" w:cs="宋体"/>
          <w:b/>
          <w:bCs/>
          <w:color w:val="auto"/>
          <w:kern w:val="2"/>
          <w:sz w:val="32"/>
          <w:szCs w:val="32"/>
          <w:highlight w:val="none"/>
          <w:lang w:val="en-US" w:eastAsia="zh-CN"/>
        </w:rPr>
        <w:t>拟投入项目团队人员</w:t>
      </w:r>
    </w:p>
    <w:p w14:paraId="3D6604F6">
      <w:pPr>
        <w:pageBreakBefore w:val="0"/>
        <w:kinsoku/>
        <w:wordWrap/>
        <w:overflowPunct/>
        <w:bidi w:val="0"/>
        <w:ind w:firstLine="643" w:firstLineChars="200"/>
        <w:rPr>
          <w:rFonts w:hint="eastAsia" w:ascii="宋体" w:hAnsi="宋体" w:eastAsia="宋体" w:cs="宋体"/>
          <w:b/>
          <w:bCs/>
          <w:color w:val="auto"/>
          <w:sz w:val="32"/>
          <w:szCs w:val="32"/>
          <w:highlight w:val="none"/>
          <w:lang w:val="en-US" w:eastAsia="zh-CN"/>
        </w:rPr>
        <w:sectPr>
          <w:pgSz w:w="11906" w:h="16838"/>
          <w:pgMar w:top="1701" w:right="1701" w:bottom="1418" w:left="1701" w:header="851" w:footer="851" w:gutter="0"/>
          <w:pgNumType w:fmt="decimal"/>
          <w:cols w:space="720" w:num="1"/>
          <w:docGrid w:linePitch="312" w:charSpace="0"/>
        </w:sectPr>
      </w:pPr>
    </w:p>
    <w:p w14:paraId="2B5CB43B">
      <w:pPr>
        <w:pageBreakBefore w:val="0"/>
        <w:kinsoku/>
        <w:wordWrap/>
        <w:overflowPunct/>
        <w:bidi w:val="0"/>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合同附件六：</w:t>
      </w:r>
    </w:p>
    <w:p w14:paraId="0F9B327C">
      <w:pPr>
        <w:pageBreakBefore w:val="0"/>
        <w:tabs>
          <w:tab w:val="left" w:pos="709"/>
        </w:tabs>
        <w:kinsoku/>
        <w:wordWrap/>
        <w:overflowPunct/>
        <w:bidi w:val="0"/>
        <w:ind w:firstLine="0" w:firstLineChars="0"/>
        <w:jc w:val="center"/>
        <w:rPr>
          <w:rFonts w:hint="eastAsia" w:ascii="宋体" w:hAnsi="宋体" w:eastAsia="宋体" w:cs="宋体"/>
          <w:color w:val="auto"/>
          <w:sz w:val="44"/>
          <w:szCs w:val="44"/>
          <w:highlight w:val="none"/>
        </w:rPr>
      </w:pPr>
      <w:r>
        <w:rPr>
          <w:rFonts w:hint="eastAsia" w:ascii="宋体" w:hAnsi="宋体" w:eastAsia="宋体" w:cs="宋体"/>
          <w:b/>
          <w:color w:val="auto"/>
          <w:sz w:val="44"/>
          <w:szCs w:val="44"/>
          <w:highlight w:val="none"/>
        </w:rPr>
        <w:t>廉洁责任书</w:t>
      </w:r>
    </w:p>
    <w:p w14:paraId="0B53DE1C">
      <w:pPr>
        <w:pageBreakBefore w:val="0"/>
        <w:kinsoku/>
        <w:wordWrap/>
        <w:overflowPunct/>
        <w:bidi w:val="0"/>
        <w:ind w:firstLine="0" w:firstLineChars="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（20</w:t>
      </w:r>
      <w:r>
        <w:rPr>
          <w:rFonts w:hint="eastAsia" w:ascii="宋体" w:hAnsi="宋体" w:eastAsia="宋体" w:cs="宋体"/>
          <w:color w:val="auto"/>
          <w:sz w:val="32"/>
          <w:szCs w:val="32"/>
          <w:highlight w:val="none"/>
          <w:lang w:val="en-US" w:eastAsia="zh-CN"/>
        </w:rPr>
        <w:t>23</w:t>
      </w:r>
      <w:r>
        <w:rPr>
          <w:rFonts w:hint="eastAsia" w:ascii="宋体" w:hAnsi="宋体" w:eastAsia="宋体" w:cs="宋体"/>
          <w:color w:val="auto"/>
          <w:sz w:val="32"/>
          <w:szCs w:val="32"/>
          <w:highlight w:val="none"/>
        </w:rPr>
        <w:t>年修订版标准文本）</w:t>
      </w:r>
    </w:p>
    <w:p w14:paraId="348773D6">
      <w:pPr>
        <w:pageBreakBefore w:val="0"/>
        <w:kinsoku/>
        <w:wordWrap/>
        <w:overflowPunct/>
        <w:bidi w:val="0"/>
        <w:spacing w:line="560" w:lineRule="exact"/>
        <w:ind w:firstLine="640" w:firstLineChars="200"/>
        <w:rPr>
          <w:rFonts w:hint="eastAsia" w:ascii="宋体" w:hAnsi="宋体" w:eastAsia="宋体" w:cs="宋体"/>
          <w:color w:val="auto"/>
          <w:sz w:val="32"/>
          <w:szCs w:val="32"/>
          <w:highlight w:val="none"/>
        </w:rPr>
      </w:pPr>
    </w:p>
    <w:p w14:paraId="2D0E1851">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发包人（甲方）： 广州市自来水</w:t>
      </w:r>
      <w:r>
        <w:rPr>
          <w:rFonts w:hint="eastAsia" w:ascii="宋体" w:hAnsi="宋体" w:eastAsia="宋体" w:cs="宋体"/>
          <w:color w:val="auto"/>
          <w:sz w:val="24"/>
          <w:szCs w:val="24"/>
          <w:highlight w:val="none"/>
          <w:lang w:eastAsia="zh-CN"/>
        </w:rPr>
        <w:t>有限</w:t>
      </w:r>
      <w:r>
        <w:rPr>
          <w:rFonts w:hint="eastAsia" w:ascii="宋体" w:hAnsi="宋体" w:eastAsia="宋体" w:cs="宋体"/>
          <w:color w:val="auto"/>
          <w:sz w:val="24"/>
          <w:szCs w:val="24"/>
          <w:highlight w:val="none"/>
        </w:rPr>
        <w:t xml:space="preserve">公司                                              </w:t>
      </w:r>
    </w:p>
    <w:p w14:paraId="0FFD894C">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承包人（乙方）：</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4F263D2D">
      <w:pPr>
        <w:pageBreakBefore w:val="0"/>
        <w:tabs>
          <w:tab w:val="left" w:pos="709"/>
        </w:tabs>
        <w:kinsoku/>
        <w:wordWrap/>
        <w:overflowPunct/>
        <w:bidi w:val="0"/>
        <w:spacing w:line="5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为加强廉洁建设，防止主合同履约过程中发生各种谋取不正当利益的违法违纪行为，甲、乙双方经共同协商，在双方签订的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广州市自来水有限公司北部水厂智慧化系统开发服务</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项目（以下简称“本项目”）合同（合同编号：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，以下简称“主合同”）约定条款的基础上，根据国家有关法律法规和廉政建设的有关规定，特订立本廉洁责任书，以资共同遵守。</w:t>
      </w:r>
    </w:p>
    <w:p w14:paraId="406C328F">
      <w:pPr>
        <w:pageBreakBefore w:val="0"/>
        <w:kinsoku/>
        <w:wordWrap/>
        <w:overflowPunct/>
        <w:bidi w:val="0"/>
        <w:spacing w:beforeLines="30"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一、双方的责任</w:t>
      </w:r>
    </w:p>
    <w:p w14:paraId="02FAE305">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（一）严格遵守国家关于</w:t>
      </w:r>
      <w:r>
        <w:rPr>
          <w:rFonts w:hint="eastAsia" w:ascii="宋体" w:hAnsi="宋体" w:eastAsia="宋体" w:cs="宋体"/>
          <w:color w:val="auto"/>
          <w:sz w:val="21"/>
          <w:szCs w:val="21"/>
          <w:highlight w:val="none"/>
          <w:bdr w:val="single" w:sz="4" w:space="0"/>
          <w:lang w:val="en-US" w:eastAsia="zh-CN"/>
        </w:rPr>
        <w:t>×</w:t>
      </w:r>
      <w:r>
        <w:rPr>
          <w:rFonts w:hint="eastAsia" w:ascii="宋体" w:hAnsi="宋体" w:eastAsia="宋体" w:cs="宋体"/>
          <w:color w:val="auto"/>
          <w:sz w:val="24"/>
          <w:szCs w:val="24"/>
          <w:highlight w:val="none"/>
          <w:u w:val="single"/>
        </w:rPr>
        <w:t>建设工程、</w:t>
      </w:r>
      <w:r>
        <w:rPr>
          <w:rFonts w:hint="eastAsia" w:ascii="宋体" w:hAnsi="宋体" w:eastAsia="宋体" w:cs="宋体"/>
          <w:color w:val="auto"/>
          <w:sz w:val="21"/>
          <w:szCs w:val="21"/>
          <w:highlight w:val="none"/>
          <w:bdr w:val="single" w:sz="4" w:space="0"/>
          <w:lang w:val="en-US" w:eastAsia="zh-CN"/>
        </w:rPr>
        <w:t>×</w:t>
      </w:r>
      <w:r>
        <w:rPr>
          <w:rFonts w:hint="eastAsia" w:ascii="宋体" w:hAnsi="宋体" w:eastAsia="宋体" w:cs="宋体"/>
          <w:color w:val="auto"/>
          <w:sz w:val="24"/>
          <w:szCs w:val="24"/>
          <w:highlight w:val="none"/>
          <w:u w:val="single"/>
        </w:rPr>
        <w:t>物资采购、</w:t>
      </w: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u w:val="single"/>
        </w:rPr>
        <w:t>营运类服务</w:t>
      </w:r>
      <w:r>
        <w:rPr>
          <w:rFonts w:hint="eastAsia" w:ascii="宋体" w:hAnsi="宋体" w:eastAsia="宋体" w:cs="宋体"/>
          <w:color w:val="auto"/>
          <w:sz w:val="24"/>
          <w:szCs w:val="24"/>
          <w:highlight w:val="none"/>
        </w:rPr>
        <w:t>等有关法律法规、相关政策以及廉政建设的各项规定。</w:t>
      </w:r>
    </w:p>
    <w:p w14:paraId="2EB18E23">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（二）严格执行主合同条款，自觉按合同办事。</w:t>
      </w:r>
    </w:p>
    <w:p w14:paraId="7407A67C">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（三）业务活动必须坚持公开、公平、公正、诚信的原则，损害国家、集体和对方利益，不得违反</w:t>
      </w:r>
      <w:r>
        <w:rPr>
          <w:rFonts w:hint="eastAsia" w:ascii="宋体" w:hAnsi="宋体" w:eastAsia="宋体" w:cs="宋体"/>
          <w:color w:val="auto"/>
          <w:sz w:val="21"/>
          <w:szCs w:val="21"/>
          <w:highlight w:val="none"/>
          <w:bdr w:val="single" w:sz="4" w:space="0"/>
          <w:lang w:val="en-US" w:eastAsia="zh-CN"/>
        </w:rPr>
        <w:t>×</w:t>
      </w:r>
      <w:r>
        <w:rPr>
          <w:rFonts w:hint="eastAsia" w:ascii="宋体" w:hAnsi="宋体" w:eastAsia="宋体" w:cs="宋体"/>
          <w:color w:val="auto"/>
          <w:sz w:val="24"/>
          <w:szCs w:val="24"/>
          <w:highlight w:val="none"/>
          <w:u w:val="single"/>
        </w:rPr>
        <w:t>建设工程、</w:t>
      </w:r>
      <w:r>
        <w:rPr>
          <w:rFonts w:hint="eastAsia" w:ascii="宋体" w:hAnsi="宋体" w:eastAsia="宋体" w:cs="宋体"/>
          <w:color w:val="auto"/>
          <w:sz w:val="21"/>
          <w:szCs w:val="21"/>
          <w:highlight w:val="none"/>
          <w:bdr w:val="single" w:sz="4" w:space="0"/>
          <w:lang w:val="en-US" w:eastAsia="zh-CN"/>
        </w:rPr>
        <w:t>×</w:t>
      </w:r>
      <w:r>
        <w:rPr>
          <w:rFonts w:hint="eastAsia" w:ascii="宋体" w:hAnsi="宋体" w:eastAsia="宋体" w:cs="宋体"/>
          <w:color w:val="auto"/>
          <w:sz w:val="24"/>
          <w:szCs w:val="24"/>
          <w:highlight w:val="none"/>
          <w:u w:val="single"/>
        </w:rPr>
        <w:t>物资采购、</w:t>
      </w: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u w:val="single"/>
        </w:rPr>
        <w:t>营运类服务</w:t>
      </w:r>
      <w:r>
        <w:rPr>
          <w:rFonts w:hint="eastAsia" w:ascii="宋体" w:hAnsi="宋体" w:eastAsia="宋体" w:cs="宋体"/>
          <w:color w:val="auto"/>
          <w:sz w:val="24"/>
          <w:szCs w:val="24"/>
          <w:highlight w:val="none"/>
        </w:rPr>
        <w:t>管理的规章制度。</w:t>
      </w:r>
    </w:p>
    <w:p w14:paraId="5BDEB6A6">
      <w:pPr>
        <w:pageBreakBefore w:val="0"/>
        <w:tabs>
          <w:tab w:val="left" w:pos="709"/>
        </w:tabs>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（四）在业务活动中任何一方如发现单位或人员有违规、违纪、违法行为的，均有义务向其上级主管部门或纪检监察、司法等机关举报。</w:t>
      </w:r>
    </w:p>
    <w:p w14:paraId="3D12D870">
      <w:pPr>
        <w:pageBreakBefore w:val="0"/>
        <w:tabs>
          <w:tab w:val="left" w:pos="709"/>
        </w:tabs>
        <w:kinsoku/>
        <w:wordWrap/>
        <w:overflowPunct/>
        <w:bidi w:val="0"/>
        <w:spacing w:line="5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建立健全廉洁从业制度，开展</w:t>
      </w:r>
      <w:r>
        <w:rPr>
          <w:rFonts w:hint="eastAsia" w:ascii="宋体" w:hAnsi="宋体" w:eastAsia="宋体" w:cs="宋体"/>
          <w:color w:val="auto"/>
          <w:sz w:val="24"/>
          <w:szCs w:val="24"/>
          <w:highlight w:val="none"/>
          <w:lang w:val="en-US" w:eastAsia="zh-CN"/>
        </w:rPr>
        <w:t>项目人员</w:t>
      </w:r>
      <w:r>
        <w:rPr>
          <w:rFonts w:hint="eastAsia" w:ascii="宋体" w:hAnsi="宋体" w:eastAsia="宋体" w:cs="宋体"/>
          <w:color w:val="auto"/>
          <w:sz w:val="24"/>
          <w:szCs w:val="24"/>
          <w:highlight w:val="none"/>
        </w:rPr>
        <w:t>廉洁教育，公布</w:t>
      </w:r>
      <w:r>
        <w:rPr>
          <w:rFonts w:hint="eastAsia" w:ascii="宋体" w:hAnsi="宋体" w:eastAsia="宋体" w:cs="宋体"/>
          <w:color w:val="auto"/>
          <w:sz w:val="24"/>
          <w:szCs w:val="24"/>
          <w:highlight w:val="none"/>
          <w:lang w:val="en-US" w:eastAsia="zh-CN"/>
        </w:rPr>
        <w:t>监督</w:t>
      </w:r>
      <w:r>
        <w:rPr>
          <w:rFonts w:hint="eastAsia" w:ascii="宋体" w:hAnsi="宋体" w:eastAsia="宋体" w:cs="宋体"/>
          <w:color w:val="auto"/>
          <w:sz w:val="24"/>
          <w:szCs w:val="24"/>
          <w:highlight w:val="none"/>
        </w:rPr>
        <w:t>举报电话，</w:t>
      </w:r>
      <w:r>
        <w:rPr>
          <w:rFonts w:hint="eastAsia" w:ascii="宋体" w:hAnsi="宋体" w:eastAsia="宋体" w:cs="宋体"/>
          <w:color w:val="auto"/>
          <w:sz w:val="24"/>
          <w:szCs w:val="24"/>
          <w:highlight w:val="none"/>
          <w:lang w:val="en-US" w:eastAsia="zh-CN"/>
        </w:rPr>
        <w:t>接受群众监督</w:t>
      </w:r>
      <w:r>
        <w:rPr>
          <w:rFonts w:hint="eastAsia" w:ascii="宋体" w:hAnsi="宋体" w:eastAsia="宋体" w:cs="宋体"/>
          <w:color w:val="auto"/>
          <w:sz w:val="24"/>
          <w:szCs w:val="24"/>
          <w:highlight w:val="none"/>
        </w:rPr>
        <w:t>。</w:t>
      </w:r>
    </w:p>
    <w:p w14:paraId="5DC55818">
      <w:pPr>
        <w:pageBreakBefore w:val="0"/>
        <w:kinsoku/>
        <w:wordWrap/>
        <w:overflowPunct/>
        <w:bidi w:val="0"/>
        <w:spacing w:beforeLines="30"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二、甲方责任 </w:t>
      </w:r>
    </w:p>
    <w:p w14:paraId="2A825544">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（一）甲方须向乙方介绍本单位有关廉政建设的各项制度和规定，并有权监督乙方履行主合同的廉洁情况。</w:t>
      </w:r>
    </w:p>
    <w:p w14:paraId="2D51CBA3">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（二）甲方须对本单位</w:t>
      </w:r>
      <w:r>
        <w:rPr>
          <w:rFonts w:hint="eastAsia" w:ascii="宋体" w:hAnsi="宋体" w:eastAsia="宋体" w:cs="宋体"/>
          <w:color w:val="auto"/>
          <w:sz w:val="24"/>
          <w:szCs w:val="24"/>
          <w:highlight w:val="none"/>
          <w:lang w:val="en-US" w:eastAsia="zh-CN"/>
        </w:rPr>
        <w:t>项目相关</w:t>
      </w:r>
      <w:r>
        <w:rPr>
          <w:rFonts w:hint="eastAsia" w:ascii="宋体" w:hAnsi="宋体" w:eastAsia="宋体" w:cs="宋体"/>
          <w:color w:val="auto"/>
          <w:sz w:val="24"/>
          <w:szCs w:val="24"/>
          <w:highlight w:val="none"/>
        </w:rPr>
        <w:t>人员开展廉洁</w:t>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"http://www.jianshe99.com/web/wangxiao/" \t "_blank" \o "教育"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24"/>
          <w:szCs w:val="24"/>
          <w:highlight w:val="none"/>
        </w:rPr>
        <w:t>教育</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,督促本单位从业人员遵守以下规定：</w:t>
      </w:r>
    </w:p>
    <w:p w14:paraId="4CD53852">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1.不得利用职务之便向乙方索要或接受回扣、礼金、有价证券、贵重物品</w:t>
      </w:r>
      <w:r>
        <w:rPr>
          <w:rFonts w:hint="eastAsia" w:ascii="宋体" w:hAnsi="宋体" w:eastAsia="宋体" w:cs="宋体"/>
          <w:color w:val="auto"/>
          <w:sz w:val="24"/>
          <w:szCs w:val="24"/>
          <w:highlight w:val="none"/>
          <w:lang w:eastAsia="zh-CN"/>
        </w:rPr>
        <w:t>、手续费、加班费、咨询费、劳务费、协调费、辛苦费</w:t>
      </w:r>
      <w:r>
        <w:rPr>
          <w:rFonts w:hint="eastAsia" w:ascii="宋体" w:hAnsi="宋体" w:eastAsia="宋体" w:cs="宋体"/>
          <w:color w:val="auto"/>
          <w:sz w:val="24"/>
          <w:szCs w:val="24"/>
          <w:highlight w:val="none"/>
        </w:rPr>
        <w:t>等各种名义给予或赠送的钱物，难以拒收的，必须按登记上交。</w:t>
      </w:r>
    </w:p>
    <w:p w14:paraId="4C077AB4">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2.不得要求乙方报销任何应由甲方或其工作人员支付的费用。</w:t>
      </w:r>
    </w:p>
    <w:p w14:paraId="2EEE20D5">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3.不得要求、暗示或接受乙方为甲方工作人员的住房装修、婚丧嫁娶、配偶子女工作安排以及出国（境）、旅游等事项提供方便。</w:t>
      </w:r>
    </w:p>
    <w:p w14:paraId="36F1B81C">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4.不得参加有可能影响公正履行岗位职责</w:t>
      </w:r>
      <w:r>
        <w:rPr>
          <w:rFonts w:hint="eastAsia" w:ascii="宋体" w:hAnsi="宋体" w:eastAsia="宋体" w:cs="宋体"/>
          <w:color w:val="auto"/>
          <w:sz w:val="24"/>
          <w:szCs w:val="24"/>
          <w:highlight w:val="none"/>
          <w:lang w:val="en-US" w:eastAsia="zh-CN"/>
        </w:rPr>
        <w:t>或相关业务公平公正开展的</w:t>
      </w:r>
      <w:r>
        <w:rPr>
          <w:rFonts w:hint="eastAsia" w:ascii="宋体" w:hAnsi="宋体" w:eastAsia="宋体" w:cs="宋体"/>
          <w:color w:val="auto"/>
          <w:sz w:val="24"/>
          <w:szCs w:val="24"/>
          <w:highlight w:val="none"/>
        </w:rPr>
        <w:t>乙方安排的宴请、健身、娱乐等活动。</w:t>
      </w:r>
    </w:p>
    <w:p w14:paraId="16DD87EF">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5.不得向乙方推荐与主合同有关的劳务分包单位。</w:t>
      </w:r>
    </w:p>
    <w:p w14:paraId="295491E6">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6.不得向乙方推荐甲方工作人员的配偶、子女、亲属参与</w:t>
      </w:r>
      <w:r>
        <w:rPr>
          <w:rFonts w:hint="eastAsia" w:ascii="宋体" w:hAnsi="宋体" w:eastAsia="宋体" w:cs="宋体"/>
          <w:color w:val="auto"/>
          <w:sz w:val="24"/>
          <w:szCs w:val="24"/>
          <w:highlight w:val="none"/>
          <w:lang w:val="en-US" w:eastAsia="zh-CN"/>
        </w:rPr>
        <w:t>双方</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履行有关的</w:t>
      </w:r>
      <w:r>
        <w:rPr>
          <w:rFonts w:hint="eastAsia" w:ascii="宋体" w:hAnsi="宋体" w:eastAsia="宋体" w:cs="宋体"/>
          <w:color w:val="auto"/>
          <w:sz w:val="24"/>
          <w:szCs w:val="24"/>
          <w:highlight w:val="none"/>
        </w:rPr>
        <w:t>的经济活动。</w:t>
      </w:r>
    </w:p>
    <w:p w14:paraId="02B3AF69">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7.不得参与任何形式的赌博，并通过赌博方式收受乙方财物；不得接受乙方提供的通讯工具、交通工具（合同约定除外）和高档办公用品等。</w:t>
      </w:r>
    </w:p>
    <w:p w14:paraId="7C813391">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不得有其他可能影响公正履行岗位职责的行为</w:t>
      </w:r>
      <w:r>
        <w:rPr>
          <w:rFonts w:hint="eastAsia" w:ascii="宋体" w:hAnsi="宋体" w:eastAsia="宋体" w:cs="宋体"/>
          <w:color w:val="auto"/>
          <w:sz w:val="24"/>
          <w:szCs w:val="24"/>
          <w:highlight w:val="none"/>
          <w:lang w:val="en-US" w:eastAsia="zh-CN"/>
        </w:rPr>
        <w:t>或其他违反廉洁规定</w:t>
      </w:r>
      <w:r>
        <w:rPr>
          <w:rFonts w:hint="eastAsia" w:ascii="宋体" w:hAnsi="宋体" w:eastAsia="宋体" w:cs="宋体"/>
          <w:color w:val="auto"/>
          <w:sz w:val="24"/>
          <w:szCs w:val="24"/>
          <w:highlight w:val="none"/>
        </w:rPr>
        <w:t>。</w:t>
      </w:r>
    </w:p>
    <w:p w14:paraId="2679678D">
      <w:pPr>
        <w:pageBreakBefore w:val="0"/>
        <w:kinsoku/>
        <w:wordWrap/>
        <w:overflowPunct/>
        <w:bidi w:val="0"/>
        <w:spacing w:beforeLines="30"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三、乙方责任</w:t>
      </w:r>
    </w:p>
    <w:p w14:paraId="1ED8B26D">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（一）乙方应了解并</w:t>
      </w:r>
      <w:r>
        <w:rPr>
          <w:rFonts w:hint="eastAsia" w:ascii="宋体" w:hAnsi="宋体" w:eastAsia="宋体" w:cs="宋体"/>
          <w:color w:val="auto"/>
          <w:sz w:val="24"/>
          <w:szCs w:val="24"/>
          <w:highlight w:val="none"/>
          <w:lang w:val="en-US" w:eastAsia="zh-CN"/>
        </w:rPr>
        <w:t>配合</w:t>
      </w:r>
      <w:r>
        <w:rPr>
          <w:rFonts w:hint="eastAsia" w:ascii="宋体" w:hAnsi="宋体" w:eastAsia="宋体" w:cs="宋体"/>
          <w:color w:val="auto"/>
          <w:sz w:val="24"/>
          <w:szCs w:val="24"/>
          <w:highlight w:val="none"/>
        </w:rPr>
        <w:t>执行甲方有关廉政建设的各项制度和规定。</w:t>
      </w:r>
    </w:p>
    <w:p w14:paraId="4F3637BF">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（二）乙方应对本单位工作人员开展廉洁教育（包括甲方制定的有关廉政建设方面的各项制度和规定），按时出席甲方召集的有关会议。</w:t>
      </w:r>
    </w:p>
    <w:p w14:paraId="499FF0F6">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（三）乙方应与甲方保持正常的业务交往，按照有关法律法规和程序开展业务工作，严格执行有关政策规定，并遵守以下规定：</w:t>
      </w:r>
    </w:p>
    <w:p w14:paraId="7F3F446F">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1.不得向甲方及其工作人员</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rPr>
        <w:t>赠送回扣、礼金、有价证券、贵重物品</w:t>
      </w:r>
      <w:r>
        <w:rPr>
          <w:rFonts w:hint="eastAsia" w:ascii="宋体" w:hAnsi="宋体" w:eastAsia="宋体" w:cs="宋体"/>
          <w:color w:val="auto"/>
          <w:sz w:val="24"/>
          <w:szCs w:val="24"/>
          <w:highlight w:val="none"/>
          <w:lang w:eastAsia="zh-CN"/>
        </w:rPr>
        <w:t>、手续费、加班费、咨询费、劳务费、协调费、辛苦费</w:t>
      </w:r>
      <w:r>
        <w:rPr>
          <w:rFonts w:hint="eastAsia" w:ascii="宋体" w:hAnsi="宋体" w:eastAsia="宋体" w:cs="宋体"/>
          <w:color w:val="auto"/>
          <w:sz w:val="24"/>
          <w:szCs w:val="24"/>
          <w:highlight w:val="none"/>
        </w:rPr>
        <w:t>等各种名义给予或赠送的钱物。</w:t>
      </w:r>
    </w:p>
    <w:p w14:paraId="6EBE9A65">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2.不得为甲方报销应由甲方或其工作人员支付的费用。</w:t>
      </w:r>
    </w:p>
    <w:p w14:paraId="63E0BEDA">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3.不得接受为甲方工作人员的住房装修、婚丧嫁娶、配偶子女工作安排以及出国（境）、旅游等事项提供便</w:t>
      </w:r>
      <w:r>
        <w:rPr>
          <w:rFonts w:hint="eastAsia" w:ascii="宋体" w:hAnsi="宋体" w:eastAsia="宋体" w:cs="宋体"/>
          <w:color w:val="auto"/>
          <w:sz w:val="24"/>
          <w:szCs w:val="24"/>
          <w:highlight w:val="none"/>
          <w:lang w:val="en-US" w:eastAsia="zh-CN"/>
        </w:rPr>
        <w:t>利</w:t>
      </w:r>
      <w:r>
        <w:rPr>
          <w:rFonts w:hint="eastAsia" w:ascii="宋体" w:hAnsi="宋体" w:eastAsia="宋体" w:cs="宋体"/>
          <w:color w:val="auto"/>
          <w:sz w:val="24"/>
          <w:szCs w:val="24"/>
          <w:highlight w:val="none"/>
        </w:rPr>
        <w:t>。</w:t>
      </w:r>
    </w:p>
    <w:p w14:paraId="7E3D11F5">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4.不得为甲方及其工作人员安排、组织有可能影响公正履行岗位职责的宴请、健身、娱乐等活动。</w:t>
      </w:r>
    </w:p>
    <w:p w14:paraId="7E7B6D0A">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5.不得接受甲方推荐的与主合同有关的劳务分包单位。</w:t>
      </w:r>
    </w:p>
    <w:p w14:paraId="41BE6A6C">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6.不得接受甲方工作人员推荐其配偶、子女、亲属参与主合同的设备材料、劳务分包等经济活动。</w:t>
      </w:r>
    </w:p>
    <w:p w14:paraId="3153650F">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7.乙方不得为甲方单位和个人购置或提供通讯工具和高档办公用品等物品，也不得为甲方提供与工作无关的房屋、汽车等。</w:t>
      </w:r>
    </w:p>
    <w:p w14:paraId="08AC746C">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乙方不得擅自与甲方工作人员就主合同中的质量、数量、价格、工程量、验收等条款进行私下商谈或者达成默契。</w:t>
      </w:r>
    </w:p>
    <w:p w14:paraId="646C0EDF">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乙方不得向甲方工作人员提供干股或红利。</w:t>
      </w:r>
    </w:p>
    <w:p w14:paraId="50ABAA5B">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不得有其他可能影响甲方工作人员公正履行岗位职责的行为</w:t>
      </w:r>
      <w:r>
        <w:rPr>
          <w:rFonts w:hint="eastAsia" w:ascii="宋体" w:hAnsi="宋体" w:eastAsia="宋体" w:cs="宋体"/>
          <w:color w:val="auto"/>
          <w:sz w:val="24"/>
          <w:szCs w:val="24"/>
          <w:highlight w:val="none"/>
          <w:lang w:val="en-US" w:eastAsia="zh-CN"/>
        </w:rPr>
        <w:t>或其他违反廉洁规定</w:t>
      </w:r>
      <w:r>
        <w:rPr>
          <w:rFonts w:hint="eastAsia" w:ascii="宋体" w:hAnsi="宋体" w:eastAsia="宋体" w:cs="宋体"/>
          <w:color w:val="auto"/>
          <w:sz w:val="24"/>
          <w:szCs w:val="24"/>
          <w:highlight w:val="none"/>
        </w:rPr>
        <w:t>。</w:t>
      </w:r>
    </w:p>
    <w:p w14:paraId="30A88D12">
      <w:pPr>
        <w:pageBreakBefore w:val="0"/>
        <w:kinsoku/>
        <w:wordWrap/>
        <w:overflowPunct/>
        <w:bidi w:val="0"/>
        <w:spacing w:beforeLines="30"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四、违约责任及处理</w:t>
      </w:r>
    </w:p>
    <w:p w14:paraId="2A21284B">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（一）甲方工作人员有违反本责任书“一”“二”款约定的，视情节轻重，依据有关法律法规和甲方相关制度规定给予组织处理、党纪政纪处分；涉嫌犯罪的，移交司法机关追究刑事责任</w:t>
      </w:r>
      <w:r>
        <w:rPr>
          <w:rFonts w:hint="eastAsia" w:ascii="宋体" w:hAnsi="宋体" w:eastAsia="宋体" w:cs="宋体"/>
          <w:color w:val="auto"/>
          <w:sz w:val="24"/>
          <w:szCs w:val="24"/>
          <w:highlight w:val="none"/>
          <w:lang w:eastAsia="zh-CN"/>
        </w:rPr>
        <w:t>。</w:t>
      </w:r>
    </w:p>
    <w:p w14:paraId="6DBAF701">
      <w:pPr>
        <w:pageBreakBefore w:val="0"/>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甲方举报投诉联系部门：</w:t>
      </w:r>
      <w:r>
        <w:rPr>
          <w:rFonts w:hint="eastAsia" w:ascii="宋体" w:hAnsi="宋体" w:eastAsia="宋体" w:cs="宋体"/>
          <w:color w:val="auto"/>
          <w:sz w:val="24"/>
          <w:szCs w:val="24"/>
          <w:highlight w:val="none"/>
          <w:lang w:val="en-US" w:eastAsia="zh-CN"/>
        </w:rPr>
        <w:t>广州市自来水</w:t>
      </w:r>
      <w:r>
        <w:rPr>
          <w:rFonts w:hint="eastAsia" w:ascii="宋体" w:hAnsi="宋体" w:eastAsia="宋体" w:cs="宋体"/>
          <w:color w:val="auto"/>
          <w:sz w:val="24"/>
          <w:szCs w:val="24"/>
          <w:highlight w:val="none"/>
        </w:rPr>
        <w:t>有限公司纪检室，联系电话：</w:t>
      </w:r>
      <w:r>
        <w:rPr>
          <w:rFonts w:hint="eastAsia" w:ascii="宋体" w:hAnsi="宋体" w:eastAsia="宋体" w:cs="宋体"/>
          <w:color w:val="auto"/>
          <w:sz w:val="24"/>
          <w:szCs w:val="24"/>
          <w:highlight w:val="none"/>
          <w:lang w:val="en-US" w:eastAsia="zh-CN"/>
        </w:rPr>
        <w:t>020-87159082，电子邮箱：</w:t>
      </w:r>
      <w:r>
        <w:rPr>
          <w:rFonts w:hint="eastAsia" w:ascii="宋体" w:hAnsi="宋体" w:eastAsia="宋体" w:cs="宋体"/>
          <w:color w:val="auto"/>
          <w:sz w:val="24"/>
          <w:szCs w:val="24"/>
          <w:highlight w:val="none"/>
        </w:rPr>
        <w:t>jjs@gzwatersupply.com</w:t>
      </w:r>
      <w:r>
        <w:rPr>
          <w:rFonts w:hint="eastAsia" w:ascii="宋体" w:hAnsi="宋体" w:eastAsia="宋体" w:cs="宋体"/>
          <w:color w:val="auto"/>
          <w:sz w:val="24"/>
          <w:szCs w:val="24"/>
          <w:highlight w:val="none"/>
          <w:lang w:val="en-US" w:eastAsia="zh-CN"/>
        </w:rPr>
        <w:t>。</w:t>
      </w:r>
    </w:p>
    <w:p w14:paraId="7906CF2D">
      <w:pPr>
        <w:pageBreakBefore w:val="0"/>
        <w:numPr>
          <w:ilvl w:val="0"/>
          <w:numId w:val="8"/>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乙方工作人员有违反本责任书“一”、“三”款约定的，甲方均有权根据具体情节和造成的后果，对乙方采取以下处理方式：</w:t>
      </w:r>
    </w:p>
    <w:p w14:paraId="2ED65A16">
      <w:pPr>
        <w:pageBreakBefore w:val="0"/>
        <w:numPr>
          <w:ilvl w:val="0"/>
          <w:numId w:val="0"/>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扣除主合同的全部履约保证金</w:t>
      </w:r>
      <w:r>
        <w:rPr>
          <w:rFonts w:hint="eastAsia" w:ascii="宋体" w:hAnsi="宋体" w:eastAsia="宋体" w:cs="宋体"/>
          <w:color w:val="auto"/>
          <w:sz w:val="24"/>
          <w:szCs w:val="24"/>
          <w:highlight w:val="none"/>
          <w:lang w:eastAsia="zh-CN"/>
        </w:rPr>
        <w:t>。</w:t>
      </w:r>
    </w:p>
    <w:p w14:paraId="54143FDC">
      <w:pPr>
        <w:pageBreakBefore w:val="0"/>
        <w:numPr>
          <w:ilvl w:val="0"/>
          <w:numId w:val="0"/>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2.对违纪违法相关责任人依规依法进行处理和更换，并取消乙方单位服务资格。</w:t>
      </w:r>
    </w:p>
    <w:p w14:paraId="55025043">
      <w:pPr>
        <w:pageBreakBefore w:val="0"/>
        <w:numPr>
          <w:ilvl w:val="0"/>
          <w:numId w:val="0"/>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追究乙方其他违约责任和损失赔偿。</w:t>
      </w:r>
    </w:p>
    <w:p w14:paraId="6BD0F02B">
      <w:pPr>
        <w:pageBreakBefore w:val="0"/>
        <w:numPr>
          <w:ilvl w:val="0"/>
          <w:numId w:val="0"/>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strike w:val="0"/>
          <w:color w:val="auto"/>
          <w:sz w:val="24"/>
          <w:szCs w:val="24"/>
          <w:highlight w:val="none"/>
          <w:lang w:val="en-US" w:eastAsia="zh-CN"/>
        </w:rPr>
        <w:t>4.</w:t>
      </w:r>
      <w:r>
        <w:rPr>
          <w:rFonts w:hint="eastAsia" w:ascii="宋体" w:hAnsi="宋体" w:eastAsia="宋体" w:cs="宋体"/>
          <w:color w:val="auto"/>
          <w:sz w:val="24"/>
          <w:szCs w:val="24"/>
          <w:highlight w:val="none"/>
        </w:rPr>
        <w:t>甲方有权向乙方单位上级纪检监察部门、有关行政管理部门等提出对乙方相关责任人进行责任追究和处罚；涉嫌犯罪的，移送司法机关追究刑事责任。</w:t>
      </w:r>
    </w:p>
    <w:p w14:paraId="4C34E951">
      <w:pPr>
        <w:pageBreakBefore w:val="0"/>
        <w:numPr>
          <w:ilvl w:val="0"/>
          <w:numId w:val="0"/>
        </w:numPr>
        <w:kinsoku/>
        <w:wordWrap/>
        <w:overflowPunct/>
        <w:bidi w:val="0"/>
        <w:adjustRightInd w:val="0"/>
        <w:snapToGrid w:val="0"/>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5.针对典型案例，形成廉洁问题专报，视情节严重程度上报上级管理部门，或在甲乙双方单位进行情况通报。</w:t>
      </w:r>
    </w:p>
    <w:p w14:paraId="1CD71743">
      <w:pPr>
        <w:pageBreakBefore w:val="0"/>
        <w:tabs>
          <w:tab w:val="left" w:pos="709"/>
        </w:tabs>
        <w:kinsoku/>
        <w:wordWrap/>
        <w:overflowPunct/>
        <w:bidi w:val="0"/>
        <w:spacing w:line="540" w:lineRule="exact"/>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1"/>
          <w:szCs w:val="21"/>
          <w:highlight w:val="none"/>
          <w:bdr w:val="single" w:sz="4" w:space="0"/>
          <w:lang w:val="en-US" w:eastAsia="zh-CN"/>
        </w:rPr>
        <w:t>×</w:t>
      </w:r>
      <w:r>
        <w:rPr>
          <w:rFonts w:hint="eastAsia" w:ascii="宋体" w:hAnsi="宋体" w:eastAsia="宋体" w:cs="宋体"/>
          <w:b/>
          <w:bCs/>
          <w:color w:val="auto"/>
          <w:sz w:val="24"/>
          <w:szCs w:val="24"/>
          <w:highlight w:val="none"/>
        </w:rPr>
        <w:t xml:space="preserve"> 工程建设项目选择此项</w:t>
      </w:r>
    </w:p>
    <w:p w14:paraId="49591613">
      <w:pPr>
        <w:pageBreakBefore w:val="0"/>
        <w:tabs>
          <w:tab w:val="left" w:pos="709"/>
        </w:tabs>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14:paraId="34682BB0">
      <w:pPr>
        <w:pageBreakBefore w:val="0"/>
        <w:tabs>
          <w:tab w:val="left" w:pos="7513"/>
        </w:tabs>
        <w:kinsoku/>
        <w:wordWrap/>
        <w:overflowPunct/>
        <w:bidi w:val="0"/>
        <w:spacing w:beforeLines="30"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五、责任书有效期</w:t>
      </w:r>
    </w:p>
    <w:p w14:paraId="77334C6E">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（一）本责任书作为主合同组成部分，与主合同具有同等法律效力。经双方签署后立即生效。</w:t>
      </w:r>
    </w:p>
    <w:p w14:paraId="179CE57A">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（二）本责任书的有效期为合同生效之日起至主合同履约结束时止。</w:t>
      </w:r>
    </w:p>
    <w:p w14:paraId="5823B0BE">
      <w:pPr>
        <w:pageBreakBefore w:val="0"/>
        <w:kinsoku/>
        <w:wordWrap/>
        <w:overflowPunct/>
        <w:bidi w:val="0"/>
        <w:spacing w:line="560" w:lineRule="exact"/>
        <w:ind w:firstLine="560" w:firstLineChars="200"/>
        <w:rPr>
          <w:rFonts w:hint="eastAsia" w:ascii="宋体" w:hAnsi="宋体" w:eastAsia="宋体" w:cs="宋体"/>
          <w:color w:val="auto"/>
          <w:sz w:val="28"/>
          <w:szCs w:val="28"/>
          <w:highlight w:val="none"/>
        </w:rPr>
      </w:pPr>
    </w:p>
    <w:p w14:paraId="6CC7B09D">
      <w:pPr>
        <w:pageBreakBefore w:val="0"/>
        <w:kinsoku/>
        <w:wordWrap/>
        <w:overflowPunct/>
        <w:bidi w:val="0"/>
        <w:spacing w:line="560" w:lineRule="exact"/>
        <w:ind w:firstLine="560" w:firstLineChars="200"/>
        <w:rPr>
          <w:rFonts w:hint="eastAsia" w:ascii="宋体" w:hAnsi="宋体" w:eastAsia="宋体" w:cs="宋体"/>
          <w:color w:val="auto"/>
          <w:sz w:val="28"/>
          <w:szCs w:val="28"/>
          <w:highlight w:val="none"/>
        </w:rPr>
      </w:pPr>
    </w:p>
    <w:p w14:paraId="2512799A">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甲方单位：（盖章）                      乙方单位：（盖章）</w:t>
      </w:r>
    </w:p>
    <w:p w14:paraId="38F260B4">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甲方监督单位：广州市自来水</w:t>
      </w:r>
      <w:r>
        <w:rPr>
          <w:rFonts w:hint="eastAsia" w:ascii="宋体" w:hAnsi="宋体" w:eastAsia="宋体" w:cs="宋体"/>
          <w:color w:val="auto"/>
          <w:sz w:val="24"/>
          <w:szCs w:val="24"/>
          <w:highlight w:val="none"/>
          <w:lang w:eastAsia="zh-CN"/>
        </w:rPr>
        <w:t>有限</w:t>
      </w:r>
      <w:r>
        <w:rPr>
          <w:rFonts w:hint="eastAsia" w:ascii="宋体" w:hAnsi="宋体" w:eastAsia="宋体" w:cs="宋体"/>
          <w:color w:val="auto"/>
          <w:sz w:val="24"/>
          <w:szCs w:val="24"/>
          <w:highlight w:val="none"/>
        </w:rPr>
        <w:t>公司      乙方监督单位：</w:t>
      </w:r>
    </w:p>
    <w:p w14:paraId="12E429BB">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纪检室</w:t>
      </w:r>
    </w:p>
    <w:p w14:paraId="5A15342B">
      <w:pPr>
        <w:pageBreakBefore w:val="0"/>
        <w:kinsoku/>
        <w:wordWrap/>
        <w:overflowPunct/>
        <w:bidi w:val="0"/>
        <w:spacing w:line="5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甲方监督电话：020-87159082             乙方监督电话：</w:t>
      </w:r>
    </w:p>
    <w:p w14:paraId="6490DA60">
      <w:pPr>
        <w:pageBreakBefore w:val="0"/>
        <w:kinsoku/>
        <w:wordWrap/>
        <w:overflowPunct/>
        <w:bidi w:val="0"/>
        <w:spacing w:line="500" w:lineRule="exact"/>
        <w:ind w:firstLine="883" w:firstLineChars="200"/>
        <w:jc w:val="center"/>
        <w:rPr>
          <w:rFonts w:hint="eastAsia" w:ascii="宋体" w:hAnsi="宋体" w:eastAsia="宋体" w:cs="宋体"/>
          <w:b/>
          <w:color w:val="auto"/>
          <w:sz w:val="44"/>
          <w:szCs w:val="44"/>
          <w:highlight w:val="none"/>
          <w:lang w:val="en-US" w:eastAsia="zh-CN"/>
        </w:rPr>
      </w:pPr>
    </w:p>
    <w:p w14:paraId="4797FEC9">
      <w:pPr>
        <w:pageBreakBefore w:val="0"/>
        <w:kinsoku/>
        <w:wordWrap/>
        <w:overflowPunct/>
        <w:bidi w:val="0"/>
        <w:spacing w:line="500" w:lineRule="exact"/>
        <w:ind w:firstLine="600" w:firstLineChars="200"/>
        <w:jc w:val="left"/>
        <w:outlineLvl w:val="0"/>
        <w:rPr>
          <w:rFonts w:hint="eastAsia" w:ascii="宋体" w:hAnsi="宋体" w:eastAsia="宋体" w:cs="宋体"/>
          <w:color w:val="auto"/>
          <w:sz w:val="30"/>
          <w:szCs w:val="30"/>
          <w:highlight w:val="none"/>
          <w:lang w:val="en-US" w:eastAsia="zh-CN"/>
        </w:rPr>
      </w:pPr>
    </w:p>
    <w:p w14:paraId="290251B8">
      <w:pPr>
        <w:pageBreakBefore w:val="0"/>
        <w:kinsoku/>
        <w:wordWrap/>
        <w:overflowPunct/>
        <w:bidi w:val="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3A316A8">
      <w:pPr>
        <w:pageBreakBefore w:val="0"/>
        <w:kinsoku/>
        <w:wordWrap/>
        <w:overflowPunct/>
        <w:bidi w:val="0"/>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合同附件七：</w:t>
      </w:r>
    </w:p>
    <w:p w14:paraId="1F0AA979">
      <w:pPr>
        <w:pageBreakBefore w:val="0"/>
        <w:kinsoku/>
        <w:wordWrap/>
        <w:overflowPunct/>
        <w:bidi w:val="0"/>
        <w:spacing w:line="500" w:lineRule="exact"/>
        <w:ind w:firstLine="600" w:firstLineChars="200"/>
        <w:jc w:val="right"/>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rPr>
        <w:t>【标准文本】合同-FW-</w:t>
      </w:r>
      <w:r>
        <w:rPr>
          <w:rFonts w:hint="eastAsia" w:ascii="宋体" w:hAnsi="宋体" w:eastAsia="宋体" w:cs="宋体"/>
          <w:color w:val="auto"/>
          <w:sz w:val="30"/>
          <w:szCs w:val="30"/>
          <w:highlight w:val="none"/>
          <w:lang w:val="en-US" w:eastAsia="zh-CN"/>
        </w:rPr>
        <w:t>202201</w:t>
      </w:r>
    </w:p>
    <w:p w14:paraId="66ABCB12">
      <w:pPr>
        <w:pageBreakBefore w:val="0"/>
        <w:kinsoku/>
        <w:wordWrap/>
        <w:overflowPunct/>
        <w:bidi w:val="0"/>
        <w:spacing w:line="500" w:lineRule="exact"/>
        <w:ind w:firstLine="600" w:firstLineChars="200"/>
        <w:jc w:val="right"/>
        <w:rPr>
          <w:rFonts w:hint="eastAsia" w:ascii="宋体" w:hAnsi="宋体" w:eastAsia="宋体" w:cs="宋体"/>
          <w:color w:val="auto"/>
          <w:sz w:val="30"/>
          <w:szCs w:val="30"/>
          <w:highlight w:val="none"/>
        </w:rPr>
      </w:pPr>
    </w:p>
    <w:p w14:paraId="7815D088">
      <w:pPr>
        <w:pageBreakBefore w:val="0"/>
        <w:kinsoku/>
        <w:wordWrap/>
        <w:overflowPunct/>
        <w:bidi w:val="0"/>
        <w:spacing w:line="500" w:lineRule="exact"/>
        <w:ind w:firstLine="883" w:firstLineChars="200"/>
        <w:jc w:val="center"/>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营运服务安全生产协议书</w:t>
      </w:r>
    </w:p>
    <w:p w14:paraId="03B5FA3C">
      <w:pPr>
        <w:pageBreakBefore w:val="0"/>
        <w:kinsoku/>
        <w:wordWrap/>
        <w:overflowPunct/>
        <w:bidi w:val="0"/>
        <w:spacing w:line="500" w:lineRule="exact"/>
        <w:ind w:firstLine="482" w:firstLineChars="200"/>
        <w:jc w:val="center"/>
        <w:rPr>
          <w:rFonts w:hint="eastAsia" w:ascii="宋体" w:hAnsi="宋体" w:eastAsia="宋体" w:cs="宋体"/>
          <w:b/>
          <w:bCs/>
          <w:color w:val="auto"/>
          <w:kern w:val="0"/>
          <w:sz w:val="44"/>
          <w:szCs w:val="44"/>
          <w:highlight w:val="none"/>
        </w:rPr>
      </w:pPr>
      <w:r>
        <w:rPr>
          <w:rFonts w:hint="eastAsia" w:ascii="宋体" w:hAnsi="宋体" w:eastAsia="宋体" w:cs="宋体"/>
          <w:b/>
          <w:color w:val="auto"/>
          <w:sz w:val="24"/>
          <w:szCs w:val="32"/>
          <w:highlight w:val="none"/>
        </w:rPr>
        <w:t>（适用于营运服务项目）</w:t>
      </w:r>
    </w:p>
    <w:p w14:paraId="1C9ED434">
      <w:pPr>
        <w:pageBreakBefore w:val="0"/>
        <w:kinsoku/>
        <w:wordWrap/>
        <w:overflowPunct/>
        <w:bidi w:val="0"/>
        <w:spacing w:line="400" w:lineRule="exact"/>
        <w:ind w:firstLine="480" w:firstLineChars="200"/>
        <w:rPr>
          <w:rFonts w:hint="eastAsia" w:ascii="宋体" w:hAnsi="宋体" w:eastAsia="宋体" w:cs="宋体"/>
          <w:color w:val="auto"/>
          <w:sz w:val="24"/>
          <w:szCs w:val="32"/>
          <w:highlight w:val="none"/>
        </w:rPr>
      </w:pPr>
    </w:p>
    <w:p w14:paraId="795030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32"/>
          <w:highlight w:val="none"/>
          <w:u w:val="single"/>
        </w:rPr>
      </w:pPr>
      <w:r>
        <w:rPr>
          <w:rFonts w:hint="eastAsia" w:ascii="宋体" w:hAnsi="宋体" w:eastAsia="宋体" w:cs="宋体"/>
          <w:b/>
          <w:color w:val="auto"/>
          <w:sz w:val="24"/>
          <w:szCs w:val="32"/>
          <w:highlight w:val="none"/>
        </w:rPr>
        <w:t>发包方：</w:t>
      </w:r>
      <w:r>
        <w:rPr>
          <w:rFonts w:hint="eastAsia" w:ascii="宋体" w:hAnsi="宋体" w:eastAsia="宋体" w:cs="宋体"/>
          <w:b/>
          <w:color w:val="auto"/>
          <w:sz w:val="24"/>
          <w:szCs w:val="32"/>
          <w:highlight w:val="none"/>
          <w:lang w:val="en-US" w:eastAsia="zh-CN"/>
        </w:rPr>
        <w:t>广州市自来水有限公司</w:t>
      </w:r>
    </w:p>
    <w:p w14:paraId="3413A47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 xml:space="preserve">承包方：                    </w:t>
      </w:r>
    </w:p>
    <w:p w14:paraId="7E8F45B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项目名称：</w:t>
      </w:r>
      <w:r>
        <w:rPr>
          <w:rFonts w:hint="eastAsia" w:ascii="宋体" w:hAnsi="宋体" w:cs="宋体"/>
          <w:b/>
          <w:color w:val="auto"/>
          <w:sz w:val="24"/>
          <w:szCs w:val="32"/>
          <w:highlight w:val="none"/>
          <w:u w:val="none"/>
        </w:rPr>
        <w:t>广州市自来水有限公司北部水厂智慧化系统开发服务项目</w:t>
      </w:r>
      <w:r>
        <w:rPr>
          <w:rFonts w:hint="eastAsia" w:ascii="宋体" w:hAnsi="宋体" w:eastAsia="宋体" w:cs="宋体"/>
          <w:b/>
          <w:color w:val="auto"/>
          <w:sz w:val="24"/>
          <w:szCs w:val="32"/>
          <w:highlight w:val="none"/>
        </w:rPr>
        <w:t xml:space="preserve">                         </w:t>
      </w:r>
    </w:p>
    <w:p w14:paraId="68F921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 xml:space="preserve">为贯彻“安全第一，预防为主，综合治理”、“百年大计，质量第一”的方针，努力提高营运服务安全管理水平，根据《中华人民共和国安全生产法》，结合本工程具体情况，为确保该项目的实施安全，双方协商一致，特制定本协议书。 </w:t>
      </w:r>
    </w:p>
    <w:p w14:paraId="09955D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一、发包方的责任、权利和义务</w:t>
      </w:r>
    </w:p>
    <w:p w14:paraId="451B4F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（一）贯彻执行国家和地方有关安全生产、文明施工、法律法规，支持和监督承包方依法履行安全生产工作。</w:t>
      </w:r>
    </w:p>
    <w:p w14:paraId="287A18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（二）定期或不定期组织检查承包方安全生产、文明施工状况，提出对存在隐患的整改措施，对存在的重大安全隐患或承包方对一般隐患整改不力，发包方有权责令承包方停工整改，直至隐患排除。</w:t>
      </w:r>
    </w:p>
    <w:p w14:paraId="518A42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二、承包方的责任、权利和义务</w:t>
      </w:r>
    </w:p>
    <w:p w14:paraId="7C3B8BEB">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承包方应当具备《安全生产法》和有关</w:t>
      </w:r>
      <w:r>
        <w:rPr>
          <w:rFonts w:hint="eastAsia" w:ascii="宋体" w:hAnsi="宋体" w:eastAsia="宋体" w:cs="宋体"/>
          <w:color w:val="auto"/>
          <w:kern w:val="0"/>
          <w:sz w:val="22"/>
          <w:szCs w:val="22"/>
          <w:highlight w:val="none"/>
          <w:lang w:eastAsia="en-US"/>
        </w:rPr>
        <w:fldChar w:fldCharType="begin"/>
      </w:r>
      <w:r>
        <w:rPr>
          <w:rFonts w:hint="eastAsia" w:ascii="宋体" w:hAnsi="宋体" w:eastAsia="宋体" w:cs="宋体"/>
          <w:color w:val="auto"/>
          <w:kern w:val="0"/>
          <w:sz w:val="22"/>
          <w:szCs w:val="22"/>
          <w:highlight w:val="none"/>
        </w:rPr>
        <w:instrText xml:space="preserve"> HYPERLINK "http://www.govyi.com/html/gongwenxiezuo/gongjianfa/Index.shtml" </w:instrText>
      </w:r>
      <w:r>
        <w:rPr>
          <w:rFonts w:hint="eastAsia" w:ascii="宋体" w:hAnsi="宋体" w:eastAsia="宋体" w:cs="宋体"/>
          <w:color w:val="auto"/>
          <w:kern w:val="0"/>
          <w:sz w:val="22"/>
          <w:szCs w:val="22"/>
          <w:highlight w:val="none"/>
          <w:lang w:eastAsia="en-US"/>
        </w:rPr>
        <w:fldChar w:fldCharType="separate"/>
      </w:r>
      <w:r>
        <w:rPr>
          <w:rFonts w:hint="eastAsia" w:ascii="宋体" w:hAnsi="宋体" w:eastAsia="宋体" w:cs="宋体"/>
          <w:color w:val="auto"/>
          <w:sz w:val="24"/>
          <w:szCs w:val="32"/>
          <w:highlight w:val="none"/>
        </w:rPr>
        <w:t>法律</w:t>
      </w:r>
      <w:r>
        <w:rPr>
          <w:rFonts w:hint="eastAsia" w:ascii="宋体" w:hAnsi="宋体" w:eastAsia="宋体" w:cs="宋体"/>
          <w:color w:val="auto"/>
          <w:sz w:val="24"/>
          <w:szCs w:val="32"/>
          <w:highlight w:val="none"/>
        </w:rPr>
        <w:fldChar w:fldCharType="end"/>
      </w:r>
      <w:r>
        <w:rPr>
          <w:rFonts w:hint="eastAsia" w:ascii="宋体" w:hAnsi="宋体" w:eastAsia="宋体" w:cs="宋体"/>
          <w:color w:val="auto"/>
          <w:sz w:val="24"/>
          <w:szCs w:val="32"/>
          <w:highlight w:val="none"/>
        </w:rPr>
        <w:t>、行政法规和国家标准规定的安全生产条件，不具备安全条件的不得进行施工作业。</w:t>
      </w:r>
    </w:p>
    <w:p w14:paraId="701ED05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严格执行《国家和地方有关安全生产、文明施工法律法规》，并接受发包方和政府相关部门的检查考核。</w:t>
      </w:r>
    </w:p>
    <w:p w14:paraId="189AC74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承包方应进一步建立、健全本工程安全生产管理架构和安全生产责任制，制定和完善各项安全生产</w:t>
      </w:r>
      <w:r>
        <w:rPr>
          <w:rFonts w:hint="eastAsia" w:ascii="宋体" w:hAnsi="宋体" w:eastAsia="宋体" w:cs="宋体"/>
          <w:color w:val="auto"/>
          <w:kern w:val="0"/>
          <w:sz w:val="22"/>
          <w:szCs w:val="22"/>
          <w:highlight w:val="none"/>
          <w:lang w:eastAsia="en-US"/>
        </w:rPr>
        <w:fldChar w:fldCharType="begin"/>
      </w:r>
      <w:r>
        <w:rPr>
          <w:rFonts w:hint="eastAsia" w:ascii="宋体" w:hAnsi="宋体" w:eastAsia="宋体" w:cs="宋体"/>
          <w:color w:val="auto"/>
          <w:kern w:val="0"/>
          <w:sz w:val="22"/>
          <w:szCs w:val="22"/>
          <w:highlight w:val="none"/>
        </w:rPr>
        <w:instrText xml:space="preserve"> HYPERLINK "http://www.govyi.com/html/gongwenxiezuo/guanlizhidu/Index.shtml" </w:instrText>
      </w:r>
      <w:r>
        <w:rPr>
          <w:rFonts w:hint="eastAsia" w:ascii="宋体" w:hAnsi="宋体" w:eastAsia="宋体" w:cs="宋体"/>
          <w:color w:val="auto"/>
          <w:kern w:val="0"/>
          <w:sz w:val="22"/>
          <w:szCs w:val="22"/>
          <w:highlight w:val="none"/>
          <w:lang w:eastAsia="en-US"/>
        </w:rPr>
        <w:fldChar w:fldCharType="separate"/>
      </w:r>
      <w:r>
        <w:rPr>
          <w:rFonts w:hint="eastAsia" w:ascii="宋体" w:hAnsi="宋体" w:eastAsia="宋体" w:cs="宋体"/>
          <w:color w:val="auto"/>
          <w:sz w:val="24"/>
          <w:szCs w:val="32"/>
          <w:highlight w:val="none"/>
        </w:rPr>
        <w:t>规章</w:t>
      </w:r>
      <w:r>
        <w:rPr>
          <w:rFonts w:hint="eastAsia" w:ascii="宋体" w:hAnsi="宋体" w:eastAsia="宋体" w:cs="宋体"/>
          <w:color w:val="auto"/>
          <w:sz w:val="24"/>
          <w:szCs w:val="32"/>
          <w:highlight w:val="none"/>
        </w:rPr>
        <w:fldChar w:fldCharType="end"/>
      </w:r>
      <w:r>
        <w:rPr>
          <w:rFonts w:hint="eastAsia" w:ascii="宋体" w:hAnsi="宋体" w:eastAsia="宋体" w:cs="宋体"/>
          <w:color w:val="auto"/>
          <w:kern w:val="0"/>
          <w:sz w:val="22"/>
          <w:szCs w:val="22"/>
          <w:highlight w:val="none"/>
          <w:lang w:eastAsia="en-US"/>
        </w:rPr>
        <w:fldChar w:fldCharType="begin"/>
      </w:r>
      <w:r>
        <w:rPr>
          <w:rFonts w:hint="eastAsia" w:ascii="宋体" w:hAnsi="宋体" w:eastAsia="宋体" w:cs="宋体"/>
          <w:color w:val="auto"/>
          <w:kern w:val="0"/>
          <w:sz w:val="22"/>
          <w:szCs w:val="22"/>
          <w:highlight w:val="none"/>
        </w:rPr>
        <w:instrText xml:space="preserve"> HYPERLINK "http://www.govyi.com/html/gongwenxiezuo/guanlizhidu/Index.shtml" </w:instrText>
      </w:r>
      <w:r>
        <w:rPr>
          <w:rFonts w:hint="eastAsia" w:ascii="宋体" w:hAnsi="宋体" w:eastAsia="宋体" w:cs="宋体"/>
          <w:color w:val="auto"/>
          <w:kern w:val="0"/>
          <w:sz w:val="22"/>
          <w:szCs w:val="22"/>
          <w:highlight w:val="none"/>
          <w:lang w:eastAsia="en-US"/>
        </w:rPr>
        <w:fldChar w:fldCharType="separate"/>
      </w:r>
      <w:r>
        <w:rPr>
          <w:rFonts w:hint="eastAsia" w:ascii="宋体" w:hAnsi="宋体" w:eastAsia="宋体" w:cs="宋体"/>
          <w:color w:val="auto"/>
          <w:sz w:val="24"/>
          <w:szCs w:val="32"/>
          <w:highlight w:val="none"/>
        </w:rPr>
        <w:t>制度</w:t>
      </w:r>
      <w:r>
        <w:rPr>
          <w:rFonts w:hint="eastAsia" w:ascii="宋体" w:hAnsi="宋体" w:eastAsia="宋体" w:cs="宋体"/>
          <w:color w:val="auto"/>
          <w:sz w:val="24"/>
          <w:szCs w:val="32"/>
          <w:highlight w:val="none"/>
        </w:rPr>
        <w:fldChar w:fldCharType="end"/>
      </w:r>
      <w:r>
        <w:rPr>
          <w:rFonts w:hint="eastAsia" w:ascii="宋体" w:hAnsi="宋体" w:eastAsia="宋体" w:cs="宋体"/>
          <w:color w:val="auto"/>
          <w:sz w:val="24"/>
          <w:szCs w:val="32"/>
          <w:highlight w:val="none"/>
        </w:rPr>
        <w:t>和操作规程，落实施工安全责任。</w:t>
      </w:r>
    </w:p>
    <w:p w14:paraId="72D6D099">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应当按照《安全生产法》规定建立安全风险分级管控制度，针对所承建工程可能发生的生产安全事故的特点和危害，自行组织或委托第三方服务机构、专家进行风险评估，全面开展危险源辨识和风险评价，落实安全风险管控措施，做好安全风险管控各项工作；建立健全并落实生产安全事故隐患排查治理制度，采取技术、管理措施，及时发现并消除事故隐患。</w:t>
      </w:r>
    </w:p>
    <w:p w14:paraId="0A6DE3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发包方或第三方安全监督机构将全面排查安全隐患，督促、检查本工程的安全生产工作，检查时发现的隐患问题，承包方必须在规定的时限内整改完毕，无条件服从发包方或第三方安全监督机构的整改指令，对于隐患整改不及时，现场管理未到位或反复出现同性质的整改问题的，发包方将严格按合同约定进行违约处罚，同时报送行政主管部门进行通报批评和诚信扣分。</w:t>
      </w:r>
    </w:p>
    <w:p w14:paraId="1AF2F21E">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承包方必须建立和健全事故应急救援机制，根据本工程项目特点，制定事故应急救援预案并开展演练，告知从业人员和相关人员在紧急情况下应当采取的应急措施。。</w:t>
      </w:r>
    </w:p>
    <w:p w14:paraId="47A1E31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保证对具备安全生产条件所必需资金的投入，并对由于安全生产所必须的资金投入不足而导致的后果承担全部责任。</w:t>
      </w:r>
    </w:p>
    <w:p w14:paraId="3CEBF39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承包方按照国家规定配备专职或兼职的安全管理人员。</w:t>
      </w:r>
    </w:p>
    <w:p w14:paraId="07A3A69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承包方主要负责人和安全生产管理人员必须具备与本工程项目相适应的安全生产知识和管理能力，并经专门培训考核合格后方可上岗。</w:t>
      </w:r>
    </w:p>
    <w:p w14:paraId="1609687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根据《安全生产法》的规定，承包方务必加大从业人员的安全教育，确保全体施工人员均参加安全教育培训，保证从业人员具备安全生产知识，熟悉安全生产规章制度和安全操作规程，掌握本岗位的安全操作技能，未经安全生产教育培训合格的人员不得上岗作业。培训时承包方应通知发包方到场指导、见证，培训结束后2个工作日内，承包方应将安全教育的方案、培训时的签到表、培训现场照片等相关资料，报发包方备案。</w:t>
      </w:r>
    </w:p>
    <w:p w14:paraId="1750649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特种作业人员必须按照国家有关规定经专门的安全作业培训，取得相应资格，方可上岗作业。特种作业人员的范围由国务院应急管理部门会同国务院有关部门确定，特种作业大致包括：电工作业、焊接与热切割作业、高处作业、制冷与空调作业、危险化学品安全作业等。</w:t>
      </w:r>
    </w:p>
    <w:p w14:paraId="56E234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承包方进行爆破、吊装、动火、临时用电、有限空间作业以及国务院应急管理部门会同国务院有关部门规定的其他危险作业，应当安排专门人员进行现场安全管理，确保操作规程的遵守和安全措施的落实。</w:t>
      </w:r>
    </w:p>
    <w:p w14:paraId="4C1861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承包方</w:t>
      </w:r>
      <w:r>
        <w:rPr>
          <w:rFonts w:hint="eastAsia" w:ascii="宋体" w:hAnsi="宋体" w:eastAsia="宋体" w:cs="宋体"/>
          <w:color w:val="auto"/>
          <w:sz w:val="24"/>
          <w:szCs w:val="32"/>
          <w:highlight w:val="none"/>
        </w:rPr>
        <w:t>按照国家有关规定配备特种设备安全管理人员和作业人员，并对其进行必要的安全教育和技能培训。</w:t>
      </w:r>
      <w:r>
        <w:rPr>
          <w:rFonts w:hint="eastAsia" w:ascii="宋体" w:hAnsi="宋体" w:eastAsia="宋体" w:cs="宋体"/>
          <w:color w:val="auto"/>
          <w:sz w:val="24"/>
          <w:szCs w:val="32"/>
          <w:highlight w:val="none"/>
          <w:lang w:val="en-US" w:eastAsia="zh-CN"/>
        </w:rPr>
        <w:t>承包方需提供特种作业人员花名册、操作证复印件和培训记录。</w:t>
      </w:r>
    </w:p>
    <w:p w14:paraId="24A5DF3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施工人员进场作业时，承包方应对其进行安全教育培训及安全技术交底，没有进行安全教育或进场施工人员与安全交底时签署的人员姓名不一致时，一律禁止该作业人员进场施工。</w:t>
      </w:r>
    </w:p>
    <w:p w14:paraId="0192CA9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发包方有权不定期监督或检查现场施工人员的安全教育培训情况，对现场施工人员进行安全保护知识、岗位技能知识的抽查。如发现现场施工人员</w:t>
      </w:r>
      <w:r>
        <w:rPr>
          <w:rFonts w:hint="eastAsia" w:ascii="宋体" w:hAnsi="宋体" w:eastAsia="宋体" w:cs="宋体"/>
          <w:color w:val="auto"/>
          <w:sz w:val="24"/>
          <w:szCs w:val="32"/>
          <w:highlight w:val="none"/>
          <w:lang w:eastAsia="zh-CN"/>
        </w:rPr>
        <w:t>未经安全教育培训或安全教育培训不合格</w:t>
      </w:r>
      <w:r>
        <w:rPr>
          <w:rFonts w:hint="eastAsia" w:ascii="宋体" w:hAnsi="宋体" w:eastAsia="宋体" w:cs="宋体"/>
          <w:color w:val="auto"/>
          <w:sz w:val="24"/>
          <w:szCs w:val="32"/>
          <w:highlight w:val="none"/>
        </w:rPr>
        <w:t xml:space="preserve">，将责令承包方在2个工作日内再次组织现场施工人员进行安全教育培训。 </w:t>
      </w:r>
    </w:p>
    <w:p w14:paraId="6AC8543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对有较大危险因素的作业场所和有关设施、设备要设置明显的安全警示标志及其相应的安全防护措施。</w:t>
      </w:r>
    </w:p>
    <w:p w14:paraId="53BB537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承包方应对员工配备相应劳动防护用品，施工负责人和安全检查员应随时检查劳动防护用品的穿戴情况，不按规定穿戴防护用品的人员不得上岗。</w:t>
      </w:r>
    </w:p>
    <w:p w14:paraId="1277822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发包方或安全生产监督管理部门进行安全监督检查时，承包方要主动接受检查，并积极配合，不得拒绝、阻挠和拖延，并在检查记录上签字确认。</w:t>
      </w:r>
    </w:p>
    <w:p w14:paraId="0636EB4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定期召开一次安全文明生产会议，自查自纠不安全因素及隐患，保证工程顺利进行，会议记录上报发包方备案。</w:t>
      </w:r>
    </w:p>
    <w:p w14:paraId="64C6252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用电必须符合《施工现场临时用电安全技术规范》的要求。</w:t>
      </w:r>
    </w:p>
    <w:p w14:paraId="7357B17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工程安全管理架构、审核(或专家评审)通过后施工方案、事故应急抢险预案等资料要工程施工前报发包方备案。</w:t>
      </w:r>
    </w:p>
    <w:p w14:paraId="521F6DF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作业人员要严格遵守发包方出入生产场所的管理规定，未经许可，严禁闯入。</w:t>
      </w:r>
    </w:p>
    <w:p w14:paraId="57DD2D26">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实施过程中遇不明的地下设施时，必须报发包方人员鉴别后，才能继续施工。</w:t>
      </w:r>
    </w:p>
    <w:p w14:paraId="76CEF906">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在实施过程中，对检查出的违法、违规、违章行为，将按合同相关条款扣罚违约责任金，承包方承担因承包方的原因造成的法律责任和经济责任。</w:t>
      </w:r>
    </w:p>
    <w:p w14:paraId="73191A0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严格执行《生产安全事故报告和调查处理条例》。如承包方发生生产安全事故时，必须立即向发包方和政府有关部门报告，并启动事故应急救援预案，全力抢救伤员，保护事故现场。如因施救伤员必须移动现场设备、设施时，要做好记录和拍照，不得破坏事故现场；做好善后工作，积极配合相关部门做好事故调整及取证；并负责工伤统计、安全事故指标及处理费用，发包方视事故程度，提供必要的协助。</w:t>
      </w:r>
    </w:p>
    <w:p w14:paraId="26382EC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承包方不得将工程项目层层转包，专业分包必须具备相应的资质及安全生产条件。</w:t>
      </w:r>
    </w:p>
    <w:p w14:paraId="129E955C">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承包方根据项目的特点，编制各项安全技术方案，完善方案审批手续，并在实施过程中严格执行。</w:t>
      </w:r>
    </w:p>
    <w:p w14:paraId="4D679A1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承包方使用发包方场地内的特种设备需经过发包方同意，并在发包方特种设备管理人员的监管下使用。</w:t>
      </w:r>
    </w:p>
    <w:p w14:paraId="0814C0A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rPr>
        <w:t>进</w:t>
      </w:r>
      <w:r>
        <w:rPr>
          <w:rFonts w:hint="eastAsia" w:ascii="宋体" w:hAnsi="宋体" w:eastAsia="宋体" w:cs="宋体"/>
          <w:color w:val="auto"/>
          <w:sz w:val="24"/>
          <w:szCs w:val="32"/>
          <w:highlight w:val="none"/>
          <w:lang w:val="en-US" w:eastAsia="zh-CN"/>
        </w:rPr>
        <w:t>场</w:t>
      </w:r>
      <w:r>
        <w:rPr>
          <w:rFonts w:hint="eastAsia" w:ascii="宋体" w:hAnsi="宋体" w:eastAsia="宋体" w:cs="宋体"/>
          <w:color w:val="auto"/>
          <w:sz w:val="24"/>
          <w:szCs w:val="32"/>
          <w:highlight w:val="none"/>
        </w:rPr>
        <w:t>的特种设备应当符合我国安全技术规范的要求，并经检验合格</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具有专业资质的检测、检验单位出具的安全技术检验证明，否则，不得投入使用。承包方应建立特种设备安全技术档案。安全技术档案应当包括以下内容：1、特种设备的设计文件、产品质量合格证明、安装及使用维护保养说明、监督检验证明等相关技术资料和文件；2、特种设备的定期检验和定期自行检查记录；3、特种设备的日常使用状况记录；4、特种设备及其附属仪器仪表的维护保养记录；5、特种设备的运行故障和事故记录。</w:t>
      </w:r>
    </w:p>
    <w:p w14:paraId="412264C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禁止使用国家明令淘汰和已经报废的特种设备。承包方对其使用的特种设备进行经常性维护保养和定期自行检查，并作出记录。承包方对其使用的特种设备的安全附件、安全保护装置进行定期校验、检修，并作出记录。对于达不到安全要求又不能修复的特种设备必须停用，撤离施工现场。</w:t>
      </w:r>
    </w:p>
    <w:p w14:paraId="1614BA56">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必须为进场人员购买工伤保险，必须向发包方提供购买工伤保险情况的材料。</w:t>
      </w:r>
    </w:p>
    <w:p w14:paraId="68B34C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三、违约责任</w:t>
      </w:r>
    </w:p>
    <w:p w14:paraId="1173A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一）承包方必须保证发包方免于受到或承担应由承包方负责的因未按规定做好安全文明施工所引起的或与之有关的索赔、诉讼、行政处罚以及其他费用的开支；若因承包方未按规定做好安全文明施工牵连发包方受到行政处罚或对发包方造成严重社会影响的，由承包方承担全部的经济和法律责任。</w:t>
      </w:r>
    </w:p>
    <w:p w14:paraId="6F6B4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（二）</w:t>
      </w:r>
      <w:r>
        <w:rPr>
          <w:rFonts w:hint="eastAsia" w:ascii="宋体" w:hAnsi="宋体" w:eastAsia="宋体" w:cs="宋体"/>
          <w:color w:val="auto"/>
          <w:sz w:val="24"/>
          <w:szCs w:val="32"/>
          <w:highlight w:val="none"/>
          <w:lang w:val="en-US" w:eastAsia="zh-CN"/>
        </w:rPr>
        <w:t>承包方出现以下情形时，发包方有权按规定进行处罚：</w:t>
      </w:r>
    </w:p>
    <w:p w14:paraId="4A3D81C0">
      <w:pPr>
        <w:pageBreakBefore w:val="0"/>
        <w:kinsoku/>
        <w:wordWrap/>
        <w:overflowPunct/>
        <w:bidi w:val="0"/>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1.</w:t>
      </w:r>
      <w:r>
        <w:rPr>
          <w:rFonts w:hint="eastAsia" w:ascii="宋体" w:hAnsi="宋体" w:eastAsia="宋体" w:cs="宋体"/>
          <w:color w:val="auto"/>
          <w:sz w:val="24"/>
          <w:szCs w:val="32"/>
          <w:highlight w:val="none"/>
        </w:rPr>
        <w:t>承包方在上级行政主管部门组织的质量安全或文明施工检查中，被发现存在安全隐患，或施工场地被评为不合格工地，或被通报批评，或被新闻媒体曝光造成不良影响的，承包方应立即采取切实有效措施予以整改，并承担违约责任，按合同金额的</w:t>
      </w:r>
      <w:r>
        <w:rPr>
          <w:rFonts w:hint="eastAsia" w:ascii="宋体" w:hAnsi="宋体" w:eastAsia="宋体" w:cs="宋体"/>
          <w:color w:val="auto"/>
          <w:sz w:val="24"/>
          <w:szCs w:val="32"/>
          <w:highlight w:val="none"/>
          <w:lang w:val="en-US" w:eastAsia="zh-CN"/>
        </w:rPr>
        <w:t>6</w:t>
      </w:r>
      <w:r>
        <w:rPr>
          <w:rFonts w:hint="eastAsia" w:ascii="宋体" w:hAnsi="宋体" w:eastAsia="宋体" w:cs="宋体"/>
          <w:color w:val="auto"/>
          <w:sz w:val="24"/>
          <w:szCs w:val="32"/>
          <w:highlight w:val="none"/>
        </w:rPr>
        <w:t>‰/次向发包方支付违约金，由发包方在当期应付的工程进度款内直接扣除。</w:t>
      </w:r>
    </w:p>
    <w:p w14:paraId="19E79328">
      <w:pPr>
        <w:pageBreakBefore w:val="0"/>
        <w:kinsoku/>
        <w:wordWrap/>
        <w:overflowPunct/>
        <w:bidi w:val="0"/>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rPr>
        <w:t>从业人员未按照使用规则正确佩戴、使用劳动防护用品，发现立即处罚，例如安全帽（100元/人.次）、安全带（200元/人.次）、防疫口罩（50元/人.次）、电工焊工绝缘手套（100元/人.次）、电工焊工绝缘鞋（200元/人.次）等。</w:t>
      </w:r>
    </w:p>
    <w:p w14:paraId="1D547676">
      <w:pPr>
        <w:pageBreakBefore w:val="0"/>
        <w:kinsoku/>
        <w:wordWrap/>
        <w:overflowPunct/>
        <w:bidi w:val="0"/>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3.</w:t>
      </w:r>
      <w:r>
        <w:rPr>
          <w:rFonts w:hint="eastAsia" w:ascii="宋体" w:hAnsi="宋体" w:eastAsia="宋体" w:cs="宋体"/>
          <w:color w:val="auto"/>
          <w:sz w:val="24"/>
          <w:szCs w:val="32"/>
          <w:highlight w:val="none"/>
        </w:rPr>
        <w:t>承包方在建设过程中须严格按要求落实安全文明施工管理措施，若因承包方工作管理不到位造成被发包方上级管理单位（如：市水投集团、水务质监站等）在检查中发现较大问题，导致发包方被通报批评、考核扣分，相关责任人员被扣罚的，发包方可对承包方连带扣罚。</w:t>
      </w:r>
    </w:p>
    <w:p w14:paraId="60256F73">
      <w:pPr>
        <w:pageBreakBefore w:val="0"/>
        <w:kinsoku/>
        <w:wordWrap/>
        <w:overflowPunct/>
        <w:bidi w:val="0"/>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rPr>
        <w:t>承包方应立即采取切实有效措施予以整改，并承担违约责任，向发包方支付相应金额的处罚金，由发包方在当期应付的工程进度款内直接扣除。对承包方拒不采取切实有效的措施整改的，或整改效果不明显的，或造成严重社会影响，或被检查两次（含本数）仍不合格而被通报或被曝光的，发包方有权解除部分或全部合同，并追究承包方的违约赔偿责任，发包方全部解除合同后可将本工程另行发包。</w:t>
      </w:r>
    </w:p>
    <w:p w14:paraId="4989AE57">
      <w:pPr>
        <w:pageBreakBefore w:val="0"/>
        <w:kinsoku/>
        <w:wordWrap/>
        <w:overflowPunct/>
        <w:bidi w:val="0"/>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三）</w:t>
      </w:r>
      <w:r>
        <w:rPr>
          <w:rFonts w:hint="eastAsia" w:ascii="宋体" w:hAnsi="宋体" w:eastAsia="宋体" w:cs="宋体"/>
          <w:color w:val="auto"/>
          <w:sz w:val="24"/>
          <w:szCs w:val="32"/>
          <w:highlight w:val="none"/>
        </w:rPr>
        <w:t>发包方在日常检查中发现承包方存在安全隐患、违章行为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文明施工措施未落实</w:t>
      </w:r>
      <w:r>
        <w:rPr>
          <w:rFonts w:hint="eastAsia" w:ascii="宋体" w:hAnsi="宋体" w:eastAsia="宋体" w:cs="宋体"/>
          <w:color w:val="auto"/>
          <w:sz w:val="24"/>
          <w:szCs w:val="32"/>
          <w:highlight w:val="none"/>
        </w:rPr>
        <w:t>或管理不到位现象的，由发包方及时发出书面整改通知书，承包方应立即采取切实有效措施</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在整改期限内</w:t>
      </w:r>
      <w:r>
        <w:rPr>
          <w:rFonts w:hint="eastAsia" w:ascii="宋体" w:hAnsi="宋体" w:eastAsia="宋体" w:cs="宋体"/>
          <w:color w:val="auto"/>
          <w:sz w:val="24"/>
          <w:szCs w:val="32"/>
          <w:highlight w:val="none"/>
        </w:rPr>
        <w:t>予以整改，发包方复检时发现仍未整改或整改不及格的，承包方除无条件进行整改外</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发包方可按实际情况给予1000元/项次的处罚，</w:t>
      </w:r>
      <w:r>
        <w:rPr>
          <w:rFonts w:hint="eastAsia" w:ascii="宋体" w:hAnsi="宋体" w:eastAsia="宋体" w:cs="宋体"/>
          <w:color w:val="auto"/>
          <w:sz w:val="24"/>
          <w:szCs w:val="32"/>
          <w:highlight w:val="none"/>
          <w:lang w:val="en-US" w:eastAsia="zh-CN"/>
        </w:rPr>
        <w:t>由</w:t>
      </w:r>
      <w:r>
        <w:rPr>
          <w:rFonts w:hint="eastAsia" w:ascii="宋体" w:hAnsi="宋体" w:eastAsia="宋体" w:cs="宋体"/>
          <w:color w:val="auto"/>
          <w:sz w:val="24"/>
          <w:szCs w:val="32"/>
          <w:highlight w:val="none"/>
        </w:rPr>
        <w:t>发包方在当期应付给承包方的工程进度款内直接扣除。</w:t>
      </w:r>
    </w:p>
    <w:p w14:paraId="6B1503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四）承包方在发包方或政府行政主管部门组织的质量安全或文明施工检查中，被发现现场施工人员的安全意识薄弱或安全防护知识严重不足的，承包方须按合同金额的3‰/次向发包方支付违约金（由发包方在当期应付的工程进度款内直接扣除）外，还应采取以下整改措施：</w:t>
      </w:r>
    </w:p>
    <w:p w14:paraId="160D4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对第一次经查问，安全意识薄弱或安全防护知识严重不足的施工人员进行安全教育培训；第二次抽查时，如发现同一施工人员仍存在安全意识薄弱或安全防护知识严重不足的，应立即暂停其作业并再次进行安全教育培训；如同一施工人员被抽查3次及以上，均存在安全意识薄弱或安全防护知识严重不足的，承包方应立即将该施工人员撤离施工现场，并进行人员撤换。</w:t>
      </w:r>
    </w:p>
    <w:p w14:paraId="112761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2.对承包方拒不采取切实有效的措施整改的，发包方有权解除部分或全部合同，并追究承包方的违约赔偿责任，发包方全部解除合同后可将本工程另行发包。</w:t>
      </w:r>
    </w:p>
    <w:p w14:paraId="51530B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（五）承包方因自身原因造成</w:t>
      </w:r>
      <w:r>
        <w:rPr>
          <w:rFonts w:hint="eastAsia" w:ascii="宋体" w:hAnsi="宋体" w:eastAsia="宋体" w:cs="宋体"/>
          <w:color w:val="auto"/>
          <w:sz w:val="24"/>
          <w:szCs w:val="32"/>
          <w:highlight w:val="none"/>
          <w:lang w:val="en-US" w:eastAsia="zh-CN"/>
        </w:rPr>
        <w:t>的</w:t>
      </w:r>
      <w:r>
        <w:rPr>
          <w:rFonts w:hint="eastAsia" w:ascii="宋体" w:hAnsi="宋体" w:eastAsia="宋体" w:cs="宋体"/>
          <w:color w:val="auto"/>
          <w:sz w:val="24"/>
          <w:szCs w:val="32"/>
          <w:highlight w:val="none"/>
        </w:rPr>
        <w:t>安全事故（含工程质量事故），按国家规定由相关主管部门处罚，发包方视情况严重性，有权解除部分或全部合同，按合同专用条款中关于合同解除的规定执行。</w:t>
      </w:r>
    </w:p>
    <w:p w14:paraId="64957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四、本协议双方签字盖章生效，具有与施工合同同等法律效力，工程竣工验收后失效。未尽事宜，双方协商解决。</w:t>
      </w:r>
    </w:p>
    <w:p w14:paraId="5FC61A2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32"/>
          <w:highlight w:val="none"/>
        </w:rPr>
      </w:pPr>
    </w:p>
    <w:p w14:paraId="19C6BFB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32"/>
          <w:highlight w:val="none"/>
        </w:rPr>
      </w:pPr>
    </w:p>
    <w:p w14:paraId="6779B16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 xml:space="preserve">发包方：                           承包方： </w:t>
      </w:r>
    </w:p>
    <w:p w14:paraId="1828077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24"/>
          <w:szCs w:val="32"/>
          <w:highlight w:val="none"/>
        </w:rPr>
        <w:t>（</w:t>
      </w:r>
      <w:r>
        <w:rPr>
          <w:rFonts w:hint="eastAsia" w:ascii="宋体" w:hAnsi="宋体" w:eastAsia="宋体" w:cs="宋体"/>
          <w:color w:val="auto"/>
          <w:sz w:val="24"/>
          <w:szCs w:val="32"/>
          <w:highlight w:val="none"/>
          <w:lang w:val="en-US" w:eastAsia="zh-CN"/>
        </w:rPr>
        <w:t>盖</w:t>
      </w:r>
      <w:r>
        <w:rPr>
          <w:rFonts w:hint="eastAsia" w:ascii="宋体" w:hAnsi="宋体" w:eastAsia="宋体" w:cs="宋体"/>
          <w:color w:val="auto"/>
          <w:sz w:val="24"/>
          <w:szCs w:val="32"/>
          <w:highlight w:val="none"/>
        </w:rPr>
        <w:t>章）                           （</w:t>
      </w:r>
      <w:r>
        <w:rPr>
          <w:rFonts w:hint="eastAsia" w:ascii="宋体" w:hAnsi="宋体" w:eastAsia="宋体" w:cs="宋体"/>
          <w:color w:val="auto"/>
          <w:sz w:val="24"/>
          <w:szCs w:val="32"/>
          <w:highlight w:val="none"/>
          <w:lang w:val="en-US" w:eastAsia="zh-CN"/>
        </w:rPr>
        <w:t>盖</w:t>
      </w:r>
      <w:r>
        <w:rPr>
          <w:rFonts w:hint="eastAsia" w:ascii="宋体" w:hAnsi="宋体" w:eastAsia="宋体" w:cs="宋体"/>
          <w:color w:val="auto"/>
          <w:sz w:val="24"/>
          <w:szCs w:val="32"/>
          <w:highlight w:val="none"/>
        </w:rPr>
        <w:t>章）</w:t>
      </w:r>
    </w:p>
    <w:p w14:paraId="59E31660">
      <w:pPr>
        <w:pageBreakBefore w:val="0"/>
        <w:kinsoku/>
        <w:wordWrap/>
        <w:overflowPunct/>
        <w:bidi w:val="0"/>
        <w:ind w:firstLine="640" w:firstLineChars="200"/>
        <w:rPr>
          <w:rFonts w:hint="eastAsia" w:ascii="宋体" w:hAnsi="宋体" w:eastAsia="宋体" w:cs="宋体"/>
          <w:color w:val="auto"/>
          <w:sz w:val="32"/>
          <w:szCs w:val="32"/>
          <w:highlight w:val="none"/>
          <w:lang w:val="en-US" w:eastAsia="zh-CN"/>
        </w:rPr>
      </w:pPr>
    </w:p>
    <w:p w14:paraId="5963CA7F">
      <w:pPr>
        <w:pageBreakBefore w:val="0"/>
        <w:kinsoku/>
        <w:wordWrap/>
        <w:overflowPunct/>
        <w:bidi w:val="0"/>
        <w:ind w:firstLine="640" w:firstLineChars="200"/>
        <w:rPr>
          <w:rFonts w:hint="eastAsia" w:ascii="宋体" w:hAnsi="宋体" w:eastAsia="宋体" w:cs="宋体"/>
          <w:color w:val="auto"/>
          <w:sz w:val="32"/>
          <w:szCs w:val="32"/>
          <w:highlight w:val="none"/>
        </w:rPr>
      </w:pPr>
    </w:p>
    <w:p w14:paraId="1E2A21E4">
      <w:pPr>
        <w:pageBreakBefore w:val="0"/>
        <w:kinsoku/>
        <w:wordWrap/>
        <w:overflowPunct/>
        <w:bidi w:val="0"/>
        <w:ind w:firstLine="480" w:firstLineChars="200"/>
        <w:rPr>
          <w:rFonts w:hint="eastAsia" w:ascii="宋体" w:hAnsi="宋体" w:eastAsia="宋体" w:cs="宋体"/>
          <w:color w:val="auto"/>
          <w:sz w:val="24"/>
          <w:szCs w:val="24"/>
          <w:highlight w:val="none"/>
          <w:lang w:val="en-US" w:eastAsia="zh-CN"/>
        </w:rPr>
      </w:pPr>
    </w:p>
    <w:p w14:paraId="15E51748">
      <w:pPr>
        <w:pStyle w:val="27"/>
        <w:pageBreakBefore w:val="0"/>
        <w:kinsoku/>
        <w:wordWrap/>
        <w:overflowPunct/>
        <w:bidi w:val="0"/>
        <w:spacing w:beforeLines="0" w:after="120" w:line="360" w:lineRule="auto"/>
        <w:ind w:firstLine="739" w:firstLineChars="200"/>
        <w:jc w:val="both"/>
        <w:rPr>
          <w:rFonts w:hint="eastAsia" w:ascii="宋体" w:hAnsi="宋体" w:eastAsia="宋体" w:cs="宋体"/>
          <w:color w:val="auto"/>
          <w:highlight w:val="none"/>
        </w:rPr>
        <w:sectPr>
          <w:pgSz w:w="11906" w:h="16838"/>
          <w:pgMar w:top="1701" w:right="1701" w:bottom="1418" w:left="1701" w:header="851" w:footer="851" w:gutter="0"/>
          <w:pgNumType w:fmt="decimal"/>
          <w:cols w:space="720" w:num="1"/>
          <w:docGrid w:linePitch="312" w:charSpace="0"/>
        </w:sectPr>
      </w:pPr>
    </w:p>
    <w:p w14:paraId="710B98C4">
      <w:pPr>
        <w:pStyle w:val="27"/>
        <w:spacing w:beforeLines="0" w:after="120" w:line="360" w:lineRule="auto"/>
        <w:ind w:firstLine="1847" w:firstLineChars="500"/>
        <w:jc w:val="both"/>
        <w:rPr>
          <w:rFonts w:hint="eastAsia" w:ascii="宋体" w:hAnsi="宋体" w:eastAsia="宋体" w:cs="宋体"/>
          <w:color w:val="auto"/>
          <w:highlight w:val="none"/>
        </w:rPr>
      </w:pPr>
      <w:r>
        <w:rPr>
          <w:rFonts w:hint="eastAsia" w:ascii="宋体" w:hAnsi="宋体" w:eastAsia="宋体" w:cs="宋体"/>
          <w:color w:val="auto"/>
          <w:highlight w:val="none"/>
        </w:rPr>
        <w:t>第3章  投标文件格式</w:t>
      </w:r>
      <w:bookmarkEnd w:id="88"/>
      <w:bookmarkEnd w:id="89"/>
      <w:bookmarkEnd w:id="90"/>
    </w:p>
    <w:p w14:paraId="3028D7DD">
      <w:pPr>
        <w:spacing w:line="360" w:lineRule="auto"/>
        <w:ind w:firstLine="0" w:firstLineChars="0"/>
        <w:jc w:val="center"/>
        <w:rPr>
          <w:rFonts w:hint="eastAsia" w:ascii="宋体" w:hAnsi="宋体" w:eastAsia="宋体" w:cs="宋体"/>
          <w:b w:val="0"/>
          <w:color w:val="auto"/>
          <w:spacing w:val="0"/>
          <w:kern w:val="2"/>
          <w:sz w:val="24"/>
          <w:szCs w:val="24"/>
          <w:highlight w:val="none"/>
        </w:rPr>
      </w:pPr>
      <w:bookmarkStart w:id="126" w:name="_Toc426445893"/>
      <w:bookmarkStart w:id="127" w:name="_Toc360635076"/>
      <w:bookmarkStart w:id="128" w:name="_Toc318905644"/>
      <w:r>
        <w:rPr>
          <w:rFonts w:hint="eastAsia" w:ascii="宋体" w:hAnsi="宋体" w:eastAsia="宋体" w:cs="宋体"/>
          <w:b w:val="0"/>
          <w:color w:val="auto"/>
          <w:spacing w:val="0"/>
          <w:kern w:val="2"/>
          <w:sz w:val="24"/>
          <w:szCs w:val="24"/>
          <w:highlight w:val="none"/>
        </w:rPr>
        <w:t>（部分格式）</w:t>
      </w:r>
    </w:p>
    <w:p w14:paraId="36923EA3">
      <w:pPr>
        <w:pStyle w:val="2"/>
        <w:rPr>
          <w:rFonts w:hint="eastAsia" w:ascii="宋体" w:hAnsi="宋体" w:eastAsia="宋体" w:cs="宋体"/>
          <w:b w:val="0"/>
          <w:color w:val="auto"/>
          <w:spacing w:val="0"/>
          <w:kern w:val="2"/>
          <w:sz w:val="24"/>
          <w:szCs w:val="24"/>
          <w:highlight w:val="none"/>
        </w:rPr>
      </w:pPr>
    </w:p>
    <w:p w14:paraId="59FC736A">
      <w:pPr>
        <w:pStyle w:val="2"/>
        <w:rPr>
          <w:rFonts w:hint="eastAsia" w:ascii="宋体" w:hAnsi="宋体" w:eastAsia="宋体" w:cs="宋体"/>
          <w:b w:val="0"/>
          <w:color w:val="auto"/>
          <w:spacing w:val="0"/>
          <w:kern w:val="2"/>
          <w:sz w:val="24"/>
          <w:szCs w:val="24"/>
          <w:highlight w:val="none"/>
        </w:rPr>
      </w:pPr>
    </w:p>
    <w:p w14:paraId="782753AC">
      <w:pPr>
        <w:numPr>
          <w:ilvl w:val="0"/>
          <w:numId w:val="10"/>
        </w:numPr>
        <w:tabs>
          <w:tab w:val="right" w:leader="middleDot" w:pos="9167"/>
        </w:tabs>
        <w:snapToGrid w:val="0"/>
        <w:spacing w:line="360" w:lineRule="auto"/>
        <w:ind w:left="309"/>
        <w:jc w:val="left"/>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报价部分</w:t>
      </w:r>
      <w:r>
        <w:rPr>
          <w:rFonts w:hint="eastAsia" w:ascii="宋体" w:hAnsi="宋体" w:cs="宋体"/>
          <w:b w:val="0"/>
          <w:color w:val="auto"/>
          <w:spacing w:val="0"/>
          <w:kern w:val="2"/>
          <w:sz w:val="24"/>
          <w:szCs w:val="24"/>
          <w:highlight w:val="none"/>
          <w:lang w:val="en-US" w:eastAsia="zh-CN"/>
        </w:rPr>
        <w:t>格式</w:t>
      </w:r>
    </w:p>
    <w:p w14:paraId="1C3E7B17">
      <w:pPr>
        <w:numPr>
          <w:ilvl w:val="0"/>
          <w:numId w:val="10"/>
        </w:numPr>
        <w:tabs>
          <w:tab w:val="right" w:leader="middleDot" w:pos="9167"/>
        </w:tabs>
        <w:snapToGrid w:val="0"/>
        <w:spacing w:line="360" w:lineRule="auto"/>
        <w:ind w:left="309"/>
        <w:jc w:val="left"/>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资格审查部分</w:t>
      </w:r>
      <w:r>
        <w:rPr>
          <w:rFonts w:hint="eastAsia" w:ascii="宋体" w:hAnsi="宋体" w:cs="宋体"/>
          <w:b w:val="0"/>
          <w:color w:val="auto"/>
          <w:spacing w:val="0"/>
          <w:kern w:val="2"/>
          <w:sz w:val="24"/>
          <w:szCs w:val="24"/>
          <w:highlight w:val="none"/>
          <w:lang w:val="en-US" w:eastAsia="zh-CN"/>
        </w:rPr>
        <w:t>格式</w:t>
      </w:r>
    </w:p>
    <w:p w14:paraId="2FCBF65D">
      <w:pPr>
        <w:numPr>
          <w:ilvl w:val="0"/>
          <w:numId w:val="10"/>
        </w:numPr>
        <w:tabs>
          <w:tab w:val="right" w:leader="middleDot" w:pos="9167"/>
        </w:tabs>
        <w:snapToGrid w:val="0"/>
        <w:spacing w:line="360" w:lineRule="auto"/>
        <w:ind w:left="309"/>
        <w:jc w:val="left"/>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商务技术部分</w:t>
      </w:r>
      <w:r>
        <w:rPr>
          <w:rFonts w:hint="eastAsia" w:ascii="宋体" w:hAnsi="宋体" w:cs="宋体"/>
          <w:b w:val="0"/>
          <w:color w:val="auto"/>
          <w:spacing w:val="0"/>
          <w:kern w:val="2"/>
          <w:sz w:val="24"/>
          <w:szCs w:val="24"/>
          <w:highlight w:val="none"/>
          <w:lang w:val="en-US" w:eastAsia="zh-CN"/>
        </w:rPr>
        <w:t>格式</w:t>
      </w:r>
    </w:p>
    <w:p w14:paraId="056A8259">
      <w:pPr>
        <w:pStyle w:val="2"/>
        <w:rPr>
          <w:rFonts w:hint="eastAsia" w:ascii="宋体" w:hAnsi="宋体" w:eastAsia="宋体" w:cs="宋体"/>
          <w:b w:val="0"/>
          <w:color w:val="auto"/>
          <w:spacing w:val="0"/>
          <w:kern w:val="2"/>
          <w:sz w:val="21"/>
          <w:szCs w:val="21"/>
          <w:highlight w:val="none"/>
        </w:rPr>
      </w:pPr>
    </w:p>
    <w:bookmarkEnd w:id="126"/>
    <w:bookmarkEnd w:id="127"/>
    <w:bookmarkEnd w:id="128"/>
    <w:p w14:paraId="2339A837">
      <w:pPr>
        <w:numPr>
          <w:ilvl w:val="0"/>
          <w:numId w:val="0"/>
        </w:numPr>
        <w:tabs>
          <w:tab w:val="right" w:leader="middleDot" w:pos="9167"/>
        </w:tabs>
        <w:snapToGrid w:val="0"/>
        <w:spacing w:line="360" w:lineRule="auto"/>
        <w:ind w:left="0"/>
        <w:jc w:val="left"/>
        <w:rPr>
          <w:rFonts w:hint="eastAsia" w:ascii="宋体" w:hAnsi="宋体" w:eastAsia="宋体" w:cs="宋体"/>
          <w:color w:val="auto"/>
          <w:highlight w:val="none"/>
        </w:rPr>
      </w:pPr>
      <w:r>
        <w:rPr>
          <w:rFonts w:hint="eastAsia" w:ascii="宋体" w:hAnsi="宋体" w:eastAsia="宋体" w:cs="宋体"/>
          <w:b w:val="0"/>
          <w:color w:val="auto"/>
          <w:spacing w:val="0"/>
          <w:kern w:val="0"/>
          <w:sz w:val="24"/>
          <w:szCs w:val="24"/>
          <w:highlight w:val="none"/>
        </w:rPr>
        <w:br w:type="page"/>
      </w:r>
    </w:p>
    <w:p w14:paraId="0C885516">
      <w:pPr>
        <w:pStyle w:val="8"/>
        <w:keepNext w:val="0"/>
        <w:spacing w:before="60" w:after="360" w:line="360" w:lineRule="auto"/>
        <w:ind w:firstLine="0" w:firstLineChars="0"/>
        <w:jc w:val="center"/>
        <w:rPr>
          <w:rFonts w:hint="eastAsia" w:ascii="宋体" w:hAnsi="宋体" w:eastAsia="宋体" w:cs="宋体"/>
          <w:color w:val="auto"/>
          <w:sz w:val="30"/>
          <w:highlight w:val="none"/>
        </w:rPr>
      </w:pPr>
      <w:bookmarkStart w:id="129" w:name="_Hlt493478646"/>
      <w:bookmarkEnd w:id="129"/>
      <w:bookmarkStart w:id="130" w:name="_Toc351381946"/>
      <w:bookmarkStart w:id="131" w:name="_Toc8746655"/>
      <w:bookmarkStart w:id="132" w:name="_Toc15565"/>
      <w:bookmarkStart w:id="133" w:name="_Toc9431254"/>
      <w:bookmarkStart w:id="134" w:name="_Toc455670295"/>
      <w:bookmarkStart w:id="135" w:name="_Toc93064478"/>
      <w:bookmarkStart w:id="136" w:name="_Toc496161872"/>
      <w:r>
        <w:rPr>
          <w:rFonts w:hint="eastAsia" w:ascii="宋体" w:hAnsi="宋体" w:eastAsia="宋体" w:cs="宋体"/>
          <w:bCs/>
          <w:color w:val="auto"/>
          <w:spacing w:val="0"/>
          <w:kern w:val="44"/>
          <w:sz w:val="30"/>
          <w:szCs w:val="44"/>
          <w:highlight w:val="none"/>
        </w:rPr>
        <w:t>一   报价部分格式</w:t>
      </w:r>
      <w:bookmarkEnd w:id="130"/>
      <w:bookmarkEnd w:id="131"/>
      <w:bookmarkEnd w:id="132"/>
      <w:bookmarkEnd w:id="133"/>
      <w:bookmarkEnd w:id="134"/>
      <w:bookmarkEnd w:id="135"/>
    </w:p>
    <w:p w14:paraId="259A6454">
      <w:pPr>
        <w:spacing w:line="360" w:lineRule="auto"/>
        <w:rPr>
          <w:rFonts w:hint="eastAsia" w:ascii="宋体" w:hAnsi="宋体" w:eastAsia="宋体" w:cs="宋体"/>
          <w:color w:val="auto"/>
          <w:sz w:val="24"/>
          <w:highlight w:val="none"/>
        </w:rPr>
      </w:pPr>
      <w:r>
        <w:rPr>
          <w:rFonts w:hint="eastAsia" w:ascii="宋体" w:hAnsi="宋体" w:eastAsia="宋体" w:cs="宋体"/>
          <w:b w:val="0"/>
          <w:color w:val="auto"/>
          <w:spacing w:val="0"/>
          <w:kern w:val="2"/>
          <w:sz w:val="24"/>
          <w:szCs w:val="21"/>
          <w:highlight w:val="none"/>
        </w:rPr>
        <w:t>说明：</w:t>
      </w:r>
    </w:p>
    <w:p w14:paraId="4A51D51D">
      <w:pPr>
        <w:widowControl/>
        <w:tabs>
          <w:tab w:val="left" w:pos="735"/>
        </w:tabs>
        <w:spacing w:line="360" w:lineRule="auto"/>
        <w:ind w:left="2" w:firstLine="480" w:firstLineChars="200"/>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1、以下报价表中服务综合单价应包括完成本招标文件所规定的招标范围全部内容所需的费用，除非招标文件中另有规定，投标人在报价表中所报的固定综合单价应至少包括：服务内容所需的服务成本、企业利润、法定税费等费用及由此带来的一切价格的风险</w:t>
      </w:r>
      <w:r>
        <w:rPr>
          <w:rFonts w:hint="eastAsia" w:ascii="宋体" w:hAnsi="宋体" w:eastAsia="宋体" w:cs="宋体"/>
          <w:b w:val="0"/>
          <w:bCs/>
          <w:color w:val="auto"/>
          <w:spacing w:val="0"/>
          <w:kern w:val="2"/>
          <w:sz w:val="24"/>
          <w:szCs w:val="24"/>
          <w:highlight w:val="none"/>
        </w:rPr>
        <w:t>。</w:t>
      </w:r>
    </w:p>
    <w:p w14:paraId="65A340B3">
      <w:pPr>
        <w:tabs>
          <w:tab w:val="left" w:pos="840"/>
          <w:tab w:val="left" w:pos="1425"/>
        </w:tabs>
        <w:spacing w:line="360" w:lineRule="auto"/>
        <w:ind w:left="420"/>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2、以下表中的</w:t>
      </w:r>
      <w:r>
        <w:rPr>
          <w:rFonts w:hint="eastAsia" w:ascii="宋体" w:hAnsi="宋体" w:cs="宋体"/>
          <w:b w:val="0"/>
          <w:color w:val="auto"/>
          <w:spacing w:val="0"/>
          <w:kern w:val="2"/>
          <w:sz w:val="24"/>
          <w:szCs w:val="24"/>
          <w:highlight w:val="none"/>
          <w:lang w:val="en-US" w:eastAsia="zh-CN"/>
        </w:rPr>
        <w:t>数</w:t>
      </w:r>
      <w:r>
        <w:rPr>
          <w:rFonts w:hint="eastAsia" w:ascii="宋体" w:hAnsi="宋体" w:eastAsia="宋体" w:cs="宋体"/>
          <w:b w:val="0"/>
          <w:color w:val="auto"/>
          <w:spacing w:val="0"/>
          <w:kern w:val="2"/>
          <w:sz w:val="24"/>
          <w:szCs w:val="24"/>
          <w:highlight w:val="none"/>
        </w:rPr>
        <w:t>量只为参考，结算以实际发生数量核算。</w:t>
      </w:r>
    </w:p>
    <w:p w14:paraId="0FE7378D">
      <w:pPr>
        <w:tabs>
          <w:tab w:val="left" w:pos="840"/>
          <w:tab w:val="left" w:pos="1425"/>
        </w:tabs>
        <w:spacing w:line="360" w:lineRule="auto"/>
        <w:ind w:left="420"/>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3、以下报价表中没有填报综合单价的内容，买方在合同实施过程中将不予支</w:t>
      </w:r>
    </w:p>
    <w:p w14:paraId="609D29F2">
      <w:pPr>
        <w:tabs>
          <w:tab w:val="left" w:pos="840"/>
          <w:tab w:val="left" w:pos="1425"/>
        </w:tabs>
        <w:spacing w:line="360" w:lineRule="auto"/>
        <w:rPr>
          <w:rFonts w:hint="eastAsia" w:ascii="宋体" w:hAnsi="宋体" w:eastAsia="宋体" w:cs="宋体"/>
          <w:color w:val="auto"/>
          <w:sz w:val="24"/>
          <w:szCs w:val="24"/>
          <w:highlight w:val="none"/>
        </w:rPr>
      </w:pPr>
      <w:r>
        <w:rPr>
          <w:rFonts w:hint="eastAsia" w:ascii="宋体" w:hAnsi="宋体" w:eastAsia="宋体" w:cs="宋体"/>
          <w:b w:val="0"/>
          <w:color w:val="auto"/>
          <w:spacing w:val="0"/>
          <w:kern w:val="2"/>
          <w:sz w:val="24"/>
          <w:szCs w:val="24"/>
          <w:highlight w:val="none"/>
        </w:rPr>
        <w:t>付，并认为该内容的综合单价或价格已包含在以上报价表中其他项目的综合单价或价格中。</w:t>
      </w:r>
    </w:p>
    <w:p w14:paraId="1A48FD5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44"/>
          <w:sz w:val="32"/>
          <w:highlight w:val="none"/>
        </w:rPr>
      </w:pPr>
      <w:bookmarkStart w:id="137" w:name="_Toc305083546"/>
      <w:bookmarkStart w:id="138" w:name="_Toc346802800"/>
      <w:bookmarkStart w:id="139" w:name="_Toc455670296"/>
      <w:bookmarkStart w:id="140" w:name="_Toc500121421"/>
      <w:bookmarkStart w:id="141" w:name="_Toc484832681"/>
      <w:bookmarkStart w:id="142" w:name="_Toc484518262"/>
      <w:bookmarkStart w:id="143" w:name="_Toc528057713"/>
      <w:bookmarkStart w:id="144" w:name="_Toc486658970"/>
      <w:r>
        <w:rPr>
          <w:rFonts w:hint="eastAsia" w:ascii="宋体" w:hAnsi="宋体" w:eastAsia="宋体" w:cs="宋体"/>
          <w:b w:val="0"/>
          <w:color w:val="auto"/>
          <w:spacing w:val="0"/>
          <w:kern w:val="2"/>
          <w:sz w:val="21"/>
          <w:szCs w:val="21"/>
          <w:highlight w:val="none"/>
        </w:rPr>
        <w:br w:type="page"/>
      </w:r>
      <w:bookmarkEnd w:id="137"/>
      <w:bookmarkEnd w:id="138"/>
      <w:bookmarkEnd w:id="139"/>
      <w:r>
        <w:rPr>
          <w:rFonts w:hint="eastAsia" w:ascii="宋体" w:hAnsi="宋体" w:eastAsia="宋体" w:cs="宋体"/>
          <w:b/>
          <w:color w:val="auto"/>
          <w:spacing w:val="0"/>
          <w:kern w:val="44"/>
          <w:sz w:val="32"/>
          <w:szCs w:val="21"/>
          <w:highlight w:val="none"/>
        </w:rPr>
        <w:t>1.1投标报价一览表</w:t>
      </w:r>
      <w:bookmarkEnd w:id="140"/>
      <w:bookmarkEnd w:id="141"/>
      <w:bookmarkEnd w:id="142"/>
      <w:bookmarkEnd w:id="143"/>
      <w:bookmarkEnd w:id="144"/>
    </w:p>
    <w:p w14:paraId="183ED4FE">
      <w:pPr>
        <w:spacing w:line="360" w:lineRule="auto"/>
        <w:ind w:firstLine="4515" w:firstLineChars="2150"/>
        <w:rPr>
          <w:rFonts w:hint="eastAsia" w:ascii="宋体" w:hAnsi="宋体" w:eastAsia="宋体" w:cs="宋体"/>
          <w:color w:val="auto"/>
          <w:highlight w:val="none"/>
        </w:rPr>
      </w:pPr>
    </w:p>
    <w:p w14:paraId="17502160">
      <w:pPr>
        <w:spacing w:line="360" w:lineRule="auto"/>
        <w:ind w:firstLine="0" w:firstLineChars="0"/>
        <w:rPr>
          <w:rFonts w:hint="eastAsia" w:ascii="宋体" w:hAnsi="宋体" w:cs="宋体"/>
          <w:b/>
          <w:bCs/>
          <w:color w:val="auto"/>
          <w:spacing w:val="0"/>
          <w:kern w:val="2"/>
          <w:sz w:val="24"/>
          <w:szCs w:val="24"/>
          <w:highlight w:val="none"/>
          <w:lang w:val="en-US" w:eastAsia="zh-CN"/>
        </w:rPr>
      </w:pPr>
      <w:r>
        <w:rPr>
          <w:rFonts w:hint="eastAsia" w:ascii="宋体" w:hAnsi="宋体" w:eastAsia="宋体" w:cs="宋体"/>
          <w:b/>
          <w:bCs/>
          <w:color w:val="auto"/>
          <w:spacing w:val="0"/>
          <w:kern w:val="2"/>
          <w:sz w:val="24"/>
          <w:szCs w:val="24"/>
          <w:highlight w:val="none"/>
        </w:rPr>
        <w:t>项目名称：</w:t>
      </w:r>
      <w:r>
        <w:rPr>
          <w:rFonts w:hint="eastAsia" w:ascii="宋体" w:hAnsi="宋体" w:cs="宋体"/>
          <w:b/>
          <w:bCs/>
          <w:color w:val="auto"/>
          <w:spacing w:val="0"/>
          <w:kern w:val="2"/>
          <w:sz w:val="24"/>
          <w:szCs w:val="24"/>
          <w:highlight w:val="none"/>
          <w:lang w:val="en-US" w:eastAsia="zh-CN"/>
        </w:rPr>
        <w:t>广州市自来水有限公司北部水厂智慧化系统开发服务公开招标项目</w:t>
      </w:r>
    </w:p>
    <w:p w14:paraId="5E829D12">
      <w:pPr>
        <w:spacing w:line="360" w:lineRule="auto"/>
        <w:ind w:firstLine="0" w:firstLineChars="0"/>
        <w:jc w:val="right"/>
        <w:rPr>
          <w:rFonts w:hint="default" w:ascii="宋体" w:hAnsi="宋体" w:cs="宋体"/>
          <w:b/>
          <w:bCs/>
          <w:color w:val="auto"/>
          <w:spacing w:val="0"/>
          <w:kern w:val="2"/>
          <w:sz w:val="24"/>
          <w:szCs w:val="24"/>
          <w:highlight w:val="none"/>
          <w:lang w:val="en-US" w:eastAsia="zh-CN"/>
        </w:rPr>
      </w:pPr>
      <w:r>
        <w:rPr>
          <w:rFonts w:hint="eastAsia" w:ascii="宋体" w:hAnsi="宋体" w:cs="宋体"/>
          <w:b/>
          <w:bCs/>
          <w:color w:val="auto"/>
          <w:spacing w:val="0"/>
          <w:kern w:val="2"/>
          <w:sz w:val="24"/>
          <w:szCs w:val="24"/>
          <w:highlight w:val="none"/>
          <w:lang w:val="en-US" w:eastAsia="zh-CN"/>
        </w:rPr>
        <w:t>单位：人民币元</w:t>
      </w:r>
    </w:p>
    <w:tbl>
      <w:tblPr>
        <w:tblStyle w:val="20"/>
        <w:tblW w:w="9020"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193"/>
        <w:gridCol w:w="1133"/>
        <w:gridCol w:w="1642"/>
        <w:gridCol w:w="1378"/>
      </w:tblGrid>
      <w:tr w14:paraId="1E4D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674" w:type="dxa"/>
            <w:noWrap w:val="0"/>
            <w:vAlign w:val="center"/>
          </w:tcPr>
          <w:p w14:paraId="252D7E08">
            <w:pPr>
              <w:widowControl/>
              <w:spacing w:line="240" w:lineRule="auto"/>
              <w:ind w:right="0"/>
              <w:jc w:val="center"/>
              <w:outlineLvl w:val="9"/>
              <w:rPr>
                <w:rFonts w:hint="eastAsia" w:ascii="宋体" w:hAnsi="宋体" w:cs="宋体"/>
                <w:color w:val="auto"/>
                <w:sz w:val="24"/>
                <w:szCs w:val="24"/>
                <w:highlight w:val="none"/>
              </w:rPr>
            </w:pPr>
            <w:bookmarkStart w:id="145" w:name="_Toc37670198"/>
            <w:bookmarkStart w:id="146" w:name="_Toc37684138"/>
            <w:bookmarkStart w:id="147" w:name="_Toc24820"/>
            <w:r>
              <w:rPr>
                <w:rFonts w:hint="eastAsia" w:ascii="宋体" w:hAnsi="宋体" w:cs="宋体"/>
                <w:color w:val="auto"/>
                <w:sz w:val="24"/>
                <w:szCs w:val="24"/>
                <w:highlight w:val="none"/>
              </w:rPr>
              <w:t>序号</w:t>
            </w:r>
            <w:bookmarkEnd w:id="145"/>
            <w:bookmarkEnd w:id="146"/>
            <w:bookmarkEnd w:id="147"/>
          </w:p>
        </w:tc>
        <w:tc>
          <w:tcPr>
            <w:tcW w:w="4193" w:type="dxa"/>
            <w:noWrap w:val="0"/>
            <w:vAlign w:val="center"/>
          </w:tcPr>
          <w:p w14:paraId="5F6BF7D0">
            <w:pPr>
              <w:widowControl w:val="0"/>
              <w:tabs>
                <w:tab w:val="left" w:pos="1040"/>
              </w:tabs>
              <w:spacing w:line="240" w:lineRule="auto"/>
              <w:jc w:val="center"/>
              <w:outlineLvl w:val="9"/>
              <w:rPr>
                <w:rFonts w:hint="eastAsia" w:ascii="宋体" w:hAnsi="宋体" w:cs="宋体"/>
                <w:color w:val="auto"/>
                <w:sz w:val="24"/>
                <w:szCs w:val="24"/>
                <w:highlight w:val="none"/>
              </w:rPr>
            </w:pPr>
            <w:bookmarkStart w:id="148" w:name="_Toc37684139"/>
            <w:bookmarkStart w:id="149" w:name="_Toc37670199"/>
            <w:bookmarkStart w:id="150" w:name="_Toc23951"/>
            <w:r>
              <w:rPr>
                <w:rFonts w:hint="eastAsia" w:ascii="宋体" w:hAnsi="宋体" w:cs="宋体"/>
                <w:color w:val="auto"/>
                <w:sz w:val="24"/>
                <w:szCs w:val="24"/>
                <w:highlight w:val="none"/>
              </w:rPr>
              <w:t>项目名称</w:t>
            </w:r>
            <w:bookmarkEnd w:id="148"/>
            <w:bookmarkEnd w:id="149"/>
            <w:bookmarkEnd w:id="150"/>
          </w:p>
        </w:tc>
        <w:tc>
          <w:tcPr>
            <w:tcW w:w="1133" w:type="dxa"/>
            <w:noWrap w:val="0"/>
            <w:vAlign w:val="center"/>
          </w:tcPr>
          <w:p w14:paraId="7278DA86">
            <w:pPr>
              <w:widowControl w:val="0"/>
              <w:tabs>
                <w:tab w:val="left" w:pos="1040"/>
              </w:tabs>
              <w:spacing w:line="240" w:lineRule="auto"/>
              <w:jc w:val="center"/>
              <w:outlineLvl w:val="9"/>
              <w:rPr>
                <w:rFonts w:hint="eastAsia" w:ascii="宋体" w:hAnsi="宋体" w:eastAsia="宋体" w:cs="宋体"/>
                <w:color w:val="auto"/>
                <w:sz w:val="24"/>
                <w:szCs w:val="24"/>
                <w:highlight w:val="none"/>
                <w:lang w:eastAsia="zh-CN"/>
              </w:rPr>
            </w:pPr>
            <w:bookmarkStart w:id="151" w:name="_Toc16797"/>
            <w:bookmarkStart w:id="152" w:name="_Toc37684140"/>
            <w:bookmarkStart w:id="153" w:name="_Toc37670200"/>
            <w:r>
              <w:rPr>
                <w:rFonts w:hint="eastAsia" w:ascii="宋体" w:hAnsi="宋体" w:eastAsia="宋体" w:cs="宋体"/>
                <w:color w:val="auto"/>
                <w:sz w:val="24"/>
                <w:szCs w:val="24"/>
                <w:highlight w:val="none"/>
                <w:lang w:val="en-US" w:eastAsia="zh-CN"/>
              </w:rPr>
              <w:t>服务期</w:t>
            </w:r>
          </w:p>
        </w:tc>
        <w:tc>
          <w:tcPr>
            <w:tcW w:w="1642" w:type="dxa"/>
            <w:noWrap w:val="0"/>
            <w:vAlign w:val="center"/>
          </w:tcPr>
          <w:p w14:paraId="657C6DC6">
            <w:pPr>
              <w:widowControl w:val="0"/>
              <w:tabs>
                <w:tab w:val="left" w:pos="1040"/>
              </w:tabs>
              <w:spacing w:line="240" w:lineRule="auto"/>
              <w:jc w:val="center"/>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投标总价（元）</w:t>
            </w:r>
            <w:bookmarkEnd w:id="151"/>
            <w:bookmarkEnd w:id="152"/>
            <w:bookmarkEnd w:id="153"/>
          </w:p>
        </w:tc>
        <w:tc>
          <w:tcPr>
            <w:tcW w:w="1378" w:type="dxa"/>
            <w:noWrap w:val="0"/>
            <w:vAlign w:val="center"/>
          </w:tcPr>
          <w:p w14:paraId="603099AB">
            <w:pPr>
              <w:widowControl w:val="0"/>
              <w:tabs>
                <w:tab w:val="left" w:pos="1040"/>
              </w:tabs>
              <w:spacing w:line="240" w:lineRule="auto"/>
              <w:jc w:val="center"/>
              <w:outlineLvl w:val="9"/>
              <w:rPr>
                <w:rFonts w:hint="eastAsia" w:ascii="宋体" w:hAnsi="宋体" w:cs="宋体"/>
                <w:color w:val="auto"/>
                <w:sz w:val="24"/>
                <w:szCs w:val="24"/>
                <w:highlight w:val="none"/>
              </w:rPr>
            </w:pPr>
            <w:bookmarkStart w:id="154" w:name="_Toc37684141"/>
            <w:bookmarkStart w:id="155" w:name="_Toc37670201"/>
            <w:bookmarkStart w:id="156" w:name="_Toc3"/>
            <w:r>
              <w:rPr>
                <w:rFonts w:hint="eastAsia" w:ascii="宋体" w:hAnsi="宋体" w:cs="宋体"/>
                <w:color w:val="auto"/>
                <w:sz w:val="24"/>
                <w:szCs w:val="24"/>
                <w:highlight w:val="none"/>
              </w:rPr>
              <w:t>备注</w:t>
            </w:r>
            <w:bookmarkEnd w:id="154"/>
            <w:bookmarkEnd w:id="155"/>
            <w:bookmarkEnd w:id="156"/>
          </w:p>
        </w:tc>
      </w:tr>
      <w:tr w14:paraId="05E0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674" w:type="dxa"/>
            <w:noWrap w:val="0"/>
            <w:vAlign w:val="center"/>
          </w:tcPr>
          <w:p w14:paraId="6ACEA013">
            <w:pPr>
              <w:widowControl w:val="0"/>
              <w:tabs>
                <w:tab w:val="left" w:pos="1040"/>
              </w:tabs>
              <w:spacing w:line="500" w:lineRule="exact"/>
              <w:jc w:val="center"/>
              <w:outlineLvl w:val="9"/>
              <w:rPr>
                <w:rFonts w:hint="eastAsia" w:ascii="宋体" w:hAnsi="宋体" w:cs="宋体"/>
                <w:color w:val="auto"/>
                <w:sz w:val="24"/>
                <w:szCs w:val="24"/>
                <w:highlight w:val="none"/>
              </w:rPr>
            </w:pPr>
            <w:bookmarkStart w:id="157" w:name="_Toc23700"/>
            <w:bookmarkStart w:id="158" w:name="_Toc37684142"/>
            <w:bookmarkStart w:id="159" w:name="_Toc37670202"/>
            <w:r>
              <w:rPr>
                <w:rFonts w:hint="eastAsia" w:ascii="宋体" w:hAnsi="宋体" w:cs="宋体"/>
                <w:color w:val="auto"/>
                <w:sz w:val="24"/>
                <w:szCs w:val="24"/>
                <w:highlight w:val="none"/>
              </w:rPr>
              <w:t>1</w:t>
            </w:r>
            <w:bookmarkEnd w:id="157"/>
            <w:bookmarkEnd w:id="158"/>
            <w:bookmarkEnd w:id="159"/>
          </w:p>
        </w:tc>
        <w:tc>
          <w:tcPr>
            <w:tcW w:w="4193" w:type="dxa"/>
            <w:noWrap w:val="0"/>
            <w:vAlign w:val="center"/>
          </w:tcPr>
          <w:p w14:paraId="50D4168D">
            <w:pPr>
              <w:widowControl w:val="0"/>
              <w:spacing w:line="500" w:lineRule="exact"/>
              <w:jc w:val="center"/>
              <w:outlineLvl w:val="9"/>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广州市自来水有限公司北部水厂智慧化系统开发服务公开招标项目</w:t>
            </w:r>
          </w:p>
        </w:tc>
        <w:tc>
          <w:tcPr>
            <w:tcW w:w="1133" w:type="dxa"/>
            <w:noWrap w:val="0"/>
            <w:vAlign w:val="center"/>
          </w:tcPr>
          <w:p w14:paraId="4D4745E0">
            <w:pPr>
              <w:widowControl w:val="0"/>
              <w:tabs>
                <w:tab w:val="left" w:pos="1040"/>
              </w:tabs>
              <w:spacing w:line="500" w:lineRule="exact"/>
              <w:jc w:val="center"/>
              <w:outlineLvl w:val="9"/>
              <w:rPr>
                <w:rFonts w:hint="eastAsia" w:ascii="宋体" w:hAnsi="宋体" w:cs="宋体"/>
                <w:color w:val="auto"/>
                <w:sz w:val="24"/>
                <w:szCs w:val="24"/>
                <w:highlight w:val="none"/>
              </w:rPr>
            </w:pPr>
          </w:p>
        </w:tc>
        <w:tc>
          <w:tcPr>
            <w:tcW w:w="1642" w:type="dxa"/>
            <w:noWrap w:val="0"/>
            <w:vAlign w:val="center"/>
          </w:tcPr>
          <w:p w14:paraId="66DED737">
            <w:pPr>
              <w:widowControl w:val="0"/>
              <w:tabs>
                <w:tab w:val="left" w:pos="1040"/>
              </w:tabs>
              <w:spacing w:line="500" w:lineRule="exact"/>
              <w:jc w:val="center"/>
              <w:outlineLvl w:val="9"/>
              <w:rPr>
                <w:rFonts w:hint="eastAsia" w:ascii="宋体" w:hAnsi="宋体" w:cs="宋体"/>
                <w:color w:val="auto"/>
                <w:sz w:val="24"/>
                <w:szCs w:val="24"/>
                <w:highlight w:val="none"/>
              </w:rPr>
            </w:pPr>
          </w:p>
        </w:tc>
        <w:tc>
          <w:tcPr>
            <w:tcW w:w="1378" w:type="dxa"/>
            <w:noWrap w:val="0"/>
            <w:vAlign w:val="center"/>
          </w:tcPr>
          <w:p w14:paraId="70587622">
            <w:pPr>
              <w:widowControl w:val="0"/>
              <w:tabs>
                <w:tab w:val="left" w:pos="1040"/>
              </w:tabs>
              <w:spacing w:line="500" w:lineRule="exact"/>
              <w:jc w:val="center"/>
              <w:outlineLvl w:val="9"/>
              <w:rPr>
                <w:rFonts w:hint="eastAsia" w:ascii="宋体" w:hAnsi="宋体" w:cs="宋体"/>
                <w:color w:val="auto"/>
                <w:sz w:val="24"/>
                <w:szCs w:val="24"/>
                <w:highlight w:val="none"/>
              </w:rPr>
            </w:pPr>
          </w:p>
        </w:tc>
      </w:tr>
    </w:tbl>
    <w:p w14:paraId="17111AF8">
      <w:pPr>
        <w:spacing w:line="360" w:lineRule="auto"/>
        <w:ind w:right="840"/>
        <w:jc w:val="left"/>
        <w:rPr>
          <w:rFonts w:hint="eastAsia" w:ascii="宋体" w:hAnsi="宋体" w:eastAsia="宋体" w:cs="宋体"/>
          <w:b w:val="0"/>
          <w:color w:val="auto"/>
          <w:spacing w:val="0"/>
          <w:kern w:val="2"/>
          <w:sz w:val="24"/>
          <w:szCs w:val="24"/>
          <w:highlight w:val="none"/>
        </w:rPr>
      </w:pPr>
    </w:p>
    <w:p w14:paraId="338C0A1F">
      <w:pPr>
        <w:spacing w:line="360" w:lineRule="auto"/>
        <w:ind w:firstLine="240" w:firstLineChars="1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lang w:val="en-US" w:eastAsia="zh-CN"/>
        </w:rPr>
        <w:t>按四舍五入</w:t>
      </w:r>
      <w:r>
        <w:rPr>
          <w:rFonts w:hint="eastAsia" w:ascii="宋体" w:hAnsi="宋体" w:eastAsia="宋体" w:cs="宋体"/>
          <w:color w:val="auto"/>
          <w:sz w:val="24"/>
          <w:szCs w:val="24"/>
          <w:highlight w:val="none"/>
          <w:lang w:eastAsia="zh-CN"/>
        </w:rPr>
        <w:t>保留小数点后两位</w:t>
      </w:r>
      <w:r>
        <w:rPr>
          <w:rFonts w:hint="eastAsia" w:ascii="宋体" w:hAnsi="宋体" w:cs="宋体"/>
          <w:color w:val="auto"/>
          <w:sz w:val="24"/>
          <w:szCs w:val="24"/>
          <w:highlight w:val="none"/>
          <w:lang w:eastAsia="zh-CN"/>
        </w:rPr>
        <w:t>；</w:t>
      </w:r>
    </w:p>
    <w:p w14:paraId="6BEDC6D8">
      <w:pPr>
        <w:spacing w:line="360" w:lineRule="auto"/>
        <w:ind w:firstLine="240" w:firstLineChars="1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2、投标报价总价及投标综合单价不得高于总价最高限价和综合单价最高限价。</w:t>
      </w:r>
    </w:p>
    <w:p w14:paraId="4950E24F">
      <w:pPr>
        <w:pStyle w:val="5"/>
        <w:spacing w:line="360" w:lineRule="auto"/>
        <w:rPr>
          <w:rFonts w:hint="eastAsia" w:ascii="宋体" w:hAnsi="宋体" w:eastAsia="宋体" w:cs="宋体"/>
          <w:color w:val="auto"/>
          <w:highlight w:val="none"/>
        </w:rPr>
      </w:pPr>
    </w:p>
    <w:p w14:paraId="4F110AAB">
      <w:pPr>
        <w:pStyle w:val="5"/>
        <w:spacing w:line="360" w:lineRule="auto"/>
        <w:rPr>
          <w:rFonts w:hint="eastAsia" w:ascii="宋体" w:hAnsi="宋体" w:eastAsia="宋体" w:cs="宋体"/>
          <w:color w:val="auto"/>
          <w:highlight w:val="none"/>
        </w:rPr>
      </w:pPr>
    </w:p>
    <w:p w14:paraId="4A788038">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投标人（公章）：</w:t>
      </w:r>
    </w:p>
    <w:p w14:paraId="58A83657">
      <w:pPr>
        <w:keepNext w:val="0"/>
        <w:keepLines w:val="0"/>
        <w:pageBreakBefore w:val="0"/>
        <w:widowControl/>
        <w:kinsoku/>
        <w:wordWrap/>
        <w:overflowPunct/>
        <w:topLinePunct w:val="0"/>
        <w:autoSpaceDE/>
        <w:autoSpaceDN/>
        <w:bidi w:val="0"/>
        <w:adjustRightInd/>
        <w:snapToGrid/>
        <w:spacing w:line="360" w:lineRule="auto"/>
        <w:jc w:val="right"/>
        <w:textAlignment w:val="auto"/>
        <w:outlineLvl w:val="9"/>
        <w:rPr>
          <w:rFonts w:hint="eastAsia" w:ascii="宋体" w:hAnsi="宋体" w:eastAsia="宋体" w:cs="宋体"/>
          <w:b/>
          <w:color w:val="auto"/>
          <w:spacing w:val="0"/>
          <w:kern w:val="44"/>
          <w:sz w:val="32"/>
          <w:szCs w:val="21"/>
          <w:highlight w:val="none"/>
        </w:rPr>
        <w:sectPr>
          <w:pgSz w:w="11906" w:h="16838"/>
          <w:pgMar w:top="1701" w:right="1701" w:bottom="1418" w:left="1701" w:header="851" w:footer="851" w:gutter="0"/>
          <w:pgNumType w:fmt="decimal"/>
          <w:cols w:space="720" w:num="1"/>
          <w:docGrid w:linePitch="312" w:charSpace="0"/>
        </w:sectPr>
      </w:pPr>
      <w:r>
        <w:rPr>
          <w:rFonts w:hint="eastAsia" w:ascii="宋体" w:hAnsi="宋体" w:eastAsia="宋体" w:cs="宋体"/>
          <w:color w:val="auto"/>
          <w:kern w:val="2"/>
          <w:sz w:val="24"/>
          <w:szCs w:val="24"/>
          <w:highlight w:val="none"/>
        </w:rPr>
        <w:t>日          期</w:t>
      </w:r>
      <w:r>
        <w:rPr>
          <w:rFonts w:hint="eastAsia" w:ascii="宋体" w:hAnsi="宋体" w:cs="宋体"/>
          <w:color w:val="auto"/>
          <w:kern w:val="2"/>
          <w:sz w:val="24"/>
          <w:szCs w:val="24"/>
          <w:highlight w:val="none"/>
          <w:lang w:eastAsia="zh-CN"/>
        </w:rPr>
        <w:t>：</w:t>
      </w:r>
    </w:p>
    <w:p w14:paraId="119ED8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color w:val="auto"/>
          <w:highlight w:val="none"/>
        </w:rPr>
      </w:pPr>
      <w:r>
        <w:rPr>
          <w:rFonts w:hint="eastAsia" w:ascii="宋体" w:hAnsi="宋体" w:eastAsia="宋体" w:cs="宋体"/>
          <w:b/>
          <w:color w:val="auto"/>
          <w:spacing w:val="0"/>
          <w:kern w:val="44"/>
          <w:sz w:val="32"/>
          <w:szCs w:val="21"/>
          <w:highlight w:val="none"/>
        </w:rPr>
        <w:t>1.</w:t>
      </w:r>
      <w:r>
        <w:rPr>
          <w:rFonts w:hint="eastAsia" w:ascii="宋体" w:hAnsi="宋体" w:eastAsia="宋体" w:cs="宋体"/>
          <w:b/>
          <w:color w:val="auto"/>
          <w:spacing w:val="0"/>
          <w:kern w:val="44"/>
          <w:sz w:val="32"/>
          <w:szCs w:val="21"/>
          <w:highlight w:val="none"/>
          <w:lang w:val="en-US" w:eastAsia="zh-CN"/>
        </w:rPr>
        <w:t>2分项</w:t>
      </w:r>
      <w:r>
        <w:rPr>
          <w:rFonts w:hint="eastAsia" w:ascii="宋体" w:hAnsi="宋体" w:eastAsia="宋体" w:cs="宋体"/>
          <w:b/>
          <w:color w:val="auto"/>
          <w:spacing w:val="0"/>
          <w:kern w:val="44"/>
          <w:sz w:val="32"/>
          <w:szCs w:val="21"/>
          <w:highlight w:val="none"/>
        </w:rPr>
        <w:t>报价一览表</w:t>
      </w:r>
    </w:p>
    <w:p w14:paraId="55A68F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color w:val="auto"/>
          <w:sz w:val="28"/>
          <w:szCs w:val="28"/>
          <w:highlight w:val="none"/>
        </w:rPr>
      </w:pPr>
      <w:r>
        <w:rPr>
          <w:rFonts w:hint="eastAsia"/>
          <w:b/>
          <w:bCs/>
          <w:color w:val="auto"/>
          <w:sz w:val="28"/>
          <w:szCs w:val="28"/>
          <w:highlight w:val="none"/>
        </w:rPr>
        <w:t>广州市自来水有限公司北部水厂智慧化系统开发服务公开招标项目</w:t>
      </w:r>
    </w:p>
    <w:p w14:paraId="2693C5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color w:val="auto"/>
          <w:sz w:val="28"/>
          <w:szCs w:val="28"/>
          <w:highlight w:val="none"/>
        </w:rPr>
      </w:pPr>
      <w:r>
        <w:rPr>
          <w:rFonts w:hint="eastAsia"/>
          <w:b/>
          <w:bCs/>
          <w:color w:val="auto"/>
          <w:sz w:val="28"/>
          <w:szCs w:val="28"/>
          <w:highlight w:val="none"/>
        </w:rPr>
        <w:t>分项报价一览表</w:t>
      </w:r>
    </w:p>
    <w:p w14:paraId="1FBA5E50">
      <w:pPr>
        <w:keepNext w:val="0"/>
        <w:keepLines w:val="0"/>
        <w:pageBreakBefore w:val="0"/>
        <w:widowControl w:val="0"/>
        <w:kinsoku/>
        <w:wordWrap/>
        <w:overflowPunct/>
        <w:topLinePunct w:val="0"/>
        <w:autoSpaceDE/>
        <w:autoSpaceDN/>
        <w:bidi w:val="0"/>
        <w:adjustRightInd/>
        <w:snapToGrid/>
        <w:spacing w:line="360" w:lineRule="auto"/>
        <w:jc w:val="right"/>
        <w:textAlignment w:val="auto"/>
        <w:outlineLvl w:val="1"/>
        <w:rPr>
          <w:color w:val="auto"/>
          <w:sz w:val="22"/>
          <w:szCs w:val="21"/>
          <w:highlight w:val="none"/>
        </w:rPr>
      </w:pPr>
      <w:r>
        <w:rPr>
          <w:rFonts w:hint="eastAsia" w:ascii="宋体" w:hAnsi="宋体"/>
          <w:color w:val="auto"/>
          <w:sz w:val="24"/>
          <w:szCs w:val="24"/>
          <w:highlight w:val="none"/>
        </w:rPr>
        <w:t>单位：人民币元</w:t>
      </w:r>
    </w:p>
    <w:tbl>
      <w:tblPr>
        <w:tblStyle w:val="20"/>
        <w:tblW w:w="13759" w:type="dxa"/>
        <w:jc w:val="center"/>
        <w:tblLayout w:type="fixed"/>
        <w:tblCellMar>
          <w:top w:w="0" w:type="dxa"/>
          <w:left w:w="108" w:type="dxa"/>
          <w:bottom w:w="0" w:type="dxa"/>
          <w:right w:w="108" w:type="dxa"/>
        </w:tblCellMar>
      </w:tblPr>
      <w:tblGrid>
        <w:gridCol w:w="746"/>
        <w:gridCol w:w="955"/>
        <w:gridCol w:w="9301"/>
        <w:gridCol w:w="600"/>
        <w:gridCol w:w="581"/>
        <w:gridCol w:w="844"/>
        <w:gridCol w:w="732"/>
      </w:tblGrid>
      <w:tr w14:paraId="3552474E">
        <w:tblPrEx>
          <w:tblCellMar>
            <w:top w:w="0" w:type="dxa"/>
            <w:left w:w="108" w:type="dxa"/>
            <w:bottom w:w="0" w:type="dxa"/>
            <w:right w:w="108" w:type="dxa"/>
          </w:tblCellMar>
        </w:tblPrEx>
        <w:trPr>
          <w:trHeight w:val="674" w:hRule="atLeast"/>
          <w:jc w:val="center"/>
        </w:trPr>
        <w:tc>
          <w:tcPr>
            <w:tcW w:w="13759" w:type="dxa"/>
            <w:gridSpan w:val="7"/>
            <w:tcBorders>
              <w:top w:val="single" w:color="000000" w:sz="4" w:space="0"/>
              <w:left w:val="single" w:color="000000" w:sz="4" w:space="0"/>
              <w:bottom w:val="single" w:color="000000" w:sz="4" w:space="0"/>
              <w:right w:val="single" w:color="000000" w:sz="4" w:space="0"/>
            </w:tcBorders>
            <w:vAlign w:val="center"/>
          </w:tcPr>
          <w:p w14:paraId="07F4CA19">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一、AI大模型平台</w:t>
            </w:r>
          </w:p>
        </w:tc>
      </w:tr>
      <w:tr w14:paraId="014A4201">
        <w:tblPrEx>
          <w:tblCellMar>
            <w:top w:w="0" w:type="dxa"/>
            <w:left w:w="108" w:type="dxa"/>
            <w:bottom w:w="0" w:type="dxa"/>
            <w:right w:w="108" w:type="dxa"/>
          </w:tblCellMar>
        </w:tblPrEx>
        <w:trPr>
          <w:trHeight w:val="67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7D98CBE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序号</w:t>
            </w:r>
          </w:p>
        </w:tc>
        <w:tc>
          <w:tcPr>
            <w:tcW w:w="955" w:type="dxa"/>
            <w:tcBorders>
              <w:top w:val="single" w:color="000000" w:sz="4" w:space="0"/>
              <w:left w:val="single" w:color="000000" w:sz="4" w:space="0"/>
              <w:bottom w:val="single" w:color="000000" w:sz="4" w:space="0"/>
              <w:right w:val="single" w:color="000000" w:sz="4" w:space="0"/>
            </w:tcBorders>
            <w:vAlign w:val="center"/>
          </w:tcPr>
          <w:p w14:paraId="103A1F59">
            <w:pPr>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名称</w:t>
            </w:r>
          </w:p>
        </w:tc>
        <w:tc>
          <w:tcPr>
            <w:tcW w:w="9301" w:type="dxa"/>
            <w:tcBorders>
              <w:top w:val="single" w:color="000000" w:sz="4" w:space="0"/>
              <w:left w:val="single" w:color="000000" w:sz="4" w:space="0"/>
              <w:bottom w:val="single" w:color="000000" w:sz="4" w:space="0"/>
              <w:right w:val="single" w:color="000000" w:sz="4" w:space="0"/>
            </w:tcBorders>
            <w:vAlign w:val="center"/>
          </w:tcPr>
          <w:p w14:paraId="7801C500">
            <w:pPr>
              <w:ind w:firstLine="42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功能需求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0764C10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数量</w:t>
            </w:r>
          </w:p>
        </w:tc>
        <w:tc>
          <w:tcPr>
            <w:tcW w:w="581" w:type="dxa"/>
            <w:tcBorders>
              <w:top w:val="single" w:color="000000" w:sz="4" w:space="0"/>
              <w:left w:val="single" w:color="000000" w:sz="4" w:space="0"/>
              <w:bottom w:val="single" w:color="000000" w:sz="4" w:space="0"/>
              <w:right w:val="single" w:color="000000" w:sz="4" w:space="0"/>
            </w:tcBorders>
            <w:vAlign w:val="center"/>
          </w:tcPr>
          <w:p w14:paraId="3CF9CB1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单位</w:t>
            </w:r>
          </w:p>
        </w:tc>
        <w:tc>
          <w:tcPr>
            <w:tcW w:w="844" w:type="dxa"/>
            <w:tcBorders>
              <w:top w:val="single" w:color="000000" w:sz="4" w:space="0"/>
              <w:left w:val="single" w:color="000000" w:sz="4" w:space="0"/>
              <w:bottom w:val="single" w:color="000000" w:sz="4" w:space="0"/>
              <w:right w:val="single" w:color="000000" w:sz="4" w:space="0"/>
            </w:tcBorders>
            <w:vAlign w:val="center"/>
          </w:tcPr>
          <w:p w14:paraId="63EF5D23">
            <w:pPr>
              <w:jc w:val="center"/>
              <w:rPr>
                <w:rFonts w:hint="eastAsia"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bidi="ar"/>
              </w:rPr>
              <w:t>综合单价</w:t>
            </w:r>
          </w:p>
        </w:tc>
        <w:tc>
          <w:tcPr>
            <w:tcW w:w="732" w:type="dxa"/>
            <w:tcBorders>
              <w:top w:val="single" w:color="000000" w:sz="4" w:space="0"/>
              <w:left w:val="single" w:color="000000" w:sz="4" w:space="0"/>
              <w:bottom w:val="single" w:color="000000" w:sz="4" w:space="0"/>
              <w:right w:val="single" w:color="000000" w:sz="4" w:space="0"/>
            </w:tcBorders>
            <w:vAlign w:val="center"/>
          </w:tcPr>
          <w:p w14:paraId="7CE03B71">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合价</w:t>
            </w:r>
          </w:p>
        </w:tc>
      </w:tr>
      <w:tr w14:paraId="3AD5F343">
        <w:tblPrEx>
          <w:tblCellMar>
            <w:top w:w="0" w:type="dxa"/>
            <w:left w:w="108" w:type="dxa"/>
            <w:bottom w:w="0" w:type="dxa"/>
            <w:right w:w="108" w:type="dxa"/>
          </w:tblCellMar>
        </w:tblPrEx>
        <w:trPr>
          <w:trHeight w:val="3479"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711CF52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955" w:type="dxa"/>
            <w:tcBorders>
              <w:top w:val="single" w:color="000000" w:sz="4" w:space="0"/>
              <w:left w:val="single" w:color="000000" w:sz="4" w:space="0"/>
              <w:bottom w:val="single" w:color="000000" w:sz="4" w:space="0"/>
              <w:right w:val="single" w:color="000000" w:sz="4" w:space="0"/>
            </w:tcBorders>
            <w:vAlign w:val="center"/>
          </w:tcPr>
          <w:p w14:paraId="4A5A5F3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AI大模型平台</w:t>
            </w:r>
          </w:p>
        </w:tc>
        <w:tc>
          <w:tcPr>
            <w:tcW w:w="9301" w:type="dxa"/>
            <w:tcBorders>
              <w:top w:val="single" w:color="000000" w:sz="4" w:space="0"/>
              <w:left w:val="single" w:color="000000" w:sz="4" w:space="0"/>
              <w:bottom w:val="single" w:color="000000" w:sz="4" w:space="0"/>
              <w:right w:val="single" w:color="000000" w:sz="4" w:space="0"/>
            </w:tcBorders>
            <w:vAlign w:val="center"/>
          </w:tcPr>
          <w:p w14:paraId="45E8E6D1">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整体平台支持AI模型的开发与应用，平台整体支持数据管理、模型管理、应用管理、测试管理、接口管理、各类参数的无代码配置，实现整体开发流程的规整。</w:t>
            </w:r>
          </w:p>
          <w:p w14:paraId="0E0210BD">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私有化部署AI大模型平台，支持国内国外主流开源大模型以及厂商私有大模型的部署与开发，包括不限于Deepseek、ChatGLM、Bloomz、Llama、Qwen、Baichuan等生成式AI模型（最新版）的部署、模型的开发、模型的管理、模型训练、模型服务、模型开发以及数据集的管理，通知需要适配异构算力。</w:t>
            </w:r>
          </w:p>
          <w:p w14:paraId="3FB2431F">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AI模型开发部分，提供完整的模型开发平台。提供完整的数据标注的功能，支持特征工程开发，满足整个开发流程的管理，支持常规的AI算法模型的调优，满足各类应用场景。支持TensorFlow、pyTorch、PaddlePaddle等主流开发框架。</w:t>
            </w:r>
          </w:p>
        </w:tc>
        <w:tc>
          <w:tcPr>
            <w:tcW w:w="600" w:type="dxa"/>
            <w:tcBorders>
              <w:top w:val="single" w:color="000000" w:sz="4" w:space="0"/>
              <w:left w:val="single" w:color="000000" w:sz="4" w:space="0"/>
              <w:bottom w:val="single" w:color="000000" w:sz="4" w:space="0"/>
              <w:right w:val="single" w:color="000000" w:sz="4" w:space="0"/>
            </w:tcBorders>
            <w:vAlign w:val="center"/>
          </w:tcPr>
          <w:p w14:paraId="1B6F6D3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726E70E4">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套</w:t>
            </w:r>
          </w:p>
        </w:tc>
        <w:tc>
          <w:tcPr>
            <w:tcW w:w="844" w:type="dxa"/>
            <w:tcBorders>
              <w:top w:val="single" w:color="000000" w:sz="4" w:space="0"/>
              <w:left w:val="single" w:color="000000" w:sz="4" w:space="0"/>
              <w:bottom w:val="single" w:color="000000" w:sz="4" w:space="0"/>
              <w:right w:val="single" w:color="000000" w:sz="4" w:space="0"/>
            </w:tcBorders>
            <w:vAlign w:val="center"/>
          </w:tcPr>
          <w:p w14:paraId="03E1F0F3">
            <w:pPr>
              <w:jc w:val="center"/>
              <w:textAlignment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2ECCB57A">
            <w:pPr>
              <w:jc w:val="center"/>
              <w:textAlignment w:val="center"/>
              <w:rPr>
                <w:rFonts w:hint="eastAsia" w:ascii="宋体" w:hAnsi="宋体" w:eastAsia="宋体" w:cs="宋体"/>
                <w:color w:val="auto"/>
                <w:sz w:val="24"/>
                <w:szCs w:val="24"/>
                <w:highlight w:val="none"/>
                <w:lang w:bidi="ar"/>
              </w:rPr>
            </w:pPr>
          </w:p>
        </w:tc>
      </w:tr>
      <w:tr w14:paraId="4E983E09">
        <w:tblPrEx>
          <w:tblCellMar>
            <w:top w:w="0" w:type="dxa"/>
            <w:left w:w="108" w:type="dxa"/>
            <w:bottom w:w="0" w:type="dxa"/>
            <w:right w:w="108" w:type="dxa"/>
          </w:tblCellMar>
        </w:tblPrEx>
        <w:trPr>
          <w:trHeight w:val="910" w:hRule="atLeast"/>
          <w:jc w:val="center"/>
        </w:trPr>
        <w:tc>
          <w:tcPr>
            <w:tcW w:w="13027" w:type="dxa"/>
            <w:gridSpan w:val="6"/>
            <w:tcBorders>
              <w:top w:val="single" w:color="000000" w:sz="4" w:space="0"/>
              <w:left w:val="single" w:color="000000" w:sz="4" w:space="0"/>
              <w:bottom w:val="single" w:color="000000" w:sz="4" w:space="0"/>
              <w:right w:val="single" w:color="000000" w:sz="4" w:space="0"/>
            </w:tcBorders>
            <w:vAlign w:val="center"/>
          </w:tcPr>
          <w:p w14:paraId="43AFFC72">
            <w:pPr>
              <w:jc w:val="center"/>
              <w:textAlignment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小计</w:t>
            </w:r>
          </w:p>
        </w:tc>
        <w:tc>
          <w:tcPr>
            <w:tcW w:w="732" w:type="dxa"/>
            <w:tcBorders>
              <w:top w:val="single" w:color="000000" w:sz="4" w:space="0"/>
              <w:left w:val="single" w:color="000000" w:sz="4" w:space="0"/>
              <w:bottom w:val="single" w:color="000000" w:sz="4" w:space="0"/>
              <w:right w:val="single" w:color="000000" w:sz="4" w:space="0"/>
            </w:tcBorders>
            <w:vAlign w:val="center"/>
          </w:tcPr>
          <w:p w14:paraId="31A35A85">
            <w:pPr>
              <w:jc w:val="left"/>
              <w:textAlignment w:val="center"/>
              <w:rPr>
                <w:rFonts w:hint="eastAsia" w:ascii="宋体" w:hAnsi="宋体" w:eastAsia="宋体" w:cs="宋体"/>
                <w:color w:val="auto"/>
                <w:sz w:val="24"/>
                <w:szCs w:val="24"/>
                <w:highlight w:val="none"/>
                <w:lang w:bidi="ar"/>
              </w:rPr>
            </w:pPr>
          </w:p>
        </w:tc>
      </w:tr>
      <w:tr w14:paraId="5426C7EC">
        <w:tblPrEx>
          <w:tblCellMar>
            <w:top w:w="0" w:type="dxa"/>
            <w:left w:w="108" w:type="dxa"/>
            <w:bottom w:w="0" w:type="dxa"/>
            <w:right w:w="108" w:type="dxa"/>
          </w:tblCellMar>
        </w:tblPrEx>
        <w:trPr>
          <w:trHeight w:val="550" w:hRule="atLeast"/>
          <w:jc w:val="center"/>
        </w:trPr>
        <w:tc>
          <w:tcPr>
            <w:tcW w:w="13759" w:type="dxa"/>
            <w:gridSpan w:val="7"/>
            <w:tcBorders>
              <w:top w:val="single" w:color="000000" w:sz="4" w:space="0"/>
              <w:left w:val="single" w:color="000000" w:sz="4" w:space="0"/>
              <w:bottom w:val="single" w:color="000000" w:sz="4" w:space="0"/>
              <w:right w:val="single" w:color="000000" w:sz="4" w:space="0"/>
            </w:tcBorders>
            <w:vAlign w:val="center"/>
          </w:tcPr>
          <w:p w14:paraId="3FFC3DEA">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二、智慧生产控制模块</w:t>
            </w:r>
          </w:p>
        </w:tc>
      </w:tr>
      <w:tr w14:paraId="5E3DA907">
        <w:tblPrEx>
          <w:tblCellMar>
            <w:top w:w="0" w:type="dxa"/>
            <w:left w:w="108" w:type="dxa"/>
            <w:bottom w:w="0" w:type="dxa"/>
            <w:right w:w="108" w:type="dxa"/>
          </w:tblCellMar>
        </w:tblPrEx>
        <w:trPr>
          <w:trHeight w:val="67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3219FE0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序号</w:t>
            </w:r>
          </w:p>
        </w:tc>
        <w:tc>
          <w:tcPr>
            <w:tcW w:w="955" w:type="dxa"/>
            <w:tcBorders>
              <w:top w:val="single" w:color="000000" w:sz="4" w:space="0"/>
              <w:left w:val="single" w:color="000000" w:sz="4" w:space="0"/>
              <w:bottom w:val="single" w:color="000000" w:sz="4" w:space="0"/>
              <w:right w:val="single" w:color="000000" w:sz="4" w:space="0"/>
            </w:tcBorders>
            <w:vAlign w:val="center"/>
          </w:tcPr>
          <w:p w14:paraId="0E25E070">
            <w:pPr>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名称</w:t>
            </w:r>
          </w:p>
        </w:tc>
        <w:tc>
          <w:tcPr>
            <w:tcW w:w="9301" w:type="dxa"/>
            <w:tcBorders>
              <w:top w:val="single" w:color="000000" w:sz="4" w:space="0"/>
              <w:left w:val="single" w:color="000000" w:sz="4" w:space="0"/>
              <w:bottom w:val="single" w:color="000000" w:sz="4" w:space="0"/>
              <w:right w:val="single" w:color="000000" w:sz="4" w:space="0"/>
            </w:tcBorders>
            <w:vAlign w:val="center"/>
          </w:tcPr>
          <w:p w14:paraId="26D9669D">
            <w:pPr>
              <w:ind w:firstLine="42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功能需求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41E31A8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数量</w:t>
            </w:r>
          </w:p>
        </w:tc>
        <w:tc>
          <w:tcPr>
            <w:tcW w:w="581" w:type="dxa"/>
            <w:tcBorders>
              <w:top w:val="single" w:color="000000" w:sz="4" w:space="0"/>
              <w:left w:val="single" w:color="000000" w:sz="4" w:space="0"/>
              <w:bottom w:val="single" w:color="000000" w:sz="4" w:space="0"/>
              <w:right w:val="single" w:color="000000" w:sz="4" w:space="0"/>
            </w:tcBorders>
            <w:vAlign w:val="center"/>
          </w:tcPr>
          <w:p w14:paraId="76FE6E56">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单位</w:t>
            </w:r>
          </w:p>
        </w:tc>
        <w:tc>
          <w:tcPr>
            <w:tcW w:w="844" w:type="dxa"/>
            <w:tcBorders>
              <w:top w:val="single" w:color="000000" w:sz="4" w:space="0"/>
              <w:left w:val="single" w:color="000000" w:sz="4" w:space="0"/>
              <w:bottom w:val="single" w:color="000000" w:sz="4" w:space="0"/>
              <w:right w:val="single" w:color="000000" w:sz="4" w:space="0"/>
            </w:tcBorders>
            <w:vAlign w:val="center"/>
          </w:tcPr>
          <w:p w14:paraId="4F99726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综合单价</w:t>
            </w:r>
          </w:p>
        </w:tc>
        <w:tc>
          <w:tcPr>
            <w:tcW w:w="732" w:type="dxa"/>
            <w:tcBorders>
              <w:top w:val="single" w:color="000000" w:sz="4" w:space="0"/>
              <w:left w:val="single" w:color="000000" w:sz="4" w:space="0"/>
              <w:bottom w:val="single" w:color="000000" w:sz="4" w:space="0"/>
              <w:right w:val="single" w:color="000000" w:sz="4" w:space="0"/>
            </w:tcBorders>
            <w:vAlign w:val="center"/>
          </w:tcPr>
          <w:p w14:paraId="2402D27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合价</w:t>
            </w:r>
          </w:p>
        </w:tc>
      </w:tr>
      <w:tr w14:paraId="0FC9096A">
        <w:tblPrEx>
          <w:tblCellMar>
            <w:top w:w="0" w:type="dxa"/>
            <w:left w:w="108" w:type="dxa"/>
            <w:bottom w:w="0" w:type="dxa"/>
            <w:right w:w="108" w:type="dxa"/>
          </w:tblCellMar>
        </w:tblPrEx>
        <w:trPr>
          <w:trHeight w:val="9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6D89E67C">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955" w:type="dxa"/>
            <w:tcBorders>
              <w:top w:val="single" w:color="000000" w:sz="4" w:space="0"/>
              <w:left w:val="single" w:color="000000" w:sz="4" w:space="0"/>
              <w:bottom w:val="single" w:color="000000" w:sz="4" w:space="0"/>
              <w:right w:val="single" w:color="000000" w:sz="4" w:space="0"/>
            </w:tcBorders>
            <w:vAlign w:val="center"/>
          </w:tcPr>
          <w:p w14:paraId="58F8D45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一期原水配水系统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3DF37232">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559A35E3">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0D6A6676">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对单台提升泵组实现各类运行模式切换、一步化开/停机、基于不同目标参数的精准控制等功能；对多台提升泵组，根据提升泵站智能搭配优化模型和提升泵站自动平滑切换模型的计算结果实现对提升泵站内的泵组智能联调联控功能。</w:t>
            </w:r>
          </w:p>
        </w:tc>
        <w:tc>
          <w:tcPr>
            <w:tcW w:w="600" w:type="dxa"/>
            <w:tcBorders>
              <w:top w:val="single" w:color="000000" w:sz="4" w:space="0"/>
              <w:left w:val="single" w:color="000000" w:sz="4" w:space="0"/>
              <w:bottom w:val="single" w:color="000000" w:sz="4" w:space="0"/>
              <w:right w:val="single" w:color="000000" w:sz="4" w:space="0"/>
            </w:tcBorders>
            <w:vAlign w:val="center"/>
          </w:tcPr>
          <w:p w14:paraId="1AF71DF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4A09F99D">
            <w:pPr>
              <w:pStyle w:val="2"/>
              <w:spacing w:line="240" w:lineRule="auto"/>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699A2B5F">
            <w:pPr>
              <w:pStyle w:val="2"/>
              <w:spacing w:line="240" w:lineRule="auto"/>
              <w:ind w:firstLine="0"/>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68D537C">
            <w:pPr>
              <w:pStyle w:val="2"/>
              <w:spacing w:line="240" w:lineRule="auto"/>
              <w:ind w:firstLine="0"/>
              <w:jc w:val="center"/>
              <w:rPr>
                <w:rFonts w:hint="eastAsia" w:ascii="宋体" w:hAnsi="宋体" w:eastAsia="宋体" w:cs="宋体"/>
                <w:color w:val="auto"/>
                <w:sz w:val="24"/>
                <w:szCs w:val="24"/>
                <w:highlight w:val="none"/>
                <w:lang w:bidi="ar"/>
              </w:rPr>
            </w:pPr>
          </w:p>
        </w:tc>
      </w:tr>
      <w:tr w14:paraId="14125DD1">
        <w:tblPrEx>
          <w:tblCellMar>
            <w:top w:w="0" w:type="dxa"/>
            <w:left w:w="108" w:type="dxa"/>
            <w:bottom w:w="0" w:type="dxa"/>
            <w:right w:w="108" w:type="dxa"/>
          </w:tblCellMar>
        </w:tblPrEx>
        <w:trPr>
          <w:trHeight w:val="9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6FB1FD7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955" w:type="dxa"/>
            <w:tcBorders>
              <w:top w:val="single" w:color="000000" w:sz="4" w:space="0"/>
              <w:left w:val="single" w:color="000000" w:sz="4" w:space="0"/>
              <w:bottom w:val="single" w:color="000000" w:sz="4" w:space="0"/>
              <w:right w:val="single" w:color="000000" w:sz="4" w:space="0"/>
            </w:tcBorders>
            <w:vAlign w:val="center"/>
          </w:tcPr>
          <w:p w14:paraId="5746A0D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二期原水配水系统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4BC9D1A8">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2ED180BC">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7587C79E">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3.根据控制指令对工艺系统配套阀门进行自动调节，以满足生产需求。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0511582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4EB451E0">
            <w:pPr>
              <w:pStyle w:val="2"/>
              <w:spacing w:line="240" w:lineRule="auto"/>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66F27630">
            <w:pPr>
              <w:pStyle w:val="2"/>
              <w:spacing w:line="240" w:lineRule="auto"/>
              <w:ind w:firstLine="0"/>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6181E98A">
            <w:pPr>
              <w:pStyle w:val="2"/>
              <w:spacing w:line="240" w:lineRule="auto"/>
              <w:ind w:firstLine="0"/>
              <w:jc w:val="center"/>
              <w:rPr>
                <w:rFonts w:hint="eastAsia" w:ascii="宋体" w:hAnsi="宋体" w:eastAsia="宋体" w:cs="宋体"/>
                <w:color w:val="auto"/>
                <w:sz w:val="24"/>
                <w:szCs w:val="24"/>
                <w:highlight w:val="none"/>
                <w:lang w:bidi="ar"/>
              </w:rPr>
            </w:pPr>
          </w:p>
        </w:tc>
      </w:tr>
      <w:tr w14:paraId="0402A995">
        <w:tblPrEx>
          <w:tblCellMar>
            <w:top w:w="0" w:type="dxa"/>
            <w:left w:w="108" w:type="dxa"/>
            <w:bottom w:w="0" w:type="dxa"/>
            <w:right w:w="108" w:type="dxa"/>
          </w:tblCellMar>
        </w:tblPrEx>
        <w:trPr>
          <w:trHeight w:val="2827"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FBB558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955" w:type="dxa"/>
            <w:tcBorders>
              <w:top w:val="single" w:color="000000" w:sz="4" w:space="0"/>
              <w:left w:val="single" w:color="000000" w:sz="4" w:space="0"/>
              <w:bottom w:val="single" w:color="000000" w:sz="4" w:space="0"/>
              <w:right w:val="single" w:color="000000" w:sz="4" w:space="0"/>
            </w:tcBorders>
            <w:vAlign w:val="center"/>
          </w:tcPr>
          <w:p w14:paraId="3269E13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投矾系统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04C8CC1F">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4ED89C1D">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100B1AA5">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3.结合各类分析评估结果，分别对矾液池和投加泵实现不同的功能，实现混凝剂加药的精细化和稳定出水水质；根据设定参数，对投加泵实现各类控制模式切换、投加模式切换等功能。</w:t>
            </w:r>
          </w:p>
        </w:tc>
        <w:tc>
          <w:tcPr>
            <w:tcW w:w="600" w:type="dxa"/>
            <w:tcBorders>
              <w:top w:val="single" w:color="000000" w:sz="4" w:space="0"/>
              <w:left w:val="single" w:color="000000" w:sz="4" w:space="0"/>
              <w:bottom w:val="single" w:color="000000" w:sz="4" w:space="0"/>
              <w:right w:val="single" w:color="000000" w:sz="4" w:space="0"/>
            </w:tcBorders>
            <w:vAlign w:val="center"/>
          </w:tcPr>
          <w:p w14:paraId="5F9CAC7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691E967A">
            <w:pPr>
              <w:pStyle w:val="2"/>
              <w:spacing w:line="240" w:lineRule="auto"/>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57F1E72D">
            <w:pPr>
              <w:pStyle w:val="2"/>
              <w:spacing w:line="240" w:lineRule="auto"/>
              <w:ind w:firstLine="0"/>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A0902E0">
            <w:pPr>
              <w:pStyle w:val="2"/>
              <w:spacing w:line="240" w:lineRule="auto"/>
              <w:ind w:firstLine="0"/>
              <w:jc w:val="center"/>
              <w:rPr>
                <w:rFonts w:hint="eastAsia" w:ascii="宋体" w:hAnsi="宋体" w:eastAsia="宋体" w:cs="宋体"/>
                <w:color w:val="auto"/>
                <w:sz w:val="24"/>
                <w:szCs w:val="24"/>
                <w:highlight w:val="none"/>
                <w:lang w:bidi="ar"/>
              </w:rPr>
            </w:pPr>
          </w:p>
        </w:tc>
      </w:tr>
      <w:tr w14:paraId="428FFD98">
        <w:tblPrEx>
          <w:tblCellMar>
            <w:top w:w="0" w:type="dxa"/>
            <w:left w:w="108" w:type="dxa"/>
            <w:bottom w:w="0" w:type="dxa"/>
            <w:right w:w="108" w:type="dxa"/>
          </w:tblCellMar>
        </w:tblPrEx>
        <w:trPr>
          <w:trHeight w:val="295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F4C43B2">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955" w:type="dxa"/>
            <w:tcBorders>
              <w:top w:val="single" w:color="000000" w:sz="4" w:space="0"/>
              <w:left w:val="single" w:color="000000" w:sz="4" w:space="0"/>
              <w:bottom w:val="single" w:color="000000" w:sz="4" w:space="0"/>
              <w:right w:val="single" w:color="000000" w:sz="4" w:space="0"/>
            </w:tcBorders>
            <w:vAlign w:val="center"/>
          </w:tcPr>
          <w:p w14:paraId="4FBB536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次氯酸钠投加系统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00F7ECD6">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40B65E4F">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26CB604C">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利用现场PLC提供的投加泵运行控制、运行模式切换、初步异常判定等预设好的标准数据接口，结合各类分析评估结果，分别对次氯酸钠储液罐和投加泵实现不同的功能，保障出厂水水质稳定，同时最大限度降低次氯酸钠投加量；根据设定参数，对投加泵实现各类控制模式切换、投加模式切换等功能。</w:t>
            </w:r>
          </w:p>
        </w:tc>
        <w:tc>
          <w:tcPr>
            <w:tcW w:w="600" w:type="dxa"/>
            <w:tcBorders>
              <w:top w:val="single" w:color="000000" w:sz="4" w:space="0"/>
              <w:left w:val="single" w:color="000000" w:sz="4" w:space="0"/>
              <w:bottom w:val="single" w:color="000000" w:sz="4" w:space="0"/>
              <w:right w:val="single" w:color="000000" w:sz="4" w:space="0"/>
            </w:tcBorders>
            <w:vAlign w:val="center"/>
          </w:tcPr>
          <w:p w14:paraId="4203564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45CAFDF7">
            <w:pPr>
              <w:pStyle w:val="2"/>
              <w:spacing w:line="240" w:lineRule="auto"/>
              <w:ind w:firstLine="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4109C9C5">
            <w:pPr>
              <w:pStyle w:val="2"/>
              <w:spacing w:line="240" w:lineRule="auto"/>
              <w:ind w:firstLine="0"/>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62621EE1">
            <w:pPr>
              <w:pStyle w:val="2"/>
              <w:spacing w:line="240" w:lineRule="auto"/>
              <w:ind w:firstLine="0"/>
              <w:jc w:val="center"/>
              <w:rPr>
                <w:rFonts w:hint="eastAsia" w:ascii="宋体" w:hAnsi="宋体" w:eastAsia="宋体" w:cs="宋体"/>
                <w:color w:val="auto"/>
                <w:sz w:val="24"/>
                <w:szCs w:val="24"/>
                <w:highlight w:val="none"/>
                <w:lang w:bidi="ar"/>
              </w:rPr>
            </w:pPr>
          </w:p>
        </w:tc>
      </w:tr>
      <w:tr w14:paraId="5D488728">
        <w:tblPrEx>
          <w:tblCellMar>
            <w:top w:w="0" w:type="dxa"/>
            <w:left w:w="108" w:type="dxa"/>
            <w:bottom w:w="0" w:type="dxa"/>
            <w:right w:w="108" w:type="dxa"/>
          </w:tblCellMar>
        </w:tblPrEx>
        <w:trPr>
          <w:trHeight w:val="2645"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5BF8D07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955" w:type="dxa"/>
            <w:tcBorders>
              <w:top w:val="single" w:color="000000" w:sz="4" w:space="0"/>
              <w:left w:val="single" w:color="000000" w:sz="4" w:space="0"/>
              <w:bottom w:val="single" w:color="000000" w:sz="4" w:space="0"/>
              <w:right w:val="single" w:color="000000" w:sz="4" w:space="0"/>
            </w:tcBorders>
            <w:vAlign w:val="center"/>
          </w:tcPr>
          <w:p w14:paraId="170D0EDA">
            <w:pPr>
              <w:ind w:firstLine="0"/>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絮凝沉淀池系统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454C90AD">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0262975A">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5FE6132B">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利用现场PLC提供的排泥车一步化运行控制、排泥车运行状态切换、初步异常判定等预设好的标准数据接口，结合各类分析评估结果，实现沉淀池自动排泥周期和强度优化的功能，保证科学合理运营和待滤水水质安全可靠。</w:t>
            </w:r>
          </w:p>
        </w:tc>
        <w:tc>
          <w:tcPr>
            <w:tcW w:w="600" w:type="dxa"/>
            <w:tcBorders>
              <w:top w:val="single" w:color="000000" w:sz="4" w:space="0"/>
              <w:left w:val="single" w:color="000000" w:sz="4" w:space="0"/>
              <w:bottom w:val="single" w:color="000000" w:sz="4" w:space="0"/>
              <w:right w:val="single" w:color="000000" w:sz="4" w:space="0"/>
            </w:tcBorders>
            <w:vAlign w:val="center"/>
          </w:tcPr>
          <w:p w14:paraId="1346484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060BE85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51E1C55C">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FDCC1A9">
            <w:pPr>
              <w:jc w:val="center"/>
              <w:rPr>
                <w:rFonts w:hint="eastAsia" w:ascii="宋体" w:hAnsi="宋体" w:eastAsia="宋体" w:cs="宋体"/>
                <w:color w:val="auto"/>
                <w:sz w:val="24"/>
                <w:szCs w:val="24"/>
                <w:highlight w:val="none"/>
                <w:lang w:bidi="ar"/>
              </w:rPr>
            </w:pPr>
          </w:p>
        </w:tc>
      </w:tr>
      <w:tr w14:paraId="2A8EE2BC">
        <w:tblPrEx>
          <w:tblCellMar>
            <w:top w:w="0" w:type="dxa"/>
            <w:left w:w="108" w:type="dxa"/>
            <w:bottom w:w="0" w:type="dxa"/>
            <w:right w:w="108" w:type="dxa"/>
          </w:tblCellMar>
        </w:tblPrEx>
        <w:trPr>
          <w:trHeight w:val="3327"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F564B3E">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955" w:type="dxa"/>
            <w:tcBorders>
              <w:top w:val="single" w:color="000000" w:sz="4" w:space="0"/>
              <w:left w:val="single" w:color="000000" w:sz="4" w:space="0"/>
              <w:bottom w:val="single" w:color="000000" w:sz="4" w:space="0"/>
              <w:right w:val="single" w:color="000000" w:sz="4" w:space="0"/>
            </w:tcBorders>
            <w:vAlign w:val="center"/>
          </w:tcPr>
          <w:p w14:paraId="7302FB3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砂滤池系统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2F02B863">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175997BC">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20CC7FF9">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根据设定参数，对单个滤池实现各类运行模式切换、自动滤水恒液位控制、洗池需求提出等功能；基于单格砂滤池健康度评估、砂滤池组保障度评估、配水量分析、水质评估预测等模型分析结果，对滤池组进行联调联控，自主分配滤池产能、协调洗池队列、切换反冲洗触发条件、智能调节反冲洗强度和时长、调配反冲洗设备、高效运行空压机系统等。</w:t>
            </w:r>
          </w:p>
        </w:tc>
        <w:tc>
          <w:tcPr>
            <w:tcW w:w="600" w:type="dxa"/>
            <w:tcBorders>
              <w:top w:val="single" w:color="000000" w:sz="4" w:space="0"/>
              <w:left w:val="single" w:color="000000" w:sz="4" w:space="0"/>
              <w:bottom w:val="single" w:color="000000" w:sz="4" w:space="0"/>
              <w:right w:val="single" w:color="000000" w:sz="4" w:space="0"/>
            </w:tcBorders>
            <w:vAlign w:val="center"/>
          </w:tcPr>
          <w:p w14:paraId="76B6AF9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129475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090A60EF">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82370FA">
            <w:pPr>
              <w:jc w:val="center"/>
              <w:rPr>
                <w:rFonts w:hint="eastAsia" w:ascii="宋体" w:hAnsi="宋体" w:eastAsia="宋体" w:cs="宋体"/>
                <w:color w:val="auto"/>
                <w:sz w:val="24"/>
                <w:szCs w:val="24"/>
                <w:highlight w:val="none"/>
                <w:lang w:bidi="ar"/>
              </w:rPr>
            </w:pPr>
          </w:p>
        </w:tc>
      </w:tr>
      <w:tr w14:paraId="0B1337EF">
        <w:tblPrEx>
          <w:tblCellMar>
            <w:top w:w="0" w:type="dxa"/>
            <w:left w:w="108" w:type="dxa"/>
            <w:bottom w:w="0" w:type="dxa"/>
            <w:right w:w="108" w:type="dxa"/>
          </w:tblCellMar>
        </w:tblPrEx>
        <w:trPr>
          <w:trHeight w:val="1865"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57CA3578">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w:t>
            </w:r>
          </w:p>
        </w:tc>
        <w:tc>
          <w:tcPr>
            <w:tcW w:w="955" w:type="dxa"/>
            <w:tcBorders>
              <w:top w:val="single" w:color="000000" w:sz="4" w:space="0"/>
              <w:left w:val="single" w:color="000000" w:sz="4" w:space="0"/>
              <w:bottom w:val="single" w:color="000000" w:sz="4" w:space="0"/>
              <w:right w:val="single" w:color="000000" w:sz="4" w:space="0"/>
            </w:tcBorders>
            <w:vAlign w:val="center"/>
          </w:tcPr>
          <w:p w14:paraId="7D20F17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超滤膜系统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06B29840">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04D94D60">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tc>
        <w:tc>
          <w:tcPr>
            <w:tcW w:w="600" w:type="dxa"/>
            <w:tcBorders>
              <w:top w:val="single" w:color="000000" w:sz="4" w:space="0"/>
              <w:left w:val="single" w:color="000000" w:sz="4" w:space="0"/>
              <w:bottom w:val="single" w:color="000000" w:sz="4" w:space="0"/>
              <w:right w:val="single" w:color="000000" w:sz="4" w:space="0"/>
            </w:tcBorders>
            <w:vAlign w:val="center"/>
          </w:tcPr>
          <w:p w14:paraId="0163F2D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64EA909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3B15FD23">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4BB5820">
            <w:pPr>
              <w:jc w:val="center"/>
              <w:rPr>
                <w:rFonts w:hint="eastAsia" w:ascii="宋体" w:hAnsi="宋体" w:eastAsia="宋体" w:cs="宋体"/>
                <w:color w:val="auto"/>
                <w:sz w:val="24"/>
                <w:szCs w:val="24"/>
                <w:highlight w:val="none"/>
                <w:lang w:bidi="ar"/>
              </w:rPr>
            </w:pPr>
          </w:p>
        </w:tc>
      </w:tr>
      <w:tr w14:paraId="23D03DA0">
        <w:tblPrEx>
          <w:tblCellMar>
            <w:top w:w="0" w:type="dxa"/>
            <w:left w:w="108" w:type="dxa"/>
            <w:bottom w:w="0" w:type="dxa"/>
            <w:right w:w="108" w:type="dxa"/>
          </w:tblCellMar>
        </w:tblPrEx>
        <w:trPr>
          <w:trHeight w:val="2222"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212BAC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w:t>
            </w:r>
          </w:p>
        </w:tc>
        <w:tc>
          <w:tcPr>
            <w:tcW w:w="955" w:type="dxa"/>
            <w:tcBorders>
              <w:top w:val="single" w:color="000000" w:sz="4" w:space="0"/>
              <w:left w:val="single" w:color="000000" w:sz="4" w:space="0"/>
              <w:bottom w:val="single" w:color="000000" w:sz="4" w:space="0"/>
              <w:right w:val="single" w:color="000000" w:sz="4" w:space="0"/>
            </w:tcBorders>
            <w:vAlign w:val="center"/>
          </w:tcPr>
          <w:p w14:paraId="2D8866E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清水池系统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4E9A6EAA">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14CB8112">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51F98BE2">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3.根据控制指令对工艺系统配套阀门进行自动调节，以满足生产需求。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290B47B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0FA85BA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1B10F834">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61B7BCC4">
            <w:pPr>
              <w:jc w:val="center"/>
              <w:rPr>
                <w:rFonts w:hint="eastAsia" w:ascii="宋体" w:hAnsi="宋体" w:eastAsia="宋体" w:cs="宋体"/>
                <w:color w:val="auto"/>
                <w:sz w:val="24"/>
                <w:szCs w:val="24"/>
                <w:highlight w:val="none"/>
                <w:lang w:bidi="ar"/>
              </w:rPr>
            </w:pPr>
          </w:p>
        </w:tc>
      </w:tr>
      <w:tr w14:paraId="13AC511A">
        <w:tblPrEx>
          <w:tblCellMar>
            <w:top w:w="0" w:type="dxa"/>
            <w:left w:w="108" w:type="dxa"/>
            <w:bottom w:w="0" w:type="dxa"/>
            <w:right w:w="108" w:type="dxa"/>
          </w:tblCellMar>
        </w:tblPrEx>
        <w:trPr>
          <w:trHeight w:val="407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02192BF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w:t>
            </w:r>
          </w:p>
        </w:tc>
        <w:tc>
          <w:tcPr>
            <w:tcW w:w="955" w:type="dxa"/>
            <w:tcBorders>
              <w:top w:val="single" w:color="000000" w:sz="4" w:space="0"/>
              <w:left w:val="single" w:color="000000" w:sz="4" w:space="0"/>
              <w:bottom w:val="single" w:color="000000" w:sz="4" w:space="0"/>
              <w:right w:val="single" w:color="000000" w:sz="4" w:space="0"/>
            </w:tcBorders>
            <w:vAlign w:val="center"/>
          </w:tcPr>
          <w:p w14:paraId="0F2A766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送水泵站系统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2931D48C">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13803909">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p>
          <w:p w14:paraId="16AB2D8C">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综合各类分析结果，对单台送水泵组实现各类运行模式切换、一步化开/停机、基于不同目标参数的精准控制等功能；对多台送水泵组，根据送水泵站智能搭配优化模型和送水泵站自动平滑切换模型的计算结果实现对送水泵站内的泵组智能联调联控功能。</w:t>
            </w:r>
          </w:p>
        </w:tc>
        <w:tc>
          <w:tcPr>
            <w:tcW w:w="600" w:type="dxa"/>
            <w:tcBorders>
              <w:top w:val="single" w:color="000000" w:sz="4" w:space="0"/>
              <w:left w:val="single" w:color="000000" w:sz="4" w:space="0"/>
              <w:bottom w:val="single" w:color="000000" w:sz="4" w:space="0"/>
              <w:right w:val="single" w:color="000000" w:sz="4" w:space="0"/>
            </w:tcBorders>
            <w:vAlign w:val="center"/>
          </w:tcPr>
          <w:p w14:paraId="3C9B8E9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578533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3AE6D9B8">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7F2E9C8">
            <w:pPr>
              <w:jc w:val="center"/>
              <w:rPr>
                <w:rFonts w:hint="eastAsia" w:ascii="宋体" w:hAnsi="宋体" w:eastAsia="宋体" w:cs="宋体"/>
                <w:color w:val="auto"/>
                <w:sz w:val="24"/>
                <w:szCs w:val="24"/>
                <w:highlight w:val="none"/>
                <w:lang w:bidi="ar"/>
              </w:rPr>
            </w:pPr>
          </w:p>
        </w:tc>
      </w:tr>
      <w:tr w14:paraId="4C2AE14B">
        <w:tblPrEx>
          <w:tblCellMar>
            <w:top w:w="0" w:type="dxa"/>
            <w:left w:w="108" w:type="dxa"/>
            <w:bottom w:w="0" w:type="dxa"/>
            <w:right w:w="108" w:type="dxa"/>
          </w:tblCellMar>
        </w:tblPrEx>
        <w:trPr>
          <w:trHeight w:val="3523"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5307F0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10</w:t>
            </w:r>
          </w:p>
        </w:tc>
        <w:tc>
          <w:tcPr>
            <w:tcW w:w="955" w:type="dxa"/>
            <w:tcBorders>
              <w:top w:val="single" w:color="000000" w:sz="4" w:space="0"/>
              <w:left w:val="single" w:color="000000" w:sz="4" w:space="0"/>
              <w:bottom w:val="single" w:color="000000" w:sz="4" w:space="0"/>
              <w:right w:val="single" w:color="000000" w:sz="4" w:space="0"/>
            </w:tcBorders>
            <w:vAlign w:val="center"/>
          </w:tcPr>
          <w:p w14:paraId="19E86EA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污泥处理系统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776E4192">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1.建立数据模型，建立相应的数据仓库和专家库，数据初始化。利用先进、成熟的模型算法优化水处理过程，并为现场提供各类数据限值计算、异常诊断、产能评估和高级控制等功能；</w:t>
            </w:r>
          </w:p>
          <w:p w14:paraId="626A32C2">
            <w:pPr>
              <w:textAlignment w:val="center"/>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2.对整个工艺段的全过程综合管控，包括环境因素、人员因素、设备状态等作出综合判断</w:t>
            </w:r>
            <w:r>
              <w:rPr>
                <w:rFonts w:hint="eastAsia" w:ascii="宋体" w:hAnsi="宋体" w:eastAsia="宋体" w:cs="宋体"/>
                <w:color w:val="auto"/>
                <w:sz w:val="24"/>
                <w:szCs w:val="24"/>
                <w:highlight w:val="none"/>
                <w:lang w:eastAsia="zh-CN" w:bidi="ar"/>
              </w:rPr>
              <w:t>。</w:t>
            </w:r>
          </w:p>
        </w:tc>
        <w:tc>
          <w:tcPr>
            <w:tcW w:w="600" w:type="dxa"/>
            <w:tcBorders>
              <w:top w:val="single" w:color="000000" w:sz="4" w:space="0"/>
              <w:left w:val="single" w:color="000000" w:sz="4" w:space="0"/>
              <w:bottom w:val="single" w:color="000000" w:sz="4" w:space="0"/>
              <w:right w:val="single" w:color="000000" w:sz="4" w:space="0"/>
            </w:tcBorders>
            <w:vAlign w:val="center"/>
          </w:tcPr>
          <w:p w14:paraId="439D5315">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51D7AC91">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2D6E7772">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B5CEE19">
            <w:pPr>
              <w:jc w:val="center"/>
              <w:rPr>
                <w:rFonts w:hint="eastAsia" w:ascii="宋体" w:hAnsi="宋体" w:eastAsia="宋体" w:cs="宋体"/>
                <w:color w:val="auto"/>
                <w:sz w:val="24"/>
                <w:szCs w:val="24"/>
                <w:highlight w:val="none"/>
                <w:lang w:bidi="ar"/>
              </w:rPr>
            </w:pPr>
          </w:p>
        </w:tc>
      </w:tr>
      <w:tr w14:paraId="7BB81B5B">
        <w:tblPrEx>
          <w:tblCellMar>
            <w:top w:w="0" w:type="dxa"/>
            <w:left w:w="108" w:type="dxa"/>
            <w:bottom w:w="0" w:type="dxa"/>
            <w:right w:w="108" w:type="dxa"/>
          </w:tblCellMar>
        </w:tblPrEx>
        <w:trPr>
          <w:trHeight w:val="5852"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F96D78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11</w:t>
            </w:r>
          </w:p>
        </w:tc>
        <w:tc>
          <w:tcPr>
            <w:tcW w:w="955" w:type="dxa"/>
            <w:tcBorders>
              <w:top w:val="single" w:color="000000" w:sz="4" w:space="0"/>
              <w:left w:val="single" w:color="000000" w:sz="4" w:space="0"/>
              <w:bottom w:val="single" w:color="000000" w:sz="4" w:space="0"/>
              <w:right w:val="single" w:color="000000" w:sz="4" w:space="0"/>
            </w:tcBorders>
            <w:vAlign w:val="center"/>
          </w:tcPr>
          <w:p w14:paraId="31E7893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水厂工艺智慧联动系统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1BB7F9B7">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利用AI平台，按上述智慧水厂要求，研究先进、成熟的AI大模型算法，满足智慧水厂控制管理要求，以水厂历史运行工艺数据、设备数据等为底层驱动，结合各工艺系统产能分析评估结果，采用流体力学、机器学习、规则学习等建立各类算法模型，实时对调度水量和水质情况进行预测分析，实现供水-制水-原水之间的水量平衡调度，同时制定每个环节的水质评估目标，通过水量和水质目标对关键工艺系统进行建模与调参优化，为厂区生产工艺各流程控制决策提供科学依据，系统具备功能包括：原水输送时滞分析、多厂共源配水量预测分析、供水量分析、水厂产线生产能力与负荷评估模型、配水分析算法模型、产线水量分配模型、水质评估预测模型</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系统要求实现不限于以下指标和目标：</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1.程控率≥98%；</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2.程控连续运转率≥98%；</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3.针对出厂管调度压力指令事件进行生产线优化运行的仿真计算。计算结果包括总制水量、各产线的分配流量、各产线及各工艺段水量连接关系表达等；</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4.当厂区出现生产性试验和各类突发应急事件时，可采用人工干预机制，手动设定包括但不仅限于供水量、各工艺段配水量、产线配水量和各工艺是否启用等，模型可根据人工自定义参数，重新推演出计算结果，并由人工决策是否执行；</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5.延时回滞保护机制：针对水量的变化特性，采取相应策略对其变化周期和范围进行智能自主识别，避免当水量发生短时间阶跃跳变或测量正常误差等情况时，导致不必要的水量计算结果频繁调整，保证各工艺段生产稳定性。</w:t>
            </w:r>
          </w:p>
        </w:tc>
        <w:tc>
          <w:tcPr>
            <w:tcW w:w="600" w:type="dxa"/>
            <w:tcBorders>
              <w:top w:val="single" w:color="000000" w:sz="4" w:space="0"/>
              <w:left w:val="single" w:color="000000" w:sz="4" w:space="0"/>
              <w:bottom w:val="single" w:color="000000" w:sz="4" w:space="0"/>
              <w:right w:val="single" w:color="000000" w:sz="4" w:space="0"/>
            </w:tcBorders>
            <w:vAlign w:val="center"/>
          </w:tcPr>
          <w:p w14:paraId="4C6EAF6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26E356B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4B26E277">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3948674C">
            <w:pPr>
              <w:jc w:val="center"/>
              <w:rPr>
                <w:rFonts w:hint="eastAsia" w:ascii="宋体" w:hAnsi="宋体" w:eastAsia="宋体" w:cs="宋体"/>
                <w:color w:val="auto"/>
                <w:sz w:val="24"/>
                <w:szCs w:val="24"/>
                <w:highlight w:val="none"/>
                <w:lang w:bidi="ar"/>
              </w:rPr>
            </w:pPr>
          </w:p>
        </w:tc>
      </w:tr>
      <w:tr w14:paraId="66AF19F2">
        <w:tblPrEx>
          <w:tblCellMar>
            <w:top w:w="0" w:type="dxa"/>
            <w:left w:w="108" w:type="dxa"/>
            <w:bottom w:w="0" w:type="dxa"/>
            <w:right w:w="108" w:type="dxa"/>
          </w:tblCellMar>
        </w:tblPrEx>
        <w:trPr>
          <w:trHeight w:val="1379"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221258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12</w:t>
            </w:r>
          </w:p>
        </w:tc>
        <w:tc>
          <w:tcPr>
            <w:tcW w:w="955" w:type="dxa"/>
            <w:tcBorders>
              <w:top w:val="single" w:color="000000" w:sz="4" w:space="0"/>
              <w:left w:val="single" w:color="000000" w:sz="4" w:space="0"/>
              <w:bottom w:val="single" w:color="000000" w:sz="4" w:space="0"/>
              <w:right w:val="single" w:color="000000" w:sz="4" w:space="0"/>
            </w:tcBorders>
            <w:vAlign w:val="center"/>
          </w:tcPr>
          <w:p w14:paraId="062DBB7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生产交互控制系统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7FDBF90D">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该系统是智慧水厂控制系统的主要人机交互界面，实现（全厂各工艺）参数设置、数据展示和设备控制功能，实现厂级统一监控。支持实时运行画面显示、数据在线分析、事件管理、日志功能、场景化运行功能、后台管理和维护、用户权限设置、系统数据备份、视频实时和回放查看、管理驾驶舱页面等功能。</w:t>
            </w:r>
          </w:p>
        </w:tc>
        <w:tc>
          <w:tcPr>
            <w:tcW w:w="600" w:type="dxa"/>
            <w:tcBorders>
              <w:top w:val="single" w:color="000000" w:sz="4" w:space="0"/>
              <w:left w:val="single" w:color="000000" w:sz="4" w:space="0"/>
              <w:bottom w:val="single" w:color="000000" w:sz="4" w:space="0"/>
              <w:right w:val="single" w:color="000000" w:sz="4" w:space="0"/>
            </w:tcBorders>
            <w:vAlign w:val="center"/>
          </w:tcPr>
          <w:p w14:paraId="059D66E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68D41BF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7F23C23A">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211EC1F0">
            <w:pPr>
              <w:jc w:val="center"/>
              <w:rPr>
                <w:rFonts w:hint="eastAsia" w:ascii="宋体" w:hAnsi="宋体" w:eastAsia="宋体" w:cs="宋体"/>
                <w:color w:val="auto"/>
                <w:sz w:val="24"/>
                <w:szCs w:val="24"/>
                <w:highlight w:val="none"/>
                <w:lang w:bidi="ar"/>
              </w:rPr>
            </w:pPr>
          </w:p>
        </w:tc>
      </w:tr>
      <w:tr w14:paraId="66A22FC5">
        <w:tblPrEx>
          <w:tblCellMar>
            <w:top w:w="0" w:type="dxa"/>
            <w:left w:w="108" w:type="dxa"/>
            <w:bottom w:w="0" w:type="dxa"/>
            <w:right w:w="108" w:type="dxa"/>
          </w:tblCellMar>
        </w:tblPrEx>
        <w:trPr>
          <w:trHeight w:val="600" w:hRule="atLeast"/>
          <w:jc w:val="center"/>
        </w:trPr>
        <w:tc>
          <w:tcPr>
            <w:tcW w:w="13027" w:type="dxa"/>
            <w:gridSpan w:val="6"/>
            <w:tcBorders>
              <w:top w:val="single" w:color="000000" w:sz="4" w:space="0"/>
              <w:left w:val="single" w:color="000000" w:sz="4" w:space="0"/>
              <w:bottom w:val="single" w:color="000000" w:sz="4" w:space="0"/>
              <w:right w:val="single" w:color="000000" w:sz="4" w:space="0"/>
            </w:tcBorders>
            <w:vAlign w:val="center"/>
          </w:tcPr>
          <w:p w14:paraId="35F48272">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小计</w:t>
            </w:r>
          </w:p>
        </w:tc>
        <w:tc>
          <w:tcPr>
            <w:tcW w:w="732" w:type="dxa"/>
            <w:tcBorders>
              <w:top w:val="single" w:color="000000" w:sz="4" w:space="0"/>
              <w:left w:val="single" w:color="000000" w:sz="4" w:space="0"/>
              <w:bottom w:val="single" w:color="000000" w:sz="4" w:space="0"/>
              <w:right w:val="single" w:color="000000" w:sz="4" w:space="0"/>
            </w:tcBorders>
            <w:vAlign w:val="center"/>
          </w:tcPr>
          <w:p w14:paraId="032135D8">
            <w:pPr>
              <w:jc w:val="center"/>
              <w:rPr>
                <w:rFonts w:hint="eastAsia" w:ascii="宋体" w:hAnsi="宋体" w:eastAsia="宋体" w:cs="宋体"/>
                <w:color w:val="auto"/>
                <w:sz w:val="24"/>
                <w:szCs w:val="24"/>
                <w:highlight w:val="none"/>
                <w:lang w:bidi="ar"/>
              </w:rPr>
            </w:pPr>
          </w:p>
        </w:tc>
      </w:tr>
      <w:tr w14:paraId="78664729">
        <w:tblPrEx>
          <w:tblCellMar>
            <w:top w:w="0" w:type="dxa"/>
            <w:left w:w="108" w:type="dxa"/>
            <w:bottom w:w="0" w:type="dxa"/>
            <w:right w:w="108" w:type="dxa"/>
          </w:tblCellMar>
        </w:tblPrEx>
        <w:trPr>
          <w:trHeight w:val="674" w:hRule="atLeast"/>
          <w:jc w:val="center"/>
        </w:trPr>
        <w:tc>
          <w:tcPr>
            <w:tcW w:w="13759" w:type="dxa"/>
            <w:gridSpan w:val="7"/>
            <w:tcBorders>
              <w:top w:val="single" w:color="000000" w:sz="4" w:space="0"/>
              <w:left w:val="single" w:color="000000" w:sz="4" w:space="0"/>
              <w:bottom w:val="single" w:color="000000" w:sz="4" w:space="0"/>
              <w:right w:val="single" w:color="000000" w:sz="4" w:space="0"/>
            </w:tcBorders>
            <w:vAlign w:val="center"/>
          </w:tcPr>
          <w:p w14:paraId="4360DBE2">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三、智慧运营模块</w:t>
            </w:r>
          </w:p>
        </w:tc>
      </w:tr>
      <w:tr w14:paraId="58DDAEBE">
        <w:tblPrEx>
          <w:tblCellMar>
            <w:top w:w="0" w:type="dxa"/>
            <w:left w:w="108" w:type="dxa"/>
            <w:bottom w:w="0" w:type="dxa"/>
            <w:right w:w="108" w:type="dxa"/>
          </w:tblCellMar>
        </w:tblPrEx>
        <w:trPr>
          <w:trHeight w:val="67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7995AB2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序号</w:t>
            </w:r>
          </w:p>
        </w:tc>
        <w:tc>
          <w:tcPr>
            <w:tcW w:w="955" w:type="dxa"/>
            <w:tcBorders>
              <w:top w:val="single" w:color="000000" w:sz="4" w:space="0"/>
              <w:left w:val="single" w:color="000000" w:sz="4" w:space="0"/>
              <w:bottom w:val="single" w:color="000000" w:sz="4" w:space="0"/>
              <w:right w:val="single" w:color="000000" w:sz="4" w:space="0"/>
            </w:tcBorders>
            <w:vAlign w:val="center"/>
          </w:tcPr>
          <w:p w14:paraId="4E55FA00">
            <w:pPr>
              <w:ind w:firstLine="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名称</w:t>
            </w:r>
          </w:p>
        </w:tc>
        <w:tc>
          <w:tcPr>
            <w:tcW w:w="9301" w:type="dxa"/>
            <w:tcBorders>
              <w:top w:val="single" w:color="000000" w:sz="4" w:space="0"/>
              <w:left w:val="single" w:color="000000" w:sz="4" w:space="0"/>
              <w:bottom w:val="single" w:color="000000" w:sz="4" w:space="0"/>
              <w:right w:val="single" w:color="000000" w:sz="4" w:space="0"/>
            </w:tcBorders>
            <w:vAlign w:val="center"/>
          </w:tcPr>
          <w:p w14:paraId="4EBCF1C9">
            <w:pPr>
              <w:ind w:firstLine="42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功能需求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2A40424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数量</w:t>
            </w:r>
          </w:p>
        </w:tc>
        <w:tc>
          <w:tcPr>
            <w:tcW w:w="581" w:type="dxa"/>
            <w:tcBorders>
              <w:top w:val="single" w:color="000000" w:sz="4" w:space="0"/>
              <w:left w:val="single" w:color="000000" w:sz="4" w:space="0"/>
              <w:bottom w:val="single" w:color="000000" w:sz="4" w:space="0"/>
              <w:right w:val="single" w:color="000000" w:sz="4" w:space="0"/>
            </w:tcBorders>
            <w:vAlign w:val="center"/>
          </w:tcPr>
          <w:p w14:paraId="6BA94D2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单位</w:t>
            </w:r>
          </w:p>
        </w:tc>
        <w:tc>
          <w:tcPr>
            <w:tcW w:w="844" w:type="dxa"/>
            <w:tcBorders>
              <w:top w:val="single" w:color="000000" w:sz="4" w:space="0"/>
              <w:left w:val="single" w:color="000000" w:sz="4" w:space="0"/>
              <w:bottom w:val="single" w:color="000000" w:sz="4" w:space="0"/>
              <w:right w:val="single" w:color="000000" w:sz="4" w:space="0"/>
            </w:tcBorders>
            <w:vAlign w:val="center"/>
          </w:tcPr>
          <w:p w14:paraId="4CE1D1E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综合单价</w:t>
            </w:r>
          </w:p>
        </w:tc>
        <w:tc>
          <w:tcPr>
            <w:tcW w:w="732" w:type="dxa"/>
            <w:tcBorders>
              <w:top w:val="single" w:color="000000" w:sz="4" w:space="0"/>
              <w:left w:val="single" w:color="000000" w:sz="4" w:space="0"/>
              <w:bottom w:val="single" w:color="000000" w:sz="4" w:space="0"/>
              <w:right w:val="single" w:color="000000" w:sz="4" w:space="0"/>
            </w:tcBorders>
            <w:vAlign w:val="center"/>
          </w:tcPr>
          <w:p w14:paraId="253D2E5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合价</w:t>
            </w:r>
          </w:p>
        </w:tc>
      </w:tr>
      <w:tr w14:paraId="2DD32BD3">
        <w:tblPrEx>
          <w:tblCellMar>
            <w:top w:w="0" w:type="dxa"/>
            <w:left w:w="108" w:type="dxa"/>
            <w:bottom w:w="0" w:type="dxa"/>
            <w:right w:w="108" w:type="dxa"/>
          </w:tblCellMar>
        </w:tblPrEx>
        <w:trPr>
          <w:trHeight w:val="1575"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94EF5B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955" w:type="dxa"/>
            <w:tcBorders>
              <w:top w:val="single" w:color="000000" w:sz="4" w:space="0"/>
              <w:left w:val="single" w:color="000000" w:sz="4" w:space="0"/>
              <w:bottom w:val="single" w:color="000000" w:sz="4" w:space="0"/>
              <w:right w:val="single" w:color="000000" w:sz="4" w:space="0"/>
            </w:tcBorders>
            <w:vAlign w:val="center"/>
          </w:tcPr>
          <w:p w14:paraId="6314ADEC">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生产运行监控管理</w:t>
            </w:r>
          </w:p>
        </w:tc>
        <w:tc>
          <w:tcPr>
            <w:tcW w:w="9301" w:type="dxa"/>
            <w:tcBorders>
              <w:top w:val="single" w:color="000000" w:sz="4" w:space="0"/>
              <w:left w:val="single" w:color="000000" w:sz="4" w:space="0"/>
              <w:bottom w:val="single" w:color="000000" w:sz="4" w:space="0"/>
              <w:right w:val="single" w:color="000000" w:sz="4" w:space="0"/>
            </w:tcBorders>
            <w:vAlign w:val="center"/>
          </w:tcPr>
          <w:p w14:paraId="2D1F4894">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生产运行监控服务实现对水厂数据进行远程集中化的水厂运行综合管理。各级管理人员可通过系统能够及时、准确、全面、直观的了解和掌握生产状况。包括数据分析（kpi&gt;50项）、运行监控、视频监控、事件报警和处置、报表系统、交接班管理。</w:t>
            </w:r>
          </w:p>
        </w:tc>
        <w:tc>
          <w:tcPr>
            <w:tcW w:w="600" w:type="dxa"/>
            <w:tcBorders>
              <w:top w:val="single" w:color="000000" w:sz="4" w:space="0"/>
              <w:left w:val="single" w:color="000000" w:sz="4" w:space="0"/>
              <w:bottom w:val="single" w:color="000000" w:sz="4" w:space="0"/>
              <w:right w:val="single" w:color="000000" w:sz="4" w:space="0"/>
            </w:tcBorders>
            <w:vAlign w:val="center"/>
          </w:tcPr>
          <w:p w14:paraId="54FACF5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21B6B98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64F50AA3">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1F5756DA">
            <w:pPr>
              <w:jc w:val="center"/>
              <w:rPr>
                <w:rFonts w:hint="eastAsia" w:ascii="宋体" w:hAnsi="宋体" w:eastAsia="宋体" w:cs="宋体"/>
                <w:color w:val="auto"/>
                <w:sz w:val="24"/>
                <w:szCs w:val="24"/>
                <w:highlight w:val="none"/>
                <w:lang w:bidi="ar"/>
              </w:rPr>
            </w:pPr>
          </w:p>
        </w:tc>
      </w:tr>
      <w:tr w14:paraId="5EBC0F8D">
        <w:tblPrEx>
          <w:tblCellMar>
            <w:top w:w="0" w:type="dxa"/>
            <w:left w:w="108" w:type="dxa"/>
            <w:bottom w:w="0" w:type="dxa"/>
            <w:right w:w="108" w:type="dxa"/>
          </w:tblCellMar>
        </w:tblPrEx>
        <w:trPr>
          <w:trHeight w:val="1262"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5069F4E8">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955" w:type="dxa"/>
            <w:tcBorders>
              <w:top w:val="single" w:color="000000" w:sz="4" w:space="0"/>
              <w:left w:val="single" w:color="000000" w:sz="4" w:space="0"/>
              <w:bottom w:val="single" w:color="000000" w:sz="4" w:space="0"/>
              <w:right w:val="single" w:color="000000" w:sz="4" w:space="0"/>
            </w:tcBorders>
            <w:vAlign w:val="center"/>
          </w:tcPr>
          <w:p w14:paraId="3885A44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综合运营管理服务</w:t>
            </w:r>
          </w:p>
        </w:tc>
        <w:tc>
          <w:tcPr>
            <w:tcW w:w="9301" w:type="dxa"/>
            <w:tcBorders>
              <w:top w:val="single" w:color="000000" w:sz="4" w:space="0"/>
              <w:left w:val="single" w:color="000000" w:sz="4" w:space="0"/>
              <w:bottom w:val="single" w:color="000000" w:sz="4" w:space="0"/>
              <w:right w:val="single" w:color="000000" w:sz="4" w:space="0"/>
            </w:tcBorders>
            <w:vAlign w:val="center"/>
          </w:tcPr>
          <w:p w14:paraId="5FC19C5B">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根据要求对现有流程内容包括但不限于人力综合管理、财务经营管理、生产计划管理、水厂安全管理等方面的管理内容，进行流程间调用、串并联等编排，形成权限配置、联查、督办、提醒、预警等功能，并能分类进行统计分析。</w:t>
            </w:r>
          </w:p>
        </w:tc>
        <w:tc>
          <w:tcPr>
            <w:tcW w:w="600" w:type="dxa"/>
            <w:tcBorders>
              <w:top w:val="single" w:color="000000" w:sz="4" w:space="0"/>
              <w:left w:val="single" w:color="000000" w:sz="4" w:space="0"/>
              <w:bottom w:val="single" w:color="000000" w:sz="4" w:space="0"/>
              <w:right w:val="single" w:color="000000" w:sz="4" w:space="0"/>
            </w:tcBorders>
            <w:vAlign w:val="center"/>
          </w:tcPr>
          <w:p w14:paraId="4BAFB6A8">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7EF8C9D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5F91B50D">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5A13F0A2">
            <w:pPr>
              <w:jc w:val="center"/>
              <w:rPr>
                <w:rFonts w:hint="eastAsia" w:ascii="宋体" w:hAnsi="宋体" w:eastAsia="宋体" w:cs="宋体"/>
                <w:color w:val="auto"/>
                <w:sz w:val="24"/>
                <w:szCs w:val="24"/>
                <w:highlight w:val="none"/>
                <w:lang w:bidi="ar"/>
              </w:rPr>
            </w:pPr>
          </w:p>
        </w:tc>
      </w:tr>
      <w:tr w14:paraId="73D93022">
        <w:tblPrEx>
          <w:tblCellMar>
            <w:top w:w="0" w:type="dxa"/>
            <w:left w:w="108" w:type="dxa"/>
            <w:bottom w:w="0" w:type="dxa"/>
            <w:right w:w="108" w:type="dxa"/>
          </w:tblCellMar>
        </w:tblPrEx>
        <w:trPr>
          <w:trHeight w:val="314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033476E">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955" w:type="dxa"/>
            <w:tcBorders>
              <w:top w:val="single" w:color="000000" w:sz="4" w:space="0"/>
              <w:left w:val="single" w:color="000000" w:sz="4" w:space="0"/>
              <w:bottom w:val="single" w:color="000000" w:sz="4" w:space="0"/>
              <w:right w:val="single" w:color="000000" w:sz="4" w:space="0"/>
            </w:tcBorders>
            <w:vAlign w:val="center"/>
          </w:tcPr>
          <w:p w14:paraId="1F2C9412">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设备智慧管理服务</w:t>
            </w:r>
          </w:p>
        </w:tc>
        <w:tc>
          <w:tcPr>
            <w:tcW w:w="9301" w:type="dxa"/>
            <w:tcBorders>
              <w:top w:val="single" w:color="000000" w:sz="4" w:space="0"/>
              <w:left w:val="single" w:color="000000" w:sz="4" w:space="0"/>
              <w:bottom w:val="single" w:color="000000" w:sz="4" w:space="0"/>
              <w:right w:val="single" w:color="000000" w:sz="4" w:space="0"/>
            </w:tcBorders>
            <w:vAlign w:val="center"/>
          </w:tcPr>
          <w:p w14:paraId="3B31BBC2">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升级迭代智慧云平台中设备全生命周期管理体系与水厂设备管理有关联的部分，包括：智慧设备管理前端展示、设备基本信息管理、工单管理、设备管理内容、移动端应用(设备LBS场景应用、设备管理功能移动办理)等功能模块。</w:t>
            </w:r>
          </w:p>
          <w:p w14:paraId="34B84D11">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设备智慧管理数据应与现有公司云平台相关域（如固定资产等）、智能巡检模块进行数据融合和共享，实现对设备资产的全方位管理。例如，将资产的采购成本、折旧情况等数据与智能巡检中的巡检记录、运行分析数据相结合，可以全面评估资产的经济效益和运行效率，为水厂的设备资产管理提供更全面、准确的信息支持。</w:t>
            </w:r>
          </w:p>
        </w:tc>
        <w:tc>
          <w:tcPr>
            <w:tcW w:w="600" w:type="dxa"/>
            <w:tcBorders>
              <w:top w:val="single" w:color="000000" w:sz="4" w:space="0"/>
              <w:left w:val="single" w:color="000000" w:sz="4" w:space="0"/>
              <w:bottom w:val="single" w:color="000000" w:sz="4" w:space="0"/>
              <w:right w:val="single" w:color="000000" w:sz="4" w:space="0"/>
            </w:tcBorders>
            <w:vAlign w:val="center"/>
          </w:tcPr>
          <w:p w14:paraId="766846DD">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796FD6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0C9B3384">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E296845">
            <w:pPr>
              <w:jc w:val="center"/>
              <w:rPr>
                <w:rFonts w:hint="eastAsia" w:ascii="宋体" w:hAnsi="宋体" w:eastAsia="宋体" w:cs="宋体"/>
                <w:color w:val="auto"/>
                <w:sz w:val="24"/>
                <w:szCs w:val="24"/>
                <w:highlight w:val="none"/>
                <w:lang w:bidi="ar"/>
              </w:rPr>
            </w:pPr>
          </w:p>
        </w:tc>
      </w:tr>
      <w:tr w14:paraId="624B86D5">
        <w:tblPrEx>
          <w:tblCellMar>
            <w:top w:w="0" w:type="dxa"/>
            <w:left w:w="108" w:type="dxa"/>
            <w:bottom w:w="0" w:type="dxa"/>
            <w:right w:w="108" w:type="dxa"/>
          </w:tblCellMar>
        </w:tblPrEx>
        <w:trPr>
          <w:trHeight w:val="2791"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0906171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955" w:type="dxa"/>
            <w:tcBorders>
              <w:top w:val="single" w:color="000000" w:sz="4" w:space="0"/>
              <w:left w:val="single" w:color="000000" w:sz="4" w:space="0"/>
              <w:bottom w:val="single" w:color="000000" w:sz="4" w:space="0"/>
              <w:right w:val="single" w:color="000000" w:sz="4" w:space="0"/>
            </w:tcBorders>
            <w:vAlign w:val="center"/>
          </w:tcPr>
          <w:p w14:paraId="09CCEAF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智能巡检管理</w:t>
            </w:r>
          </w:p>
        </w:tc>
        <w:tc>
          <w:tcPr>
            <w:tcW w:w="9301" w:type="dxa"/>
            <w:tcBorders>
              <w:top w:val="single" w:color="000000" w:sz="4" w:space="0"/>
              <w:left w:val="single" w:color="000000" w:sz="4" w:space="0"/>
              <w:bottom w:val="single" w:color="000000" w:sz="4" w:space="0"/>
              <w:right w:val="single" w:color="000000" w:sz="4" w:space="0"/>
            </w:tcBorders>
            <w:vAlign w:val="center"/>
          </w:tcPr>
          <w:p w14:paraId="5E769CC5">
            <w:pP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设置机器巡检系统，智慧水厂通过现场感知监测点和高清视频监控设备、智能巡检设备等技术进行机器巡检，机器巡检管理功能包括但不仅限于巡检计划管理、巡检任务管理、任务执行流转、巡检记录统计分析等。</w:t>
            </w:r>
          </w:p>
          <w:p w14:paraId="4ED2451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留必要的人工巡检，升级迭代智慧云平台中设备全生命周期管理体系与人工巡检有关联的部分，人工巡检管理功能包括巡检计划制定、巡检工单、巡检记录分析统计、移动端应用(设备LBS场景应用、设备管理功能移动办理)等功能模块。</w:t>
            </w:r>
          </w:p>
          <w:p w14:paraId="637ACB5E">
            <w:pPr>
              <w:jc w:val="left"/>
              <w:textAlignment w:val="center"/>
              <w:rPr>
                <w:rFonts w:hint="eastAsia" w:ascii="宋体" w:hAnsi="宋体" w:eastAsia="宋体" w:cs="宋体"/>
                <w:color w:val="auto"/>
                <w:sz w:val="24"/>
                <w:szCs w:val="24"/>
                <w:highlight w:val="none"/>
                <w:lang w:bidi="ar"/>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72448A9">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3771C0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020A9CE9">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30020DC3">
            <w:pPr>
              <w:jc w:val="center"/>
              <w:rPr>
                <w:rFonts w:hint="eastAsia" w:ascii="宋体" w:hAnsi="宋体" w:eastAsia="宋体" w:cs="宋体"/>
                <w:color w:val="auto"/>
                <w:sz w:val="24"/>
                <w:szCs w:val="24"/>
                <w:highlight w:val="none"/>
                <w:lang w:bidi="ar"/>
              </w:rPr>
            </w:pPr>
          </w:p>
        </w:tc>
      </w:tr>
      <w:tr w14:paraId="4BBD7D8C">
        <w:tblPrEx>
          <w:tblCellMar>
            <w:top w:w="0" w:type="dxa"/>
            <w:left w:w="108" w:type="dxa"/>
            <w:bottom w:w="0" w:type="dxa"/>
            <w:right w:w="108" w:type="dxa"/>
          </w:tblCellMar>
        </w:tblPrEx>
        <w:trPr>
          <w:trHeight w:val="314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C8D7EF7">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955" w:type="dxa"/>
            <w:tcBorders>
              <w:top w:val="single" w:color="000000" w:sz="4" w:space="0"/>
              <w:left w:val="single" w:color="000000" w:sz="4" w:space="0"/>
              <w:bottom w:val="single" w:color="000000" w:sz="4" w:space="0"/>
              <w:right w:val="single" w:color="000000" w:sz="4" w:space="0"/>
            </w:tcBorders>
            <w:vAlign w:val="center"/>
          </w:tcPr>
          <w:p w14:paraId="1ACCC31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化验室管理</w:t>
            </w:r>
          </w:p>
        </w:tc>
        <w:tc>
          <w:tcPr>
            <w:tcW w:w="9301" w:type="dxa"/>
            <w:tcBorders>
              <w:top w:val="single" w:color="000000" w:sz="4" w:space="0"/>
              <w:left w:val="single" w:color="000000" w:sz="4" w:space="0"/>
              <w:bottom w:val="single" w:color="000000" w:sz="4" w:space="0"/>
              <w:right w:val="single" w:color="000000" w:sz="4" w:space="0"/>
            </w:tcBorders>
            <w:vAlign w:val="center"/>
          </w:tcPr>
          <w:p w14:paraId="747D334A">
            <w:pPr>
              <w:ind w:firstLine="420"/>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根据每个工艺段的工艺参数和水质指标控制标准，以水质化验数据为基础，结合相关现行水质规范标准和公司水质监测体系，建立化验室管理模块，将各工艺段水质数据转换为自动化和数字化的处理，以此提高厂区水质管理水平和指导工艺生产。</w:t>
            </w:r>
          </w:p>
          <w:p w14:paraId="57A2196D">
            <w:pPr>
              <w:ind w:firstLine="420"/>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化验检测管理主要包括：化验计划管理、化验信息管理、化验耗材管理、化验设备管理等；水质管理主要包括包括在线水质仪表设备台账管理、净水构筑物管理、水质监测任务跟踪、在线仪表和人工水质检验数据浏览查询、水质化验报表等。</w:t>
            </w:r>
          </w:p>
        </w:tc>
        <w:tc>
          <w:tcPr>
            <w:tcW w:w="600" w:type="dxa"/>
            <w:tcBorders>
              <w:top w:val="single" w:color="000000" w:sz="4" w:space="0"/>
              <w:left w:val="single" w:color="000000" w:sz="4" w:space="0"/>
              <w:bottom w:val="single" w:color="000000" w:sz="4" w:space="0"/>
              <w:right w:val="single" w:color="000000" w:sz="4" w:space="0"/>
            </w:tcBorders>
            <w:vAlign w:val="center"/>
          </w:tcPr>
          <w:p w14:paraId="60E43D7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6C79AF6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62B1AEB5">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683D785">
            <w:pPr>
              <w:jc w:val="center"/>
              <w:rPr>
                <w:rFonts w:hint="eastAsia" w:ascii="宋体" w:hAnsi="宋体" w:eastAsia="宋体" w:cs="宋体"/>
                <w:color w:val="auto"/>
                <w:sz w:val="24"/>
                <w:szCs w:val="24"/>
                <w:highlight w:val="none"/>
                <w:lang w:bidi="ar"/>
              </w:rPr>
            </w:pPr>
          </w:p>
        </w:tc>
      </w:tr>
      <w:tr w14:paraId="460681E2">
        <w:tblPrEx>
          <w:tblCellMar>
            <w:top w:w="0" w:type="dxa"/>
            <w:left w:w="108" w:type="dxa"/>
            <w:bottom w:w="0" w:type="dxa"/>
            <w:right w:w="108" w:type="dxa"/>
          </w:tblCellMar>
        </w:tblPrEx>
        <w:trPr>
          <w:trHeight w:val="180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51A2B2F">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955" w:type="dxa"/>
            <w:tcBorders>
              <w:top w:val="single" w:color="000000" w:sz="4" w:space="0"/>
              <w:left w:val="single" w:color="000000" w:sz="4" w:space="0"/>
              <w:bottom w:val="single" w:color="000000" w:sz="4" w:space="0"/>
              <w:right w:val="single" w:color="000000" w:sz="4" w:space="0"/>
            </w:tcBorders>
            <w:vAlign w:val="center"/>
          </w:tcPr>
          <w:p w14:paraId="237BCC5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应急事件管理服务</w:t>
            </w:r>
          </w:p>
        </w:tc>
        <w:tc>
          <w:tcPr>
            <w:tcW w:w="9301" w:type="dxa"/>
            <w:tcBorders>
              <w:top w:val="single" w:color="000000" w:sz="4" w:space="0"/>
              <w:left w:val="single" w:color="000000" w:sz="4" w:space="0"/>
              <w:bottom w:val="single" w:color="000000" w:sz="4" w:space="0"/>
              <w:right w:val="single" w:color="000000" w:sz="4" w:space="0"/>
            </w:tcBorders>
            <w:vAlign w:val="center"/>
          </w:tcPr>
          <w:p w14:paraId="6519B689">
            <w:pPr>
              <w:ind w:firstLine="420"/>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智慧水厂的应急事件管理应针对厂内危化品泄露、进水水质严重异常、重大设备故障、电气安全事故、自然灾害、公共卫生事件等六类常见应急事件，涵盖从事件预警、发生、响应到恢复的全流程，确保对各类突发情况的高效应对。</w:t>
            </w:r>
          </w:p>
        </w:tc>
        <w:tc>
          <w:tcPr>
            <w:tcW w:w="600" w:type="dxa"/>
            <w:tcBorders>
              <w:top w:val="single" w:color="000000" w:sz="4" w:space="0"/>
              <w:left w:val="single" w:color="000000" w:sz="4" w:space="0"/>
              <w:bottom w:val="single" w:color="000000" w:sz="4" w:space="0"/>
              <w:right w:val="single" w:color="000000" w:sz="4" w:space="0"/>
            </w:tcBorders>
            <w:vAlign w:val="center"/>
          </w:tcPr>
          <w:p w14:paraId="157FEC8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68EEF2F2">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275B2D93">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2387B922">
            <w:pPr>
              <w:jc w:val="center"/>
              <w:rPr>
                <w:rFonts w:hint="eastAsia" w:ascii="宋体" w:hAnsi="宋体" w:eastAsia="宋体" w:cs="宋体"/>
                <w:color w:val="auto"/>
                <w:sz w:val="24"/>
                <w:szCs w:val="24"/>
                <w:highlight w:val="none"/>
                <w:lang w:bidi="ar"/>
              </w:rPr>
            </w:pPr>
          </w:p>
        </w:tc>
      </w:tr>
      <w:tr w14:paraId="0E5616C8">
        <w:tblPrEx>
          <w:tblCellMar>
            <w:top w:w="0" w:type="dxa"/>
            <w:left w:w="108" w:type="dxa"/>
            <w:bottom w:w="0" w:type="dxa"/>
            <w:right w:w="108" w:type="dxa"/>
          </w:tblCellMar>
        </w:tblPrEx>
        <w:trPr>
          <w:trHeight w:val="7396"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3D830ED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w:t>
            </w:r>
          </w:p>
        </w:tc>
        <w:tc>
          <w:tcPr>
            <w:tcW w:w="955" w:type="dxa"/>
            <w:tcBorders>
              <w:top w:val="single" w:color="000000" w:sz="4" w:space="0"/>
              <w:left w:val="single" w:color="000000" w:sz="4" w:space="0"/>
              <w:bottom w:val="single" w:color="000000" w:sz="4" w:space="0"/>
              <w:right w:val="single" w:color="000000" w:sz="4" w:space="0"/>
            </w:tcBorders>
            <w:vAlign w:val="center"/>
          </w:tcPr>
          <w:p w14:paraId="15C6EFA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水厂仿真和预测分析软件</w:t>
            </w:r>
          </w:p>
        </w:tc>
        <w:tc>
          <w:tcPr>
            <w:tcW w:w="9301" w:type="dxa"/>
            <w:tcBorders>
              <w:top w:val="single" w:color="000000" w:sz="4" w:space="0"/>
              <w:left w:val="single" w:color="000000" w:sz="4" w:space="0"/>
              <w:bottom w:val="single" w:color="000000" w:sz="4" w:space="0"/>
              <w:right w:val="single" w:color="000000" w:sz="4" w:space="0"/>
            </w:tcBorders>
            <w:vAlign w:val="center"/>
          </w:tcPr>
          <w:p w14:paraId="37B04DE1">
            <w:pPr>
              <w:ind w:firstLine="420"/>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提供水仿真和预测分析工具，系统须具备供水设施建模，水力、水质、水锤等模型应用等运用，为供水系统的实际运行提供辅助决策支持，功能包括：</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1、具有流量分配模块、水力分析模块和水质分析模块等建模基本能力。</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2、能提供管道关键性模块、阀门关键性模块、水龄模拟模块、水源追踪、实时控制模块、管道重新等模型应用功能。</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3、能链接Arcgis Pro模块。</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4、具备辅助建模工具。</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5、能自定义功能。</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6、能进行多方案管理。</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7、能提供对外的输出/输出接口。</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系统支持异构系统进行部署，支持虚拟化资源或作容器化部署。</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1、主要包括利用北部水厂数据模型，以及数据管理工具，完成数据快照、数据加载、数据回放、数据交换、数据共享等目标。</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2、建立北部水厂水力仿真模型，按照北部水厂数字模型，记录和存储历史数据，通过数据仓库进行加工，建立多维多层模型，每一时刻的多维信息都会自动留存快照，能存储仿真预测数据，形成对应预案数据集。在此基础上形成：生产回放、生产预测、虚拟生产、应急指挥预演等模式。</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3、仿真和预测的主要功能和运算以服务形成提供对外服务，软件服务须按照智慧云平台的规范，功能性服务可嵌入到第三方软件中，第三方软件可以利用服务接口，完成不同数据集加载，仿真结果获取等操作。</w:t>
            </w:r>
          </w:p>
        </w:tc>
        <w:tc>
          <w:tcPr>
            <w:tcW w:w="600" w:type="dxa"/>
            <w:tcBorders>
              <w:top w:val="single" w:color="000000" w:sz="4" w:space="0"/>
              <w:left w:val="single" w:color="000000" w:sz="4" w:space="0"/>
              <w:bottom w:val="single" w:color="000000" w:sz="4" w:space="0"/>
              <w:right w:val="single" w:color="000000" w:sz="4" w:space="0"/>
            </w:tcBorders>
            <w:vAlign w:val="center"/>
          </w:tcPr>
          <w:p w14:paraId="37B1C87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787FB02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5ECBB2EB">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595646ED">
            <w:pPr>
              <w:jc w:val="center"/>
              <w:rPr>
                <w:rFonts w:hint="eastAsia" w:ascii="宋体" w:hAnsi="宋体" w:eastAsia="宋体" w:cs="宋体"/>
                <w:color w:val="auto"/>
                <w:sz w:val="24"/>
                <w:szCs w:val="24"/>
                <w:highlight w:val="none"/>
                <w:lang w:bidi="ar"/>
              </w:rPr>
            </w:pPr>
          </w:p>
        </w:tc>
      </w:tr>
      <w:tr w14:paraId="52E0F926">
        <w:tblPrEx>
          <w:tblCellMar>
            <w:top w:w="0" w:type="dxa"/>
            <w:left w:w="108" w:type="dxa"/>
            <w:bottom w:w="0" w:type="dxa"/>
            <w:right w:w="108" w:type="dxa"/>
          </w:tblCellMar>
        </w:tblPrEx>
        <w:trPr>
          <w:trHeight w:val="3670"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226ECB9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w:t>
            </w:r>
          </w:p>
        </w:tc>
        <w:tc>
          <w:tcPr>
            <w:tcW w:w="955" w:type="dxa"/>
            <w:tcBorders>
              <w:top w:val="single" w:color="000000" w:sz="4" w:space="0"/>
              <w:left w:val="single" w:color="000000" w:sz="4" w:space="0"/>
              <w:bottom w:val="single" w:color="000000" w:sz="4" w:space="0"/>
              <w:right w:val="single" w:color="000000" w:sz="4" w:space="0"/>
            </w:tcBorders>
            <w:vAlign w:val="center"/>
          </w:tcPr>
          <w:p w14:paraId="6037E02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碳管理主题分析服务</w:t>
            </w:r>
          </w:p>
        </w:tc>
        <w:tc>
          <w:tcPr>
            <w:tcW w:w="9301" w:type="dxa"/>
            <w:tcBorders>
              <w:top w:val="single" w:color="000000" w:sz="4" w:space="0"/>
              <w:left w:val="single" w:color="000000" w:sz="4" w:space="0"/>
              <w:bottom w:val="single" w:color="000000" w:sz="4" w:space="0"/>
              <w:right w:val="single" w:color="000000" w:sz="4" w:space="0"/>
            </w:tcBorders>
            <w:vAlign w:val="center"/>
          </w:tcPr>
          <w:p w14:paraId="6965D961">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包含了碳排放、碳减排、碳足迹、碳管理以及重点设备管理等。实时反映整体工艺和重点设备的运行状态、表征碳排放和碳减排水平以及梳理碳排放足迹。</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功能包括：</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1、识别碳排放源，梳理碳排放清单，应覆盖全流程主要类别的碳排放点位，确定自控数据采集范围、频率和操作逻辑。</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2、碳素实时量化核算</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搭载碳核算和评估算法，根据碳排放/碳减排的类别和特征，按照核算标准结合自控数据范围分类差异化核算，根据水厂工艺特征引入评估水平、转化系数和修正因子等进行率定和校核，进一步提高核算体系的准确度和可靠性。</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3、碳管理管理</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提供各项碳排放和碳减排的管理模块，对特征和量级分类识别管理；提供排放评估服务，可实时评估排放水平、重点排放单元等。</w:t>
            </w:r>
          </w:p>
        </w:tc>
        <w:tc>
          <w:tcPr>
            <w:tcW w:w="600" w:type="dxa"/>
            <w:tcBorders>
              <w:top w:val="single" w:color="000000" w:sz="4" w:space="0"/>
              <w:left w:val="single" w:color="000000" w:sz="4" w:space="0"/>
              <w:bottom w:val="single" w:color="000000" w:sz="4" w:space="0"/>
              <w:right w:val="single" w:color="000000" w:sz="4" w:space="0"/>
            </w:tcBorders>
            <w:vAlign w:val="center"/>
          </w:tcPr>
          <w:p w14:paraId="42CC299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1CF2967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09F04322">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39FE2D8B">
            <w:pPr>
              <w:jc w:val="center"/>
              <w:rPr>
                <w:rFonts w:hint="eastAsia" w:ascii="宋体" w:hAnsi="宋体" w:eastAsia="宋体" w:cs="宋体"/>
                <w:color w:val="auto"/>
                <w:sz w:val="24"/>
                <w:szCs w:val="24"/>
                <w:highlight w:val="none"/>
                <w:lang w:bidi="ar"/>
              </w:rPr>
            </w:pPr>
          </w:p>
        </w:tc>
      </w:tr>
      <w:tr w14:paraId="514902A5">
        <w:tblPrEx>
          <w:tblCellMar>
            <w:top w:w="0" w:type="dxa"/>
            <w:left w:w="108" w:type="dxa"/>
            <w:bottom w:w="0" w:type="dxa"/>
            <w:right w:w="108" w:type="dxa"/>
          </w:tblCellMar>
        </w:tblPrEx>
        <w:trPr>
          <w:trHeight w:val="3538"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3CC2D64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w:t>
            </w:r>
          </w:p>
        </w:tc>
        <w:tc>
          <w:tcPr>
            <w:tcW w:w="955" w:type="dxa"/>
            <w:tcBorders>
              <w:top w:val="single" w:color="000000" w:sz="4" w:space="0"/>
              <w:left w:val="single" w:color="000000" w:sz="4" w:space="0"/>
              <w:bottom w:val="single" w:color="000000" w:sz="4" w:space="0"/>
              <w:right w:val="single" w:color="000000" w:sz="4" w:space="0"/>
            </w:tcBorders>
            <w:vAlign w:val="center"/>
          </w:tcPr>
          <w:p w14:paraId="49BB52EC">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成本管理主题分析服务</w:t>
            </w:r>
          </w:p>
        </w:tc>
        <w:tc>
          <w:tcPr>
            <w:tcW w:w="9301" w:type="dxa"/>
            <w:tcBorders>
              <w:top w:val="single" w:color="000000" w:sz="4" w:space="0"/>
              <w:left w:val="single" w:color="000000" w:sz="4" w:space="0"/>
              <w:bottom w:val="single" w:color="000000" w:sz="4" w:space="0"/>
              <w:right w:val="single" w:color="000000" w:sz="4" w:space="0"/>
            </w:tcBorders>
            <w:vAlign w:val="center"/>
          </w:tcPr>
          <w:p w14:paraId="17251545">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调用智慧供水云平台数据，展示水厂整体和详细的成本/能耗情况，同时可下串到各具体工艺单元的运行参数情况，实现对水厂综合运营成本/能耗的多维度统计分析，实现成本可视化、管理精细化，可以直观的查看整体的生产经营数据，了解水厂的真实情况，进一步的实现节能降耗的目标。</w:t>
            </w:r>
          </w:p>
          <w:p w14:paraId="444268CC">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对生产全流程水成本、电成本、药成本实时数据统计分析，提供各个维度的关键成本展示、能耗趋势、成本趋势同环比分析图、千方水单耗分析、千方水成本分析等，展示水厂整体能效情况，实现节能减排、安全用电、科学用药的目的，评估各工艺单元智能控制质量，为决策者提供优化方案的依据，从而调整采取更有效的生产成本控制措施。</w:t>
            </w:r>
          </w:p>
          <w:p w14:paraId="5EA5BFD8">
            <w:pPr>
              <w:jc w:val="left"/>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以水厂维度，提供水厂成本/能耗详细数据展示，最小颗粒度到天，可查看/对比每日、每月、每年的详细数据和汇总数据（仅限成本）。</w:t>
            </w:r>
          </w:p>
        </w:tc>
        <w:tc>
          <w:tcPr>
            <w:tcW w:w="600" w:type="dxa"/>
            <w:tcBorders>
              <w:top w:val="single" w:color="000000" w:sz="4" w:space="0"/>
              <w:left w:val="single" w:color="000000" w:sz="4" w:space="0"/>
              <w:bottom w:val="single" w:color="000000" w:sz="4" w:space="0"/>
              <w:right w:val="single" w:color="000000" w:sz="4" w:space="0"/>
            </w:tcBorders>
            <w:vAlign w:val="center"/>
          </w:tcPr>
          <w:p w14:paraId="210354B0">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148C032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27CE4583">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A7D416C">
            <w:pPr>
              <w:jc w:val="center"/>
              <w:rPr>
                <w:rFonts w:hint="eastAsia" w:ascii="宋体" w:hAnsi="宋体" w:eastAsia="宋体" w:cs="宋体"/>
                <w:color w:val="auto"/>
                <w:sz w:val="24"/>
                <w:szCs w:val="24"/>
                <w:highlight w:val="none"/>
                <w:lang w:bidi="ar"/>
              </w:rPr>
            </w:pPr>
          </w:p>
        </w:tc>
      </w:tr>
      <w:tr w14:paraId="48E29106">
        <w:tblPrEx>
          <w:tblCellMar>
            <w:top w:w="0" w:type="dxa"/>
            <w:left w:w="108" w:type="dxa"/>
            <w:bottom w:w="0" w:type="dxa"/>
            <w:right w:w="108" w:type="dxa"/>
          </w:tblCellMar>
        </w:tblPrEx>
        <w:trPr>
          <w:trHeight w:val="863" w:hRule="atLeast"/>
          <w:jc w:val="center"/>
        </w:trPr>
        <w:tc>
          <w:tcPr>
            <w:tcW w:w="13027" w:type="dxa"/>
            <w:gridSpan w:val="6"/>
            <w:tcBorders>
              <w:top w:val="single" w:color="000000" w:sz="4" w:space="0"/>
              <w:left w:val="single" w:color="000000" w:sz="4" w:space="0"/>
              <w:bottom w:val="single" w:color="000000" w:sz="4" w:space="0"/>
              <w:right w:val="single" w:color="000000" w:sz="4" w:space="0"/>
            </w:tcBorders>
            <w:vAlign w:val="center"/>
          </w:tcPr>
          <w:p w14:paraId="7312CC51">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小计</w:t>
            </w:r>
          </w:p>
        </w:tc>
        <w:tc>
          <w:tcPr>
            <w:tcW w:w="732" w:type="dxa"/>
            <w:tcBorders>
              <w:top w:val="single" w:color="000000" w:sz="4" w:space="0"/>
              <w:left w:val="single" w:color="000000" w:sz="4" w:space="0"/>
              <w:bottom w:val="single" w:color="000000" w:sz="4" w:space="0"/>
              <w:right w:val="single" w:color="000000" w:sz="4" w:space="0"/>
            </w:tcBorders>
            <w:vAlign w:val="center"/>
          </w:tcPr>
          <w:p w14:paraId="6B85A38E">
            <w:pPr>
              <w:jc w:val="center"/>
              <w:rPr>
                <w:rFonts w:hint="eastAsia" w:ascii="宋体" w:hAnsi="宋体" w:eastAsia="宋体" w:cs="宋体"/>
                <w:color w:val="auto"/>
                <w:sz w:val="24"/>
                <w:szCs w:val="24"/>
                <w:highlight w:val="none"/>
                <w:lang w:bidi="ar"/>
              </w:rPr>
            </w:pPr>
          </w:p>
        </w:tc>
      </w:tr>
      <w:tr w14:paraId="621F49FB">
        <w:tblPrEx>
          <w:tblCellMar>
            <w:top w:w="0" w:type="dxa"/>
            <w:left w:w="108" w:type="dxa"/>
            <w:bottom w:w="0" w:type="dxa"/>
            <w:right w:w="108" w:type="dxa"/>
          </w:tblCellMar>
        </w:tblPrEx>
        <w:trPr>
          <w:trHeight w:val="674" w:hRule="atLeast"/>
          <w:jc w:val="center"/>
        </w:trPr>
        <w:tc>
          <w:tcPr>
            <w:tcW w:w="13759" w:type="dxa"/>
            <w:gridSpan w:val="7"/>
            <w:tcBorders>
              <w:top w:val="single" w:color="000000" w:sz="4" w:space="0"/>
              <w:left w:val="single" w:color="000000" w:sz="4" w:space="0"/>
              <w:bottom w:val="single" w:color="000000" w:sz="4" w:space="0"/>
              <w:right w:val="single" w:color="000000" w:sz="4" w:space="0"/>
            </w:tcBorders>
            <w:vAlign w:val="center"/>
          </w:tcPr>
          <w:p w14:paraId="34E95701">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四、智慧决策模块</w:t>
            </w:r>
          </w:p>
        </w:tc>
      </w:tr>
      <w:tr w14:paraId="7977496A">
        <w:tblPrEx>
          <w:tblCellMar>
            <w:top w:w="0" w:type="dxa"/>
            <w:left w:w="108" w:type="dxa"/>
            <w:bottom w:w="0" w:type="dxa"/>
            <w:right w:w="108" w:type="dxa"/>
          </w:tblCellMar>
        </w:tblPrEx>
        <w:trPr>
          <w:trHeight w:val="67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759B61E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序号</w:t>
            </w:r>
          </w:p>
        </w:tc>
        <w:tc>
          <w:tcPr>
            <w:tcW w:w="955" w:type="dxa"/>
            <w:tcBorders>
              <w:top w:val="single" w:color="000000" w:sz="4" w:space="0"/>
              <w:left w:val="single" w:color="000000" w:sz="4" w:space="0"/>
              <w:bottom w:val="single" w:color="000000" w:sz="4" w:space="0"/>
              <w:right w:val="single" w:color="000000" w:sz="4" w:space="0"/>
            </w:tcBorders>
            <w:vAlign w:val="center"/>
          </w:tcPr>
          <w:p w14:paraId="53C4CDB8">
            <w:pPr>
              <w:ind w:firstLine="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t>名称</w:t>
            </w:r>
          </w:p>
        </w:tc>
        <w:tc>
          <w:tcPr>
            <w:tcW w:w="9301" w:type="dxa"/>
            <w:tcBorders>
              <w:top w:val="single" w:color="000000" w:sz="4" w:space="0"/>
              <w:left w:val="single" w:color="000000" w:sz="4" w:space="0"/>
              <w:bottom w:val="single" w:color="000000" w:sz="4" w:space="0"/>
              <w:right w:val="single" w:color="000000" w:sz="4" w:space="0"/>
            </w:tcBorders>
            <w:vAlign w:val="center"/>
          </w:tcPr>
          <w:p w14:paraId="64CFEFD9">
            <w:pPr>
              <w:ind w:firstLine="420" w:firstLineChars="0"/>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功能需求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306B038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数量</w:t>
            </w:r>
          </w:p>
        </w:tc>
        <w:tc>
          <w:tcPr>
            <w:tcW w:w="581" w:type="dxa"/>
            <w:tcBorders>
              <w:top w:val="single" w:color="000000" w:sz="4" w:space="0"/>
              <w:left w:val="single" w:color="000000" w:sz="4" w:space="0"/>
              <w:bottom w:val="single" w:color="000000" w:sz="4" w:space="0"/>
              <w:right w:val="single" w:color="000000" w:sz="4" w:space="0"/>
            </w:tcBorders>
            <w:vAlign w:val="center"/>
          </w:tcPr>
          <w:p w14:paraId="34CABB74">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单位</w:t>
            </w:r>
          </w:p>
        </w:tc>
        <w:tc>
          <w:tcPr>
            <w:tcW w:w="844" w:type="dxa"/>
            <w:tcBorders>
              <w:top w:val="single" w:color="000000" w:sz="4" w:space="0"/>
              <w:left w:val="single" w:color="000000" w:sz="4" w:space="0"/>
              <w:bottom w:val="single" w:color="000000" w:sz="4" w:space="0"/>
              <w:right w:val="single" w:color="000000" w:sz="4" w:space="0"/>
            </w:tcBorders>
            <w:vAlign w:val="center"/>
          </w:tcPr>
          <w:p w14:paraId="1F6EE563">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综合单价</w:t>
            </w:r>
          </w:p>
        </w:tc>
        <w:tc>
          <w:tcPr>
            <w:tcW w:w="732" w:type="dxa"/>
            <w:tcBorders>
              <w:top w:val="single" w:color="000000" w:sz="4" w:space="0"/>
              <w:left w:val="single" w:color="000000" w:sz="4" w:space="0"/>
              <w:bottom w:val="single" w:color="000000" w:sz="4" w:space="0"/>
              <w:right w:val="single" w:color="000000" w:sz="4" w:space="0"/>
            </w:tcBorders>
            <w:vAlign w:val="center"/>
          </w:tcPr>
          <w:p w14:paraId="6FDC8D33">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合价</w:t>
            </w:r>
          </w:p>
        </w:tc>
      </w:tr>
      <w:tr w14:paraId="61B20671">
        <w:tblPrEx>
          <w:tblCellMar>
            <w:top w:w="0" w:type="dxa"/>
            <w:left w:w="108" w:type="dxa"/>
            <w:bottom w:w="0" w:type="dxa"/>
            <w:right w:w="108" w:type="dxa"/>
          </w:tblCellMar>
        </w:tblPrEx>
        <w:trPr>
          <w:trHeight w:val="146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60F48822">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955" w:type="dxa"/>
            <w:tcBorders>
              <w:top w:val="single" w:color="000000" w:sz="4" w:space="0"/>
              <w:left w:val="single" w:color="000000" w:sz="4" w:space="0"/>
              <w:bottom w:val="single" w:color="000000" w:sz="4" w:space="0"/>
              <w:right w:val="single" w:color="000000" w:sz="4" w:space="0"/>
            </w:tcBorders>
            <w:vAlign w:val="center"/>
          </w:tcPr>
          <w:p w14:paraId="2665486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数字孪生模块</w:t>
            </w:r>
          </w:p>
        </w:tc>
        <w:tc>
          <w:tcPr>
            <w:tcW w:w="9301" w:type="dxa"/>
            <w:tcBorders>
              <w:top w:val="single" w:color="000000" w:sz="4" w:space="0"/>
              <w:left w:val="single" w:color="000000" w:sz="4" w:space="0"/>
              <w:bottom w:val="single" w:color="000000" w:sz="4" w:space="0"/>
              <w:right w:val="single" w:color="000000" w:sz="4" w:space="0"/>
            </w:tcBorders>
            <w:vAlign w:val="center"/>
          </w:tcPr>
          <w:p w14:paraId="6AFEC389">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数字孪生模块采用相同的数据模型、多层数据仓库等数据源，可以调用不同图形服务引擎，切换工艺流程图/二维平面/三维等空间展示模式，通过加载不同数据源，编排功能服务等方式，形成生产展示、沙盘推演、培训模式、参观展示、智慧安防等不同场景应用，支撑北部水厂数据的多维全景式数据展示，服务于智慧水厂全面管理。</w:t>
            </w:r>
          </w:p>
          <w:p w14:paraId="64C20D64">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中标人须提供数字孪生引擎，与其他智慧供水云平台资源，共同构成智慧供水数字一体化平台，数字孪生一体化平台包括空间数据管理中心、场景编辑平台、数字孪生引擎、三维可视化平台。数字孪生引擎应基于行业主流的编码器和网络协议实现云渲染推流，通过容器化管理的方式，对通用的算力集群资源进行动态分配和动态扩容；通过云渲染引擎服务的方式，对外提供多用户/多镜头的场景访问；通过API的方式，对云渲染引擎的光照系统、粒子系统、仿真模拟、天气系统、漫游导航、数学计算库，机理仿真等若干模块进行功能调用与二次开发；通过建立浏览器之间点对点的连接，实现视频流、音频流或者其他任意数据的传输。能支持DEM、TIFF等主流DEM数据格式，0SGB、0BJ、FBX、STL、3DS等主流倾斜摄影数据格式，PCD、PLY、TXT、LAS、STL等主流激光点云数据格式，DWG、DXF、DWF、DGN、PLN、RVT、STEP等主流BIM数据格式。</w:t>
            </w:r>
          </w:p>
          <w:p w14:paraId="0CF08A53">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构建北部水厂虚拟水厂三维模型场景，总建构筑物面积17000平方米,业主提供BIM，按要求，形成精确三维模型，支持将设备的内部结构进行拆分与组装；并将场景API封装;补充并完善BIM模型，要求不低于LOD400的精细度要求，并关联BIM模型空间关系、设备信息、实时数据。</w:t>
            </w:r>
          </w:p>
          <w:p w14:paraId="5F268F9A">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孪生数据服务建立独立统一的空间、数据模型服务，支撑多源数据整合，能提供多维多时空尺度数据汇聚、清洗、转换、共享展示、计算、更新等服务能力，构筑多类型多层次数据仓库；实现数据清洗、标准化治理、数据服务、应用服务，支持GIS、公用地图、AR等图形类服务的无缝连接。形成三维北部水厂孪生底座，供其他应用调用服务。按照数字孪生体要素，结合北部水厂数据模型，构建出与现实世界同步的数据描述。支持模型与数据中台或者物联网平台数据绑定；并且可以实时地更改模型绑定的数据或属性。</w:t>
            </w:r>
          </w:p>
          <w:p w14:paraId="7F53658B">
            <w:pPr>
              <w:rPr>
                <w:color w:val="auto"/>
                <w:highlight w:val="none"/>
              </w:rPr>
            </w:pPr>
            <w:r>
              <w:rPr>
                <w:rFonts w:hint="eastAsia" w:ascii="宋体" w:hAnsi="宋体" w:eastAsia="宋体" w:cs="宋体"/>
                <w:color w:val="auto"/>
                <w:sz w:val="24"/>
                <w:szCs w:val="24"/>
                <w:highlight w:val="none"/>
                <w:lang w:bidi="ar"/>
              </w:rPr>
              <w:t>4.封装数字孪生所需要的业务，组成智慧水厂数字孪生一体化平台，可以提供三维模型开发、空间分析、拓扑处理、网络分析等功能服务，支持多种数据源混合叠加综合展示，满足三维模型的渲染呈现；支持三维模型与BIM无缝切换、二三维联动展示，支持后台水务数据与前端展示界面联动。包括通用底座功能、生产展示、生产回放、智能生产分析、虚拟水厂生产推演、培训参观展示、远程支持等内容。</w:t>
            </w:r>
          </w:p>
          <w:p w14:paraId="1BE9DEDE">
            <w:pPr>
              <w:jc w:val="left"/>
              <w:rPr>
                <w:rFonts w:hint="eastAsia" w:ascii="宋体" w:hAnsi="宋体" w:eastAsia="宋体" w:cs="宋体"/>
                <w:color w:val="auto"/>
                <w:sz w:val="24"/>
                <w:szCs w:val="24"/>
                <w:highlight w:val="none"/>
                <w:lang w:bidi="ar"/>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7CC1BBD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19605B4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43B3C205">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6EF87DAF">
            <w:pPr>
              <w:jc w:val="center"/>
              <w:rPr>
                <w:rFonts w:hint="eastAsia" w:ascii="宋体" w:hAnsi="宋体" w:eastAsia="宋体" w:cs="宋体"/>
                <w:color w:val="auto"/>
                <w:sz w:val="24"/>
                <w:szCs w:val="24"/>
                <w:highlight w:val="none"/>
                <w:lang w:bidi="ar"/>
              </w:rPr>
            </w:pPr>
          </w:p>
        </w:tc>
      </w:tr>
      <w:tr w14:paraId="4FCC8230">
        <w:tblPrEx>
          <w:tblCellMar>
            <w:top w:w="0" w:type="dxa"/>
            <w:left w:w="108" w:type="dxa"/>
            <w:bottom w:w="0" w:type="dxa"/>
            <w:right w:w="108" w:type="dxa"/>
          </w:tblCellMar>
        </w:tblPrEx>
        <w:trPr>
          <w:trHeight w:val="1575"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59C677E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955" w:type="dxa"/>
            <w:tcBorders>
              <w:top w:val="single" w:color="000000" w:sz="4" w:space="0"/>
              <w:left w:val="single" w:color="000000" w:sz="4" w:space="0"/>
              <w:bottom w:val="single" w:color="000000" w:sz="4" w:space="0"/>
              <w:right w:val="single" w:color="000000" w:sz="4" w:space="0"/>
            </w:tcBorders>
            <w:vAlign w:val="center"/>
          </w:tcPr>
          <w:p w14:paraId="2C2B47F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视频智能平台</w:t>
            </w:r>
          </w:p>
        </w:tc>
        <w:tc>
          <w:tcPr>
            <w:tcW w:w="9301" w:type="dxa"/>
            <w:tcBorders>
              <w:top w:val="single" w:color="000000" w:sz="4" w:space="0"/>
              <w:left w:val="single" w:color="000000" w:sz="4" w:space="0"/>
              <w:bottom w:val="single" w:color="000000" w:sz="4" w:space="0"/>
              <w:right w:val="single" w:color="000000" w:sz="4" w:space="0"/>
            </w:tcBorders>
            <w:vAlign w:val="center"/>
          </w:tcPr>
          <w:p w14:paraId="57BB18B7">
            <w:pPr>
              <w:ind w:firstLine="480" w:firstLineChars="20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视频智能平台能纳管多模态大模型和工艺视觉模型，可通过可视化画布模式实现AI技能的零代码编排，支持多种方式对技能进行编排和组合，让用户可以自由搭配和组合不同的技能，集中算法管理为用户提供服务，实现更加复杂和高效的业务处理，灵活适应业务需求。</w:t>
            </w:r>
          </w:p>
        </w:tc>
        <w:tc>
          <w:tcPr>
            <w:tcW w:w="600" w:type="dxa"/>
            <w:tcBorders>
              <w:top w:val="single" w:color="000000" w:sz="4" w:space="0"/>
              <w:left w:val="single" w:color="000000" w:sz="4" w:space="0"/>
              <w:bottom w:val="single" w:color="000000" w:sz="4" w:space="0"/>
              <w:right w:val="single" w:color="000000" w:sz="4" w:space="0"/>
            </w:tcBorders>
            <w:vAlign w:val="center"/>
          </w:tcPr>
          <w:p w14:paraId="7B2FF91A">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A3E96C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784017BC">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19849BB">
            <w:pPr>
              <w:jc w:val="center"/>
              <w:rPr>
                <w:rFonts w:hint="eastAsia" w:ascii="宋体" w:hAnsi="宋体" w:eastAsia="宋体" w:cs="宋体"/>
                <w:color w:val="auto"/>
                <w:sz w:val="24"/>
                <w:szCs w:val="24"/>
                <w:highlight w:val="none"/>
                <w:lang w:bidi="ar"/>
              </w:rPr>
            </w:pPr>
          </w:p>
        </w:tc>
      </w:tr>
      <w:tr w14:paraId="066869A8">
        <w:tblPrEx>
          <w:tblCellMar>
            <w:top w:w="0" w:type="dxa"/>
            <w:left w:w="108" w:type="dxa"/>
            <w:bottom w:w="0" w:type="dxa"/>
            <w:right w:w="108" w:type="dxa"/>
          </w:tblCellMar>
        </w:tblPrEx>
        <w:trPr>
          <w:trHeight w:val="1887"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2DA00242">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955" w:type="dxa"/>
            <w:tcBorders>
              <w:top w:val="single" w:color="000000" w:sz="4" w:space="0"/>
              <w:left w:val="single" w:color="000000" w:sz="4" w:space="0"/>
              <w:bottom w:val="single" w:color="000000" w:sz="4" w:space="0"/>
              <w:right w:val="single" w:color="000000" w:sz="4" w:space="0"/>
            </w:tcBorders>
            <w:vAlign w:val="center"/>
          </w:tcPr>
          <w:p w14:paraId="3789A50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安全生产系统</w:t>
            </w:r>
          </w:p>
        </w:tc>
        <w:tc>
          <w:tcPr>
            <w:tcW w:w="9301" w:type="dxa"/>
            <w:tcBorders>
              <w:top w:val="single" w:color="000000" w:sz="4" w:space="0"/>
              <w:left w:val="single" w:color="000000" w:sz="4" w:space="0"/>
              <w:bottom w:val="single" w:color="000000" w:sz="4" w:space="0"/>
              <w:right w:val="single" w:color="000000" w:sz="4" w:space="0"/>
            </w:tcBorders>
            <w:vAlign w:val="center"/>
          </w:tcPr>
          <w:p w14:paraId="42C36D66">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引入先进的视觉 AI 算法技术，构建一套全面且高效的安全生产行为监督系统。借助视频智能平台，针对企业生产过程中的多个关键安全生产维度，进行深度功能配置与灵活组合，精准识别生产过程中人的不安全行为、物的不安全状态以及环境的不安全因素，并确保实现分析结果的闭环管理，以提升企业安全生产水平，降低安全事故风险。</w:t>
            </w:r>
          </w:p>
        </w:tc>
        <w:tc>
          <w:tcPr>
            <w:tcW w:w="600" w:type="dxa"/>
            <w:tcBorders>
              <w:top w:val="single" w:color="000000" w:sz="4" w:space="0"/>
              <w:left w:val="single" w:color="000000" w:sz="4" w:space="0"/>
              <w:bottom w:val="single" w:color="000000" w:sz="4" w:space="0"/>
              <w:right w:val="single" w:color="000000" w:sz="4" w:space="0"/>
            </w:tcBorders>
            <w:vAlign w:val="center"/>
          </w:tcPr>
          <w:p w14:paraId="16A03857">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12CFA8F6">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10910AE2">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5FC23D88">
            <w:pPr>
              <w:jc w:val="center"/>
              <w:rPr>
                <w:rFonts w:hint="eastAsia" w:ascii="宋体" w:hAnsi="宋体" w:eastAsia="宋体" w:cs="宋体"/>
                <w:color w:val="auto"/>
                <w:sz w:val="24"/>
                <w:szCs w:val="24"/>
                <w:highlight w:val="none"/>
                <w:lang w:bidi="ar"/>
              </w:rPr>
            </w:pPr>
          </w:p>
        </w:tc>
      </w:tr>
      <w:tr w14:paraId="7D60196B">
        <w:tblPrEx>
          <w:tblCellMar>
            <w:top w:w="0" w:type="dxa"/>
            <w:left w:w="108" w:type="dxa"/>
            <w:bottom w:w="0" w:type="dxa"/>
            <w:right w:w="108" w:type="dxa"/>
          </w:tblCellMar>
        </w:tblPrEx>
        <w:trPr>
          <w:trHeight w:val="1887"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22AA4404">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955" w:type="dxa"/>
            <w:tcBorders>
              <w:top w:val="single" w:color="000000" w:sz="4" w:space="0"/>
              <w:left w:val="single" w:color="000000" w:sz="4" w:space="0"/>
              <w:bottom w:val="single" w:color="000000" w:sz="4" w:space="0"/>
              <w:right w:val="single" w:color="000000" w:sz="4" w:space="0"/>
            </w:tcBorders>
            <w:vAlign w:val="center"/>
          </w:tcPr>
          <w:p w14:paraId="4A856DA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智能安防</w:t>
            </w:r>
          </w:p>
        </w:tc>
        <w:tc>
          <w:tcPr>
            <w:tcW w:w="9301" w:type="dxa"/>
            <w:tcBorders>
              <w:top w:val="single" w:color="000000" w:sz="4" w:space="0"/>
              <w:left w:val="single" w:color="000000" w:sz="4" w:space="0"/>
              <w:bottom w:val="single" w:color="000000" w:sz="4" w:space="0"/>
              <w:right w:val="single" w:color="000000" w:sz="4" w:space="0"/>
            </w:tcBorders>
            <w:vAlign w:val="center"/>
          </w:tcPr>
          <w:p w14:paraId="6873A5D1">
            <w:pPr>
              <w:ind w:firstLine="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利用数字孪生底座，围绕防恐安保这个主题，融合云平台的相关数据和服务，真实展现高仿真环境下，将事件发生详细情况、人员分布情况、报警处置过程、现场视频、工单处理等情况，用迅速、直观、形象的方式进行展示。</w:t>
            </w:r>
          </w:p>
          <w:p w14:paraId="47B867B9">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功能主要包括：综合态势一张图、立体防控、智能探测、动态调度、智能搜索、分析研判等。</w:t>
            </w:r>
          </w:p>
        </w:tc>
        <w:tc>
          <w:tcPr>
            <w:tcW w:w="600" w:type="dxa"/>
            <w:tcBorders>
              <w:top w:val="single" w:color="000000" w:sz="4" w:space="0"/>
              <w:left w:val="single" w:color="000000" w:sz="4" w:space="0"/>
              <w:bottom w:val="single" w:color="000000" w:sz="4" w:space="0"/>
              <w:right w:val="single" w:color="000000" w:sz="4" w:space="0"/>
            </w:tcBorders>
            <w:vAlign w:val="center"/>
          </w:tcPr>
          <w:p w14:paraId="38C9088F">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1A35733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5FA349DD">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282075F7">
            <w:pPr>
              <w:jc w:val="center"/>
              <w:rPr>
                <w:rFonts w:hint="eastAsia" w:ascii="宋体" w:hAnsi="宋体" w:eastAsia="宋体" w:cs="宋体"/>
                <w:color w:val="auto"/>
                <w:sz w:val="24"/>
                <w:szCs w:val="24"/>
                <w:highlight w:val="none"/>
                <w:lang w:bidi="ar"/>
              </w:rPr>
            </w:pPr>
          </w:p>
        </w:tc>
      </w:tr>
      <w:tr w14:paraId="203B3DF0">
        <w:tblPrEx>
          <w:tblCellMar>
            <w:top w:w="0" w:type="dxa"/>
            <w:left w:w="108" w:type="dxa"/>
            <w:bottom w:w="0" w:type="dxa"/>
            <w:right w:w="108" w:type="dxa"/>
          </w:tblCellMar>
        </w:tblPrEx>
        <w:trPr>
          <w:trHeight w:val="948"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45A2A3C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955" w:type="dxa"/>
            <w:tcBorders>
              <w:top w:val="single" w:color="000000" w:sz="4" w:space="0"/>
              <w:left w:val="single" w:color="000000" w:sz="4" w:space="0"/>
              <w:bottom w:val="single" w:color="000000" w:sz="4" w:space="0"/>
              <w:right w:val="single" w:color="000000" w:sz="4" w:space="0"/>
            </w:tcBorders>
            <w:vAlign w:val="center"/>
          </w:tcPr>
          <w:p w14:paraId="3316EBCA">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大模型智能运营数据分析助手</w:t>
            </w:r>
          </w:p>
        </w:tc>
        <w:tc>
          <w:tcPr>
            <w:tcW w:w="9301" w:type="dxa"/>
            <w:tcBorders>
              <w:top w:val="single" w:color="000000" w:sz="4" w:space="0"/>
              <w:left w:val="single" w:color="000000" w:sz="4" w:space="0"/>
              <w:bottom w:val="single" w:color="000000" w:sz="4" w:space="0"/>
              <w:right w:val="single" w:color="000000" w:sz="4" w:space="0"/>
            </w:tcBorders>
            <w:vAlign w:val="center"/>
          </w:tcPr>
          <w:p w14:paraId="2C8F324A">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通过自然语言对话式交互，大模型识别出准确意图，可以调用云平台服务对应的数据、报表、主题看板、或对应的算法推理等，快速展现结果。</w:t>
            </w:r>
          </w:p>
        </w:tc>
        <w:tc>
          <w:tcPr>
            <w:tcW w:w="600" w:type="dxa"/>
            <w:tcBorders>
              <w:top w:val="single" w:color="000000" w:sz="4" w:space="0"/>
              <w:left w:val="single" w:color="000000" w:sz="4" w:space="0"/>
              <w:bottom w:val="single" w:color="000000" w:sz="4" w:space="0"/>
              <w:right w:val="single" w:color="000000" w:sz="4" w:space="0"/>
            </w:tcBorders>
            <w:vAlign w:val="center"/>
          </w:tcPr>
          <w:p w14:paraId="3A846146">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3C3F77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36DCD64D">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480E2498">
            <w:pPr>
              <w:jc w:val="center"/>
              <w:rPr>
                <w:rFonts w:hint="eastAsia" w:ascii="宋体" w:hAnsi="宋体" w:eastAsia="宋体" w:cs="宋体"/>
                <w:color w:val="auto"/>
                <w:sz w:val="24"/>
                <w:szCs w:val="24"/>
                <w:highlight w:val="none"/>
                <w:lang w:bidi="ar"/>
              </w:rPr>
            </w:pPr>
          </w:p>
        </w:tc>
      </w:tr>
      <w:tr w14:paraId="60FE78D9">
        <w:tblPrEx>
          <w:tblCellMar>
            <w:top w:w="0" w:type="dxa"/>
            <w:left w:w="108" w:type="dxa"/>
            <w:bottom w:w="0" w:type="dxa"/>
            <w:right w:w="108" w:type="dxa"/>
          </w:tblCellMar>
        </w:tblPrEx>
        <w:trPr>
          <w:trHeight w:val="674"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364314AE">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955" w:type="dxa"/>
            <w:tcBorders>
              <w:top w:val="single" w:color="000000" w:sz="4" w:space="0"/>
              <w:left w:val="single" w:color="000000" w:sz="4" w:space="0"/>
              <w:bottom w:val="single" w:color="000000" w:sz="4" w:space="0"/>
              <w:right w:val="single" w:color="000000" w:sz="4" w:space="0"/>
            </w:tcBorders>
            <w:vAlign w:val="center"/>
          </w:tcPr>
          <w:p w14:paraId="44EE7D8B">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大模型工艺优化调度助手</w:t>
            </w:r>
          </w:p>
        </w:tc>
        <w:tc>
          <w:tcPr>
            <w:tcW w:w="9301" w:type="dxa"/>
            <w:tcBorders>
              <w:top w:val="single" w:color="000000" w:sz="4" w:space="0"/>
              <w:left w:val="single" w:color="000000" w:sz="4" w:space="0"/>
              <w:bottom w:val="single" w:color="000000" w:sz="4" w:space="0"/>
              <w:right w:val="single" w:color="000000" w:sz="4" w:space="0"/>
            </w:tcBorders>
            <w:vAlign w:val="center"/>
          </w:tcPr>
          <w:p w14:paraId="635A2395">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使用大模型识别使用人的操作意图，调用智慧水厂系统功能，缩短操作时间，减少培训学习成本。</w:t>
            </w:r>
          </w:p>
        </w:tc>
        <w:tc>
          <w:tcPr>
            <w:tcW w:w="600" w:type="dxa"/>
            <w:tcBorders>
              <w:top w:val="single" w:color="000000" w:sz="4" w:space="0"/>
              <w:left w:val="single" w:color="000000" w:sz="4" w:space="0"/>
              <w:bottom w:val="single" w:color="000000" w:sz="4" w:space="0"/>
              <w:right w:val="single" w:color="000000" w:sz="4" w:space="0"/>
            </w:tcBorders>
            <w:vAlign w:val="center"/>
          </w:tcPr>
          <w:p w14:paraId="67D4F97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31977FEE">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4F55EE15">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28DD88B5">
            <w:pPr>
              <w:jc w:val="center"/>
              <w:rPr>
                <w:rFonts w:hint="eastAsia" w:ascii="宋体" w:hAnsi="宋体" w:eastAsia="宋体" w:cs="宋体"/>
                <w:color w:val="auto"/>
                <w:sz w:val="24"/>
                <w:szCs w:val="24"/>
                <w:highlight w:val="none"/>
                <w:lang w:bidi="ar"/>
              </w:rPr>
            </w:pPr>
          </w:p>
        </w:tc>
      </w:tr>
      <w:tr w14:paraId="3EAEA95C">
        <w:tblPrEx>
          <w:tblCellMar>
            <w:top w:w="0" w:type="dxa"/>
            <w:left w:w="108" w:type="dxa"/>
            <w:bottom w:w="0" w:type="dxa"/>
            <w:right w:w="108" w:type="dxa"/>
          </w:tblCellMar>
        </w:tblPrEx>
        <w:trPr>
          <w:trHeight w:val="1575"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1DBD5677">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7</w:t>
            </w:r>
          </w:p>
        </w:tc>
        <w:tc>
          <w:tcPr>
            <w:tcW w:w="955" w:type="dxa"/>
            <w:tcBorders>
              <w:top w:val="single" w:color="000000" w:sz="4" w:space="0"/>
              <w:left w:val="single" w:color="000000" w:sz="4" w:space="0"/>
              <w:bottom w:val="single" w:color="000000" w:sz="4" w:space="0"/>
              <w:right w:val="single" w:color="000000" w:sz="4" w:space="0"/>
            </w:tcBorders>
            <w:vAlign w:val="center"/>
          </w:tcPr>
          <w:p w14:paraId="0D3E0DB2">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大模型设备助手</w:t>
            </w:r>
          </w:p>
        </w:tc>
        <w:tc>
          <w:tcPr>
            <w:tcW w:w="9301" w:type="dxa"/>
            <w:tcBorders>
              <w:top w:val="single" w:color="000000" w:sz="4" w:space="0"/>
              <w:left w:val="single" w:color="000000" w:sz="4" w:space="0"/>
              <w:bottom w:val="single" w:color="000000" w:sz="4" w:space="0"/>
              <w:right w:val="single" w:color="000000" w:sz="4" w:space="0"/>
            </w:tcBorders>
            <w:vAlign w:val="center"/>
          </w:tcPr>
          <w:p w14:paraId="3BA76F6B">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借助大模型知识总结、智能问答的能力，结合公司大量的设备操作规程、设备点检规程、安全操作规程、例保规程以及应急预案等，基于大模型开发平台进行文档向量化，经过主题化分类后，帮助提升设备故障的快速响应能力和生产应急处理能力。</w:t>
            </w:r>
          </w:p>
        </w:tc>
        <w:tc>
          <w:tcPr>
            <w:tcW w:w="600" w:type="dxa"/>
            <w:tcBorders>
              <w:top w:val="single" w:color="000000" w:sz="4" w:space="0"/>
              <w:left w:val="single" w:color="000000" w:sz="4" w:space="0"/>
              <w:bottom w:val="single" w:color="000000" w:sz="4" w:space="0"/>
              <w:right w:val="single" w:color="000000" w:sz="4" w:space="0"/>
            </w:tcBorders>
            <w:vAlign w:val="center"/>
          </w:tcPr>
          <w:p w14:paraId="572334FD">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49EF9B6B">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247D69AC">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0CC45F80">
            <w:pPr>
              <w:jc w:val="center"/>
              <w:rPr>
                <w:rFonts w:hint="eastAsia" w:ascii="宋体" w:hAnsi="宋体" w:eastAsia="宋体" w:cs="宋体"/>
                <w:color w:val="auto"/>
                <w:sz w:val="24"/>
                <w:szCs w:val="24"/>
                <w:highlight w:val="none"/>
                <w:lang w:bidi="ar"/>
              </w:rPr>
            </w:pPr>
          </w:p>
        </w:tc>
      </w:tr>
      <w:tr w14:paraId="7DD29874">
        <w:tblPrEx>
          <w:tblCellMar>
            <w:top w:w="0" w:type="dxa"/>
            <w:left w:w="108" w:type="dxa"/>
            <w:bottom w:w="0" w:type="dxa"/>
            <w:right w:w="108" w:type="dxa"/>
          </w:tblCellMar>
        </w:tblPrEx>
        <w:trPr>
          <w:trHeight w:val="1272" w:hRule="atLeast"/>
          <w:jc w:val="center"/>
        </w:trPr>
        <w:tc>
          <w:tcPr>
            <w:tcW w:w="746" w:type="dxa"/>
            <w:tcBorders>
              <w:top w:val="single" w:color="000000" w:sz="4" w:space="0"/>
              <w:left w:val="single" w:color="000000" w:sz="4" w:space="0"/>
              <w:bottom w:val="single" w:color="000000" w:sz="4" w:space="0"/>
              <w:right w:val="single" w:color="000000" w:sz="4" w:space="0"/>
            </w:tcBorders>
            <w:vAlign w:val="center"/>
          </w:tcPr>
          <w:p w14:paraId="596077C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w:t>
            </w:r>
          </w:p>
        </w:tc>
        <w:tc>
          <w:tcPr>
            <w:tcW w:w="955" w:type="dxa"/>
            <w:tcBorders>
              <w:top w:val="single" w:color="000000" w:sz="4" w:space="0"/>
              <w:left w:val="single" w:color="000000" w:sz="4" w:space="0"/>
              <w:bottom w:val="single" w:color="000000" w:sz="4" w:space="0"/>
              <w:right w:val="single" w:color="000000" w:sz="4" w:space="0"/>
            </w:tcBorders>
            <w:vAlign w:val="center"/>
          </w:tcPr>
          <w:p w14:paraId="4B50F304">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讲解机器人</w:t>
            </w:r>
          </w:p>
        </w:tc>
        <w:tc>
          <w:tcPr>
            <w:tcW w:w="9301" w:type="dxa"/>
            <w:tcBorders>
              <w:top w:val="single" w:color="000000" w:sz="4" w:space="0"/>
              <w:left w:val="single" w:color="000000" w:sz="4" w:space="0"/>
              <w:bottom w:val="single" w:color="000000" w:sz="4" w:space="0"/>
              <w:right w:val="single" w:color="000000" w:sz="4" w:space="0"/>
            </w:tcBorders>
            <w:vAlign w:val="center"/>
          </w:tcPr>
          <w:p w14:paraId="18B2B775">
            <w:pPr>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结合北部水厂水厂工艺、水厂新闻等知识，打造水厂讲解机器人，以自然流畅的语言与用户进行对话，针对水厂运行专业问题和节水知识普及等领域问题，提供准确的信息和知识，推动水资源保护、节水意识提升、水文化传承与科普教育。</w:t>
            </w:r>
          </w:p>
        </w:tc>
        <w:tc>
          <w:tcPr>
            <w:tcW w:w="600" w:type="dxa"/>
            <w:tcBorders>
              <w:top w:val="single" w:color="000000" w:sz="4" w:space="0"/>
              <w:left w:val="single" w:color="000000" w:sz="4" w:space="0"/>
              <w:bottom w:val="single" w:color="000000" w:sz="4" w:space="0"/>
              <w:right w:val="single" w:color="000000" w:sz="4" w:space="0"/>
            </w:tcBorders>
            <w:vAlign w:val="center"/>
          </w:tcPr>
          <w:p w14:paraId="39F500EC">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581" w:type="dxa"/>
            <w:tcBorders>
              <w:top w:val="single" w:color="000000" w:sz="4" w:space="0"/>
              <w:left w:val="single" w:color="000000" w:sz="4" w:space="0"/>
              <w:bottom w:val="single" w:color="000000" w:sz="4" w:space="0"/>
              <w:right w:val="single" w:color="000000" w:sz="4" w:space="0"/>
            </w:tcBorders>
            <w:vAlign w:val="center"/>
          </w:tcPr>
          <w:p w14:paraId="7AC17566">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宗</w:t>
            </w:r>
          </w:p>
        </w:tc>
        <w:tc>
          <w:tcPr>
            <w:tcW w:w="844" w:type="dxa"/>
            <w:tcBorders>
              <w:top w:val="single" w:color="000000" w:sz="4" w:space="0"/>
              <w:left w:val="single" w:color="000000" w:sz="4" w:space="0"/>
              <w:bottom w:val="single" w:color="000000" w:sz="4" w:space="0"/>
              <w:right w:val="single" w:color="000000" w:sz="4" w:space="0"/>
            </w:tcBorders>
            <w:vAlign w:val="center"/>
          </w:tcPr>
          <w:p w14:paraId="7D09A8CA">
            <w:pPr>
              <w:jc w:val="center"/>
              <w:rPr>
                <w:rFonts w:hint="eastAsia" w:ascii="宋体" w:hAnsi="宋体" w:eastAsia="宋体" w:cs="宋体"/>
                <w:color w:val="auto"/>
                <w:sz w:val="24"/>
                <w:szCs w:val="24"/>
                <w:highlight w:val="none"/>
                <w:lang w:bidi="ar"/>
              </w:rPr>
            </w:pPr>
          </w:p>
        </w:tc>
        <w:tc>
          <w:tcPr>
            <w:tcW w:w="732" w:type="dxa"/>
            <w:tcBorders>
              <w:top w:val="single" w:color="000000" w:sz="4" w:space="0"/>
              <w:left w:val="single" w:color="000000" w:sz="4" w:space="0"/>
              <w:bottom w:val="single" w:color="000000" w:sz="4" w:space="0"/>
              <w:right w:val="single" w:color="000000" w:sz="4" w:space="0"/>
            </w:tcBorders>
            <w:vAlign w:val="center"/>
          </w:tcPr>
          <w:p w14:paraId="5B7C8F68">
            <w:pPr>
              <w:jc w:val="center"/>
              <w:rPr>
                <w:rFonts w:hint="eastAsia" w:ascii="宋体" w:hAnsi="宋体" w:eastAsia="宋体" w:cs="宋体"/>
                <w:color w:val="auto"/>
                <w:sz w:val="24"/>
                <w:szCs w:val="24"/>
                <w:highlight w:val="none"/>
                <w:lang w:bidi="ar"/>
              </w:rPr>
            </w:pPr>
          </w:p>
        </w:tc>
      </w:tr>
      <w:tr w14:paraId="7D59BE0A">
        <w:tblPrEx>
          <w:tblCellMar>
            <w:top w:w="0" w:type="dxa"/>
            <w:left w:w="108" w:type="dxa"/>
            <w:bottom w:w="0" w:type="dxa"/>
            <w:right w:w="108" w:type="dxa"/>
          </w:tblCellMar>
        </w:tblPrEx>
        <w:trPr>
          <w:trHeight w:val="597" w:hRule="atLeast"/>
          <w:jc w:val="center"/>
        </w:trPr>
        <w:tc>
          <w:tcPr>
            <w:tcW w:w="13027" w:type="dxa"/>
            <w:gridSpan w:val="6"/>
            <w:tcBorders>
              <w:top w:val="single" w:color="000000" w:sz="4" w:space="0"/>
              <w:left w:val="single" w:color="000000" w:sz="4" w:space="0"/>
              <w:bottom w:val="single" w:color="000000" w:sz="4" w:space="0"/>
              <w:right w:val="single" w:color="000000" w:sz="4" w:space="0"/>
            </w:tcBorders>
            <w:vAlign w:val="center"/>
          </w:tcPr>
          <w:p w14:paraId="3E5A1ACA">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小计</w:t>
            </w:r>
          </w:p>
        </w:tc>
        <w:tc>
          <w:tcPr>
            <w:tcW w:w="732" w:type="dxa"/>
            <w:tcBorders>
              <w:top w:val="single" w:color="000000" w:sz="4" w:space="0"/>
              <w:left w:val="single" w:color="000000" w:sz="4" w:space="0"/>
              <w:bottom w:val="single" w:color="000000" w:sz="4" w:space="0"/>
              <w:right w:val="single" w:color="000000" w:sz="4" w:space="0"/>
            </w:tcBorders>
            <w:vAlign w:val="center"/>
          </w:tcPr>
          <w:p w14:paraId="3879CD12">
            <w:pPr>
              <w:jc w:val="center"/>
              <w:rPr>
                <w:rFonts w:hint="eastAsia" w:ascii="宋体" w:hAnsi="宋体" w:eastAsia="宋体" w:cs="宋体"/>
                <w:color w:val="auto"/>
                <w:sz w:val="24"/>
                <w:szCs w:val="24"/>
                <w:highlight w:val="none"/>
                <w:lang w:bidi="ar"/>
              </w:rPr>
            </w:pPr>
          </w:p>
        </w:tc>
      </w:tr>
    </w:tbl>
    <w:p w14:paraId="7A49BE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color w:val="auto"/>
          <w:highlight w:val="none"/>
        </w:rPr>
        <w:sectPr>
          <w:pgSz w:w="16838" w:h="11906" w:orient="landscape"/>
          <w:pgMar w:top="1701" w:right="1701" w:bottom="1701" w:left="1418" w:header="851" w:footer="851" w:gutter="0"/>
          <w:pgNumType w:fmt="decimal"/>
          <w:cols w:space="720" w:num="1"/>
          <w:docGrid w:linePitch="312" w:charSpace="0"/>
        </w:sectPr>
      </w:pPr>
    </w:p>
    <w:p w14:paraId="13666FE6">
      <w:pPr>
        <w:pStyle w:val="6"/>
        <w:rPr>
          <w:rFonts w:hint="eastAsia"/>
          <w:color w:val="auto"/>
          <w:highlight w:val="none"/>
        </w:rPr>
      </w:pPr>
    </w:p>
    <w:bookmarkEnd w:id="136"/>
    <w:p w14:paraId="3175791A">
      <w:pPr>
        <w:pStyle w:val="8"/>
        <w:numPr>
          <w:ilvl w:val="0"/>
          <w:numId w:val="11"/>
        </w:numPr>
        <w:spacing w:line="360" w:lineRule="auto"/>
        <w:jc w:val="center"/>
        <w:rPr>
          <w:rFonts w:hint="eastAsia" w:ascii="宋体" w:hAnsi="宋体" w:eastAsia="宋体" w:cs="宋体"/>
          <w:b/>
          <w:bCs/>
          <w:color w:val="auto"/>
          <w:kern w:val="44"/>
          <w:sz w:val="30"/>
          <w:szCs w:val="44"/>
          <w:highlight w:val="none"/>
        </w:rPr>
      </w:pPr>
      <w:bookmarkStart w:id="160" w:name="_Toc93064494"/>
      <w:bookmarkStart w:id="161" w:name="_Toc11424"/>
      <w:r>
        <w:rPr>
          <w:rFonts w:hint="eastAsia" w:ascii="宋体" w:hAnsi="宋体" w:eastAsia="宋体" w:cs="宋体"/>
          <w:b/>
          <w:bCs/>
          <w:color w:val="auto"/>
          <w:kern w:val="44"/>
          <w:sz w:val="30"/>
          <w:szCs w:val="44"/>
          <w:highlight w:val="none"/>
        </w:rPr>
        <w:t>资格审查部分格式</w:t>
      </w:r>
      <w:bookmarkEnd w:id="160"/>
      <w:bookmarkEnd w:id="161"/>
    </w:p>
    <w:p w14:paraId="4CE62F11">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投标人须为符合《中华人民共和国招标投标法》规定</w:t>
      </w:r>
      <w:r>
        <w:rPr>
          <w:rFonts w:hint="eastAsia" w:ascii="宋体" w:hAnsi="宋体" w:eastAsia="宋体" w:cs="宋体"/>
          <w:color w:val="auto"/>
          <w:sz w:val="24"/>
          <w:szCs w:val="24"/>
          <w:highlight w:val="none"/>
          <w:lang w:eastAsia="zh-CN"/>
        </w:rPr>
        <w:t>的独立法人或其他组织，按国家法律经营；</w:t>
      </w:r>
      <w:r>
        <w:rPr>
          <w:rFonts w:hint="eastAsia" w:ascii="宋体" w:hAnsi="宋体" w:eastAsia="宋体" w:cs="宋体"/>
          <w:color w:val="auto"/>
          <w:sz w:val="24"/>
          <w:szCs w:val="24"/>
          <w:highlight w:val="none"/>
        </w:rPr>
        <w:t>具有有效的营业执照。单位负责人为同一人或者存在控股、管理关系的不同单位，不得参与</w:t>
      </w:r>
      <w:r>
        <w:rPr>
          <w:rFonts w:hint="eastAsia" w:ascii="宋体" w:hAnsi="宋体" w:eastAsia="宋体" w:cs="宋体"/>
          <w:color w:val="auto"/>
          <w:sz w:val="24"/>
          <w:szCs w:val="24"/>
          <w:highlight w:val="none"/>
          <w:lang w:eastAsia="zh-CN"/>
        </w:rPr>
        <w:t>同一个标段</w:t>
      </w:r>
      <w:r>
        <w:rPr>
          <w:rFonts w:hint="eastAsia" w:ascii="宋体" w:hAnsi="宋体" w:eastAsia="宋体" w:cs="宋体"/>
          <w:color w:val="auto"/>
          <w:sz w:val="24"/>
          <w:szCs w:val="24"/>
          <w:highlight w:val="none"/>
        </w:rPr>
        <w:t>投标</w:t>
      </w:r>
      <w:r>
        <w:rPr>
          <w:rFonts w:hint="eastAsia" w:ascii="宋体" w:hAnsi="宋体" w:eastAsia="宋体" w:cs="宋体"/>
          <w:color w:val="auto"/>
          <w:kern w:val="0"/>
          <w:sz w:val="24"/>
          <w:szCs w:val="24"/>
          <w:highlight w:val="none"/>
          <w:shd w:val="clear" w:color="auto" w:fill="auto"/>
          <w:lang w:bidi="ar"/>
        </w:rPr>
        <w:t>或者未划分标段的同一招标项目投标</w:t>
      </w:r>
    </w:p>
    <w:p w14:paraId="05C0834D">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i w:val="0"/>
          <w:iCs w:val="0"/>
          <w:caps w:val="0"/>
          <w:color w:val="auto"/>
          <w:spacing w:val="0"/>
          <w:kern w:val="0"/>
          <w:sz w:val="24"/>
          <w:szCs w:val="24"/>
          <w:highlight w:val="none"/>
          <w:shd w:val="clear" w:color="auto" w:fill="auto"/>
          <w:lang w:bidi="ar"/>
        </w:rPr>
        <w:t>投标人自20</w:t>
      </w:r>
      <w:r>
        <w:rPr>
          <w:rFonts w:hint="eastAsia" w:ascii="宋体" w:hAnsi="宋体" w:eastAsia="宋体" w:cs="宋体"/>
          <w:i w:val="0"/>
          <w:iCs w:val="0"/>
          <w:caps w:val="0"/>
          <w:color w:val="auto"/>
          <w:spacing w:val="0"/>
          <w:kern w:val="0"/>
          <w:sz w:val="24"/>
          <w:szCs w:val="24"/>
          <w:highlight w:val="none"/>
          <w:shd w:val="clear" w:color="auto" w:fill="auto"/>
          <w:lang w:eastAsia="zh-CN" w:bidi="ar"/>
        </w:rPr>
        <w:t>1</w:t>
      </w:r>
      <w:r>
        <w:rPr>
          <w:rFonts w:hint="eastAsia" w:ascii="宋体" w:hAnsi="宋体" w:eastAsia="宋体" w:cs="宋体"/>
          <w:i w:val="0"/>
          <w:iCs w:val="0"/>
          <w:caps w:val="0"/>
          <w:color w:val="auto"/>
          <w:spacing w:val="0"/>
          <w:kern w:val="0"/>
          <w:sz w:val="24"/>
          <w:szCs w:val="24"/>
          <w:highlight w:val="none"/>
          <w:shd w:val="clear" w:color="auto" w:fill="auto"/>
          <w:lang w:val="en-US" w:eastAsia="zh-CN" w:bidi="ar"/>
        </w:rPr>
        <w:t>9</w:t>
      </w:r>
      <w:r>
        <w:rPr>
          <w:rFonts w:hint="eastAsia" w:ascii="宋体" w:hAnsi="宋体" w:eastAsia="宋体" w:cs="宋体"/>
          <w:i w:val="0"/>
          <w:iCs w:val="0"/>
          <w:caps w:val="0"/>
          <w:color w:val="auto"/>
          <w:spacing w:val="0"/>
          <w:kern w:val="0"/>
          <w:sz w:val="24"/>
          <w:szCs w:val="24"/>
          <w:highlight w:val="none"/>
          <w:shd w:val="clear" w:color="auto" w:fill="auto"/>
          <w:lang w:bidi="ar"/>
        </w:rPr>
        <w:t>年1月1日至</w:t>
      </w:r>
      <w:r>
        <w:rPr>
          <w:rFonts w:hint="eastAsia" w:ascii="宋体" w:hAnsi="宋体" w:eastAsia="宋体" w:cs="宋体"/>
          <w:bCs w:val="0"/>
          <w:color w:val="auto"/>
          <w:kern w:val="0"/>
          <w:sz w:val="24"/>
          <w:szCs w:val="24"/>
          <w:highlight w:val="none"/>
          <w:shd w:val="clear" w:color="auto" w:fill="auto"/>
          <w:lang w:bidi="ar"/>
        </w:rPr>
        <w:t>本项目招标公告发布之日止</w:t>
      </w:r>
      <w:r>
        <w:rPr>
          <w:rFonts w:hint="eastAsia" w:ascii="宋体" w:hAnsi="宋体" w:eastAsia="宋体" w:cs="宋体"/>
          <w:i w:val="0"/>
          <w:iCs w:val="0"/>
          <w:caps w:val="0"/>
          <w:color w:val="auto"/>
          <w:spacing w:val="0"/>
          <w:kern w:val="0"/>
          <w:sz w:val="24"/>
          <w:szCs w:val="24"/>
          <w:highlight w:val="none"/>
          <w:shd w:val="clear" w:color="auto" w:fill="auto"/>
          <w:lang w:bidi="ar"/>
        </w:rPr>
        <w:t>，至少</w:t>
      </w:r>
      <w:r>
        <w:rPr>
          <w:rFonts w:hint="eastAsia" w:ascii="宋体" w:hAnsi="宋体" w:eastAsia="宋体" w:cs="宋体"/>
          <w:i w:val="0"/>
          <w:iCs w:val="0"/>
          <w:caps w:val="0"/>
          <w:color w:val="auto"/>
          <w:spacing w:val="0"/>
          <w:kern w:val="0"/>
          <w:sz w:val="24"/>
          <w:szCs w:val="24"/>
          <w:highlight w:val="none"/>
          <w:shd w:val="clear" w:color="auto" w:fill="auto"/>
          <w:lang w:val="en-US" w:eastAsia="zh-CN" w:bidi="ar"/>
        </w:rPr>
        <w:t>完成</w:t>
      </w:r>
      <w:r>
        <w:rPr>
          <w:rFonts w:hint="eastAsia" w:ascii="宋体" w:hAnsi="宋体" w:eastAsia="宋体" w:cs="宋体"/>
          <w:i w:val="0"/>
          <w:iCs w:val="0"/>
          <w:caps w:val="0"/>
          <w:color w:val="auto"/>
          <w:spacing w:val="0"/>
          <w:kern w:val="0"/>
          <w:sz w:val="24"/>
          <w:szCs w:val="24"/>
          <w:highlight w:val="none"/>
          <w:shd w:val="clear" w:color="auto" w:fill="auto"/>
          <w:lang w:bidi="ar"/>
        </w:rPr>
        <w:t>过一项</w:t>
      </w:r>
      <w:r>
        <w:rPr>
          <w:rFonts w:hint="eastAsia" w:ascii="宋体" w:hAnsi="宋体" w:eastAsia="宋体" w:cs="宋体"/>
          <w:i w:val="0"/>
          <w:iCs w:val="0"/>
          <w:caps w:val="0"/>
          <w:color w:val="auto"/>
          <w:spacing w:val="0"/>
          <w:kern w:val="0"/>
          <w:sz w:val="24"/>
          <w:szCs w:val="24"/>
          <w:highlight w:val="none"/>
          <w:shd w:val="clear" w:color="auto" w:fill="auto"/>
          <w:lang w:val="en-US" w:eastAsia="zh-CN" w:bidi="ar"/>
        </w:rPr>
        <w:t>合同金额为400万元或以上</w:t>
      </w:r>
      <w:r>
        <w:rPr>
          <w:rFonts w:hint="eastAsia" w:ascii="宋体" w:hAnsi="宋体" w:eastAsia="宋体" w:cs="宋体"/>
          <w:i w:val="0"/>
          <w:iCs w:val="0"/>
          <w:caps w:val="0"/>
          <w:color w:val="auto"/>
          <w:spacing w:val="0"/>
          <w:kern w:val="0"/>
          <w:sz w:val="24"/>
          <w:szCs w:val="24"/>
          <w:highlight w:val="none"/>
          <w:shd w:val="clear" w:color="auto" w:fill="auto"/>
          <w:lang w:bidi="ar"/>
        </w:rPr>
        <w:t>基于大模型或智能化应用的相关项目建设业绩。</w:t>
      </w:r>
    </w:p>
    <w:p w14:paraId="6B3C206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3、投标人未被纳入失信联合惩戒名单，失信联合惩戒名单以“信用广州”网站公布的“黑名单”为准。</w:t>
      </w:r>
    </w:p>
    <w:p w14:paraId="494B93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注：①以投标人提供自本项目招标公告发布之日起至本项目投标截止日期止任一天在“信用广州”网站查询的截图为准。</w:t>
      </w:r>
    </w:p>
    <w:p w14:paraId="717754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②查询截图的路径如下：查询网址https;//credit1.gz.gov.cn/publicity/honourFuzzyList?type=2→黑名单）。</w:t>
      </w:r>
    </w:p>
    <w:p w14:paraId="443A161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③如网站查询结果显示“找不到和您的查询相符的记录”或类似意思的表述，则视为没有上述不良信用记录。</w:t>
      </w:r>
    </w:p>
    <w:p w14:paraId="10CB7E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投标人须按招标人规定格式提交《投标人声明》。</w:t>
      </w:r>
    </w:p>
    <w:p w14:paraId="40581EA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投标人须按招标人规定格式提交《投标人廉洁承诺书》。</w:t>
      </w:r>
    </w:p>
    <w:p w14:paraId="2B826B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、关于联合体响应：本项目不接受联合体响应。</w:t>
      </w:r>
    </w:p>
    <w:p w14:paraId="015B0DC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700FD35">
      <w:pPr>
        <w:keepNext w:val="0"/>
        <w:keepLines w:val="0"/>
        <w:pageBreakBefore w:val="0"/>
        <w:widowControl/>
        <w:shd w:val="clear" w:color="auto" w:fill="auto"/>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2.1 投标人声明</w:t>
      </w:r>
    </w:p>
    <w:p w14:paraId="3D65F931">
      <w:pPr>
        <w:spacing w:line="360" w:lineRule="auto"/>
        <w:rPr>
          <w:rStyle w:val="36"/>
          <w:rFonts w:hint="eastAsia" w:ascii="宋体" w:hAnsi="宋体" w:eastAsia="宋体" w:cs="宋体"/>
          <w:color w:val="auto"/>
          <w:sz w:val="24"/>
          <w:highlight w:val="none"/>
        </w:rPr>
      </w:pPr>
      <w:r>
        <w:rPr>
          <w:rStyle w:val="36"/>
          <w:rFonts w:hint="eastAsia" w:ascii="宋体" w:hAnsi="宋体" w:eastAsia="宋体" w:cs="宋体"/>
          <w:color w:val="auto"/>
          <w:sz w:val="24"/>
          <w:highlight w:val="none"/>
        </w:rPr>
        <w:t>致：</w:t>
      </w:r>
      <w:r>
        <w:rPr>
          <w:rFonts w:hint="eastAsia" w:ascii="宋体" w:hAnsi="宋体" w:eastAsia="宋体" w:cs="宋体"/>
          <w:color w:val="auto"/>
          <w:kern w:val="0"/>
          <w:sz w:val="24"/>
          <w:szCs w:val="24"/>
          <w:highlight w:val="none"/>
          <w:u w:val="single"/>
        </w:rPr>
        <w:t>广州市自来水有限公司、广州市自来水有限公司招标办公室</w:t>
      </w:r>
      <w:r>
        <w:rPr>
          <w:rStyle w:val="36"/>
          <w:rFonts w:hint="eastAsia" w:ascii="宋体" w:hAnsi="宋体" w:eastAsia="宋体" w:cs="宋体"/>
          <w:color w:val="auto"/>
          <w:sz w:val="24"/>
          <w:highlight w:val="none"/>
        </w:rPr>
        <w:t>：</w:t>
      </w:r>
    </w:p>
    <w:p w14:paraId="33A274A9">
      <w:pPr>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本公司就参加</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rPr>
        <w:t>广州市自来水有限公司北部水厂智慧化系统开发服务项目</w:t>
      </w:r>
      <w:r>
        <w:rPr>
          <w:rFonts w:hint="eastAsia" w:ascii="宋体" w:hAnsi="宋体" w:eastAsia="宋体" w:cs="宋体"/>
          <w:color w:val="auto"/>
          <w:sz w:val="24"/>
          <w:szCs w:val="24"/>
          <w:highlight w:val="none"/>
        </w:rPr>
        <w:t>投标工作，作出郑重声明：</w:t>
      </w:r>
    </w:p>
    <w:p w14:paraId="7D1B6C4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一、本公司保证投标报名及其后提供的一切材料都是真实的。</w:t>
      </w:r>
    </w:p>
    <w:p w14:paraId="1BF6A59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二、本公司保证在本项目投标中不与其他单位围标、串标，不出让投标资格，不向招标人或评标委员会成员行贿。</w:t>
      </w:r>
    </w:p>
    <w:p w14:paraId="27C8E4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三、本公司保证不存在以下情形之一：</w:t>
      </w:r>
    </w:p>
    <w:p w14:paraId="20A0419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（1）与招标人存在利害关系且可能影响招标公正性；</w:t>
      </w:r>
    </w:p>
    <w:p w14:paraId="1249927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（2）与本招标项目的其他投标人为同一个单位负责人；</w:t>
      </w:r>
    </w:p>
    <w:p w14:paraId="69AC080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（3）与本招标项目的其他投标人存在控股、管理关系；</w:t>
      </w:r>
    </w:p>
    <w:p w14:paraId="69F2CE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（4）为本招标项目提供过设计、编制技术规范和其他文件的咨询服务；</w:t>
      </w:r>
    </w:p>
    <w:p w14:paraId="2D2239A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（5）为本招标项目的代建人；</w:t>
      </w:r>
    </w:p>
    <w:p w14:paraId="0F3AFE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（6）为本招标项目的招标代理机构；</w:t>
      </w:r>
    </w:p>
    <w:p w14:paraId="1C6352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（7）与本招标项目招标代理机构同为一个法定代表人；</w:t>
      </w:r>
    </w:p>
    <w:p w14:paraId="0CE8CB4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（8）与本招标项目招标代理机构存在控股或参股关系；</w:t>
      </w:r>
    </w:p>
    <w:p w14:paraId="38FE7C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（9）被依法暂停或者取消投标资格；</w:t>
      </w:r>
    </w:p>
    <w:p w14:paraId="18BBD8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（10）被责令停产停业、暂扣或者吊销许可证、暂扣或者吊销执照；</w:t>
      </w:r>
    </w:p>
    <w:p w14:paraId="67595C3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（11）进入清算程序，或被宣告破产，或其他丧失履约能力的情形；</w:t>
      </w:r>
    </w:p>
    <w:p w14:paraId="70D8AF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（12）在最近三年内发生重大安全问题（以相关行业主管部门的行政处罚决定或司法机关出具的有关法律文书为准）；</w:t>
      </w:r>
    </w:p>
    <w:p w14:paraId="50EA2FD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（13）被工商行政管理机关在全国企业信用信息公示系统中列入严重违法失信企业名单；</w:t>
      </w:r>
    </w:p>
    <w:p w14:paraId="3408A1E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（14）被最高人民法院在“信用中国”网站（www.creditchina.gov.cn）或各级信用信息共享平台中列入失信被执行人名单；</w:t>
      </w:r>
    </w:p>
    <w:p w14:paraId="10574F6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（15）法律法规或投标人须知前附表规定的其他情形。</w:t>
      </w:r>
    </w:p>
    <w:p w14:paraId="6876E6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四、本公司承诺，中标后不转包或违法分包，在服务过程中，严格执行安全生产相关管理规定。</w:t>
      </w:r>
    </w:p>
    <w:p w14:paraId="1F40A54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如我司通过本项目的资格审查或成为本项目中标候选人，我司同意并授权招标人将我司响应招标文件（或资格预审文件）资格能力条件（资质、营业执照等证书名称、等级、编号，人员、业绩）、投标文件商务部分（报价清单、</w:t>
      </w:r>
      <w:r>
        <w:rPr>
          <w:rFonts w:hint="eastAsia" w:ascii="宋体" w:hAnsi="宋体" w:cs="宋体"/>
          <w:color w:val="auto"/>
          <w:sz w:val="24"/>
          <w:szCs w:val="24"/>
          <w:highlight w:val="none"/>
          <w:lang w:val="en-US" w:eastAsia="zh-CN"/>
        </w:rPr>
        <w:t>服务实施</w:t>
      </w:r>
      <w:r>
        <w:rPr>
          <w:rFonts w:hint="eastAsia" w:ascii="宋体" w:hAnsi="宋体" w:eastAsia="宋体" w:cs="宋体"/>
          <w:color w:val="auto"/>
          <w:sz w:val="24"/>
          <w:szCs w:val="24"/>
          <w:highlight w:val="none"/>
        </w:rPr>
        <w:t>方案等内容除外）等资料进行公示。</w:t>
      </w:r>
    </w:p>
    <w:p w14:paraId="27EFB33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630F2B1C">
      <w:pPr>
        <w:spacing w:line="360" w:lineRule="auto"/>
        <w:ind w:firstLine="600" w:firstLineChars="2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特此声明</w:t>
      </w:r>
      <w:r>
        <w:rPr>
          <w:rFonts w:hint="eastAsia" w:ascii="宋体" w:hAnsi="宋体" w:cs="宋体"/>
          <w:color w:val="auto"/>
          <w:sz w:val="24"/>
          <w:szCs w:val="24"/>
          <w:highlight w:val="none"/>
          <w:lang w:eastAsia="zh-CN"/>
        </w:rPr>
        <w:t>！</w:t>
      </w:r>
    </w:p>
    <w:p w14:paraId="48F9B6A7">
      <w:pPr>
        <w:spacing w:line="360" w:lineRule="auto"/>
        <w:ind w:firstLine="3840" w:firstLineChars="1600"/>
        <w:rPr>
          <w:rFonts w:hint="eastAsia" w:ascii="宋体" w:hAnsi="宋体" w:eastAsia="宋体" w:cs="宋体"/>
          <w:color w:val="auto"/>
          <w:sz w:val="24"/>
          <w:szCs w:val="24"/>
          <w:highlight w:val="none"/>
        </w:rPr>
      </w:pPr>
    </w:p>
    <w:p w14:paraId="25FD652A">
      <w:pPr>
        <w:pStyle w:val="5"/>
        <w:spacing w:line="360" w:lineRule="auto"/>
        <w:rPr>
          <w:rFonts w:hint="eastAsia" w:ascii="宋体" w:hAnsi="宋体" w:eastAsia="宋体" w:cs="宋体"/>
          <w:color w:val="auto"/>
          <w:sz w:val="24"/>
          <w:szCs w:val="24"/>
          <w:highlight w:val="none"/>
        </w:rPr>
      </w:pPr>
    </w:p>
    <w:p w14:paraId="4EE4ACFB">
      <w:pPr>
        <w:pStyle w:val="5"/>
        <w:spacing w:line="360" w:lineRule="auto"/>
        <w:jc w:val="right"/>
        <w:rPr>
          <w:rFonts w:hint="eastAsia" w:ascii="宋体" w:hAnsi="宋体" w:eastAsia="宋体" w:cs="宋体"/>
          <w:color w:val="auto"/>
          <w:sz w:val="24"/>
          <w:szCs w:val="24"/>
          <w:highlight w:val="none"/>
        </w:rPr>
      </w:pPr>
    </w:p>
    <w:p w14:paraId="48245EAA">
      <w:pPr>
        <w:bidi w:val="0"/>
        <w:jc w:val="right"/>
        <w:rPr>
          <w:rFonts w:hint="eastAsia" w:ascii="宋体" w:hAnsi="宋体" w:eastAsia="宋体" w:cs="宋体"/>
          <w:color w:val="auto"/>
          <w:highlight w:val="none"/>
        </w:rPr>
      </w:pPr>
    </w:p>
    <w:p w14:paraId="4FB9F180">
      <w:pPr>
        <w:bidi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 明 企 业（公章）： </w:t>
      </w:r>
    </w:p>
    <w:p w14:paraId="187AF2A4">
      <w:pPr>
        <w:bidi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w:t>
      </w:r>
    </w:p>
    <w:p w14:paraId="516876E7">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outlineLvl w:val="1"/>
        <w:rPr>
          <w:rFonts w:hint="eastAsia" w:ascii="宋体" w:hAnsi="宋体" w:eastAsia="宋体" w:cs="宋体"/>
          <w:b/>
          <w:bCs/>
          <w:color w:val="auto"/>
          <w:sz w:val="32"/>
          <w:szCs w:val="32"/>
          <w:highlight w:val="none"/>
        </w:rPr>
      </w:pPr>
      <w:r>
        <w:rPr>
          <w:rFonts w:hint="eastAsia" w:ascii="宋体" w:hAnsi="宋体" w:eastAsia="宋体" w:cs="宋体"/>
          <w:b/>
          <w:color w:val="auto"/>
          <w:sz w:val="24"/>
          <w:highlight w:val="none"/>
        </w:rPr>
        <w:br w:type="page"/>
      </w:r>
      <w:r>
        <w:rPr>
          <w:rFonts w:hint="eastAsia" w:ascii="宋体" w:hAnsi="宋体" w:eastAsia="宋体" w:cs="宋体"/>
          <w:b/>
          <w:bCs/>
          <w:color w:val="auto"/>
          <w:sz w:val="32"/>
          <w:szCs w:val="32"/>
          <w:highlight w:val="none"/>
        </w:rPr>
        <w:t>2.2</w:t>
      </w:r>
      <w:r>
        <w:rPr>
          <w:rFonts w:hint="eastAsia" w:ascii="宋体" w:hAnsi="宋体" w:eastAsia="宋体" w:cs="宋体"/>
          <w:b/>
          <w:color w:val="auto"/>
          <w:sz w:val="24"/>
          <w:highlight w:val="none"/>
        </w:rPr>
        <w:t xml:space="preserve"> </w:t>
      </w:r>
      <w:r>
        <w:rPr>
          <w:rFonts w:hint="eastAsia" w:ascii="宋体" w:hAnsi="宋体" w:eastAsia="宋体" w:cs="宋体"/>
          <w:b/>
          <w:bCs/>
          <w:color w:val="auto"/>
          <w:sz w:val="32"/>
          <w:szCs w:val="32"/>
          <w:highlight w:val="none"/>
        </w:rPr>
        <w:t>投标人廉洁承诺书</w:t>
      </w:r>
    </w:p>
    <w:p w14:paraId="22CD126C">
      <w:pPr>
        <w:spacing w:line="360" w:lineRule="auto"/>
        <w:rPr>
          <w:rFonts w:hint="eastAsia" w:ascii="宋体" w:hAnsi="宋体" w:eastAsia="宋体" w:cs="宋体"/>
          <w:color w:val="auto"/>
          <w:kern w:val="0"/>
          <w:sz w:val="24"/>
          <w:szCs w:val="24"/>
          <w:highlight w:val="none"/>
          <w:u w:val="single"/>
        </w:rPr>
      </w:pPr>
    </w:p>
    <w:p w14:paraId="38FC6E76">
      <w:pPr>
        <w:spacing w:line="360" w:lineRule="auto"/>
        <w:rPr>
          <w:rFonts w:hint="eastAsia" w:ascii="宋体" w:hAnsi="宋体" w:eastAsia="宋体" w:cs="宋体"/>
          <w:b/>
          <w:color w:val="auto"/>
          <w:sz w:val="24"/>
          <w:highlight w:val="none"/>
        </w:rPr>
      </w:pPr>
      <w:r>
        <w:rPr>
          <w:rFonts w:hint="eastAsia" w:ascii="宋体" w:hAnsi="宋体" w:eastAsia="宋体" w:cs="宋体"/>
          <w:color w:val="auto"/>
          <w:kern w:val="0"/>
          <w:sz w:val="24"/>
          <w:szCs w:val="24"/>
          <w:highlight w:val="none"/>
          <w:u w:val="single"/>
        </w:rPr>
        <w:t>广州市自来水有限公司、广州市自来水有限公司招标办公室</w:t>
      </w:r>
      <w:r>
        <w:rPr>
          <w:rFonts w:hint="eastAsia" w:ascii="宋体" w:hAnsi="宋体" w:eastAsia="宋体" w:cs="宋体"/>
          <w:color w:val="auto"/>
          <w:sz w:val="24"/>
          <w:highlight w:val="none"/>
        </w:rPr>
        <w:t>：</w:t>
      </w:r>
    </w:p>
    <w:p w14:paraId="796AA589">
      <w:pPr>
        <w:adjustRightInd/>
        <w:snapToGrid/>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本公司参加了</w:t>
      </w:r>
      <w:r>
        <w:rPr>
          <w:rFonts w:hint="eastAsia" w:ascii="宋体" w:hAnsi="宋体" w:eastAsia="宋体" w:cs="宋体"/>
          <w:color w:val="auto"/>
          <w:sz w:val="24"/>
          <w:szCs w:val="24"/>
          <w:highlight w:val="none"/>
          <w:u w:val="single"/>
        </w:rPr>
        <w:t xml:space="preserve"> 广州市自来水有限公司北部水厂智慧化系统开发服务项目</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投标，为确保招标工作的公平、公正、公开、有序进行，我们保证遵守《中华人民共和国招标投标法》、《中华人民共和国招标投标法实施条例》、《广东省实施&lt;中华人民共和国招标投标法&gt;办法》等法律法规，特承诺如下事项：</w:t>
      </w:r>
    </w:p>
    <w:p w14:paraId="62A911D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一、自觉遵守国家有关法律法规及廉洁规定。    </w:t>
      </w:r>
    </w:p>
    <w:p w14:paraId="13FC9D2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二、不与招标单位工作人员串通投标，损害国家利益、企业利益以及他人的合法利益；</w:t>
      </w:r>
    </w:p>
    <w:p w14:paraId="120AE5B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三、不与其他单位围标、串标，不出让投标资格，不向招标人或评标委员会成员行贿。</w:t>
      </w:r>
    </w:p>
    <w:p w14:paraId="524381C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四、不以任何名义向参与招标、评标工作的有关人员提供高消费宴请及娱乐活动和赠送回扣、红包、礼金、购物卡、有价证券、贵重物品和好处费、感谢费等；</w:t>
      </w:r>
    </w:p>
    <w:p w14:paraId="21A6E6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五、不以任何名义接受或暗示为参与招标、评标工作的有关人员装修住房、婚丧嫁取、配偶子女的工作安排以及境内外旅游等提供方便；</w:t>
      </w:r>
    </w:p>
    <w:p w14:paraId="23B9681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六、不以谋取非正当利益为目的，擅自与参与招标、评标工作的有关人员就业务问题进行私下商谈或者达成利益默契；</w:t>
      </w:r>
    </w:p>
    <w:p w14:paraId="4D04147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七、按法律规定及合同约定保修合同工程，履行本合同所约定的全部义务。</w:t>
      </w:r>
    </w:p>
    <w:p w14:paraId="13FAE91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八、坚决杜绝转包、违法分包、挂靠等违法违规行为，保证发包人免于承担因本公司违反法律或相关规定而引起的任何责任。未经发包人同意，不将本项目服务的任何部分或任何工作分包给第三方；依法分包服务的承包人应具有相应承包资格及能力。</w:t>
      </w:r>
    </w:p>
    <w:p w14:paraId="048E268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九、自觉接受政府有关部门、发包人或其上级主管部门和单位等对本工程的监督，并无条件配合政府有关部门、发包人或其上级主管部门指定审计机构开展审计工作。</w:t>
      </w:r>
    </w:p>
    <w:p w14:paraId="36DB651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本公司理解并接受服务实施过程即可同步进行审计或监督工作，接受对服务实施全过程审计，包括且不限于服务计量、服务范围变更、资金支付、分包管理、结算等。若政府有关部门、发包人或其上级主管部门、监理单位经核查或审计认定本公司有挂靠或转包或违法分包行为之一的，发包人有权单方解除部分合同或解除合同，由此造成的经济损失由本公司承担。本公司自觉接受行政监督部门的行政处罚。</w:t>
      </w:r>
    </w:p>
    <w:p w14:paraId="7133BAA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十一、如因转包、违法分包（含现场施工作业或管理人员被发现不属于总承包单位或已经备案的依法分包单位人员的情形）、挂靠、项目管理不到位、工人工资纠纷等违反合同的行为，发包人或其上级主管部门有权立即开展调查，本公司无条件配合，相关费用由本公司负责。经核查属实，本公司自觉接受相应处罚。</w:t>
      </w:r>
    </w:p>
    <w:p w14:paraId="25FB929F">
      <w:pPr>
        <w:spacing w:line="360" w:lineRule="auto"/>
        <w:ind w:firstLine="566" w:firstLineChars="236"/>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本公司违反上述承诺，或本承诺陈述与事实不符，经查实，本公司愿意接受公开通报，承担由此带来的法律后果，并自愿停止参加广州市行政辖区内的招标投标活动三个月。</w:t>
      </w:r>
    </w:p>
    <w:p w14:paraId="07972A3E">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特此承诺</w:t>
      </w:r>
      <w:r>
        <w:rPr>
          <w:rFonts w:hint="eastAsia" w:ascii="宋体" w:hAnsi="宋体" w:eastAsia="宋体" w:cs="宋体"/>
          <w:color w:val="auto"/>
          <w:sz w:val="24"/>
          <w:highlight w:val="none"/>
          <w:lang w:eastAsia="zh-CN"/>
        </w:rPr>
        <w:t>！</w:t>
      </w:r>
    </w:p>
    <w:p w14:paraId="3E8B34ED">
      <w:pPr>
        <w:pStyle w:val="5"/>
        <w:spacing w:line="360" w:lineRule="auto"/>
        <w:rPr>
          <w:rFonts w:hint="eastAsia" w:ascii="宋体" w:hAnsi="宋体" w:eastAsia="宋体" w:cs="宋体"/>
          <w:color w:val="auto"/>
          <w:sz w:val="24"/>
          <w:highlight w:val="none"/>
        </w:rPr>
      </w:pPr>
    </w:p>
    <w:p w14:paraId="33F795B7">
      <w:pPr>
        <w:pStyle w:val="5"/>
        <w:spacing w:line="360" w:lineRule="auto"/>
        <w:rPr>
          <w:rFonts w:hint="eastAsia" w:ascii="宋体" w:hAnsi="宋体" w:eastAsia="宋体" w:cs="宋体"/>
          <w:color w:val="auto"/>
          <w:sz w:val="24"/>
          <w:highlight w:val="none"/>
        </w:rPr>
      </w:pPr>
    </w:p>
    <w:p w14:paraId="41316D51">
      <w:pPr>
        <w:pStyle w:val="5"/>
        <w:spacing w:line="360" w:lineRule="auto"/>
        <w:rPr>
          <w:rFonts w:hint="eastAsia" w:ascii="宋体" w:hAnsi="宋体" w:eastAsia="宋体" w:cs="宋体"/>
          <w:color w:val="auto"/>
          <w:sz w:val="24"/>
          <w:highlight w:val="none"/>
        </w:rPr>
      </w:pPr>
    </w:p>
    <w:p w14:paraId="45CCFFEB">
      <w:pPr>
        <w:spacing w:line="360" w:lineRule="auto"/>
        <w:ind w:firstLine="5102" w:firstLineChars="2126"/>
        <w:rPr>
          <w:rFonts w:hint="eastAsia" w:ascii="宋体" w:hAnsi="宋体" w:eastAsia="宋体" w:cs="宋体"/>
          <w:color w:val="auto"/>
          <w:sz w:val="24"/>
          <w:highlight w:val="none"/>
        </w:rPr>
      </w:pPr>
      <w:r>
        <w:rPr>
          <w:rFonts w:hint="eastAsia" w:ascii="宋体" w:hAnsi="宋体" w:eastAsia="宋体" w:cs="宋体"/>
          <w:color w:val="auto"/>
          <w:sz w:val="24"/>
          <w:highlight w:val="none"/>
        </w:rPr>
        <w:t>承诺企业（公章）：</w:t>
      </w:r>
    </w:p>
    <w:p w14:paraId="43CF2DAF">
      <w:pPr>
        <w:spacing w:line="360" w:lineRule="auto"/>
        <w:ind w:firstLine="5102" w:firstLineChars="2126"/>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5F31FECE">
      <w:pPr>
        <w:keepNext w:val="0"/>
        <w:keepLines w:val="0"/>
        <w:pageBreakBefore w:val="0"/>
        <w:widowControl/>
        <w:shd w:val="clea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3E98FFE2">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2.</w:t>
      </w:r>
      <w:r>
        <w:rPr>
          <w:rFonts w:hint="eastAsia" w:ascii="宋体" w:hAnsi="宋体" w:eastAsia="宋体" w:cs="宋体"/>
          <w:b/>
          <w:bCs/>
          <w:color w:val="auto"/>
          <w:sz w:val="32"/>
          <w:szCs w:val="32"/>
          <w:highlight w:val="none"/>
          <w:lang w:val="en-US" w:eastAsia="zh-CN"/>
        </w:rPr>
        <w:t>3</w:t>
      </w:r>
      <w:r>
        <w:rPr>
          <w:rFonts w:hint="eastAsia" w:ascii="宋体" w:hAnsi="宋体" w:eastAsia="宋体" w:cs="宋体"/>
          <w:b/>
          <w:color w:val="auto"/>
          <w:sz w:val="24"/>
          <w:highlight w:val="none"/>
        </w:rPr>
        <w:t xml:space="preserve"> </w:t>
      </w:r>
      <w:r>
        <w:rPr>
          <w:rFonts w:hint="eastAsia" w:ascii="宋体" w:hAnsi="宋体" w:eastAsia="宋体" w:cs="宋体"/>
          <w:b/>
          <w:bCs/>
          <w:color w:val="auto"/>
          <w:sz w:val="32"/>
          <w:szCs w:val="32"/>
          <w:highlight w:val="none"/>
        </w:rPr>
        <w:t>投标人承接过的类似项目业绩表（适用于资格评审）</w:t>
      </w:r>
    </w:p>
    <w:p w14:paraId="102FE403">
      <w:pPr>
        <w:shd w:val="clear" w:color="auto" w:fill="auto"/>
        <w:adjustRightInd/>
        <w:snapToGrid/>
        <w:spacing w:line="240" w:lineRule="auto"/>
        <w:ind w:firstLine="0" w:firstLineChars="0"/>
        <w:jc w:val="left"/>
        <w:rPr>
          <w:rFonts w:hint="eastAsia" w:ascii="宋体" w:hAnsi="宋体" w:eastAsia="宋体" w:cs="Arial"/>
          <w:b w:val="0"/>
          <w:bCs/>
          <w:color w:val="auto"/>
          <w:sz w:val="21"/>
          <w:szCs w:val="21"/>
          <w:highlight w:val="none"/>
          <w:lang w:val="en-US" w:eastAsia="zh-CN"/>
        </w:rPr>
      </w:pPr>
    </w:p>
    <w:p w14:paraId="0512A01E">
      <w:pPr>
        <w:shd w:val="clear" w:color="auto" w:fill="auto"/>
        <w:adjustRightInd/>
        <w:snapToGrid/>
        <w:spacing w:line="240" w:lineRule="auto"/>
        <w:ind w:firstLine="0" w:firstLineChars="0"/>
        <w:jc w:val="left"/>
        <w:rPr>
          <w:rFonts w:hint="eastAsia" w:ascii="宋体" w:hAnsi="宋体" w:eastAsia="宋体" w:cs="宋体"/>
          <w:b w:val="0"/>
          <w:bCs/>
          <w:color w:val="auto"/>
          <w:sz w:val="24"/>
          <w:szCs w:val="24"/>
          <w:highlight w:val="none"/>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1"/>
        <w:gridCol w:w="981"/>
        <w:gridCol w:w="981"/>
        <w:gridCol w:w="2030"/>
        <w:gridCol w:w="981"/>
        <w:gridCol w:w="1330"/>
        <w:gridCol w:w="980"/>
        <w:gridCol w:w="806"/>
      </w:tblGrid>
      <w:tr w14:paraId="29D2A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58042618">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2637C9D4">
            <w:pPr>
              <w:jc w:val="center"/>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合同</w:t>
            </w:r>
            <w:r>
              <w:rPr>
                <w:rFonts w:hint="eastAsia" w:ascii="宋体" w:hAnsi="宋体" w:eastAsia="宋体" w:cs="宋体"/>
                <w:bCs/>
                <w:color w:val="auto"/>
                <w:sz w:val="24"/>
                <w:szCs w:val="24"/>
                <w:highlight w:val="none"/>
              </w:rPr>
              <w:t>名称</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55C6ADB7">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委托单位</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4DFB971">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委托单位联系人</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rPr>
              <w:t>电话</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5E2B5688">
            <w:pPr>
              <w:jc w:val="center"/>
              <w:rPr>
                <w:color w:val="auto"/>
                <w:highlight w:val="none"/>
              </w:rPr>
            </w:pP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地址</w:t>
            </w:r>
          </w:p>
          <w:p w14:paraId="47CE163A">
            <w:pPr>
              <w:jc w:val="center"/>
              <w:rPr>
                <w:rFonts w:hint="eastAsia" w:ascii="宋体" w:hAnsi="宋体" w:eastAsia="宋体" w:cs="宋体"/>
                <w:bCs/>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6F315B87">
            <w:pPr>
              <w:jc w:val="center"/>
              <w:rPr>
                <w:rFonts w:hint="eastAsia" w:ascii="宋体" w:hAnsi="宋体" w:eastAsia="宋体" w:cs="宋体"/>
                <w:bCs w:val="0"/>
                <w:color w:val="auto"/>
                <w:sz w:val="24"/>
                <w:szCs w:val="24"/>
                <w:highlight w:val="none"/>
              </w:rPr>
            </w:pPr>
            <w:r>
              <w:rPr>
                <w:rFonts w:hint="eastAsia" w:ascii="宋体" w:hAnsi="宋体" w:eastAsia="宋体" w:cs="宋体"/>
                <w:color w:val="auto"/>
                <w:sz w:val="24"/>
                <w:szCs w:val="24"/>
                <w:highlight w:val="none"/>
              </w:rPr>
              <w:t>服务合同总价</w:t>
            </w:r>
          </w:p>
        </w:tc>
        <w:tc>
          <w:tcPr>
            <w:tcW w:w="981" w:type="dxa"/>
            <w:tcBorders>
              <w:top w:val="single" w:color="auto" w:sz="6" w:space="0"/>
              <w:left w:val="single" w:color="auto" w:sz="6" w:space="0"/>
              <w:bottom w:val="single" w:color="auto" w:sz="6" w:space="0"/>
              <w:right w:val="single" w:color="auto" w:sz="6" w:space="0"/>
            </w:tcBorders>
            <w:noWrap w:val="0"/>
            <w:vAlign w:val="center"/>
          </w:tcPr>
          <w:p w14:paraId="11E6ECCD">
            <w:pPr>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服务内容</w:t>
            </w:r>
          </w:p>
        </w:tc>
        <w:tc>
          <w:tcPr>
            <w:tcW w:w="806" w:type="dxa"/>
            <w:tcBorders>
              <w:top w:val="single" w:color="auto" w:sz="6" w:space="0"/>
              <w:left w:val="single" w:color="auto" w:sz="6" w:space="0"/>
              <w:bottom w:val="single" w:color="auto" w:sz="6" w:space="0"/>
              <w:right w:val="single" w:color="auto" w:sz="6" w:space="0"/>
            </w:tcBorders>
            <w:noWrap w:val="0"/>
            <w:vAlign w:val="center"/>
          </w:tcPr>
          <w:p w14:paraId="6B60FD95">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服务期</w:t>
            </w:r>
          </w:p>
        </w:tc>
      </w:tr>
      <w:tr w14:paraId="4C8D6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62161C7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4BDA3812">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1E150AEF">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78FB101">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86B812B">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4966AAC">
            <w:pPr>
              <w:jc w:val="center"/>
              <w:rPr>
                <w:rFonts w:hint="eastAsia" w:ascii="宋体" w:hAnsi="宋体" w:eastAsia="宋体" w:cs="宋体"/>
                <w:color w:val="auto"/>
                <w:sz w:val="24"/>
                <w:szCs w:val="24"/>
                <w:highlight w:val="none"/>
              </w:rPr>
            </w:pPr>
          </w:p>
        </w:tc>
        <w:tc>
          <w:tcPr>
            <w:tcW w:w="981" w:type="dxa"/>
            <w:tcBorders>
              <w:top w:val="single" w:color="auto" w:sz="6" w:space="0"/>
              <w:left w:val="single" w:color="auto" w:sz="6" w:space="0"/>
              <w:bottom w:val="single" w:color="auto" w:sz="6" w:space="0"/>
              <w:right w:val="single" w:color="auto" w:sz="6" w:space="0"/>
            </w:tcBorders>
            <w:noWrap w:val="0"/>
            <w:vAlign w:val="center"/>
          </w:tcPr>
          <w:p w14:paraId="654746BC">
            <w:pPr>
              <w:jc w:val="center"/>
              <w:rPr>
                <w:rFonts w:hint="eastAsia" w:ascii="宋体" w:hAnsi="宋体" w:eastAsia="宋体" w:cs="宋体"/>
                <w:color w:val="auto"/>
                <w:sz w:val="24"/>
                <w:szCs w:val="24"/>
                <w:highlight w:val="none"/>
              </w:rPr>
            </w:pPr>
          </w:p>
        </w:tc>
        <w:tc>
          <w:tcPr>
            <w:tcW w:w="806" w:type="dxa"/>
            <w:tcBorders>
              <w:top w:val="single" w:color="auto" w:sz="6" w:space="0"/>
              <w:left w:val="single" w:color="auto" w:sz="6" w:space="0"/>
              <w:bottom w:val="single" w:color="auto" w:sz="6" w:space="0"/>
              <w:right w:val="single" w:color="auto" w:sz="6" w:space="0"/>
            </w:tcBorders>
            <w:noWrap w:val="0"/>
            <w:vAlign w:val="center"/>
          </w:tcPr>
          <w:p w14:paraId="4BFC87F9">
            <w:pPr>
              <w:jc w:val="center"/>
              <w:rPr>
                <w:rFonts w:hint="eastAsia" w:ascii="宋体" w:hAnsi="宋体" w:eastAsia="宋体" w:cs="宋体"/>
                <w:color w:val="auto"/>
                <w:sz w:val="24"/>
                <w:szCs w:val="24"/>
                <w:highlight w:val="none"/>
              </w:rPr>
            </w:pPr>
          </w:p>
        </w:tc>
      </w:tr>
      <w:tr w14:paraId="5E1EC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3D97713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38AC36A1">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6305BB70">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1568D115">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315A653C">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666BF7D8">
            <w:pPr>
              <w:jc w:val="center"/>
              <w:rPr>
                <w:rFonts w:hint="eastAsia" w:ascii="宋体" w:hAnsi="宋体" w:eastAsia="宋体" w:cs="宋体"/>
                <w:color w:val="auto"/>
                <w:sz w:val="24"/>
                <w:szCs w:val="24"/>
                <w:highlight w:val="none"/>
              </w:rPr>
            </w:pPr>
          </w:p>
        </w:tc>
        <w:tc>
          <w:tcPr>
            <w:tcW w:w="981" w:type="dxa"/>
            <w:tcBorders>
              <w:top w:val="single" w:color="auto" w:sz="6" w:space="0"/>
              <w:left w:val="single" w:color="auto" w:sz="6" w:space="0"/>
              <w:bottom w:val="single" w:color="auto" w:sz="6" w:space="0"/>
              <w:right w:val="single" w:color="auto" w:sz="6" w:space="0"/>
            </w:tcBorders>
            <w:noWrap w:val="0"/>
            <w:vAlign w:val="center"/>
          </w:tcPr>
          <w:p w14:paraId="77D95761">
            <w:pPr>
              <w:jc w:val="center"/>
              <w:rPr>
                <w:rFonts w:hint="eastAsia" w:ascii="宋体" w:hAnsi="宋体" w:eastAsia="宋体" w:cs="宋体"/>
                <w:color w:val="auto"/>
                <w:sz w:val="24"/>
                <w:szCs w:val="24"/>
                <w:highlight w:val="none"/>
              </w:rPr>
            </w:pPr>
          </w:p>
        </w:tc>
        <w:tc>
          <w:tcPr>
            <w:tcW w:w="806" w:type="dxa"/>
            <w:tcBorders>
              <w:top w:val="single" w:color="auto" w:sz="6" w:space="0"/>
              <w:left w:val="single" w:color="auto" w:sz="6" w:space="0"/>
              <w:bottom w:val="single" w:color="auto" w:sz="6" w:space="0"/>
              <w:right w:val="single" w:color="auto" w:sz="6" w:space="0"/>
            </w:tcBorders>
            <w:noWrap w:val="0"/>
            <w:vAlign w:val="center"/>
          </w:tcPr>
          <w:p w14:paraId="31ADE8AF">
            <w:pPr>
              <w:jc w:val="center"/>
              <w:rPr>
                <w:rFonts w:hint="eastAsia" w:ascii="宋体" w:hAnsi="宋体" w:eastAsia="宋体" w:cs="宋体"/>
                <w:color w:val="auto"/>
                <w:sz w:val="24"/>
                <w:szCs w:val="24"/>
                <w:highlight w:val="none"/>
              </w:rPr>
            </w:pPr>
          </w:p>
        </w:tc>
      </w:tr>
      <w:tr w14:paraId="7A5A4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1C108D4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1A13F11">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13A7357E">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EC9BED0">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CEE046F">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270688E2">
            <w:pPr>
              <w:jc w:val="center"/>
              <w:rPr>
                <w:rFonts w:hint="eastAsia" w:ascii="宋体" w:hAnsi="宋体" w:eastAsia="宋体" w:cs="宋体"/>
                <w:color w:val="auto"/>
                <w:sz w:val="24"/>
                <w:szCs w:val="24"/>
                <w:highlight w:val="none"/>
              </w:rPr>
            </w:pPr>
          </w:p>
        </w:tc>
        <w:tc>
          <w:tcPr>
            <w:tcW w:w="981" w:type="dxa"/>
            <w:tcBorders>
              <w:top w:val="single" w:color="auto" w:sz="6" w:space="0"/>
              <w:left w:val="single" w:color="auto" w:sz="6" w:space="0"/>
              <w:bottom w:val="single" w:color="auto" w:sz="6" w:space="0"/>
              <w:right w:val="single" w:color="auto" w:sz="6" w:space="0"/>
            </w:tcBorders>
            <w:noWrap w:val="0"/>
            <w:vAlign w:val="center"/>
          </w:tcPr>
          <w:p w14:paraId="6D3265C5">
            <w:pPr>
              <w:jc w:val="center"/>
              <w:rPr>
                <w:rFonts w:hint="eastAsia" w:ascii="宋体" w:hAnsi="宋体" w:eastAsia="宋体" w:cs="宋体"/>
                <w:color w:val="auto"/>
                <w:sz w:val="24"/>
                <w:szCs w:val="24"/>
                <w:highlight w:val="none"/>
              </w:rPr>
            </w:pPr>
          </w:p>
        </w:tc>
        <w:tc>
          <w:tcPr>
            <w:tcW w:w="806" w:type="dxa"/>
            <w:tcBorders>
              <w:top w:val="single" w:color="auto" w:sz="6" w:space="0"/>
              <w:left w:val="single" w:color="auto" w:sz="6" w:space="0"/>
              <w:bottom w:val="single" w:color="auto" w:sz="6" w:space="0"/>
              <w:right w:val="single" w:color="auto" w:sz="6" w:space="0"/>
            </w:tcBorders>
            <w:noWrap w:val="0"/>
            <w:vAlign w:val="center"/>
          </w:tcPr>
          <w:p w14:paraId="7B014852">
            <w:pPr>
              <w:jc w:val="center"/>
              <w:rPr>
                <w:rFonts w:hint="eastAsia" w:ascii="宋体" w:hAnsi="宋体" w:eastAsia="宋体" w:cs="宋体"/>
                <w:color w:val="auto"/>
                <w:sz w:val="24"/>
                <w:szCs w:val="24"/>
                <w:highlight w:val="none"/>
              </w:rPr>
            </w:pPr>
          </w:p>
        </w:tc>
      </w:tr>
    </w:tbl>
    <w:p w14:paraId="1105AD02">
      <w:pPr>
        <w:adjustRightInd w:val="0"/>
        <w:spacing w:line="360" w:lineRule="auto"/>
        <w:ind w:firstLine="540" w:firstLineChars="225"/>
        <w:rPr>
          <w:rFonts w:hint="eastAsia" w:ascii="宋体" w:hAnsi="宋体" w:eastAsia="宋体" w:cs="宋体"/>
          <w:color w:val="auto"/>
          <w:sz w:val="24"/>
          <w:szCs w:val="24"/>
          <w:highlight w:val="none"/>
        </w:rPr>
      </w:pPr>
    </w:p>
    <w:p w14:paraId="46D369EE">
      <w:pPr>
        <w:keepNext w:val="0"/>
        <w:keepLines w:val="0"/>
        <w:pageBreakBefore w:val="0"/>
        <w:widowControl/>
        <w:numPr>
          <w:ilvl w:val="-1"/>
          <w:numId w:val="0"/>
        </w:numPr>
        <w:shd w:val="clear" w:color="auto" w:fill="auto"/>
        <w:kinsoku/>
        <w:wordWrap/>
        <w:overflowPunct/>
        <w:topLinePunct w:val="0"/>
        <w:autoSpaceDE/>
        <w:autoSpaceDN/>
        <w:bidi w:val="0"/>
        <w:adjustRightInd w:val="0"/>
        <w:snapToGrid/>
        <w:spacing w:line="360" w:lineRule="auto"/>
        <w:ind w:righ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17A27FA5">
      <w:pPr>
        <w:keepNext w:val="0"/>
        <w:keepLines w:val="0"/>
        <w:pageBreakBefore w:val="0"/>
        <w:widowControl/>
        <w:numPr>
          <w:ilvl w:val="-1"/>
          <w:numId w:val="0"/>
        </w:numPr>
        <w:shd w:val="clear" w:color="auto" w:fill="auto"/>
        <w:kinsoku/>
        <w:wordWrap/>
        <w:overflowPunct/>
        <w:topLinePunct w:val="0"/>
        <w:autoSpaceDE/>
        <w:autoSpaceDN/>
        <w:bidi w:val="0"/>
        <w:adjustRightInd w:val="0"/>
        <w:snapToGrid/>
        <w:spacing w:line="360" w:lineRule="auto"/>
        <w:ind w:right="0" w:firstLine="540" w:firstLineChars="225"/>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类似项目业绩指投标人自2019年1月1日</w:t>
      </w:r>
      <w:r>
        <w:rPr>
          <w:rFonts w:hint="eastAsia" w:ascii="宋体" w:hAnsi="宋体" w:eastAsia="宋体" w:cs="宋体"/>
          <w:i w:val="0"/>
          <w:iCs w:val="0"/>
          <w:caps w:val="0"/>
          <w:color w:val="auto"/>
          <w:spacing w:val="0"/>
          <w:kern w:val="2"/>
          <w:sz w:val="24"/>
          <w:szCs w:val="24"/>
          <w:highlight w:val="none"/>
          <w:shd w:val="clear" w:color="auto" w:fill="auto"/>
          <w:lang w:bidi="ar"/>
        </w:rPr>
        <w:t>至</w:t>
      </w:r>
      <w:r>
        <w:rPr>
          <w:rFonts w:hint="eastAsia" w:ascii="宋体" w:hAnsi="宋体" w:eastAsia="宋体" w:cs="宋体"/>
          <w:bCs w:val="0"/>
          <w:color w:val="auto"/>
          <w:kern w:val="2"/>
          <w:sz w:val="24"/>
          <w:szCs w:val="24"/>
          <w:highlight w:val="none"/>
          <w:shd w:val="clear" w:color="auto" w:fill="auto"/>
          <w:lang w:bidi="ar"/>
        </w:rPr>
        <w:t>本项目招标公告发布之日止</w:t>
      </w:r>
      <w:r>
        <w:rPr>
          <w:rFonts w:hint="eastAsia" w:ascii="宋体" w:hAnsi="宋体" w:eastAsia="宋体" w:cs="宋体"/>
          <w:i w:val="0"/>
          <w:iCs w:val="0"/>
          <w:caps w:val="0"/>
          <w:color w:val="auto"/>
          <w:spacing w:val="0"/>
          <w:kern w:val="2"/>
          <w:sz w:val="24"/>
          <w:szCs w:val="24"/>
          <w:highlight w:val="none"/>
          <w:shd w:val="clear" w:color="auto" w:fill="auto"/>
          <w:lang w:bidi="ar"/>
        </w:rPr>
        <w:t>，至少</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完成</w:t>
      </w:r>
      <w:r>
        <w:rPr>
          <w:rFonts w:hint="eastAsia" w:ascii="宋体" w:hAnsi="宋体" w:eastAsia="宋体" w:cs="宋体"/>
          <w:i w:val="0"/>
          <w:iCs w:val="0"/>
          <w:caps w:val="0"/>
          <w:color w:val="auto"/>
          <w:spacing w:val="0"/>
          <w:kern w:val="2"/>
          <w:sz w:val="24"/>
          <w:szCs w:val="24"/>
          <w:highlight w:val="none"/>
          <w:shd w:val="clear" w:color="auto" w:fill="auto"/>
          <w:lang w:bidi="ar"/>
        </w:rPr>
        <w:t>过一项</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合同金额为400万元或以上</w:t>
      </w:r>
      <w:r>
        <w:rPr>
          <w:rFonts w:hint="eastAsia" w:ascii="宋体" w:hAnsi="宋体" w:eastAsia="宋体" w:cs="宋体"/>
          <w:i w:val="0"/>
          <w:iCs w:val="0"/>
          <w:caps w:val="0"/>
          <w:color w:val="auto"/>
          <w:spacing w:val="0"/>
          <w:kern w:val="2"/>
          <w:sz w:val="24"/>
          <w:szCs w:val="24"/>
          <w:highlight w:val="none"/>
          <w:shd w:val="clear" w:color="auto" w:fill="auto"/>
          <w:lang w:bidi="ar"/>
        </w:rPr>
        <w:t>基于大模型或智能化应用的相关项目建设业绩。</w:t>
      </w:r>
    </w:p>
    <w:p w14:paraId="464DE86F">
      <w:pPr>
        <w:keepNext w:val="0"/>
        <w:keepLines w:val="0"/>
        <w:pageBreakBefore w:val="0"/>
        <w:widowControl/>
        <w:numPr>
          <w:ilvl w:val="-1"/>
          <w:numId w:val="0"/>
        </w:numPr>
        <w:shd w:val="clear" w:color="auto" w:fill="auto"/>
        <w:kinsoku/>
        <w:wordWrap/>
        <w:overflowPunct/>
        <w:topLinePunct w:val="0"/>
        <w:autoSpaceDE/>
        <w:autoSpaceDN/>
        <w:bidi w:val="0"/>
        <w:adjustRightInd w:val="0"/>
        <w:snapToGrid/>
        <w:spacing w:line="360" w:lineRule="auto"/>
        <w:ind w:right="0" w:firstLine="540" w:firstLineChars="225"/>
        <w:jc w:val="left"/>
        <w:textAlignment w:val="auto"/>
        <w:rPr>
          <w:rFonts w:hint="eastAsia" w:ascii="宋体" w:hAnsi="宋体" w:eastAsia="宋体" w:cs="宋体"/>
          <w:color w:val="auto"/>
          <w:kern w:val="2"/>
          <w:sz w:val="24"/>
          <w:szCs w:val="24"/>
          <w:highlight w:val="none"/>
          <w:shd w:val="clear" w:color="auto" w:fill="auto"/>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kern w:val="2"/>
          <w:sz w:val="24"/>
          <w:szCs w:val="24"/>
          <w:highlight w:val="none"/>
          <w:shd w:val="clear" w:color="auto" w:fill="auto"/>
          <w:lang w:val="en-US"/>
        </w:rPr>
        <w:t>基于大模型的业绩是指包含模型训练</w:t>
      </w:r>
      <w:r>
        <w:rPr>
          <w:rFonts w:hint="eastAsia" w:ascii="宋体" w:hAnsi="宋体" w:eastAsia="宋体" w:cs="宋体"/>
          <w:color w:val="auto"/>
          <w:kern w:val="2"/>
          <w:sz w:val="24"/>
          <w:szCs w:val="24"/>
          <w:highlight w:val="none"/>
          <w:shd w:val="clear" w:color="auto" w:fill="auto"/>
          <w:lang w:val="en-US" w:eastAsia="zh-CN"/>
        </w:rPr>
        <w:t>或大模型平台</w:t>
      </w:r>
      <w:r>
        <w:rPr>
          <w:rFonts w:hint="eastAsia" w:ascii="宋体" w:hAnsi="宋体" w:eastAsia="宋体" w:cs="宋体"/>
          <w:color w:val="auto"/>
          <w:kern w:val="2"/>
          <w:sz w:val="24"/>
          <w:szCs w:val="24"/>
          <w:highlight w:val="none"/>
          <w:shd w:val="clear" w:color="auto" w:fill="auto"/>
          <w:lang w:val="en-US"/>
        </w:rPr>
        <w:t>或大模型加工或大模型应用开发或大模型应用服务内容的项目；</w:t>
      </w:r>
    </w:p>
    <w:p w14:paraId="490D4790">
      <w:pPr>
        <w:widowControl/>
        <w:numPr>
          <w:ilvl w:val="-1"/>
          <w:numId w:val="0"/>
        </w:numPr>
        <w:shd w:val="clear" w:color="auto" w:fill="auto"/>
        <w:adjustRightInd w:val="0"/>
        <w:spacing w:line="360" w:lineRule="auto"/>
        <w:ind w:firstLine="540" w:firstLineChars="225"/>
        <w:jc w:val="left"/>
        <w:rPr>
          <w:rFonts w:hint="eastAsia" w:ascii="宋体" w:hAnsi="宋体" w:eastAsia="宋体" w:cs="宋体"/>
          <w:i w:val="0"/>
          <w:iCs w:val="0"/>
          <w:caps w:val="0"/>
          <w:color w:val="auto"/>
          <w:spacing w:val="0"/>
          <w:kern w:val="2"/>
          <w:sz w:val="24"/>
          <w:szCs w:val="24"/>
          <w:highlight w:val="none"/>
          <w:shd w:val="clear" w:color="auto" w:fill="auto"/>
          <w:lang w:bidi="ar"/>
        </w:rPr>
      </w:pPr>
      <w:r>
        <w:rPr>
          <w:rFonts w:hint="eastAsia" w:ascii="宋体" w:hAnsi="宋体" w:eastAsia="宋体" w:cs="宋体"/>
          <w:color w:val="auto"/>
          <w:kern w:val="2"/>
          <w:sz w:val="24"/>
          <w:szCs w:val="24"/>
          <w:highlight w:val="none"/>
          <w:shd w:val="clear"/>
          <w:lang w:val="en-US" w:eastAsia="zh-CN"/>
        </w:rPr>
        <w:t>3.</w:t>
      </w:r>
      <w:r>
        <w:rPr>
          <w:rFonts w:hint="eastAsia" w:ascii="宋体" w:hAnsi="宋体" w:eastAsia="宋体" w:cs="宋体"/>
          <w:color w:val="auto"/>
          <w:kern w:val="2"/>
          <w:sz w:val="24"/>
          <w:szCs w:val="24"/>
          <w:highlight w:val="none"/>
          <w:shd w:val="clear" w:color="auto" w:fill="auto"/>
          <w:lang w:val="en-US"/>
        </w:rPr>
        <w:t>基于智能化应用的相关项目建设业绩指在智慧城市、智慧水务、智能工业制造、智能交通等多个行业实现有效应用和价值创造的智慧信息化项目；</w:t>
      </w:r>
    </w:p>
    <w:p w14:paraId="7F90E209">
      <w:pPr>
        <w:widowControl/>
        <w:numPr>
          <w:ilvl w:val="-1"/>
          <w:numId w:val="0"/>
        </w:numPr>
        <w:shd w:val="clear" w:color="auto" w:fill="auto"/>
        <w:adjustRightInd w:val="0"/>
        <w:spacing w:line="360" w:lineRule="auto"/>
        <w:ind w:firstLine="540" w:firstLineChars="225"/>
        <w:jc w:val="left"/>
        <w:rPr>
          <w:rFonts w:hint="eastAsia" w:ascii="宋体" w:hAnsi="宋体" w:eastAsia="宋体" w:cs="宋体"/>
          <w:i w:val="0"/>
          <w:iCs w:val="0"/>
          <w:caps w:val="0"/>
          <w:color w:val="auto"/>
          <w:spacing w:val="0"/>
          <w:kern w:val="2"/>
          <w:sz w:val="24"/>
          <w:szCs w:val="24"/>
          <w:highlight w:val="none"/>
          <w:shd w:val="clear" w:color="auto" w:fill="auto"/>
          <w:lang w:bidi="ar"/>
        </w:rPr>
      </w:pPr>
      <w:r>
        <w:rPr>
          <w:rFonts w:hint="eastAsia" w:ascii="宋体" w:hAnsi="宋体" w:eastAsia="宋体" w:cs="宋体"/>
          <w:i w:val="0"/>
          <w:iCs w:val="0"/>
          <w:caps w:val="0"/>
          <w:color w:val="auto"/>
          <w:spacing w:val="0"/>
          <w:kern w:val="2"/>
          <w:sz w:val="24"/>
          <w:szCs w:val="24"/>
          <w:highlight w:val="none"/>
          <w:shd w:val="clear"/>
          <w:lang w:val="en-US" w:eastAsia="zh-CN" w:bidi="ar"/>
        </w:rPr>
        <w:t>4.</w:t>
      </w:r>
      <w:r>
        <w:rPr>
          <w:rFonts w:hint="eastAsia" w:ascii="宋体" w:hAnsi="宋体" w:eastAsia="宋体" w:cs="宋体"/>
          <w:i w:val="0"/>
          <w:iCs w:val="0"/>
          <w:caps w:val="0"/>
          <w:color w:val="auto"/>
          <w:spacing w:val="0"/>
          <w:kern w:val="2"/>
          <w:sz w:val="24"/>
          <w:szCs w:val="24"/>
          <w:highlight w:val="none"/>
          <w:shd w:val="clear" w:color="auto" w:fill="auto"/>
          <w:lang w:bidi="ar"/>
        </w:rPr>
        <w:t>本项目的业绩时间以项目</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验收报告或相关项目验收证明文件</w:t>
      </w:r>
      <w:r>
        <w:rPr>
          <w:rFonts w:hint="eastAsia" w:ascii="宋体" w:hAnsi="宋体" w:eastAsia="宋体" w:cs="宋体"/>
          <w:i w:val="0"/>
          <w:iCs w:val="0"/>
          <w:caps w:val="0"/>
          <w:color w:val="auto"/>
          <w:spacing w:val="0"/>
          <w:kern w:val="2"/>
          <w:sz w:val="24"/>
          <w:szCs w:val="24"/>
          <w:highlight w:val="none"/>
          <w:shd w:val="clear" w:color="auto" w:fill="auto"/>
          <w:lang w:bidi="ar"/>
        </w:rPr>
        <w:t>时间为准</w:t>
      </w:r>
      <w:r>
        <w:rPr>
          <w:rFonts w:hint="eastAsia" w:ascii="宋体" w:hAnsi="宋体" w:eastAsia="宋体" w:cs="宋体"/>
          <w:i w:val="0"/>
          <w:iCs w:val="0"/>
          <w:caps w:val="0"/>
          <w:color w:val="auto"/>
          <w:spacing w:val="0"/>
          <w:kern w:val="2"/>
          <w:sz w:val="24"/>
          <w:szCs w:val="24"/>
          <w:highlight w:val="none"/>
          <w:shd w:val="clear" w:color="auto" w:fill="auto"/>
          <w:lang w:eastAsia="zh-CN" w:bidi="ar"/>
        </w:rPr>
        <w:t>；</w:t>
      </w:r>
    </w:p>
    <w:p w14:paraId="443DF3C9">
      <w:pPr>
        <w:shd w:val="clear" w:color="auto" w:fill="auto"/>
        <w:adjustRightInd w:val="0"/>
        <w:spacing w:line="360" w:lineRule="auto"/>
        <w:ind w:firstLine="540" w:firstLineChars="225"/>
        <w:rPr>
          <w:rFonts w:hint="eastAsia" w:ascii="宋体" w:hAnsi="宋体" w:eastAsia="宋体" w:cs="宋体"/>
          <w:b/>
          <w:bCs/>
          <w:color w:val="auto"/>
          <w:sz w:val="24"/>
          <w:szCs w:val="24"/>
          <w:highlight w:val="none"/>
        </w:rPr>
      </w:pPr>
      <w:r>
        <w:rPr>
          <w:rFonts w:hint="eastAsia" w:ascii="宋体" w:hAnsi="宋体" w:cs="宋体"/>
          <w:i w:val="0"/>
          <w:iCs w:val="0"/>
          <w:caps w:val="0"/>
          <w:color w:val="auto"/>
          <w:spacing w:val="0"/>
          <w:kern w:val="2"/>
          <w:sz w:val="24"/>
          <w:szCs w:val="24"/>
          <w:highlight w:val="none"/>
          <w:shd w:val="clear"/>
          <w:lang w:val="en-US" w:eastAsia="zh-CN" w:bidi="ar"/>
        </w:rPr>
        <w:t>5</w:t>
      </w:r>
      <w:r>
        <w:rPr>
          <w:rFonts w:hint="eastAsia" w:ascii="宋体" w:hAnsi="宋体" w:eastAsia="宋体" w:cs="宋体"/>
          <w:i w:val="0"/>
          <w:iCs w:val="0"/>
          <w:caps w:val="0"/>
          <w:color w:val="auto"/>
          <w:spacing w:val="0"/>
          <w:kern w:val="2"/>
          <w:sz w:val="24"/>
          <w:szCs w:val="24"/>
          <w:highlight w:val="none"/>
          <w:shd w:val="clear"/>
          <w:lang w:val="en-US" w:eastAsia="zh-CN" w:bidi="ar"/>
        </w:rPr>
        <w:t>.</w:t>
      </w:r>
      <w:r>
        <w:rPr>
          <w:rFonts w:hint="eastAsia" w:ascii="宋体" w:hAnsi="宋体" w:eastAsia="宋体" w:cs="宋体"/>
          <w:color w:val="auto"/>
          <w:kern w:val="2"/>
          <w:sz w:val="24"/>
          <w:szCs w:val="24"/>
          <w:highlight w:val="none"/>
          <w:shd w:val="clear" w:color="auto" w:fill="auto"/>
          <w:lang w:val="en-US"/>
        </w:rPr>
        <w:t>业绩证</w:t>
      </w:r>
      <w:r>
        <w:rPr>
          <w:rFonts w:hint="eastAsia" w:ascii="宋体" w:hAnsi="宋体" w:eastAsia="宋体" w:cs="宋体"/>
          <w:color w:val="auto"/>
          <w:kern w:val="2"/>
          <w:sz w:val="24"/>
          <w:szCs w:val="24"/>
          <w:highlight w:val="none"/>
          <w:shd w:val="clear" w:color="auto" w:fill="auto"/>
          <w:lang w:val="en-US" w:eastAsia="zh-CN"/>
        </w:rPr>
        <w:t>明需提供项目合同原件扫描件和验收报告等，如以上资料不能证明业绩、规模的，须另提供可证明的其他资料。</w:t>
      </w:r>
    </w:p>
    <w:p w14:paraId="6B2731CF">
      <w:pPr>
        <w:shd w:val="clear" w:color="auto" w:fill="auto"/>
        <w:adjustRightInd w:val="0"/>
        <w:spacing w:line="360" w:lineRule="auto"/>
        <w:ind w:firstLine="540" w:firstLineChars="225"/>
        <w:rPr>
          <w:rFonts w:hint="eastAsia" w:ascii="宋体" w:hAnsi="宋体" w:eastAsia="宋体" w:cs="宋体"/>
          <w:color w:val="auto"/>
          <w:sz w:val="24"/>
          <w:szCs w:val="24"/>
          <w:highlight w:val="none"/>
        </w:rPr>
      </w:pPr>
    </w:p>
    <w:p w14:paraId="0C1B77F1">
      <w:pPr>
        <w:shd w:val="clear" w:color="auto" w:fill="auto"/>
        <w:adjustRightInd w:val="0"/>
        <w:spacing w:line="360" w:lineRule="auto"/>
        <w:ind w:firstLine="0" w:firstLineChars="0"/>
        <w:rPr>
          <w:rFonts w:hint="eastAsia" w:ascii="宋体" w:hAnsi="宋体" w:eastAsia="宋体" w:cs="宋体"/>
          <w:color w:val="auto"/>
          <w:sz w:val="24"/>
          <w:szCs w:val="24"/>
          <w:highlight w:val="none"/>
        </w:rPr>
      </w:pPr>
    </w:p>
    <w:p w14:paraId="230945CE">
      <w:pPr>
        <w:shd w:val="clear" w:color="auto" w:fill="auto"/>
        <w:adjustRightInd w:val="0"/>
        <w:spacing w:line="360" w:lineRule="auto"/>
        <w:ind w:firstLine="540" w:firstLineChars="225"/>
        <w:jc w:val="right"/>
        <w:rPr>
          <w:rFonts w:hint="eastAsia" w:ascii="宋体" w:hAnsi="宋体" w:eastAsia="宋体" w:cs="宋体"/>
          <w:color w:val="auto"/>
          <w:sz w:val="24"/>
          <w:szCs w:val="24"/>
          <w:highlight w:val="none"/>
        </w:rPr>
      </w:pPr>
    </w:p>
    <w:p w14:paraId="5E5AAED4">
      <w:pPr>
        <w:shd w:val="clear" w:color="auto" w:fill="auto"/>
        <w:adjustRightInd w:val="0"/>
        <w:spacing w:line="360" w:lineRule="auto"/>
        <w:ind w:firstLine="540" w:firstLineChars="225"/>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55F536C3">
      <w:pPr>
        <w:pStyle w:val="2"/>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71E7241C">
      <w:pPr>
        <w:pStyle w:val="8"/>
        <w:spacing w:line="360" w:lineRule="auto"/>
        <w:ind w:firstLine="1928" w:firstLineChars="600"/>
        <w:jc w:val="both"/>
        <w:rPr>
          <w:rFonts w:hint="eastAsia" w:ascii="宋体" w:hAnsi="宋体" w:eastAsia="宋体" w:cs="宋体"/>
          <w:color w:val="auto"/>
          <w:sz w:val="36"/>
          <w:highlight w:val="none"/>
        </w:rPr>
      </w:pPr>
      <w:r>
        <w:rPr>
          <w:rFonts w:hint="eastAsia" w:ascii="宋体" w:hAnsi="宋体" w:eastAsia="宋体" w:cs="宋体"/>
          <w:b/>
          <w:color w:val="auto"/>
          <w:sz w:val="32"/>
          <w:szCs w:val="32"/>
          <w:highlight w:val="none"/>
        </w:rPr>
        <w:br w:type="page"/>
      </w:r>
      <w:bookmarkStart w:id="162" w:name="_Toc93064506"/>
      <w:bookmarkStart w:id="163" w:name="_Toc4000"/>
      <w:r>
        <w:rPr>
          <w:rFonts w:hint="eastAsia" w:ascii="宋体" w:hAnsi="宋体" w:eastAsia="宋体" w:cs="宋体"/>
          <w:b/>
          <w:bCs/>
          <w:color w:val="auto"/>
          <w:kern w:val="44"/>
          <w:sz w:val="36"/>
          <w:szCs w:val="44"/>
          <w:highlight w:val="none"/>
        </w:rPr>
        <w:t>三、商务技术部分格式</w:t>
      </w:r>
      <w:bookmarkEnd w:id="162"/>
      <w:bookmarkEnd w:id="163"/>
    </w:p>
    <w:p w14:paraId="29C69AF8">
      <w:pPr>
        <w:spacing w:before="240" w:line="360" w:lineRule="auto"/>
        <w:ind w:right="-141" w:rightChars="-67"/>
        <w:rPr>
          <w:rFonts w:hint="eastAsia" w:ascii="宋体" w:hAnsi="宋体" w:eastAsia="宋体" w:cs="宋体"/>
          <w:color w:val="auto"/>
          <w:sz w:val="24"/>
          <w:szCs w:val="24"/>
          <w:highlight w:val="none"/>
        </w:rPr>
      </w:pPr>
      <w:r>
        <w:rPr>
          <w:rFonts w:hint="eastAsia" w:ascii="宋体" w:hAnsi="宋体" w:eastAsia="宋体" w:cs="宋体"/>
          <w:b/>
          <w:color w:val="auto"/>
          <w:highlight w:val="none"/>
        </w:rPr>
        <w:t>[说明]  　</w:t>
      </w:r>
      <w:r>
        <w:rPr>
          <w:rFonts w:hint="eastAsia" w:ascii="宋体" w:hAnsi="宋体" w:eastAsia="宋体" w:cs="宋体"/>
          <w:color w:val="auto"/>
          <w:sz w:val="24"/>
          <w:szCs w:val="24"/>
          <w:highlight w:val="none"/>
        </w:rPr>
        <w:t>投标人应按照招标文件的要求，对必须响应的内容，必须完全响应，不允许有任何差异，对响应有差异的内容，提出说明和优化建议。</w:t>
      </w:r>
    </w:p>
    <w:p w14:paraId="33B0D02A">
      <w:pPr>
        <w:pStyle w:val="11"/>
        <w:widowControl/>
        <w:tabs>
          <w:tab w:val="left" w:pos="0"/>
        </w:tabs>
        <w:spacing w:line="360" w:lineRule="auto"/>
        <w:ind w:left="180" w:right="-141" w:rightChars="-67" w:firstLine="0" w:firstLineChars="0"/>
        <w:jc w:val="left"/>
        <w:rPr>
          <w:rFonts w:hint="eastAsia" w:ascii="宋体" w:hAnsi="宋体" w:eastAsia="宋体" w:cs="宋体"/>
          <w:bCs/>
          <w:color w:val="auto"/>
          <w:sz w:val="24"/>
          <w:highlight w:val="none"/>
        </w:rPr>
      </w:pPr>
    </w:p>
    <w:p w14:paraId="4CD1757D">
      <w:pPr>
        <w:pStyle w:val="11"/>
        <w:widowControl/>
        <w:tabs>
          <w:tab w:val="left" w:pos="0"/>
        </w:tabs>
        <w:spacing w:line="360" w:lineRule="auto"/>
        <w:ind w:left="180" w:right="-141" w:rightChars="-67" w:firstLine="0" w:firstLineChars="0"/>
        <w:jc w:val="left"/>
        <w:rPr>
          <w:rFonts w:hint="eastAsia" w:ascii="宋体" w:hAnsi="宋体" w:eastAsia="宋体" w:cs="宋体"/>
          <w:color w:val="auto"/>
          <w:sz w:val="24"/>
          <w:highlight w:val="none"/>
        </w:rPr>
      </w:pPr>
      <w:r>
        <w:rPr>
          <w:rFonts w:hint="eastAsia" w:ascii="宋体" w:hAnsi="宋体" w:eastAsia="宋体" w:cs="宋体"/>
          <w:bCs w:val="0"/>
          <w:color w:val="auto"/>
          <w:sz w:val="24"/>
          <w:szCs w:val="24"/>
          <w:highlight w:val="none"/>
        </w:rPr>
        <w:t xml:space="preserve">3.1 </w:t>
      </w:r>
      <w:r>
        <w:rPr>
          <w:rFonts w:hint="eastAsia" w:ascii="宋体" w:hAnsi="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投标</w:t>
      </w:r>
      <w:r>
        <w:rPr>
          <w:rFonts w:hint="eastAsia" w:ascii="宋体" w:hAnsi="宋体" w:eastAsia="宋体" w:cs="宋体"/>
          <w:color w:val="auto"/>
          <w:sz w:val="24"/>
          <w:szCs w:val="24"/>
          <w:highlight w:val="none"/>
        </w:rPr>
        <w:t>书</w:t>
      </w:r>
    </w:p>
    <w:p w14:paraId="1CA62661">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rPr>
        <w:t xml:space="preserve">3.2 </w:t>
      </w:r>
      <w:r>
        <w:rPr>
          <w:rFonts w:hint="eastAsia" w:ascii="宋体" w:hAnsi="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投标承诺函</w:t>
      </w:r>
    </w:p>
    <w:p w14:paraId="4CDF87A0">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3.3 </w:t>
      </w:r>
      <w:r>
        <w:rPr>
          <w:rFonts w:hint="eastAsia" w:ascii="宋体" w:hAnsi="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法定代表人证明书及法人授权书</w:t>
      </w:r>
    </w:p>
    <w:p w14:paraId="7F68767D">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lang w:val="en-US" w:eastAsia="zh-CN"/>
        </w:rPr>
        <w:t xml:space="preserve">3.4 </w:t>
      </w:r>
      <w:r>
        <w:rPr>
          <w:rFonts w:hint="eastAsia" w:ascii="宋体" w:hAnsi="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管理体系认证证书（如有）</w:t>
      </w:r>
    </w:p>
    <w:p w14:paraId="0D4E91EE">
      <w:pPr>
        <w:pStyle w:val="11"/>
        <w:widowControl/>
        <w:tabs>
          <w:tab w:val="left" w:pos="0"/>
        </w:tabs>
        <w:spacing w:line="360" w:lineRule="auto"/>
        <w:ind w:left="180" w:right="-141" w:rightChars="-67" w:firstLine="0" w:firstLineChars="0"/>
        <w:jc w:val="left"/>
        <w:rPr>
          <w:rFonts w:hint="default" w:ascii="宋体" w:hAnsi="宋体" w:eastAsia="宋体" w:cs="宋体"/>
          <w:bCs w:val="0"/>
          <w:color w:val="auto"/>
          <w:sz w:val="24"/>
          <w:szCs w:val="24"/>
          <w:highlight w:val="none"/>
          <w:lang w:val="en-US" w:eastAsia="zh-CN"/>
        </w:rPr>
      </w:pPr>
      <w:r>
        <w:rPr>
          <w:rFonts w:hint="eastAsia" w:ascii="宋体" w:hAnsi="宋体" w:eastAsia="宋体" w:cs="宋体"/>
          <w:bCs w:val="0"/>
          <w:color w:val="auto"/>
          <w:sz w:val="24"/>
          <w:szCs w:val="24"/>
          <w:highlight w:val="none"/>
        </w:rPr>
        <w:t>3.</w:t>
      </w:r>
      <w:r>
        <w:rPr>
          <w:rFonts w:hint="eastAsia" w:ascii="宋体" w:hAnsi="宋体" w:eastAsia="宋体" w:cs="宋体"/>
          <w:bCs w:val="0"/>
          <w:color w:val="auto"/>
          <w:sz w:val="24"/>
          <w:szCs w:val="24"/>
          <w:highlight w:val="none"/>
          <w:lang w:val="en-US" w:eastAsia="zh-CN"/>
        </w:rPr>
        <w:t>5</w:t>
      </w:r>
      <w:r>
        <w:rPr>
          <w:rFonts w:hint="eastAsia" w:ascii="宋体" w:hAnsi="宋体" w:eastAsia="宋体" w:cs="宋体"/>
          <w:bCs w:val="0"/>
          <w:color w:val="auto"/>
          <w:sz w:val="24"/>
          <w:szCs w:val="24"/>
          <w:highlight w:val="none"/>
        </w:rPr>
        <w:t xml:space="preserve"> </w:t>
      </w:r>
      <w:r>
        <w:rPr>
          <w:rFonts w:hint="eastAsia" w:ascii="宋体" w:hAnsi="宋体" w:cs="宋体"/>
          <w:bCs w:val="0"/>
          <w:color w:val="auto"/>
          <w:sz w:val="24"/>
          <w:szCs w:val="24"/>
          <w:highlight w:val="none"/>
          <w:lang w:val="en-US" w:eastAsia="zh-CN"/>
        </w:rPr>
        <w:t xml:space="preserve"> 企业综合实力认证（如有）</w:t>
      </w:r>
    </w:p>
    <w:p w14:paraId="193760C9">
      <w:pPr>
        <w:pStyle w:val="11"/>
        <w:widowControl/>
        <w:tabs>
          <w:tab w:val="left" w:pos="0"/>
        </w:tabs>
        <w:spacing w:line="360" w:lineRule="auto"/>
        <w:ind w:left="180" w:right="-141" w:rightChars="-67" w:firstLine="0" w:firstLineChars="0"/>
        <w:jc w:val="left"/>
        <w:rPr>
          <w:rFonts w:hint="default" w:ascii="宋体" w:hAnsi="宋体" w:cs="宋体"/>
          <w:bCs w:val="0"/>
          <w:color w:val="auto"/>
          <w:sz w:val="24"/>
          <w:szCs w:val="24"/>
          <w:highlight w:val="none"/>
          <w:lang w:val="en-US" w:eastAsia="zh-CN"/>
        </w:rPr>
      </w:pPr>
      <w:r>
        <w:rPr>
          <w:rFonts w:hint="eastAsia" w:ascii="宋体" w:hAnsi="宋体" w:cs="宋体"/>
          <w:bCs w:val="0"/>
          <w:color w:val="auto"/>
          <w:sz w:val="24"/>
          <w:szCs w:val="24"/>
          <w:highlight w:val="none"/>
          <w:lang w:val="en-US" w:eastAsia="zh-CN"/>
        </w:rPr>
        <w:t>3.6  企业荣誉（如有）</w:t>
      </w:r>
    </w:p>
    <w:p w14:paraId="16DC09BB">
      <w:pPr>
        <w:pStyle w:val="11"/>
        <w:widowControl/>
        <w:tabs>
          <w:tab w:val="left" w:pos="0"/>
        </w:tabs>
        <w:spacing w:line="360" w:lineRule="auto"/>
        <w:ind w:left="180" w:right="-141" w:rightChars="-67" w:firstLine="0" w:firstLineChars="0"/>
        <w:jc w:val="left"/>
        <w:rPr>
          <w:rFonts w:hint="default" w:ascii="宋体" w:hAnsi="宋体" w:eastAsia="宋体" w:cs="宋体"/>
          <w:bCs w:val="0"/>
          <w:color w:val="auto"/>
          <w:sz w:val="24"/>
          <w:szCs w:val="24"/>
          <w:highlight w:val="none"/>
          <w:lang w:val="en-US" w:eastAsia="zh-CN"/>
        </w:rPr>
      </w:pPr>
      <w:r>
        <w:rPr>
          <w:rFonts w:hint="eastAsia" w:ascii="宋体" w:hAnsi="宋体" w:cs="宋体"/>
          <w:bCs w:val="0"/>
          <w:color w:val="auto"/>
          <w:sz w:val="24"/>
          <w:szCs w:val="24"/>
          <w:highlight w:val="none"/>
          <w:lang w:val="en-US" w:eastAsia="zh-CN"/>
        </w:rPr>
        <w:t xml:space="preserve">3.7  </w:t>
      </w:r>
      <w:r>
        <w:rPr>
          <w:rFonts w:hint="eastAsia" w:ascii="宋体" w:hAnsi="宋体" w:eastAsia="宋体" w:cs="宋体"/>
          <w:bCs w:val="0"/>
          <w:color w:val="auto"/>
          <w:sz w:val="24"/>
          <w:szCs w:val="24"/>
          <w:highlight w:val="none"/>
          <w:lang w:val="en-US" w:eastAsia="zh-CN"/>
        </w:rPr>
        <w:t>拟投入本项目</w:t>
      </w:r>
      <w:r>
        <w:rPr>
          <w:rFonts w:hint="eastAsia" w:ascii="宋体" w:hAnsi="宋体" w:cs="宋体"/>
          <w:bCs w:val="0"/>
          <w:color w:val="auto"/>
          <w:sz w:val="24"/>
          <w:szCs w:val="24"/>
          <w:highlight w:val="none"/>
          <w:lang w:val="en-US" w:eastAsia="zh-CN"/>
        </w:rPr>
        <w:t>团队</w:t>
      </w:r>
      <w:r>
        <w:rPr>
          <w:rFonts w:hint="eastAsia" w:ascii="宋体" w:hAnsi="宋体" w:eastAsia="宋体" w:cs="宋体"/>
          <w:bCs w:val="0"/>
          <w:color w:val="auto"/>
          <w:sz w:val="24"/>
          <w:szCs w:val="24"/>
          <w:highlight w:val="none"/>
          <w:lang w:val="en-US" w:eastAsia="zh-CN"/>
        </w:rPr>
        <w:t>人</w:t>
      </w:r>
      <w:r>
        <w:rPr>
          <w:rFonts w:hint="eastAsia" w:ascii="宋体" w:hAnsi="宋体" w:cs="宋体"/>
          <w:bCs w:val="0"/>
          <w:color w:val="auto"/>
          <w:sz w:val="24"/>
          <w:szCs w:val="24"/>
          <w:highlight w:val="none"/>
          <w:lang w:val="en-US" w:eastAsia="zh-CN"/>
        </w:rPr>
        <w:t>员</w:t>
      </w:r>
      <w:r>
        <w:rPr>
          <w:rFonts w:hint="eastAsia" w:ascii="宋体" w:hAnsi="宋体" w:eastAsia="宋体" w:cs="宋体"/>
          <w:bCs w:val="0"/>
          <w:color w:val="auto"/>
          <w:sz w:val="24"/>
          <w:szCs w:val="24"/>
          <w:highlight w:val="none"/>
          <w:lang w:val="en-US" w:eastAsia="zh-CN"/>
        </w:rPr>
        <w:t>情况</w:t>
      </w:r>
      <w:r>
        <w:rPr>
          <w:rFonts w:hint="eastAsia" w:ascii="宋体" w:hAnsi="宋体" w:cs="宋体"/>
          <w:bCs w:val="0"/>
          <w:color w:val="auto"/>
          <w:sz w:val="24"/>
          <w:szCs w:val="24"/>
          <w:highlight w:val="none"/>
          <w:lang w:val="en-US" w:eastAsia="zh-CN"/>
        </w:rPr>
        <w:t>一览表</w:t>
      </w:r>
    </w:p>
    <w:p w14:paraId="1F62E5A4">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lang w:val="en-US" w:eastAsia="zh-CN"/>
        </w:rPr>
        <w:t>3.</w:t>
      </w:r>
      <w:r>
        <w:rPr>
          <w:rFonts w:hint="eastAsia" w:ascii="宋体" w:hAnsi="宋体" w:cs="宋体"/>
          <w:bCs w:val="0"/>
          <w:color w:val="auto"/>
          <w:sz w:val="24"/>
          <w:szCs w:val="24"/>
          <w:highlight w:val="none"/>
          <w:lang w:val="en-US" w:eastAsia="zh-CN"/>
        </w:rPr>
        <w:t xml:space="preserve">8  </w:t>
      </w:r>
      <w:r>
        <w:rPr>
          <w:rFonts w:hint="eastAsia" w:ascii="宋体" w:hAnsi="宋体" w:eastAsia="宋体" w:cs="宋体"/>
          <w:bCs w:val="0"/>
          <w:color w:val="auto"/>
          <w:sz w:val="24"/>
          <w:szCs w:val="24"/>
          <w:highlight w:val="none"/>
        </w:rPr>
        <w:t>投标人承接过的类似项目业绩表</w:t>
      </w:r>
    </w:p>
    <w:p w14:paraId="1D09F875">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rPr>
        <w:t>3.</w:t>
      </w:r>
      <w:r>
        <w:rPr>
          <w:rFonts w:hint="eastAsia" w:ascii="宋体" w:hAnsi="宋体" w:cs="宋体"/>
          <w:bCs w:val="0"/>
          <w:color w:val="auto"/>
          <w:sz w:val="24"/>
          <w:szCs w:val="24"/>
          <w:highlight w:val="none"/>
          <w:lang w:val="en-US" w:eastAsia="zh-CN"/>
        </w:rPr>
        <w:t xml:space="preserve">9  </w:t>
      </w:r>
      <w:r>
        <w:rPr>
          <w:rFonts w:hint="eastAsia" w:ascii="宋体" w:hAnsi="宋体" w:eastAsia="宋体" w:cs="宋体"/>
          <w:bCs w:val="0"/>
          <w:color w:val="auto"/>
          <w:sz w:val="24"/>
          <w:szCs w:val="24"/>
          <w:highlight w:val="none"/>
        </w:rPr>
        <w:t>对合同条款响应的承诺书</w:t>
      </w:r>
    </w:p>
    <w:p w14:paraId="52D8FF37">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rPr>
        <w:t>3.</w:t>
      </w:r>
      <w:r>
        <w:rPr>
          <w:rFonts w:hint="eastAsia" w:ascii="宋体" w:hAnsi="宋体" w:cs="宋体"/>
          <w:bCs w:val="0"/>
          <w:color w:val="auto"/>
          <w:sz w:val="24"/>
          <w:szCs w:val="24"/>
          <w:highlight w:val="none"/>
          <w:lang w:val="en-US" w:eastAsia="zh-CN"/>
        </w:rPr>
        <w:t>10</w:t>
      </w:r>
      <w:r>
        <w:rPr>
          <w:rFonts w:hint="eastAsia" w:ascii="宋体" w:hAnsi="宋体" w:eastAsia="宋体" w:cs="宋体"/>
          <w:bCs w:val="0"/>
          <w:color w:val="auto"/>
          <w:sz w:val="24"/>
          <w:szCs w:val="24"/>
          <w:highlight w:val="none"/>
        </w:rPr>
        <w:t>违约解除合同承诺书</w:t>
      </w:r>
    </w:p>
    <w:p w14:paraId="296869C8">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3.</w:t>
      </w:r>
      <w:r>
        <w:rPr>
          <w:rFonts w:hint="eastAsia" w:ascii="宋体" w:hAnsi="宋体" w:cs="宋体"/>
          <w:bCs w:val="0"/>
          <w:color w:val="auto"/>
          <w:sz w:val="24"/>
          <w:szCs w:val="24"/>
          <w:highlight w:val="none"/>
          <w:lang w:val="en-US" w:eastAsia="zh-CN"/>
        </w:rPr>
        <w:t>11</w:t>
      </w:r>
      <w:r>
        <w:rPr>
          <w:rFonts w:hint="eastAsia" w:ascii="宋体" w:hAnsi="宋体" w:eastAsia="宋体" w:cs="宋体"/>
          <w:bCs w:val="0"/>
          <w:color w:val="auto"/>
          <w:sz w:val="24"/>
          <w:szCs w:val="24"/>
          <w:highlight w:val="none"/>
        </w:rPr>
        <w:t xml:space="preserve"> </w:t>
      </w:r>
      <w:r>
        <w:rPr>
          <w:rFonts w:hint="eastAsia" w:ascii="宋体" w:hAnsi="宋体" w:eastAsia="宋体" w:cs="宋体"/>
          <w:color w:val="auto"/>
          <w:kern w:val="2"/>
          <w:sz w:val="24"/>
          <w:szCs w:val="24"/>
          <w:highlight w:val="none"/>
          <w:shd w:val="clear"/>
          <w:lang w:val="en-US" w:eastAsia="zh-CN"/>
        </w:rPr>
        <w:t>服务</w:t>
      </w:r>
      <w:r>
        <w:rPr>
          <w:rFonts w:hint="eastAsia" w:ascii="宋体" w:hAnsi="宋体" w:eastAsia="宋体" w:cs="宋体"/>
          <w:color w:val="auto"/>
          <w:kern w:val="2"/>
          <w:sz w:val="24"/>
          <w:szCs w:val="24"/>
          <w:highlight w:val="none"/>
          <w:shd w:val="clear" w:color="auto" w:fill="auto"/>
          <w:lang w:val="zh-CN" w:eastAsia="zh-CN"/>
        </w:rPr>
        <w:t>方案</w:t>
      </w:r>
      <w:r>
        <w:rPr>
          <w:rFonts w:hint="eastAsia" w:ascii="宋体" w:hAnsi="宋体" w:eastAsia="宋体" w:cs="宋体"/>
          <w:bCs w:val="0"/>
          <w:color w:val="auto"/>
          <w:sz w:val="24"/>
          <w:szCs w:val="24"/>
          <w:highlight w:val="none"/>
        </w:rPr>
        <w:t>（格式自拟）</w:t>
      </w:r>
    </w:p>
    <w:p w14:paraId="14F8BD54">
      <w:pPr>
        <w:pStyle w:val="11"/>
        <w:widowControl/>
        <w:tabs>
          <w:tab w:val="left" w:pos="0"/>
        </w:tabs>
        <w:spacing w:line="360" w:lineRule="auto"/>
        <w:ind w:left="180" w:right="-141" w:rightChars="-67" w:firstLine="0" w:firstLineChars="0"/>
        <w:jc w:val="left"/>
        <w:rPr>
          <w:rFonts w:hint="eastAsia" w:ascii="宋体" w:hAnsi="宋体" w:eastAsia="宋体" w:cs="宋体"/>
          <w:bCs w:val="0"/>
          <w:color w:val="auto"/>
          <w:sz w:val="24"/>
          <w:highlight w:val="none"/>
        </w:rPr>
      </w:pPr>
      <w:r>
        <w:rPr>
          <w:rFonts w:hint="eastAsia" w:ascii="宋体" w:hAnsi="宋体" w:eastAsia="宋体" w:cs="宋体"/>
          <w:bCs w:val="0"/>
          <w:color w:val="auto"/>
          <w:sz w:val="24"/>
          <w:szCs w:val="24"/>
          <w:highlight w:val="none"/>
        </w:rPr>
        <w:t>3.1</w:t>
      </w:r>
      <w:r>
        <w:rPr>
          <w:rFonts w:hint="eastAsia" w:ascii="宋体" w:hAnsi="宋体" w:cs="宋体"/>
          <w:bCs w:val="0"/>
          <w:color w:val="auto"/>
          <w:sz w:val="24"/>
          <w:szCs w:val="24"/>
          <w:highlight w:val="none"/>
          <w:lang w:val="en-US" w:eastAsia="zh-CN"/>
        </w:rPr>
        <w:t>2</w:t>
      </w:r>
      <w:r>
        <w:rPr>
          <w:rFonts w:hint="eastAsia" w:ascii="宋体" w:hAnsi="宋体" w:eastAsia="宋体" w:cs="宋体"/>
          <w:bCs w:val="0"/>
          <w:color w:val="auto"/>
          <w:sz w:val="24"/>
          <w:szCs w:val="24"/>
          <w:highlight w:val="none"/>
        </w:rPr>
        <w:t xml:space="preserve"> 投标人认为有必要提供的其他资料</w:t>
      </w:r>
    </w:p>
    <w:p w14:paraId="32BCDA76">
      <w:pPr>
        <w:spacing w:line="360" w:lineRule="auto"/>
        <w:jc w:val="center"/>
        <w:rPr>
          <w:rFonts w:hint="eastAsia" w:ascii="宋体" w:hAnsi="宋体" w:eastAsia="宋体" w:cs="宋体"/>
          <w:color w:val="auto"/>
          <w:sz w:val="24"/>
          <w:szCs w:val="24"/>
          <w:highlight w:val="none"/>
        </w:rPr>
      </w:pPr>
    </w:p>
    <w:p w14:paraId="40DEAE69">
      <w:pPr>
        <w:spacing w:line="360" w:lineRule="auto"/>
        <w:rPr>
          <w:rFonts w:hint="eastAsia" w:ascii="宋体" w:hAnsi="宋体" w:eastAsia="宋体" w:cs="宋体"/>
          <w:b/>
          <w:color w:val="auto"/>
          <w:sz w:val="24"/>
          <w:szCs w:val="24"/>
          <w:highlight w:val="none"/>
        </w:rPr>
      </w:pPr>
    </w:p>
    <w:p w14:paraId="1EF07DC0">
      <w:pPr>
        <w:spacing w:line="360" w:lineRule="auto"/>
        <w:jc w:val="center"/>
        <w:rPr>
          <w:rFonts w:hint="eastAsia" w:ascii="宋体" w:hAnsi="宋体" w:eastAsia="宋体" w:cs="宋体"/>
          <w:b/>
          <w:color w:val="auto"/>
          <w:sz w:val="24"/>
          <w:szCs w:val="24"/>
          <w:highlight w:val="none"/>
        </w:rPr>
      </w:pPr>
    </w:p>
    <w:p w14:paraId="6027BD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3.1 投标书</w:t>
      </w:r>
    </w:p>
    <w:p w14:paraId="2B2A9E74">
      <w:pPr>
        <w:adjustRightInd w:val="0"/>
        <w:snapToGrid w:val="0"/>
        <w:spacing w:before="72" w:beforeLines="30" w:line="360" w:lineRule="auto"/>
        <w:rPr>
          <w:rFonts w:hint="eastAsia" w:ascii="宋体" w:hAnsi="宋体" w:eastAsia="宋体" w:cs="宋体"/>
          <w:bCs/>
          <w:color w:val="auto"/>
          <w:sz w:val="24"/>
          <w:highlight w:val="none"/>
        </w:rPr>
      </w:pPr>
    </w:p>
    <w:p w14:paraId="502C0DAB">
      <w:pPr>
        <w:adjustRightInd w:val="0"/>
        <w:snapToGrid w:val="0"/>
        <w:spacing w:before="72" w:beforeLines="30"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cs="宋体"/>
          <w:bCs/>
          <w:color w:val="auto"/>
          <w:sz w:val="24"/>
          <w:szCs w:val="24"/>
          <w:highlight w:val="none"/>
          <w:u w:val="single"/>
          <w:lang w:val="en-US" w:eastAsia="zh-CN"/>
        </w:rPr>
        <w:t>广州市自来水有限公司</w:t>
      </w:r>
    </w:p>
    <w:p w14:paraId="2A13D351">
      <w:pPr>
        <w:adjustRightInd/>
        <w:snapToGrid/>
        <w:spacing w:before="0" w:beforeLines="-2147483648"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w:t>
      </w:r>
      <w:r>
        <w:rPr>
          <w:rFonts w:hint="eastAsia" w:ascii="宋体" w:hAnsi="宋体" w:cs="宋体"/>
          <w:color w:val="auto"/>
          <w:sz w:val="24"/>
          <w:szCs w:val="24"/>
          <w:highlight w:val="none"/>
          <w:u w:val="single"/>
        </w:rPr>
        <w:t>广州市自来水有限公司北部水厂智慧化系统开发服务项目</w:t>
      </w:r>
      <w:r>
        <w:rPr>
          <w:rFonts w:hint="eastAsia" w:ascii="宋体" w:hAnsi="宋体" w:eastAsia="宋体" w:cs="宋体"/>
          <w:color w:val="auto"/>
          <w:sz w:val="24"/>
          <w:szCs w:val="24"/>
          <w:highlight w:val="none"/>
        </w:rPr>
        <w:t>的招标文件要求，</w:t>
      </w:r>
      <w:r>
        <w:rPr>
          <w:rFonts w:hint="eastAsia" w:ascii="宋体" w:hAnsi="宋体" w:eastAsia="宋体" w:cs="宋体"/>
          <w:color w:val="auto"/>
          <w:sz w:val="24"/>
          <w:szCs w:val="24"/>
          <w:highlight w:val="none"/>
          <w:u w:val="single"/>
        </w:rPr>
        <w:t xml:space="preserve">（全名）  </w:t>
      </w:r>
      <w:r>
        <w:rPr>
          <w:rFonts w:hint="eastAsia" w:ascii="宋体" w:hAnsi="宋体" w:eastAsia="宋体" w:cs="宋体"/>
          <w:color w:val="auto"/>
          <w:sz w:val="24"/>
          <w:szCs w:val="24"/>
          <w:highlight w:val="none"/>
        </w:rPr>
        <w:t>经正式授权并以投标人</w:t>
      </w:r>
      <w:r>
        <w:rPr>
          <w:rFonts w:hint="eastAsia" w:ascii="宋体" w:hAnsi="宋体" w:eastAsia="宋体" w:cs="宋体"/>
          <w:color w:val="auto"/>
          <w:sz w:val="24"/>
          <w:szCs w:val="24"/>
          <w:highlight w:val="none"/>
          <w:u w:val="single"/>
        </w:rPr>
        <w:t xml:space="preserve">（投标人名称）    </w:t>
      </w:r>
      <w:r>
        <w:rPr>
          <w:rFonts w:hint="eastAsia" w:ascii="宋体" w:hAnsi="宋体" w:eastAsia="宋体" w:cs="宋体"/>
          <w:color w:val="auto"/>
          <w:sz w:val="24"/>
          <w:szCs w:val="24"/>
          <w:highlight w:val="none"/>
        </w:rPr>
        <w:t>的名义参加项目的投标，提交电子文件1套。签字代表在此声明并同意：</w:t>
      </w:r>
    </w:p>
    <w:p w14:paraId="0683F16F">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我方愿意遵守招标文件的各项规定，提供符合招标文件所要求的</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成果。</w:t>
      </w:r>
    </w:p>
    <w:p w14:paraId="63CC5453">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我方同意本投标自投标截止日起90天内保持有效。如中标，则有效期延至招标合同执行期满时止。</w:t>
      </w:r>
    </w:p>
    <w:p w14:paraId="22517B83">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我方已经详细地阅读了全部招标文件及附件，包括澄清补充通知及参考文件（如有），我方完全清晰理解招标文件的要求，不存在任何含糊不清和误解之处，同意放弃对这些文件提出异议和质疑的权利。</w:t>
      </w:r>
    </w:p>
    <w:p w14:paraId="7C1A72A6">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我方同意提供招标人要求的有关投标的其他资料、数据或信息。</w:t>
      </w:r>
    </w:p>
    <w:p w14:paraId="20892004">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我方承诺在本次投标中提供的一切资料和文件，无论是原件或是复印件均为真实、准确无误和有效的，绝无任何虚假、伪造和夸大的成份；否则，我方愿意承担相应的后果和法律责任。</w:t>
      </w:r>
    </w:p>
    <w:p w14:paraId="6B474431">
      <w:pPr>
        <w:numPr>
          <w:ilvl w:val="0"/>
          <w:numId w:val="12"/>
        </w:numPr>
        <w:adjustRightInd w:val="0"/>
        <w:snapToGrid w:val="0"/>
        <w:spacing w:before="72" w:beforeLines="3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我方完全理解，评标委员会及招标人并无义务必须接受最低报价的投标或其它任何投标。</w:t>
      </w:r>
    </w:p>
    <w:p w14:paraId="7AF5E189">
      <w:pPr>
        <w:numPr>
          <w:ilvl w:val="0"/>
          <w:numId w:val="12"/>
        </w:numPr>
        <w:adjustRightInd w:val="0"/>
        <w:snapToGrid w:val="0"/>
        <w:spacing w:before="72" w:beforeLines="3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rPr>
        <w:t>我方如果中标，保证履行投标文件中承诺的全部责任和义务，切实履行政府招标合同中的全部条款。</w:t>
      </w:r>
    </w:p>
    <w:p w14:paraId="6E5C5664">
      <w:pPr>
        <w:adjustRightInd w:val="0"/>
        <w:snapToGrid w:val="0"/>
        <w:spacing w:before="72" w:beforeLines="30" w:line="400" w:lineRule="exact"/>
        <w:ind w:left="480" w:firstLine="4358" w:firstLineChars="181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1DAD1AD3">
      <w:pPr>
        <w:adjustRightInd w:val="0"/>
        <w:snapToGrid w:val="0"/>
        <w:spacing w:before="72" w:beforeLines="30" w:line="400" w:lineRule="exact"/>
        <w:ind w:left="480" w:firstLine="4358" w:firstLineChars="181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p w14:paraId="628558E2">
      <w:pPr>
        <w:adjustRightInd w:val="0"/>
        <w:snapToGrid w:val="0"/>
        <w:spacing w:before="72" w:beforeLines="30" w:line="360" w:lineRule="auto"/>
        <w:ind w:right="480"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传真：  </w:t>
      </w:r>
    </w:p>
    <w:p w14:paraId="3F359E5A">
      <w:pPr>
        <w:adjustRightInd w:val="0"/>
        <w:snapToGrid w:val="0"/>
        <w:spacing w:before="72" w:beforeLines="30" w:line="360" w:lineRule="auto"/>
        <w:ind w:right="480" w:firstLine="4800" w:firstLineChars="20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基本账户开户银行：</w:t>
      </w:r>
    </w:p>
    <w:p w14:paraId="65CBCFB4">
      <w:pPr>
        <w:adjustRightInd w:val="0"/>
        <w:snapToGrid w:val="0"/>
        <w:spacing w:before="72" w:beforeLines="30" w:line="360" w:lineRule="auto"/>
        <w:ind w:right="480" w:firstLine="4800" w:firstLineChars="2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基本账户银行账号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w:t>
      </w:r>
    </w:p>
    <w:p w14:paraId="72B0C800">
      <w:pPr>
        <w:spacing w:line="360" w:lineRule="auto"/>
        <w:ind w:firstLine="0" w:firstLineChars="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722662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rPr>
        <w:t>3.2投标承诺函</w:t>
      </w:r>
    </w:p>
    <w:p w14:paraId="0D990FA6">
      <w:pPr>
        <w:tabs>
          <w:tab w:val="left" w:pos="0"/>
          <w:tab w:val="right" w:pos="9538"/>
        </w:tabs>
        <w:autoSpaceDE w:val="0"/>
        <w:autoSpaceDN w:val="0"/>
        <w:adjustRightInd w:val="0"/>
        <w:spacing w:before="6" w:line="360" w:lineRule="auto"/>
        <w:rPr>
          <w:rFonts w:hint="eastAsia" w:ascii="宋体" w:hAnsi="宋体" w:eastAsia="宋体" w:cs="宋体"/>
          <w:caps/>
          <w:color w:val="auto"/>
          <w:sz w:val="24"/>
          <w:szCs w:val="24"/>
          <w:highlight w:val="none"/>
          <w:lang w:val="zh-CN"/>
        </w:rPr>
      </w:pPr>
    </w:p>
    <w:p w14:paraId="6AE6C196">
      <w:pPr>
        <w:tabs>
          <w:tab w:val="left" w:pos="0"/>
          <w:tab w:val="right" w:pos="9538"/>
        </w:tabs>
        <w:autoSpaceDE w:val="0"/>
        <w:autoSpaceDN w:val="0"/>
        <w:adjustRightInd w:val="0"/>
        <w:spacing w:before="6" w:line="360" w:lineRule="auto"/>
        <w:rPr>
          <w:rFonts w:hint="eastAsia" w:ascii="宋体" w:hAnsi="宋体" w:eastAsia="宋体" w:cs="宋体"/>
          <w:color w:val="auto"/>
          <w:sz w:val="24"/>
          <w:szCs w:val="24"/>
          <w:highlight w:val="none"/>
          <w:u w:val="single"/>
        </w:rPr>
      </w:pPr>
      <w:r>
        <w:rPr>
          <w:rFonts w:hint="eastAsia" w:ascii="宋体" w:hAnsi="宋体" w:eastAsia="宋体" w:cs="宋体"/>
          <w:caps/>
          <w:color w:val="auto"/>
          <w:sz w:val="24"/>
          <w:szCs w:val="24"/>
          <w:highlight w:val="none"/>
          <w:lang w:val="zh-CN"/>
        </w:rPr>
        <w:t>致：</w:t>
      </w:r>
      <w:r>
        <w:rPr>
          <w:rFonts w:hint="eastAsia" w:ascii="宋体" w:hAnsi="宋体" w:eastAsia="宋体" w:cs="宋体"/>
          <w:color w:val="auto"/>
          <w:sz w:val="24"/>
          <w:szCs w:val="24"/>
          <w:highlight w:val="none"/>
          <w:u w:val="single"/>
        </w:rPr>
        <w:t>广州市自来水有限公司</w:t>
      </w:r>
    </w:p>
    <w:p w14:paraId="5E3BDE8A">
      <w:pPr>
        <w:autoSpaceDE w:val="0"/>
        <w:autoSpaceDN w:val="0"/>
        <w:adjustRightInd w:val="0"/>
        <w:spacing w:before="6" w:after="50"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我方保证在参加</w:t>
      </w:r>
      <w:r>
        <w:rPr>
          <w:rFonts w:hint="eastAsia" w:ascii="宋体" w:hAnsi="宋体" w:eastAsia="宋体" w:cs="宋体"/>
          <w:color w:val="auto"/>
          <w:sz w:val="24"/>
          <w:szCs w:val="24"/>
          <w:highlight w:val="none"/>
          <w:u w:val="single"/>
        </w:rPr>
        <w:t xml:space="preserve">广州市自来水有限公司北部水厂智慧化系统开发服务项目 </w:t>
      </w:r>
      <w:r>
        <w:rPr>
          <w:rFonts w:hint="eastAsia" w:ascii="宋体" w:hAnsi="宋体" w:eastAsia="宋体" w:cs="宋体"/>
          <w:color w:val="auto"/>
          <w:sz w:val="24"/>
          <w:szCs w:val="24"/>
          <w:highlight w:val="none"/>
          <w:lang w:val="zh-CN"/>
        </w:rPr>
        <w:t>投标中，按照招标文件的要求，作如下承诺：</w:t>
      </w:r>
    </w:p>
    <w:p w14:paraId="1CF9B844">
      <w:pPr>
        <w:autoSpaceDE w:val="0"/>
        <w:autoSpaceDN w:val="0"/>
        <w:adjustRightInd w:val="0"/>
        <w:spacing w:before="6" w:after="50" w:line="360" w:lineRule="auto"/>
        <w:ind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zh-CN"/>
        </w:rPr>
        <w:t>1、</w:t>
      </w:r>
      <w:r>
        <w:rPr>
          <w:rFonts w:hint="eastAsia" w:ascii="宋体" w:hAnsi="宋体" w:eastAsia="宋体" w:cs="宋体"/>
          <w:bCs/>
          <w:color w:val="auto"/>
          <w:sz w:val="24"/>
          <w:szCs w:val="24"/>
          <w:highlight w:val="none"/>
          <w:lang w:val="zh-CN"/>
        </w:rPr>
        <w:t>我方承诺遵守“法定代表人为同一个人的两个及两个以上法人，母公司、全资子公司及其控股公司，都不得同时参加投标。如果我方属于上述任何一种情形，</w:t>
      </w:r>
      <w:r>
        <w:rPr>
          <w:rFonts w:hint="eastAsia" w:ascii="宋体" w:hAnsi="宋体" w:eastAsia="宋体" w:cs="宋体"/>
          <w:bCs/>
          <w:color w:val="auto"/>
          <w:sz w:val="24"/>
          <w:szCs w:val="24"/>
          <w:highlight w:val="none"/>
        </w:rPr>
        <w:t>招标人可以取消我方投标资格或中标资格（如果已取得中标），我方对此无任何异议。</w:t>
      </w:r>
    </w:p>
    <w:p w14:paraId="3A6A8615">
      <w:pPr>
        <w:autoSpaceDE w:val="0"/>
        <w:autoSpaceDN w:val="0"/>
        <w:adjustRightInd w:val="0"/>
        <w:spacing w:before="6" w:after="50"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、我方承诺</w:t>
      </w:r>
      <w:r>
        <w:rPr>
          <w:rFonts w:hint="eastAsia" w:ascii="宋体" w:hAnsi="宋体" w:eastAsia="宋体" w:cs="宋体"/>
          <w:color w:val="auto"/>
          <w:sz w:val="24"/>
          <w:szCs w:val="24"/>
          <w:highlight w:val="none"/>
        </w:rPr>
        <w:t>我方所递交的投标文件及有关资料完整、真实和准确，若你方查出我方递交的投标文件及有关资料存在不实之处，我方将承担与此有关的一切责任，包括但不限于取消投标资格或中标资格（如果已取得中标）、接受行政监督部门的行政处罚等。</w:t>
      </w:r>
    </w:p>
    <w:p w14:paraId="7EA0CCF0">
      <w:pPr>
        <w:autoSpaceDE w:val="0"/>
        <w:autoSpaceDN w:val="0"/>
        <w:adjustRightInd w:val="0"/>
        <w:spacing w:before="6" w:after="5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我方承诺，招标活动结束前，应招标监督机构或招标人要求，我方将提供投标文件中有关资料原件供审核，即使这些资料在提交申请文件时或符合性审查期间已经被核对过。如果拒绝提供，我方将承担与此有关的一切责任，包括但不限于取消投标资格或中标资格（如果已取得中标）、接受行政监督部门的行政处罚等。</w:t>
      </w:r>
    </w:p>
    <w:p w14:paraId="2CEE36EF">
      <w:pPr>
        <w:autoSpaceDE w:val="0"/>
        <w:autoSpaceDN w:val="0"/>
        <w:adjustRightInd w:val="0"/>
        <w:spacing w:before="6" w:after="5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承诺接受你方的招标监督机构或评标委员会的任何调查并协助调查，以审核我方提交的文件和资料，并通过我方的客户，澄清投标文件中的有关情况。如果拒绝调查，我方将承担与此有关的一切责任，包括但不限于取消投标资格或中标资格（如果已取得中标）、接受行政监督部门的行政处罚等。</w:t>
      </w:r>
    </w:p>
    <w:p w14:paraId="76403314">
      <w:pPr>
        <w:autoSpaceDE w:val="0"/>
        <w:autoSpaceDN w:val="0"/>
        <w:adjustRightInd w:val="0"/>
        <w:spacing w:before="6" w:after="50"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我方承诺：若我方成为本项目的中标候选人，在中标候选人公示时将同时公示我方投标时所提供的所有业绩，对于公示我方业绩对应的合同、发票或中标通知书等证明材料无异议。我方将按招标人或招标代理的要求在接到通知的三日内提供相关证明材料的原件（包括业绩对应的合同、发票、业绩要求的其他证明材料及投标文件中的相关证明材料等），以供核查。如我方不能按要求提供原件或提供的某些原件经招标人、招标代理机构共同核查后确认与原件不一致，则招标人有权不确定我方为中标人，并按中标候选人的顺序依次确定其他中标候选人为中标人。在此情况下，招标人不退回我方的投标保证金。</w:t>
      </w:r>
    </w:p>
    <w:p w14:paraId="67B1AB89">
      <w:pPr>
        <w:autoSpaceDE w:val="0"/>
        <w:autoSpaceDN w:val="0"/>
        <w:adjustRightInd w:val="0"/>
        <w:spacing w:before="6" w:after="50" w:line="360" w:lineRule="auto"/>
        <w:ind w:firstLine="480"/>
        <w:rPr>
          <w:rFonts w:hint="eastAsia" w:ascii="宋体" w:hAnsi="宋体" w:eastAsia="宋体" w:cs="宋体"/>
          <w:color w:val="auto"/>
          <w:sz w:val="24"/>
          <w:szCs w:val="24"/>
          <w:highlight w:val="none"/>
        </w:rPr>
      </w:pPr>
      <w:r>
        <w:rPr>
          <w:rStyle w:val="36"/>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t>我方承诺：若我方中标，在用户认为必要时，我方将协同用户做好与第三方之间的沟通工作，以确保用户利用所采购的服务性能能达到用户的要求。</w:t>
      </w:r>
    </w:p>
    <w:p w14:paraId="2B5A80B1">
      <w:pPr>
        <w:autoSpaceDE w:val="0"/>
        <w:autoSpaceDN w:val="0"/>
        <w:adjustRightInd w:val="0"/>
        <w:spacing w:before="6" w:after="5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7、我方承诺：我方在经营活动及参与投标活动中没有重大违法活动及涉嫌违规行为，并没有因而被有关部门警告或处分的记录。</w:t>
      </w:r>
    </w:p>
    <w:p w14:paraId="38156373">
      <w:pPr>
        <w:autoSpaceDE w:val="0"/>
        <w:autoSpaceDN w:val="0"/>
        <w:adjustRightInd w:val="0"/>
        <w:spacing w:before="6" w:after="5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8、我方承诺：我方没有处于被责令停业或破产状态，且资产未被重组、接管和冻结。</w:t>
      </w:r>
    </w:p>
    <w:p w14:paraId="0B29D64A">
      <w:pPr>
        <w:pStyle w:val="2"/>
        <w:rPr>
          <w:rFonts w:hint="eastAsia" w:ascii="宋体" w:hAnsi="宋体" w:eastAsia="宋体" w:cs="宋体"/>
          <w:color w:val="auto"/>
          <w:sz w:val="24"/>
          <w:szCs w:val="24"/>
          <w:highlight w:val="none"/>
        </w:rPr>
      </w:pPr>
    </w:p>
    <w:p w14:paraId="1B9A60D2">
      <w:pPr>
        <w:pStyle w:val="2"/>
        <w:rPr>
          <w:rFonts w:hint="eastAsia" w:ascii="宋体" w:hAnsi="宋体" w:eastAsia="宋体" w:cs="宋体"/>
          <w:color w:val="auto"/>
          <w:sz w:val="24"/>
          <w:szCs w:val="24"/>
          <w:highlight w:val="none"/>
        </w:rPr>
      </w:pPr>
    </w:p>
    <w:p w14:paraId="604C3902">
      <w:pPr>
        <w:pStyle w:val="12"/>
        <w:tabs>
          <w:tab w:val="left" w:pos="3960"/>
        </w:tabs>
        <w:spacing w:before="6" w:line="400" w:lineRule="exact"/>
        <w:ind w:firstLine="4838" w:firstLineChars="201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7761CBE7">
      <w:pPr>
        <w:spacing w:before="6" w:line="400" w:lineRule="exact"/>
        <w:ind w:firstLine="4838" w:firstLineChars="201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CAA69A0">
      <w:pPr>
        <w:spacing w:line="360" w:lineRule="auto"/>
        <w:rPr>
          <w:rFonts w:hint="eastAsia" w:ascii="宋体" w:hAnsi="宋体" w:eastAsia="宋体" w:cs="宋体"/>
          <w:color w:val="auto"/>
          <w:szCs w:val="21"/>
          <w:highlight w:val="none"/>
          <w:u w:val="single"/>
        </w:rPr>
      </w:pPr>
    </w:p>
    <w:p w14:paraId="02B51E51">
      <w:pPr>
        <w:spacing w:line="360" w:lineRule="auto"/>
        <w:rPr>
          <w:rFonts w:hint="eastAsia" w:ascii="宋体" w:hAnsi="宋体" w:eastAsia="宋体" w:cs="宋体"/>
          <w:color w:val="auto"/>
          <w:szCs w:val="21"/>
          <w:highlight w:val="none"/>
          <w:u w:val="single"/>
        </w:rPr>
      </w:pPr>
    </w:p>
    <w:p w14:paraId="3BC46213">
      <w:pPr>
        <w:pStyle w:val="12"/>
        <w:tabs>
          <w:tab w:val="left" w:pos="3960"/>
        </w:tabs>
        <w:spacing w:before="6" w:line="360" w:lineRule="auto"/>
        <w:jc w:val="right"/>
        <w:rPr>
          <w:rFonts w:hint="eastAsia" w:ascii="宋体" w:hAnsi="宋体" w:eastAsia="宋体" w:cs="宋体"/>
          <w:color w:val="auto"/>
          <w:sz w:val="24"/>
          <w:szCs w:val="24"/>
          <w:highlight w:val="none"/>
        </w:rPr>
      </w:pPr>
    </w:p>
    <w:p w14:paraId="7CFEEFF2">
      <w:pPr>
        <w:spacing w:before="6" w:line="360" w:lineRule="auto"/>
        <w:jc w:val="right"/>
        <w:rPr>
          <w:rFonts w:hint="eastAsia" w:ascii="宋体" w:hAnsi="宋体" w:eastAsia="宋体" w:cs="宋体"/>
          <w:color w:val="auto"/>
          <w:sz w:val="24"/>
          <w:szCs w:val="24"/>
          <w:highlight w:val="none"/>
        </w:rPr>
      </w:pPr>
    </w:p>
    <w:p w14:paraId="5FD084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z w:val="32"/>
          <w:szCs w:val="32"/>
          <w:highlight w:val="none"/>
        </w:rPr>
      </w:pPr>
      <w:r>
        <w:rPr>
          <w:rFonts w:hint="eastAsia" w:ascii="宋体" w:hAnsi="宋体" w:eastAsia="宋体" w:cs="宋体"/>
          <w:color w:val="auto"/>
          <w:highlight w:val="none"/>
        </w:rPr>
        <w:br w:type="page"/>
      </w:r>
      <w:r>
        <w:rPr>
          <w:rFonts w:hint="eastAsia" w:ascii="宋体" w:hAnsi="宋体" w:eastAsia="宋体" w:cs="宋体"/>
          <w:b/>
          <w:color w:val="auto"/>
          <w:sz w:val="32"/>
          <w:szCs w:val="32"/>
          <w:highlight w:val="none"/>
        </w:rPr>
        <w:t>3.3 法定代表人证明书及法定代表人授权书</w:t>
      </w:r>
    </w:p>
    <w:p w14:paraId="42EB9FFD">
      <w:pPr>
        <w:pStyle w:val="12"/>
        <w:spacing w:line="360" w:lineRule="auto"/>
        <w:ind w:left="17" w:hanging="16" w:hangingChars="7"/>
        <w:rPr>
          <w:rFonts w:hint="eastAsia" w:ascii="宋体" w:hAnsi="宋体" w:eastAsia="宋体" w:cs="宋体"/>
          <w:color w:val="auto"/>
          <w:sz w:val="24"/>
          <w:highlight w:val="none"/>
        </w:rPr>
      </w:pPr>
    </w:p>
    <w:p w14:paraId="71F3602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法定代表人证明书</w:t>
      </w:r>
    </w:p>
    <w:p w14:paraId="2583A818">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）第　号</w:t>
      </w:r>
    </w:p>
    <w:p w14:paraId="164AE75E">
      <w:pPr>
        <w:spacing w:line="360" w:lineRule="auto"/>
        <w:jc w:val="center"/>
        <w:rPr>
          <w:rFonts w:hint="eastAsia" w:ascii="宋体" w:hAnsi="宋体" w:eastAsia="宋体" w:cs="宋体"/>
          <w:color w:val="auto"/>
          <w:sz w:val="30"/>
          <w:szCs w:val="21"/>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-201295</wp:posOffset>
                </wp:positionH>
                <wp:positionV relativeFrom="paragraph">
                  <wp:posOffset>-3810</wp:posOffset>
                </wp:positionV>
                <wp:extent cx="6127750" cy="3039745"/>
                <wp:effectExtent l="4445" t="4445" r="20955" b="22860"/>
                <wp:wrapNone/>
                <wp:docPr id="21" name="文本框 21"/>
                <wp:cNvGraphicFramePr/>
                <a:graphic xmlns:a="http://schemas.openxmlformats.org/drawingml/2006/main">
                  <a:graphicData uri="http://schemas.microsoft.com/office/word/2010/wordprocessingShape">
                    <wps:wsp>
                      <wps:cNvSpPr txBox="1"/>
                      <wps:spPr>
                        <a:xfrm>
                          <a:off x="0" y="0"/>
                          <a:ext cx="6127668" cy="3039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9D740F">
                            <w:pPr>
                              <w:spacing w:before="120" w:beforeLines="50"/>
                              <w:rPr>
                                <w:sz w:val="24"/>
                                <w:szCs w:val="24"/>
                              </w:rPr>
                            </w:pPr>
                            <w:r>
                              <w:rPr>
                                <w:rFonts w:hint="eastAsia"/>
                                <w:sz w:val="28"/>
                                <w:szCs w:val="28"/>
                              </w:rPr>
                              <w:t>　　</w:t>
                            </w:r>
                            <w:r>
                              <w:rPr>
                                <w:rFonts w:hint="eastAsia"/>
                                <w:sz w:val="24"/>
                                <w:szCs w:val="24"/>
                                <w:u w:val="single"/>
                              </w:rPr>
                              <w:t>　　　　　　</w:t>
                            </w:r>
                            <w:r>
                              <w:rPr>
                                <w:rFonts w:hint="eastAsia"/>
                                <w:sz w:val="24"/>
                                <w:szCs w:val="24"/>
                              </w:rPr>
                              <w:t>现任我单位</w:t>
                            </w:r>
                            <w:r>
                              <w:rPr>
                                <w:rFonts w:hint="eastAsia"/>
                                <w:sz w:val="24"/>
                                <w:szCs w:val="24"/>
                                <w:u w:val="single"/>
                              </w:rPr>
                              <w:t>　　　　　</w:t>
                            </w:r>
                            <w:r>
                              <w:rPr>
                                <w:rFonts w:hint="eastAsia"/>
                                <w:sz w:val="24"/>
                                <w:szCs w:val="24"/>
                              </w:rPr>
                              <w:t>职务，为法定代表人，</w:t>
                            </w:r>
                          </w:p>
                          <w:p w14:paraId="7DE9AA26">
                            <w:pPr>
                              <w:spacing w:before="120" w:beforeLines="50"/>
                              <w:rPr>
                                <w:sz w:val="24"/>
                                <w:szCs w:val="24"/>
                              </w:rPr>
                            </w:pPr>
                            <w:r>
                              <w:rPr>
                                <w:rFonts w:hint="eastAsia"/>
                                <w:sz w:val="24"/>
                                <w:szCs w:val="24"/>
                              </w:rPr>
                              <w:t>特此证明。</w:t>
                            </w:r>
                          </w:p>
                          <w:p w14:paraId="292CA3B7">
                            <w:pPr>
                              <w:snapToGrid w:val="0"/>
                              <w:spacing w:line="480" w:lineRule="atLeast"/>
                              <w:rPr>
                                <w:sz w:val="24"/>
                                <w:szCs w:val="24"/>
                                <w:u w:val="single"/>
                              </w:rPr>
                            </w:pPr>
                            <w:r>
                              <w:rPr>
                                <w:rFonts w:hint="eastAsia"/>
                                <w:sz w:val="24"/>
                                <w:szCs w:val="24"/>
                              </w:rPr>
                              <w:t>有效期限：</w:t>
                            </w:r>
                            <w:r>
                              <w:rPr>
                                <w:rFonts w:hint="eastAsia"/>
                                <w:sz w:val="24"/>
                                <w:szCs w:val="24"/>
                                <w:u w:val="single"/>
                              </w:rPr>
                              <w:t xml:space="preserve">                                </w:t>
                            </w:r>
                            <w:r>
                              <w:rPr>
                                <w:rFonts w:hint="eastAsia"/>
                                <w:sz w:val="24"/>
                                <w:szCs w:val="24"/>
                              </w:rPr>
                              <w:t xml:space="preserve"> 。 </w:t>
                            </w:r>
                          </w:p>
                          <w:p w14:paraId="57AABDF0">
                            <w:pPr>
                              <w:snapToGrid w:val="0"/>
                              <w:spacing w:line="480" w:lineRule="atLeast"/>
                              <w:rPr>
                                <w:sz w:val="24"/>
                                <w:szCs w:val="24"/>
                                <w:u w:val="single"/>
                              </w:rPr>
                            </w:pPr>
                            <w:r>
                              <w:rPr>
                                <w:rFonts w:hint="eastAsia"/>
                                <w:sz w:val="24"/>
                                <w:szCs w:val="24"/>
                              </w:rPr>
                              <w:t>附：法定代表人性别：</w:t>
                            </w:r>
                            <w:r>
                              <w:rPr>
                                <w:rFonts w:hint="eastAsia"/>
                                <w:sz w:val="24"/>
                                <w:szCs w:val="24"/>
                                <w:u w:val="single"/>
                              </w:rPr>
                              <w:t>　　</w:t>
                            </w:r>
                            <w:r>
                              <w:rPr>
                                <w:rFonts w:hint="eastAsia"/>
                                <w:sz w:val="24"/>
                                <w:szCs w:val="24"/>
                              </w:rPr>
                              <w:t>年龄：</w:t>
                            </w:r>
                            <w:r>
                              <w:rPr>
                                <w:rFonts w:hint="eastAsia"/>
                                <w:sz w:val="24"/>
                                <w:szCs w:val="24"/>
                                <w:u w:val="single"/>
                              </w:rPr>
                              <w:t>　　</w:t>
                            </w:r>
                            <w:r>
                              <w:rPr>
                                <w:rFonts w:hint="eastAsia"/>
                                <w:sz w:val="24"/>
                                <w:szCs w:val="24"/>
                              </w:rPr>
                              <w:t>身份证号码：</w:t>
                            </w:r>
                            <w:r>
                              <w:rPr>
                                <w:rFonts w:hint="eastAsia"/>
                                <w:sz w:val="24"/>
                                <w:szCs w:val="24"/>
                                <w:u w:val="single"/>
                              </w:rPr>
                              <w:t xml:space="preserve">                  。</w:t>
                            </w:r>
                          </w:p>
                          <w:p w14:paraId="1A16EF95">
                            <w:pPr>
                              <w:snapToGrid w:val="0"/>
                              <w:spacing w:line="480" w:lineRule="atLeast"/>
                              <w:ind w:firstLine="570"/>
                              <w:rPr>
                                <w:sz w:val="24"/>
                                <w:szCs w:val="24"/>
                                <w:u w:val="single"/>
                              </w:rPr>
                            </w:pPr>
                            <w:r>
                              <w:rPr>
                                <w:rFonts w:hint="eastAsia"/>
                                <w:sz w:val="24"/>
                                <w:szCs w:val="24"/>
                              </w:rPr>
                              <w:t>注册号码：</w:t>
                            </w:r>
                            <w:r>
                              <w:rPr>
                                <w:rFonts w:hint="eastAsia"/>
                                <w:sz w:val="24"/>
                                <w:szCs w:val="24"/>
                                <w:u w:val="single"/>
                              </w:rPr>
                              <w:t>　　　　　　　　　　</w:t>
                            </w:r>
                            <w:r>
                              <w:rPr>
                                <w:rFonts w:hint="eastAsia"/>
                                <w:sz w:val="24"/>
                                <w:szCs w:val="24"/>
                              </w:rPr>
                              <w:t>企业类型：</w:t>
                            </w:r>
                            <w:r>
                              <w:rPr>
                                <w:rFonts w:hint="eastAsia"/>
                                <w:sz w:val="24"/>
                                <w:szCs w:val="24"/>
                                <w:u w:val="single"/>
                              </w:rPr>
                              <w:t xml:space="preserve">                  。 </w:t>
                            </w:r>
                          </w:p>
                          <w:p w14:paraId="0D016C26">
                            <w:pPr>
                              <w:snapToGrid w:val="0"/>
                              <w:spacing w:line="480" w:lineRule="atLeast"/>
                              <w:ind w:firstLine="570"/>
                              <w:rPr>
                                <w:sz w:val="24"/>
                                <w:szCs w:val="24"/>
                                <w:u w:val="single"/>
                              </w:rPr>
                            </w:pPr>
                            <w:r>
                              <w:rPr>
                                <w:rFonts w:hint="eastAsia"/>
                                <w:sz w:val="24"/>
                                <w:szCs w:val="24"/>
                              </w:rPr>
                              <w:t>经营范围：</w:t>
                            </w:r>
                            <w:r>
                              <w:rPr>
                                <w:rFonts w:hint="eastAsia"/>
                                <w:sz w:val="24"/>
                                <w:szCs w:val="24"/>
                                <w:u w:val="single"/>
                              </w:rPr>
                              <w:t xml:space="preserve">                          。</w:t>
                            </w:r>
                          </w:p>
                          <w:p w14:paraId="784D5165">
                            <w:pPr>
                              <w:snapToGrid w:val="0"/>
                              <w:spacing w:line="480" w:lineRule="atLeast"/>
                              <w:ind w:firstLine="570"/>
                              <w:rPr>
                                <w:sz w:val="24"/>
                                <w:szCs w:val="24"/>
                              </w:rPr>
                            </w:pPr>
                            <w:r>
                              <w:rPr>
                                <w:rFonts w:hint="eastAsia"/>
                                <w:sz w:val="24"/>
                                <w:szCs w:val="24"/>
                                <w:u w:val="single"/>
                              </w:rPr>
                              <w:t>　　　　　　　　　　　　　　　　</w:t>
                            </w:r>
                            <w:r>
                              <w:rPr>
                                <w:rFonts w:hint="eastAsia"/>
                                <w:sz w:val="24"/>
                                <w:szCs w:val="24"/>
                              </w:rPr>
                              <w:t>单位：　　　　　　（盖章）</w:t>
                            </w:r>
                          </w:p>
                          <w:p w14:paraId="0C5BEA62">
                            <w:pPr>
                              <w:snapToGrid w:val="0"/>
                              <w:spacing w:after="100" w:afterAutospacing="1" w:line="480" w:lineRule="atLeast"/>
                              <w:ind w:firstLine="573"/>
                              <w:rPr>
                                <w:sz w:val="24"/>
                                <w:szCs w:val="24"/>
                              </w:rPr>
                            </w:pPr>
                            <w:r>
                              <w:rPr>
                                <w:rFonts w:hint="eastAsia"/>
                                <w:sz w:val="24"/>
                                <w:szCs w:val="24"/>
                                <w:u w:val="single"/>
                              </w:rPr>
                              <w:t>　　　　　　　　　　　　　　　　</w:t>
                            </w:r>
                            <w:r>
                              <w:rPr>
                                <w:rFonts w:hint="eastAsia"/>
                                <w:sz w:val="24"/>
                                <w:szCs w:val="24"/>
                              </w:rPr>
                              <w:t>　　　　　    年　 月   日</w:t>
                            </w:r>
                          </w:p>
                        </w:txbxContent>
                      </wps:txbx>
                      <wps:bodyPr wrap="square" upright="1">
                        <a:noAutofit/>
                      </wps:bodyPr>
                    </wps:wsp>
                  </a:graphicData>
                </a:graphic>
              </wp:anchor>
            </w:drawing>
          </mc:Choice>
          <mc:Fallback>
            <w:pict>
              <v:shape id="_x0000_s1026" o:spid="_x0000_s1026" o:spt="202" type="#_x0000_t202" style="position:absolute;left:0pt;margin-left:-15.85pt;margin-top:-0.3pt;height:239.35pt;width:482.5pt;z-index:251664384;mso-width-relative:page;mso-height-relative:page;" fillcolor="#FFFFFF" filled="t" stroked="t" coordsize="21600,21600" o:gfxdata="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1WQNkAAAAJAQAADwAAAAAAAAABACAAAAAiAAAAZHJzL2Rvd25yZXYueG1sUEsBAhQA&#10;FAAAAAgAh07iQIcU2vUqAgAAbwQAAA4AAAAAAAAAAQAgAAAAKAEAAGRycy9lMm9Eb2MueG1sUEsF&#10;BgAAAAAGAAYAWQEAAMQFAAAAAA==&#10;">
                <v:fill on="t" focussize="0,0"/>
                <v:stroke color="#000000" joinstyle="miter"/>
                <v:imagedata o:title=""/>
                <o:lock v:ext="edit" aspectratio="f"/>
                <v:textbox>
                  <w:txbxContent>
                    <w:p w14:paraId="6C9D740F">
                      <w:pPr>
                        <w:spacing w:before="120" w:beforeLines="50"/>
                        <w:rPr>
                          <w:sz w:val="24"/>
                          <w:szCs w:val="24"/>
                        </w:rPr>
                      </w:pPr>
                      <w:r>
                        <w:rPr>
                          <w:rFonts w:hint="eastAsia"/>
                          <w:sz w:val="28"/>
                          <w:szCs w:val="28"/>
                        </w:rPr>
                        <w:t>　　</w:t>
                      </w:r>
                      <w:r>
                        <w:rPr>
                          <w:rFonts w:hint="eastAsia"/>
                          <w:sz w:val="24"/>
                          <w:szCs w:val="24"/>
                          <w:u w:val="single"/>
                        </w:rPr>
                        <w:t>　　　　　　</w:t>
                      </w:r>
                      <w:r>
                        <w:rPr>
                          <w:rFonts w:hint="eastAsia"/>
                          <w:sz w:val="24"/>
                          <w:szCs w:val="24"/>
                        </w:rPr>
                        <w:t>现任我单位</w:t>
                      </w:r>
                      <w:r>
                        <w:rPr>
                          <w:rFonts w:hint="eastAsia"/>
                          <w:sz w:val="24"/>
                          <w:szCs w:val="24"/>
                          <w:u w:val="single"/>
                        </w:rPr>
                        <w:t>　　　　　</w:t>
                      </w:r>
                      <w:r>
                        <w:rPr>
                          <w:rFonts w:hint="eastAsia"/>
                          <w:sz w:val="24"/>
                          <w:szCs w:val="24"/>
                        </w:rPr>
                        <w:t>职务，为法定代表人，</w:t>
                      </w:r>
                    </w:p>
                    <w:p w14:paraId="7DE9AA26">
                      <w:pPr>
                        <w:spacing w:before="120" w:beforeLines="50"/>
                        <w:rPr>
                          <w:sz w:val="24"/>
                          <w:szCs w:val="24"/>
                        </w:rPr>
                      </w:pPr>
                      <w:r>
                        <w:rPr>
                          <w:rFonts w:hint="eastAsia"/>
                          <w:sz w:val="24"/>
                          <w:szCs w:val="24"/>
                        </w:rPr>
                        <w:t>特此证明。</w:t>
                      </w:r>
                    </w:p>
                    <w:p w14:paraId="292CA3B7">
                      <w:pPr>
                        <w:snapToGrid w:val="0"/>
                        <w:spacing w:line="480" w:lineRule="atLeast"/>
                        <w:rPr>
                          <w:sz w:val="24"/>
                          <w:szCs w:val="24"/>
                          <w:u w:val="single"/>
                        </w:rPr>
                      </w:pPr>
                      <w:r>
                        <w:rPr>
                          <w:rFonts w:hint="eastAsia"/>
                          <w:sz w:val="24"/>
                          <w:szCs w:val="24"/>
                        </w:rPr>
                        <w:t>有效期限：</w:t>
                      </w:r>
                      <w:r>
                        <w:rPr>
                          <w:rFonts w:hint="eastAsia"/>
                          <w:sz w:val="24"/>
                          <w:szCs w:val="24"/>
                          <w:u w:val="single"/>
                        </w:rPr>
                        <w:t xml:space="preserve">                                </w:t>
                      </w:r>
                      <w:r>
                        <w:rPr>
                          <w:rFonts w:hint="eastAsia"/>
                          <w:sz w:val="24"/>
                          <w:szCs w:val="24"/>
                        </w:rPr>
                        <w:t xml:space="preserve"> 。 </w:t>
                      </w:r>
                    </w:p>
                    <w:p w14:paraId="57AABDF0">
                      <w:pPr>
                        <w:snapToGrid w:val="0"/>
                        <w:spacing w:line="480" w:lineRule="atLeast"/>
                        <w:rPr>
                          <w:sz w:val="24"/>
                          <w:szCs w:val="24"/>
                          <w:u w:val="single"/>
                        </w:rPr>
                      </w:pPr>
                      <w:r>
                        <w:rPr>
                          <w:rFonts w:hint="eastAsia"/>
                          <w:sz w:val="24"/>
                          <w:szCs w:val="24"/>
                        </w:rPr>
                        <w:t>附：法定代表人性别：</w:t>
                      </w:r>
                      <w:r>
                        <w:rPr>
                          <w:rFonts w:hint="eastAsia"/>
                          <w:sz w:val="24"/>
                          <w:szCs w:val="24"/>
                          <w:u w:val="single"/>
                        </w:rPr>
                        <w:t>　　</w:t>
                      </w:r>
                      <w:r>
                        <w:rPr>
                          <w:rFonts w:hint="eastAsia"/>
                          <w:sz w:val="24"/>
                          <w:szCs w:val="24"/>
                        </w:rPr>
                        <w:t>年龄：</w:t>
                      </w:r>
                      <w:r>
                        <w:rPr>
                          <w:rFonts w:hint="eastAsia"/>
                          <w:sz w:val="24"/>
                          <w:szCs w:val="24"/>
                          <w:u w:val="single"/>
                        </w:rPr>
                        <w:t>　　</w:t>
                      </w:r>
                      <w:r>
                        <w:rPr>
                          <w:rFonts w:hint="eastAsia"/>
                          <w:sz w:val="24"/>
                          <w:szCs w:val="24"/>
                        </w:rPr>
                        <w:t>身份证号码：</w:t>
                      </w:r>
                      <w:r>
                        <w:rPr>
                          <w:rFonts w:hint="eastAsia"/>
                          <w:sz w:val="24"/>
                          <w:szCs w:val="24"/>
                          <w:u w:val="single"/>
                        </w:rPr>
                        <w:t xml:space="preserve">                  。</w:t>
                      </w:r>
                    </w:p>
                    <w:p w14:paraId="1A16EF95">
                      <w:pPr>
                        <w:snapToGrid w:val="0"/>
                        <w:spacing w:line="480" w:lineRule="atLeast"/>
                        <w:ind w:firstLine="570"/>
                        <w:rPr>
                          <w:sz w:val="24"/>
                          <w:szCs w:val="24"/>
                          <w:u w:val="single"/>
                        </w:rPr>
                      </w:pPr>
                      <w:r>
                        <w:rPr>
                          <w:rFonts w:hint="eastAsia"/>
                          <w:sz w:val="24"/>
                          <w:szCs w:val="24"/>
                        </w:rPr>
                        <w:t>注册号码：</w:t>
                      </w:r>
                      <w:r>
                        <w:rPr>
                          <w:rFonts w:hint="eastAsia"/>
                          <w:sz w:val="24"/>
                          <w:szCs w:val="24"/>
                          <w:u w:val="single"/>
                        </w:rPr>
                        <w:t>　　　　　　　　　　</w:t>
                      </w:r>
                      <w:r>
                        <w:rPr>
                          <w:rFonts w:hint="eastAsia"/>
                          <w:sz w:val="24"/>
                          <w:szCs w:val="24"/>
                        </w:rPr>
                        <w:t>企业类型：</w:t>
                      </w:r>
                      <w:r>
                        <w:rPr>
                          <w:rFonts w:hint="eastAsia"/>
                          <w:sz w:val="24"/>
                          <w:szCs w:val="24"/>
                          <w:u w:val="single"/>
                        </w:rPr>
                        <w:t xml:space="preserve">                  。 </w:t>
                      </w:r>
                    </w:p>
                    <w:p w14:paraId="0D016C26">
                      <w:pPr>
                        <w:snapToGrid w:val="0"/>
                        <w:spacing w:line="480" w:lineRule="atLeast"/>
                        <w:ind w:firstLine="570"/>
                        <w:rPr>
                          <w:sz w:val="24"/>
                          <w:szCs w:val="24"/>
                          <w:u w:val="single"/>
                        </w:rPr>
                      </w:pPr>
                      <w:r>
                        <w:rPr>
                          <w:rFonts w:hint="eastAsia"/>
                          <w:sz w:val="24"/>
                          <w:szCs w:val="24"/>
                        </w:rPr>
                        <w:t>经营范围：</w:t>
                      </w:r>
                      <w:r>
                        <w:rPr>
                          <w:rFonts w:hint="eastAsia"/>
                          <w:sz w:val="24"/>
                          <w:szCs w:val="24"/>
                          <w:u w:val="single"/>
                        </w:rPr>
                        <w:t xml:space="preserve">                          。</w:t>
                      </w:r>
                    </w:p>
                    <w:p w14:paraId="784D5165">
                      <w:pPr>
                        <w:snapToGrid w:val="0"/>
                        <w:spacing w:line="480" w:lineRule="atLeast"/>
                        <w:ind w:firstLine="570"/>
                        <w:rPr>
                          <w:sz w:val="24"/>
                          <w:szCs w:val="24"/>
                        </w:rPr>
                      </w:pPr>
                      <w:r>
                        <w:rPr>
                          <w:rFonts w:hint="eastAsia"/>
                          <w:sz w:val="24"/>
                          <w:szCs w:val="24"/>
                          <w:u w:val="single"/>
                        </w:rPr>
                        <w:t>　　　　　　　　　　　　　　　　</w:t>
                      </w:r>
                      <w:r>
                        <w:rPr>
                          <w:rFonts w:hint="eastAsia"/>
                          <w:sz w:val="24"/>
                          <w:szCs w:val="24"/>
                        </w:rPr>
                        <w:t>单位：　　　　　　（盖章）</w:t>
                      </w:r>
                    </w:p>
                    <w:p w14:paraId="0C5BEA62">
                      <w:pPr>
                        <w:snapToGrid w:val="0"/>
                        <w:spacing w:after="100" w:afterAutospacing="1" w:line="480" w:lineRule="atLeast"/>
                        <w:ind w:firstLine="573"/>
                        <w:rPr>
                          <w:sz w:val="24"/>
                          <w:szCs w:val="24"/>
                        </w:rPr>
                      </w:pPr>
                      <w:r>
                        <w:rPr>
                          <w:rFonts w:hint="eastAsia"/>
                          <w:sz w:val="24"/>
                          <w:szCs w:val="24"/>
                          <w:u w:val="single"/>
                        </w:rPr>
                        <w:t>　　　　　　　　　　　　　　　　</w:t>
                      </w:r>
                      <w:r>
                        <w:rPr>
                          <w:rFonts w:hint="eastAsia"/>
                          <w:sz w:val="24"/>
                          <w:szCs w:val="24"/>
                        </w:rPr>
                        <w:t>　　　　　    年　 月   日</w:t>
                      </w:r>
                    </w:p>
                  </w:txbxContent>
                </v:textbox>
              </v:shape>
            </w:pict>
          </mc:Fallback>
        </mc:AlternateContent>
      </w:r>
      <w:r>
        <w:rPr>
          <w:rFonts w:hint="eastAsia" w:ascii="宋体" w:hAnsi="宋体" w:eastAsia="宋体" w:cs="宋体"/>
          <w:color w:val="auto"/>
          <w:sz w:val="24"/>
          <w:szCs w:val="24"/>
          <w:highlight w:val="none"/>
        </w:rPr>
        <mc:AlternateContent>
          <mc:Choice Requires="wpg">
            <w:drawing>
              <wp:inline distT="0" distB="0" distL="114300" distR="114300">
                <wp:extent cx="5800725" cy="2773680"/>
                <wp:effectExtent l="4445" t="5080" r="5080" b="21590"/>
                <wp:docPr id="18" name="组合 18"/>
                <wp:cNvGraphicFramePr/>
                <a:graphic xmlns:a="http://schemas.openxmlformats.org/drawingml/2006/main">
                  <a:graphicData uri="http://schemas.microsoft.com/office/word/2010/wordprocessingGroup">
                    <wpg:wgp>
                      <wpg:cNvGrpSpPr/>
                      <wpg:grpSpPr>
                        <a:xfrm>
                          <a:off x="0" y="0"/>
                          <a:ext cx="5800725" cy="2773680"/>
                          <a:chOff x="0" y="0"/>
                          <a:chExt cx="7140" cy="3468"/>
                        </a:xfrm>
                        <a:effectLst/>
                      </wpg:grpSpPr>
                      <wps:wsp>
                        <wps:cNvPr id="19" name="图片 7"/>
                        <wps:cNvSpPr>
                          <a:spLocks noChangeAspect="1" noTextEdit="1"/>
                        </wps:cNvSpPr>
                        <wps:spPr>
                          <a:xfrm>
                            <a:off x="0" y="0"/>
                            <a:ext cx="7140" cy="3468"/>
                          </a:xfrm>
                          <a:prstGeom prst="rect">
                            <a:avLst/>
                          </a:prstGeom>
                          <a:noFill/>
                          <a:ln>
                            <a:noFill/>
                          </a:ln>
                          <a:effectLst/>
                        </wps:spPr>
                        <wps:bodyPr upright="1"/>
                      </wps:wsp>
                      <wps:wsp>
                        <wps:cNvPr id="20" name="文本框 8"/>
                        <wps:cNvSpPr txBox="1"/>
                        <wps:spPr>
                          <a:xfrm>
                            <a:off x="0" y="0"/>
                            <a:ext cx="7140" cy="3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EBAF8C">
                              <w:pPr>
                                <w:spacing w:before="120" w:beforeLines="50"/>
                                <w:rPr>
                                  <w:sz w:val="28"/>
                                  <w:szCs w:val="28"/>
                                </w:rPr>
                              </w:pPr>
                              <w:r>
                                <w:rPr>
                                  <w:rFonts w:hint="eastAsia"/>
                                  <w:sz w:val="28"/>
                                  <w:szCs w:val="28"/>
                                </w:rPr>
                                <w:t>　　</w:t>
                              </w:r>
                              <w:r>
                                <w:rPr>
                                  <w:rFonts w:hint="eastAsia"/>
                                  <w:sz w:val="28"/>
                                  <w:szCs w:val="28"/>
                                  <w:u w:val="single"/>
                                </w:rPr>
                                <w:t>　　　　　　</w:t>
                              </w:r>
                              <w:r>
                                <w:rPr>
                                  <w:rFonts w:hint="eastAsia"/>
                                  <w:sz w:val="28"/>
                                  <w:szCs w:val="28"/>
                                </w:rPr>
                                <w:t>现任我单位</w:t>
                              </w:r>
                              <w:r>
                                <w:rPr>
                                  <w:rFonts w:hint="eastAsia"/>
                                  <w:sz w:val="28"/>
                                  <w:szCs w:val="28"/>
                                  <w:u w:val="single"/>
                                </w:rPr>
                                <w:t>　　　　　</w:t>
                              </w:r>
                              <w:r>
                                <w:rPr>
                                  <w:rFonts w:hint="eastAsia"/>
                                  <w:sz w:val="28"/>
                                  <w:szCs w:val="28"/>
                                </w:rPr>
                                <w:t>职务，为法定代表人（负责人），</w:t>
                              </w:r>
                            </w:p>
                            <w:p w14:paraId="75C2A1D1">
                              <w:pPr>
                                <w:snapToGrid w:val="0"/>
                                <w:spacing w:line="480" w:lineRule="atLeast"/>
                                <w:rPr>
                                  <w:sz w:val="28"/>
                                  <w:szCs w:val="28"/>
                                </w:rPr>
                              </w:pPr>
                              <w:r>
                                <w:rPr>
                                  <w:rFonts w:hint="eastAsia"/>
                                  <w:sz w:val="28"/>
                                  <w:szCs w:val="28"/>
                                </w:rPr>
                                <w:t>特此证明。</w:t>
                              </w:r>
                            </w:p>
                            <w:p w14:paraId="41E0795E">
                              <w:pPr>
                                <w:snapToGrid w:val="0"/>
                                <w:spacing w:line="480" w:lineRule="atLeast"/>
                                <w:rPr>
                                  <w:sz w:val="28"/>
                                  <w:szCs w:val="28"/>
                                  <w:u w:val="single"/>
                                </w:rPr>
                              </w:pPr>
                              <w:r>
                                <w:rPr>
                                  <w:rFonts w:hint="eastAsia"/>
                                  <w:sz w:val="28"/>
                                  <w:szCs w:val="28"/>
                                </w:rPr>
                                <w:t>有效期限：</w:t>
                              </w:r>
                              <w:r>
                                <w:rPr>
                                  <w:rFonts w:hint="eastAsia"/>
                                  <w:sz w:val="28"/>
                                  <w:szCs w:val="28"/>
                                  <w:u w:val="single"/>
                                </w:rPr>
                                <w:t xml:space="preserve">                                </w:t>
                              </w:r>
                              <w:r>
                                <w:rPr>
                                  <w:rFonts w:hint="eastAsia"/>
                                  <w:sz w:val="28"/>
                                  <w:szCs w:val="28"/>
                                </w:rPr>
                                <w:t xml:space="preserve">  </w:t>
                              </w:r>
                            </w:p>
                            <w:p w14:paraId="26CC5EAF">
                              <w:pPr>
                                <w:snapToGrid w:val="0"/>
                                <w:spacing w:line="480" w:lineRule="atLeast"/>
                                <w:rPr>
                                  <w:sz w:val="28"/>
                                  <w:szCs w:val="28"/>
                                  <w:u w:val="single"/>
                                </w:rPr>
                              </w:pPr>
                              <w:r>
                                <w:rPr>
                                  <w:rFonts w:hint="eastAsia"/>
                                  <w:sz w:val="28"/>
                                  <w:szCs w:val="28"/>
                                </w:rPr>
                                <w:t>附：法定代表人（负责人）性别：</w:t>
                              </w:r>
                              <w:r>
                                <w:rPr>
                                  <w:rFonts w:hint="eastAsia"/>
                                  <w:sz w:val="28"/>
                                  <w:szCs w:val="28"/>
                                  <w:u w:val="single"/>
                                </w:rPr>
                                <w:t>　　</w:t>
                              </w:r>
                              <w:r>
                                <w:rPr>
                                  <w:rFonts w:hint="eastAsia"/>
                                  <w:sz w:val="28"/>
                                  <w:szCs w:val="28"/>
                                </w:rPr>
                                <w:t>年龄：</w:t>
                              </w:r>
                              <w:r>
                                <w:rPr>
                                  <w:rFonts w:hint="eastAsia"/>
                                  <w:sz w:val="28"/>
                                  <w:szCs w:val="28"/>
                                  <w:u w:val="single"/>
                                </w:rPr>
                                <w:t>　　</w:t>
                              </w:r>
                              <w:r>
                                <w:rPr>
                                  <w:rFonts w:hint="eastAsia"/>
                                  <w:sz w:val="28"/>
                                  <w:szCs w:val="28"/>
                                </w:rPr>
                                <w:t>身份证号码：</w:t>
                              </w:r>
                              <w:r>
                                <w:rPr>
                                  <w:rFonts w:hint="eastAsia"/>
                                  <w:sz w:val="28"/>
                                  <w:szCs w:val="28"/>
                                  <w:u w:val="single"/>
                                </w:rPr>
                                <w:t xml:space="preserve">         </w:t>
                              </w:r>
                            </w:p>
                            <w:p w14:paraId="507B4F3A">
                              <w:pPr>
                                <w:snapToGrid w:val="0"/>
                                <w:spacing w:line="480" w:lineRule="atLeast"/>
                                <w:ind w:firstLine="570"/>
                                <w:rPr>
                                  <w:sz w:val="28"/>
                                  <w:szCs w:val="28"/>
                                  <w:u w:val="single"/>
                                </w:rPr>
                              </w:pPr>
                              <w:r>
                                <w:rPr>
                                  <w:rFonts w:hint="eastAsia"/>
                                  <w:sz w:val="28"/>
                                  <w:szCs w:val="28"/>
                                </w:rPr>
                                <w:t>注册号码：</w:t>
                              </w:r>
                              <w:r>
                                <w:rPr>
                                  <w:rFonts w:hint="eastAsia"/>
                                  <w:sz w:val="28"/>
                                  <w:szCs w:val="28"/>
                                  <w:u w:val="single"/>
                                </w:rPr>
                                <w:t>　　　　　　　　　　</w:t>
                              </w:r>
                              <w:r>
                                <w:rPr>
                                  <w:rFonts w:hint="eastAsia"/>
                                  <w:sz w:val="28"/>
                                  <w:szCs w:val="28"/>
                                </w:rPr>
                                <w:t>企业类型：</w:t>
                              </w:r>
                              <w:r>
                                <w:rPr>
                                  <w:rFonts w:hint="eastAsia"/>
                                  <w:sz w:val="28"/>
                                  <w:szCs w:val="28"/>
                                  <w:u w:val="single"/>
                                </w:rPr>
                                <w:t xml:space="preserve">                   </w:t>
                              </w:r>
                            </w:p>
                            <w:p w14:paraId="525C4CE1">
                              <w:pPr>
                                <w:snapToGrid w:val="0"/>
                                <w:spacing w:line="480" w:lineRule="atLeast"/>
                                <w:ind w:firstLine="570"/>
                                <w:rPr>
                                  <w:sz w:val="28"/>
                                  <w:szCs w:val="28"/>
                                  <w:u w:val="single"/>
                                </w:rPr>
                              </w:pPr>
                              <w:r>
                                <w:rPr>
                                  <w:rFonts w:hint="eastAsia"/>
                                  <w:sz w:val="28"/>
                                  <w:szCs w:val="28"/>
                                </w:rPr>
                                <w:t>经营范围：</w:t>
                              </w:r>
                              <w:r>
                                <w:rPr>
                                  <w:rFonts w:hint="eastAsia"/>
                                  <w:sz w:val="28"/>
                                  <w:szCs w:val="28"/>
                                  <w:u w:val="single"/>
                                </w:rPr>
                                <w:t xml:space="preserve">                          </w:t>
                              </w:r>
                            </w:p>
                            <w:p w14:paraId="25690688">
                              <w:pPr>
                                <w:snapToGrid w:val="0"/>
                                <w:spacing w:line="480" w:lineRule="atLeast"/>
                                <w:ind w:firstLine="570"/>
                                <w:rPr>
                                  <w:sz w:val="28"/>
                                  <w:szCs w:val="28"/>
                                </w:rPr>
                              </w:pPr>
                              <w:r>
                                <w:rPr>
                                  <w:rFonts w:hint="eastAsia"/>
                                  <w:sz w:val="28"/>
                                  <w:szCs w:val="28"/>
                                  <w:u w:val="single"/>
                                </w:rPr>
                                <w:t>　　　　　　　　　　　　　　　　</w:t>
                              </w:r>
                              <w:r>
                                <w:rPr>
                                  <w:rFonts w:hint="eastAsia"/>
                                  <w:sz w:val="28"/>
                                  <w:szCs w:val="28"/>
                                </w:rPr>
                                <w:t>单位：　　　　　　（盖章）</w:t>
                              </w:r>
                            </w:p>
                            <w:p w14:paraId="3C8E81D2">
                              <w:pPr>
                                <w:snapToGrid w:val="0"/>
                                <w:spacing w:after="100" w:afterAutospacing="1" w:line="480" w:lineRule="atLeast"/>
                                <w:ind w:firstLine="573"/>
                                <w:rPr>
                                  <w:sz w:val="28"/>
                                  <w:szCs w:val="28"/>
                                </w:rPr>
                              </w:pPr>
                              <w:r>
                                <w:rPr>
                                  <w:rFonts w:hint="eastAsia"/>
                                  <w:sz w:val="28"/>
                                  <w:szCs w:val="28"/>
                                  <w:u w:val="single"/>
                                </w:rPr>
                                <w:t>　　　　　　　　　　　　　　　　</w:t>
                              </w:r>
                              <w:r>
                                <w:rPr>
                                  <w:rFonts w:hint="eastAsia"/>
                                  <w:sz w:val="28"/>
                                  <w:szCs w:val="28"/>
                                </w:rPr>
                                <w:t>　　　　　    年　月　　日</w:t>
                              </w:r>
                            </w:p>
                          </w:txbxContent>
                        </wps:txbx>
                        <wps:bodyPr upright="1"/>
                      </wps:wsp>
                    </wpg:wgp>
                  </a:graphicData>
                </a:graphic>
              </wp:inline>
            </w:drawing>
          </mc:Choice>
          <mc:Fallback>
            <w:pict>
              <v:group id="_x0000_s1026" o:spid="_x0000_s1026" o:spt="203" style="height:218.4pt;width:456.75pt;" coordsize="7140,3468" o:gfxdata="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1/fS/XAAAABQEAAA8AAAAAAAAA&#10;AQAgAAAAIgAAAGRycy9kb3ducmV2LnhtbFBLAQIUABQAAAAIAIdO4kAosJKSvQIAABgHAAAOAAAA&#10;AAAAAAEAIAAAACYBAABkcnMvZTJvRG9jLnhtbFBLBQYAAAAABgAGAFkBAABVBgAAAAA=&#10;">
                <o:lock v:ext="edit" aspectratio="f"/>
                <v:rect id="图片 7" o:spid="_x0000_s1026" o:spt="1" style="position:absolute;left:0;top:0;height:3468;width:7140;"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text="t" aspectratio="t"/>
                </v:rect>
                <v:shape id="文本框 8" o:spid="_x0000_s1026" o:spt="202" type="#_x0000_t202" style="position:absolute;left:0;top:0;height:3468;width:714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3EBAF8C">
                        <w:pPr>
                          <w:spacing w:before="120" w:beforeLines="50"/>
                          <w:rPr>
                            <w:sz w:val="28"/>
                            <w:szCs w:val="28"/>
                          </w:rPr>
                        </w:pPr>
                        <w:r>
                          <w:rPr>
                            <w:rFonts w:hint="eastAsia"/>
                            <w:sz w:val="28"/>
                            <w:szCs w:val="28"/>
                          </w:rPr>
                          <w:t>　　</w:t>
                        </w:r>
                        <w:r>
                          <w:rPr>
                            <w:rFonts w:hint="eastAsia"/>
                            <w:sz w:val="28"/>
                            <w:szCs w:val="28"/>
                            <w:u w:val="single"/>
                          </w:rPr>
                          <w:t>　　　　　　</w:t>
                        </w:r>
                        <w:r>
                          <w:rPr>
                            <w:rFonts w:hint="eastAsia"/>
                            <w:sz w:val="28"/>
                            <w:szCs w:val="28"/>
                          </w:rPr>
                          <w:t>现任我单位</w:t>
                        </w:r>
                        <w:r>
                          <w:rPr>
                            <w:rFonts w:hint="eastAsia"/>
                            <w:sz w:val="28"/>
                            <w:szCs w:val="28"/>
                            <w:u w:val="single"/>
                          </w:rPr>
                          <w:t>　　　　　</w:t>
                        </w:r>
                        <w:r>
                          <w:rPr>
                            <w:rFonts w:hint="eastAsia"/>
                            <w:sz w:val="28"/>
                            <w:szCs w:val="28"/>
                          </w:rPr>
                          <w:t>职务，为法定代表人（负责人），</w:t>
                        </w:r>
                      </w:p>
                      <w:p w14:paraId="75C2A1D1">
                        <w:pPr>
                          <w:snapToGrid w:val="0"/>
                          <w:spacing w:line="480" w:lineRule="atLeast"/>
                          <w:rPr>
                            <w:sz w:val="28"/>
                            <w:szCs w:val="28"/>
                          </w:rPr>
                        </w:pPr>
                        <w:r>
                          <w:rPr>
                            <w:rFonts w:hint="eastAsia"/>
                            <w:sz w:val="28"/>
                            <w:szCs w:val="28"/>
                          </w:rPr>
                          <w:t>特此证明。</w:t>
                        </w:r>
                      </w:p>
                      <w:p w14:paraId="41E0795E">
                        <w:pPr>
                          <w:snapToGrid w:val="0"/>
                          <w:spacing w:line="480" w:lineRule="atLeast"/>
                          <w:rPr>
                            <w:sz w:val="28"/>
                            <w:szCs w:val="28"/>
                            <w:u w:val="single"/>
                          </w:rPr>
                        </w:pPr>
                        <w:r>
                          <w:rPr>
                            <w:rFonts w:hint="eastAsia"/>
                            <w:sz w:val="28"/>
                            <w:szCs w:val="28"/>
                          </w:rPr>
                          <w:t>有效期限：</w:t>
                        </w:r>
                        <w:r>
                          <w:rPr>
                            <w:rFonts w:hint="eastAsia"/>
                            <w:sz w:val="28"/>
                            <w:szCs w:val="28"/>
                            <w:u w:val="single"/>
                          </w:rPr>
                          <w:t xml:space="preserve">                                </w:t>
                        </w:r>
                        <w:r>
                          <w:rPr>
                            <w:rFonts w:hint="eastAsia"/>
                            <w:sz w:val="28"/>
                            <w:szCs w:val="28"/>
                          </w:rPr>
                          <w:t xml:space="preserve">  </w:t>
                        </w:r>
                      </w:p>
                      <w:p w14:paraId="26CC5EAF">
                        <w:pPr>
                          <w:snapToGrid w:val="0"/>
                          <w:spacing w:line="480" w:lineRule="atLeast"/>
                          <w:rPr>
                            <w:sz w:val="28"/>
                            <w:szCs w:val="28"/>
                            <w:u w:val="single"/>
                          </w:rPr>
                        </w:pPr>
                        <w:r>
                          <w:rPr>
                            <w:rFonts w:hint="eastAsia"/>
                            <w:sz w:val="28"/>
                            <w:szCs w:val="28"/>
                          </w:rPr>
                          <w:t>附：法定代表人（负责人）性别：</w:t>
                        </w:r>
                        <w:r>
                          <w:rPr>
                            <w:rFonts w:hint="eastAsia"/>
                            <w:sz w:val="28"/>
                            <w:szCs w:val="28"/>
                            <w:u w:val="single"/>
                          </w:rPr>
                          <w:t>　　</w:t>
                        </w:r>
                        <w:r>
                          <w:rPr>
                            <w:rFonts w:hint="eastAsia"/>
                            <w:sz w:val="28"/>
                            <w:szCs w:val="28"/>
                          </w:rPr>
                          <w:t>年龄：</w:t>
                        </w:r>
                        <w:r>
                          <w:rPr>
                            <w:rFonts w:hint="eastAsia"/>
                            <w:sz w:val="28"/>
                            <w:szCs w:val="28"/>
                            <w:u w:val="single"/>
                          </w:rPr>
                          <w:t>　　</w:t>
                        </w:r>
                        <w:r>
                          <w:rPr>
                            <w:rFonts w:hint="eastAsia"/>
                            <w:sz w:val="28"/>
                            <w:szCs w:val="28"/>
                          </w:rPr>
                          <w:t>身份证号码：</w:t>
                        </w:r>
                        <w:r>
                          <w:rPr>
                            <w:rFonts w:hint="eastAsia"/>
                            <w:sz w:val="28"/>
                            <w:szCs w:val="28"/>
                            <w:u w:val="single"/>
                          </w:rPr>
                          <w:t xml:space="preserve">         </w:t>
                        </w:r>
                      </w:p>
                      <w:p w14:paraId="507B4F3A">
                        <w:pPr>
                          <w:snapToGrid w:val="0"/>
                          <w:spacing w:line="480" w:lineRule="atLeast"/>
                          <w:ind w:firstLine="570"/>
                          <w:rPr>
                            <w:sz w:val="28"/>
                            <w:szCs w:val="28"/>
                            <w:u w:val="single"/>
                          </w:rPr>
                        </w:pPr>
                        <w:r>
                          <w:rPr>
                            <w:rFonts w:hint="eastAsia"/>
                            <w:sz w:val="28"/>
                            <w:szCs w:val="28"/>
                          </w:rPr>
                          <w:t>注册号码：</w:t>
                        </w:r>
                        <w:r>
                          <w:rPr>
                            <w:rFonts w:hint="eastAsia"/>
                            <w:sz w:val="28"/>
                            <w:szCs w:val="28"/>
                            <w:u w:val="single"/>
                          </w:rPr>
                          <w:t>　　　　　　　　　　</w:t>
                        </w:r>
                        <w:r>
                          <w:rPr>
                            <w:rFonts w:hint="eastAsia"/>
                            <w:sz w:val="28"/>
                            <w:szCs w:val="28"/>
                          </w:rPr>
                          <w:t>企业类型：</w:t>
                        </w:r>
                        <w:r>
                          <w:rPr>
                            <w:rFonts w:hint="eastAsia"/>
                            <w:sz w:val="28"/>
                            <w:szCs w:val="28"/>
                            <w:u w:val="single"/>
                          </w:rPr>
                          <w:t xml:space="preserve">                   </w:t>
                        </w:r>
                      </w:p>
                      <w:p w14:paraId="525C4CE1">
                        <w:pPr>
                          <w:snapToGrid w:val="0"/>
                          <w:spacing w:line="480" w:lineRule="atLeast"/>
                          <w:ind w:firstLine="570"/>
                          <w:rPr>
                            <w:sz w:val="28"/>
                            <w:szCs w:val="28"/>
                            <w:u w:val="single"/>
                          </w:rPr>
                        </w:pPr>
                        <w:r>
                          <w:rPr>
                            <w:rFonts w:hint="eastAsia"/>
                            <w:sz w:val="28"/>
                            <w:szCs w:val="28"/>
                          </w:rPr>
                          <w:t>经营范围：</w:t>
                        </w:r>
                        <w:r>
                          <w:rPr>
                            <w:rFonts w:hint="eastAsia"/>
                            <w:sz w:val="28"/>
                            <w:szCs w:val="28"/>
                            <w:u w:val="single"/>
                          </w:rPr>
                          <w:t xml:space="preserve">                          </w:t>
                        </w:r>
                      </w:p>
                      <w:p w14:paraId="25690688">
                        <w:pPr>
                          <w:snapToGrid w:val="0"/>
                          <w:spacing w:line="480" w:lineRule="atLeast"/>
                          <w:ind w:firstLine="570"/>
                          <w:rPr>
                            <w:sz w:val="28"/>
                            <w:szCs w:val="28"/>
                          </w:rPr>
                        </w:pPr>
                        <w:r>
                          <w:rPr>
                            <w:rFonts w:hint="eastAsia"/>
                            <w:sz w:val="28"/>
                            <w:szCs w:val="28"/>
                            <w:u w:val="single"/>
                          </w:rPr>
                          <w:t>　　　　　　　　　　　　　　　　</w:t>
                        </w:r>
                        <w:r>
                          <w:rPr>
                            <w:rFonts w:hint="eastAsia"/>
                            <w:sz w:val="28"/>
                            <w:szCs w:val="28"/>
                          </w:rPr>
                          <w:t>单位：　　　　　　（盖章）</w:t>
                        </w:r>
                      </w:p>
                      <w:p w14:paraId="3C8E81D2">
                        <w:pPr>
                          <w:snapToGrid w:val="0"/>
                          <w:spacing w:after="100" w:afterAutospacing="1" w:line="480" w:lineRule="atLeast"/>
                          <w:ind w:firstLine="573"/>
                          <w:rPr>
                            <w:sz w:val="28"/>
                            <w:szCs w:val="28"/>
                          </w:rPr>
                        </w:pPr>
                        <w:r>
                          <w:rPr>
                            <w:rFonts w:hint="eastAsia"/>
                            <w:sz w:val="28"/>
                            <w:szCs w:val="28"/>
                            <w:u w:val="single"/>
                          </w:rPr>
                          <w:t>　　　　　　　　　　　　　　　　</w:t>
                        </w:r>
                        <w:r>
                          <w:rPr>
                            <w:rFonts w:hint="eastAsia"/>
                            <w:sz w:val="28"/>
                            <w:szCs w:val="28"/>
                          </w:rPr>
                          <w:t>　　　　　    年　月　　日</w:t>
                        </w:r>
                      </w:p>
                    </w:txbxContent>
                  </v:textbox>
                </v:shape>
                <w10:wrap type="none"/>
                <w10:anchorlock/>
              </v:group>
            </w:pict>
          </mc:Fallback>
        </mc:AlternateContent>
      </w:r>
    </w:p>
    <w:p w14:paraId="79B1A516">
      <w:pPr>
        <w:spacing w:line="360" w:lineRule="auto"/>
        <w:rPr>
          <w:rFonts w:hint="eastAsia" w:ascii="宋体" w:hAnsi="宋体" w:eastAsia="宋体" w:cs="宋体"/>
          <w:color w:val="auto"/>
          <w:sz w:val="28"/>
          <w:szCs w:val="28"/>
          <w:highlight w:val="none"/>
        </w:rPr>
      </w:pPr>
    </w:p>
    <w:p w14:paraId="5C830D6B">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highlight w:val="none"/>
        </w:rPr>
        <w:t>注：1、可以用工商管理部门印发的统一格式。须提供身份证扫描件。</w:t>
      </w:r>
    </w:p>
    <w:p w14:paraId="66461F60">
      <w:pPr>
        <w:spacing w:line="360" w:lineRule="auto"/>
        <w:rPr>
          <w:rFonts w:hint="eastAsia" w:ascii="宋体" w:hAnsi="宋体" w:eastAsia="宋体" w:cs="宋体"/>
          <w:color w:val="auto"/>
          <w:sz w:val="28"/>
          <w:szCs w:val="28"/>
          <w:highlight w:val="none"/>
        </w:rPr>
      </w:pPr>
    </w:p>
    <w:p w14:paraId="714BC91D">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mc:AlternateContent>
          <mc:Choice Requires="wps">
            <w:drawing>
              <wp:anchor distT="0" distB="0" distL="114300" distR="114300" simplePos="0" relativeHeight="251662336" behindDoc="0" locked="0" layoutInCell="1" allowOverlap="1">
                <wp:simplePos x="0" y="0"/>
                <wp:positionH relativeFrom="column">
                  <wp:posOffset>1619250</wp:posOffset>
                </wp:positionH>
                <wp:positionV relativeFrom="paragraph">
                  <wp:posOffset>20320</wp:posOffset>
                </wp:positionV>
                <wp:extent cx="2333625" cy="1584325"/>
                <wp:effectExtent l="4445" t="4445" r="5080" b="11430"/>
                <wp:wrapNone/>
                <wp:docPr id="13" name="流程图: 可选过程 13"/>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0717937">
                            <w:pPr>
                              <w:jc w:val="center"/>
                              <w:rPr>
                                <w:rFonts w:hAnsi="宋体"/>
                                <w:szCs w:val="21"/>
                              </w:rPr>
                            </w:pPr>
                          </w:p>
                          <w:p w14:paraId="3A466996">
                            <w:pPr>
                              <w:jc w:val="center"/>
                              <w:rPr>
                                <w:rFonts w:hAnsi="宋体"/>
                                <w:szCs w:val="21"/>
                              </w:rPr>
                            </w:pPr>
                          </w:p>
                          <w:p w14:paraId="07520B20">
                            <w:pPr>
                              <w:jc w:val="center"/>
                              <w:rPr>
                                <w:rFonts w:hAnsi="宋体"/>
                                <w:szCs w:val="21"/>
                              </w:rPr>
                            </w:pPr>
                          </w:p>
                          <w:p w14:paraId="0DB68961">
                            <w:pPr>
                              <w:jc w:val="center"/>
                              <w:rPr>
                                <w:szCs w:val="21"/>
                              </w:rPr>
                            </w:pPr>
                            <w:r>
                              <w:rPr>
                                <w:rFonts w:hint="eastAsia" w:hAnsi="宋体"/>
                                <w:szCs w:val="21"/>
                              </w:rPr>
                              <w:t>法定代表人身份证</w:t>
                            </w:r>
                            <w:r>
                              <w:rPr>
                                <w:rFonts w:hint="eastAsia" w:hAnsi="宋体"/>
                              </w:rPr>
                              <w:t>扫描件</w:t>
                            </w:r>
                          </w:p>
                        </w:txbxContent>
                      </wps:txbx>
                      <wps:bodyPr upright="1"/>
                    </wps:wsp>
                  </a:graphicData>
                </a:graphic>
              </wp:anchor>
            </w:drawing>
          </mc:Choice>
          <mc:Fallback>
            <w:pict>
              <v:shape id="_x0000_s1026" o:spid="_x0000_s1026" o:spt="176" type="#_x0000_t176" style="position:absolute;left:0pt;margin-left:127.5pt;margin-top:1.6pt;height:124.75pt;width:183.75pt;z-index:251662336;mso-width-relative:page;mso-height-relative:page;" fillcolor="#FFFFFF" filled="t" stroked="t" coordsize="21600,21600" o:gfxdata="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Zyv2tcAAAAJAQAADwAAAAAAAAABACAAAAAiAAAAZHJzL2Rvd25yZXYueG1sUEsB&#10;AhQAFAAAAAgAh07iQCUsiXkvAgAAYAQAAA4AAAAAAAAAAQAgAAAAJgEAAGRycy9lMm9Eb2MueG1s&#10;UEsFBgAAAAAGAAYAWQEAAMcFAAAAAA==&#10;">
                <v:fill on="t" focussize="0,0"/>
                <v:stroke color="#000000" joinstyle="miter"/>
                <v:imagedata o:title=""/>
                <o:lock v:ext="edit" aspectratio="f"/>
                <v:textbox>
                  <w:txbxContent>
                    <w:p w14:paraId="30717937">
                      <w:pPr>
                        <w:jc w:val="center"/>
                        <w:rPr>
                          <w:rFonts w:hAnsi="宋体"/>
                          <w:szCs w:val="21"/>
                        </w:rPr>
                      </w:pPr>
                    </w:p>
                    <w:p w14:paraId="3A466996">
                      <w:pPr>
                        <w:jc w:val="center"/>
                        <w:rPr>
                          <w:rFonts w:hAnsi="宋体"/>
                          <w:szCs w:val="21"/>
                        </w:rPr>
                      </w:pPr>
                    </w:p>
                    <w:p w14:paraId="07520B20">
                      <w:pPr>
                        <w:jc w:val="center"/>
                        <w:rPr>
                          <w:rFonts w:hAnsi="宋体"/>
                          <w:szCs w:val="21"/>
                        </w:rPr>
                      </w:pPr>
                    </w:p>
                    <w:p w14:paraId="0DB68961">
                      <w:pPr>
                        <w:jc w:val="center"/>
                        <w:rPr>
                          <w:szCs w:val="21"/>
                        </w:rPr>
                      </w:pPr>
                      <w:r>
                        <w:rPr>
                          <w:rFonts w:hint="eastAsia" w:hAnsi="宋体"/>
                          <w:szCs w:val="21"/>
                        </w:rPr>
                        <w:t>法定代表人身份证</w:t>
                      </w:r>
                      <w:r>
                        <w:rPr>
                          <w:rFonts w:hint="eastAsia" w:hAnsi="宋体"/>
                        </w:rPr>
                        <w:t>扫描件</w:t>
                      </w:r>
                    </w:p>
                  </w:txbxContent>
                </v:textbox>
              </v:shape>
            </w:pict>
          </mc:Fallback>
        </mc:AlternateContent>
      </w:r>
    </w:p>
    <w:p w14:paraId="6B798978">
      <w:pPr>
        <w:spacing w:line="360" w:lineRule="auto"/>
        <w:rPr>
          <w:rFonts w:hint="eastAsia" w:ascii="宋体" w:hAnsi="宋体" w:eastAsia="宋体" w:cs="宋体"/>
          <w:color w:val="auto"/>
          <w:sz w:val="28"/>
          <w:szCs w:val="28"/>
          <w:highlight w:val="none"/>
        </w:rPr>
      </w:pPr>
    </w:p>
    <w:p w14:paraId="0279FE99">
      <w:pPr>
        <w:spacing w:line="360" w:lineRule="auto"/>
        <w:rPr>
          <w:rFonts w:hint="eastAsia" w:ascii="宋体" w:hAnsi="宋体" w:eastAsia="宋体" w:cs="宋体"/>
          <w:color w:val="auto"/>
          <w:sz w:val="28"/>
          <w:szCs w:val="28"/>
          <w:highlight w:val="none"/>
        </w:rPr>
      </w:pPr>
    </w:p>
    <w:p w14:paraId="4310BA84">
      <w:pPr>
        <w:spacing w:line="360" w:lineRule="auto"/>
        <w:rPr>
          <w:rFonts w:hint="eastAsia" w:ascii="宋体" w:hAnsi="宋体" w:eastAsia="宋体" w:cs="宋体"/>
          <w:color w:val="auto"/>
          <w:sz w:val="28"/>
          <w:szCs w:val="28"/>
          <w:highlight w:val="none"/>
        </w:rPr>
      </w:pPr>
    </w:p>
    <w:p w14:paraId="5F28EC00">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auto"/>
          <w:sz w:val="28"/>
          <w:szCs w:val="28"/>
          <w:highlight w:val="none"/>
        </w:rPr>
      </w:pPr>
    </w:p>
    <w:p w14:paraId="223004D5">
      <w:pPr>
        <w:spacing w:line="360" w:lineRule="auto"/>
        <w:jc w:val="center"/>
        <w:rPr>
          <w:rFonts w:hint="eastAsia" w:ascii="宋体" w:hAnsi="宋体" w:eastAsia="宋体" w:cs="宋体"/>
          <w:color w:val="auto"/>
          <w:sz w:val="30"/>
          <w:szCs w:val="30"/>
          <w:highlight w:val="none"/>
        </w:rPr>
      </w:pPr>
    </w:p>
    <w:p w14:paraId="5D7CA81C">
      <w:pPr>
        <w:spacing w:line="360" w:lineRule="auto"/>
        <w:jc w:val="center"/>
        <w:rPr>
          <w:rFonts w:hint="eastAsia" w:ascii="宋体" w:hAnsi="宋体" w:eastAsia="宋体" w:cs="宋体"/>
          <w:color w:val="auto"/>
          <w:sz w:val="30"/>
          <w:szCs w:val="30"/>
          <w:highlight w:val="none"/>
        </w:rPr>
      </w:pPr>
    </w:p>
    <w:p w14:paraId="143603F4">
      <w:pPr>
        <w:spacing w:line="360" w:lineRule="auto"/>
        <w:jc w:val="center"/>
        <w:rPr>
          <w:rFonts w:hint="eastAsia" w:ascii="宋体" w:hAnsi="宋体" w:eastAsia="宋体" w:cs="宋体"/>
          <w:color w:val="auto"/>
          <w:sz w:val="30"/>
          <w:szCs w:val="30"/>
          <w:highlight w:val="none"/>
        </w:rPr>
      </w:pPr>
    </w:p>
    <w:p w14:paraId="7F670660">
      <w:pPr>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14:paraId="278B1B2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授权委托证明书</w:t>
      </w:r>
    </w:p>
    <w:p w14:paraId="05679791">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）第　号</w:t>
      </w:r>
    </w:p>
    <w:p w14:paraId="4A7B0A9B">
      <w:pPr>
        <w:pStyle w:val="16"/>
        <w:tabs>
          <w:tab w:val="left" w:pos="2041"/>
          <w:tab w:val="left" w:pos="3600"/>
          <w:tab w:val="left" w:pos="378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31750</wp:posOffset>
                </wp:positionH>
                <wp:positionV relativeFrom="paragraph">
                  <wp:posOffset>38100</wp:posOffset>
                </wp:positionV>
                <wp:extent cx="5800725" cy="3070860"/>
                <wp:effectExtent l="5080" t="4445" r="4445" b="10795"/>
                <wp:wrapNone/>
                <wp:docPr id="15" name="文本框 15"/>
                <wp:cNvGraphicFramePr/>
                <a:graphic xmlns:a="http://schemas.openxmlformats.org/drawingml/2006/main">
                  <a:graphicData uri="http://schemas.microsoft.com/office/word/2010/wordprocessingShape">
                    <wps:wsp>
                      <wps:cNvSpPr txBox="1"/>
                      <wps:spPr>
                        <a:xfrm>
                          <a:off x="0" y="0"/>
                          <a:ext cx="5800725" cy="30708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64700D">
                            <w:pPr>
                              <w:spacing w:before="120" w:beforeLines="50"/>
                              <w:ind w:firstLine="480" w:firstLineChars="200"/>
                              <w:rPr>
                                <w:sz w:val="24"/>
                                <w:szCs w:val="24"/>
                              </w:rPr>
                            </w:pPr>
                            <w:r>
                              <w:rPr>
                                <w:rFonts w:hint="eastAsia"/>
                                <w:sz w:val="24"/>
                                <w:szCs w:val="24"/>
                              </w:rPr>
                              <w:t>兹授权</w:t>
                            </w:r>
                            <w:r>
                              <w:rPr>
                                <w:rFonts w:hint="eastAsia"/>
                                <w:sz w:val="24"/>
                                <w:szCs w:val="24"/>
                                <w:u w:val="single"/>
                              </w:rPr>
                              <w:t>　　　　　</w:t>
                            </w:r>
                            <w:r>
                              <w:rPr>
                                <w:rFonts w:hint="eastAsia"/>
                                <w:sz w:val="24"/>
                                <w:szCs w:val="24"/>
                              </w:rPr>
                              <w:t>为我方委托代理人，其权限是：</w:t>
                            </w:r>
                            <w:r>
                              <w:rPr>
                                <w:rFonts w:hint="eastAsia"/>
                                <w:sz w:val="24"/>
                                <w:szCs w:val="24"/>
                                <w:u w:val="single"/>
                              </w:rPr>
                              <w:t xml:space="preserve">                </w:t>
                            </w:r>
                          </w:p>
                          <w:p w14:paraId="732E22C3">
                            <w:pPr>
                              <w:snapToGrid w:val="0"/>
                              <w:spacing w:line="480" w:lineRule="atLeast"/>
                              <w:rPr>
                                <w:color w:val="000000"/>
                                <w:sz w:val="24"/>
                                <w:szCs w:val="24"/>
                                <w:u w:val="single" w:color="000000"/>
                              </w:rPr>
                            </w:pPr>
                            <w:r>
                              <w:rPr>
                                <w:rFonts w:hint="eastAsia"/>
                                <w:sz w:val="24"/>
                                <w:szCs w:val="24"/>
                                <w:u w:val="single"/>
                              </w:rPr>
                              <w:t xml:space="preserve">   </w:t>
                            </w:r>
                            <w:r>
                              <w:rPr>
                                <w:rFonts w:hint="eastAsia"/>
                                <w:color w:val="000000"/>
                                <w:sz w:val="24"/>
                                <w:szCs w:val="24"/>
                                <w:u w:val="single" w:color="000000"/>
                              </w:rPr>
                              <w:t xml:space="preserve">                                                          。  </w:t>
                            </w:r>
                          </w:p>
                          <w:p w14:paraId="250659DB">
                            <w:pPr>
                              <w:snapToGrid w:val="0"/>
                              <w:spacing w:line="480" w:lineRule="atLeast"/>
                              <w:rPr>
                                <w:sz w:val="24"/>
                                <w:szCs w:val="24"/>
                                <w:u w:val="single"/>
                              </w:rPr>
                            </w:pPr>
                            <w:r>
                              <w:rPr>
                                <w:rFonts w:hint="eastAsia"/>
                                <w:sz w:val="24"/>
                                <w:szCs w:val="24"/>
                              </w:rPr>
                              <w:t>有效期限：</w:t>
                            </w:r>
                            <w:r>
                              <w:rPr>
                                <w:rFonts w:hint="eastAsia"/>
                                <w:sz w:val="24"/>
                                <w:szCs w:val="24"/>
                                <w:u w:val="single"/>
                              </w:rPr>
                              <w:t xml:space="preserve">                。                                      </w:t>
                            </w:r>
                          </w:p>
                          <w:p w14:paraId="3F5A03B7">
                            <w:pPr>
                              <w:snapToGrid w:val="0"/>
                              <w:spacing w:line="480" w:lineRule="atLeast"/>
                              <w:rPr>
                                <w:sz w:val="24"/>
                                <w:szCs w:val="24"/>
                              </w:rPr>
                            </w:pPr>
                            <w:r>
                              <w:rPr>
                                <w:rFonts w:hint="eastAsia"/>
                                <w:sz w:val="24"/>
                                <w:szCs w:val="24"/>
                              </w:rPr>
                              <w:t>附：代理人性别：</w:t>
                            </w:r>
                            <w:r>
                              <w:rPr>
                                <w:rFonts w:hint="eastAsia"/>
                                <w:sz w:val="24"/>
                                <w:szCs w:val="24"/>
                                <w:u w:val="single"/>
                              </w:rPr>
                              <w:t>　　</w:t>
                            </w:r>
                            <w:r>
                              <w:rPr>
                                <w:rFonts w:hint="eastAsia"/>
                                <w:sz w:val="24"/>
                                <w:szCs w:val="24"/>
                              </w:rPr>
                              <w:t>年龄：</w:t>
                            </w:r>
                            <w:r>
                              <w:rPr>
                                <w:rFonts w:hint="eastAsia"/>
                                <w:sz w:val="24"/>
                                <w:szCs w:val="24"/>
                                <w:u w:val="single"/>
                              </w:rPr>
                              <w:t>　　　</w:t>
                            </w:r>
                            <w:r>
                              <w:rPr>
                                <w:rFonts w:hint="eastAsia"/>
                                <w:sz w:val="24"/>
                                <w:szCs w:val="24"/>
                              </w:rPr>
                              <w:t>身份证号码：</w:t>
                            </w:r>
                            <w:r>
                              <w:rPr>
                                <w:rFonts w:hint="eastAsia"/>
                                <w:sz w:val="24"/>
                                <w:szCs w:val="24"/>
                                <w:u w:val="single"/>
                              </w:rPr>
                              <w:t xml:space="preserve">                    </w:t>
                            </w:r>
                          </w:p>
                          <w:p w14:paraId="77D78137">
                            <w:pPr>
                              <w:snapToGrid w:val="0"/>
                              <w:spacing w:line="480" w:lineRule="atLeast"/>
                              <w:ind w:hanging="105"/>
                              <w:rPr>
                                <w:sz w:val="24"/>
                                <w:szCs w:val="24"/>
                                <w:u w:val="single"/>
                              </w:rPr>
                            </w:pPr>
                            <w:r>
                              <w:rPr>
                                <w:rFonts w:hint="eastAsia"/>
                                <w:sz w:val="24"/>
                                <w:szCs w:val="24"/>
                              </w:rPr>
                              <w:t>　　注册号码：</w:t>
                            </w:r>
                            <w:r>
                              <w:rPr>
                                <w:rFonts w:hint="eastAsia"/>
                                <w:sz w:val="24"/>
                                <w:szCs w:val="24"/>
                                <w:u w:val="single"/>
                              </w:rPr>
                              <w:t>　　　　　　　　　</w:t>
                            </w:r>
                            <w:r>
                              <w:rPr>
                                <w:rFonts w:hint="eastAsia"/>
                                <w:sz w:val="24"/>
                                <w:szCs w:val="24"/>
                              </w:rPr>
                              <w:t>企业类型：</w:t>
                            </w:r>
                            <w:r>
                              <w:rPr>
                                <w:rFonts w:hint="eastAsia"/>
                                <w:sz w:val="24"/>
                                <w:szCs w:val="24"/>
                                <w:u w:val="single"/>
                              </w:rPr>
                              <w:t xml:space="preserve">                      。</w:t>
                            </w:r>
                          </w:p>
                          <w:p w14:paraId="4B721669">
                            <w:pPr>
                              <w:snapToGrid w:val="0"/>
                              <w:spacing w:line="480" w:lineRule="atLeast"/>
                              <w:ind w:hanging="105"/>
                              <w:rPr>
                                <w:sz w:val="24"/>
                                <w:szCs w:val="24"/>
                                <w:u w:val="single"/>
                              </w:rPr>
                            </w:pPr>
                            <w:r>
                              <w:rPr>
                                <w:rFonts w:hint="eastAsia"/>
                                <w:sz w:val="24"/>
                                <w:szCs w:val="24"/>
                              </w:rPr>
                              <w:t>　　经营范围：</w:t>
                            </w:r>
                            <w:r>
                              <w:rPr>
                                <w:rFonts w:hint="eastAsia"/>
                                <w:sz w:val="24"/>
                                <w:szCs w:val="24"/>
                                <w:u w:val="single"/>
                              </w:rPr>
                              <w:t xml:space="preserve">                                                。  </w:t>
                            </w:r>
                          </w:p>
                          <w:p w14:paraId="0C8146F9">
                            <w:pPr>
                              <w:snapToGrid w:val="0"/>
                              <w:spacing w:line="480" w:lineRule="atLeast"/>
                              <w:ind w:hanging="105"/>
                              <w:rPr>
                                <w:sz w:val="24"/>
                                <w:szCs w:val="24"/>
                              </w:rPr>
                            </w:pPr>
                            <w:r>
                              <w:rPr>
                                <w:rFonts w:hint="eastAsia"/>
                                <w:sz w:val="24"/>
                                <w:szCs w:val="24"/>
                              </w:rPr>
                              <w:t>　　法定代表人：</w:t>
                            </w:r>
                            <w:r>
                              <w:rPr>
                                <w:rFonts w:hint="eastAsia"/>
                                <w:sz w:val="24"/>
                                <w:szCs w:val="24"/>
                                <w:u w:val="single"/>
                              </w:rPr>
                              <w:t xml:space="preserve">　　　          </w:t>
                            </w:r>
                            <w:r>
                              <w:rPr>
                                <w:rFonts w:hint="eastAsia"/>
                                <w:sz w:val="24"/>
                                <w:szCs w:val="24"/>
                              </w:rPr>
                              <w:t>（签字</w:t>
                            </w:r>
                            <w:r>
                              <w:rPr>
                                <w:rFonts w:hint="eastAsia"/>
                                <w:sz w:val="24"/>
                                <w:szCs w:val="24"/>
                                <w:lang w:val="en-US" w:eastAsia="zh-CN"/>
                              </w:rPr>
                              <w:t>或签章</w:t>
                            </w:r>
                            <w:r>
                              <w:rPr>
                                <w:rFonts w:hint="eastAsia"/>
                                <w:sz w:val="24"/>
                                <w:szCs w:val="24"/>
                              </w:rPr>
                              <w:t>）</w:t>
                            </w:r>
                          </w:p>
                          <w:p w14:paraId="0182F35D">
                            <w:pPr>
                              <w:snapToGrid w:val="0"/>
                              <w:spacing w:line="480" w:lineRule="atLeast"/>
                              <w:ind w:hanging="105"/>
                              <w:rPr>
                                <w:sz w:val="24"/>
                                <w:szCs w:val="24"/>
                              </w:rPr>
                            </w:pPr>
                            <w:r>
                              <w:rPr>
                                <w:rFonts w:hint="eastAsia"/>
                                <w:sz w:val="24"/>
                                <w:szCs w:val="24"/>
                              </w:rPr>
                              <w:t>　　授权单位：（盖章）</w:t>
                            </w:r>
                            <w:r>
                              <w:rPr>
                                <w:rFonts w:hint="eastAsia"/>
                                <w:sz w:val="24"/>
                                <w:szCs w:val="24"/>
                                <w:u w:val="single"/>
                              </w:rPr>
                              <w:t xml:space="preserve">                     </w:t>
                            </w:r>
                            <w:r>
                              <w:rPr>
                                <w:rFonts w:hint="eastAsia"/>
                                <w:sz w:val="24"/>
                                <w:szCs w:val="24"/>
                              </w:rPr>
                              <w:t>。</w:t>
                            </w:r>
                          </w:p>
                          <w:p w14:paraId="2AB0BFA1">
                            <w:pPr>
                              <w:snapToGrid w:val="0"/>
                              <w:spacing w:line="480" w:lineRule="atLeast"/>
                              <w:ind w:firstLine="570"/>
                              <w:rPr>
                                <w:sz w:val="24"/>
                                <w:szCs w:val="24"/>
                              </w:rPr>
                            </w:pPr>
                            <w:r>
                              <w:rPr>
                                <w:rFonts w:hint="eastAsia"/>
                                <w:sz w:val="24"/>
                                <w:szCs w:val="24"/>
                              </w:rPr>
                              <w:t>　　　　　　　　　　　　　　　　　　　　　年　月　　日</w:t>
                            </w:r>
                          </w:p>
                        </w:txbxContent>
                      </wps:txbx>
                      <wps:bodyPr upright="1"/>
                    </wps:wsp>
                  </a:graphicData>
                </a:graphic>
              </wp:anchor>
            </w:drawing>
          </mc:Choice>
          <mc:Fallback>
            <w:pict>
              <v:shape id="_x0000_s1026" o:spid="_x0000_s1026" o:spt="202" type="#_x0000_t202" style="position:absolute;left:0pt;margin-left:2.5pt;margin-top:3pt;height:241.8pt;width:456.75pt;z-index:251666432;mso-width-relative:page;mso-height-relative:page;" fillcolor="#FFFFFF" filled="t" stroked="t" coordsize="21600,21600" o:gfxdata="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wOe81wAAAAcBAAAPAAAAAAAA&#10;AAEAIAAAACIAAABkcnMvZG93bnJldi54bWxQSwECFAAUAAAACACHTuJAEsHvhRMCAABHBAAADgAA&#10;AAAAAAABACAAAAAmAQAAZHJzL2Uyb0RvYy54bWxQSwUGAAAAAAYABgBZAQAAqwUAAAAA&#10;">
                <v:fill on="t" focussize="0,0"/>
                <v:stroke color="#000000" joinstyle="miter"/>
                <v:imagedata o:title=""/>
                <o:lock v:ext="edit" aspectratio="f"/>
                <v:textbox>
                  <w:txbxContent>
                    <w:p w14:paraId="3A64700D">
                      <w:pPr>
                        <w:spacing w:before="120" w:beforeLines="50"/>
                        <w:ind w:firstLine="480" w:firstLineChars="200"/>
                        <w:rPr>
                          <w:sz w:val="24"/>
                          <w:szCs w:val="24"/>
                        </w:rPr>
                      </w:pPr>
                      <w:r>
                        <w:rPr>
                          <w:rFonts w:hint="eastAsia"/>
                          <w:sz w:val="24"/>
                          <w:szCs w:val="24"/>
                        </w:rPr>
                        <w:t>兹授权</w:t>
                      </w:r>
                      <w:r>
                        <w:rPr>
                          <w:rFonts w:hint="eastAsia"/>
                          <w:sz w:val="24"/>
                          <w:szCs w:val="24"/>
                          <w:u w:val="single"/>
                        </w:rPr>
                        <w:t>　　　　　</w:t>
                      </w:r>
                      <w:r>
                        <w:rPr>
                          <w:rFonts w:hint="eastAsia"/>
                          <w:sz w:val="24"/>
                          <w:szCs w:val="24"/>
                        </w:rPr>
                        <w:t>为我方委托代理人，其权限是：</w:t>
                      </w:r>
                      <w:r>
                        <w:rPr>
                          <w:rFonts w:hint="eastAsia"/>
                          <w:sz w:val="24"/>
                          <w:szCs w:val="24"/>
                          <w:u w:val="single"/>
                        </w:rPr>
                        <w:t xml:space="preserve">                </w:t>
                      </w:r>
                    </w:p>
                    <w:p w14:paraId="732E22C3">
                      <w:pPr>
                        <w:snapToGrid w:val="0"/>
                        <w:spacing w:line="480" w:lineRule="atLeast"/>
                        <w:rPr>
                          <w:color w:val="000000"/>
                          <w:sz w:val="24"/>
                          <w:szCs w:val="24"/>
                          <w:u w:val="single" w:color="000000"/>
                        </w:rPr>
                      </w:pPr>
                      <w:r>
                        <w:rPr>
                          <w:rFonts w:hint="eastAsia"/>
                          <w:sz w:val="24"/>
                          <w:szCs w:val="24"/>
                          <w:u w:val="single"/>
                        </w:rPr>
                        <w:t xml:space="preserve">   </w:t>
                      </w:r>
                      <w:r>
                        <w:rPr>
                          <w:rFonts w:hint="eastAsia"/>
                          <w:color w:val="000000"/>
                          <w:sz w:val="24"/>
                          <w:szCs w:val="24"/>
                          <w:u w:val="single" w:color="000000"/>
                        </w:rPr>
                        <w:t xml:space="preserve">                                                          。  </w:t>
                      </w:r>
                    </w:p>
                    <w:p w14:paraId="250659DB">
                      <w:pPr>
                        <w:snapToGrid w:val="0"/>
                        <w:spacing w:line="480" w:lineRule="atLeast"/>
                        <w:rPr>
                          <w:sz w:val="24"/>
                          <w:szCs w:val="24"/>
                          <w:u w:val="single"/>
                        </w:rPr>
                      </w:pPr>
                      <w:r>
                        <w:rPr>
                          <w:rFonts w:hint="eastAsia"/>
                          <w:sz w:val="24"/>
                          <w:szCs w:val="24"/>
                        </w:rPr>
                        <w:t>有效期限：</w:t>
                      </w:r>
                      <w:r>
                        <w:rPr>
                          <w:rFonts w:hint="eastAsia"/>
                          <w:sz w:val="24"/>
                          <w:szCs w:val="24"/>
                          <w:u w:val="single"/>
                        </w:rPr>
                        <w:t xml:space="preserve">                。                                      </w:t>
                      </w:r>
                    </w:p>
                    <w:p w14:paraId="3F5A03B7">
                      <w:pPr>
                        <w:snapToGrid w:val="0"/>
                        <w:spacing w:line="480" w:lineRule="atLeast"/>
                        <w:rPr>
                          <w:sz w:val="24"/>
                          <w:szCs w:val="24"/>
                        </w:rPr>
                      </w:pPr>
                      <w:r>
                        <w:rPr>
                          <w:rFonts w:hint="eastAsia"/>
                          <w:sz w:val="24"/>
                          <w:szCs w:val="24"/>
                        </w:rPr>
                        <w:t>附：代理人性别：</w:t>
                      </w:r>
                      <w:r>
                        <w:rPr>
                          <w:rFonts w:hint="eastAsia"/>
                          <w:sz w:val="24"/>
                          <w:szCs w:val="24"/>
                          <w:u w:val="single"/>
                        </w:rPr>
                        <w:t>　　</w:t>
                      </w:r>
                      <w:r>
                        <w:rPr>
                          <w:rFonts w:hint="eastAsia"/>
                          <w:sz w:val="24"/>
                          <w:szCs w:val="24"/>
                        </w:rPr>
                        <w:t>年龄：</w:t>
                      </w:r>
                      <w:r>
                        <w:rPr>
                          <w:rFonts w:hint="eastAsia"/>
                          <w:sz w:val="24"/>
                          <w:szCs w:val="24"/>
                          <w:u w:val="single"/>
                        </w:rPr>
                        <w:t>　　　</w:t>
                      </w:r>
                      <w:r>
                        <w:rPr>
                          <w:rFonts w:hint="eastAsia"/>
                          <w:sz w:val="24"/>
                          <w:szCs w:val="24"/>
                        </w:rPr>
                        <w:t>身份证号码：</w:t>
                      </w:r>
                      <w:r>
                        <w:rPr>
                          <w:rFonts w:hint="eastAsia"/>
                          <w:sz w:val="24"/>
                          <w:szCs w:val="24"/>
                          <w:u w:val="single"/>
                        </w:rPr>
                        <w:t xml:space="preserve">                    </w:t>
                      </w:r>
                    </w:p>
                    <w:p w14:paraId="77D78137">
                      <w:pPr>
                        <w:snapToGrid w:val="0"/>
                        <w:spacing w:line="480" w:lineRule="atLeast"/>
                        <w:ind w:hanging="105"/>
                        <w:rPr>
                          <w:sz w:val="24"/>
                          <w:szCs w:val="24"/>
                          <w:u w:val="single"/>
                        </w:rPr>
                      </w:pPr>
                      <w:r>
                        <w:rPr>
                          <w:rFonts w:hint="eastAsia"/>
                          <w:sz w:val="24"/>
                          <w:szCs w:val="24"/>
                        </w:rPr>
                        <w:t>　　注册号码：</w:t>
                      </w:r>
                      <w:r>
                        <w:rPr>
                          <w:rFonts w:hint="eastAsia"/>
                          <w:sz w:val="24"/>
                          <w:szCs w:val="24"/>
                          <w:u w:val="single"/>
                        </w:rPr>
                        <w:t>　　　　　　　　　</w:t>
                      </w:r>
                      <w:r>
                        <w:rPr>
                          <w:rFonts w:hint="eastAsia"/>
                          <w:sz w:val="24"/>
                          <w:szCs w:val="24"/>
                        </w:rPr>
                        <w:t>企业类型：</w:t>
                      </w:r>
                      <w:r>
                        <w:rPr>
                          <w:rFonts w:hint="eastAsia"/>
                          <w:sz w:val="24"/>
                          <w:szCs w:val="24"/>
                          <w:u w:val="single"/>
                        </w:rPr>
                        <w:t xml:space="preserve">                      。</w:t>
                      </w:r>
                    </w:p>
                    <w:p w14:paraId="4B721669">
                      <w:pPr>
                        <w:snapToGrid w:val="0"/>
                        <w:spacing w:line="480" w:lineRule="atLeast"/>
                        <w:ind w:hanging="105"/>
                        <w:rPr>
                          <w:sz w:val="24"/>
                          <w:szCs w:val="24"/>
                          <w:u w:val="single"/>
                        </w:rPr>
                      </w:pPr>
                      <w:r>
                        <w:rPr>
                          <w:rFonts w:hint="eastAsia"/>
                          <w:sz w:val="24"/>
                          <w:szCs w:val="24"/>
                        </w:rPr>
                        <w:t>　　经营范围：</w:t>
                      </w:r>
                      <w:r>
                        <w:rPr>
                          <w:rFonts w:hint="eastAsia"/>
                          <w:sz w:val="24"/>
                          <w:szCs w:val="24"/>
                          <w:u w:val="single"/>
                        </w:rPr>
                        <w:t xml:space="preserve">                                                。  </w:t>
                      </w:r>
                    </w:p>
                    <w:p w14:paraId="0C8146F9">
                      <w:pPr>
                        <w:snapToGrid w:val="0"/>
                        <w:spacing w:line="480" w:lineRule="atLeast"/>
                        <w:ind w:hanging="105"/>
                        <w:rPr>
                          <w:sz w:val="24"/>
                          <w:szCs w:val="24"/>
                        </w:rPr>
                      </w:pPr>
                      <w:r>
                        <w:rPr>
                          <w:rFonts w:hint="eastAsia"/>
                          <w:sz w:val="24"/>
                          <w:szCs w:val="24"/>
                        </w:rPr>
                        <w:t>　　法定代表人：</w:t>
                      </w:r>
                      <w:r>
                        <w:rPr>
                          <w:rFonts w:hint="eastAsia"/>
                          <w:sz w:val="24"/>
                          <w:szCs w:val="24"/>
                          <w:u w:val="single"/>
                        </w:rPr>
                        <w:t xml:space="preserve">　　　          </w:t>
                      </w:r>
                      <w:r>
                        <w:rPr>
                          <w:rFonts w:hint="eastAsia"/>
                          <w:sz w:val="24"/>
                          <w:szCs w:val="24"/>
                        </w:rPr>
                        <w:t>（签字</w:t>
                      </w:r>
                      <w:r>
                        <w:rPr>
                          <w:rFonts w:hint="eastAsia"/>
                          <w:sz w:val="24"/>
                          <w:szCs w:val="24"/>
                          <w:lang w:val="en-US" w:eastAsia="zh-CN"/>
                        </w:rPr>
                        <w:t>或签章</w:t>
                      </w:r>
                      <w:r>
                        <w:rPr>
                          <w:rFonts w:hint="eastAsia"/>
                          <w:sz w:val="24"/>
                          <w:szCs w:val="24"/>
                        </w:rPr>
                        <w:t>）</w:t>
                      </w:r>
                    </w:p>
                    <w:p w14:paraId="0182F35D">
                      <w:pPr>
                        <w:snapToGrid w:val="0"/>
                        <w:spacing w:line="480" w:lineRule="atLeast"/>
                        <w:ind w:hanging="105"/>
                        <w:rPr>
                          <w:sz w:val="24"/>
                          <w:szCs w:val="24"/>
                        </w:rPr>
                      </w:pPr>
                      <w:r>
                        <w:rPr>
                          <w:rFonts w:hint="eastAsia"/>
                          <w:sz w:val="24"/>
                          <w:szCs w:val="24"/>
                        </w:rPr>
                        <w:t>　　授权单位：（盖章）</w:t>
                      </w:r>
                      <w:r>
                        <w:rPr>
                          <w:rFonts w:hint="eastAsia"/>
                          <w:sz w:val="24"/>
                          <w:szCs w:val="24"/>
                          <w:u w:val="single"/>
                        </w:rPr>
                        <w:t xml:space="preserve">                     </w:t>
                      </w:r>
                      <w:r>
                        <w:rPr>
                          <w:rFonts w:hint="eastAsia"/>
                          <w:sz w:val="24"/>
                          <w:szCs w:val="24"/>
                        </w:rPr>
                        <w:t>。</w:t>
                      </w:r>
                    </w:p>
                    <w:p w14:paraId="2AB0BFA1">
                      <w:pPr>
                        <w:snapToGrid w:val="0"/>
                        <w:spacing w:line="480" w:lineRule="atLeast"/>
                        <w:ind w:firstLine="570"/>
                        <w:rPr>
                          <w:sz w:val="24"/>
                          <w:szCs w:val="24"/>
                        </w:rPr>
                      </w:pPr>
                      <w:r>
                        <w:rPr>
                          <w:rFonts w:hint="eastAsia"/>
                          <w:sz w:val="24"/>
                          <w:szCs w:val="24"/>
                        </w:rPr>
                        <w:t>　　　　　　　　　　　　　　　　　　　　　年　月　　日</w:t>
                      </w:r>
                    </w:p>
                  </w:txbxContent>
                </v:textbox>
              </v:shape>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31750</wp:posOffset>
                </wp:positionH>
                <wp:positionV relativeFrom="paragraph">
                  <wp:posOffset>920750</wp:posOffset>
                </wp:positionV>
                <wp:extent cx="5800725" cy="3268980"/>
                <wp:effectExtent l="0" t="0" r="0" b="0"/>
                <wp:wrapNone/>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5800725" cy="3268980"/>
                        </a:xfrm>
                        <a:prstGeom prst="rect">
                          <a:avLst/>
                        </a:prstGeom>
                        <a:noFill/>
                        <a:ln>
                          <a:noFill/>
                        </a:ln>
                        <a:effectLst/>
                      </wps:spPr>
                      <wps:txbx>
                        <w:txbxContent>
                          <w:p w14:paraId="5EFF6328"/>
                        </w:txbxContent>
                      </wps:txbx>
                      <wps:bodyPr upright="1"/>
                    </wps:wsp>
                  </a:graphicData>
                </a:graphic>
              </wp:anchor>
            </w:drawing>
          </mc:Choice>
          <mc:Fallback>
            <w:pict>
              <v:rect id="_x0000_s1026" o:spid="_x0000_s1026" o:spt="1" style="position:absolute;left:0pt;margin-left:2.5pt;margin-top:72.5pt;height:257.4pt;width:456.75pt;z-index:251665408;mso-width-relative:page;mso-height-relative:page;" filled="f" stroked="f" coordsize="21600,21600" o:gfxdata="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9vqc/aAAAACQEAAA8AAAAAAAAAAQAgAAAAIgAAAGRycy9k&#10;b3ducmV2LnhtbFBLAQIUABQAAAAIAIdO4kCeb/TvxwEAAI0DAAAOAAAAAAAAAAEAIAAAACkBAABk&#10;cnMvZTJvRG9jLnhtbFBLBQYAAAAABgAGAFkBAABiBQAAAAA=&#10;">
                <v:fill on="f" focussize="0,0"/>
                <v:stroke on="f"/>
                <v:imagedata o:title=""/>
                <o:lock v:ext="edit" text="t" aspectratio="t"/>
                <v:textbox>
                  <w:txbxContent>
                    <w:p w14:paraId="5EFF6328"/>
                  </w:txbxContent>
                </v:textbox>
              </v:rect>
            </w:pict>
          </mc:Fallback>
        </mc:AlternateContent>
      </w:r>
    </w:p>
    <w:p w14:paraId="2CCB403F">
      <w:pPr>
        <w:pStyle w:val="16"/>
        <w:tabs>
          <w:tab w:val="left" w:pos="2041"/>
          <w:tab w:val="left" w:pos="3600"/>
          <w:tab w:val="left" w:pos="3780"/>
        </w:tabs>
        <w:spacing w:line="360" w:lineRule="auto"/>
        <w:rPr>
          <w:rFonts w:hint="eastAsia" w:ascii="宋体" w:hAnsi="宋体" w:eastAsia="宋体" w:cs="宋体"/>
          <w:color w:val="auto"/>
          <w:sz w:val="24"/>
          <w:szCs w:val="24"/>
          <w:highlight w:val="none"/>
        </w:rPr>
      </w:pPr>
    </w:p>
    <w:p w14:paraId="326B7C5C">
      <w:pPr>
        <w:pStyle w:val="17"/>
        <w:spacing w:line="360" w:lineRule="auto"/>
        <w:rPr>
          <w:rFonts w:hint="eastAsia" w:ascii="宋体" w:hAnsi="宋体" w:eastAsia="宋体" w:cs="宋体"/>
          <w:color w:val="auto"/>
          <w:sz w:val="24"/>
          <w:szCs w:val="24"/>
          <w:highlight w:val="none"/>
        </w:rPr>
      </w:pPr>
    </w:p>
    <w:p w14:paraId="5487C799">
      <w:pPr>
        <w:spacing w:line="360" w:lineRule="auto"/>
        <w:rPr>
          <w:rFonts w:hint="eastAsia" w:ascii="宋体" w:hAnsi="宋体" w:eastAsia="宋体" w:cs="宋体"/>
          <w:color w:val="auto"/>
          <w:sz w:val="24"/>
          <w:szCs w:val="24"/>
          <w:highlight w:val="none"/>
        </w:rPr>
      </w:pPr>
    </w:p>
    <w:p w14:paraId="397D308E">
      <w:pPr>
        <w:pStyle w:val="5"/>
        <w:spacing w:line="360" w:lineRule="auto"/>
        <w:rPr>
          <w:rFonts w:hint="eastAsia" w:ascii="宋体" w:hAnsi="宋体" w:eastAsia="宋体" w:cs="宋体"/>
          <w:color w:val="auto"/>
          <w:sz w:val="24"/>
          <w:szCs w:val="24"/>
          <w:highlight w:val="none"/>
        </w:rPr>
      </w:pPr>
    </w:p>
    <w:p w14:paraId="500264B4">
      <w:pPr>
        <w:pStyle w:val="5"/>
        <w:spacing w:line="360" w:lineRule="auto"/>
        <w:rPr>
          <w:rFonts w:hint="eastAsia" w:ascii="宋体" w:hAnsi="宋体" w:eastAsia="宋体" w:cs="宋体"/>
          <w:color w:val="auto"/>
          <w:sz w:val="24"/>
          <w:szCs w:val="24"/>
          <w:highlight w:val="none"/>
        </w:rPr>
      </w:pPr>
    </w:p>
    <w:p w14:paraId="56B337C6">
      <w:pPr>
        <w:pStyle w:val="5"/>
        <w:spacing w:line="360" w:lineRule="auto"/>
        <w:rPr>
          <w:rFonts w:hint="eastAsia" w:ascii="宋体" w:hAnsi="宋体" w:eastAsia="宋体" w:cs="宋体"/>
          <w:color w:val="auto"/>
          <w:sz w:val="24"/>
          <w:szCs w:val="24"/>
          <w:highlight w:val="none"/>
        </w:rPr>
      </w:pPr>
    </w:p>
    <w:p w14:paraId="6B7D790E">
      <w:pPr>
        <w:pStyle w:val="5"/>
        <w:spacing w:line="360" w:lineRule="auto"/>
        <w:rPr>
          <w:rFonts w:hint="eastAsia" w:ascii="宋体" w:hAnsi="宋体" w:eastAsia="宋体" w:cs="宋体"/>
          <w:color w:val="auto"/>
          <w:sz w:val="24"/>
          <w:szCs w:val="24"/>
          <w:highlight w:val="none"/>
        </w:rPr>
      </w:pPr>
    </w:p>
    <w:p w14:paraId="0E737010">
      <w:pPr>
        <w:pStyle w:val="5"/>
        <w:spacing w:line="360" w:lineRule="auto"/>
        <w:rPr>
          <w:rFonts w:hint="eastAsia" w:ascii="宋体" w:hAnsi="宋体" w:eastAsia="宋体" w:cs="宋体"/>
          <w:color w:val="auto"/>
          <w:sz w:val="30"/>
          <w:szCs w:val="30"/>
          <w:highlight w:val="none"/>
        </w:rPr>
      </w:pPr>
    </w:p>
    <w:p w14:paraId="710F6D79">
      <w:pPr>
        <w:pStyle w:val="5"/>
        <w:spacing w:line="360" w:lineRule="auto"/>
        <w:rPr>
          <w:rFonts w:hint="eastAsia" w:ascii="宋体" w:hAnsi="宋体" w:eastAsia="宋体" w:cs="宋体"/>
          <w:color w:val="auto"/>
          <w:sz w:val="30"/>
          <w:szCs w:val="30"/>
          <w:highlight w:val="none"/>
        </w:rPr>
      </w:pPr>
    </w:p>
    <w:p w14:paraId="556A97E9">
      <w:pPr>
        <w:pStyle w:val="5"/>
        <w:spacing w:line="360" w:lineRule="auto"/>
        <w:rPr>
          <w:rFonts w:hint="eastAsia" w:ascii="宋体" w:hAnsi="宋体" w:eastAsia="宋体" w:cs="宋体"/>
          <w:color w:val="auto"/>
          <w:sz w:val="30"/>
          <w:szCs w:val="30"/>
          <w:highlight w:val="none"/>
        </w:rPr>
      </w:pPr>
    </w:p>
    <w:p w14:paraId="0794CE15">
      <w:pPr>
        <w:pStyle w:val="16"/>
        <w:tabs>
          <w:tab w:val="left" w:pos="2041"/>
          <w:tab w:val="left" w:pos="3600"/>
          <w:tab w:val="left" w:pos="378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注：1、可以用工商管理部门印发的统一格式。须提供身份证扫描件。</w:t>
      </w:r>
    </w:p>
    <w:p w14:paraId="30B04954">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661B85CD">
      <w:pPr>
        <w:spacing w:line="360" w:lineRule="auto"/>
        <w:ind w:firstLine="42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mc:AlternateContent>
          <mc:Choice Requires="wps">
            <w:drawing>
              <wp:anchor distT="0" distB="0" distL="114300" distR="114300" simplePos="0" relativeHeight="251663360" behindDoc="0" locked="0" layoutInCell="1" allowOverlap="1">
                <wp:simplePos x="0" y="0"/>
                <wp:positionH relativeFrom="column">
                  <wp:posOffset>1466850</wp:posOffset>
                </wp:positionH>
                <wp:positionV relativeFrom="paragraph">
                  <wp:posOffset>33020</wp:posOffset>
                </wp:positionV>
                <wp:extent cx="2333625" cy="1584325"/>
                <wp:effectExtent l="4445" t="4445" r="5080" b="11430"/>
                <wp:wrapNone/>
                <wp:docPr id="12" name="流程图: 可选过程 12"/>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B3C70A5">
                            <w:pPr>
                              <w:jc w:val="center"/>
                              <w:rPr>
                                <w:rFonts w:hAnsi="宋体"/>
                                <w:szCs w:val="21"/>
                              </w:rPr>
                            </w:pPr>
                          </w:p>
                          <w:p w14:paraId="2FE56F3A">
                            <w:pPr>
                              <w:jc w:val="center"/>
                              <w:rPr>
                                <w:rFonts w:hAnsi="宋体"/>
                                <w:szCs w:val="21"/>
                              </w:rPr>
                            </w:pPr>
                          </w:p>
                          <w:p w14:paraId="5B3AB941">
                            <w:pPr>
                              <w:jc w:val="center"/>
                              <w:rPr>
                                <w:rFonts w:hAnsi="宋体"/>
                                <w:szCs w:val="21"/>
                              </w:rPr>
                            </w:pPr>
                          </w:p>
                          <w:p w14:paraId="48AFCA38">
                            <w:pPr>
                              <w:jc w:val="center"/>
                              <w:rPr>
                                <w:szCs w:val="21"/>
                              </w:rPr>
                            </w:pPr>
                            <w:r>
                              <w:rPr>
                                <w:rFonts w:hint="eastAsia" w:hAnsi="宋体"/>
                                <w:szCs w:val="21"/>
                              </w:rPr>
                              <w:t>代理人身份证</w:t>
                            </w:r>
                            <w:r>
                              <w:rPr>
                                <w:rFonts w:hint="eastAsia" w:hAnsi="宋体"/>
                              </w:rPr>
                              <w:t>扫描件</w:t>
                            </w:r>
                          </w:p>
                        </w:txbxContent>
                      </wps:txbx>
                      <wps:bodyPr upright="1"/>
                    </wps:wsp>
                  </a:graphicData>
                </a:graphic>
              </wp:anchor>
            </w:drawing>
          </mc:Choice>
          <mc:Fallback>
            <w:pict>
              <v:shape id="_x0000_s1026" o:spid="_x0000_s1026" o:spt="176" type="#_x0000_t176" style="position:absolute;left:0pt;margin-left:115.5pt;margin-top:2.6pt;height:124.75pt;width:183.75pt;z-index:251663360;mso-width-relative:page;mso-height-relative:page;" fillcolor="#FFFFFF" filled="t" stroked="t" coordsize="21600,21600" o:gfxdata="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oB/+tcAAAAJAQAADwAAAAAAAAABACAAAAAiAAAAZHJzL2Rvd25yZXYueG1sUEsB&#10;AhQAFAAAAAgAh07iQLKdYDQvAgAAYAQAAA4AAAAAAAAAAQAgAAAAJgEAAGRycy9lMm9Eb2MueG1s&#10;UEsFBgAAAAAGAAYAWQEAAMcFAAAAAA==&#10;">
                <v:fill on="t" focussize="0,0"/>
                <v:stroke color="#000000" joinstyle="miter"/>
                <v:imagedata o:title=""/>
                <o:lock v:ext="edit" aspectratio="f"/>
                <v:textbox>
                  <w:txbxContent>
                    <w:p w14:paraId="1B3C70A5">
                      <w:pPr>
                        <w:jc w:val="center"/>
                        <w:rPr>
                          <w:rFonts w:hAnsi="宋体"/>
                          <w:szCs w:val="21"/>
                        </w:rPr>
                      </w:pPr>
                    </w:p>
                    <w:p w14:paraId="2FE56F3A">
                      <w:pPr>
                        <w:jc w:val="center"/>
                        <w:rPr>
                          <w:rFonts w:hAnsi="宋体"/>
                          <w:szCs w:val="21"/>
                        </w:rPr>
                      </w:pPr>
                    </w:p>
                    <w:p w14:paraId="5B3AB941">
                      <w:pPr>
                        <w:jc w:val="center"/>
                        <w:rPr>
                          <w:rFonts w:hAnsi="宋体"/>
                          <w:szCs w:val="21"/>
                        </w:rPr>
                      </w:pPr>
                    </w:p>
                    <w:p w14:paraId="48AFCA38">
                      <w:pPr>
                        <w:jc w:val="center"/>
                        <w:rPr>
                          <w:szCs w:val="21"/>
                        </w:rPr>
                      </w:pPr>
                      <w:r>
                        <w:rPr>
                          <w:rFonts w:hint="eastAsia" w:hAnsi="宋体"/>
                          <w:szCs w:val="21"/>
                        </w:rPr>
                        <w:t>代理人身份证</w:t>
                      </w:r>
                      <w:r>
                        <w:rPr>
                          <w:rFonts w:hint="eastAsia" w:hAnsi="宋体"/>
                        </w:rPr>
                        <w:t>扫描件</w:t>
                      </w:r>
                    </w:p>
                  </w:txbxContent>
                </v:textbox>
              </v:shape>
            </w:pict>
          </mc:Fallback>
        </mc:AlternateContent>
      </w:r>
    </w:p>
    <w:p w14:paraId="38B2486E">
      <w:pPr>
        <w:spacing w:line="360" w:lineRule="auto"/>
        <w:ind w:firstLine="420"/>
        <w:rPr>
          <w:rFonts w:hint="eastAsia" w:ascii="宋体" w:hAnsi="宋体" w:eastAsia="宋体" w:cs="宋体"/>
          <w:color w:val="auto"/>
          <w:sz w:val="28"/>
          <w:szCs w:val="28"/>
          <w:highlight w:val="none"/>
          <w:u w:val="single"/>
        </w:rPr>
      </w:pPr>
    </w:p>
    <w:p w14:paraId="79E59CE5">
      <w:pPr>
        <w:spacing w:line="360" w:lineRule="auto"/>
        <w:ind w:firstLine="420"/>
        <w:rPr>
          <w:rFonts w:hint="eastAsia" w:ascii="宋体" w:hAnsi="宋体" w:eastAsia="宋体" w:cs="宋体"/>
          <w:color w:val="auto"/>
          <w:sz w:val="28"/>
          <w:szCs w:val="28"/>
          <w:highlight w:val="none"/>
          <w:u w:val="single"/>
        </w:rPr>
      </w:pPr>
    </w:p>
    <w:p w14:paraId="4FDD11DA">
      <w:pPr>
        <w:spacing w:line="360" w:lineRule="auto"/>
        <w:ind w:firstLine="420"/>
        <w:rPr>
          <w:rFonts w:hint="eastAsia" w:ascii="宋体" w:hAnsi="宋体" w:eastAsia="宋体" w:cs="宋体"/>
          <w:color w:val="auto"/>
          <w:sz w:val="28"/>
          <w:szCs w:val="28"/>
          <w:highlight w:val="none"/>
          <w:u w:val="single"/>
        </w:rPr>
      </w:pPr>
    </w:p>
    <w:p w14:paraId="156FA9F6">
      <w:pPr>
        <w:spacing w:line="360" w:lineRule="auto"/>
        <w:ind w:firstLine="420"/>
        <w:rPr>
          <w:rFonts w:hint="eastAsia" w:ascii="宋体" w:hAnsi="宋体" w:eastAsia="宋体" w:cs="宋体"/>
          <w:color w:val="auto"/>
          <w:sz w:val="28"/>
          <w:szCs w:val="28"/>
          <w:highlight w:val="none"/>
          <w:u w:val="single"/>
        </w:rPr>
      </w:pPr>
    </w:p>
    <w:p w14:paraId="03CCCC2A">
      <w:pPr>
        <w:spacing w:line="360" w:lineRule="auto"/>
        <w:ind w:firstLine="420"/>
        <w:rPr>
          <w:rFonts w:hint="eastAsia" w:ascii="宋体" w:hAnsi="宋体" w:eastAsia="宋体" w:cs="宋体"/>
          <w:color w:val="auto"/>
          <w:sz w:val="28"/>
          <w:szCs w:val="28"/>
          <w:highlight w:val="none"/>
          <w:u w:val="single"/>
        </w:rPr>
      </w:pPr>
    </w:p>
    <w:p w14:paraId="081BA861">
      <w:pPr>
        <w:tabs>
          <w:tab w:val="left" w:pos="900"/>
        </w:tabs>
        <w:snapToGrid w:val="0"/>
        <w:spacing w:line="360" w:lineRule="auto"/>
        <w:ind w:left="360"/>
        <w:rPr>
          <w:rFonts w:hint="eastAsia" w:ascii="宋体" w:hAnsi="宋体" w:eastAsia="宋体" w:cs="宋体"/>
          <w:color w:val="auto"/>
          <w:highlight w:val="none"/>
        </w:rPr>
      </w:pPr>
    </w:p>
    <w:p w14:paraId="0511AA72">
      <w:pPr>
        <w:spacing w:line="360" w:lineRule="auto"/>
        <w:rPr>
          <w:rFonts w:hint="eastAsia" w:ascii="宋体" w:hAnsi="宋体" w:eastAsia="宋体" w:cs="宋体"/>
          <w:b/>
          <w:color w:val="auto"/>
          <w:sz w:val="24"/>
          <w:szCs w:val="24"/>
          <w:highlight w:val="none"/>
        </w:rPr>
      </w:pPr>
    </w:p>
    <w:p w14:paraId="713E064C">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color w:val="auto"/>
          <w:highlight w:val="none"/>
        </w:rPr>
        <w:br w:type="page"/>
      </w:r>
      <w:r>
        <w:rPr>
          <w:rFonts w:hint="eastAsia" w:ascii="宋体" w:hAnsi="宋体" w:eastAsia="宋体" w:cs="宋体"/>
          <w:b/>
          <w:color w:val="auto"/>
          <w:sz w:val="32"/>
          <w:szCs w:val="32"/>
          <w:highlight w:val="none"/>
          <w:lang w:val="en-US" w:eastAsia="zh-CN"/>
        </w:rPr>
        <w:t>3.4</w:t>
      </w:r>
      <w:r>
        <w:rPr>
          <w:rFonts w:hint="eastAsia" w:ascii="宋体" w:hAnsi="宋体" w:cs="宋体"/>
          <w:b/>
          <w:color w:val="auto"/>
          <w:sz w:val="32"/>
          <w:szCs w:val="32"/>
          <w:highlight w:val="none"/>
          <w:lang w:val="en-US" w:eastAsia="zh-CN"/>
        </w:rPr>
        <w:t xml:space="preserve"> </w:t>
      </w:r>
      <w:r>
        <w:rPr>
          <w:rFonts w:hint="eastAsia" w:ascii="宋体" w:hAnsi="宋体" w:eastAsia="宋体" w:cs="宋体"/>
          <w:b/>
          <w:bCs w:val="0"/>
          <w:color w:val="auto"/>
          <w:sz w:val="32"/>
          <w:szCs w:val="32"/>
          <w:highlight w:val="none"/>
        </w:rPr>
        <w:t>管理体系认证证书（如有）</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0"/>
      </w:tblGrid>
      <w:tr w14:paraId="7BC5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62DDF80">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序号</w:t>
            </w:r>
          </w:p>
        </w:tc>
        <w:tc>
          <w:tcPr>
            <w:tcW w:w="1250" w:type="pct"/>
            <w:vAlign w:val="center"/>
          </w:tcPr>
          <w:p w14:paraId="793B4E52">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sz w:val="24"/>
                <w:szCs w:val="24"/>
                <w:highlight w:val="none"/>
              </w:rPr>
              <w:t>管理体系认证证书</w:t>
            </w:r>
            <w:r>
              <w:rPr>
                <w:rFonts w:hint="eastAsia" w:ascii="宋体" w:hAnsi="宋体" w:eastAsia="宋体" w:cs="Times New Roman"/>
                <w:b w:val="0"/>
                <w:bCs w:val="0"/>
                <w:color w:val="auto"/>
                <w:sz w:val="24"/>
                <w:szCs w:val="24"/>
                <w:highlight w:val="none"/>
                <w:lang w:val="en-US" w:eastAsia="zh-CN"/>
              </w:rPr>
              <w:t>名称</w:t>
            </w:r>
          </w:p>
        </w:tc>
        <w:tc>
          <w:tcPr>
            <w:tcW w:w="1250" w:type="pct"/>
            <w:vAlign w:val="center"/>
          </w:tcPr>
          <w:p w14:paraId="4173FBDE">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认证获取时间</w:t>
            </w:r>
          </w:p>
        </w:tc>
        <w:tc>
          <w:tcPr>
            <w:tcW w:w="1250" w:type="pct"/>
            <w:vAlign w:val="center"/>
          </w:tcPr>
          <w:p w14:paraId="27EFD619">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备注</w:t>
            </w:r>
          </w:p>
        </w:tc>
      </w:tr>
      <w:tr w14:paraId="1BB1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7ABD420">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D3CF918">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1294E5F7">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35FD4418">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54DA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45B7E69">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748E3702">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5A02B22">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4F3B2BC1">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51BF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5128CFE9">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33F88595">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3219A04B">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234FADB6">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bl>
    <w:p w14:paraId="2FA771E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9215DD8">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4FFDEB6">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21010FA">
      <w:pPr>
        <w:adjustRightInd/>
        <w:spacing w:line="240" w:lineRule="auto"/>
        <w:ind w:firstLine="0" w:firstLineChars="0"/>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注：投标人应</w:t>
      </w:r>
      <w:r>
        <w:rPr>
          <w:rFonts w:hint="eastAsia" w:ascii="宋体" w:hAnsi="宋体" w:eastAsia="宋体" w:cs="宋体"/>
          <w:bCs/>
          <w:color w:val="auto"/>
          <w:sz w:val="24"/>
          <w:szCs w:val="24"/>
          <w:highlight w:val="none"/>
          <w:lang w:val="en-US" w:eastAsia="zh-CN"/>
        </w:rPr>
        <w:t>根据评标办法量化要求标准提供相应证明材料</w:t>
      </w:r>
      <w:r>
        <w:rPr>
          <w:rFonts w:hint="eastAsia" w:ascii="宋体" w:hAnsi="宋体" w:eastAsia="宋体" w:cs="宋体"/>
          <w:bCs/>
          <w:color w:val="auto"/>
          <w:sz w:val="24"/>
          <w:szCs w:val="24"/>
          <w:highlight w:val="none"/>
        </w:rPr>
        <w:t>。</w:t>
      </w:r>
    </w:p>
    <w:p w14:paraId="0185A6B1">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00AD1E5">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E3DB12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C0370E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B5A1D03">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0F7AC1C">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2F02530">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4DC9332C">
      <w:pPr>
        <w:jc w:val="right"/>
        <w:rPr>
          <w:color w:val="auto"/>
          <w:highlight w:val="none"/>
        </w:rPr>
      </w:pPr>
      <w:r>
        <w:rPr>
          <w:rFonts w:hint="eastAsia" w:ascii="宋体" w:hAnsi="宋体" w:eastAsia="宋体" w:cs="宋体"/>
          <w:color w:val="auto"/>
          <w:sz w:val="24"/>
          <w:szCs w:val="24"/>
          <w:highlight w:val="none"/>
        </w:rPr>
        <w:t>日      期：</w:t>
      </w:r>
    </w:p>
    <w:p w14:paraId="7D79315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ECB30D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CF9FEEB">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7C1622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84E7FD4">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C423EDF">
      <w:pPr>
        <w:pStyle w:val="2"/>
        <w:rPr>
          <w:rFonts w:hint="eastAsia"/>
          <w:color w:val="auto"/>
          <w:highlight w:val="none"/>
          <w:lang w:val="en-US" w:eastAsia="zh-CN"/>
        </w:rPr>
      </w:pPr>
    </w:p>
    <w:p w14:paraId="352744C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843052D">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0E29EF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D8A4474">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D7D3412">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51FEF47">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A4B345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D8A1CEC">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1B55CBB">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4AECE47">
      <w:pPr>
        <w:adjustRightInd/>
        <w:spacing w:line="240" w:lineRule="auto"/>
        <w:ind w:firstLine="0" w:firstLineChars="0"/>
        <w:jc w:val="center"/>
        <w:rPr>
          <w:rFonts w:hint="eastAsia" w:ascii="宋体" w:hAnsi="宋体" w:eastAsia="宋体" w:cs="宋体"/>
          <w:b/>
          <w:bCs w:val="0"/>
          <w:color w:val="auto"/>
          <w:sz w:val="32"/>
          <w:szCs w:val="32"/>
          <w:highlight w:val="none"/>
        </w:rPr>
      </w:pPr>
      <w:r>
        <w:rPr>
          <w:rFonts w:hint="eastAsia" w:ascii="宋体" w:hAnsi="宋体" w:eastAsia="宋体" w:cs="宋体"/>
          <w:b/>
          <w:color w:val="auto"/>
          <w:sz w:val="32"/>
          <w:szCs w:val="32"/>
          <w:highlight w:val="none"/>
          <w:lang w:val="en-US" w:eastAsia="zh-CN"/>
        </w:rPr>
        <w:t>3.5 企业综合实力认证</w:t>
      </w:r>
      <w:r>
        <w:rPr>
          <w:rFonts w:hint="eastAsia" w:ascii="宋体" w:hAnsi="宋体" w:eastAsia="宋体" w:cs="宋体"/>
          <w:b/>
          <w:bCs w:val="0"/>
          <w:color w:val="auto"/>
          <w:sz w:val="32"/>
          <w:szCs w:val="32"/>
          <w:highlight w:val="none"/>
        </w:rPr>
        <w:t>（如有）</w:t>
      </w:r>
    </w:p>
    <w:p w14:paraId="12DC692E">
      <w:pPr>
        <w:pStyle w:val="2"/>
        <w:rPr>
          <w:rFonts w:hint="eastAsia"/>
          <w:color w:val="auto"/>
          <w:highlight w:val="none"/>
          <w:lang w:val="en-US" w:eastAsia="zh-CN"/>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0"/>
      </w:tblGrid>
      <w:tr w14:paraId="5E9E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250" w:type="pct"/>
            <w:vAlign w:val="center"/>
          </w:tcPr>
          <w:p w14:paraId="3EC3F5BB">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序号</w:t>
            </w:r>
          </w:p>
        </w:tc>
        <w:tc>
          <w:tcPr>
            <w:tcW w:w="1250" w:type="pct"/>
            <w:vAlign w:val="center"/>
          </w:tcPr>
          <w:p w14:paraId="6D00B12D">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sz w:val="24"/>
                <w:szCs w:val="24"/>
                <w:highlight w:val="none"/>
              </w:rPr>
              <w:t>认证证书</w:t>
            </w:r>
            <w:r>
              <w:rPr>
                <w:rFonts w:hint="eastAsia" w:ascii="宋体" w:hAnsi="宋体" w:eastAsia="宋体" w:cs="Times New Roman"/>
                <w:b w:val="0"/>
                <w:bCs w:val="0"/>
                <w:color w:val="auto"/>
                <w:sz w:val="24"/>
                <w:szCs w:val="24"/>
                <w:highlight w:val="none"/>
                <w:lang w:val="en-US" w:eastAsia="zh-CN"/>
              </w:rPr>
              <w:t>名称</w:t>
            </w:r>
          </w:p>
        </w:tc>
        <w:tc>
          <w:tcPr>
            <w:tcW w:w="1250" w:type="pct"/>
            <w:vAlign w:val="center"/>
          </w:tcPr>
          <w:p w14:paraId="4925BA99">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认证获取时间</w:t>
            </w:r>
          </w:p>
        </w:tc>
        <w:tc>
          <w:tcPr>
            <w:tcW w:w="1250" w:type="pct"/>
            <w:vAlign w:val="center"/>
          </w:tcPr>
          <w:p w14:paraId="73B94E80">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备注</w:t>
            </w:r>
          </w:p>
        </w:tc>
      </w:tr>
      <w:tr w14:paraId="2022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24D57CF9">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04737C79">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4B0863A8">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708C12EA">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6834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7DA20A6E">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4A409ACA">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78F0B8E6">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4C379057">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6B5C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64156EEB">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03077324">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7F1A3913">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0DDA6B10">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bl>
    <w:p w14:paraId="3BF12478">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769E33F8">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B175AB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618FEB2">
      <w:pPr>
        <w:adjustRightInd/>
        <w:spacing w:line="240" w:lineRule="auto"/>
        <w:ind w:firstLine="0" w:firstLineChars="0"/>
        <w:jc w:val="both"/>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注：投标人应</w:t>
      </w:r>
      <w:r>
        <w:rPr>
          <w:rFonts w:hint="eastAsia" w:ascii="宋体" w:hAnsi="宋体" w:eastAsia="宋体" w:cs="宋体"/>
          <w:bCs/>
          <w:color w:val="auto"/>
          <w:sz w:val="24"/>
          <w:szCs w:val="24"/>
          <w:highlight w:val="none"/>
          <w:lang w:val="en-US" w:eastAsia="zh-CN"/>
        </w:rPr>
        <w:t>根据评标办法量化要求标准提供相应证明材料</w:t>
      </w:r>
      <w:r>
        <w:rPr>
          <w:rFonts w:hint="eastAsia" w:ascii="宋体" w:hAnsi="宋体" w:eastAsia="宋体" w:cs="宋体"/>
          <w:bCs/>
          <w:color w:val="auto"/>
          <w:sz w:val="24"/>
          <w:szCs w:val="24"/>
          <w:highlight w:val="none"/>
        </w:rPr>
        <w:t>。</w:t>
      </w:r>
    </w:p>
    <w:p w14:paraId="1341419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2DF1BF1">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0C9D5A0">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1817790">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E5C8170">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88A8A7D">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09465F5">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7F6B708B">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      期：</w:t>
      </w:r>
    </w:p>
    <w:p w14:paraId="3F3B38D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A4FC4FA">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946CF1C">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96CD628">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140185B">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7022987">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A57DB8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30D1BF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C223E0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4F77234">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7369418">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724C1293">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4440E09">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E691E53">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BE08656">
      <w:pPr>
        <w:adjustRightInd/>
        <w:spacing w:line="240" w:lineRule="auto"/>
        <w:ind w:firstLine="0" w:firstLineChars="0"/>
        <w:jc w:val="center"/>
        <w:rPr>
          <w:rFonts w:hint="eastAsia" w:ascii="宋体" w:hAnsi="宋体" w:eastAsia="宋体" w:cs="宋体"/>
          <w:b/>
          <w:bCs w:val="0"/>
          <w:color w:val="auto"/>
          <w:sz w:val="32"/>
          <w:szCs w:val="32"/>
          <w:highlight w:val="none"/>
        </w:rPr>
      </w:pPr>
      <w:r>
        <w:rPr>
          <w:rFonts w:hint="eastAsia" w:ascii="宋体" w:hAnsi="宋体" w:eastAsia="宋体" w:cs="宋体"/>
          <w:b/>
          <w:color w:val="auto"/>
          <w:sz w:val="32"/>
          <w:szCs w:val="32"/>
          <w:highlight w:val="none"/>
          <w:lang w:val="en-US" w:eastAsia="zh-CN"/>
        </w:rPr>
        <w:t>3.6  企业荣誉</w:t>
      </w:r>
      <w:r>
        <w:rPr>
          <w:rFonts w:hint="eastAsia" w:ascii="宋体" w:hAnsi="宋体" w:eastAsia="宋体" w:cs="宋体"/>
          <w:b/>
          <w:bCs w:val="0"/>
          <w:color w:val="auto"/>
          <w:sz w:val="32"/>
          <w:szCs w:val="32"/>
          <w:highlight w:val="none"/>
        </w:rPr>
        <w:t>（如有）</w:t>
      </w:r>
    </w:p>
    <w:p w14:paraId="1E35C797">
      <w:pPr>
        <w:pStyle w:val="2"/>
        <w:rPr>
          <w:rFonts w:hint="eastAsia"/>
          <w:color w:val="auto"/>
          <w:highlight w:val="none"/>
          <w:lang w:val="en-US" w:eastAsia="zh-CN"/>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0"/>
      </w:tblGrid>
      <w:tr w14:paraId="5EDF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250" w:type="pct"/>
            <w:vAlign w:val="center"/>
          </w:tcPr>
          <w:p w14:paraId="756F257B">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序号</w:t>
            </w:r>
          </w:p>
        </w:tc>
        <w:tc>
          <w:tcPr>
            <w:tcW w:w="1250" w:type="pct"/>
            <w:vAlign w:val="center"/>
          </w:tcPr>
          <w:p w14:paraId="246F59AA">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sz w:val="24"/>
                <w:szCs w:val="24"/>
                <w:highlight w:val="none"/>
                <w:lang w:val="en-US" w:eastAsia="zh-CN"/>
              </w:rPr>
              <w:t>奖项名称</w:t>
            </w:r>
          </w:p>
        </w:tc>
        <w:tc>
          <w:tcPr>
            <w:tcW w:w="1250" w:type="pct"/>
            <w:vAlign w:val="center"/>
          </w:tcPr>
          <w:p w14:paraId="72068F46">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认证获取时间</w:t>
            </w:r>
          </w:p>
        </w:tc>
        <w:tc>
          <w:tcPr>
            <w:tcW w:w="1250" w:type="pct"/>
            <w:vAlign w:val="center"/>
          </w:tcPr>
          <w:p w14:paraId="6B688D96">
            <w:pPr>
              <w:adjustRightInd/>
              <w:snapToGrid w:val="0"/>
              <w:spacing w:line="240" w:lineRule="auto"/>
              <w:jc w:val="center"/>
              <w:rPr>
                <w:rFonts w:hint="eastAsia" w:ascii="宋体" w:hAnsi="宋体" w:eastAsia="宋体" w:cs="Times New Roman"/>
                <w:b w:val="0"/>
                <w:bCs w:val="0"/>
                <w:color w:val="auto"/>
                <w:kern w:val="2"/>
                <w:sz w:val="24"/>
                <w:szCs w:val="24"/>
                <w:highlight w:val="none"/>
                <w:vertAlign w:val="baseline"/>
                <w:lang w:val="en-US" w:eastAsia="zh-CN"/>
              </w:rPr>
            </w:pPr>
            <w:r>
              <w:rPr>
                <w:rFonts w:hint="eastAsia" w:ascii="宋体" w:hAnsi="宋体" w:eastAsia="宋体" w:cs="Times New Roman"/>
                <w:b w:val="0"/>
                <w:bCs w:val="0"/>
                <w:color w:val="auto"/>
                <w:kern w:val="2"/>
                <w:sz w:val="24"/>
                <w:szCs w:val="24"/>
                <w:highlight w:val="none"/>
                <w:vertAlign w:val="baseline"/>
                <w:lang w:val="en-US" w:eastAsia="zh-CN"/>
              </w:rPr>
              <w:t>备注</w:t>
            </w:r>
          </w:p>
        </w:tc>
      </w:tr>
      <w:tr w14:paraId="4D7C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60DEB36E">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04FE07AA">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11FD5E08">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0A257D56">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723F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072C2B07">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6316485">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AA937BA">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9C69850">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r w14:paraId="2533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1FECC72B">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37587A68">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6D50782B">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c>
          <w:tcPr>
            <w:tcW w:w="1250" w:type="pct"/>
          </w:tcPr>
          <w:p w14:paraId="57343C24">
            <w:pPr>
              <w:adjustRightInd/>
              <w:spacing w:line="240" w:lineRule="auto"/>
              <w:jc w:val="center"/>
              <w:rPr>
                <w:rFonts w:hint="eastAsia" w:ascii="宋体" w:hAnsi="宋体" w:eastAsia="宋体" w:cs="宋体"/>
                <w:b/>
                <w:bCs/>
                <w:color w:val="auto"/>
                <w:kern w:val="0"/>
                <w:sz w:val="32"/>
                <w:szCs w:val="32"/>
                <w:highlight w:val="none"/>
                <w:vertAlign w:val="baseline"/>
                <w:lang w:val="en-US" w:eastAsia="zh-CN"/>
              </w:rPr>
            </w:pPr>
          </w:p>
        </w:tc>
      </w:tr>
    </w:tbl>
    <w:p w14:paraId="4B15401B">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775EE8E6">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F4EBFD0">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6FB3EE1">
      <w:pPr>
        <w:adjustRightInd/>
        <w:spacing w:line="240" w:lineRule="auto"/>
        <w:ind w:firstLine="0" w:firstLineChars="0"/>
        <w:jc w:val="both"/>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注：投标人应</w:t>
      </w:r>
      <w:r>
        <w:rPr>
          <w:rFonts w:hint="eastAsia" w:ascii="宋体" w:hAnsi="宋体" w:eastAsia="宋体" w:cs="宋体"/>
          <w:bCs/>
          <w:color w:val="auto"/>
          <w:sz w:val="24"/>
          <w:szCs w:val="24"/>
          <w:highlight w:val="none"/>
          <w:lang w:val="en-US" w:eastAsia="zh-CN"/>
        </w:rPr>
        <w:t>根据评标办法量化要求标准提供相应证明材料</w:t>
      </w:r>
      <w:r>
        <w:rPr>
          <w:rFonts w:hint="eastAsia" w:ascii="宋体" w:hAnsi="宋体" w:eastAsia="宋体" w:cs="宋体"/>
          <w:bCs/>
          <w:color w:val="auto"/>
          <w:sz w:val="24"/>
          <w:szCs w:val="24"/>
          <w:highlight w:val="none"/>
        </w:rPr>
        <w:t>。</w:t>
      </w:r>
    </w:p>
    <w:p w14:paraId="58AEAEA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A5227EC">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81EDD55">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4582B9A">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DAF299E">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1E781FBA">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0AD274C">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7F048671">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      期：</w:t>
      </w:r>
    </w:p>
    <w:p w14:paraId="40949A3A">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4D5C3A2">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C47EA8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7B001E7">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7FF348ED">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DD25B62">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019E006F">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6EFD554">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2DA40425">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5D3B9681">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0020294">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78727243">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649CDA8A">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31AEF090">
      <w:pPr>
        <w:adjustRightInd/>
        <w:spacing w:line="240" w:lineRule="auto"/>
        <w:ind w:firstLine="0" w:firstLineChars="0"/>
        <w:jc w:val="center"/>
        <w:rPr>
          <w:rFonts w:hint="eastAsia" w:ascii="宋体" w:hAnsi="宋体" w:eastAsia="宋体" w:cs="宋体"/>
          <w:b/>
          <w:bCs/>
          <w:color w:val="auto"/>
          <w:kern w:val="0"/>
          <w:sz w:val="32"/>
          <w:szCs w:val="32"/>
          <w:highlight w:val="none"/>
          <w:lang w:val="en-US" w:eastAsia="zh-CN"/>
        </w:rPr>
      </w:pPr>
    </w:p>
    <w:p w14:paraId="40192793">
      <w:pPr>
        <w:jc w:val="center"/>
        <w:rPr>
          <w:rFonts w:hint="eastAsia" w:ascii="宋体" w:hAnsi="宋体" w:eastAsia="宋体" w:cs="宋体"/>
          <w:b/>
          <w:bCs/>
          <w:color w:val="auto"/>
          <w:kern w:val="0"/>
          <w:sz w:val="32"/>
          <w:szCs w:val="32"/>
          <w:highlight w:val="none"/>
          <w:lang w:val="en-US" w:eastAsia="zh-CN"/>
        </w:rPr>
      </w:pPr>
      <w:r>
        <w:rPr>
          <w:rFonts w:hint="eastAsia" w:ascii="宋体" w:hAnsi="宋体" w:cs="宋体"/>
          <w:b/>
          <w:bCs/>
          <w:color w:val="auto"/>
          <w:kern w:val="0"/>
          <w:sz w:val="32"/>
          <w:szCs w:val="32"/>
          <w:highlight w:val="none"/>
          <w:lang w:val="en-US" w:eastAsia="zh-CN"/>
        </w:rPr>
        <w:t>3.</w:t>
      </w:r>
      <w:r>
        <w:rPr>
          <w:rFonts w:hint="eastAsia" w:ascii="宋体" w:hAnsi="宋体" w:eastAsia="宋体" w:cs="宋体"/>
          <w:b/>
          <w:bCs/>
          <w:color w:val="auto"/>
          <w:kern w:val="0"/>
          <w:sz w:val="32"/>
          <w:szCs w:val="32"/>
          <w:highlight w:val="none"/>
          <w:lang w:val="en-US" w:eastAsia="zh-CN"/>
        </w:rPr>
        <w:t>7 拟投入本项目团队人员情况一览表</w:t>
      </w:r>
    </w:p>
    <w:p w14:paraId="5545951C">
      <w:pPr>
        <w:pStyle w:val="2"/>
        <w:ind w:firstLine="0"/>
        <w:rPr>
          <w:rFonts w:hint="eastAsia" w:ascii="宋体" w:hAnsi="宋体" w:eastAsia="宋体" w:cs="Times New Roman"/>
          <w:b w:val="0"/>
          <w:bCs w:val="0"/>
          <w:color w:val="auto"/>
          <w:kern w:val="2"/>
          <w:sz w:val="21"/>
          <w:szCs w:val="20"/>
          <w:highlight w:val="none"/>
          <w:lang w:val="en-US" w:eastAsia="zh-CN"/>
        </w:rPr>
      </w:pPr>
    </w:p>
    <w:p w14:paraId="3BE6DDBF">
      <w:pPr>
        <w:pStyle w:val="2"/>
        <w:ind w:firstLine="0"/>
        <w:rPr>
          <w:rFonts w:hint="eastAsia" w:ascii="宋体" w:hAnsi="宋体" w:eastAsia="宋体" w:cs="Times New Roman"/>
          <w:b w:val="0"/>
          <w:bCs w:val="0"/>
          <w:color w:val="auto"/>
          <w:kern w:val="2"/>
          <w:sz w:val="21"/>
          <w:szCs w:val="20"/>
          <w:highlight w:val="none"/>
          <w:lang w:val="en-US" w:eastAsia="zh-CN"/>
        </w:rPr>
      </w:pPr>
      <w:r>
        <w:rPr>
          <w:rFonts w:hint="eastAsia" w:ascii="宋体" w:hAnsi="宋体" w:eastAsia="宋体" w:cs="Times New Roman"/>
          <w:b w:val="0"/>
          <w:bCs w:val="0"/>
          <w:color w:val="auto"/>
          <w:kern w:val="2"/>
          <w:sz w:val="21"/>
          <w:szCs w:val="20"/>
          <w:highlight w:val="none"/>
          <w:lang w:val="en-US" w:eastAsia="zh-CN"/>
        </w:rPr>
        <w:t>项目名称：</w:t>
      </w:r>
    </w:p>
    <w:tbl>
      <w:tblPr>
        <w:tblStyle w:val="20"/>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80"/>
        <w:gridCol w:w="1187"/>
        <w:gridCol w:w="1485"/>
        <w:gridCol w:w="1187"/>
        <w:gridCol w:w="1781"/>
        <w:gridCol w:w="1484"/>
      </w:tblGrid>
      <w:tr w14:paraId="7096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jc w:val="center"/>
        </w:trPr>
        <w:tc>
          <w:tcPr>
            <w:tcW w:w="650" w:type="dxa"/>
            <w:noWrap w:val="0"/>
            <w:vAlign w:val="center"/>
          </w:tcPr>
          <w:p w14:paraId="5BF7C1BA">
            <w:pPr>
              <w:snapToGrid w:val="0"/>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280" w:type="dxa"/>
            <w:noWrap w:val="0"/>
            <w:vAlign w:val="center"/>
          </w:tcPr>
          <w:p w14:paraId="5C5DE3E8">
            <w:pPr>
              <w:snapToGrid w:val="0"/>
              <w:jc w:val="center"/>
              <w:rPr>
                <w:rFonts w:ascii="宋体" w:hAnsi="宋体"/>
                <w:color w:val="auto"/>
                <w:sz w:val="24"/>
                <w:szCs w:val="24"/>
                <w:highlight w:val="none"/>
              </w:rPr>
            </w:pPr>
            <w:r>
              <w:rPr>
                <w:rFonts w:hint="eastAsia" w:ascii="宋体" w:hAnsi="宋体"/>
                <w:color w:val="auto"/>
                <w:sz w:val="24"/>
                <w:szCs w:val="24"/>
                <w:highlight w:val="none"/>
              </w:rPr>
              <w:t>姓名</w:t>
            </w:r>
          </w:p>
        </w:tc>
        <w:tc>
          <w:tcPr>
            <w:tcW w:w="1187" w:type="dxa"/>
            <w:noWrap w:val="0"/>
            <w:vAlign w:val="center"/>
          </w:tcPr>
          <w:p w14:paraId="64619255">
            <w:pPr>
              <w:snapToGrid w:val="0"/>
              <w:jc w:val="center"/>
              <w:rPr>
                <w:rFonts w:ascii="宋体" w:hAnsi="宋体"/>
                <w:color w:val="auto"/>
                <w:sz w:val="24"/>
                <w:szCs w:val="24"/>
                <w:highlight w:val="none"/>
              </w:rPr>
            </w:pPr>
            <w:r>
              <w:rPr>
                <w:rFonts w:hint="eastAsia" w:ascii="宋体" w:hAnsi="宋体" w:cs="宋体"/>
                <w:color w:val="auto"/>
                <w:sz w:val="24"/>
                <w:szCs w:val="24"/>
                <w:highlight w:val="none"/>
                <w:lang w:val="en-US" w:eastAsia="zh-CN"/>
              </w:rPr>
              <w:t>职称/</w:t>
            </w:r>
            <w:r>
              <w:rPr>
                <w:rFonts w:hint="eastAsia" w:ascii="宋体" w:hAnsi="宋体" w:cs="宋体"/>
                <w:color w:val="auto"/>
                <w:sz w:val="24"/>
                <w:szCs w:val="24"/>
                <w:highlight w:val="none"/>
              </w:rPr>
              <w:t>执业资格</w:t>
            </w:r>
          </w:p>
        </w:tc>
        <w:tc>
          <w:tcPr>
            <w:tcW w:w="1485" w:type="dxa"/>
            <w:noWrap w:val="0"/>
            <w:vAlign w:val="center"/>
          </w:tcPr>
          <w:p w14:paraId="449E172C">
            <w:pPr>
              <w:snapToGrid w:val="0"/>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学历</w:t>
            </w:r>
          </w:p>
        </w:tc>
        <w:tc>
          <w:tcPr>
            <w:tcW w:w="1187" w:type="dxa"/>
            <w:noWrap w:val="0"/>
            <w:vAlign w:val="center"/>
          </w:tcPr>
          <w:p w14:paraId="1CAD327B">
            <w:pPr>
              <w:snapToGrid w:val="0"/>
              <w:jc w:val="center"/>
              <w:rPr>
                <w:rFonts w:ascii="宋体" w:hAnsi="宋体"/>
                <w:color w:val="auto"/>
                <w:sz w:val="24"/>
                <w:szCs w:val="24"/>
                <w:highlight w:val="none"/>
              </w:rPr>
            </w:pPr>
            <w:r>
              <w:rPr>
                <w:rFonts w:hint="eastAsia" w:ascii="宋体" w:hAnsi="宋体"/>
                <w:color w:val="auto"/>
                <w:sz w:val="24"/>
                <w:szCs w:val="24"/>
                <w:highlight w:val="none"/>
              </w:rPr>
              <w:t>从事相关工作年限</w:t>
            </w:r>
          </w:p>
        </w:tc>
        <w:tc>
          <w:tcPr>
            <w:tcW w:w="1781" w:type="dxa"/>
            <w:noWrap w:val="0"/>
            <w:vAlign w:val="center"/>
          </w:tcPr>
          <w:p w14:paraId="4A5BBE15">
            <w:pPr>
              <w:snapToGrid w:val="0"/>
              <w:jc w:val="center"/>
              <w:rPr>
                <w:rFonts w:ascii="宋体" w:hAnsi="宋体"/>
                <w:color w:val="auto"/>
                <w:sz w:val="24"/>
                <w:szCs w:val="24"/>
                <w:highlight w:val="none"/>
              </w:rPr>
            </w:pPr>
            <w:r>
              <w:rPr>
                <w:rFonts w:hint="eastAsia" w:ascii="宋体" w:hAnsi="宋体"/>
                <w:color w:val="auto"/>
                <w:spacing w:val="-6"/>
                <w:sz w:val="24"/>
                <w:szCs w:val="24"/>
                <w:highlight w:val="none"/>
              </w:rPr>
              <w:t>在本项目担任的职务</w:t>
            </w:r>
          </w:p>
        </w:tc>
        <w:tc>
          <w:tcPr>
            <w:tcW w:w="1484" w:type="dxa"/>
            <w:noWrap w:val="0"/>
            <w:vAlign w:val="center"/>
          </w:tcPr>
          <w:p w14:paraId="08A9FBF8">
            <w:pPr>
              <w:snapToGrid w:val="0"/>
              <w:jc w:val="center"/>
              <w:rPr>
                <w:rFonts w:ascii="宋体" w:hAnsi="宋体"/>
                <w:color w:val="auto"/>
                <w:sz w:val="24"/>
                <w:szCs w:val="24"/>
                <w:highlight w:val="none"/>
              </w:rPr>
            </w:pPr>
            <w:r>
              <w:rPr>
                <w:rFonts w:hint="eastAsia" w:ascii="宋体" w:hAnsi="宋体"/>
                <w:color w:val="auto"/>
                <w:sz w:val="24"/>
                <w:szCs w:val="24"/>
                <w:highlight w:val="none"/>
              </w:rPr>
              <w:t>备注</w:t>
            </w:r>
          </w:p>
        </w:tc>
      </w:tr>
      <w:tr w14:paraId="4579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0" w:type="dxa"/>
            <w:noWrap w:val="0"/>
            <w:vAlign w:val="center"/>
          </w:tcPr>
          <w:p w14:paraId="6FF5F4F1">
            <w:pPr>
              <w:snapToGrid w:val="0"/>
              <w:jc w:val="center"/>
              <w:rPr>
                <w:rFonts w:ascii="宋体" w:hAnsi="宋体"/>
                <w:color w:val="auto"/>
                <w:sz w:val="24"/>
                <w:szCs w:val="24"/>
                <w:highlight w:val="none"/>
              </w:rPr>
            </w:pPr>
          </w:p>
        </w:tc>
        <w:tc>
          <w:tcPr>
            <w:tcW w:w="1280" w:type="dxa"/>
            <w:noWrap w:val="0"/>
            <w:vAlign w:val="center"/>
          </w:tcPr>
          <w:p w14:paraId="7E8F0626">
            <w:pPr>
              <w:snapToGrid w:val="0"/>
              <w:jc w:val="center"/>
              <w:rPr>
                <w:rFonts w:ascii="宋体" w:hAnsi="宋体"/>
                <w:color w:val="auto"/>
                <w:sz w:val="24"/>
                <w:szCs w:val="24"/>
                <w:highlight w:val="none"/>
              </w:rPr>
            </w:pPr>
          </w:p>
        </w:tc>
        <w:tc>
          <w:tcPr>
            <w:tcW w:w="1187" w:type="dxa"/>
            <w:noWrap w:val="0"/>
            <w:vAlign w:val="center"/>
          </w:tcPr>
          <w:p w14:paraId="6428E05F">
            <w:pPr>
              <w:snapToGrid w:val="0"/>
              <w:jc w:val="center"/>
              <w:rPr>
                <w:rFonts w:ascii="宋体" w:hAnsi="宋体"/>
                <w:color w:val="auto"/>
                <w:sz w:val="24"/>
                <w:szCs w:val="24"/>
                <w:highlight w:val="none"/>
              </w:rPr>
            </w:pPr>
          </w:p>
        </w:tc>
        <w:tc>
          <w:tcPr>
            <w:tcW w:w="1485" w:type="dxa"/>
            <w:noWrap w:val="0"/>
            <w:vAlign w:val="center"/>
          </w:tcPr>
          <w:p w14:paraId="5EF0D4F7">
            <w:pPr>
              <w:snapToGrid w:val="0"/>
              <w:jc w:val="center"/>
              <w:rPr>
                <w:rFonts w:ascii="宋体" w:hAnsi="宋体"/>
                <w:color w:val="auto"/>
                <w:spacing w:val="-6"/>
                <w:sz w:val="24"/>
                <w:szCs w:val="24"/>
                <w:highlight w:val="none"/>
              </w:rPr>
            </w:pPr>
          </w:p>
        </w:tc>
        <w:tc>
          <w:tcPr>
            <w:tcW w:w="1187" w:type="dxa"/>
            <w:noWrap w:val="0"/>
            <w:vAlign w:val="center"/>
          </w:tcPr>
          <w:p w14:paraId="3AEDC837">
            <w:pPr>
              <w:snapToGrid w:val="0"/>
              <w:jc w:val="center"/>
              <w:rPr>
                <w:rFonts w:ascii="宋体" w:hAnsi="宋体"/>
                <w:color w:val="auto"/>
                <w:sz w:val="24"/>
                <w:szCs w:val="24"/>
                <w:highlight w:val="none"/>
              </w:rPr>
            </w:pPr>
          </w:p>
        </w:tc>
        <w:tc>
          <w:tcPr>
            <w:tcW w:w="1781" w:type="dxa"/>
            <w:noWrap w:val="0"/>
            <w:vAlign w:val="center"/>
          </w:tcPr>
          <w:p w14:paraId="7E68653A">
            <w:pPr>
              <w:snapToGrid w:val="0"/>
              <w:jc w:val="center"/>
              <w:rPr>
                <w:rFonts w:ascii="宋体" w:hAnsi="宋体"/>
                <w:color w:val="auto"/>
                <w:sz w:val="24"/>
                <w:szCs w:val="24"/>
                <w:highlight w:val="none"/>
              </w:rPr>
            </w:pPr>
          </w:p>
        </w:tc>
        <w:tc>
          <w:tcPr>
            <w:tcW w:w="1484" w:type="dxa"/>
            <w:noWrap w:val="0"/>
            <w:vAlign w:val="center"/>
          </w:tcPr>
          <w:p w14:paraId="33E5834F">
            <w:pPr>
              <w:snapToGrid w:val="0"/>
              <w:jc w:val="center"/>
              <w:rPr>
                <w:rFonts w:ascii="宋体" w:hAnsi="宋体"/>
                <w:color w:val="auto"/>
                <w:sz w:val="24"/>
                <w:szCs w:val="24"/>
                <w:highlight w:val="none"/>
              </w:rPr>
            </w:pPr>
          </w:p>
        </w:tc>
      </w:tr>
      <w:tr w14:paraId="672C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0" w:type="dxa"/>
            <w:noWrap w:val="0"/>
            <w:vAlign w:val="center"/>
          </w:tcPr>
          <w:p w14:paraId="35A5B393">
            <w:pPr>
              <w:snapToGrid w:val="0"/>
              <w:jc w:val="center"/>
              <w:rPr>
                <w:rFonts w:ascii="宋体" w:hAnsi="宋体"/>
                <w:color w:val="auto"/>
                <w:sz w:val="24"/>
                <w:szCs w:val="24"/>
                <w:highlight w:val="none"/>
              </w:rPr>
            </w:pPr>
          </w:p>
        </w:tc>
        <w:tc>
          <w:tcPr>
            <w:tcW w:w="1280" w:type="dxa"/>
            <w:noWrap w:val="0"/>
            <w:vAlign w:val="center"/>
          </w:tcPr>
          <w:p w14:paraId="24C06E9F">
            <w:pPr>
              <w:snapToGrid w:val="0"/>
              <w:jc w:val="center"/>
              <w:rPr>
                <w:rFonts w:ascii="宋体" w:hAnsi="宋体"/>
                <w:color w:val="auto"/>
                <w:sz w:val="24"/>
                <w:szCs w:val="24"/>
                <w:highlight w:val="none"/>
              </w:rPr>
            </w:pPr>
          </w:p>
        </w:tc>
        <w:tc>
          <w:tcPr>
            <w:tcW w:w="1187" w:type="dxa"/>
            <w:noWrap w:val="0"/>
            <w:vAlign w:val="center"/>
          </w:tcPr>
          <w:p w14:paraId="41201DBC">
            <w:pPr>
              <w:snapToGrid w:val="0"/>
              <w:jc w:val="center"/>
              <w:rPr>
                <w:rFonts w:ascii="宋体" w:hAnsi="宋体"/>
                <w:color w:val="auto"/>
                <w:sz w:val="24"/>
                <w:szCs w:val="24"/>
                <w:highlight w:val="none"/>
              </w:rPr>
            </w:pPr>
          </w:p>
        </w:tc>
        <w:tc>
          <w:tcPr>
            <w:tcW w:w="1485" w:type="dxa"/>
            <w:noWrap w:val="0"/>
            <w:vAlign w:val="center"/>
          </w:tcPr>
          <w:p w14:paraId="5A4D0034">
            <w:pPr>
              <w:snapToGrid w:val="0"/>
              <w:jc w:val="center"/>
              <w:rPr>
                <w:rFonts w:ascii="宋体" w:hAnsi="宋体"/>
                <w:color w:val="auto"/>
                <w:sz w:val="24"/>
                <w:szCs w:val="24"/>
                <w:highlight w:val="none"/>
              </w:rPr>
            </w:pPr>
          </w:p>
        </w:tc>
        <w:tc>
          <w:tcPr>
            <w:tcW w:w="1187" w:type="dxa"/>
            <w:noWrap w:val="0"/>
            <w:vAlign w:val="center"/>
          </w:tcPr>
          <w:p w14:paraId="5EA8D00F">
            <w:pPr>
              <w:snapToGrid w:val="0"/>
              <w:jc w:val="center"/>
              <w:rPr>
                <w:rFonts w:ascii="宋体" w:hAnsi="宋体"/>
                <w:color w:val="auto"/>
                <w:sz w:val="24"/>
                <w:szCs w:val="24"/>
                <w:highlight w:val="none"/>
              </w:rPr>
            </w:pPr>
          </w:p>
        </w:tc>
        <w:tc>
          <w:tcPr>
            <w:tcW w:w="1781" w:type="dxa"/>
            <w:noWrap w:val="0"/>
            <w:vAlign w:val="center"/>
          </w:tcPr>
          <w:p w14:paraId="2D786D59">
            <w:pPr>
              <w:snapToGrid w:val="0"/>
              <w:jc w:val="center"/>
              <w:rPr>
                <w:rFonts w:ascii="宋体" w:hAnsi="宋体"/>
                <w:color w:val="auto"/>
                <w:sz w:val="24"/>
                <w:szCs w:val="24"/>
                <w:highlight w:val="none"/>
              </w:rPr>
            </w:pPr>
          </w:p>
        </w:tc>
        <w:tc>
          <w:tcPr>
            <w:tcW w:w="1484" w:type="dxa"/>
            <w:noWrap w:val="0"/>
            <w:vAlign w:val="center"/>
          </w:tcPr>
          <w:p w14:paraId="4651CD09">
            <w:pPr>
              <w:snapToGrid w:val="0"/>
              <w:jc w:val="center"/>
              <w:rPr>
                <w:rFonts w:ascii="宋体" w:hAnsi="宋体"/>
                <w:color w:val="auto"/>
                <w:sz w:val="24"/>
                <w:szCs w:val="24"/>
                <w:highlight w:val="none"/>
              </w:rPr>
            </w:pPr>
          </w:p>
        </w:tc>
      </w:tr>
      <w:tr w14:paraId="7EFD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0" w:type="dxa"/>
            <w:noWrap w:val="0"/>
            <w:vAlign w:val="center"/>
          </w:tcPr>
          <w:p w14:paraId="10396D2B">
            <w:pPr>
              <w:snapToGrid w:val="0"/>
              <w:jc w:val="center"/>
              <w:rPr>
                <w:rFonts w:ascii="宋体" w:hAnsi="宋体"/>
                <w:color w:val="auto"/>
                <w:sz w:val="24"/>
                <w:szCs w:val="24"/>
                <w:highlight w:val="none"/>
              </w:rPr>
            </w:pPr>
          </w:p>
        </w:tc>
        <w:tc>
          <w:tcPr>
            <w:tcW w:w="1280" w:type="dxa"/>
            <w:noWrap w:val="0"/>
            <w:vAlign w:val="center"/>
          </w:tcPr>
          <w:p w14:paraId="1E2C2D1E">
            <w:pPr>
              <w:snapToGrid w:val="0"/>
              <w:jc w:val="center"/>
              <w:rPr>
                <w:rFonts w:ascii="宋体" w:hAnsi="宋体"/>
                <w:color w:val="auto"/>
                <w:sz w:val="24"/>
                <w:szCs w:val="24"/>
                <w:highlight w:val="none"/>
              </w:rPr>
            </w:pPr>
          </w:p>
        </w:tc>
        <w:tc>
          <w:tcPr>
            <w:tcW w:w="1187" w:type="dxa"/>
            <w:noWrap w:val="0"/>
            <w:vAlign w:val="center"/>
          </w:tcPr>
          <w:p w14:paraId="6ED13A74">
            <w:pPr>
              <w:snapToGrid w:val="0"/>
              <w:jc w:val="center"/>
              <w:rPr>
                <w:rFonts w:ascii="宋体" w:hAnsi="宋体"/>
                <w:color w:val="auto"/>
                <w:sz w:val="24"/>
                <w:szCs w:val="24"/>
                <w:highlight w:val="none"/>
              </w:rPr>
            </w:pPr>
          </w:p>
        </w:tc>
        <w:tc>
          <w:tcPr>
            <w:tcW w:w="1485" w:type="dxa"/>
            <w:noWrap w:val="0"/>
            <w:vAlign w:val="center"/>
          </w:tcPr>
          <w:p w14:paraId="6F604B03">
            <w:pPr>
              <w:snapToGrid w:val="0"/>
              <w:jc w:val="center"/>
              <w:rPr>
                <w:rFonts w:ascii="宋体" w:hAnsi="宋体"/>
                <w:color w:val="auto"/>
                <w:sz w:val="24"/>
                <w:szCs w:val="24"/>
                <w:highlight w:val="none"/>
              </w:rPr>
            </w:pPr>
          </w:p>
        </w:tc>
        <w:tc>
          <w:tcPr>
            <w:tcW w:w="1187" w:type="dxa"/>
            <w:noWrap w:val="0"/>
            <w:vAlign w:val="center"/>
          </w:tcPr>
          <w:p w14:paraId="5941603D">
            <w:pPr>
              <w:snapToGrid w:val="0"/>
              <w:jc w:val="center"/>
              <w:rPr>
                <w:rFonts w:ascii="宋体" w:hAnsi="宋体"/>
                <w:color w:val="auto"/>
                <w:sz w:val="24"/>
                <w:szCs w:val="24"/>
                <w:highlight w:val="none"/>
              </w:rPr>
            </w:pPr>
          </w:p>
        </w:tc>
        <w:tc>
          <w:tcPr>
            <w:tcW w:w="1781" w:type="dxa"/>
            <w:noWrap w:val="0"/>
            <w:vAlign w:val="center"/>
          </w:tcPr>
          <w:p w14:paraId="7D748E21">
            <w:pPr>
              <w:snapToGrid w:val="0"/>
              <w:jc w:val="center"/>
              <w:rPr>
                <w:rFonts w:ascii="宋体" w:hAnsi="宋体"/>
                <w:color w:val="auto"/>
                <w:sz w:val="24"/>
                <w:szCs w:val="24"/>
                <w:highlight w:val="none"/>
              </w:rPr>
            </w:pPr>
          </w:p>
        </w:tc>
        <w:tc>
          <w:tcPr>
            <w:tcW w:w="1484" w:type="dxa"/>
            <w:noWrap w:val="0"/>
            <w:vAlign w:val="center"/>
          </w:tcPr>
          <w:p w14:paraId="4BF4D526">
            <w:pPr>
              <w:snapToGrid w:val="0"/>
              <w:jc w:val="center"/>
              <w:rPr>
                <w:rFonts w:ascii="宋体" w:hAnsi="宋体"/>
                <w:color w:val="auto"/>
                <w:sz w:val="24"/>
                <w:szCs w:val="24"/>
                <w:highlight w:val="none"/>
              </w:rPr>
            </w:pPr>
          </w:p>
        </w:tc>
      </w:tr>
      <w:tr w14:paraId="7726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0" w:type="dxa"/>
            <w:noWrap w:val="0"/>
            <w:vAlign w:val="center"/>
          </w:tcPr>
          <w:p w14:paraId="3075D9DF">
            <w:pPr>
              <w:snapToGrid w:val="0"/>
              <w:jc w:val="center"/>
              <w:rPr>
                <w:rFonts w:ascii="宋体" w:hAnsi="宋体"/>
                <w:color w:val="auto"/>
                <w:sz w:val="24"/>
                <w:szCs w:val="24"/>
                <w:highlight w:val="none"/>
              </w:rPr>
            </w:pPr>
          </w:p>
        </w:tc>
        <w:tc>
          <w:tcPr>
            <w:tcW w:w="1280" w:type="dxa"/>
            <w:noWrap w:val="0"/>
            <w:vAlign w:val="center"/>
          </w:tcPr>
          <w:p w14:paraId="11727086">
            <w:pPr>
              <w:snapToGrid w:val="0"/>
              <w:jc w:val="center"/>
              <w:rPr>
                <w:rFonts w:ascii="宋体" w:hAnsi="宋体"/>
                <w:color w:val="auto"/>
                <w:sz w:val="24"/>
                <w:szCs w:val="24"/>
                <w:highlight w:val="none"/>
              </w:rPr>
            </w:pPr>
          </w:p>
        </w:tc>
        <w:tc>
          <w:tcPr>
            <w:tcW w:w="1187" w:type="dxa"/>
            <w:noWrap w:val="0"/>
            <w:vAlign w:val="center"/>
          </w:tcPr>
          <w:p w14:paraId="24498349">
            <w:pPr>
              <w:snapToGrid w:val="0"/>
              <w:jc w:val="center"/>
              <w:rPr>
                <w:rFonts w:ascii="宋体" w:hAnsi="宋体"/>
                <w:color w:val="auto"/>
                <w:sz w:val="24"/>
                <w:szCs w:val="24"/>
                <w:highlight w:val="none"/>
              </w:rPr>
            </w:pPr>
          </w:p>
        </w:tc>
        <w:tc>
          <w:tcPr>
            <w:tcW w:w="1485" w:type="dxa"/>
            <w:noWrap w:val="0"/>
            <w:vAlign w:val="center"/>
          </w:tcPr>
          <w:p w14:paraId="410F73FB">
            <w:pPr>
              <w:snapToGrid w:val="0"/>
              <w:jc w:val="center"/>
              <w:rPr>
                <w:rFonts w:ascii="宋体" w:hAnsi="宋体"/>
                <w:color w:val="auto"/>
                <w:sz w:val="24"/>
                <w:szCs w:val="24"/>
                <w:highlight w:val="none"/>
              </w:rPr>
            </w:pPr>
          </w:p>
        </w:tc>
        <w:tc>
          <w:tcPr>
            <w:tcW w:w="1187" w:type="dxa"/>
            <w:noWrap w:val="0"/>
            <w:vAlign w:val="center"/>
          </w:tcPr>
          <w:p w14:paraId="7E43454C">
            <w:pPr>
              <w:snapToGrid w:val="0"/>
              <w:jc w:val="center"/>
              <w:rPr>
                <w:rFonts w:ascii="宋体" w:hAnsi="宋体"/>
                <w:color w:val="auto"/>
                <w:sz w:val="24"/>
                <w:szCs w:val="24"/>
                <w:highlight w:val="none"/>
              </w:rPr>
            </w:pPr>
          </w:p>
        </w:tc>
        <w:tc>
          <w:tcPr>
            <w:tcW w:w="1781" w:type="dxa"/>
            <w:noWrap w:val="0"/>
            <w:vAlign w:val="center"/>
          </w:tcPr>
          <w:p w14:paraId="2FB13138">
            <w:pPr>
              <w:snapToGrid w:val="0"/>
              <w:jc w:val="center"/>
              <w:rPr>
                <w:rFonts w:ascii="宋体" w:hAnsi="宋体"/>
                <w:color w:val="auto"/>
                <w:sz w:val="24"/>
                <w:szCs w:val="24"/>
                <w:highlight w:val="none"/>
              </w:rPr>
            </w:pPr>
          </w:p>
        </w:tc>
        <w:tc>
          <w:tcPr>
            <w:tcW w:w="1484" w:type="dxa"/>
            <w:noWrap w:val="0"/>
            <w:vAlign w:val="center"/>
          </w:tcPr>
          <w:p w14:paraId="0AE8E823">
            <w:pPr>
              <w:snapToGrid w:val="0"/>
              <w:jc w:val="center"/>
              <w:rPr>
                <w:rFonts w:ascii="宋体" w:hAnsi="宋体"/>
                <w:color w:val="auto"/>
                <w:sz w:val="24"/>
                <w:szCs w:val="24"/>
                <w:highlight w:val="none"/>
              </w:rPr>
            </w:pPr>
          </w:p>
        </w:tc>
      </w:tr>
      <w:tr w14:paraId="2B5C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0" w:type="dxa"/>
            <w:noWrap w:val="0"/>
            <w:vAlign w:val="center"/>
          </w:tcPr>
          <w:p w14:paraId="5662DAA6">
            <w:pPr>
              <w:snapToGrid w:val="0"/>
              <w:jc w:val="center"/>
              <w:rPr>
                <w:rFonts w:ascii="宋体" w:hAnsi="宋体"/>
                <w:color w:val="auto"/>
                <w:sz w:val="24"/>
                <w:szCs w:val="24"/>
                <w:highlight w:val="none"/>
              </w:rPr>
            </w:pPr>
          </w:p>
        </w:tc>
        <w:tc>
          <w:tcPr>
            <w:tcW w:w="1280" w:type="dxa"/>
            <w:noWrap w:val="0"/>
            <w:vAlign w:val="center"/>
          </w:tcPr>
          <w:p w14:paraId="37CD021B">
            <w:pPr>
              <w:snapToGrid w:val="0"/>
              <w:jc w:val="center"/>
              <w:rPr>
                <w:rFonts w:ascii="宋体" w:hAnsi="宋体"/>
                <w:color w:val="auto"/>
                <w:sz w:val="24"/>
                <w:szCs w:val="24"/>
                <w:highlight w:val="none"/>
              </w:rPr>
            </w:pPr>
          </w:p>
        </w:tc>
        <w:tc>
          <w:tcPr>
            <w:tcW w:w="1187" w:type="dxa"/>
            <w:noWrap w:val="0"/>
            <w:vAlign w:val="center"/>
          </w:tcPr>
          <w:p w14:paraId="323EB073">
            <w:pPr>
              <w:snapToGrid w:val="0"/>
              <w:jc w:val="center"/>
              <w:rPr>
                <w:rFonts w:ascii="宋体" w:hAnsi="宋体"/>
                <w:color w:val="auto"/>
                <w:sz w:val="24"/>
                <w:szCs w:val="24"/>
                <w:highlight w:val="none"/>
              </w:rPr>
            </w:pPr>
          </w:p>
        </w:tc>
        <w:tc>
          <w:tcPr>
            <w:tcW w:w="1485" w:type="dxa"/>
            <w:noWrap w:val="0"/>
            <w:vAlign w:val="center"/>
          </w:tcPr>
          <w:p w14:paraId="042689F6">
            <w:pPr>
              <w:snapToGrid w:val="0"/>
              <w:jc w:val="center"/>
              <w:rPr>
                <w:rFonts w:ascii="宋体" w:hAnsi="宋体"/>
                <w:color w:val="auto"/>
                <w:sz w:val="24"/>
                <w:szCs w:val="24"/>
                <w:highlight w:val="none"/>
              </w:rPr>
            </w:pPr>
          </w:p>
        </w:tc>
        <w:tc>
          <w:tcPr>
            <w:tcW w:w="1187" w:type="dxa"/>
            <w:noWrap w:val="0"/>
            <w:vAlign w:val="center"/>
          </w:tcPr>
          <w:p w14:paraId="14CB40C7">
            <w:pPr>
              <w:snapToGrid w:val="0"/>
              <w:jc w:val="center"/>
              <w:rPr>
                <w:rFonts w:ascii="宋体" w:hAnsi="宋体"/>
                <w:color w:val="auto"/>
                <w:sz w:val="24"/>
                <w:szCs w:val="24"/>
                <w:highlight w:val="none"/>
              </w:rPr>
            </w:pPr>
          </w:p>
        </w:tc>
        <w:tc>
          <w:tcPr>
            <w:tcW w:w="1781" w:type="dxa"/>
            <w:noWrap w:val="0"/>
            <w:vAlign w:val="center"/>
          </w:tcPr>
          <w:p w14:paraId="15614AED">
            <w:pPr>
              <w:snapToGrid w:val="0"/>
              <w:jc w:val="center"/>
              <w:rPr>
                <w:rFonts w:ascii="宋体" w:hAnsi="宋体"/>
                <w:color w:val="auto"/>
                <w:sz w:val="24"/>
                <w:szCs w:val="24"/>
                <w:highlight w:val="none"/>
              </w:rPr>
            </w:pPr>
          </w:p>
        </w:tc>
        <w:tc>
          <w:tcPr>
            <w:tcW w:w="1484" w:type="dxa"/>
            <w:noWrap w:val="0"/>
            <w:vAlign w:val="center"/>
          </w:tcPr>
          <w:p w14:paraId="5D4FD0E6">
            <w:pPr>
              <w:snapToGrid w:val="0"/>
              <w:jc w:val="center"/>
              <w:rPr>
                <w:rFonts w:ascii="宋体" w:hAnsi="宋体"/>
                <w:color w:val="auto"/>
                <w:sz w:val="24"/>
                <w:szCs w:val="24"/>
                <w:highlight w:val="none"/>
              </w:rPr>
            </w:pPr>
          </w:p>
        </w:tc>
      </w:tr>
    </w:tbl>
    <w:p w14:paraId="5ED965D6">
      <w:pPr>
        <w:pStyle w:val="35"/>
        <w:numPr>
          <w:ilvl w:val="0"/>
          <w:numId w:val="0"/>
        </w:numPr>
        <w:ind w:firstLine="0"/>
        <w:rPr>
          <w:rFonts w:hint="eastAsia" w:ascii="宋体" w:hAnsi="宋体" w:eastAsia="宋体" w:cs="宋体"/>
          <w:b w:val="0"/>
          <w:bCs/>
          <w:color w:val="auto"/>
          <w:sz w:val="24"/>
          <w:szCs w:val="24"/>
          <w:highlight w:val="none"/>
        </w:rPr>
      </w:pPr>
    </w:p>
    <w:p w14:paraId="0CD85214">
      <w:pPr>
        <w:pStyle w:val="35"/>
        <w:numPr>
          <w:ilvl w:val="0"/>
          <w:numId w:val="0"/>
        </w:numPr>
        <w:spacing w:line="360" w:lineRule="auto"/>
        <w:ind w:firstLine="0"/>
        <w:rPr>
          <w:rFonts w:hint="eastAsia" w:ascii="宋体" w:hAnsi="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注：</w:t>
      </w:r>
      <w:r>
        <w:rPr>
          <w:rFonts w:hint="eastAsia" w:ascii="宋体" w:hAnsi="宋体" w:cs="宋体"/>
          <w:b w:val="0"/>
          <w:bCs/>
          <w:color w:val="auto"/>
          <w:sz w:val="24"/>
          <w:szCs w:val="24"/>
          <w:highlight w:val="none"/>
          <w:lang w:val="en-US" w:eastAsia="zh-CN"/>
        </w:rPr>
        <w:t>1、投标人应根据本项目技术文件要求配置团队成员，应包括但不限于：</w:t>
      </w:r>
    </w:p>
    <w:p w14:paraId="7F959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项目经理应具有4年以上信息化建设经验，具有PMP或IPMP证书。</w:t>
      </w:r>
    </w:p>
    <w:p w14:paraId="78F4E184">
      <w:pPr>
        <w:pStyle w:val="35"/>
        <w:numPr>
          <w:ilvl w:val="0"/>
          <w:numId w:val="0"/>
        </w:numPr>
        <w:spacing w:line="360" w:lineRule="auto"/>
        <w:ind w:firstLine="48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）项目技术总监应具备4年以上信息化建设经验，中级资格的《计算机技术与软件专业资格（水平）证书》证书（信息系统集成项目管理/软件设计师等）</w:t>
      </w:r>
      <w:r>
        <w:rPr>
          <w:rFonts w:hint="eastAsia" w:ascii="宋体" w:hAnsi="宋体" w:eastAsia="宋体" w:cs="宋体"/>
          <w:b w:val="0"/>
          <w:bCs/>
          <w:color w:val="auto"/>
          <w:sz w:val="24"/>
          <w:szCs w:val="24"/>
          <w:highlight w:val="none"/>
        </w:rPr>
        <w:t>。</w:t>
      </w:r>
    </w:p>
    <w:p w14:paraId="4EB54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合理安排模块负责人不少于3人，投标人整个项目团队应不少于20人，包含硕士以上人员不少于4人，研究方向在大数据、人工智能、软件工程</w:t>
      </w:r>
      <w:r>
        <w:rPr>
          <w:rFonts w:hint="eastAsia" w:ascii="宋体" w:hAnsi="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rPr>
        <w:t>方面，需提供简历和成果介绍。</w:t>
      </w:r>
    </w:p>
    <w:p w14:paraId="295706EE">
      <w:pPr>
        <w:pStyle w:val="35"/>
        <w:numPr>
          <w:ilvl w:val="0"/>
          <w:numId w:val="0"/>
        </w:numPr>
        <w:spacing w:line="360" w:lineRule="auto"/>
        <w:ind w:firstLine="480"/>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投标人拟投入除上述人员要求外，其余成员应根据评标办法量化要求标准提供相应证明材料</w:t>
      </w:r>
      <w:r>
        <w:rPr>
          <w:rFonts w:hint="eastAsia" w:ascii="宋体" w:hAnsi="宋体" w:eastAsia="宋体" w:cs="宋体"/>
          <w:b w:val="0"/>
          <w:bCs/>
          <w:color w:val="auto"/>
          <w:sz w:val="24"/>
          <w:szCs w:val="24"/>
          <w:highlight w:val="none"/>
        </w:rPr>
        <w:t>。</w:t>
      </w:r>
    </w:p>
    <w:p w14:paraId="28681E18">
      <w:pPr>
        <w:pStyle w:val="2"/>
        <w:rPr>
          <w:rFonts w:hint="eastAsia" w:ascii="宋体" w:hAnsi="宋体" w:eastAsia="宋体" w:cs="宋体"/>
          <w:b w:val="0"/>
          <w:bCs/>
          <w:color w:val="auto"/>
          <w:kern w:val="2"/>
          <w:sz w:val="24"/>
          <w:szCs w:val="22"/>
          <w:highlight w:val="none"/>
        </w:rPr>
      </w:pPr>
    </w:p>
    <w:p w14:paraId="41C03A60">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3C2FD8D6">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color w:val="auto"/>
          <w:highlight w:val="none"/>
        </w:rPr>
      </w:pPr>
      <w:r>
        <w:rPr>
          <w:rFonts w:hint="eastAsia" w:ascii="宋体" w:hAnsi="宋体" w:eastAsia="宋体" w:cs="宋体"/>
          <w:color w:val="auto"/>
          <w:sz w:val="24"/>
          <w:szCs w:val="24"/>
          <w:highlight w:val="none"/>
        </w:rPr>
        <w:t xml:space="preserve">                                                   日      期：</w:t>
      </w:r>
    </w:p>
    <w:p w14:paraId="4BC8B14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outlineLvl w:val="1"/>
        <w:rPr>
          <w:rFonts w:hint="eastAsia" w:ascii="宋体" w:hAnsi="宋体" w:eastAsia="宋体" w:cs="宋体"/>
          <w:b/>
          <w:bCs/>
          <w:color w:val="auto"/>
          <w:kern w:val="0"/>
          <w:sz w:val="32"/>
          <w:szCs w:val="32"/>
          <w:highlight w:val="none"/>
        </w:rPr>
      </w:pPr>
    </w:p>
    <w:p w14:paraId="1F9BFC3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outlineLvl w:val="1"/>
        <w:rPr>
          <w:rFonts w:hint="eastAsia" w:ascii="宋体" w:hAnsi="宋体" w:eastAsia="宋体" w:cs="宋体"/>
          <w:b/>
          <w:bCs/>
          <w:color w:val="auto"/>
          <w:kern w:val="0"/>
          <w:sz w:val="32"/>
          <w:szCs w:val="32"/>
          <w:highlight w:val="none"/>
        </w:rPr>
      </w:pPr>
    </w:p>
    <w:p w14:paraId="0CDFBDBD">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kern w:val="0"/>
          <w:sz w:val="32"/>
          <w:szCs w:val="32"/>
          <w:highlight w:val="none"/>
        </w:rPr>
        <w:t>3.</w:t>
      </w:r>
      <w:r>
        <w:rPr>
          <w:rFonts w:hint="eastAsia" w:ascii="宋体" w:hAnsi="宋体" w:cs="宋体"/>
          <w:b/>
          <w:bCs/>
          <w:color w:val="auto"/>
          <w:kern w:val="0"/>
          <w:sz w:val="32"/>
          <w:szCs w:val="32"/>
          <w:highlight w:val="none"/>
          <w:lang w:val="en-US" w:eastAsia="zh-CN"/>
        </w:rPr>
        <w:t>8</w:t>
      </w:r>
      <w:r>
        <w:rPr>
          <w:rFonts w:hint="eastAsia" w:ascii="宋体" w:hAnsi="宋体" w:eastAsia="宋体" w:cs="宋体"/>
          <w:b/>
          <w:bCs/>
          <w:color w:val="auto"/>
          <w:sz w:val="32"/>
          <w:szCs w:val="32"/>
          <w:highlight w:val="none"/>
        </w:rPr>
        <w:t>投标人承接过的类似项目业绩表（适用于量化标准评审）</w:t>
      </w:r>
    </w:p>
    <w:p w14:paraId="3236D7CF">
      <w:pPr>
        <w:shd w:val="clear" w:color="auto" w:fill="auto"/>
        <w:adjustRightInd/>
        <w:snapToGrid/>
        <w:spacing w:line="240" w:lineRule="auto"/>
        <w:ind w:firstLine="0" w:firstLineChars="0"/>
        <w:jc w:val="left"/>
        <w:rPr>
          <w:rFonts w:hint="eastAsia" w:ascii="宋体" w:hAnsi="宋体" w:eastAsia="宋体" w:cs="Arial"/>
          <w:b w:val="0"/>
          <w:bCs/>
          <w:color w:val="auto"/>
          <w:sz w:val="21"/>
          <w:szCs w:val="21"/>
          <w:highlight w:val="none"/>
          <w:lang w:val="en-US" w:eastAsia="zh-CN"/>
        </w:rPr>
      </w:pPr>
    </w:p>
    <w:p w14:paraId="0221FEF5">
      <w:pPr>
        <w:shd w:val="clear" w:color="auto" w:fill="auto"/>
        <w:adjustRightInd/>
        <w:snapToGrid/>
        <w:spacing w:line="240" w:lineRule="auto"/>
        <w:ind w:firstLine="0" w:firstLineChars="0"/>
        <w:jc w:val="left"/>
        <w:rPr>
          <w:rFonts w:hint="eastAsia" w:ascii="宋体" w:hAnsi="宋体" w:eastAsia="宋体" w:cs="宋体"/>
          <w:b w:val="0"/>
          <w:bCs/>
          <w:color w:val="auto"/>
          <w:sz w:val="24"/>
          <w:szCs w:val="24"/>
          <w:highlight w:val="none"/>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0"/>
        <w:gridCol w:w="981"/>
        <w:gridCol w:w="981"/>
        <w:gridCol w:w="2030"/>
        <w:gridCol w:w="981"/>
        <w:gridCol w:w="1330"/>
        <w:gridCol w:w="981"/>
        <w:gridCol w:w="806"/>
      </w:tblGrid>
      <w:tr w14:paraId="16E9C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7F51E3AB">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04FE23E6">
            <w:pPr>
              <w:jc w:val="center"/>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合同</w:t>
            </w:r>
            <w:r>
              <w:rPr>
                <w:rFonts w:hint="eastAsia" w:ascii="宋体" w:hAnsi="宋体" w:eastAsia="宋体" w:cs="宋体"/>
                <w:bCs/>
                <w:color w:val="auto"/>
                <w:sz w:val="24"/>
                <w:szCs w:val="24"/>
                <w:highlight w:val="none"/>
              </w:rPr>
              <w:t>名称</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7161F38D">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委托单位</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D14B910">
            <w:pPr>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委托单位联系人</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rPr>
              <w:t>电话</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39F1B042">
            <w:pPr>
              <w:rPr>
                <w:color w:val="auto"/>
                <w:highlight w:val="none"/>
              </w:rPr>
            </w:pP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地址</w:t>
            </w:r>
          </w:p>
          <w:p w14:paraId="560CCCF6">
            <w:pPr>
              <w:jc w:val="center"/>
              <w:rPr>
                <w:rFonts w:hint="eastAsia" w:ascii="宋体" w:hAnsi="宋体" w:eastAsia="宋体" w:cs="宋体"/>
                <w:bCs/>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56AE3E6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服务合同总价</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44EE84CF">
            <w:pPr>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rPr>
              <w:t>服务内容</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403EA5DD">
            <w:pPr>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服务期</w:t>
            </w:r>
          </w:p>
        </w:tc>
      </w:tr>
      <w:tr w14:paraId="61F40B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7099C45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268824CF">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6C0BDF08">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40FAFD3">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2D108356">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61AC268B">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A407665">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519A688">
            <w:pPr>
              <w:jc w:val="center"/>
              <w:rPr>
                <w:rFonts w:hint="eastAsia" w:ascii="宋体" w:hAnsi="宋体" w:eastAsia="宋体" w:cs="宋体"/>
                <w:color w:val="auto"/>
                <w:sz w:val="24"/>
                <w:szCs w:val="24"/>
                <w:highlight w:val="none"/>
              </w:rPr>
            </w:pPr>
          </w:p>
        </w:tc>
      </w:tr>
      <w:tr w14:paraId="40B67A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5AFA5C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0B3CDD3F">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8E9D082">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27B38A38">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48B4104">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514B8678">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9A1F403">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EE1E728">
            <w:pPr>
              <w:jc w:val="center"/>
              <w:rPr>
                <w:rFonts w:hint="eastAsia" w:ascii="宋体" w:hAnsi="宋体" w:eastAsia="宋体" w:cs="宋体"/>
                <w:color w:val="auto"/>
                <w:sz w:val="24"/>
                <w:szCs w:val="24"/>
                <w:highlight w:val="none"/>
              </w:rPr>
            </w:pPr>
          </w:p>
        </w:tc>
      </w:tr>
      <w:tr w14:paraId="5435F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3C010DD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3A265363">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3FB4B5FD">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0293713">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4041728">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50DB917">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20DBF584">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72FE7EF2">
            <w:pPr>
              <w:jc w:val="center"/>
              <w:rPr>
                <w:rFonts w:hint="eastAsia" w:ascii="宋体" w:hAnsi="宋体" w:eastAsia="宋体" w:cs="宋体"/>
                <w:color w:val="auto"/>
                <w:sz w:val="24"/>
                <w:szCs w:val="24"/>
                <w:highlight w:val="none"/>
              </w:rPr>
            </w:pPr>
          </w:p>
        </w:tc>
      </w:tr>
      <w:tr w14:paraId="68C1E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0" w:type="auto"/>
            <w:tcBorders>
              <w:top w:val="single" w:color="auto" w:sz="6" w:space="0"/>
              <w:left w:val="single" w:color="auto" w:sz="6" w:space="0"/>
              <w:bottom w:val="single" w:color="auto" w:sz="6" w:space="0"/>
              <w:right w:val="single" w:color="auto" w:sz="6" w:space="0"/>
            </w:tcBorders>
            <w:noWrap w:val="0"/>
            <w:vAlign w:val="center"/>
          </w:tcPr>
          <w:p w14:paraId="6ACAAF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0" w:type="auto"/>
            <w:tcBorders>
              <w:top w:val="single" w:color="auto" w:sz="6" w:space="0"/>
              <w:left w:val="single" w:color="auto" w:sz="6" w:space="0"/>
              <w:bottom w:val="single" w:color="auto" w:sz="6" w:space="0"/>
              <w:right w:val="single" w:color="auto" w:sz="6" w:space="0"/>
            </w:tcBorders>
            <w:noWrap w:val="0"/>
            <w:vAlign w:val="center"/>
          </w:tcPr>
          <w:p w14:paraId="69F7B885">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5B60B6C">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7E60BED">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3422E9F6">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06D35F0C">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43BDDD35">
            <w:pPr>
              <w:jc w:val="center"/>
              <w:rPr>
                <w:rFonts w:hint="eastAsia" w:ascii="宋体" w:hAnsi="宋体" w:eastAsia="宋体" w:cs="宋体"/>
                <w:color w:val="auto"/>
                <w:sz w:val="24"/>
                <w:szCs w:val="24"/>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center"/>
          </w:tcPr>
          <w:p w14:paraId="30715B6F">
            <w:pPr>
              <w:jc w:val="center"/>
              <w:rPr>
                <w:rFonts w:hint="eastAsia" w:ascii="宋体" w:hAnsi="宋体" w:eastAsia="宋体" w:cs="宋体"/>
                <w:color w:val="auto"/>
                <w:sz w:val="24"/>
                <w:szCs w:val="24"/>
                <w:highlight w:val="none"/>
              </w:rPr>
            </w:pPr>
          </w:p>
        </w:tc>
      </w:tr>
    </w:tbl>
    <w:p w14:paraId="4A0B746B">
      <w:pPr>
        <w:adjustRightInd w:val="0"/>
        <w:spacing w:line="360" w:lineRule="auto"/>
        <w:ind w:firstLine="540" w:firstLineChars="225"/>
        <w:rPr>
          <w:rFonts w:hint="eastAsia" w:ascii="宋体" w:hAnsi="宋体" w:eastAsia="宋体" w:cs="宋体"/>
          <w:color w:val="auto"/>
          <w:sz w:val="24"/>
          <w:szCs w:val="24"/>
          <w:highlight w:val="none"/>
        </w:rPr>
      </w:pPr>
    </w:p>
    <w:p w14:paraId="3DA29BD5">
      <w:pPr>
        <w:keepNext w:val="0"/>
        <w:keepLines w:val="0"/>
        <w:pageBreakBefore w:val="0"/>
        <w:widowControl/>
        <w:kinsoku/>
        <w:wordWrap/>
        <w:overflowPunct/>
        <w:topLinePunct w:val="0"/>
        <w:autoSpaceDE/>
        <w:autoSpaceDN/>
        <w:bidi w:val="0"/>
        <w:adjustRightInd/>
        <w:snapToGrid/>
        <w:spacing w:line="360" w:lineRule="exact"/>
        <w:ind w:right="-1"/>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957111C">
      <w:pPr>
        <w:keepNext w:val="0"/>
        <w:keepLines w:val="0"/>
        <w:pageBreakBefore w:val="0"/>
        <w:widowControl/>
        <w:kinsoku/>
        <w:wordWrap/>
        <w:overflowPunct/>
        <w:topLinePunct w:val="0"/>
        <w:autoSpaceDE/>
        <w:autoSpaceDN/>
        <w:bidi w:val="0"/>
        <w:adjustRightInd/>
        <w:snapToGrid/>
        <w:spacing w:line="360" w:lineRule="auto"/>
        <w:ind w:right="-1" w:firstLine="480" w:firstLineChars="200"/>
        <w:jc w:val="left"/>
        <w:textAlignment w:val="auto"/>
        <w:rPr>
          <w:rFonts w:hint="eastAsia" w:ascii="宋体" w:hAnsi="宋体" w:eastAsia="宋体" w:cs="宋体"/>
          <w:color w:val="auto"/>
          <w:kern w:val="2"/>
          <w:sz w:val="24"/>
          <w:szCs w:val="24"/>
          <w:highlight w:val="none"/>
          <w:shd w:val="clear" w:color="auto" w:fill="auto"/>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kern w:val="2"/>
          <w:sz w:val="24"/>
          <w:szCs w:val="24"/>
          <w:highlight w:val="none"/>
          <w:shd w:val="clear" w:color="auto" w:fill="auto"/>
          <w:lang w:val="en-US" w:eastAsia="zh-CN"/>
        </w:rPr>
        <w:t>业绩数量按1份计算，若递交多份业绩，则按单项分值最高的计取业绩得分，本项最高得10分；</w:t>
      </w:r>
    </w:p>
    <w:p w14:paraId="7FC11DA0">
      <w:pPr>
        <w:keepNext w:val="0"/>
        <w:keepLines w:val="0"/>
        <w:pageBreakBefore w:val="0"/>
        <w:widowControl/>
        <w:kinsoku/>
        <w:wordWrap/>
        <w:overflowPunct/>
        <w:topLinePunct w:val="0"/>
        <w:autoSpaceDE/>
        <w:autoSpaceDN/>
        <w:bidi w:val="0"/>
        <w:adjustRightInd/>
        <w:snapToGrid/>
        <w:spacing w:line="360" w:lineRule="auto"/>
        <w:ind w:right="-1" w:firstLine="480" w:firstLineChars="200"/>
        <w:jc w:val="left"/>
        <w:textAlignment w:val="auto"/>
        <w:rPr>
          <w:rFonts w:hint="eastAsia" w:ascii="宋体" w:hAnsi="宋体" w:eastAsia="宋体" w:cs="宋体"/>
          <w:color w:val="auto"/>
          <w:kern w:val="2"/>
          <w:sz w:val="24"/>
          <w:szCs w:val="24"/>
          <w:highlight w:val="none"/>
          <w:shd w:val="clear" w:color="auto" w:fill="auto"/>
          <w:lang w:val="zh-CN"/>
        </w:rPr>
      </w:pPr>
      <w:r>
        <w:rPr>
          <w:rFonts w:hint="eastAsia" w:ascii="宋体" w:hAnsi="宋体" w:eastAsia="宋体" w:cs="宋体"/>
          <w:color w:val="auto"/>
          <w:kern w:val="2"/>
          <w:sz w:val="24"/>
          <w:szCs w:val="24"/>
          <w:highlight w:val="none"/>
          <w:shd w:val="clear"/>
          <w:lang w:val="en-US" w:eastAsia="zh-CN"/>
        </w:rPr>
        <w:t>2.</w:t>
      </w:r>
      <w:r>
        <w:rPr>
          <w:rFonts w:hint="eastAsia" w:ascii="宋体" w:hAnsi="宋体" w:eastAsia="宋体" w:cs="宋体"/>
          <w:color w:val="auto"/>
          <w:kern w:val="2"/>
          <w:sz w:val="24"/>
          <w:szCs w:val="24"/>
          <w:highlight w:val="none"/>
          <w:shd w:val="clear" w:color="auto" w:fill="auto"/>
          <w:lang w:val="zh-CN"/>
        </w:rPr>
        <w:t>基于大模型的业绩是指包含模型训练</w:t>
      </w:r>
      <w:r>
        <w:rPr>
          <w:rFonts w:hint="eastAsia" w:ascii="宋体" w:hAnsi="宋体" w:eastAsia="宋体" w:cs="宋体"/>
          <w:color w:val="auto"/>
          <w:kern w:val="2"/>
          <w:sz w:val="24"/>
          <w:szCs w:val="24"/>
          <w:highlight w:val="none"/>
          <w:shd w:val="clear" w:color="auto" w:fill="auto"/>
          <w:lang w:val="en-US" w:eastAsia="zh-CN"/>
        </w:rPr>
        <w:t>或大模型平台</w:t>
      </w:r>
      <w:r>
        <w:rPr>
          <w:rFonts w:hint="eastAsia" w:ascii="宋体" w:hAnsi="宋体" w:eastAsia="宋体" w:cs="宋体"/>
          <w:color w:val="auto"/>
          <w:kern w:val="2"/>
          <w:sz w:val="24"/>
          <w:szCs w:val="24"/>
          <w:highlight w:val="none"/>
          <w:shd w:val="clear" w:color="auto" w:fill="auto"/>
          <w:lang w:val="zh-CN"/>
        </w:rPr>
        <w:t>或大模型加工或大模型应用开发或大模型应用服务内容的项目；</w:t>
      </w:r>
    </w:p>
    <w:p w14:paraId="1B530D4A">
      <w:pPr>
        <w:widowControl/>
        <w:spacing w:line="360" w:lineRule="auto"/>
        <w:ind w:right="-1" w:firstLine="480" w:firstLineChars="200"/>
        <w:jc w:val="left"/>
        <w:rPr>
          <w:rFonts w:hint="eastAsia" w:ascii="宋体" w:hAnsi="宋体" w:eastAsia="宋体" w:cs="宋体"/>
          <w:color w:val="auto"/>
          <w:kern w:val="2"/>
          <w:sz w:val="24"/>
          <w:szCs w:val="24"/>
          <w:highlight w:val="none"/>
          <w:shd w:val="clear" w:color="auto" w:fill="auto"/>
          <w:lang w:val="zh-CN"/>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shd w:val="clear" w:color="auto" w:fill="auto"/>
          <w:lang w:val="zh-CN"/>
        </w:rPr>
        <w:t>基于智能化应用的相关项目建设业绩指在智慧城市、智慧水务、智能工业制造、智能交通等多个行业实现有效应用和价值创造的智慧信息化项目。</w:t>
      </w:r>
    </w:p>
    <w:p w14:paraId="627505FC">
      <w:pPr>
        <w:widowControl/>
        <w:spacing w:line="360" w:lineRule="auto"/>
        <w:ind w:right="-1" w:firstLine="480" w:firstLineChars="200"/>
        <w:jc w:val="left"/>
        <w:rPr>
          <w:rFonts w:hint="eastAsia" w:ascii="宋体" w:hAnsi="宋体" w:eastAsia="宋体" w:cs="宋体"/>
          <w:color w:val="auto"/>
          <w:kern w:val="2"/>
          <w:sz w:val="24"/>
          <w:szCs w:val="24"/>
          <w:highlight w:val="none"/>
          <w:shd w:val="clear" w:color="auto" w:fill="auto"/>
          <w:lang w:val="zh-CN"/>
        </w:rPr>
      </w:pPr>
      <w:r>
        <w:rPr>
          <w:rFonts w:hint="eastAsia" w:ascii="宋体" w:hAnsi="宋体" w:eastAsia="宋体" w:cs="宋体"/>
          <w:color w:val="auto"/>
          <w:kern w:val="2"/>
          <w:sz w:val="24"/>
          <w:szCs w:val="24"/>
          <w:highlight w:val="none"/>
          <w:shd w:val="clear"/>
          <w:lang w:val="en-US" w:eastAsia="zh-CN"/>
        </w:rPr>
        <w:t>4.</w:t>
      </w:r>
      <w:r>
        <w:rPr>
          <w:rFonts w:hint="eastAsia" w:ascii="宋体" w:hAnsi="宋体" w:eastAsia="宋体" w:cs="宋体"/>
          <w:color w:val="auto"/>
          <w:kern w:val="2"/>
          <w:sz w:val="24"/>
          <w:szCs w:val="24"/>
          <w:highlight w:val="none"/>
          <w:shd w:val="clear" w:color="auto" w:fill="auto"/>
          <w:lang w:val="zh-CN"/>
        </w:rPr>
        <w:t>本项目的业绩时间以项目</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验收报告或相关项目验收证明文件</w:t>
      </w:r>
      <w:r>
        <w:rPr>
          <w:rFonts w:hint="eastAsia" w:ascii="宋体" w:hAnsi="宋体" w:eastAsia="宋体" w:cs="宋体"/>
          <w:color w:val="auto"/>
          <w:kern w:val="2"/>
          <w:sz w:val="24"/>
          <w:szCs w:val="24"/>
          <w:highlight w:val="none"/>
          <w:shd w:val="clear" w:color="auto" w:fill="auto"/>
          <w:lang w:val="zh-CN"/>
        </w:rPr>
        <w:t>时间为准；</w:t>
      </w:r>
    </w:p>
    <w:p w14:paraId="330708EC">
      <w:pPr>
        <w:widowControl/>
        <w:shd w:val="clear" w:color="auto" w:fill="auto"/>
        <w:adjustRightInd/>
        <w:spacing w:line="360" w:lineRule="auto"/>
        <w:ind w:right="-1"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kern w:val="2"/>
          <w:sz w:val="24"/>
          <w:szCs w:val="24"/>
          <w:highlight w:val="none"/>
          <w:shd w:val="clear"/>
          <w:lang w:val="en-US" w:eastAsia="zh-CN"/>
        </w:rPr>
        <w:t>5.</w:t>
      </w:r>
      <w:r>
        <w:rPr>
          <w:rFonts w:hint="eastAsia" w:ascii="宋体" w:hAnsi="宋体" w:eastAsia="宋体" w:cs="宋体"/>
          <w:color w:val="auto"/>
          <w:kern w:val="2"/>
          <w:sz w:val="24"/>
          <w:szCs w:val="24"/>
          <w:highlight w:val="none"/>
          <w:shd w:val="clear" w:color="auto" w:fill="auto"/>
          <w:lang w:val="zh-CN"/>
        </w:rPr>
        <w:t>业绩证</w:t>
      </w:r>
      <w:r>
        <w:rPr>
          <w:rFonts w:hint="eastAsia" w:ascii="宋体" w:hAnsi="宋体" w:eastAsia="宋体" w:cs="宋体"/>
          <w:color w:val="auto"/>
          <w:kern w:val="2"/>
          <w:sz w:val="24"/>
          <w:szCs w:val="24"/>
          <w:highlight w:val="none"/>
          <w:shd w:val="clear" w:color="auto" w:fill="auto"/>
          <w:lang w:val="zh-CN" w:eastAsia="zh-CN"/>
        </w:rPr>
        <w:t>明需提供项目合同原件扫描件和验收报告等，如以上资料不能证明业绩、规模的，须另提供可证明的其他资料。</w:t>
      </w:r>
    </w:p>
    <w:p w14:paraId="5D701DD4">
      <w:pPr>
        <w:pStyle w:val="12"/>
        <w:spacing w:beforeLines="0" w:afterLines="0" w:line="360" w:lineRule="auto"/>
        <w:ind w:firstLine="480" w:firstLineChars="200"/>
        <w:rPr>
          <w:rFonts w:hint="eastAsia" w:ascii="宋体" w:hAnsi="宋体" w:eastAsia="宋体" w:cs="宋体"/>
          <w:color w:val="auto"/>
          <w:sz w:val="24"/>
          <w:szCs w:val="24"/>
          <w:highlight w:val="none"/>
          <w:lang w:val="en-US" w:eastAsia="zh-CN"/>
        </w:rPr>
      </w:pPr>
    </w:p>
    <w:p w14:paraId="78326E2F">
      <w:pPr>
        <w:shd w:val="clear" w:color="auto" w:fill="auto"/>
        <w:adjustRightInd w:val="0"/>
        <w:spacing w:line="360" w:lineRule="auto"/>
        <w:ind w:firstLine="0" w:firstLineChars="0"/>
        <w:rPr>
          <w:rFonts w:hint="eastAsia" w:ascii="宋体" w:hAnsi="宋体" w:eastAsia="宋体" w:cs="宋体"/>
          <w:color w:val="auto"/>
          <w:sz w:val="24"/>
          <w:szCs w:val="24"/>
          <w:highlight w:val="none"/>
        </w:rPr>
      </w:pPr>
    </w:p>
    <w:p w14:paraId="6EE9ACD1">
      <w:pPr>
        <w:shd w:val="clear" w:color="auto" w:fill="auto"/>
        <w:adjustRightInd w:val="0"/>
        <w:spacing w:line="360" w:lineRule="auto"/>
        <w:ind w:firstLine="0" w:firstLineChars="0"/>
        <w:rPr>
          <w:rFonts w:hint="eastAsia" w:ascii="宋体" w:hAnsi="宋体" w:eastAsia="宋体" w:cs="宋体"/>
          <w:color w:val="auto"/>
          <w:sz w:val="24"/>
          <w:szCs w:val="24"/>
          <w:highlight w:val="none"/>
        </w:rPr>
      </w:pPr>
    </w:p>
    <w:p w14:paraId="64194E61">
      <w:pPr>
        <w:shd w:val="clear" w:color="auto" w:fill="auto"/>
        <w:adjustRightInd w:val="0"/>
        <w:spacing w:line="360" w:lineRule="auto"/>
        <w:ind w:firstLine="540" w:firstLineChars="225"/>
        <w:jc w:val="right"/>
        <w:rPr>
          <w:rFonts w:hint="eastAsia" w:ascii="宋体" w:hAnsi="宋体" w:eastAsia="宋体" w:cs="宋体"/>
          <w:color w:val="auto"/>
          <w:sz w:val="24"/>
          <w:szCs w:val="24"/>
          <w:highlight w:val="none"/>
        </w:rPr>
      </w:pPr>
    </w:p>
    <w:p w14:paraId="0FF64DC5">
      <w:pPr>
        <w:shd w:val="clear" w:color="auto" w:fill="auto"/>
        <w:adjustRightInd w:val="0"/>
        <w:spacing w:line="360" w:lineRule="auto"/>
        <w:ind w:firstLine="540" w:firstLineChars="225"/>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2C591B95">
      <w:pPr>
        <w:pStyle w:val="2"/>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0D19D73">
      <w:pPr>
        <w:spacing w:line="360" w:lineRule="auto"/>
        <w:ind w:firstLine="1928" w:firstLineChars="600"/>
        <w:jc w:val="both"/>
        <w:rPr>
          <w:rFonts w:hint="eastAsia" w:ascii="宋体" w:hAnsi="宋体" w:eastAsia="宋体" w:cs="宋体"/>
          <w:b/>
          <w:bCs w:val="0"/>
          <w:color w:val="auto"/>
          <w:kern w:val="2"/>
          <w:sz w:val="32"/>
          <w:szCs w:val="32"/>
          <w:highlight w:val="none"/>
        </w:rPr>
      </w:pPr>
    </w:p>
    <w:p w14:paraId="2FDD41C3">
      <w:pPr>
        <w:spacing w:line="360" w:lineRule="auto"/>
        <w:ind w:firstLine="1928" w:firstLineChars="600"/>
        <w:jc w:val="both"/>
        <w:rPr>
          <w:rFonts w:hint="eastAsia" w:ascii="宋体" w:hAnsi="宋体" w:eastAsia="宋体" w:cs="宋体"/>
          <w:b/>
          <w:bCs w:val="0"/>
          <w:color w:val="auto"/>
          <w:kern w:val="2"/>
          <w:sz w:val="32"/>
          <w:szCs w:val="32"/>
          <w:highlight w:val="none"/>
        </w:rPr>
      </w:pPr>
    </w:p>
    <w:p w14:paraId="59C36CB3">
      <w:pPr>
        <w:spacing w:line="360" w:lineRule="auto"/>
        <w:ind w:firstLine="1928" w:firstLineChars="600"/>
        <w:jc w:val="both"/>
        <w:rPr>
          <w:rFonts w:hint="eastAsia" w:ascii="宋体" w:hAnsi="宋体" w:eastAsia="宋体" w:cs="宋体"/>
          <w:b/>
          <w:bCs w:val="0"/>
          <w:color w:val="auto"/>
          <w:kern w:val="2"/>
          <w:sz w:val="32"/>
          <w:szCs w:val="32"/>
          <w:highlight w:val="none"/>
        </w:rPr>
      </w:pPr>
      <w:r>
        <w:rPr>
          <w:rFonts w:hint="eastAsia" w:ascii="宋体" w:hAnsi="宋体" w:eastAsia="宋体" w:cs="宋体"/>
          <w:b/>
          <w:bCs w:val="0"/>
          <w:color w:val="auto"/>
          <w:kern w:val="2"/>
          <w:sz w:val="32"/>
          <w:szCs w:val="32"/>
          <w:highlight w:val="none"/>
        </w:rPr>
        <w:t>3.</w:t>
      </w:r>
      <w:r>
        <w:rPr>
          <w:rFonts w:hint="eastAsia" w:ascii="宋体" w:hAnsi="宋体" w:cs="宋体"/>
          <w:b/>
          <w:bCs w:val="0"/>
          <w:color w:val="auto"/>
          <w:kern w:val="2"/>
          <w:sz w:val="32"/>
          <w:szCs w:val="32"/>
          <w:highlight w:val="none"/>
          <w:lang w:val="en-US" w:eastAsia="zh-CN"/>
        </w:rPr>
        <w:t>9</w:t>
      </w:r>
      <w:r>
        <w:rPr>
          <w:rFonts w:hint="eastAsia" w:ascii="宋体" w:hAnsi="宋体" w:eastAsia="宋体" w:cs="宋体"/>
          <w:b/>
          <w:bCs w:val="0"/>
          <w:color w:val="auto"/>
          <w:kern w:val="2"/>
          <w:sz w:val="32"/>
          <w:szCs w:val="32"/>
          <w:highlight w:val="none"/>
        </w:rPr>
        <w:t xml:space="preserve"> 对合同条款响应的承诺书</w:t>
      </w:r>
    </w:p>
    <w:p w14:paraId="0737450E">
      <w:pPr>
        <w:spacing w:line="360" w:lineRule="auto"/>
        <w:rPr>
          <w:rFonts w:hint="eastAsia" w:ascii="宋体" w:hAnsi="宋体" w:eastAsia="宋体" w:cs="宋体"/>
          <w:color w:val="auto"/>
          <w:sz w:val="24"/>
          <w:szCs w:val="24"/>
          <w:highlight w:val="none"/>
        </w:rPr>
      </w:pPr>
    </w:p>
    <w:p w14:paraId="0796A64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广州市自来水有限公司： </w:t>
      </w:r>
    </w:p>
    <w:p w14:paraId="32D070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司已充分阅读招标文件合同条款的所有内容，我司保证完全响应贵司提出的合同条款，如若中标，将按招标文件和投标文件与你司签订合同，否则，同意被视为放弃中标，贵方不退还我司提交的投标保证金，并由我司承担相应的法律责任。</w:t>
      </w:r>
    </w:p>
    <w:p w14:paraId="0FB1D11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6EF3DBA5">
      <w:pPr>
        <w:spacing w:line="360" w:lineRule="auto"/>
        <w:ind w:firstLine="4920" w:firstLineChars="2050"/>
        <w:rPr>
          <w:rFonts w:hint="eastAsia" w:ascii="宋体" w:hAnsi="宋体" w:eastAsia="宋体" w:cs="宋体"/>
          <w:color w:val="auto"/>
          <w:sz w:val="24"/>
          <w:szCs w:val="24"/>
          <w:highlight w:val="none"/>
        </w:rPr>
      </w:pPr>
    </w:p>
    <w:p w14:paraId="2F9977DB">
      <w:pPr>
        <w:pStyle w:val="5"/>
        <w:spacing w:line="360" w:lineRule="auto"/>
        <w:rPr>
          <w:rFonts w:hint="eastAsia" w:ascii="宋体" w:hAnsi="宋体" w:eastAsia="宋体" w:cs="宋体"/>
          <w:color w:val="auto"/>
          <w:sz w:val="24"/>
          <w:szCs w:val="24"/>
          <w:highlight w:val="none"/>
        </w:rPr>
      </w:pPr>
    </w:p>
    <w:p w14:paraId="5DAA028A">
      <w:pPr>
        <w:pStyle w:val="5"/>
        <w:spacing w:line="360" w:lineRule="auto"/>
        <w:rPr>
          <w:rFonts w:hint="eastAsia" w:ascii="宋体" w:hAnsi="宋体" w:eastAsia="宋体" w:cs="宋体"/>
          <w:color w:val="auto"/>
          <w:sz w:val="24"/>
          <w:szCs w:val="24"/>
          <w:highlight w:val="none"/>
        </w:rPr>
      </w:pPr>
    </w:p>
    <w:p w14:paraId="006E996F">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04C85D4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 xml:space="preserve">                                                   日      期：</w:t>
      </w:r>
    </w:p>
    <w:p w14:paraId="1E6F8C1A">
      <w:pPr>
        <w:spacing w:line="360" w:lineRule="auto"/>
        <w:rPr>
          <w:rFonts w:hint="eastAsia" w:ascii="宋体" w:hAnsi="宋体" w:eastAsia="宋体" w:cs="宋体"/>
          <w:color w:val="auto"/>
          <w:szCs w:val="21"/>
          <w:highlight w:val="none"/>
          <w:u w:val="single"/>
        </w:rPr>
      </w:pPr>
    </w:p>
    <w:p w14:paraId="40CBB9F0">
      <w:pPr>
        <w:spacing w:line="360" w:lineRule="auto"/>
        <w:rPr>
          <w:rFonts w:hint="eastAsia" w:ascii="宋体" w:hAnsi="宋体" w:eastAsia="宋体" w:cs="宋体"/>
          <w:color w:val="auto"/>
          <w:szCs w:val="21"/>
          <w:highlight w:val="none"/>
          <w:u w:val="single"/>
        </w:rPr>
      </w:pPr>
    </w:p>
    <w:p w14:paraId="6C773FBF">
      <w:pPr>
        <w:spacing w:line="360" w:lineRule="auto"/>
        <w:rPr>
          <w:rFonts w:hint="eastAsia" w:ascii="宋体" w:hAnsi="宋体" w:eastAsia="宋体" w:cs="宋体"/>
          <w:color w:val="auto"/>
          <w:szCs w:val="21"/>
          <w:highlight w:val="none"/>
          <w:u w:val="single"/>
        </w:rPr>
      </w:pPr>
    </w:p>
    <w:p w14:paraId="02093530">
      <w:pPr>
        <w:spacing w:line="360" w:lineRule="auto"/>
        <w:ind w:firstLine="480" w:firstLineChars="200"/>
        <w:jc w:val="right"/>
        <w:rPr>
          <w:rFonts w:hint="eastAsia" w:ascii="宋体" w:hAnsi="宋体" w:eastAsia="宋体" w:cs="宋体"/>
          <w:color w:val="auto"/>
          <w:sz w:val="24"/>
          <w:szCs w:val="24"/>
          <w:highlight w:val="none"/>
        </w:rPr>
      </w:pPr>
    </w:p>
    <w:p w14:paraId="73FF5E93">
      <w:pPr>
        <w:spacing w:line="360" w:lineRule="auto"/>
        <w:rPr>
          <w:rFonts w:hint="eastAsia" w:ascii="宋体" w:hAnsi="宋体" w:eastAsia="宋体" w:cs="宋体"/>
          <w:b/>
          <w:color w:val="auto"/>
          <w:sz w:val="24"/>
          <w:szCs w:val="24"/>
          <w:highlight w:val="none"/>
        </w:rPr>
      </w:pPr>
    </w:p>
    <w:p w14:paraId="5F32F42C">
      <w:pPr>
        <w:pStyle w:val="5"/>
        <w:spacing w:line="360" w:lineRule="auto"/>
        <w:rPr>
          <w:rFonts w:hint="eastAsia" w:ascii="宋体" w:hAnsi="宋体" w:eastAsia="宋体" w:cs="宋体"/>
          <w:b/>
          <w:color w:val="auto"/>
          <w:sz w:val="24"/>
          <w:szCs w:val="24"/>
          <w:highlight w:val="none"/>
        </w:rPr>
      </w:pPr>
    </w:p>
    <w:p w14:paraId="0EE5962A">
      <w:pPr>
        <w:spacing w:line="360" w:lineRule="auto"/>
        <w:ind w:right="50" w:rightChars="24"/>
        <w:jc w:val="center"/>
        <w:rPr>
          <w:rFonts w:hint="eastAsia" w:ascii="宋体" w:hAnsi="宋体" w:eastAsia="宋体" w:cs="宋体"/>
          <w:b/>
          <w:bCs/>
          <w:color w:val="auto"/>
          <w:kern w:val="0"/>
          <w:sz w:val="32"/>
          <w:szCs w:val="32"/>
          <w:highlight w:val="none"/>
        </w:rPr>
      </w:pPr>
    </w:p>
    <w:p w14:paraId="77E4349F">
      <w:pPr>
        <w:spacing w:line="360" w:lineRule="auto"/>
        <w:ind w:right="50" w:rightChars="24"/>
        <w:jc w:val="center"/>
        <w:rPr>
          <w:rFonts w:hint="eastAsia" w:ascii="宋体" w:hAnsi="宋体" w:eastAsia="宋体" w:cs="宋体"/>
          <w:b/>
          <w:bCs/>
          <w:color w:val="auto"/>
          <w:kern w:val="0"/>
          <w:sz w:val="32"/>
          <w:szCs w:val="32"/>
          <w:highlight w:val="none"/>
        </w:rPr>
      </w:pPr>
    </w:p>
    <w:p w14:paraId="128E8D93">
      <w:pPr>
        <w:spacing w:line="360" w:lineRule="auto"/>
        <w:ind w:right="50" w:rightChars="24"/>
        <w:jc w:val="center"/>
        <w:rPr>
          <w:rFonts w:hint="eastAsia" w:ascii="宋体" w:hAnsi="宋体" w:eastAsia="宋体" w:cs="宋体"/>
          <w:b/>
          <w:bCs/>
          <w:color w:val="auto"/>
          <w:kern w:val="0"/>
          <w:sz w:val="32"/>
          <w:szCs w:val="32"/>
          <w:highlight w:val="none"/>
        </w:rPr>
      </w:pPr>
    </w:p>
    <w:p w14:paraId="11834FB7">
      <w:pPr>
        <w:pStyle w:val="2"/>
        <w:rPr>
          <w:rFonts w:hint="eastAsia" w:ascii="宋体" w:hAnsi="宋体" w:eastAsia="宋体" w:cs="宋体"/>
          <w:b/>
          <w:bCs/>
          <w:color w:val="auto"/>
          <w:sz w:val="32"/>
          <w:szCs w:val="32"/>
          <w:highlight w:val="none"/>
        </w:rPr>
      </w:pPr>
    </w:p>
    <w:p w14:paraId="1DD43255">
      <w:pPr>
        <w:pStyle w:val="2"/>
        <w:rPr>
          <w:rFonts w:hint="eastAsia" w:ascii="宋体" w:hAnsi="宋体" w:eastAsia="宋体" w:cs="宋体"/>
          <w:b/>
          <w:bCs/>
          <w:color w:val="auto"/>
          <w:sz w:val="32"/>
          <w:szCs w:val="32"/>
          <w:highlight w:val="none"/>
        </w:rPr>
      </w:pPr>
    </w:p>
    <w:p w14:paraId="40D9697A">
      <w:pPr>
        <w:spacing w:line="360" w:lineRule="auto"/>
        <w:ind w:right="50" w:rightChars="24"/>
        <w:jc w:val="both"/>
        <w:rPr>
          <w:rFonts w:hint="eastAsia" w:ascii="宋体" w:hAnsi="宋体" w:eastAsia="宋体" w:cs="宋体"/>
          <w:b/>
          <w:bCs/>
          <w:color w:val="auto"/>
          <w:kern w:val="0"/>
          <w:sz w:val="32"/>
          <w:szCs w:val="32"/>
          <w:highlight w:val="none"/>
        </w:rPr>
      </w:pPr>
    </w:p>
    <w:p w14:paraId="373DA356">
      <w:pPr>
        <w:pStyle w:val="9"/>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bCs/>
          <w:color w:val="auto"/>
          <w:kern w:val="0"/>
          <w:sz w:val="32"/>
          <w:szCs w:val="32"/>
          <w:highlight w:val="none"/>
        </w:rPr>
        <w:t>3.</w:t>
      </w:r>
      <w:r>
        <w:rPr>
          <w:rFonts w:hint="eastAsia" w:ascii="宋体" w:hAnsi="宋体" w:eastAsia="宋体" w:cs="宋体"/>
          <w:b/>
          <w:bCs/>
          <w:color w:val="auto"/>
          <w:kern w:val="0"/>
          <w:sz w:val="32"/>
          <w:szCs w:val="32"/>
          <w:highlight w:val="none"/>
          <w:lang w:val="en-US" w:eastAsia="zh-CN"/>
        </w:rPr>
        <w:t>10</w:t>
      </w:r>
      <w:r>
        <w:rPr>
          <w:rFonts w:hint="eastAsia" w:ascii="宋体" w:hAnsi="宋体" w:eastAsia="宋体" w:cs="宋体"/>
          <w:b/>
          <w:bCs/>
          <w:color w:val="auto"/>
          <w:kern w:val="0"/>
          <w:sz w:val="32"/>
          <w:szCs w:val="32"/>
          <w:highlight w:val="none"/>
        </w:rPr>
        <w:t xml:space="preserve"> 违约解除合同</w:t>
      </w:r>
      <w:r>
        <w:rPr>
          <w:rFonts w:hint="eastAsia" w:ascii="宋体" w:hAnsi="宋体" w:eastAsia="宋体" w:cs="宋体"/>
          <w:b/>
          <w:bCs w:val="0"/>
          <w:color w:val="auto"/>
          <w:kern w:val="2"/>
          <w:sz w:val="32"/>
          <w:szCs w:val="32"/>
          <w:highlight w:val="none"/>
        </w:rPr>
        <w:t>承诺书</w:t>
      </w:r>
    </w:p>
    <w:p w14:paraId="0CAE3FC6">
      <w:pPr>
        <w:pStyle w:val="12"/>
        <w:tabs>
          <w:tab w:val="left" w:pos="0"/>
        </w:tabs>
        <w:spacing w:line="360" w:lineRule="auto"/>
        <w:ind w:left="473" w:leftChars="225" w:right="-80" w:rightChars="-38" w:firstLine="74" w:firstLineChars="31"/>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rPr>
        <w:t>广州市自来水有限公司：</w:t>
      </w:r>
    </w:p>
    <w:p w14:paraId="01F1AAB2">
      <w:pPr>
        <w:pStyle w:val="12"/>
        <w:tabs>
          <w:tab w:val="left" w:pos="0"/>
        </w:tabs>
        <w:spacing w:line="360" w:lineRule="auto"/>
        <w:ind w:left="473" w:leftChars="225" w:right="-80" w:rightChars="-38"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招标人或评标委员会在任何时候发现我方有违反以下约定的，招标人或评标委员会有权否决我方的投标，并有权取消我方投标资格并不退还投标保证金；已中标签订合同的，招标人有权终止合同，我方无条件接受违约处罚并承担法律责任：</w:t>
      </w:r>
    </w:p>
    <w:p w14:paraId="6B45E54F">
      <w:pPr>
        <w:numPr>
          <w:ilvl w:val="0"/>
          <w:numId w:val="13"/>
        </w:numPr>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我方有挂靠或转包的行为，招标人或评标委员会在任何时候发现我方是挂靠或转包的；</w:t>
      </w:r>
    </w:p>
    <w:p w14:paraId="658D45DC">
      <w:pPr>
        <w:numPr>
          <w:ilvl w:val="0"/>
          <w:numId w:val="13"/>
        </w:numPr>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我方提交的投标文件有虚假和隐瞒，招标人或评标委员会在任何时候发现我方投标文件有虚假和隐瞒的；</w:t>
      </w:r>
    </w:p>
    <w:p w14:paraId="2B1EF333">
      <w:pPr>
        <w:numPr>
          <w:ilvl w:val="0"/>
          <w:numId w:val="13"/>
        </w:numPr>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发放前或在签订合同前或签订合同后的任何时候，招标人有权到我方进行考察，对我方投标文件描述内容的真实性进行查实，如发现实际情况与投标文件不符，我方在招标过程有弄虚作假行为、虚报资料情况，招标人可上报上级建设行政主管部门同意后取消我方中标人资格(如果已经签订合同的，我方同意无条件解除合同)，并保留追究我方法律责任的权力，我方对此无任何异议。</w:t>
      </w:r>
    </w:p>
    <w:p w14:paraId="02C01A65">
      <w:pPr>
        <w:spacing w:line="360" w:lineRule="auto"/>
        <w:ind w:firstLine="420"/>
        <w:rPr>
          <w:rFonts w:hint="eastAsia" w:ascii="宋体" w:hAnsi="宋体" w:eastAsia="宋体" w:cs="宋体"/>
          <w:b/>
          <w:color w:val="auto"/>
          <w:spacing w:val="4"/>
          <w:sz w:val="24"/>
          <w:szCs w:val="24"/>
          <w:highlight w:val="none"/>
        </w:rPr>
      </w:pPr>
    </w:p>
    <w:p w14:paraId="1D7593ED">
      <w:pPr>
        <w:spacing w:line="360" w:lineRule="auto"/>
        <w:ind w:firstLine="420"/>
        <w:rPr>
          <w:rFonts w:hint="eastAsia" w:ascii="宋体" w:hAnsi="宋体" w:eastAsia="宋体" w:cs="宋体"/>
          <w:b/>
          <w:color w:val="auto"/>
          <w:spacing w:val="4"/>
          <w:sz w:val="24"/>
          <w:szCs w:val="24"/>
          <w:highlight w:val="none"/>
        </w:rPr>
      </w:pPr>
    </w:p>
    <w:p w14:paraId="106539E0">
      <w:pPr>
        <w:spacing w:line="360" w:lineRule="auto"/>
        <w:ind w:firstLine="420"/>
        <w:rPr>
          <w:rFonts w:hint="eastAsia" w:ascii="宋体" w:hAnsi="宋体" w:eastAsia="宋体" w:cs="宋体"/>
          <w:b/>
          <w:color w:val="auto"/>
          <w:spacing w:val="4"/>
          <w:sz w:val="24"/>
          <w:szCs w:val="24"/>
          <w:highlight w:val="none"/>
        </w:rPr>
      </w:pPr>
    </w:p>
    <w:p w14:paraId="68E7B682">
      <w:pPr>
        <w:spacing w:line="360" w:lineRule="auto"/>
        <w:ind w:firstLine="420"/>
        <w:rPr>
          <w:rFonts w:hint="eastAsia" w:ascii="宋体" w:hAnsi="宋体" w:eastAsia="宋体" w:cs="宋体"/>
          <w:b/>
          <w:color w:val="auto"/>
          <w:spacing w:val="4"/>
          <w:sz w:val="24"/>
          <w:szCs w:val="24"/>
          <w:highlight w:val="none"/>
        </w:rPr>
      </w:pPr>
    </w:p>
    <w:p w14:paraId="5E16563E">
      <w:pPr>
        <w:pStyle w:val="12"/>
        <w:tabs>
          <w:tab w:val="left" w:pos="3960"/>
        </w:tabs>
        <w:spacing w:before="6" w:line="400" w:lineRule="exact"/>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投标人（公章）：</w:t>
      </w:r>
    </w:p>
    <w:p w14:paraId="74F9967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 xml:space="preserve">                                                   日      期：</w:t>
      </w:r>
    </w:p>
    <w:p w14:paraId="7D23CCA3">
      <w:pPr>
        <w:spacing w:line="360" w:lineRule="auto"/>
        <w:rPr>
          <w:rFonts w:hint="eastAsia" w:ascii="宋体" w:hAnsi="宋体" w:eastAsia="宋体" w:cs="宋体"/>
          <w:color w:val="auto"/>
          <w:szCs w:val="21"/>
          <w:highlight w:val="none"/>
          <w:u w:val="single"/>
        </w:rPr>
      </w:pPr>
    </w:p>
    <w:p w14:paraId="715451A4">
      <w:pPr>
        <w:spacing w:line="360" w:lineRule="auto"/>
        <w:rPr>
          <w:rFonts w:hint="eastAsia" w:ascii="宋体" w:hAnsi="宋体" w:eastAsia="宋体" w:cs="宋体"/>
          <w:color w:val="auto"/>
          <w:szCs w:val="21"/>
          <w:highlight w:val="none"/>
          <w:u w:val="single"/>
        </w:rPr>
      </w:pPr>
    </w:p>
    <w:p w14:paraId="670569B1">
      <w:pPr>
        <w:spacing w:line="360" w:lineRule="auto"/>
        <w:rPr>
          <w:rFonts w:hint="eastAsia" w:ascii="宋体" w:hAnsi="宋体" w:eastAsia="宋体" w:cs="宋体"/>
          <w:color w:val="auto"/>
          <w:szCs w:val="21"/>
          <w:highlight w:val="none"/>
          <w:u w:val="single"/>
        </w:rPr>
      </w:pPr>
    </w:p>
    <w:p w14:paraId="3C805AB3">
      <w:pPr>
        <w:pStyle w:val="9"/>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bCs/>
          <w:color w:val="auto"/>
          <w:kern w:val="0"/>
          <w:sz w:val="32"/>
          <w:szCs w:val="32"/>
          <w:highlight w:val="none"/>
        </w:rPr>
        <w:br w:type="page"/>
      </w:r>
      <w:r>
        <w:rPr>
          <w:rFonts w:hint="eastAsia" w:ascii="宋体" w:hAnsi="宋体" w:eastAsia="宋体" w:cs="宋体"/>
          <w:b/>
          <w:color w:val="auto"/>
          <w:sz w:val="32"/>
          <w:szCs w:val="32"/>
          <w:highlight w:val="none"/>
        </w:rPr>
        <w:t>3.</w:t>
      </w:r>
      <w:r>
        <w:rPr>
          <w:rFonts w:hint="eastAsia" w:ascii="宋体" w:hAnsi="宋体" w:eastAsia="宋体" w:cs="宋体"/>
          <w:b/>
          <w:color w:val="auto"/>
          <w:sz w:val="32"/>
          <w:szCs w:val="32"/>
          <w:highlight w:val="none"/>
          <w:lang w:val="en-US" w:eastAsia="zh-CN"/>
        </w:rPr>
        <w:t>11</w:t>
      </w:r>
      <w:r>
        <w:rPr>
          <w:rFonts w:hint="eastAsia" w:ascii="宋体" w:hAnsi="宋体" w:eastAsia="宋体" w:cs="宋体"/>
          <w:b/>
          <w:color w:val="auto"/>
          <w:sz w:val="32"/>
          <w:szCs w:val="32"/>
          <w:highlight w:val="none"/>
        </w:rPr>
        <w:t>服务实施方案</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格式自拟</w:t>
      </w:r>
      <w:r>
        <w:rPr>
          <w:rFonts w:hint="eastAsia" w:ascii="宋体" w:hAnsi="宋体" w:eastAsia="宋体" w:cs="宋体"/>
          <w:b/>
          <w:color w:val="auto"/>
          <w:sz w:val="32"/>
          <w:szCs w:val="32"/>
          <w:highlight w:val="none"/>
          <w:lang w:eastAsia="zh-CN"/>
        </w:rPr>
        <w:t>）</w:t>
      </w:r>
    </w:p>
    <w:p w14:paraId="5E5E2717">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投标人应递交完整的实施方案，说明各分项计划，提交图表、文字说明书等资料，并涵盖如下内容：</w:t>
      </w:r>
    </w:p>
    <w:p w14:paraId="277B5C86">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服务工作目标；</w:t>
      </w:r>
    </w:p>
    <w:p w14:paraId="0EFE2E88">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提供机构设置方框图，如管理层的设置；主要管理人员的人数和职责等</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2D33EAF0">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项目管理制度； </w:t>
      </w:r>
    </w:p>
    <w:p w14:paraId="13F4CA7C">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项目服务质量目标</w:t>
      </w:r>
    </w:p>
    <w:p w14:paraId="59AA0C3A">
      <w:pPr>
        <w:numPr>
          <w:ilvl w:val="1"/>
          <w:numId w:val="14"/>
        </w:num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auto"/>
          <w:lang w:val="zh-CN" w:eastAsia="zh-CN"/>
        </w:rPr>
        <w:t>AI大模型</w:t>
      </w:r>
      <w:r>
        <w:rPr>
          <w:rFonts w:hint="eastAsia" w:ascii="宋体" w:hAnsi="宋体" w:eastAsia="宋体" w:cs="宋体"/>
          <w:color w:val="auto"/>
          <w:kern w:val="0"/>
          <w:sz w:val="24"/>
          <w:szCs w:val="24"/>
          <w:highlight w:val="none"/>
          <w:shd w:val="clear" w:color="auto" w:fill="auto"/>
          <w:lang w:val="en-US" w:eastAsia="zh-CN"/>
        </w:rPr>
        <w:t>开发</w:t>
      </w:r>
      <w:r>
        <w:rPr>
          <w:rFonts w:hint="eastAsia" w:ascii="宋体" w:hAnsi="宋体" w:eastAsia="宋体" w:cs="宋体"/>
          <w:color w:val="auto"/>
          <w:kern w:val="0"/>
          <w:sz w:val="24"/>
          <w:szCs w:val="24"/>
          <w:highlight w:val="none"/>
          <w:shd w:val="clear" w:color="auto" w:fill="auto"/>
          <w:lang w:val="zh-CN" w:eastAsia="zh-CN"/>
        </w:rPr>
        <w:t>方案</w:t>
      </w:r>
    </w:p>
    <w:p w14:paraId="5979F0F5">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务组织架构、岗位职责和实施方案</w:t>
      </w:r>
    </w:p>
    <w:p w14:paraId="185C208B">
      <w:pPr>
        <w:numPr>
          <w:ilvl w:val="1"/>
          <w:numId w:val="14"/>
        </w:num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售后服务与技术服务方案</w:t>
      </w:r>
    </w:p>
    <w:p w14:paraId="751476BF">
      <w:pPr>
        <w:numPr>
          <w:ilvl w:val="1"/>
          <w:numId w:val="14"/>
        </w:num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质量、进度、保密、应急处理等保证措施</w:t>
      </w:r>
    </w:p>
    <w:p w14:paraId="6702092A">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方案的制定应本着经验先行、创新思路、高效运作、合理配置、保障使用的原则，对本项目各管理服务，拟出一个详细、完整的方案及建议，做好人力投入的周密计划（投标人应根据自身实际情况，自拟格式）；</w:t>
      </w:r>
    </w:p>
    <w:p w14:paraId="59A349B3">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对各项服务指标的承诺；</w:t>
      </w:r>
    </w:p>
    <w:p w14:paraId="7ED557A7">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服务人员权益保障方案</w:t>
      </w:r>
    </w:p>
    <w:p w14:paraId="03BADE5B">
      <w:pPr>
        <w:numPr>
          <w:ilvl w:val="1"/>
          <w:numId w:val="14"/>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w:t>
      </w:r>
    </w:p>
    <w:p w14:paraId="0DDD7A71">
      <w:pPr>
        <w:spacing w:line="360" w:lineRule="auto"/>
        <w:rPr>
          <w:rFonts w:hint="eastAsia" w:ascii="宋体" w:hAnsi="宋体" w:eastAsia="宋体" w:cs="宋体"/>
          <w:color w:val="auto"/>
          <w:sz w:val="24"/>
          <w:szCs w:val="24"/>
          <w:highlight w:val="none"/>
        </w:rPr>
      </w:pPr>
    </w:p>
    <w:p w14:paraId="1EEEF152">
      <w:pPr>
        <w:spacing w:line="360" w:lineRule="auto"/>
        <w:rPr>
          <w:rFonts w:hint="eastAsia" w:ascii="宋体" w:hAnsi="宋体" w:eastAsia="宋体" w:cs="宋体"/>
          <w:color w:val="auto"/>
          <w:sz w:val="24"/>
          <w:szCs w:val="24"/>
          <w:highlight w:val="none"/>
        </w:rPr>
      </w:pPr>
    </w:p>
    <w:p w14:paraId="700211CE">
      <w:pPr>
        <w:spacing w:line="360" w:lineRule="auto"/>
        <w:rPr>
          <w:rFonts w:hint="eastAsia" w:ascii="宋体" w:hAnsi="宋体" w:eastAsia="宋体" w:cs="宋体"/>
          <w:color w:val="auto"/>
          <w:sz w:val="24"/>
          <w:szCs w:val="24"/>
          <w:highlight w:val="none"/>
        </w:rPr>
      </w:pPr>
    </w:p>
    <w:p w14:paraId="3FB1F30C">
      <w:pPr>
        <w:pStyle w:val="6"/>
        <w:rPr>
          <w:rFonts w:hint="eastAsia" w:ascii="宋体" w:hAnsi="宋体" w:eastAsia="宋体" w:cs="宋体"/>
          <w:color w:val="auto"/>
          <w:sz w:val="24"/>
          <w:szCs w:val="24"/>
          <w:highlight w:val="none"/>
        </w:rPr>
      </w:pPr>
    </w:p>
    <w:p w14:paraId="0B286759">
      <w:pPr>
        <w:rPr>
          <w:rFonts w:hint="eastAsia" w:ascii="宋体" w:hAnsi="宋体" w:eastAsia="宋体" w:cs="宋体"/>
          <w:color w:val="auto"/>
          <w:sz w:val="24"/>
          <w:szCs w:val="24"/>
          <w:highlight w:val="none"/>
        </w:rPr>
      </w:pPr>
    </w:p>
    <w:p w14:paraId="64A1AF05">
      <w:pPr>
        <w:pStyle w:val="6"/>
        <w:rPr>
          <w:rFonts w:hint="eastAsia" w:ascii="宋体" w:hAnsi="宋体" w:eastAsia="宋体" w:cs="宋体"/>
          <w:color w:val="auto"/>
          <w:sz w:val="24"/>
          <w:szCs w:val="24"/>
          <w:highlight w:val="none"/>
        </w:rPr>
      </w:pPr>
    </w:p>
    <w:p w14:paraId="1C93EE4F">
      <w:pPr>
        <w:rPr>
          <w:rFonts w:hint="eastAsia" w:ascii="宋体" w:hAnsi="宋体" w:eastAsia="宋体" w:cs="宋体"/>
          <w:color w:val="auto"/>
          <w:sz w:val="24"/>
          <w:szCs w:val="24"/>
          <w:highlight w:val="none"/>
        </w:rPr>
      </w:pPr>
    </w:p>
    <w:p w14:paraId="66E077E0">
      <w:pPr>
        <w:pStyle w:val="6"/>
        <w:rPr>
          <w:rFonts w:hint="eastAsia" w:ascii="宋体" w:hAnsi="宋体" w:eastAsia="宋体" w:cs="宋体"/>
          <w:color w:val="auto"/>
          <w:sz w:val="24"/>
          <w:szCs w:val="24"/>
          <w:highlight w:val="none"/>
        </w:rPr>
      </w:pPr>
    </w:p>
    <w:p w14:paraId="4E736644">
      <w:pPr>
        <w:rPr>
          <w:rFonts w:hint="eastAsia" w:ascii="宋体" w:hAnsi="宋体" w:eastAsia="宋体" w:cs="宋体"/>
          <w:color w:val="auto"/>
          <w:sz w:val="24"/>
          <w:szCs w:val="24"/>
          <w:highlight w:val="none"/>
        </w:rPr>
      </w:pPr>
    </w:p>
    <w:p w14:paraId="3979FC49">
      <w:pPr>
        <w:pStyle w:val="6"/>
        <w:rPr>
          <w:rFonts w:hint="eastAsia" w:ascii="宋体" w:hAnsi="宋体" w:eastAsia="宋体" w:cs="宋体"/>
          <w:color w:val="auto"/>
          <w:sz w:val="24"/>
          <w:szCs w:val="24"/>
          <w:highlight w:val="none"/>
        </w:rPr>
      </w:pPr>
    </w:p>
    <w:p w14:paraId="523935E2">
      <w:pPr>
        <w:pStyle w:val="9"/>
        <w:spacing w:line="360" w:lineRule="auto"/>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3.1</w:t>
      </w:r>
      <w:r>
        <w:rPr>
          <w:rFonts w:hint="eastAsia" w:ascii="宋体" w:hAnsi="宋体" w:eastAsia="宋体" w:cs="宋体"/>
          <w:b/>
          <w:bCs/>
          <w:color w:val="auto"/>
          <w:kern w:val="0"/>
          <w:sz w:val="32"/>
          <w:szCs w:val="32"/>
          <w:highlight w:val="none"/>
          <w:lang w:val="en-US" w:eastAsia="zh-CN"/>
        </w:rPr>
        <w:t>2</w:t>
      </w:r>
      <w:r>
        <w:rPr>
          <w:rFonts w:hint="eastAsia" w:ascii="宋体" w:hAnsi="宋体" w:eastAsia="宋体" w:cs="宋体"/>
          <w:b/>
          <w:bCs/>
          <w:color w:val="auto"/>
          <w:kern w:val="0"/>
          <w:sz w:val="32"/>
          <w:szCs w:val="32"/>
          <w:highlight w:val="none"/>
        </w:rPr>
        <w:t xml:space="preserve"> 投标人认为有必要提供的</w:t>
      </w:r>
      <w:r>
        <w:rPr>
          <w:rFonts w:hint="eastAsia" w:ascii="宋体" w:hAnsi="宋体" w:eastAsia="宋体" w:cs="宋体"/>
          <w:b/>
          <w:color w:val="auto"/>
          <w:sz w:val="32"/>
          <w:szCs w:val="32"/>
          <w:highlight w:val="none"/>
        </w:rPr>
        <w:t>其他</w:t>
      </w:r>
      <w:r>
        <w:rPr>
          <w:rFonts w:hint="eastAsia" w:ascii="宋体" w:hAnsi="宋体" w:eastAsia="宋体" w:cs="宋体"/>
          <w:b/>
          <w:bCs/>
          <w:color w:val="auto"/>
          <w:kern w:val="0"/>
          <w:sz w:val="32"/>
          <w:szCs w:val="32"/>
          <w:highlight w:val="none"/>
        </w:rPr>
        <w:t>资料</w:t>
      </w:r>
    </w:p>
    <w:p w14:paraId="7F4BFEAB">
      <w:pPr>
        <w:keepNext/>
        <w:keepLines/>
        <w:spacing w:before="260" w:after="260" w:line="360" w:lineRule="auto"/>
        <w:ind w:left="420"/>
        <w:outlineLvl w:val="9"/>
        <w:rPr>
          <w:rFonts w:hint="eastAsia" w:ascii="宋体" w:hAnsi="宋体" w:eastAsia="宋体" w:cs="宋体"/>
          <w:bCs/>
          <w:color w:val="auto"/>
          <w:sz w:val="24"/>
          <w:szCs w:val="24"/>
          <w:highlight w:val="none"/>
        </w:rPr>
      </w:pPr>
    </w:p>
    <w:p w14:paraId="0F89B6A7">
      <w:pPr>
        <w:numPr>
          <w:ilvl w:val="0"/>
          <w:numId w:val="15"/>
        </w:num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投标人认为需要加以说明的其他内容。</w:t>
      </w:r>
    </w:p>
    <w:p w14:paraId="1ECD3D27">
      <w:pPr>
        <w:pStyle w:val="5"/>
        <w:spacing w:line="360" w:lineRule="auto"/>
        <w:rPr>
          <w:rFonts w:hint="eastAsia" w:ascii="宋体" w:hAnsi="宋体" w:eastAsia="宋体" w:cs="宋体"/>
          <w:color w:val="auto"/>
          <w:highlight w:val="none"/>
        </w:rPr>
      </w:pPr>
    </w:p>
    <w:p w14:paraId="4A7D17E5">
      <w:pPr>
        <w:pStyle w:val="27"/>
        <w:spacing w:before="120" w:after="120" w:line="360" w:lineRule="auto"/>
        <w:rPr>
          <w:rFonts w:hint="eastAsia" w:ascii="宋体" w:hAnsi="宋体" w:eastAsia="宋体" w:cs="宋体"/>
          <w:color w:val="auto"/>
          <w:highlight w:val="none"/>
        </w:rPr>
      </w:pPr>
      <w:r>
        <w:rPr>
          <w:rFonts w:hint="eastAsia" w:ascii="宋体" w:hAnsi="宋体" w:eastAsia="宋体" w:cs="宋体"/>
          <w:b/>
          <w:color w:val="auto"/>
          <w:spacing w:val="4"/>
          <w:kern w:val="0"/>
          <w:sz w:val="36"/>
          <w:szCs w:val="36"/>
          <w:highlight w:val="none"/>
        </w:rPr>
        <w:br w:type="page"/>
      </w:r>
      <w:bookmarkStart w:id="164" w:name="_Toc93064508"/>
      <w:r>
        <w:rPr>
          <w:rFonts w:hint="eastAsia" w:ascii="宋体" w:hAnsi="宋体" w:eastAsia="宋体" w:cs="宋体"/>
          <w:b/>
          <w:color w:val="auto"/>
          <w:spacing w:val="4"/>
          <w:kern w:val="0"/>
          <w:sz w:val="36"/>
          <w:szCs w:val="36"/>
          <w:highlight w:val="none"/>
        </w:rPr>
        <w:t>第4章  否决性条款汇总</w:t>
      </w:r>
      <w:bookmarkEnd w:id="164"/>
    </w:p>
    <w:p w14:paraId="670BA897">
      <w:pPr>
        <w:pStyle w:val="12"/>
        <w:widowControl/>
        <w:spacing w:line="360" w:lineRule="auto"/>
        <w:ind w:right="420" w:firstLine="482" w:firstLineChars="200"/>
        <w:jc w:val="left"/>
        <w:rPr>
          <w:rFonts w:hint="eastAsia" w:ascii="宋体" w:hAnsi="宋体" w:eastAsia="宋体" w:cs="宋体"/>
          <w:b/>
          <w:bCs/>
          <w:color w:val="auto"/>
          <w:sz w:val="24"/>
          <w:szCs w:val="24"/>
          <w:highlight w:val="none"/>
        </w:rPr>
      </w:pPr>
    </w:p>
    <w:p w14:paraId="51FAF6A4">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招标人应当在招标文件中将投标文件的否决性条款单列，招标文件的其他条款与该单列的否决性条款不一致的，以单列的否决性条款为准。如招标文件补遗中增加否决性条款的，招标人应当重新单列完整的投标文件否决性条款，并发给所有投标人。</w:t>
      </w:r>
    </w:p>
    <w:p w14:paraId="1413934A">
      <w:pPr>
        <w:pStyle w:val="12"/>
        <w:widowControl/>
        <w:spacing w:line="360" w:lineRule="auto"/>
        <w:ind w:right="42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否决性条款是指招标文件中规定的不予受理投标或者作无效标、废标以及不合格标处理等否定投标文件效力的条款。</w:t>
      </w:r>
    </w:p>
    <w:p w14:paraId="49302039">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1、开标时，电子投标文件出现以下情况之一的，招标人将拒绝受理该投标文件：</w:t>
      </w:r>
    </w:p>
    <w:p w14:paraId="7B24CC41">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（1）电子投标文件未在投标截止时间前成功上传并保存在广州交易集团有限公司（广州公共资源交易中心）网站的；</w:t>
      </w:r>
    </w:p>
    <w:p w14:paraId="34740181">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（2）因投标人原因造成电子投标文件未解密或逾期解密的；</w:t>
      </w:r>
    </w:p>
    <w:p w14:paraId="1DB94D01">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（3）未按招标文件要求提供投标</w:t>
      </w:r>
      <w:r>
        <w:rPr>
          <w:rFonts w:hint="eastAsia" w:ascii="宋体" w:hAnsi="宋体" w:cs="宋体"/>
          <w:b w:val="0"/>
          <w:bCs w:val="0"/>
          <w:color w:val="auto"/>
          <w:sz w:val="24"/>
          <w:szCs w:val="24"/>
          <w:highlight w:val="none"/>
          <w:lang w:val="en-US" w:eastAsia="zh-CN"/>
        </w:rPr>
        <w:t>保证金</w:t>
      </w:r>
      <w:r>
        <w:rPr>
          <w:rFonts w:hint="eastAsia" w:ascii="宋体" w:hAnsi="宋体" w:eastAsia="宋体" w:cs="宋体"/>
          <w:b w:val="0"/>
          <w:bCs w:val="0"/>
          <w:color w:val="auto"/>
          <w:sz w:val="24"/>
          <w:szCs w:val="24"/>
          <w:highlight w:val="none"/>
        </w:rPr>
        <w:t>的；</w:t>
      </w:r>
    </w:p>
    <w:p w14:paraId="3CCCB270">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（4）两个（含两个）以上的投标人加密打包的电子投标文件电脑机器码一致的；</w:t>
      </w:r>
    </w:p>
    <w:p w14:paraId="201946C3">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（5）电子投标文件未按招标文件要求进行加密的。</w:t>
      </w:r>
    </w:p>
    <w:p w14:paraId="7B757E75">
      <w:pPr>
        <w:pStyle w:val="12"/>
        <w:widowControl/>
        <w:spacing w:line="360" w:lineRule="auto"/>
        <w:ind w:right="42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2、电子系统评标时，电子投标文件出现下列情形之一的，评标委员会将否决其投标：</w:t>
      </w:r>
    </w:p>
    <w:p w14:paraId="1D43FE97">
      <w:pPr>
        <w:numPr>
          <w:ilvl w:val="0"/>
          <w:numId w:val="0"/>
        </w:numPr>
        <w:adjustRightInd/>
        <w:snapToGrid/>
        <w:spacing w:line="360" w:lineRule="auto"/>
        <w:ind w:firstLine="566" w:firstLineChars="236"/>
        <w:jc w:val="both"/>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highlight w:val="none"/>
        </w:rPr>
        <w:t>不</w:t>
      </w:r>
      <w:r>
        <w:rPr>
          <w:rFonts w:hint="eastAsia" w:ascii="宋体" w:hAnsi="宋体" w:eastAsia="宋体" w:cs="宋体"/>
          <w:b w:val="0"/>
          <w:bCs w:val="0"/>
          <w:color w:val="auto"/>
          <w:sz w:val="24"/>
          <w:szCs w:val="24"/>
          <w:highlight w:val="none"/>
        </w:rPr>
        <w:t>符合《中华人民共和国招标投标法》规定的独立法人或其他组织，未按国家法律经营</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szCs w:val="24"/>
          <w:highlight w:val="none"/>
        </w:rPr>
        <w:t>未具有有效的营业执照。单位负责人为同一人或者存在控股、管理关系的不同单位，同时参与同一标段投标</w:t>
      </w:r>
      <w:r>
        <w:rPr>
          <w:rFonts w:hint="eastAsia" w:ascii="宋体" w:hAnsi="宋体" w:eastAsia="宋体" w:cs="宋体"/>
          <w:color w:val="auto"/>
          <w:kern w:val="2"/>
          <w:sz w:val="24"/>
          <w:szCs w:val="24"/>
          <w:highlight w:val="none"/>
          <w:shd w:val="clear" w:color="auto" w:fill="auto"/>
          <w:lang w:bidi="ar"/>
        </w:rPr>
        <w:t>或者未划分标段的同一招标项目投标</w:t>
      </w:r>
      <w:r>
        <w:rPr>
          <w:rFonts w:hint="eastAsia" w:ascii="宋体" w:hAnsi="宋体" w:eastAsia="宋体" w:cs="宋体"/>
          <w:b w:val="0"/>
          <w:bCs w:val="0"/>
          <w:color w:val="auto"/>
          <w:sz w:val="24"/>
          <w:szCs w:val="24"/>
          <w:highlight w:val="none"/>
        </w:rPr>
        <w:t>。</w:t>
      </w:r>
    </w:p>
    <w:p w14:paraId="0E45370F">
      <w:pPr>
        <w:pStyle w:val="12"/>
        <w:widowControl/>
        <w:spacing w:line="360" w:lineRule="auto"/>
        <w:ind w:right="420" w:firstLine="480" w:firstLineChars="200"/>
        <w:jc w:val="left"/>
        <w:rPr>
          <w:rFonts w:hint="eastAsia" w:ascii="宋体" w:hAnsi="宋体" w:eastAsia="宋体" w:cs="宋体"/>
          <w:b w:val="0"/>
          <w:bCs w:val="0"/>
          <w:color w:val="auto"/>
          <w:kern w:val="2"/>
          <w:sz w:val="24"/>
          <w:szCs w:val="20"/>
          <w:highlight w:val="none"/>
          <w:lang w:val="en-US" w:eastAsia="zh-CN"/>
        </w:rPr>
      </w:pPr>
      <w:r>
        <w:rPr>
          <w:rFonts w:hint="eastAsia" w:ascii="宋体" w:hAnsi="宋体" w:eastAsia="宋体" w:cs="宋体"/>
          <w:b w:val="0"/>
          <w:bCs w:val="0"/>
          <w:color w:val="auto"/>
          <w:kern w:val="44"/>
          <w:sz w:val="24"/>
          <w:szCs w:val="24"/>
          <w:highlight w:val="none"/>
        </w:rPr>
        <w:t>（</w:t>
      </w:r>
      <w:r>
        <w:rPr>
          <w:rFonts w:hint="eastAsia" w:ascii="宋体" w:hAnsi="宋体" w:eastAsia="宋体" w:cs="宋体"/>
          <w:b w:val="0"/>
          <w:bCs w:val="0"/>
          <w:color w:val="auto"/>
          <w:kern w:val="44"/>
          <w:sz w:val="24"/>
          <w:szCs w:val="24"/>
          <w:highlight w:val="none"/>
          <w:lang w:val="en-US" w:eastAsia="zh-CN"/>
        </w:rPr>
        <w:t>2</w:t>
      </w:r>
      <w:r>
        <w:rPr>
          <w:rFonts w:hint="eastAsia" w:ascii="宋体" w:hAnsi="宋体" w:eastAsia="宋体" w:cs="宋体"/>
          <w:b w:val="0"/>
          <w:bCs w:val="0"/>
          <w:color w:val="auto"/>
          <w:kern w:val="44"/>
          <w:sz w:val="24"/>
          <w:szCs w:val="24"/>
          <w:highlight w:val="none"/>
        </w:rPr>
        <w:t>）</w:t>
      </w:r>
      <w:r>
        <w:rPr>
          <w:rFonts w:hint="eastAsia" w:hAnsi="宋体" w:cs="宋体"/>
          <w:color w:val="auto"/>
          <w:kern w:val="2"/>
          <w:sz w:val="24"/>
          <w:szCs w:val="20"/>
          <w:highlight w:val="none"/>
          <w:lang w:val="en-US" w:eastAsia="zh-CN" w:bidi="ar-SA"/>
        </w:rPr>
        <w:t>未提供</w:t>
      </w:r>
      <w:r>
        <w:rPr>
          <w:rFonts w:hint="eastAsia" w:ascii="宋体" w:hAnsi="宋体" w:eastAsia="宋体" w:cs="宋体"/>
          <w:i w:val="0"/>
          <w:iCs w:val="0"/>
          <w:caps w:val="0"/>
          <w:color w:val="auto"/>
          <w:spacing w:val="0"/>
          <w:kern w:val="2"/>
          <w:sz w:val="24"/>
          <w:szCs w:val="20"/>
          <w:highlight w:val="none"/>
          <w:shd w:val="clear" w:color="auto" w:fill="auto"/>
          <w:lang w:bidi="ar-SA"/>
        </w:rPr>
        <w:t>投标人自20</w:t>
      </w:r>
      <w:r>
        <w:rPr>
          <w:rFonts w:hint="eastAsia" w:ascii="宋体" w:hAnsi="宋体" w:eastAsia="宋体" w:cs="宋体"/>
          <w:i w:val="0"/>
          <w:iCs w:val="0"/>
          <w:caps w:val="0"/>
          <w:color w:val="auto"/>
          <w:spacing w:val="0"/>
          <w:kern w:val="2"/>
          <w:sz w:val="24"/>
          <w:szCs w:val="20"/>
          <w:highlight w:val="none"/>
          <w:shd w:val="clear" w:color="auto" w:fill="auto"/>
          <w:lang w:eastAsia="zh-CN" w:bidi="ar-SA"/>
        </w:rPr>
        <w:t>1</w:t>
      </w:r>
      <w:r>
        <w:rPr>
          <w:rFonts w:hint="eastAsia" w:ascii="宋体" w:hAnsi="宋体" w:eastAsia="宋体" w:cs="宋体"/>
          <w:i w:val="0"/>
          <w:iCs w:val="0"/>
          <w:caps w:val="0"/>
          <w:color w:val="auto"/>
          <w:spacing w:val="0"/>
          <w:kern w:val="2"/>
          <w:sz w:val="24"/>
          <w:szCs w:val="20"/>
          <w:highlight w:val="none"/>
          <w:shd w:val="clear" w:color="auto" w:fill="auto"/>
          <w:lang w:val="en-US" w:eastAsia="zh-CN" w:bidi="ar-SA"/>
        </w:rPr>
        <w:t>9</w:t>
      </w:r>
      <w:r>
        <w:rPr>
          <w:rFonts w:hint="eastAsia" w:ascii="宋体" w:hAnsi="宋体" w:eastAsia="宋体" w:cs="宋体"/>
          <w:i w:val="0"/>
          <w:iCs w:val="0"/>
          <w:caps w:val="0"/>
          <w:color w:val="auto"/>
          <w:spacing w:val="0"/>
          <w:kern w:val="2"/>
          <w:sz w:val="24"/>
          <w:szCs w:val="20"/>
          <w:highlight w:val="none"/>
          <w:shd w:val="clear" w:color="auto" w:fill="auto"/>
          <w:lang w:bidi="ar-SA"/>
        </w:rPr>
        <w:t>年1月1日至</w:t>
      </w:r>
      <w:r>
        <w:rPr>
          <w:rFonts w:hint="eastAsia" w:ascii="宋体" w:hAnsi="宋体" w:eastAsia="宋体" w:cs="宋体"/>
          <w:bCs w:val="0"/>
          <w:color w:val="auto"/>
          <w:kern w:val="2"/>
          <w:sz w:val="24"/>
          <w:szCs w:val="20"/>
          <w:highlight w:val="none"/>
          <w:shd w:val="clear" w:color="auto" w:fill="auto"/>
          <w:lang w:bidi="ar-SA"/>
        </w:rPr>
        <w:t>本项目招标公告发布之日止</w:t>
      </w:r>
      <w:r>
        <w:rPr>
          <w:rFonts w:hint="eastAsia" w:ascii="宋体" w:hAnsi="宋体" w:eastAsia="宋体" w:cs="宋体"/>
          <w:i w:val="0"/>
          <w:iCs w:val="0"/>
          <w:caps w:val="0"/>
          <w:color w:val="auto"/>
          <w:spacing w:val="0"/>
          <w:kern w:val="2"/>
          <w:sz w:val="24"/>
          <w:szCs w:val="20"/>
          <w:highlight w:val="none"/>
          <w:shd w:val="clear" w:color="auto" w:fill="auto"/>
          <w:lang w:bidi="ar-SA"/>
        </w:rPr>
        <w:t>，至少</w:t>
      </w:r>
      <w:r>
        <w:rPr>
          <w:rFonts w:hint="eastAsia" w:ascii="宋体" w:hAnsi="宋体" w:eastAsia="宋体" w:cs="宋体"/>
          <w:i w:val="0"/>
          <w:iCs w:val="0"/>
          <w:caps w:val="0"/>
          <w:color w:val="auto"/>
          <w:spacing w:val="0"/>
          <w:kern w:val="2"/>
          <w:sz w:val="24"/>
          <w:szCs w:val="20"/>
          <w:highlight w:val="none"/>
          <w:shd w:val="clear" w:color="auto" w:fill="auto"/>
          <w:lang w:val="en-US" w:eastAsia="zh-CN" w:bidi="ar-SA"/>
        </w:rPr>
        <w:t>完成</w:t>
      </w:r>
      <w:r>
        <w:rPr>
          <w:rFonts w:hint="eastAsia" w:ascii="宋体" w:hAnsi="宋体" w:eastAsia="宋体" w:cs="宋体"/>
          <w:i w:val="0"/>
          <w:iCs w:val="0"/>
          <w:caps w:val="0"/>
          <w:color w:val="auto"/>
          <w:spacing w:val="0"/>
          <w:kern w:val="2"/>
          <w:sz w:val="24"/>
          <w:szCs w:val="20"/>
          <w:highlight w:val="none"/>
          <w:shd w:val="clear" w:color="auto" w:fill="auto"/>
          <w:lang w:bidi="ar-SA"/>
        </w:rPr>
        <w:t>过一项</w:t>
      </w:r>
      <w:r>
        <w:rPr>
          <w:rFonts w:hint="eastAsia" w:ascii="宋体" w:hAnsi="宋体" w:eastAsia="宋体" w:cs="宋体"/>
          <w:i w:val="0"/>
          <w:iCs w:val="0"/>
          <w:caps w:val="0"/>
          <w:color w:val="auto"/>
          <w:spacing w:val="0"/>
          <w:kern w:val="2"/>
          <w:sz w:val="24"/>
          <w:szCs w:val="20"/>
          <w:highlight w:val="none"/>
          <w:shd w:val="clear" w:color="auto" w:fill="auto"/>
          <w:lang w:val="en-US" w:eastAsia="zh-CN" w:bidi="ar-SA"/>
        </w:rPr>
        <w:t>合同金额为400万元或以上</w:t>
      </w:r>
      <w:r>
        <w:rPr>
          <w:rFonts w:hint="eastAsia" w:ascii="宋体" w:hAnsi="宋体" w:eastAsia="宋体" w:cs="宋体"/>
          <w:i w:val="0"/>
          <w:iCs w:val="0"/>
          <w:caps w:val="0"/>
          <w:color w:val="auto"/>
          <w:spacing w:val="0"/>
          <w:kern w:val="2"/>
          <w:sz w:val="24"/>
          <w:szCs w:val="20"/>
          <w:highlight w:val="none"/>
          <w:shd w:val="clear" w:color="auto" w:fill="auto"/>
          <w:lang w:bidi="ar-SA"/>
        </w:rPr>
        <w:t>基于大模型或智能化应用的相关项目建设业绩。</w:t>
      </w:r>
    </w:p>
    <w:p w14:paraId="398F0F2A">
      <w:pPr>
        <w:pStyle w:val="12"/>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投标人被纳入“失信联合惩戒名单”，“失信联合惩戒名单”以“信用广州”网站公布的“黑名单”为准。</w:t>
      </w:r>
    </w:p>
    <w:p w14:paraId="4965C8FC">
      <w:pPr>
        <w:pStyle w:val="12"/>
        <w:widowControl/>
        <w:spacing w:line="360" w:lineRule="auto"/>
        <w:ind w:right="0" w:firstLine="480" w:firstLineChars="0"/>
        <w:jc w:val="left"/>
        <w:outlineLvl w:val="9"/>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投标人未按招标人规定格式提交《投标人声明》。</w:t>
      </w:r>
    </w:p>
    <w:p w14:paraId="646A9B8D">
      <w:pPr>
        <w:pStyle w:val="12"/>
        <w:widowControl/>
        <w:spacing w:line="360" w:lineRule="auto"/>
        <w:ind w:right="42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 w:val="0"/>
          <w:bCs w:val="0"/>
          <w:color w:val="auto"/>
          <w:kern w:val="44"/>
          <w:sz w:val="24"/>
          <w:szCs w:val="24"/>
          <w:highlight w:val="none"/>
        </w:rPr>
        <w:t>（</w:t>
      </w:r>
      <w:r>
        <w:rPr>
          <w:rFonts w:hint="eastAsia" w:hAnsi="宋体" w:cs="宋体"/>
          <w:b w:val="0"/>
          <w:bCs w:val="0"/>
          <w:color w:val="auto"/>
          <w:kern w:val="44"/>
          <w:sz w:val="24"/>
          <w:szCs w:val="24"/>
          <w:highlight w:val="none"/>
          <w:lang w:val="en-US" w:eastAsia="zh-CN"/>
        </w:rPr>
        <w:t>6</w:t>
      </w:r>
      <w:r>
        <w:rPr>
          <w:rFonts w:hint="eastAsia" w:ascii="宋体" w:hAnsi="宋体" w:eastAsia="宋体" w:cs="宋体"/>
          <w:b w:val="0"/>
          <w:bCs w:val="0"/>
          <w:color w:val="auto"/>
          <w:kern w:val="44"/>
          <w:sz w:val="24"/>
          <w:szCs w:val="24"/>
          <w:highlight w:val="none"/>
        </w:rPr>
        <w:t>）投标人未按招标人规定格式提交《投标人廉洁承诺书》。</w:t>
      </w:r>
    </w:p>
    <w:p w14:paraId="566DE6C4">
      <w:pPr>
        <w:pStyle w:val="12"/>
        <w:widowControl/>
        <w:spacing w:line="360" w:lineRule="auto"/>
        <w:ind w:right="42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）投标人为联合体。</w:t>
      </w:r>
    </w:p>
    <w:p w14:paraId="71255CC3">
      <w:pPr>
        <w:pStyle w:val="12"/>
        <w:widowControl/>
        <w:spacing w:line="360" w:lineRule="auto"/>
        <w:ind w:right="42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kern w:val="44"/>
          <w:sz w:val="24"/>
          <w:szCs w:val="24"/>
          <w:highlight w:val="none"/>
        </w:rPr>
        <w:t>（</w:t>
      </w:r>
      <w:r>
        <w:rPr>
          <w:rFonts w:hint="eastAsia" w:hAnsi="宋体" w:cs="宋体"/>
          <w:b w:val="0"/>
          <w:bCs w:val="0"/>
          <w:color w:val="auto"/>
          <w:kern w:val="44"/>
          <w:sz w:val="24"/>
          <w:szCs w:val="24"/>
          <w:highlight w:val="none"/>
          <w:lang w:val="en-US" w:eastAsia="zh-CN"/>
        </w:rPr>
        <w:t>8</w:t>
      </w:r>
      <w:r>
        <w:rPr>
          <w:rFonts w:hint="eastAsia" w:ascii="宋体" w:hAnsi="宋体" w:eastAsia="宋体" w:cs="宋体"/>
          <w:b w:val="0"/>
          <w:bCs w:val="0"/>
          <w:color w:val="auto"/>
          <w:kern w:val="44"/>
          <w:sz w:val="24"/>
          <w:szCs w:val="24"/>
          <w:highlight w:val="none"/>
        </w:rPr>
        <w:t>）</w:t>
      </w:r>
      <w:r>
        <w:rPr>
          <w:rFonts w:hint="eastAsia" w:ascii="宋体" w:hAnsi="宋体" w:eastAsia="宋体" w:cs="宋体"/>
          <w:color w:val="auto"/>
          <w:sz w:val="24"/>
          <w:szCs w:val="24"/>
          <w:highlight w:val="none"/>
        </w:rPr>
        <w:t>投标文件格式</w:t>
      </w:r>
      <w:r>
        <w:rPr>
          <w:rFonts w:hint="eastAsia" w:hAnsi="宋体" w:cs="宋体"/>
          <w:color w:val="auto"/>
          <w:sz w:val="24"/>
          <w:szCs w:val="24"/>
          <w:highlight w:val="none"/>
          <w:lang w:eastAsia="zh-CN"/>
        </w:rPr>
        <w:t>不</w:t>
      </w:r>
      <w:r>
        <w:rPr>
          <w:rFonts w:hint="eastAsia" w:ascii="宋体" w:hAnsi="宋体" w:eastAsia="宋体" w:cs="宋体"/>
          <w:color w:val="auto"/>
          <w:sz w:val="24"/>
          <w:szCs w:val="24"/>
          <w:highlight w:val="none"/>
        </w:rPr>
        <w:t>符合招标文件第3章“投标文件格式”的要求</w:t>
      </w:r>
      <w:r>
        <w:rPr>
          <w:rFonts w:hint="eastAsia" w:ascii="宋体" w:hAnsi="宋体" w:eastAsia="宋体" w:cs="宋体"/>
          <w:color w:val="auto"/>
          <w:sz w:val="24"/>
          <w:szCs w:val="24"/>
          <w:highlight w:val="none"/>
          <w:lang w:eastAsia="zh-CN"/>
        </w:rPr>
        <w:t>。</w:t>
      </w:r>
    </w:p>
    <w:p w14:paraId="1A168CA8">
      <w:pPr>
        <w:pStyle w:val="12"/>
        <w:widowControl/>
        <w:spacing w:line="360" w:lineRule="auto"/>
        <w:ind w:right="420"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rPr>
        <w:t>（</w:t>
      </w:r>
      <w:r>
        <w:rPr>
          <w:rFonts w:hint="eastAsia" w:hAnsi="宋体" w:cs="宋体"/>
          <w:b w:val="0"/>
          <w:bCs w:val="0"/>
          <w:color w:val="auto"/>
          <w:kern w:val="44"/>
          <w:sz w:val="24"/>
          <w:szCs w:val="24"/>
          <w:highlight w:val="none"/>
          <w:lang w:val="en-US" w:eastAsia="zh-CN"/>
        </w:rPr>
        <w:t>9</w:t>
      </w:r>
      <w:r>
        <w:rPr>
          <w:rFonts w:hint="eastAsia" w:ascii="宋体" w:hAnsi="宋体" w:eastAsia="宋体" w:cs="宋体"/>
          <w:b w:val="0"/>
          <w:bCs w:val="0"/>
          <w:color w:val="auto"/>
          <w:kern w:val="44"/>
          <w:sz w:val="24"/>
          <w:szCs w:val="24"/>
          <w:highlight w:val="none"/>
        </w:rPr>
        <w:t>）投标文件未按招标文件要求签字盖章。</w:t>
      </w:r>
    </w:p>
    <w:p w14:paraId="727138EA">
      <w:pPr>
        <w:pStyle w:val="12"/>
        <w:widowControl/>
        <w:spacing w:line="360" w:lineRule="auto"/>
        <w:ind w:right="420"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rPr>
        <w:t>（</w:t>
      </w:r>
      <w:r>
        <w:rPr>
          <w:rFonts w:hint="eastAsia" w:hAnsi="宋体" w:cs="宋体"/>
          <w:b w:val="0"/>
          <w:bCs w:val="0"/>
          <w:color w:val="auto"/>
          <w:kern w:val="44"/>
          <w:sz w:val="24"/>
          <w:szCs w:val="24"/>
          <w:highlight w:val="none"/>
          <w:lang w:val="en-US" w:eastAsia="zh-CN"/>
        </w:rPr>
        <w:t>10</w:t>
      </w:r>
      <w:r>
        <w:rPr>
          <w:rFonts w:hint="eastAsia" w:ascii="宋体" w:hAnsi="宋体" w:eastAsia="宋体" w:cs="宋体"/>
          <w:b w:val="0"/>
          <w:bCs w:val="0"/>
          <w:color w:val="auto"/>
          <w:kern w:val="44"/>
          <w:sz w:val="24"/>
          <w:szCs w:val="24"/>
          <w:highlight w:val="none"/>
        </w:rPr>
        <w:t>）对同一项目出现两个或以上的投标报价，且修正没有依据的。</w:t>
      </w:r>
    </w:p>
    <w:p w14:paraId="66D1617A">
      <w:pPr>
        <w:pStyle w:val="12"/>
        <w:widowControl/>
        <w:spacing w:line="360" w:lineRule="auto"/>
        <w:ind w:right="420"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rPr>
        <w:t>（</w:t>
      </w:r>
      <w:r>
        <w:rPr>
          <w:rFonts w:hint="eastAsia" w:ascii="宋体" w:hAnsi="宋体" w:eastAsia="宋体" w:cs="宋体"/>
          <w:b w:val="0"/>
          <w:bCs w:val="0"/>
          <w:color w:val="auto"/>
          <w:kern w:val="44"/>
          <w:sz w:val="24"/>
          <w:szCs w:val="24"/>
          <w:highlight w:val="none"/>
          <w:lang w:val="en-US" w:eastAsia="zh-CN"/>
        </w:rPr>
        <w:t>1</w:t>
      </w:r>
      <w:r>
        <w:rPr>
          <w:rFonts w:hint="eastAsia" w:hAnsi="宋体" w:cs="宋体"/>
          <w:b w:val="0"/>
          <w:bCs w:val="0"/>
          <w:color w:val="auto"/>
          <w:kern w:val="44"/>
          <w:sz w:val="24"/>
          <w:szCs w:val="24"/>
          <w:highlight w:val="none"/>
          <w:lang w:val="en-US" w:eastAsia="zh-CN"/>
        </w:rPr>
        <w:t>1</w:t>
      </w:r>
      <w:r>
        <w:rPr>
          <w:rFonts w:hint="eastAsia" w:ascii="宋体" w:hAnsi="宋体" w:eastAsia="宋体" w:cs="宋体"/>
          <w:b w:val="0"/>
          <w:bCs w:val="0"/>
          <w:color w:val="auto"/>
          <w:kern w:val="44"/>
          <w:sz w:val="24"/>
          <w:szCs w:val="24"/>
          <w:highlight w:val="none"/>
        </w:rPr>
        <w:t>）投标报价未按招标文件要求报价，或投标报价超过</w:t>
      </w:r>
      <w:r>
        <w:rPr>
          <w:rFonts w:hint="eastAsia" w:ascii="宋体" w:hAnsi="宋体" w:eastAsia="宋体" w:cs="宋体"/>
          <w:b w:val="0"/>
          <w:bCs w:val="0"/>
          <w:color w:val="auto"/>
          <w:kern w:val="44"/>
          <w:sz w:val="24"/>
          <w:szCs w:val="24"/>
          <w:highlight w:val="none"/>
          <w:lang w:eastAsia="zh-CN"/>
        </w:rPr>
        <w:t>招标控制价</w:t>
      </w:r>
      <w:r>
        <w:rPr>
          <w:rFonts w:hint="eastAsia" w:ascii="宋体" w:hAnsi="宋体" w:eastAsia="宋体" w:cs="宋体"/>
          <w:b w:val="0"/>
          <w:bCs w:val="0"/>
          <w:color w:val="auto"/>
          <w:kern w:val="44"/>
          <w:sz w:val="24"/>
          <w:szCs w:val="24"/>
          <w:highlight w:val="none"/>
        </w:rPr>
        <w:t>。</w:t>
      </w:r>
    </w:p>
    <w:p w14:paraId="36967081">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44"/>
          <w:sz w:val="24"/>
          <w:szCs w:val="24"/>
          <w:highlight w:val="none"/>
        </w:rPr>
        <w:t>（</w:t>
      </w:r>
      <w:r>
        <w:rPr>
          <w:rFonts w:hint="eastAsia" w:ascii="宋体" w:hAnsi="宋体" w:eastAsia="宋体" w:cs="宋体"/>
          <w:b w:val="0"/>
          <w:bCs w:val="0"/>
          <w:color w:val="auto"/>
          <w:kern w:val="44"/>
          <w:sz w:val="24"/>
          <w:szCs w:val="24"/>
          <w:highlight w:val="none"/>
          <w:lang w:val="en-US" w:eastAsia="zh-CN"/>
        </w:rPr>
        <w:t>1</w:t>
      </w:r>
      <w:r>
        <w:rPr>
          <w:rFonts w:hint="eastAsia" w:hAnsi="宋体" w:cs="宋体"/>
          <w:b w:val="0"/>
          <w:bCs w:val="0"/>
          <w:color w:val="auto"/>
          <w:kern w:val="44"/>
          <w:sz w:val="24"/>
          <w:szCs w:val="24"/>
          <w:highlight w:val="none"/>
          <w:lang w:val="en-US" w:eastAsia="zh-CN"/>
        </w:rPr>
        <w:t>2</w:t>
      </w:r>
      <w:r>
        <w:rPr>
          <w:rFonts w:hint="eastAsia" w:ascii="宋体" w:hAnsi="宋体" w:eastAsia="宋体" w:cs="宋体"/>
          <w:b w:val="0"/>
          <w:bCs w:val="0"/>
          <w:color w:val="auto"/>
          <w:kern w:val="44"/>
          <w:sz w:val="24"/>
          <w:szCs w:val="24"/>
          <w:highlight w:val="none"/>
        </w:rPr>
        <w:t>）投标文件未满足用户需求书</w:t>
      </w:r>
      <w:r>
        <w:rPr>
          <w:rFonts w:hint="eastAsia" w:ascii="宋体" w:hAnsi="宋体" w:eastAsia="宋体" w:cs="宋体"/>
          <w:b w:val="0"/>
          <w:bCs w:val="0"/>
          <w:color w:val="auto"/>
          <w:sz w:val="24"/>
          <w:szCs w:val="24"/>
          <w:highlight w:val="none"/>
        </w:rPr>
        <w:t>要求。</w:t>
      </w:r>
    </w:p>
    <w:p w14:paraId="0D8C91A3">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1</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）串通投标或弄虚作假或有其他违法行为的。</w:t>
      </w:r>
    </w:p>
    <w:p w14:paraId="725802E9">
      <w:pPr>
        <w:pStyle w:val="12"/>
        <w:widowControl/>
        <w:spacing w:line="360" w:lineRule="auto"/>
        <w:ind w:right="42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1</w:t>
      </w: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）投标人不接受评标委员会修正投标报价</w:t>
      </w:r>
      <w:bookmarkStart w:id="165" w:name="_Toc34233227"/>
      <w:r>
        <w:rPr>
          <w:rFonts w:hint="eastAsia" w:ascii="宋体" w:hAnsi="宋体" w:eastAsia="宋体" w:cs="宋体"/>
          <w:b w:val="0"/>
          <w:bCs w:val="0"/>
          <w:color w:val="auto"/>
          <w:sz w:val="24"/>
          <w:szCs w:val="24"/>
          <w:highlight w:val="none"/>
        </w:rPr>
        <w:t>。</w:t>
      </w:r>
    </w:p>
    <w:p w14:paraId="54FFB5EB">
      <w:pPr>
        <w:pStyle w:val="27"/>
        <w:spacing w:before="120" w:after="120" w:line="360" w:lineRule="auto"/>
        <w:rPr>
          <w:rFonts w:hint="eastAsia" w:ascii="宋体" w:hAnsi="宋体" w:eastAsia="宋体" w:cs="宋体"/>
          <w:color w:val="auto"/>
          <w:highlight w:val="none"/>
        </w:rPr>
      </w:pPr>
      <w:r>
        <w:rPr>
          <w:rFonts w:hint="eastAsia" w:ascii="宋体" w:hAnsi="宋体" w:eastAsia="宋体" w:cs="宋体"/>
          <w:b/>
          <w:color w:val="auto"/>
          <w:spacing w:val="4"/>
          <w:sz w:val="36"/>
          <w:szCs w:val="36"/>
          <w:highlight w:val="none"/>
        </w:rPr>
        <w:br w:type="page"/>
      </w:r>
      <w:bookmarkStart w:id="166" w:name="_Toc93064509"/>
      <w:bookmarkStart w:id="167" w:name="_Toc31522"/>
      <w:r>
        <w:rPr>
          <w:rFonts w:hint="eastAsia" w:ascii="宋体" w:hAnsi="宋体" w:eastAsia="宋体" w:cs="宋体"/>
          <w:b/>
          <w:color w:val="auto"/>
          <w:spacing w:val="4"/>
          <w:sz w:val="36"/>
          <w:szCs w:val="36"/>
          <w:highlight w:val="none"/>
        </w:rPr>
        <w:t>第5章  评标办法</w:t>
      </w:r>
      <w:bookmarkEnd w:id="165"/>
      <w:bookmarkEnd w:id="166"/>
      <w:bookmarkEnd w:id="167"/>
    </w:p>
    <w:p w14:paraId="75805D5E">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1．评标委员会及其职责</w:t>
      </w:r>
    </w:p>
    <w:p w14:paraId="1F4475F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1.1评标委员会由招标人根据《中华人民共和国招标投标法》和《关于进一步加强和完善我省工程建设招标投标管理工作的的若干意见》（粤府办[2010]37号）依法组建，负责评标活动。</w:t>
      </w:r>
    </w:p>
    <w:p w14:paraId="4ABD3E12">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1.2</w:t>
      </w:r>
      <w:r>
        <w:rPr>
          <w:rFonts w:hint="eastAsia" w:ascii="宋体" w:hAnsi="宋体" w:eastAsia="宋体" w:cs="宋体"/>
          <w:color w:val="auto"/>
          <w:sz w:val="24"/>
          <w:szCs w:val="24"/>
          <w:highlight w:val="none"/>
        </w:rPr>
        <w:t>本次招标由招标人依法组建评标委员会。评标委员会</w:t>
      </w:r>
      <w:r>
        <w:rPr>
          <w:rFonts w:hint="eastAsia" w:ascii="宋体" w:hAnsi="宋体" w:cs="宋体"/>
          <w:color w:val="auto"/>
          <w:sz w:val="24"/>
          <w:szCs w:val="24"/>
          <w:highlight w:val="none"/>
          <w:lang w:eastAsia="zh-CN"/>
        </w:rPr>
        <w:t>共</w:t>
      </w:r>
      <w:r>
        <w:rPr>
          <w:rFonts w:hint="eastAsia" w:ascii="宋体" w:hAnsi="宋体" w:cs="宋体"/>
          <w:color w:val="auto"/>
          <w:sz w:val="24"/>
          <w:szCs w:val="24"/>
          <w:highlight w:val="none"/>
          <w:lang w:val="en-US" w:eastAsia="zh-CN"/>
        </w:rPr>
        <w:t>7人组成，其中：</w:t>
      </w:r>
      <w:r>
        <w:rPr>
          <w:rFonts w:hint="eastAsia" w:ascii="宋体" w:hAnsi="宋体" w:cs="宋体"/>
          <w:color w:val="auto"/>
          <w:sz w:val="24"/>
          <w:szCs w:val="24"/>
          <w:highlight w:val="none"/>
        </w:rPr>
        <w:t>招标人代表</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人，</w:t>
      </w:r>
      <w:r>
        <w:rPr>
          <w:rFonts w:hint="eastAsia" w:ascii="宋体" w:hAnsi="宋体" w:cs="宋体"/>
          <w:color w:val="auto"/>
          <w:sz w:val="24"/>
          <w:szCs w:val="24"/>
          <w:highlight w:val="none"/>
          <w:lang w:eastAsia="zh-CN"/>
        </w:rPr>
        <w:t>其余</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人全部从广东省综合评标评审专家库随机抽取产生</w:t>
      </w:r>
      <w:r>
        <w:rPr>
          <w:rFonts w:hint="eastAsia" w:ascii="宋体" w:hAnsi="宋体" w:eastAsia="宋体" w:cs="宋体"/>
          <w:color w:val="auto"/>
          <w:sz w:val="24"/>
          <w:szCs w:val="24"/>
          <w:highlight w:val="none"/>
        </w:rPr>
        <w:t>。</w:t>
      </w:r>
    </w:p>
    <w:p w14:paraId="7897A6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1.3评委会将本着公平、公正、科学、择优的原则，严格按照法律法规和招标文件设定的程序和规则推荐评审结果，任何单位和个人不得非法干预或者影响评标过程和结果。</w:t>
      </w:r>
    </w:p>
    <w:p w14:paraId="27FCC4B9">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2.评标依据</w:t>
      </w:r>
    </w:p>
    <w:p w14:paraId="4AD42E3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2.1《中华人民共和国招标投标法》；</w:t>
      </w:r>
    </w:p>
    <w:p w14:paraId="06943C0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2.2《中华人民共和国招标投标法实施条例》；</w:t>
      </w:r>
    </w:p>
    <w:p w14:paraId="67F939F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2.3七部委第12号令《评标委员会和评标方法暂行规定》；</w:t>
      </w:r>
    </w:p>
    <w:p w14:paraId="787AAF7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2.4《广东省实施〈中华人民共和国招标投标法〉办法》；</w:t>
      </w:r>
    </w:p>
    <w:p w14:paraId="2C0E1F9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2.5《广东省加强建设工程招标投标监督管理的若干规定》；</w:t>
      </w:r>
    </w:p>
    <w:p w14:paraId="0EB25F4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2.6《广州市建设工程招标投标管理办法》；</w:t>
      </w:r>
    </w:p>
    <w:p w14:paraId="5B8B9FBD">
      <w:pPr>
        <w:tabs>
          <w:tab w:val="left" w:pos="162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2.7本招标项目的招标文件；</w:t>
      </w:r>
    </w:p>
    <w:p w14:paraId="1C3D635D">
      <w:pPr>
        <w:tabs>
          <w:tab w:val="left" w:pos="1620"/>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2.8省、市各级行政主管部门颁发的其他有关招投标相关法律法规。</w:t>
      </w:r>
    </w:p>
    <w:p w14:paraId="482AF838">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 xml:space="preserve"> 3. 评标专家守则</w:t>
      </w:r>
    </w:p>
    <w:p w14:paraId="61ACEEDE">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3.1所有参加评标的专家必须遵守国家、地方政府制定的有关工程招标投标的法则、规定，遵守有关工程招标投标的保密制度；如有违反者，给予行政处分；情节严重，构成犯罪的，由司法机关依法追究其刑事责任。</w:t>
      </w:r>
    </w:p>
    <w:p w14:paraId="767CA477">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3.2参与评标专家：</w:t>
      </w:r>
    </w:p>
    <w:p w14:paraId="556EDA4E">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3.2.1必须遵守评标纪律、不得泄密；</w:t>
      </w:r>
    </w:p>
    <w:p w14:paraId="756C23CA">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3.2.2必须公正、不得循私；</w:t>
      </w:r>
    </w:p>
    <w:p w14:paraId="2E930921">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3.2.3必须科学、不得草率；</w:t>
      </w:r>
    </w:p>
    <w:p w14:paraId="30C48DC7">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3.2.4必须客观、不得带有成见；</w:t>
      </w:r>
    </w:p>
    <w:p w14:paraId="42BABD0F">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3.2.5必须平等、不得强加于人；</w:t>
      </w:r>
    </w:p>
    <w:p w14:paraId="224D1B44">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3.2.6必须严谨、不得随意马虎。</w:t>
      </w:r>
    </w:p>
    <w:p w14:paraId="72224AEF">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3.3评审专家有下列情形之一的，受到邀请应主动提出回避，</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当事人也可以要求该评审专家回避：</w:t>
      </w:r>
    </w:p>
    <w:p w14:paraId="1588FA40">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（1）三年内曾在参加本</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项目的投标人中任职或担任顾问的；</w:t>
      </w:r>
    </w:p>
    <w:p w14:paraId="09F27702">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（2）配偶或直系亲属在参加本</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项目的投标人中任职或担任顾问的；</w:t>
      </w:r>
    </w:p>
    <w:p w14:paraId="35B4C360">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（3）与参加本</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项目投标人发生过法律纠纷或存在其他利益纠纷的；</w:t>
      </w:r>
    </w:p>
    <w:p w14:paraId="56A10D0B">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（4）评审委员会中，同一任职单位评审专家超过一名的；</w:t>
      </w:r>
    </w:p>
    <w:p w14:paraId="6D39AC25">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（5）任职单位与招标人或参加本</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项目的投标人存在行政隶属、控股或参</w:t>
      </w:r>
    </w:p>
    <w:p w14:paraId="27D17F99">
      <w:pPr>
        <w:pStyle w:val="3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股关系的（不含招标人代表）；</w:t>
      </w:r>
    </w:p>
    <w:p w14:paraId="30E4C88A">
      <w:pPr>
        <w:pStyle w:val="37"/>
        <w:numPr>
          <w:ilvl w:val="0"/>
          <w:numId w:val="16"/>
        </w:num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参与本</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项目招标文件、</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需求、</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方式的论证和咨询服务工作</w:t>
      </w:r>
    </w:p>
    <w:p w14:paraId="461102D6">
      <w:pPr>
        <w:pStyle w:val="3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的；</w:t>
      </w:r>
    </w:p>
    <w:p w14:paraId="52103A6B">
      <w:pPr>
        <w:pStyle w:val="5"/>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（7）法律、法规、规章规定应当回避以及其他可能影响公正评审的。</w:t>
      </w:r>
    </w:p>
    <w:p w14:paraId="1BAF977B">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4.开、评标程序</w:t>
      </w:r>
    </w:p>
    <w:p w14:paraId="1C13CA78">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4.1开标程序</w:t>
      </w:r>
    </w:p>
    <w:p w14:paraId="5BC1B054">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.1宣布开标纪律；</w:t>
      </w:r>
    </w:p>
    <w:p w14:paraId="1179149C">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.2投标人按照《投标人须知前附表》的要求，对电子投标文件进行解密；</w:t>
      </w:r>
    </w:p>
    <w:p w14:paraId="47A812F2">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 xml:space="preserve">.3唱标前公开摇取评标基准价下浮率(下浮率取值范围在 </w:t>
      </w:r>
      <w:r>
        <w:rPr>
          <w:rFonts w:hint="eastAsia" w:hAnsi="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rPr>
        <w:t>%~</w:t>
      </w:r>
      <w:r>
        <w:rPr>
          <w:rFonts w:hint="eastAsia"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%，按 0.5%设定级差)。</w:t>
      </w:r>
    </w:p>
    <w:p w14:paraId="5C8D1649">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4.1.4</w:t>
      </w:r>
      <w:r>
        <w:rPr>
          <w:rFonts w:hint="eastAsia" w:ascii="宋体" w:hAnsi="宋体" w:eastAsia="宋体" w:cs="宋体"/>
          <w:color w:val="auto"/>
          <w:kern w:val="2"/>
          <w:sz w:val="24"/>
          <w:szCs w:val="24"/>
          <w:highlight w:val="none"/>
        </w:rPr>
        <w:t>按开标记录表规定的内容进行唱标；</w:t>
      </w:r>
    </w:p>
    <w:p w14:paraId="47658673">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w:t>
      </w:r>
      <w:r>
        <w:rPr>
          <w:rFonts w:hint="eastAsia" w:hAnsi="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投标人代表、招标人代表、监标人、记录人等有关人员在开标记录上签字确认；若有关人员不签字的，不影响开标程序； </w:t>
      </w:r>
    </w:p>
    <w:p w14:paraId="608A4369">
      <w:pPr>
        <w:pStyle w:val="37"/>
        <w:spacing w:line="360" w:lineRule="auto"/>
        <w:ind w:firstLine="480" w:firstLineChars="200"/>
        <w:rPr>
          <w:rFonts w:hint="eastAsia" w:ascii="宋体" w:hAnsi="宋体" w:eastAsia="宋体" w:cs="宋体"/>
          <w:color w:val="auto"/>
          <w:kern w:val="2"/>
          <w:sz w:val="24"/>
          <w:szCs w:val="24"/>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w:t>
      </w:r>
      <w:r>
        <w:rPr>
          <w:rFonts w:hint="eastAsia" w:hAnsi="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开标结束。</w:t>
      </w:r>
    </w:p>
    <w:p w14:paraId="7C65AC14">
      <w:pPr>
        <w:pStyle w:val="5"/>
        <w:spacing w:before="38" w:after="0" w:line="360" w:lineRule="auto"/>
        <w:ind w:firstLine="480" w:firstLineChars="200"/>
        <w:rPr>
          <w:rFonts w:hint="eastAsia" w:ascii="宋体" w:hAnsi="宋体" w:eastAsia="宋体" w:cs="宋体"/>
          <w:color w:val="auto"/>
          <w:sz w:val="24"/>
          <w:szCs w:val="22"/>
          <w:highlight w:val="none"/>
        </w:rPr>
      </w:pPr>
      <w:r>
        <w:rPr>
          <w:rFonts w:hint="eastAsia" w:hAnsi="宋体" w:cs="宋体"/>
          <w:color w:val="auto"/>
          <w:kern w:val="2"/>
          <w:sz w:val="24"/>
          <w:szCs w:val="24"/>
          <w:highlight w:val="none"/>
          <w:lang w:val="en-US" w:eastAsia="zh-CN"/>
        </w:rPr>
        <w:t>4.1</w:t>
      </w:r>
      <w:r>
        <w:rPr>
          <w:rFonts w:hint="eastAsia" w:ascii="宋体" w:hAnsi="宋体" w:eastAsia="宋体" w:cs="宋体"/>
          <w:color w:val="auto"/>
          <w:kern w:val="2"/>
          <w:sz w:val="24"/>
          <w:szCs w:val="24"/>
          <w:highlight w:val="none"/>
        </w:rPr>
        <w:t>.</w:t>
      </w:r>
      <w:r>
        <w:rPr>
          <w:rFonts w:hint="eastAsia" w:ascii="宋体" w:hAnsi="宋体" w:cs="宋体"/>
          <w:color w:val="auto"/>
          <w:kern w:val="2"/>
          <w:sz w:val="24"/>
          <w:szCs w:val="24"/>
          <w:highlight w:val="none"/>
          <w:lang w:val="en-US" w:eastAsia="zh-CN"/>
        </w:rPr>
        <w:t>7</w:t>
      </w:r>
      <w:r>
        <w:rPr>
          <w:rFonts w:hint="eastAsia" w:ascii="宋体" w:hAnsi="宋体" w:eastAsia="宋体" w:cs="宋体"/>
          <w:color w:val="auto"/>
          <w:kern w:val="2"/>
          <w:sz w:val="24"/>
          <w:szCs w:val="24"/>
          <w:highlight w:val="none"/>
        </w:rPr>
        <w:t>开标时，两个（含两个）以上的投标人加密打包投标文件电脑机器特征码一致的，由评标委员会否决其投标</w:t>
      </w:r>
      <w:r>
        <w:rPr>
          <w:rFonts w:hint="eastAsia" w:ascii="宋体" w:hAnsi="宋体" w:eastAsia="宋体" w:cs="宋体"/>
          <w:color w:val="auto"/>
          <w:sz w:val="24"/>
          <w:szCs w:val="21"/>
          <w:highlight w:val="none"/>
        </w:rPr>
        <w:t>。</w:t>
      </w:r>
    </w:p>
    <w:p w14:paraId="0FF4980C">
      <w:pPr>
        <w:pStyle w:val="5"/>
        <w:spacing w:after="0"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4.1.</w:t>
      </w:r>
      <w:r>
        <w:rPr>
          <w:rFonts w:hint="eastAsia" w:ascii="宋体" w:hAnsi="宋体" w:cs="宋体"/>
          <w:color w:val="auto"/>
          <w:sz w:val="24"/>
          <w:szCs w:val="21"/>
          <w:highlight w:val="none"/>
          <w:lang w:val="en-US" w:eastAsia="zh-CN"/>
        </w:rPr>
        <w:t>8</w:t>
      </w:r>
      <w:r>
        <w:rPr>
          <w:rFonts w:hint="eastAsia" w:ascii="宋体" w:hAnsi="宋体" w:eastAsia="宋体" w:cs="宋体"/>
          <w:color w:val="auto"/>
          <w:sz w:val="24"/>
          <w:szCs w:val="21"/>
          <w:highlight w:val="none"/>
        </w:rPr>
        <w:t>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10219111">
      <w:pPr>
        <w:snapToGrid w:val="0"/>
        <w:spacing w:line="360" w:lineRule="auto"/>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 xml:space="preserve">4.1.9 </w:t>
      </w:r>
      <w:r>
        <w:rPr>
          <w:rFonts w:hint="eastAsia" w:ascii="宋体" w:hAnsi="宋体" w:cs="宋体"/>
          <w:color w:val="auto"/>
          <w:sz w:val="24"/>
          <w:szCs w:val="24"/>
          <w:highlight w:val="none"/>
        </w:rPr>
        <w:t>对开标的异议，招标人应当当场作出答复并予以书面记录，异议成立的，招标人应当及时采取纠正措施，或者提交评标委员会评审确认；异议不成立的，招标人应当当场给予解释说明。投标人未参加开标或在规定的时间内未提出异议的，视为对开标无异议</w:t>
      </w:r>
      <w:r>
        <w:rPr>
          <w:rFonts w:hint="eastAsia" w:ascii="宋体" w:hAnsi="宋体" w:cs="宋体"/>
          <w:color w:val="auto"/>
          <w:sz w:val="24"/>
          <w:szCs w:val="24"/>
          <w:highlight w:val="none"/>
          <w:lang w:eastAsia="zh-CN"/>
        </w:rPr>
        <w:t>。</w:t>
      </w:r>
    </w:p>
    <w:p w14:paraId="5450C0D5">
      <w:pPr>
        <w:snapToGrid w:val="0"/>
        <w:spacing w:line="360" w:lineRule="auto"/>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cs="宋体"/>
          <w:color w:val="auto"/>
          <w:sz w:val="24"/>
          <w:szCs w:val="24"/>
          <w:highlight w:val="none"/>
          <w:lang w:val="en-US" w:eastAsia="zh-CN"/>
        </w:rPr>
        <w:t xml:space="preserve">4.1.10 </w:t>
      </w:r>
      <w:r>
        <w:rPr>
          <w:rFonts w:hint="eastAsia" w:ascii="宋体" w:hAnsi="宋体" w:cs="宋体"/>
          <w:color w:val="auto"/>
          <w:sz w:val="24"/>
          <w:szCs w:val="24"/>
          <w:highlight w:val="none"/>
        </w:rPr>
        <w:t>招标人应当按照同一异议提起人一份记录的方式，对异议事项的处理应逐条进行书面记录，其中异议事项由异议提起人签名确认，作出的答复由招标人签名确认。书面记录含义应清晰而明确，包括但不限于纠正的措施、解释说明的内容、相关依据等</w:t>
      </w:r>
      <w:r>
        <w:rPr>
          <w:rFonts w:hint="eastAsia" w:ascii="宋体" w:hAnsi="宋体" w:cs="宋体"/>
          <w:color w:val="auto"/>
          <w:sz w:val="24"/>
          <w:szCs w:val="24"/>
          <w:highlight w:val="none"/>
          <w:lang w:eastAsia="zh-CN"/>
        </w:rPr>
        <w:t>。</w:t>
      </w:r>
    </w:p>
    <w:p w14:paraId="2CB939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4.2评标程序：</w:t>
      </w:r>
    </w:p>
    <w:p w14:paraId="1D82904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4.2.1投标人资格审查；</w:t>
      </w:r>
    </w:p>
    <w:p w14:paraId="645FE1E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4.2.2投标文件符合性审查；</w:t>
      </w:r>
    </w:p>
    <w:p w14:paraId="108E1D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4.2.3投标文件</w:t>
      </w:r>
      <w:r>
        <w:rPr>
          <w:rFonts w:hint="eastAsia" w:ascii="宋体" w:hAnsi="宋体" w:cs="宋体"/>
          <w:color w:val="auto"/>
          <w:sz w:val="24"/>
          <w:szCs w:val="24"/>
          <w:highlight w:val="none"/>
        </w:rPr>
        <w:t>综合</w:t>
      </w:r>
      <w:r>
        <w:rPr>
          <w:rFonts w:hint="eastAsia" w:ascii="宋体" w:hAnsi="宋体" w:eastAsia="宋体" w:cs="宋体"/>
          <w:color w:val="auto"/>
          <w:kern w:val="2"/>
          <w:sz w:val="24"/>
          <w:szCs w:val="24"/>
          <w:highlight w:val="none"/>
        </w:rPr>
        <w:t>评审，得出投标人的</w:t>
      </w:r>
      <w:r>
        <w:rPr>
          <w:rFonts w:hint="eastAsia" w:ascii="宋体" w:hAnsi="宋体" w:cs="宋体"/>
          <w:color w:val="auto"/>
          <w:sz w:val="24"/>
          <w:szCs w:val="24"/>
          <w:highlight w:val="none"/>
        </w:rPr>
        <w:t>综合</w:t>
      </w:r>
      <w:r>
        <w:rPr>
          <w:rFonts w:hint="eastAsia" w:ascii="宋体" w:hAnsi="宋体" w:cs="宋体"/>
          <w:color w:val="auto"/>
          <w:sz w:val="24"/>
          <w:szCs w:val="24"/>
          <w:highlight w:val="none"/>
          <w:lang w:eastAsia="zh-CN"/>
        </w:rPr>
        <w:t>评审</w:t>
      </w:r>
      <w:r>
        <w:rPr>
          <w:rFonts w:hint="eastAsia" w:ascii="宋体" w:hAnsi="宋体" w:cs="宋体"/>
          <w:color w:val="auto"/>
          <w:sz w:val="24"/>
          <w:szCs w:val="24"/>
          <w:highlight w:val="none"/>
        </w:rPr>
        <w:t>得分</w:t>
      </w:r>
      <w:r>
        <w:rPr>
          <w:rFonts w:hint="eastAsia" w:ascii="宋体" w:hAnsi="宋体" w:eastAsia="宋体" w:cs="宋体"/>
          <w:color w:val="auto"/>
          <w:kern w:val="2"/>
          <w:sz w:val="24"/>
          <w:szCs w:val="24"/>
          <w:highlight w:val="none"/>
        </w:rPr>
        <w:t>；</w:t>
      </w:r>
    </w:p>
    <w:p w14:paraId="0FE9807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w:t>
      </w:r>
      <w:r>
        <w:rPr>
          <w:rFonts w:hint="eastAsia" w:ascii="宋体" w:hAnsi="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计算投标人</w:t>
      </w:r>
      <w:r>
        <w:rPr>
          <w:rFonts w:hint="eastAsia" w:ascii="宋体" w:hAnsi="宋体" w:cs="宋体"/>
          <w:color w:val="auto"/>
          <w:sz w:val="24"/>
          <w:szCs w:val="24"/>
          <w:highlight w:val="none"/>
        </w:rPr>
        <w:t>综合</w:t>
      </w:r>
      <w:r>
        <w:rPr>
          <w:rFonts w:hint="eastAsia" w:ascii="宋体" w:hAnsi="宋体" w:cs="宋体"/>
          <w:color w:val="auto"/>
          <w:sz w:val="24"/>
          <w:szCs w:val="24"/>
          <w:highlight w:val="none"/>
          <w:lang w:eastAsia="zh-CN"/>
        </w:rPr>
        <w:t>评审</w:t>
      </w:r>
      <w:r>
        <w:rPr>
          <w:rFonts w:hint="eastAsia" w:ascii="宋体" w:hAnsi="宋体" w:cs="宋体"/>
          <w:color w:val="auto"/>
          <w:sz w:val="24"/>
          <w:szCs w:val="24"/>
          <w:highlight w:val="none"/>
        </w:rPr>
        <w:t>得分</w:t>
      </w:r>
      <w:r>
        <w:rPr>
          <w:rFonts w:hint="eastAsia" w:ascii="宋体" w:hAnsi="宋体" w:eastAsia="宋体" w:cs="宋体"/>
          <w:color w:val="auto"/>
          <w:kern w:val="2"/>
          <w:sz w:val="24"/>
          <w:szCs w:val="24"/>
          <w:highlight w:val="none"/>
        </w:rPr>
        <w:t>并从高到低进行排序；</w:t>
      </w:r>
    </w:p>
    <w:p w14:paraId="5C6F7B0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4.2.</w:t>
      </w:r>
      <w:r>
        <w:rPr>
          <w:rFonts w:hint="eastAsia" w:ascii="宋体" w:hAnsi="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完成评标报告，向招标人推荐中标候选人。</w:t>
      </w:r>
    </w:p>
    <w:p w14:paraId="3B87DC6B">
      <w:pPr>
        <w:spacing w:line="360" w:lineRule="auto"/>
        <w:ind w:firstLine="482" w:firstLineChars="200"/>
        <w:rPr>
          <w:rFonts w:hint="eastAsia" w:ascii="宋体" w:hAnsi="宋体" w:eastAsia="宋体" w:cs="宋体"/>
          <w:b/>
          <w:color w:val="auto"/>
          <w:sz w:val="24"/>
          <w:szCs w:val="24"/>
          <w:highlight w:val="none"/>
        </w:rPr>
      </w:pPr>
      <w:bookmarkStart w:id="168" w:name="_Toc455670312"/>
      <w:bookmarkStart w:id="169" w:name="_Toc351381974"/>
      <w:r>
        <w:rPr>
          <w:rFonts w:hint="eastAsia" w:ascii="宋体" w:hAnsi="宋体" w:eastAsia="宋体" w:cs="宋体"/>
          <w:b/>
          <w:color w:val="auto"/>
          <w:kern w:val="2"/>
          <w:sz w:val="24"/>
          <w:szCs w:val="24"/>
          <w:highlight w:val="none"/>
        </w:rPr>
        <w:t>5. 投标人资格审查</w:t>
      </w:r>
    </w:p>
    <w:p w14:paraId="4F4C88E3">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5.1评标委员会按照《资格审查表》（见表1）对投标人进行资格审查，只有</w:t>
      </w:r>
    </w:p>
    <w:p w14:paraId="18C846DE">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全部满足《资格审查表》所列的所有条件的投标人，才能通过资格审查，进入后续评审；资格审查不进行详细打分，标准只有通过与不通过之分。评委对各投标文件评审时，对每个不通过评审的具体项目须写出评审依据。</w:t>
      </w:r>
    </w:p>
    <w:p w14:paraId="30A5E914">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5.2</w:t>
      </w:r>
      <w:r>
        <w:rPr>
          <w:rFonts w:hint="eastAsia" w:ascii="宋体" w:hAnsi="宋体" w:eastAsia="宋体" w:cs="宋体"/>
          <w:color w:val="auto"/>
          <w:sz w:val="24"/>
          <w:szCs w:val="24"/>
          <w:highlight w:val="none"/>
        </w:rPr>
        <w:t>本次招标资格审查实行合格制法，即只要投标人的资格条件满足投标人资格要求，则该投标人的资格审查结果为合格。</w:t>
      </w:r>
    </w:p>
    <w:p w14:paraId="6D5CDFF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bidi="ar"/>
        </w:rPr>
        <w:t>当通过资格审查的正式投标人不足3名时，则</w:t>
      </w:r>
      <w:r>
        <w:rPr>
          <w:rFonts w:hint="eastAsia" w:ascii="宋体" w:hAnsi="宋体" w:cs="宋体"/>
          <w:color w:val="auto"/>
          <w:kern w:val="2"/>
          <w:sz w:val="24"/>
          <w:szCs w:val="24"/>
          <w:highlight w:val="none"/>
          <w:lang w:val="en-US" w:eastAsia="zh-CN" w:bidi="ar"/>
        </w:rPr>
        <w:t>本项目</w:t>
      </w:r>
      <w:r>
        <w:rPr>
          <w:rFonts w:hint="eastAsia" w:ascii="宋体" w:hAnsi="宋体" w:eastAsia="宋体" w:cs="宋体"/>
          <w:color w:val="auto"/>
          <w:kern w:val="2"/>
          <w:sz w:val="24"/>
          <w:szCs w:val="24"/>
          <w:highlight w:val="none"/>
          <w:lang w:bidi="ar"/>
        </w:rPr>
        <w:t>招标失败</w:t>
      </w:r>
      <w:r>
        <w:rPr>
          <w:rFonts w:hint="eastAsia" w:ascii="宋体" w:hAnsi="宋体" w:eastAsia="宋体" w:cs="宋体"/>
          <w:color w:val="auto"/>
          <w:kern w:val="2"/>
          <w:sz w:val="24"/>
          <w:szCs w:val="24"/>
          <w:highlight w:val="none"/>
        </w:rPr>
        <w:t>，招标人依法重新组织招标</w:t>
      </w:r>
      <w:r>
        <w:rPr>
          <w:rFonts w:hint="eastAsia" w:ascii="宋体" w:hAnsi="宋体" w:eastAsia="宋体" w:cs="宋体"/>
          <w:color w:val="auto"/>
          <w:kern w:val="2"/>
          <w:sz w:val="24"/>
          <w:szCs w:val="24"/>
          <w:highlight w:val="none"/>
          <w:lang w:bidi="ar"/>
        </w:rPr>
        <w:t>。</w:t>
      </w:r>
    </w:p>
    <w:p w14:paraId="557E7DC0">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6. 投标文件的有效性</w:t>
      </w:r>
      <w:bookmarkEnd w:id="168"/>
      <w:bookmarkEnd w:id="169"/>
    </w:p>
    <w:p w14:paraId="2FCF8409">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6.1  评标委员会对通过资格审查的投标文件按照《符合性审查表》（见表2）</w:t>
      </w:r>
    </w:p>
    <w:p w14:paraId="6798539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对投标人进行符合性审查，只有实质性响应的投标文件才能视为通过，并进入后续评审；符合性审查不进行详细打分，标准只有通过与不通过之分。评委对各投标文件评审时，对每个不通过评审的具体项目须写出评审依据。符合性审查表中有任一项不通过时，则该投标文件符合性审查不通过，最终由评标委员会以“少数服从多数”原则确定投标人是否通过符合性审查。经评定有效投标人不足3名时，则该项目招标失败，招标人应当依法重新组织招标。</w:t>
      </w:r>
    </w:p>
    <w:p w14:paraId="52B7E129">
      <w:pPr>
        <w:spacing w:line="360" w:lineRule="auto"/>
        <w:ind w:firstLine="482" w:firstLineChars="200"/>
        <w:rPr>
          <w:rFonts w:hint="eastAsia" w:ascii="宋体" w:hAnsi="宋体" w:eastAsia="宋体" w:cs="宋体"/>
          <w:b/>
          <w:color w:val="auto"/>
          <w:sz w:val="24"/>
          <w:szCs w:val="24"/>
          <w:highlight w:val="none"/>
        </w:rPr>
      </w:pPr>
      <w:bookmarkStart w:id="170" w:name="_Toc455670313"/>
      <w:bookmarkStart w:id="171" w:name="_Toc351381975"/>
      <w:r>
        <w:rPr>
          <w:rFonts w:hint="eastAsia" w:ascii="宋体" w:hAnsi="宋体" w:eastAsia="宋体" w:cs="宋体"/>
          <w:b/>
          <w:color w:val="auto"/>
          <w:kern w:val="2"/>
          <w:sz w:val="24"/>
          <w:szCs w:val="24"/>
          <w:highlight w:val="none"/>
        </w:rPr>
        <w:t>7．投标文件计算错误的修正</w:t>
      </w:r>
      <w:bookmarkEnd w:id="170"/>
      <w:bookmarkEnd w:id="171"/>
    </w:p>
    <w:p w14:paraId="71C3DFE0">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7.1  投标报价有算术错误的，评标委员会按以下原则对投标报价进行修正，</w:t>
      </w:r>
    </w:p>
    <w:p w14:paraId="01D85A3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修正的价格经投标人书面确认后具有约束力。投标人不接受修正价格的，其投标作废标处理。</w:t>
      </w:r>
    </w:p>
    <w:p w14:paraId="23D8456C">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7.1.1若表示金额的小写和大写数字不一致时，以大写数字表示的金额为准。</w:t>
      </w:r>
    </w:p>
    <w:p w14:paraId="2CD3D495">
      <w:pPr>
        <w:spacing w:line="360" w:lineRule="auto"/>
        <w:ind w:left="629" w:hanging="628" w:hangingChars="262"/>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 xml:space="preserve">    7.1.2若单价与数量的乘积与合价不一致时，以单价为准，修改合价，除非评</w:t>
      </w:r>
    </w:p>
    <w:p w14:paraId="0C299B18">
      <w:pPr>
        <w:spacing w:line="360" w:lineRule="auto"/>
        <w:ind w:left="629" w:hanging="628" w:hangingChars="262"/>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审委员会认为单价有明显的小数点错误，此时应以标出的合价为准，并修改单价。</w:t>
      </w:r>
    </w:p>
    <w:p w14:paraId="754C29A7">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7.1.3若合价金额累加错误时，可进行累加修正。投标报价按照就低不就高的</w:t>
      </w:r>
    </w:p>
    <w:p w14:paraId="6806F02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原则进行算术校核，确定最终报价总价。当合价金额累加不等于报价总价时，若合价金额累加的正确值低于报价总价，则修正报价总价（调至正确值）；若合价金额累加的正确值高于原报价总价，则保持原报价总价不变，并平均降低各合价金额及单价（使合价金额累加等于原报价总价）。</w:t>
      </w:r>
    </w:p>
    <w:p w14:paraId="73632A2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7.1.4评审委员会按以上报价修正原则对报价进行相应的修正后，修正后的总价若高于原报价总价，则发包价以原报价总价为准；修正后的总价若低于原报价总价，则发包价以修正后的总价为准。</w:t>
      </w:r>
    </w:p>
    <w:p w14:paraId="0D059555">
      <w:pPr>
        <w:spacing w:line="360" w:lineRule="auto"/>
        <w:ind w:left="623" w:leftChars="227" w:hanging="146" w:hangingChars="6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7.1.5承包人报价如有缺项、漏项，则按其对应项所报的单价按比例调整，如</w:t>
      </w:r>
    </w:p>
    <w:p w14:paraId="06BFFE93">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kern w:val="2"/>
          <w:sz w:val="24"/>
          <w:szCs w:val="24"/>
          <w:highlight w:val="none"/>
        </w:rPr>
        <w:t>果在其报价中找不到对应项，则将其他承包人报价中该项价格的最高值加进该承包人的报价总价进行调整，调整后的价格作为承包人价格评审的基础。承包人如经评定为中选单位候选人，其缺项、漏项的报价视为已包含在其他项目中，不得增加报价。</w:t>
      </w:r>
    </w:p>
    <w:p w14:paraId="458A225E">
      <w:pPr>
        <w:spacing w:line="360" w:lineRule="auto"/>
        <w:ind w:left="628" w:leftChars="229" w:hanging="147" w:hangingChars="61"/>
        <w:rPr>
          <w:rFonts w:hint="eastAsia" w:ascii="宋体" w:hAnsi="宋体" w:eastAsia="宋体" w:cs="宋体"/>
          <w:b/>
          <w:color w:val="auto"/>
          <w:sz w:val="24"/>
          <w:szCs w:val="24"/>
          <w:highlight w:val="none"/>
        </w:rPr>
      </w:pPr>
      <w:bookmarkStart w:id="172" w:name="_Toc455670314"/>
      <w:r>
        <w:rPr>
          <w:rFonts w:hint="eastAsia" w:ascii="宋体" w:hAnsi="宋体" w:eastAsia="宋体" w:cs="宋体"/>
          <w:b/>
          <w:color w:val="auto"/>
          <w:kern w:val="2"/>
          <w:sz w:val="24"/>
          <w:szCs w:val="24"/>
          <w:highlight w:val="none"/>
        </w:rPr>
        <w:t>8．</w:t>
      </w:r>
      <w:bookmarkEnd w:id="172"/>
      <w:r>
        <w:rPr>
          <w:rFonts w:hint="eastAsia" w:ascii="宋体" w:hAnsi="宋体" w:eastAsia="宋体" w:cs="宋体"/>
          <w:b/>
          <w:color w:val="auto"/>
          <w:kern w:val="2"/>
          <w:sz w:val="24"/>
          <w:szCs w:val="24"/>
          <w:highlight w:val="none"/>
        </w:rPr>
        <w:t>评标细则</w:t>
      </w:r>
    </w:p>
    <w:p w14:paraId="2688BF7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8.1  在详细评标之前，评标委员会要审查每份投标文件是否实质上响应了招标文件的要求。实质上响应的投标应该是与招标文件要求的全部条款、条件和规格相符合，没有重大偏离或保留的投标。所谓重大偏离或保留是指实质上影响合同的服务范围、质量和性能；或者实质上与招标文件不一致，而且限制了合同中招标人的权利或投标人的义务。纠正这些偏离或保留将会对其他实质上响应要求的投标人的竞争地位产生不公正的影响。评标委员会决定投标文件的响应性只根据投标文件本身的内容，而不寻找外部的证据。</w:t>
      </w:r>
    </w:p>
    <w:p w14:paraId="265B222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投标文件实质性响应招标文件的标准：投标文件中没有出现任何一种属于招标文件所列出的应予以否决的投标或显著差异（或保留）或重大偏差条款。</w:t>
      </w:r>
    </w:p>
    <w:p w14:paraId="72EDFC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8.2  评委对实质性响应招标文件的各投标文件进行详细综合评审。</w:t>
      </w:r>
    </w:p>
    <w:p w14:paraId="7F269668">
      <w:pPr>
        <w:spacing w:line="360" w:lineRule="auto"/>
        <w:ind w:firstLine="480" w:firstLineChars="200"/>
        <w:rPr>
          <w:rFonts w:hint="eastAsia" w:ascii="宋体" w:hAnsi="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8.3  综合评审采用百分制表示，主要对投标人的商务技术部分</w:t>
      </w:r>
      <w:r>
        <w:rPr>
          <w:rFonts w:hint="eastAsia" w:ascii="宋体" w:hAnsi="宋体" w:cs="宋体"/>
          <w:color w:val="auto"/>
          <w:kern w:val="2"/>
          <w:sz w:val="24"/>
          <w:szCs w:val="24"/>
          <w:highlight w:val="none"/>
          <w:lang w:val="en-US" w:eastAsia="zh-CN"/>
        </w:rPr>
        <w:t>及</w:t>
      </w:r>
      <w:r>
        <w:rPr>
          <w:rFonts w:hint="eastAsia" w:ascii="宋体" w:hAnsi="宋体" w:eastAsia="宋体" w:cs="宋体"/>
          <w:color w:val="auto"/>
          <w:kern w:val="2"/>
          <w:sz w:val="24"/>
          <w:szCs w:val="24"/>
          <w:highlight w:val="none"/>
        </w:rPr>
        <w:t>投标报价部分两个方面进行评议</w:t>
      </w:r>
      <w:r>
        <w:rPr>
          <w:rFonts w:hint="eastAsia" w:ascii="宋体" w:hAnsi="宋体" w:cs="宋体"/>
          <w:color w:val="auto"/>
          <w:kern w:val="2"/>
          <w:sz w:val="24"/>
          <w:szCs w:val="24"/>
          <w:highlight w:val="none"/>
          <w:lang w:eastAsia="zh-CN"/>
        </w:rPr>
        <w:t>。</w:t>
      </w:r>
    </w:p>
    <w:p w14:paraId="2435D9F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评分权重：</w:t>
      </w:r>
    </w:p>
    <w:tbl>
      <w:tblPr>
        <w:tblStyle w:val="20"/>
        <w:tblW w:w="68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1"/>
        <w:gridCol w:w="2282"/>
        <w:gridCol w:w="2283"/>
      </w:tblGrid>
      <w:tr w14:paraId="5FAC8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2281" w:type="dxa"/>
            <w:noWrap w:val="0"/>
            <w:vAlign w:val="center"/>
          </w:tcPr>
          <w:p w14:paraId="348B1B10">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项目</w:t>
            </w:r>
          </w:p>
        </w:tc>
        <w:tc>
          <w:tcPr>
            <w:tcW w:w="2282" w:type="dxa"/>
            <w:noWrap w:val="0"/>
            <w:vAlign w:val="center"/>
          </w:tcPr>
          <w:p w14:paraId="595C2E98">
            <w:pPr>
              <w:spacing w:line="36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w:t>
            </w:r>
            <w:r>
              <w:rPr>
                <w:rFonts w:hint="eastAsia" w:ascii="宋体" w:hAnsi="宋体" w:eastAsia="宋体" w:cs="宋体"/>
                <w:color w:val="auto"/>
                <w:kern w:val="2"/>
                <w:sz w:val="24"/>
                <w:szCs w:val="24"/>
                <w:highlight w:val="none"/>
              </w:rPr>
              <w:t>部分</w:t>
            </w:r>
          </w:p>
        </w:tc>
        <w:tc>
          <w:tcPr>
            <w:tcW w:w="2283" w:type="dxa"/>
            <w:noWrap w:val="0"/>
            <w:vAlign w:val="center"/>
          </w:tcPr>
          <w:p w14:paraId="4F052AB3">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投标报价部分</w:t>
            </w:r>
          </w:p>
        </w:tc>
      </w:tr>
      <w:tr w14:paraId="5E739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2281" w:type="dxa"/>
            <w:noWrap w:val="0"/>
            <w:vAlign w:val="center"/>
          </w:tcPr>
          <w:p w14:paraId="3312F6D6">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分值</w:t>
            </w:r>
          </w:p>
        </w:tc>
        <w:tc>
          <w:tcPr>
            <w:tcW w:w="2282" w:type="dxa"/>
            <w:noWrap w:val="0"/>
            <w:vAlign w:val="center"/>
          </w:tcPr>
          <w:p w14:paraId="55D87215">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cs="宋体"/>
                <w:color w:val="auto"/>
                <w:kern w:val="2"/>
                <w:sz w:val="24"/>
                <w:szCs w:val="24"/>
                <w:highlight w:val="none"/>
                <w:lang w:val="en-US" w:eastAsia="zh-CN"/>
              </w:rPr>
              <w:t>7</w:t>
            </w:r>
            <w:r>
              <w:rPr>
                <w:rFonts w:hint="eastAsia" w:ascii="宋体" w:hAnsi="宋体" w:eastAsia="宋体" w:cs="宋体"/>
                <w:color w:val="auto"/>
                <w:kern w:val="2"/>
                <w:sz w:val="24"/>
                <w:szCs w:val="24"/>
                <w:highlight w:val="none"/>
              </w:rPr>
              <w:t>0分</w:t>
            </w:r>
          </w:p>
        </w:tc>
        <w:tc>
          <w:tcPr>
            <w:tcW w:w="2283" w:type="dxa"/>
            <w:noWrap w:val="0"/>
            <w:vAlign w:val="center"/>
          </w:tcPr>
          <w:p w14:paraId="11E699BF">
            <w:pPr>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0分</w:t>
            </w:r>
          </w:p>
        </w:tc>
      </w:tr>
    </w:tbl>
    <w:p w14:paraId="59ED3E7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8.3.1</w:t>
      </w:r>
      <w:r>
        <w:rPr>
          <w:rFonts w:hint="eastAsia" w:ascii="宋体" w:hAnsi="宋体" w:cs="宋体"/>
          <w:color w:val="auto"/>
          <w:kern w:val="2"/>
          <w:sz w:val="24"/>
          <w:szCs w:val="24"/>
          <w:highlight w:val="none"/>
          <w:lang w:val="en-US" w:eastAsia="zh-CN"/>
        </w:rPr>
        <w:t xml:space="preserve"> </w:t>
      </w:r>
      <w:r>
        <w:rPr>
          <w:rFonts w:hint="eastAsia" w:ascii="宋体" w:hAnsi="宋体" w:cs="宋体"/>
          <w:color w:val="auto"/>
          <w:sz w:val="24"/>
          <w:szCs w:val="24"/>
          <w:highlight w:val="none"/>
          <w:lang w:val="en-US" w:eastAsia="zh-CN"/>
        </w:rPr>
        <w:t>商务技术</w:t>
      </w:r>
      <w:r>
        <w:rPr>
          <w:rFonts w:hint="eastAsia" w:ascii="宋体" w:hAnsi="宋体" w:eastAsia="宋体" w:cs="宋体"/>
          <w:color w:val="auto"/>
          <w:kern w:val="2"/>
          <w:sz w:val="24"/>
          <w:szCs w:val="24"/>
          <w:highlight w:val="none"/>
        </w:rPr>
        <w:t>评审(满分</w:t>
      </w:r>
      <w:r>
        <w:rPr>
          <w:rFonts w:hint="eastAsia" w:ascii="宋体" w:hAnsi="宋体" w:cs="宋体"/>
          <w:color w:val="auto"/>
          <w:kern w:val="2"/>
          <w:sz w:val="24"/>
          <w:szCs w:val="24"/>
          <w:highlight w:val="none"/>
          <w:lang w:val="en-US" w:eastAsia="zh-CN"/>
        </w:rPr>
        <w:t>70</w:t>
      </w:r>
      <w:r>
        <w:rPr>
          <w:rFonts w:hint="eastAsia" w:ascii="宋体" w:hAnsi="宋体" w:eastAsia="宋体" w:cs="宋体"/>
          <w:color w:val="auto"/>
          <w:kern w:val="2"/>
          <w:sz w:val="24"/>
          <w:szCs w:val="24"/>
          <w:highlight w:val="none"/>
        </w:rPr>
        <w:t>分)（见表3）</w:t>
      </w:r>
    </w:p>
    <w:p w14:paraId="789B33B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评标委员会按“</w:t>
      </w:r>
      <w:r>
        <w:rPr>
          <w:rFonts w:hint="eastAsia" w:ascii="宋体" w:hAnsi="宋体" w:cs="宋体"/>
          <w:color w:val="auto"/>
          <w:sz w:val="24"/>
          <w:szCs w:val="24"/>
          <w:highlight w:val="none"/>
          <w:lang w:val="en-US" w:eastAsia="zh-CN"/>
        </w:rPr>
        <w:t>商务技术</w:t>
      </w:r>
      <w:r>
        <w:rPr>
          <w:rFonts w:hint="eastAsia" w:ascii="宋体" w:hAnsi="宋体" w:eastAsia="宋体" w:cs="宋体"/>
          <w:color w:val="auto"/>
          <w:kern w:val="2"/>
          <w:sz w:val="24"/>
          <w:szCs w:val="24"/>
          <w:highlight w:val="none"/>
        </w:rPr>
        <w:t>评审细则”的规定对所有通过符合性审查的投标人进行商务技术评分。取全组评委的商务技术评审评分的算术平均值为该投标人的商务技术得分。若出现小数，以四舍五入的方式保留</w:t>
      </w:r>
      <w:r>
        <w:rPr>
          <w:rFonts w:hint="eastAsia" w:ascii="宋体"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位小数。</w:t>
      </w:r>
    </w:p>
    <w:p w14:paraId="56DCBBC6">
      <w:pPr>
        <w:adjustRightInd/>
        <w:snapToGrid/>
        <w:spacing w:beforeLines="0" w:afterLines="0" w:line="360" w:lineRule="auto"/>
        <w:ind w:left="0" w:firstLine="480"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color w:val="auto"/>
          <w:kern w:val="2"/>
          <w:sz w:val="24"/>
          <w:szCs w:val="24"/>
          <w:highlight w:val="none"/>
        </w:rPr>
        <w:t>8.3.2 投标报价评审(满分</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0分)（见表4）</w:t>
      </w:r>
    </w:p>
    <w:p w14:paraId="31FE2636">
      <w:pPr>
        <w:adjustRightInd w:val="0"/>
        <w:snapToGrid w:val="0"/>
        <w:spacing w:beforeLines="0" w:afterLines="0" w:line="360" w:lineRule="auto"/>
        <w:ind w:left="1"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）确定评标基准</w:t>
      </w:r>
      <w:r>
        <w:rPr>
          <w:rFonts w:hint="eastAsia" w:ascii="宋体" w:hAnsi="宋体" w:eastAsia="宋体" w:cs="宋体"/>
          <w:b/>
          <w:bCs/>
          <w:color w:val="auto"/>
          <w:sz w:val="24"/>
          <w:szCs w:val="24"/>
          <w:highlight w:val="none"/>
          <w:lang w:val="en-US" w:eastAsia="zh-CN"/>
        </w:rPr>
        <w:t>价</w:t>
      </w:r>
      <w:r>
        <w:rPr>
          <w:rFonts w:hint="eastAsia" w:ascii="宋体" w:hAnsi="宋体" w:eastAsia="宋体" w:cs="宋体"/>
          <w:b/>
          <w:bCs/>
          <w:color w:val="auto"/>
          <w:sz w:val="24"/>
          <w:szCs w:val="24"/>
          <w:highlight w:val="none"/>
        </w:rPr>
        <w:t>：</w:t>
      </w:r>
    </w:p>
    <w:p w14:paraId="76480FE1">
      <w:pPr>
        <w:numPr>
          <w:ilvl w:val="-1"/>
          <w:numId w:val="0"/>
        </w:numPr>
        <w:spacing w:beforeLines="-2147483648" w:afterLines="-2147483648" w:line="360" w:lineRule="auto"/>
        <w:ind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zh-TW" w:eastAsia="zh-TW"/>
        </w:rPr>
        <w:t>将技术评审得分的前</w:t>
      </w:r>
      <w:r>
        <w:rPr>
          <w:rFonts w:hint="eastAsia" w:ascii="宋体" w:hAnsi="宋体" w:eastAsia="宋体" w:cs="宋体"/>
          <w:color w:val="auto"/>
          <w:kern w:val="2"/>
          <w:sz w:val="24"/>
          <w:szCs w:val="24"/>
          <w:highlight w:val="none"/>
        </w:rPr>
        <w:t>N</w:t>
      </w:r>
      <w:r>
        <w:rPr>
          <w:rFonts w:hint="eastAsia" w:ascii="宋体" w:hAnsi="宋体" w:eastAsia="宋体" w:cs="宋体"/>
          <w:color w:val="auto"/>
          <w:kern w:val="2"/>
          <w:sz w:val="24"/>
          <w:szCs w:val="24"/>
          <w:highlight w:val="none"/>
          <w:lang w:val="zh-TW" w:eastAsia="zh-TW"/>
        </w:rPr>
        <w:t>名排序</w:t>
      </w:r>
      <w:r>
        <w:rPr>
          <w:rFonts w:hint="eastAsia" w:ascii="宋体" w:hAnsi="宋体" w:eastAsia="宋体" w:cs="宋体"/>
          <w:color w:val="auto"/>
          <w:sz w:val="24"/>
          <w:szCs w:val="24"/>
          <w:highlight w:val="none"/>
          <w:lang w:val="zh-TW" w:eastAsia="zh-TW"/>
        </w:rPr>
        <w:t>（若技术</w:t>
      </w:r>
      <w:r>
        <w:rPr>
          <w:rFonts w:hint="eastAsia" w:ascii="宋体" w:hAnsi="宋体" w:eastAsia="宋体" w:cs="宋体"/>
          <w:color w:val="auto"/>
          <w:kern w:val="2"/>
          <w:sz w:val="24"/>
          <w:szCs w:val="24"/>
          <w:highlight w:val="none"/>
          <w:lang w:val="zh-TW" w:eastAsia="zh-TW"/>
        </w:rPr>
        <w:t>评审</w:t>
      </w:r>
      <w:r>
        <w:rPr>
          <w:rFonts w:hint="eastAsia" w:ascii="宋体" w:hAnsi="宋体" w:eastAsia="宋体" w:cs="宋体"/>
          <w:color w:val="auto"/>
          <w:sz w:val="24"/>
          <w:szCs w:val="24"/>
          <w:highlight w:val="none"/>
          <w:lang w:val="zh-TW" w:eastAsia="zh-TW"/>
        </w:rPr>
        <w:t>得分相同的，由评标委员会采用记名投票方式，确定投标人的排序。）</w:t>
      </w:r>
    </w:p>
    <w:p w14:paraId="3A9B8317">
      <w:pPr>
        <w:numPr>
          <w:ilvl w:val="-1"/>
          <w:numId w:val="0"/>
        </w:numPr>
        <w:spacing w:beforeLines="-2147483648" w:afterLines="-2147483648"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1、当有效投标报价的投标人少于或等于7个时，取全部有效投标报价的加权平均按随机抽取的评标基准价下浮率(0～3%，0.5一个级别)下浮作为评标基准价。</w:t>
      </w:r>
    </w:p>
    <w:p w14:paraId="774E8547">
      <w:pPr>
        <w:numPr>
          <w:ilvl w:val="-1"/>
          <w:numId w:val="0"/>
        </w:numPr>
        <w:spacing w:beforeLines="-2147483648" w:afterLines="-2147483648"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2、当有效投标报价的投标人大于7个小于10个时，从全部有效投标报价中去掉一个最大值和最小值，其他有效投标报价的加权平均值按随机抽取的评标基准价下浮率(0～3%，0.5一个级别)下浮作为评标基准价。”</w:t>
      </w:r>
    </w:p>
    <w:p w14:paraId="6E8070E0">
      <w:pPr>
        <w:numPr>
          <w:ilvl w:val="-1"/>
          <w:numId w:val="0"/>
        </w:numPr>
        <w:spacing w:beforeLines="-2147483648" w:afterLines="-2147483648"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3、当有效投标报价的投标人数量大于或等于10时,随机从前10名抽取7个有效投标报价，从中去掉一个最大值和最小值后计算加权平均值,该乎均值按随机抽取的评标基准价下浮率(0～3%，0.5一个级别)下浮作为评标基准价。</w:t>
      </w:r>
    </w:p>
    <w:p w14:paraId="2D58F6B1">
      <w:pPr>
        <w:numPr>
          <w:ilvl w:val="-1"/>
          <w:numId w:val="0"/>
        </w:numPr>
        <w:spacing w:beforeLines="-2147483648" w:afterLines="-2147483648"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按上述办法确定参与计算评标参考价的投标报价后，计算评标参考价计算公式如下:</w:t>
      </w:r>
    </w:p>
    <w:p w14:paraId="768EAA04">
      <w:pPr>
        <w:numPr>
          <w:ilvl w:val="-1"/>
          <w:numId w:val="0"/>
        </w:numPr>
        <w:spacing w:beforeLines="-2147483648" w:afterLines="-2147483648"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评标参考价＝∑（投标人的投标报价*报价权重）</w:t>
      </w:r>
    </w:p>
    <w:p w14:paraId="2277B4DB">
      <w:pPr>
        <w:adjustRightInd/>
        <w:snapToGrid/>
        <w:spacing w:beforeLines="-2147483648" w:afterLines="-2147483648" w:line="360" w:lineRule="auto"/>
        <w:ind w:left="0" w:firstLine="480" w:firstLineChars="200"/>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其中：报价权重的计算方法为：将N名投标人按技术评审得分由高至低进行排序，第一名投标人的权重为（</w:t>
      </w:r>
      <w:r>
        <w:rPr>
          <w:rFonts w:hint="eastAsia" w:ascii="宋体" w:hAnsi="宋体" w:eastAsia="宋体" w:cs="宋体"/>
          <w:color w:val="auto"/>
          <w:sz w:val="24"/>
          <w:szCs w:val="24"/>
          <w:highlight w:val="none"/>
          <w:lang w:val="zh-TW" w:eastAsia="zh-TW"/>
        </w:rPr>
        <w:drawing>
          <wp:inline distT="0" distB="0" distL="114300" distR="114300">
            <wp:extent cx="235585" cy="286385"/>
            <wp:effectExtent l="0" t="0" r="12065" b="18415"/>
            <wp:docPr id="9" name="图片 1" descr="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 10"/>
                    <pic:cNvPicPr>
                      <a:picLocks noChangeAspect="1"/>
                    </pic:cNvPicPr>
                  </pic:nvPicPr>
                  <pic:blipFill>
                    <a:blip r:embed="rId19"/>
                    <a:stretch>
                      <a:fillRect/>
                    </a:stretch>
                  </pic:blipFill>
                  <pic:spPr>
                    <a:xfrm>
                      <a:off x="0" y="0"/>
                      <a:ext cx="235585" cy="286385"/>
                    </a:xfrm>
                    <a:prstGeom prst="rect">
                      <a:avLst/>
                    </a:prstGeom>
                    <a:noFill/>
                    <a:ln w="12700">
                      <a:noFill/>
                    </a:ln>
                  </pic:spPr>
                </pic:pic>
              </a:graphicData>
            </a:graphic>
          </wp:inline>
        </w:drawing>
      </w:r>
      <w:r>
        <w:rPr>
          <w:rFonts w:hint="eastAsia" w:ascii="宋体" w:hAnsi="宋体" w:eastAsia="宋体" w:cs="宋体"/>
          <w:color w:val="auto"/>
          <w:sz w:val="24"/>
          <w:szCs w:val="24"/>
          <w:highlight w:val="none"/>
          <w:lang w:val="zh-TW" w:eastAsia="zh-TW"/>
        </w:rPr>
        <w:t>），第二名投标人的权重为（</w:t>
      </w:r>
      <w:r>
        <w:rPr>
          <w:rFonts w:hint="eastAsia" w:ascii="宋体" w:hAnsi="宋体" w:eastAsia="宋体" w:cs="宋体"/>
          <w:color w:val="auto"/>
          <w:sz w:val="24"/>
          <w:szCs w:val="24"/>
          <w:highlight w:val="none"/>
          <w:lang w:val="zh-TW" w:eastAsia="zh-TW"/>
        </w:rPr>
        <w:drawing>
          <wp:inline distT="0" distB="0" distL="114300" distR="114300">
            <wp:extent cx="236220" cy="283845"/>
            <wp:effectExtent l="0" t="0" r="11430" b="1905"/>
            <wp:docPr id="22" name="图片 2"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图片 11"/>
                    <pic:cNvPicPr>
                      <a:picLocks noChangeAspect="1"/>
                    </pic:cNvPicPr>
                  </pic:nvPicPr>
                  <pic:blipFill>
                    <a:blip r:embed="rId20"/>
                    <a:stretch>
                      <a:fillRect/>
                    </a:stretch>
                  </pic:blipFill>
                  <pic:spPr>
                    <a:xfrm>
                      <a:off x="0" y="0"/>
                      <a:ext cx="236220" cy="283845"/>
                    </a:xfrm>
                    <a:prstGeom prst="rect">
                      <a:avLst/>
                    </a:prstGeom>
                    <a:noFill/>
                    <a:ln w="12700">
                      <a:noFill/>
                    </a:ln>
                  </pic:spPr>
                </pic:pic>
              </a:graphicData>
            </a:graphic>
          </wp:inline>
        </w:drawing>
      </w:r>
      <w:r>
        <w:rPr>
          <w:rFonts w:hint="eastAsia" w:ascii="宋体" w:hAnsi="宋体" w:eastAsia="宋体" w:cs="宋体"/>
          <w:color w:val="auto"/>
          <w:sz w:val="24"/>
          <w:szCs w:val="24"/>
          <w:highlight w:val="none"/>
          <w:lang w:val="zh-TW" w:eastAsia="zh-TW"/>
        </w:rPr>
        <w:t>），以此类推，最后一名投标人的权重为（</w:t>
      </w:r>
      <w:r>
        <w:rPr>
          <w:rFonts w:hint="eastAsia" w:ascii="宋体" w:hAnsi="宋体" w:eastAsia="宋体" w:cs="宋体"/>
          <w:color w:val="auto"/>
          <w:sz w:val="24"/>
          <w:szCs w:val="24"/>
          <w:highlight w:val="none"/>
          <w:lang w:val="zh-TW" w:eastAsia="zh-TW"/>
        </w:rPr>
        <w:drawing>
          <wp:inline distT="0" distB="0" distL="114300" distR="114300">
            <wp:extent cx="236220" cy="283845"/>
            <wp:effectExtent l="0" t="0" r="11430" b="1905"/>
            <wp:docPr id="16" name="图片 3" descr="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图片 12"/>
                    <pic:cNvPicPr>
                      <a:picLocks noChangeAspect="1"/>
                    </pic:cNvPicPr>
                  </pic:nvPicPr>
                  <pic:blipFill>
                    <a:blip r:embed="rId21"/>
                    <a:stretch>
                      <a:fillRect/>
                    </a:stretch>
                  </pic:blipFill>
                  <pic:spPr>
                    <a:xfrm>
                      <a:off x="0" y="0"/>
                      <a:ext cx="236220" cy="283845"/>
                    </a:xfrm>
                    <a:prstGeom prst="rect">
                      <a:avLst/>
                    </a:prstGeom>
                    <a:noFill/>
                    <a:ln w="12700">
                      <a:noFill/>
                    </a:ln>
                  </pic:spPr>
                </pic:pic>
              </a:graphicData>
            </a:graphic>
          </wp:inline>
        </w:drawing>
      </w:r>
      <w:r>
        <w:rPr>
          <w:rFonts w:hint="eastAsia" w:ascii="宋体" w:hAnsi="宋体" w:eastAsia="宋体" w:cs="宋体"/>
          <w:color w:val="auto"/>
          <w:sz w:val="24"/>
          <w:szCs w:val="24"/>
          <w:highlight w:val="none"/>
          <w:lang w:val="zh-TW" w:eastAsia="zh-TW"/>
        </w:rPr>
        <w:t>）。</w:t>
      </w:r>
    </w:p>
    <w:p w14:paraId="40CBBD9C">
      <w:pPr>
        <w:adjustRightInd w:val="0"/>
        <w:snapToGrid w:val="0"/>
        <w:spacing w:beforeLines="0" w:afterLines="0"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）投标报价得分：</w:t>
      </w:r>
    </w:p>
    <w:p w14:paraId="70CDD61E">
      <w:pPr>
        <w:adjustRightInd w:val="0"/>
        <w:snapToGrid w:val="0"/>
        <w:spacing w:beforeLines="0" w:afterLines="0"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投标单位的评分统一按照下列公式计算：</w:t>
      </w:r>
    </w:p>
    <w:p w14:paraId="0A47CA88">
      <w:pPr>
        <w:adjustRightInd w:val="0"/>
        <w:snapToGrid w:val="0"/>
        <w:spacing w:beforeLines="0" w:afterLines="0"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当投标人的投标报价等于</w:t>
      </w:r>
      <w:r>
        <w:rPr>
          <w:rFonts w:hint="eastAsia" w:ascii="宋体" w:hAnsi="宋体" w:eastAsia="宋体" w:cs="宋体"/>
          <w:color w:val="auto"/>
          <w:sz w:val="24"/>
          <w:szCs w:val="24"/>
          <w:highlight w:val="none"/>
          <w:lang w:val="en-US" w:eastAsia="zh-CN"/>
        </w:rPr>
        <w:t>或低于</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基准</w:t>
      </w:r>
      <w:r>
        <w:rPr>
          <w:rFonts w:hint="eastAsia" w:ascii="宋体" w:hAnsi="宋体" w:eastAsia="宋体" w:cs="宋体"/>
          <w:color w:val="auto"/>
          <w:sz w:val="24"/>
          <w:szCs w:val="24"/>
          <w:highlight w:val="none"/>
        </w:rPr>
        <w:t>价时得</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分，最终投标报价每高于评标</w:t>
      </w:r>
      <w:r>
        <w:rPr>
          <w:rFonts w:hint="eastAsia" w:ascii="宋体" w:hAnsi="宋体" w:eastAsia="宋体" w:cs="宋体"/>
          <w:color w:val="auto"/>
          <w:sz w:val="24"/>
          <w:szCs w:val="24"/>
          <w:highlight w:val="none"/>
          <w:lang w:val="en-US" w:eastAsia="zh-CN"/>
        </w:rPr>
        <w:t>基准</w:t>
      </w:r>
      <w:r>
        <w:rPr>
          <w:rFonts w:hint="eastAsia" w:ascii="宋体" w:hAnsi="宋体" w:eastAsia="宋体" w:cs="宋体"/>
          <w:color w:val="auto"/>
          <w:sz w:val="24"/>
          <w:szCs w:val="24"/>
          <w:highlight w:val="none"/>
        </w:rPr>
        <w:t>价1%，扣</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每低于评标参考价1%，扣0.3分，</w:t>
      </w:r>
      <w:r>
        <w:rPr>
          <w:rFonts w:hint="eastAsia" w:ascii="宋体" w:hAnsi="宋体" w:eastAsia="宋体" w:cs="宋体"/>
          <w:color w:val="auto"/>
          <w:sz w:val="24"/>
          <w:szCs w:val="24"/>
          <w:highlight w:val="none"/>
        </w:rPr>
        <w:t>扣至0分为止，得出投标报价得分，精确到小数点后两位。</w:t>
      </w:r>
    </w:p>
    <w:p w14:paraId="5EF462D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8.4  综合评分及排序</w:t>
      </w:r>
    </w:p>
    <w:p w14:paraId="2805724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8.4.1完成上述评审后，评标委员会按以下公式计算通过符合性审查的投标人的综合得分：</w:t>
      </w:r>
    </w:p>
    <w:p w14:paraId="18B788C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投标人的综合得分=商务技术得分+投标报价得分</w:t>
      </w:r>
    </w:p>
    <w:p w14:paraId="218AE47E">
      <w:pPr>
        <w:pStyle w:val="37"/>
        <w:spacing w:line="360" w:lineRule="auto"/>
        <w:ind w:left="431"/>
        <w:rPr>
          <w:rFonts w:hint="eastAsia" w:ascii="宋体" w:hAnsi="宋体" w:eastAsia="宋体" w:cs="宋体"/>
          <w:b/>
          <w:bCs/>
          <w:color w:val="auto"/>
          <w:sz w:val="24"/>
          <w:szCs w:val="24"/>
          <w:highlight w:val="none"/>
        </w:rPr>
      </w:pPr>
      <w:bookmarkStart w:id="173" w:name="_Toc455670315"/>
      <w:r>
        <w:rPr>
          <w:rFonts w:hint="eastAsia" w:ascii="宋体" w:hAnsi="宋体" w:eastAsia="宋体" w:cs="宋体"/>
          <w:b/>
          <w:bCs/>
          <w:color w:val="auto"/>
          <w:kern w:val="2"/>
          <w:sz w:val="24"/>
          <w:szCs w:val="24"/>
          <w:highlight w:val="none"/>
        </w:rPr>
        <w:t>9.投标文件的澄清</w:t>
      </w:r>
    </w:p>
    <w:p w14:paraId="6F7D2851">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9.1对投标文件中含义不明确、同类问题表述不一致或者有明显文字和计算错误的内容，评标委员会可以书面形式要求投标人作出必要的澄清、说明或者纠正。</w:t>
      </w:r>
    </w:p>
    <w:p w14:paraId="1D4E0346">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9.2投标人的澄清、说明或者补正应当采用书面形式，由其授权的代表签字，并不得超出投标文件的范围或者改变投标文件的实质性内容。</w:t>
      </w:r>
    </w:p>
    <w:p w14:paraId="37D3858A">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9.3除上述规定的情形之外，评标委员会在评审过程中，不得接收来自评审现场以外的任何形式的文件资料。</w:t>
      </w:r>
    </w:p>
    <w:p w14:paraId="052D7F56">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9.4如果投标文件实质上不响应招标文件的各项要求，评标委员会将按照招标文件要求予以拒绝，不接受投标人通过修改或撤销其不符合要求的差异或保留，使之成为具有响应性的投标。</w:t>
      </w:r>
    </w:p>
    <w:p w14:paraId="6D45A545">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10．</w:t>
      </w:r>
      <w:bookmarkEnd w:id="173"/>
      <w:r>
        <w:rPr>
          <w:rFonts w:hint="eastAsia" w:ascii="宋体" w:hAnsi="宋体" w:eastAsia="宋体" w:cs="宋体"/>
          <w:b/>
          <w:color w:val="auto"/>
          <w:kern w:val="2"/>
          <w:sz w:val="24"/>
          <w:szCs w:val="24"/>
          <w:highlight w:val="none"/>
        </w:rPr>
        <w:t>评标结果</w:t>
      </w:r>
    </w:p>
    <w:p w14:paraId="3E5A8CF8">
      <w:pPr>
        <w:pStyle w:val="37"/>
        <w:spacing w:line="360" w:lineRule="auto"/>
        <w:ind w:firstLine="480" w:firstLineChars="200"/>
        <w:rPr>
          <w:rFonts w:hint="eastAsia" w:ascii="宋体" w:hAnsi="宋体" w:eastAsia="宋体" w:cs="宋体"/>
          <w:color w:val="auto"/>
          <w:sz w:val="24"/>
          <w:szCs w:val="24"/>
          <w:highlight w:val="none"/>
        </w:rPr>
      </w:pPr>
      <w:bookmarkStart w:id="174" w:name="_Toc455670316"/>
      <w:r>
        <w:rPr>
          <w:rFonts w:hint="eastAsia" w:ascii="宋体" w:hAnsi="宋体" w:eastAsia="宋体" w:cs="宋体"/>
          <w:color w:val="auto"/>
          <w:sz w:val="24"/>
          <w:szCs w:val="24"/>
          <w:highlight w:val="none"/>
        </w:rPr>
        <w:t>10.1评标委员会对满足招标文件实质性要求的投标文件，按照本章第8 款规定的评分标准进行评分，在</w:t>
      </w:r>
      <w:r>
        <w:rPr>
          <w:rFonts w:hint="eastAsia" w:ascii="宋体" w:hAnsi="宋体" w:eastAsia="宋体" w:cs="宋体"/>
          <w:color w:val="auto"/>
          <w:sz w:val="24"/>
          <w:szCs w:val="24"/>
          <w:highlight w:val="none"/>
          <w:lang w:val="en-US" w:eastAsia="zh-CN"/>
        </w:rPr>
        <w:t>资格评审通过的</w:t>
      </w:r>
      <w:r>
        <w:rPr>
          <w:rFonts w:hint="eastAsia" w:ascii="宋体" w:hAnsi="宋体" w:eastAsia="宋体" w:cs="宋体"/>
          <w:color w:val="auto"/>
          <w:sz w:val="24"/>
          <w:szCs w:val="24"/>
          <w:highlight w:val="none"/>
        </w:rPr>
        <w:t>前提下，</w:t>
      </w:r>
      <w:r>
        <w:rPr>
          <w:rFonts w:hint="eastAsia" w:ascii="宋体" w:hAnsi="宋体" w:eastAsia="宋体" w:cs="宋体"/>
          <w:color w:val="auto"/>
          <w:sz w:val="24"/>
          <w:highlight w:val="none"/>
        </w:rPr>
        <w:t>评标委员会按综合得分从高至低排序，得分最高的为第一名，次高的为第二名，依次类推，确定三名中标候选人。</w:t>
      </w:r>
      <w:r>
        <w:rPr>
          <w:rFonts w:hint="eastAsia" w:ascii="宋体" w:hAnsi="宋体" w:eastAsia="宋体" w:cs="宋体"/>
          <w:color w:val="auto"/>
          <w:sz w:val="24"/>
          <w:szCs w:val="24"/>
          <w:highlight w:val="none"/>
        </w:rPr>
        <w:t>综合得分相同时，以最终投标报价低者排先；最终投标报价也相同时，则由评标委员以记名投票表决等其他可行的方式确定排序。</w:t>
      </w:r>
    </w:p>
    <w:p w14:paraId="727F93DD">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10.</w:t>
      </w:r>
      <w:r>
        <w:rPr>
          <w:rFonts w:hint="eastAsia" w:ascii="宋体"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 xml:space="preserve"> 评标委员会完成评标后，应当向招标人提交书面资格审查报告、评标报告和中标候选人名单。</w:t>
      </w:r>
    </w:p>
    <w:p w14:paraId="1A1FE0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10.</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rPr>
        <w:t>若第一中标候选人放弃中标或因其他原因被取消中标资格、</w:t>
      </w:r>
      <w:r>
        <w:rPr>
          <w:rFonts w:hint="eastAsia" w:ascii="宋体" w:hAnsi="宋体" w:eastAsia="宋体" w:cs="宋体"/>
          <w:color w:val="auto"/>
          <w:kern w:val="0"/>
          <w:sz w:val="24"/>
          <w:szCs w:val="24"/>
          <w:highlight w:val="none"/>
        </w:rPr>
        <w:t>或因不可抗力提出不能履行合同、或招标文件规定应当提交履约保证金而在规定的期限内未能提交，或被查实存在影响中标结果的违法行为等情形，不符合中标条件的，招标人可以按照评标委员会提出的中标候选人名单排序依次确定其他中标候选人为中标人，</w:t>
      </w:r>
      <w:r>
        <w:rPr>
          <w:rFonts w:hint="eastAsia" w:ascii="宋体" w:hAnsi="宋体" w:eastAsia="宋体" w:cs="宋体"/>
          <w:color w:val="auto"/>
          <w:kern w:val="2"/>
          <w:sz w:val="24"/>
          <w:szCs w:val="24"/>
          <w:highlight w:val="none"/>
        </w:rPr>
        <w:t xml:space="preserve">也可以重新招标。 </w:t>
      </w:r>
    </w:p>
    <w:bookmarkEnd w:id="174"/>
    <w:p w14:paraId="2C696035">
      <w:pPr>
        <w:widowControl/>
        <w:spacing w:line="360" w:lineRule="auto"/>
        <w:ind w:left="587" w:leftChars="228" w:hanging="108" w:hangingChars="4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 xml:space="preserve"> 在签订合同前的任何时候，评委、招标人以及其他人员发现中标候选</w:t>
      </w:r>
    </w:p>
    <w:p w14:paraId="730FC3BF">
      <w:pPr>
        <w:widowControl/>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在招标过程有弄虚作假行为、虚报资料情况，一经查实，并上报上级主管部门同意后取消其中标候选人资格或中标人资格。如中标人有上述情况时，招标人可以确定按照评标委员会提出的中标候选人名单排序依次确定其他中标候选人为中标人或重新招标。</w:t>
      </w:r>
    </w:p>
    <w:p w14:paraId="5F08F20D">
      <w:pPr>
        <w:pStyle w:val="37"/>
        <w:spacing w:line="360" w:lineRule="auto"/>
        <w:ind w:left="431"/>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11.</w:t>
      </w:r>
      <w:bookmarkStart w:id="175" w:name="_Toc45532492"/>
      <w:bookmarkStart w:id="176" w:name="_Toc24117391"/>
      <w:r>
        <w:rPr>
          <w:rFonts w:hint="eastAsia" w:ascii="宋体" w:hAnsi="宋体" w:eastAsia="宋体" w:cs="宋体"/>
          <w:b/>
          <w:bCs/>
          <w:color w:val="auto"/>
          <w:kern w:val="2"/>
          <w:sz w:val="24"/>
          <w:szCs w:val="24"/>
          <w:highlight w:val="none"/>
        </w:rPr>
        <w:t>定标</w:t>
      </w:r>
      <w:bookmarkEnd w:id="175"/>
      <w:bookmarkEnd w:id="176"/>
    </w:p>
    <w:p w14:paraId="2CA4C23D">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11.1凡发现中标单位有下列行为之一的，将移交有关部门依法处理。</w:t>
      </w:r>
    </w:p>
    <w:p w14:paraId="4F4D60E4">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（1）提供虚假材料谋取中标的；</w:t>
      </w:r>
    </w:p>
    <w:p w14:paraId="2FC33959">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（2）采取不正当手段诋毁、排挤其他投标人的；</w:t>
      </w:r>
    </w:p>
    <w:p w14:paraId="4F2E17C0">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（3）与招标人、其他投标人工作人员恶意串通的；</w:t>
      </w:r>
    </w:p>
    <w:p w14:paraId="063D87DA">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（4）向招标人工作人员行贿或者提供其他不正当利益的；</w:t>
      </w:r>
    </w:p>
    <w:p w14:paraId="38A71089">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（5）在招标采购过程中与招标人进行协商谈判的；</w:t>
      </w:r>
    </w:p>
    <w:p w14:paraId="505BC54F">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（6）拒绝有关部门监督检查或者提供虚假情况的；</w:t>
      </w:r>
    </w:p>
    <w:p w14:paraId="79D17CB2">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（7）有法律、法规规定的其他损害招标人利益和社会公共利益情形的。</w:t>
      </w:r>
    </w:p>
    <w:p w14:paraId="5F6B0FAA">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11.2</w:t>
      </w:r>
      <w:r>
        <w:rPr>
          <w:rFonts w:hint="eastAsia" w:hAnsi="宋体"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rPr>
        <w:t>结果确认后，招标代理机构将中标结果在</w:t>
      </w:r>
      <w:r>
        <w:rPr>
          <w:rFonts w:hint="eastAsia" w:ascii="宋体" w:hAnsi="宋体" w:eastAsia="宋体" w:cs="宋体"/>
          <w:color w:val="auto"/>
          <w:sz w:val="24"/>
          <w:szCs w:val="24"/>
          <w:highlight w:val="none"/>
        </w:rPr>
        <w:t>广州交易集团有限公司（广州公共资源交易中心）（网址：http://www.gzggzy.cn）和中国招标投标公共服务平台（网址：http</w:t>
      </w:r>
      <w:r>
        <w:rPr>
          <w:rFonts w:hint="eastAsia" w:hAnsi="宋体" w:cs="宋体"/>
          <w:color w:val="auto"/>
          <w:sz w:val="24"/>
          <w:szCs w:val="24"/>
          <w:highlight w:val="none"/>
          <w:lang w:val="en-US" w:eastAsia="zh-CN"/>
        </w:rPr>
        <w:t>;</w:t>
      </w:r>
      <w:r>
        <w:rPr>
          <w:rFonts w:hint="eastAsia" w:ascii="宋体" w:hAnsi="宋体" w:eastAsia="宋体" w:cs="宋体"/>
          <w:color w:val="auto"/>
          <w:sz w:val="24"/>
          <w:szCs w:val="24"/>
          <w:highlight w:val="none"/>
        </w:rPr>
        <w:t>//www.cebpubservice.com/）</w:t>
      </w:r>
      <w:r>
        <w:rPr>
          <w:rFonts w:hint="eastAsia" w:ascii="宋体" w:hAnsi="宋体" w:eastAsia="宋体" w:cs="宋体"/>
          <w:color w:val="auto"/>
          <w:kern w:val="2"/>
          <w:sz w:val="24"/>
          <w:szCs w:val="24"/>
          <w:highlight w:val="none"/>
        </w:rPr>
        <w:t>进行公告。不在中标名单之列者即为落标人，招标代理机构不再以其它方式另行通知。</w:t>
      </w:r>
    </w:p>
    <w:p w14:paraId="4A5E673D">
      <w:pPr>
        <w:pStyle w:val="3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11.3中标结果公示后，中标单位领取《中标通知书》。《中标通知书》将作为授予合同资格的唯一合法依据。</w:t>
      </w:r>
    </w:p>
    <w:p w14:paraId="17811671">
      <w:pPr>
        <w:pStyle w:val="37"/>
        <w:spacing w:line="360" w:lineRule="auto"/>
        <w:ind w:left="43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11.4中标单位放弃中标的，应当依法承担相应的法律责任。</w:t>
      </w:r>
    </w:p>
    <w:p w14:paraId="3F96DF8C">
      <w:pPr>
        <w:spacing w:line="360" w:lineRule="auto"/>
        <w:ind w:firstLine="482" w:firstLineChars="200"/>
        <w:rPr>
          <w:rFonts w:hint="eastAsia" w:ascii="宋体" w:hAnsi="宋体" w:eastAsia="宋体" w:cs="宋体"/>
          <w:b/>
          <w:color w:val="auto"/>
          <w:sz w:val="24"/>
          <w:szCs w:val="24"/>
          <w:highlight w:val="none"/>
        </w:rPr>
      </w:pPr>
      <w:bookmarkStart w:id="177" w:name="_Toc455670317"/>
      <w:r>
        <w:rPr>
          <w:rFonts w:hint="eastAsia" w:ascii="宋体" w:hAnsi="宋体" w:eastAsia="宋体" w:cs="宋体"/>
          <w:b/>
          <w:color w:val="auto"/>
          <w:kern w:val="2"/>
          <w:sz w:val="24"/>
          <w:szCs w:val="24"/>
          <w:highlight w:val="none"/>
        </w:rPr>
        <w:t>12.重新招标</w:t>
      </w:r>
      <w:bookmarkEnd w:id="177"/>
    </w:p>
    <w:p w14:paraId="03C54A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12.1</w:t>
      </w:r>
      <w:r>
        <w:rPr>
          <w:rFonts w:hint="eastAsia" w:ascii="宋体" w:hAnsi="宋体" w:eastAsia="宋体" w:cs="宋体"/>
          <w:bCs/>
          <w:color w:val="auto"/>
          <w:kern w:val="2"/>
          <w:sz w:val="24"/>
          <w:szCs w:val="24"/>
          <w:highlight w:val="none"/>
        </w:rPr>
        <w:t>评标委员会依据有关法律、法规和招标文件的规定对投标文件进行评审，经评定</w:t>
      </w:r>
      <w:r>
        <w:rPr>
          <w:rFonts w:hint="eastAsia" w:ascii="宋体" w:hAnsi="宋体" w:eastAsia="宋体" w:cs="宋体"/>
          <w:bCs/>
          <w:color w:val="auto"/>
          <w:sz w:val="24"/>
          <w:szCs w:val="24"/>
          <w:highlight w:val="none"/>
        </w:rPr>
        <w:t>的有效投标人不足三名时</w:t>
      </w:r>
      <w:r>
        <w:rPr>
          <w:rFonts w:hint="eastAsia" w:ascii="宋体" w:hAnsi="宋体" w:eastAsia="宋体" w:cs="宋体"/>
          <w:bCs/>
          <w:color w:val="auto"/>
          <w:kern w:val="2"/>
          <w:sz w:val="24"/>
          <w:szCs w:val="24"/>
          <w:highlight w:val="none"/>
        </w:rPr>
        <w:t>，招标人在分析招标失败原因，并采取相应措施后，依法对本项目重新组织招标。</w:t>
      </w:r>
    </w:p>
    <w:p w14:paraId="3F475A85">
      <w:pPr>
        <w:adjustRightInd w:val="0"/>
        <w:snapToGrid w:val="0"/>
        <w:spacing w:line="360" w:lineRule="auto"/>
        <w:ind w:firstLine="480" w:firstLineChars="200"/>
        <w:rPr>
          <w:rFonts w:hint="eastAsia" w:ascii="宋体" w:hAnsi="宋体" w:eastAsia="宋体" w:cs="宋体"/>
          <w:b/>
          <w:bCs/>
          <w:color w:val="auto"/>
          <w:kern w:val="0"/>
          <w:sz w:val="24"/>
          <w:szCs w:val="24"/>
          <w:highlight w:val="none"/>
        </w:rPr>
      </w:pPr>
      <w:r>
        <w:rPr>
          <w:rFonts w:hint="eastAsia" w:ascii="宋体" w:hAnsi="宋体" w:eastAsia="宋体" w:cs="宋体"/>
          <w:color w:val="auto"/>
          <w:kern w:val="2"/>
          <w:sz w:val="24"/>
          <w:szCs w:val="24"/>
          <w:highlight w:val="none"/>
        </w:rPr>
        <w:t>12.2评标委员会经评审，认为所有投标都不符合招标文件要求的，可以否决所有投标。所有投标被否决后，招标人在分析招标失败原因，并采取相应措施后，依法重新招标</w:t>
      </w:r>
      <w:r>
        <w:rPr>
          <w:rFonts w:hint="eastAsia" w:ascii="宋体" w:hAnsi="宋体" w:eastAsia="宋体" w:cs="宋体"/>
          <w:bCs/>
          <w:color w:val="auto"/>
          <w:kern w:val="2"/>
          <w:sz w:val="24"/>
          <w:szCs w:val="24"/>
          <w:highlight w:val="none"/>
        </w:rPr>
        <w:t>。</w:t>
      </w:r>
    </w:p>
    <w:p w14:paraId="639C7B7E">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13.电子评标应急预案：</w:t>
      </w:r>
    </w:p>
    <w:p w14:paraId="69861FB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在评标过程中，当采用电子评标系统评标发生评审故障时，若广州交易集团有限公司（广州公共资源交易中心）平台当天可解除评审故障，则继续采用电子评标系统评标；若广州交易集团有限公司（广州公共资源交易中心）平台当天无法解除评审故障，则评标委员会依据电子投标文件对未完成的评标活动采用手动评审，提交包含已完成电子评审成果在内的纸质评标报告。评审故障以广州交易集团有限公司（广州公共资源交易中心）平台的认定为准。当广州交易集团有限公司（广州公共资源交易中心）平台的系统维护人员在评标室告知评标委员会当天无法解除评审故障后，评标委员会即可对未完成的评标活动启动手动评审。</w:t>
      </w:r>
    </w:p>
    <w:p w14:paraId="6F791331">
      <w:pPr>
        <w:widowControl/>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13.2在电子评标过程中，无论遇到任何系统异常或故障，评标委员会均应出具评标报告。</w:t>
      </w:r>
    </w:p>
    <w:p w14:paraId="71DF249E">
      <w:pPr>
        <w:bidi w:val="0"/>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178" w:name="_Toc351381982"/>
      <w:bookmarkStart w:id="179" w:name="_Toc455670319"/>
    </w:p>
    <w:p w14:paraId="5850271D">
      <w:pPr>
        <w:widowControl/>
        <w:spacing w:line="360" w:lineRule="auto"/>
        <w:jc w:val="left"/>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eastAsia="zh-CN"/>
        </w:rPr>
        <w:t>附</w:t>
      </w:r>
      <w:r>
        <w:rPr>
          <w:rFonts w:hint="eastAsia" w:ascii="宋体" w:hAnsi="宋体" w:eastAsia="宋体" w:cs="宋体"/>
          <w:b/>
          <w:bCs/>
          <w:color w:val="auto"/>
          <w:sz w:val="24"/>
          <w:szCs w:val="24"/>
          <w:highlight w:val="none"/>
        </w:rPr>
        <w:t>表1：</w:t>
      </w:r>
    </w:p>
    <w:p w14:paraId="57CEBBF5">
      <w:pPr>
        <w:tabs>
          <w:tab w:val="left" w:pos="720"/>
        </w:tabs>
        <w:snapToGri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color w:val="auto"/>
          <w:spacing w:val="20"/>
          <w:sz w:val="28"/>
          <w:szCs w:val="28"/>
          <w:highlight w:val="none"/>
        </w:rPr>
        <w:t>资格审查表</w:t>
      </w:r>
    </w:p>
    <w:p w14:paraId="5FE8B86C">
      <w:pPr>
        <w:tabs>
          <w:tab w:val="left" w:pos="720"/>
        </w:tabs>
        <w:snapToGrid w:val="0"/>
        <w:spacing w:line="360" w:lineRule="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项目名称：</w:t>
      </w:r>
      <w:r>
        <w:rPr>
          <w:rFonts w:hint="eastAsia" w:ascii="宋体" w:hAnsi="宋体" w:cs="宋体"/>
          <w:color w:val="auto"/>
          <w:sz w:val="24"/>
          <w:szCs w:val="24"/>
          <w:highlight w:val="none"/>
          <w:u w:val="none"/>
          <w:lang w:eastAsia="zh-CN"/>
        </w:rPr>
        <w:t>广州市自来水有限公司北部水厂智慧化系统开发服务公开招标项目</w:t>
      </w:r>
    </w:p>
    <w:tbl>
      <w:tblPr>
        <w:tblStyle w:val="20"/>
        <w:tblW w:w="9221"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521"/>
        <w:gridCol w:w="420"/>
        <w:gridCol w:w="405"/>
        <w:gridCol w:w="360"/>
        <w:gridCol w:w="435"/>
        <w:gridCol w:w="369"/>
      </w:tblGrid>
      <w:tr w14:paraId="07C7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472C95AC">
            <w:pPr>
              <w:tabs>
                <w:tab w:val="left" w:pos="720"/>
              </w:tabs>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6521"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68C41F60">
            <w:pPr>
              <w:tabs>
                <w:tab w:val="left" w:pos="720"/>
              </w:tabs>
              <w:snapToGrid w:val="0"/>
              <w:spacing w:line="360" w:lineRule="auto"/>
              <w:ind w:firstLine="4320" w:firstLineChars="18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p>
          <w:p w14:paraId="29D34A4F">
            <w:pPr>
              <w:tabs>
                <w:tab w:val="left" w:pos="720"/>
              </w:tabs>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审查项目</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4EAD2D90">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5CC914F4">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6523E720">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0660D6BF">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7954BCE1">
            <w:pPr>
              <w:tabs>
                <w:tab w:val="left" w:pos="720"/>
              </w:tabs>
              <w:snapToGrid w:val="0"/>
              <w:spacing w:line="360" w:lineRule="auto"/>
              <w:rPr>
                <w:rFonts w:hint="eastAsia" w:ascii="宋体" w:hAnsi="宋体" w:eastAsia="宋体" w:cs="宋体"/>
                <w:bCs/>
                <w:color w:val="auto"/>
                <w:sz w:val="24"/>
                <w:szCs w:val="24"/>
                <w:highlight w:val="none"/>
              </w:rPr>
            </w:pPr>
          </w:p>
        </w:tc>
      </w:tr>
      <w:tr w14:paraId="248F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4" w:space="0"/>
              <w:left w:val="single" w:color="auto" w:sz="4" w:space="0"/>
              <w:bottom w:val="single" w:color="auto" w:sz="4" w:space="0"/>
              <w:right w:val="single" w:color="auto" w:sz="4" w:space="0"/>
            </w:tcBorders>
            <w:noWrap w:val="0"/>
            <w:vAlign w:val="center"/>
          </w:tcPr>
          <w:p w14:paraId="08747496">
            <w:pPr>
              <w:tabs>
                <w:tab w:val="left" w:pos="720"/>
              </w:tabs>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6F873F1A">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投标人须为符合《中华人民共和国招标投标法》规定的独立法人或其他组织，按国家法律经营；投标人具有有效的营业执照。单位负责人为同一人或者存在控股、管理关系的不同单位，不得同时参与本项目同一个标段的投标。</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57C22736">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50107B14">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626466E0">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2399F7D2">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57B9778E">
            <w:pPr>
              <w:tabs>
                <w:tab w:val="left" w:pos="720"/>
              </w:tabs>
              <w:snapToGrid w:val="0"/>
              <w:spacing w:line="360" w:lineRule="auto"/>
              <w:rPr>
                <w:rFonts w:hint="eastAsia" w:ascii="宋体" w:hAnsi="宋体" w:eastAsia="宋体" w:cs="宋体"/>
                <w:bCs/>
                <w:color w:val="auto"/>
                <w:sz w:val="24"/>
                <w:szCs w:val="24"/>
                <w:highlight w:val="none"/>
              </w:rPr>
            </w:pPr>
          </w:p>
        </w:tc>
      </w:tr>
      <w:tr w14:paraId="683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4" w:space="0"/>
              <w:left w:val="single" w:color="auto" w:sz="4" w:space="0"/>
              <w:bottom w:val="single" w:color="auto" w:sz="4" w:space="0"/>
              <w:right w:val="single" w:color="auto" w:sz="4" w:space="0"/>
            </w:tcBorders>
            <w:noWrap w:val="0"/>
            <w:vAlign w:val="center"/>
          </w:tcPr>
          <w:p w14:paraId="5B43A410">
            <w:pPr>
              <w:tabs>
                <w:tab w:val="left" w:pos="720"/>
              </w:tabs>
              <w:snapToGri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7C470C9C">
            <w:pPr>
              <w:spacing w:line="36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2"/>
                <w:sz w:val="24"/>
                <w:szCs w:val="24"/>
                <w:highlight w:val="none"/>
                <w:shd w:val="clear" w:color="auto" w:fill="auto"/>
                <w:lang w:bidi="ar"/>
              </w:rPr>
              <w:t>投标人自20</w:t>
            </w:r>
            <w:r>
              <w:rPr>
                <w:rFonts w:hint="eastAsia" w:ascii="宋体" w:hAnsi="宋体" w:eastAsia="宋体" w:cs="宋体"/>
                <w:i w:val="0"/>
                <w:iCs w:val="0"/>
                <w:caps w:val="0"/>
                <w:color w:val="auto"/>
                <w:spacing w:val="0"/>
                <w:kern w:val="2"/>
                <w:sz w:val="24"/>
                <w:szCs w:val="24"/>
                <w:highlight w:val="none"/>
                <w:shd w:val="clear" w:color="auto" w:fill="auto"/>
                <w:lang w:eastAsia="zh-CN" w:bidi="ar"/>
              </w:rPr>
              <w:t>1</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9</w:t>
            </w:r>
            <w:r>
              <w:rPr>
                <w:rFonts w:hint="eastAsia" w:ascii="宋体" w:hAnsi="宋体" w:eastAsia="宋体" w:cs="宋体"/>
                <w:i w:val="0"/>
                <w:iCs w:val="0"/>
                <w:caps w:val="0"/>
                <w:color w:val="auto"/>
                <w:spacing w:val="0"/>
                <w:kern w:val="2"/>
                <w:sz w:val="24"/>
                <w:szCs w:val="24"/>
                <w:highlight w:val="none"/>
                <w:shd w:val="clear" w:color="auto" w:fill="auto"/>
                <w:lang w:bidi="ar"/>
              </w:rPr>
              <w:t>年1月1日至</w:t>
            </w:r>
            <w:r>
              <w:rPr>
                <w:rFonts w:hint="eastAsia" w:ascii="宋体" w:hAnsi="宋体" w:eastAsia="宋体" w:cs="宋体"/>
                <w:bCs w:val="0"/>
                <w:color w:val="auto"/>
                <w:kern w:val="2"/>
                <w:sz w:val="24"/>
                <w:szCs w:val="24"/>
                <w:highlight w:val="none"/>
                <w:shd w:val="clear" w:color="auto" w:fill="auto"/>
                <w:lang w:bidi="ar"/>
              </w:rPr>
              <w:t>本项目招标公告发布之日止</w:t>
            </w:r>
            <w:r>
              <w:rPr>
                <w:rFonts w:hint="eastAsia" w:ascii="宋体" w:hAnsi="宋体" w:eastAsia="宋体" w:cs="宋体"/>
                <w:i w:val="0"/>
                <w:iCs w:val="0"/>
                <w:caps w:val="0"/>
                <w:color w:val="auto"/>
                <w:spacing w:val="0"/>
                <w:kern w:val="2"/>
                <w:sz w:val="24"/>
                <w:szCs w:val="24"/>
                <w:highlight w:val="none"/>
                <w:shd w:val="clear" w:color="auto" w:fill="auto"/>
                <w:lang w:bidi="ar"/>
              </w:rPr>
              <w:t>，至少</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完成</w:t>
            </w:r>
            <w:r>
              <w:rPr>
                <w:rFonts w:hint="eastAsia" w:ascii="宋体" w:hAnsi="宋体" w:eastAsia="宋体" w:cs="宋体"/>
                <w:i w:val="0"/>
                <w:iCs w:val="0"/>
                <w:caps w:val="0"/>
                <w:color w:val="auto"/>
                <w:spacing w:val="0"/>
                <w:kern w:val="2"/>
                <w:sz w:val="24"/>
                <w:szCs w:val="24"/>
                <w:highlight w:val="none"/>
                <w:shd w:val="clear" w:color="auto" w:fill="auto"/>
                <w:lang w:bidi="ar"/>
              </w:rPr>
              <w:t>过一项</w:t>
            </w:r>
            <w:r>
              <w:rPr>
                <w:rFonts w:hint="eastAsia" w:ascii="宋体" w:hAnsi="宋体" w:eastAsia="宋体" w:cs="宋体"/>
                <w:i w:val="0"/>
                <w:iCs w:val="0"/>
                <w:caps w:val="0"/>
                <w:color w:val="auto"/>
                <w:spacing w:val="0"/>
                <w:kern w:val="2"/>
                <w:sz w:val="24"/>
                <w:szCs w:val="24"/>
                <w:highlight w:val="none"/>
                <w:shd w:val="clear" w:color="auto" w:fill="auto"/>
                <w:lang w:val="en-US" w:eastAsia="zh-CN" w:bidi="ar"/>
              </w:rPr>
              <w:t>合同金额为400万元或以上</w:t>
            </w:r>
            <w:r>
              <w:rPr>
                <w:rFonts w:hint="eastAsia" w:ascii="宋体" w:hAnsi="宋体" w:eastAsia="宋体" w:cs="宋体"/>
                <w:i w:val="0"/>
                <w:iCs w:val="0"/>
                <w:caps w:val="0"/>
                <w:color w:val="auto"/>
                <w:spacing w:val="0"/>
                <w:kern w:val="2"/>
                <w:sz w:val="24"/>
                <w:szCs w:val="24"/>
                <w:highlight w:val="none"/>
                <w:shd w:val="clear" w:color="auto" w:fill="auto"/>
                <w:lang w:bidi="ar"/>
              </w:rPr>
              <w:t>基于大模型或智能化应用的相关项目建设业绩。</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668CE5D5">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3BEC088A">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28F7FC68">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1618C1C0">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5FD8DB30">
            <w:pPr>
              <w:tabs>
                <w:tab w:val="left" w:pos="720"/>
              </w:tabs>
              <w:snapToGrid w:val="0"/>
              <w:spacing w:line="360" w:lineRule="auto"/>
              <w:rPr>
                <w:rFonts w:hint="eastAsia" w:ascii="宋体" w:hAnsi="宋体" w:eastAsia="宋体" w:cs="宋体"/>
                <w:bCs/>
                <w:color w:val="auto"/>
                <w:sz w:val="24"/>
                <w:szCs w:val="24"/>
                <w:highlight w:val="none"/>
              </w:rPr>
            </w:pPr>
          </w:p>
        </w:tc>
      </w:tr>
      <w:tr w14:paraId="33B2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65CBC771"/>
        </w:tc>
        <w:tc>
          <w:tcPr>
            <w:tcW w:w="6521" w:type="dxa"/>
            <w:tcBorders>
              <w:top w:val="single" w:color="auto" w:sz="4" w:space="0"/>
              <w:left w:val="single" w:color="auto" w:sz="4" w:space="0"/>
              <w:bottom w:val="single" w:color="auto" w:sz="4" w:space="0"/>
              <w:right w:val="single" w:color="auto" w:sz="4" w:space="0"/>
            </w:tcBorders>
            <w:noWrap w:val="0"/>
            <w:vAlign w:val="center"/>
          </w:tcPr>
          <w:p w14:paraId="5F5BD34F"/>
        </w:tc>
        <w:tc>
          <w:tcPr>
            <w:tcW w:w="420" w:type="dxa"/>
            <w:tcBorders>
              <w:top w:val="single" w:color="auto" w:sz="4" w:space="0"/>
              <w:left w:val="single" w:color="auto" w:sz="4" w:space="0"/>
              <w:bottom w:val="single" w:color="auto" w:sz="4" w:space="0"/>
              <w:right w:val="single" w:color="auto" w:sz="4" w:space="0"/>
            </w:tcBorders>
            <w:noWrap w:val="0"/>
            <w:vAlign w:val="center"/>
          </w:tcPr>
          <w:p w14:paraId="4CB83EAC"/>
        </w:tc>
        <w:tc>
          <w:tcPr>
            <w:tcW w:w="405" w:type="dxa"/>
            <w:tcBorders>
              <w:top w:val="single" w:color="auto" w:sz="4" w:space="0"/>
              <w:left w:val="single" w:color="auto" w:sz="4" w:space="0"/>
              <w:bottom w:val="single" w:color="auto" w:sz="4" w:space="0"/>
              <w:right w:val="single" w:color="auto" w:sz="4" w:space="0"/>
            </w:tcBorders>
            <w:noWrap w:val="0"/>
            <w:vAlign w:val="center"/>
          </w:tcPr>
          <w:p w14:paraId="600D4A67"/>
        </w:tc>
        <w:tc>
          <w:tcPr>
            <w:tcW w:w="360" w:type="dxa"/>
            <w:tcBorders>
              <w:top w:val="single" w:color="auto" w:sz="4" w:space="0"/>
              <w:left w:val="single" w:color="auto" w:sz="4" w:space="0"/>
              <w:bottom w:val="single" w:color="auto" w:sz="4" w:space="0"/>
              <w:right w:val="single" w:color="auto" w:sz="4" w:space="0"/>
            </w:tcBorders>
            <w:noWrap w:val="0"/>
            <w:vAlign w:val="center"/>
          </w:tcPr>
          <w:p w14:paraId="36C02E93"/>
        </w:tc>
        <w:tc>
          <w:tcPr>
            <w:tcW w:w="435" w:type="dxa"/>
            <w:tcBorders>
              <w:top w:val="single" w:color="auto" w:sz="4" w:space="0"/>
              <w:left w:val="single" w:color="auto" w:sz="4" w:space="0"/>
              <w:bottom w:val="single" w:color="auto" w:sz="4" w:space="0"/>
              <w:right w:val="single" w:color="auto" w:sz="4" w:space="0"/>
            </w:tcBorders>
            <w:noWrap w:val="0"/>
            <w:vAlign w:val="center"/>
          </w:tcPr>
          <w:p w14:paraId="37884B73"/>
        </w:tc>
        <w:tc>
          <w:tcPr>
            <w:tcW w:w="369" w:type="dxa"/>
            <w:tcBorders>
              <w:top w:val="single" w:color="auto" w:sz="4" w:space="0"/>
              <w:left w:val="single" w:color="auto" w:sz="4" w:space="0"/>
              <w:bottom w:val="single" w:color="auto" w:sz="4" w:space="0"/>
              <w:right w:val="single" w:color="auto" w:sz="4" w:space="0"/>
            </w:tcBorders>
            <w:noWrap w:val="0"/>
            <w:vAlign w:val="center"/>
          </w:tcPr>
          <w:p w14:paraId="287B3F59"/>
        </w:tc>
      </w:tr>
      <w:tr w14:paraId="0B85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074010C2">
            <w:pPr>
              <w:tabs>
                <w:tab w:val="left" w:pos="720"/>
              </w:tabs>
              <w:snapToGrid w:val="0"/>
              <w:spacing w:line="360" w:lineRule="auto"/>
              <w:jc w:val="both"/>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3</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45BD9CD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投标人未被纳入失信联合惩戒名单，失信联合惩戒名”以“信用广州”网站公布的“黑名单”为准。</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02C1211A">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2DC30B24">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133F1B20">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7E9A7482">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49471AB9">
            <w:pPr>
              <w:tabs>
                <w:tab w:val="left" w:pos="720"/>
              </w:tabs>
              <w:snapToGrid w:val="0"/>
              <w:spacing w:line="360" w:lineRule="auto"/>
              <w:rPr>
                <w:rFonts w:hint="eastAsia" w:ascii="宋体" w:hAnsi="宋体" w:eastAsia="宋体" w:cs="宋体"/>
                <w:bCs/>
                <w:color w:val="auto"/>
                <w:sz w:val="24"/>
                <w:szCs w:val="24"/>
                <w:highlight w:val="none"/>
              </w:rPr>
            </w:pPr>
          </w:p>
        </w:tc>
      </w:tr>
      <w:tr w14:paraId="4CB6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042C0581">
            <w:pPr>
              <w:tabs>
                <w:tab w:val="left" w:pos="720"/>
              </w:tabs>
              <w:snapToGrid w:val="0"/>
              <w:spacing w:line="360" w:lineRule="auto"/>
              <w:jc w:val="both"/>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5D14C38D">
            <w:pPr>
              <w:adjustRightIn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投标人须按招标人规定格式提交《投标人声明》。</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1F0861A3">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7CF679F7">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2C257A41">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49D4E56D">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18AEC178">
            <w:pPr>
              <w:tabs>
                <w:tab w:val="left" w:pos="720"/>
              </w:tabs>
              <w:snapToGrid w:val="0"/>
              <w:spacing w:line="360" w:lineRule="auto"/>
              <w:rPr>
                <w:rFonts w:hint="eastAsia" w:ascii="宋体" w:hAnsi="宋体" w:eastAsia="宋体" w:cs="宋体"/>
                <w:bCs/>
                <w:color w:val="auto"/>
                <w:sz w:val="24"/>
                <w:szCs w:val="24"/>
                <w:highlight w:val="none"/>
              </w:rPr>
            </w:pPr>
          </w:p>
        </w:tc>
      </w:tr>
      <w:tr w14:paraId="3564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744FBD5D">
            <w:pPr>
              <w:tabs>
                <w:tab w:val="left" w:pos="720"/>
              </w:tabs>
              <w:snapToGrid w:val="0"/>
              <w:spacing w:line="360" w:lineRule="auto"/>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5</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4387337B">
            <w:pPr>
              <w:adjustRightIn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投标人须按招标人规定格式提交《投标人廉洁承诺书》。</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48AC0296">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4E6ECC5A">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07BE9B2E">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382CC9C3">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79F87C18">
            <w:pPr>
              <w:tabs>
                <w:tab w:val="left" w:pos="720"/>
              </w:tabs>
              <w:snapToGrid w:val="0"/>
              <w:spacing w:line="360" w:lineRule="auto"/>
              <w:rPr>
                <w:rFonts w:hint="eastAsia" w:ascii="宋体" w:hAnsi="宋体" w:eastAsia="宋体" w:cs="宋体"/>
                <w:bCs/>
                <w:color w:val="auto"/>
                <w:sz w:val="24"/>
                <w:szCs w:val="24"/>
                <w:highlight w:val="none"/>
              </w:rPr>
            </w:pPr>
          </w:p>
        </w:tc>
      </w:tr>
      <w:tr w14:paraId="4083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4" w:space="0"/>
              <w:left w:val="single" w:color="auto" w:sz="4" w:space="0"/>
              <w:bottom w:val="single" w:color="auto" w:sz="4" w:space="0"/>
              <w:right w:val="single" w:color="auto" w:sz="4" w:space="0"/>
            </w:tcBorders>
            <w:noWrap w:val="0"/>
            <w:vAlign w:val="center"/>
          </w:tcPr>
          <w:p w14:paraId="00C21872">
            <w:pPr>
              <w:tabs>
                <w:tab w:val="left" w:pos="720"/>
              </w:tabs>
              <w:snapToGrid w:val="0"/>
              <w:spacing w:line="360" w:lineRule="auto"/>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6</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1B0AB5F1">
            <w:pPr>
              <w:adjustRightIn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关于联合体响应：本项目不接受联合体响应。</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3EC61BC9">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167E22E5">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7D0CEB9F">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65EE458E">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525701BD">
            <w:pPr>
              <w:tabs>
                <w:tab w:val="left" w:pos="720"/>
              </w:tabs>
              <w:snapToGrid w:val="0"/>
              <w:spacing w:line="360" w:lineRule="auto"/>
              <w:rPr>
                <w:rFonts w:hint="eastAsia" w:ascii="宋体" w:hAnsi="宋体" w:eastAsia="宋体" w:cs="宋体"/>
                <w:bCs/>
                <w:color w:val="auto"/>
                <w:sz w:val="24"/>
                <w:szCs w:val="24"/>
                <w:highlight w:val="none"/>
              </w:rPr>
            </w:pPr>
          </w:p>
        </w:tc>
      </w:tr>
      <w:tr w14:paraId="39CA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11" w:type="dxa"/>
            <w:tcBorders>
              <w:top w:val="single" w:color="auto" w:sz="4" w:space="0"/>
              <w:left w:val="single" w:color="auto" w:sz="4" w:space="0"/>
              <w:bottom w:val="single" w:color="auto" w:sz="4" w:space="0"/>
              <w:right w:val="single" w:color="auto" w:sz="4" w:space="0"/>
            </w:tcBorders>
            <w:noWrap w:val="0"/>
            <w:vAlign w:val="center"/>
          </w:tcPr>
          <w:p w14:paraId="4FB7361D">
            <w:pPr>
              <w:tabs>
                <w:tab w:val="left" w:pos="720"/>
              </w:tabs>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结论</w:t>
            </w:r>
          </w:p>
        </w:tc>
        <w:tc>
          <w:tcPr>
            <w:tcW w:w="6521" w:type="dxa"/>
            <w:tcBorders>
              <w:top w:val="single" w:color="auto" w:sz="4" w:space="0"/>
              <w:left w:val="single" w:color="auto" w:sz="4" w:space="0"/>
              <w:bottom w:val="single" w:color="auto" w:sz="4" w:space="0"/>
              <w:right w:val="single" w:color="auto" w:sz="4" w:space="0"/>
            </w:tcBorders>
            <w:noWrap w:val="0"/>
            <w:vAlign w:val="center"/>
          </w:tcPr>
          <w:p w14:paraId="0DDA292D">
            <w:pPr>
              <w:tabs>
                <w:tab w:val="left" w:pos="720"/>
              </w:tabs>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是否通过并进入下一阶段评审</w:t>
            </w:r>
          </w:p>
        </w:tc>
        <w:tc>
          <w:tcPr>
            <w:tcW w:w="420" w:type="dxa"/>
            <w:tcBorders>
              <w:top w:val="single" w:color="auto" w:sz="4" w:space="0"/>
              <w:left w:val="single" w:color="auto" w:sz="4" w:space="0"/>
              <w:bottom w:val="single" w:color="auto" w:sz="4" w:space="0"/>
              <w:right w:val="single" w:color="auto" w:sz="4" w:space="0"/>
            </w:tcBorders>
            <w:noWrap w:val="0"/>
            <w:vAlign w:val="center"/>
          </w:tcPr>
          <w:p w14:paraId="24A98B3F">
            <w:pPr>
              <w:tabs>
                <w:tab w:val="left" w:pos="720"/>
              </w:tabs>
              <w:snapToGrid w:val="0"/>
              <w:spacing w:line="360" w:lineRule="auto"/>
              <w:rPr>
                <w:rFonts w:hint="eastAsia" w:ascii="宋体" w:hAnsi="宋体" w:eastAsia="宋体" w:cs="宋体"/>
                <w:bCs/>
                <w:color w:val="auto"/>
                <w:sz w:val="24"/>
                <w:szCs w:val="24"/>
                <w:highlight w:val="none"/>
              </w:rPr>
            </w:pPr>
          </w:p>
        </w:tc>
        <w:tc>
          <w:tcPr>
            <w:tcW w:w="405" w:type="dxa"/>
            <w:tcBorders>
              <w:top w:val="single" w:color="auto" w:sz="4" w:space="0"/>
              <w:left w:val="single" w:color="auto" w:sz="4" w:space="0"/>
              <w:bottom w:val="single" w:color="auto" w:sz="4" w:space="0"/>
              <w:right w:val="single" w:color="auto" w:sz="4" w:space="0"/>
            </w:tcBorders>
            <w:noWrap w:val="0"/>
            <w:vAlign w:val="center"/>
          </w:tcPr>
          <w:p w14:paraId="2462FF5B">
            <w:pPr>
              <w:tabs>
                <w:tab w:val="left" w:pos="720"/>
              </w:tabs>
              <w:snapToGrid w:val="0"/>
              <w:spacing w:line="360" w:lineRule="auto"/>
              <w:rPr>
                <w:rFonts w:hint="eastAsia" w:ascii="宋体" w:hAnsi="宋体" w:eastAsia="宋体" w:cs="宋体"/>
                <w:bCs/>
                <w:color w:val="auto"/>
                <w:sz w:val="24"/>
                <w:szCs w:val="24"/>
                <w:highlight w:val="none"/>
              </w:rPr>
            </w:pPr>
          </w:p>
        </w:tc>
        <w:tc>
          <w:tcPr>
            <w:tcW w:w="360" w:type="dxa"/>
            <w:tcBorders>
              <w:top w:val="single" w:color="auto" w:sz="4" w:space="0"/>
              <w:left w:val="single" w:color="auto" w:sz="4" w:space="0"/>
              <w:bottom w:val="single" w:color="auto" w:sz="4" w:space="0"/>
              <w:right w:val="single" w:color="auto" w:sz="4" w:space="0"/>
            </w:tcBorders>
            <w:noWrap w:val="0"/>
            <w:vAlign w:val="center"/>
          </w:tcPr>
          <w:p w14:paraId="2EF6891A">
            <w:pPr>
              <w:tabs>
                <w:tab w:val="left" w:pos="720"/>
              </w:tabs>
              <w:snapToGrid w:val="0"/>
              <w:spacing w:line="360" w:lineRule="auto"/>
              <w:rPr>
                <w:rFonts w:hint="eastAsia" w:ascii="宋体" w:hAnsi="宋体" w:eastAsia="宋体" w:cs="宋体"/>
                <w:bCs/>
                <w:color w:val="auto"/>
                <w:sz w:val="24"/>
                <w:szCs w:val="24"/>
                <w:highlight w:val="none"/>
              </w:rPr>
            </w:pPr>
          </w:p>
        </w:tc>
        <w:tc>
          <w:tcPr>
            <w:tcW w:w="435" w:type="dxa"/>
            <w:tcBorders>
              <w:top w:val="single" w:color="auto" w:sz="4" w:space="0"/>
              <w:left w:val="single" w:color="auto" w:sz="4" w:space="0"/>
              <w:bottom w:val="single" w:color="auto" w:sz="4" w:space="0"/>
              <w:right w:val="single" w:color="auto" w:sz="4" w:space="0"/>
            </w:tcBorders>
            <w:noWrap w:val="0"/>
            <w:vAlign w:val="center"/>
          </w:tcPr>
          <w:p w14:paraId="462E74EF">
            <w:pPr>
              <w:tabs>
                <w:tab w:val="left" w:pos="720"/>
              </w:tabs>
              <w:snapToGrid w:val="0"/>
              <w:spacing w:line="360" w:lineRule="auto"/>
              <w:rPr>
                <w:rFonts w:hint="eastAsia" w:ascii="宋体" w:hAnsi="宋体" w:eastAsia="宋体" w:cs="宋体"/>
                <w:bCs/>
                <w:color w:val="auto"/>
                <w:sz w:val="24"/>
                <w:szCs w:val="24"/>
                <w:highlight w:val="none"/>
              </w:rPr>
            </w:pPr>
          </w:p>
        </w:tc>
        <w:tc>
          <w:tcPr>
            <w:tcW w:w="369" w:type="dxa"/>
            <w:tcBorders>
              <w:top w:val="single" w:color="auto" w:sz="4" w:space="0"/>
              <w:left w:val="single" w:color="auto" w:sz="4" w:space="0"/>
              <w:bottom w:val="single" w:color="auto" w:sz="4" w:space="0"/>
              <w:right w:val="single" w:color="auto" w:sz="4" w:space="0"/>
            </w:tcBorders>
            <w:noWrap w:val="0"/>
            <w:vAlign w:val="center"/>
          </w:tcPr>
          <w:p w14:paraId="0862D89D">
            <w:pPr>
              <w:tabs>
                <w:tab w:val="left" w:pos="720"/>
              </w:tabs>
              <w:snapToGrid w:val="0"/>
              <w:spacing w:line="360" w:lineRule="auto"/>
              <w:rPr>
                <w:rFonts w:hint="eastAsia" w:ascii="宋体" w:hAnsi="宋体" w:eastAsia="宋体" w:cs="宋体"/>
                <w:bCs/>
                <w:color w:val="auto"/>
                <w:sz w:val="24"/>
                <w:szCs w:val="24"/>
                <w:highlight w:val="none"/>
              </w:rPr>
            </w:pPr>
          </w:p>
        </w:tc>
      </w:tr>
    </w:tbl>
    <w:p w14:paraId="2D25F1B8">
      <w:pPr>
        <w:tabs>
          <w:tab w:val="left" w:pos="720"/>
        </w:tabs>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备注：1、“是否通过并进入下一阶段评审”一栏应写“通过”或“不通过”。</w:t>
      </w:r>
    </w:p>
    <w:p w14:paraId="5C113B0D">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2、每一项目符合的填“通过”，不符合的填“不通过”。出现一个“不通过”的结论为“不通过”。</w:t>
      </w:r>
    </w:p>
    <w:p w14:paraId="182E6614">
      <w:pPr>
        <w:tabs>
          <w:tab w:val="left" w:pos="720"/>
        </w:tabs>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3、表中全部条件满足为“通过”，同意进入下一阶段评审。</w:t>
      </w:r>
    </w:p>
    <w:p w14:paraId="09AA01DF">
      <w:pPr>
        <w:tabs>
          <w:tab w:val="left" w:pos="720"/>
        </w:tabs>
        <w:snapToGrid w:val="0"/>
        <w:spacing w:line="360" w:lineRule="auto"/>
        <w:ind w:firstLine="717" w:firstLineChars="2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4、若专家意见不一致时，则按少数服从多数的原则，由专家投票决定该投标人是否通过符合性审查，进入下一阶段评审。</w:t>
      </w:r>
    </w:p>
    <w:p w14:paraId="29CB8CBD">
      <w:pPr>
        <w:snapToGrid w:val="0"/>
        <w:spacing w:line="360" w:lineRule="auto"/>
        <w:ind w:left="151" w:leftChars="72" w:firstLine="14" w:firstLineChars="6"/>
        <w:rPr>
          <w:rFonts w:hint="eastAsia" w:ascii="宋体" w:hAnsi="宋体" w:eastAsia="宋体" w:cs="宋体"/>
          <w:color w:val="auto"/>
          <w:sz w:val="24"/>
          <w:szCs w:val="24"/>
          <w:highlight w:val="none"/>
        </w:rPr>
      </w:pPr>
    </w:p>
    <w:p w14:paraId="0AE7E8E0">
      <w:pPr>
        <w:snapToGrid w:val="0"/>
        <w:spacing w:line="360" w:lineRule="auto"/>
        <w:ind w:left="151" w:leftChars="72" w:firstLine="14" w:firstLineChars="6"/>
        <w:rPr>
          <w:rFonts w:hint="eastAsia" w:ascii="宋体" w:hAnsi="宋体" w:eastAsia="宋体" w:cs="宋体"/>
          <w:color w:val="auto"/>
          <w:sz w:val="24"/>
          <w:szCs w:val="24"/>
          <w:highlight w:val="none"/>
        </w:rPr>
      </w:pPr>
    </w:p>
    <w:p w14:paraId="3C287C7D">
      <w:pPr>
        <w:snapToGrid w:val="0"/>
        <w:spacing w:line="360" w:lineRule="auto"/>
        <w:ind w:left="151" w:leftChars="72" w:firstLine="14" w:firstLineChars="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评委签名：                          日期：</w:t>
      </w:r>
    </w:p>
    <w:p w14:paraId="497792AA">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2CFBB25E">
      <w:pPr>
        <w:adjustRightInd w:val="0"/>
        <w:spacing w:line="360" w:lineRule="auto"/>
        <w:jc w:val="left"/>
        <w:rPr>
          <w:rFonts w:hint="eastAsia" w:ascii="宋体" w:hAnsi="宋体" w:eastAsia="宋体" w:cs="宋体"/>
          <w:b/>
          <w:color w:val="auto"/>
          <w:spacing w:val="20"/>
          <w:sz w:val="28"/>
          <w:szCs w:val="28"/>
          <w:highlight w:val="none"/>
        </w:rPr>
      </w:pPr>
      <w:r>
        <w:rPr>
          <w:rFonts w:hint="eastAsia" w:ascii="宋体" w:hAnsi="宋体" w:cs="宋体"/>
          <w:b/>
          <w:color w:val="auto"/>
          <w:sz w:val="24"/>
          <w:szCs w:val="24"/>
          <w:highlight w:val="none"/>
          <w:lang w:eastAsia="zh-CN"/>
        </w:rPr>
        <w:t>附</w:t>
      </w:r>
      <w:r>
        <w:rPr>
          <w:rFonts w:hint="eastAsia" w:ascii="宋体" w:hAnsi="宋体" w:eastAsia="宋体" w:cs="宋体"/>
          <w:b/>
          <w:color w:val="auto"/>
          <w:sz w:val="24"/>
          <w:szCs w:val="24"/>
          <w:highlight w:val="none"/>
        </w:rPr>
        <w:t>表2：</w:t>
      </w:r>
    </w:p>
    <w:p w14:paraId="22C90E80">
      <w:pPr>
        <w:snapToGrid/>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color w:val="auto"/>
          <w:spacing w:val="20"/>
          <w:sz w:val="28"/>
          <w:szCs w:val="28"/>
          <w:highlight w:val="none"/>
        </w:rPr>
        <w:t>符合性审查表</w:t>
      </w:r>
    </w:p>
    <w:p w14:paraId="239860D8">
      <w:pPr>
        <w:tabs>
          <w:tab w:val="left" w:pos="720"/>
        </w:tabs>
        <w:snapToGrid w:val="0"/>
        <w:spacing w:line="240" w:lineRule="auto"/>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 w:val="24"/>
          <w:szCs w:val="24"/>
          <w:highlight w:val="none"/>
        </w:rPr>
        <w:t>项目名称：</w:t>
      </w:r>
      <w:r>
        <w:rPr>
          <w:rFonts w:hint="eastAsia" w:ascii="宋体" w:hAnsi="宋体" w:cs="宋体"/>
          <w:color w:val="auto"/>
          <w:sz w:val="24"/>
          <w:szCs w:val="22"/>
          <w:highlight w:val="none"/>
          <w:u w:val="none"/>
          <w:lang w:eastAsia="zh-CN"/>
        </w:rPr>
        <w:t>广州市自来水有限公司北部水厂智慧化系统开发服务公开招标项目</w:t>
      </w:r>
    </w:p>
    <w:tbl>
      <w:tblPr>
        <w:tblStyle w:val="20"/>
        <w:tblpPr w:leftFromText="180" w:rightFromText="180" w:vertAnchor="text" w:horzAnchor="page" w:tblpX="1221" w:tblpY="271"/>
        <w:tblOverlap w:val="never"/>
        <w:tblW w:w="9640" w:type="dxa"/>
        <w:tblInd w:w="0" w:type="dxa"/>
        <w:tblLayout w:type="fixed"/>
        <w:tblCellMar>
          <w:top w:w="0" w:type="dxa"/>
          <w:left w:w="108" w:type="dxa"/>
          <w:bottom w:w="0" w:type="dxa"/>
          <w:right w:w="108" w:type="dxa"/>
        </w:tblCellMar>
      </w:tblPr>
      <w:tblGrid>
        <w:gridCol w:w="852"/>
        <w:gridCol w:w="4678"/>
        <w:gridCol w:w="850"/>
        <w:gridCol w:w="794"/>
        <w:gridCol w:w="822"/>
        <w:gridCol w:w="822"/>
        <w:gridCol w:w="822"/>
      </w:tblGrid>
      <w:tr w14:paraId="71CAB1F6">
        <w:tblPrEx>
          <w:tblCellMar>
            <w:top w:w="0" w:type="dxa"/>
            <w:left w:w="108" w:type="dxa"/>
            <w:bottom w:w="0" w:type="dxa"/>
            <w:right w:w="108" w:type="dxa"/>
          </w:tblCellMar>
        </w:tblPrEx>
        <w:trPr>
          <w:trHeight w:val="986" w:hRule="atLeast"/>
          <w:tblHeader/>
        </w:trPr>
        <w:tc>
          <w:tcPr>
            <w:tcW w:w="852" w:type="dxa"/>
            <w:tcBorders>
              <w:top w:val="single" w:color="auto" w:sz="4" w:space="0"/>
              <w:left w:val="single" w:color="auto" w:sz="4" w:space="0"/>
              <w:bottom w:val="single" w:color="auto" w:sz="4" w:space="0"/>
              <w:right w:val="single" w:color="auto" w:sz="4" w:space="0"/>
            </w:tcBorders>
            <w:noWrap w:val="0"/>
            <w:vAlign w:val="center"/>
          </w:tcPr>
          <w:p w14:paraId="6BF0CC3F">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编号</w:t>
            </w:r>
          </w:p>
        </w:tc>
        <w:tc>
          <w:tcPr>
            <w:tcW w:w="4678"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6CFE2F92">
            <w:pPr>
              <w:widowControl/>
              <w:spacing w:line="360" w:lineRule="auto"/>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投标人名称</w:t>
            </w:r>
          </w:p>
          <w:p w14:paraId="1C333331">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审查项目</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7C9C8D5">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single" w:color="auto" w:sz="4" w:space="0"/>
              <w:left w:val="single" w:color="auto" w:sz="4" w:space="0"/>
              <w:bottom w:val="single" w:color="auto" w:sz="4" w:space="0"/>
              <w:right w:val="single" w:color="auto" w:sz="4" w:space="0"/>
            </w:tcBorders>
            <w:noWrap w:val="0"/>
            <w:vAlign w:val="center"/>
          </w:tcPr>
          <w:p w14:paraId="6D0801DD">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single" w:color="auto" w:sz="4" w:space="0"/>
              <w:left w:val="single" w:color="auto" w:sz="4" w:space="0"/>
              <w:bottom w:val="single" w:color="auto" w:sz="4" w:space="0"/>
              <w:right w:val="single" w:color="auto" w:sz="4" w:space="0"/>
            </w:tcBorders>
            <w:noWrap w:val="0"/>
            <w:vAlign w:val="center"/>
          </w:tcPr>
          <w:p w14:paraId="1C58A62D">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single" w:color="auto" w:sz="4" w:space="0"/>
              <w:left w:val="single" w:color="auto" w:sz="4" w:space="0"/>
              <w:bottom w:val="single" w:color="auto" w:sz="4" w:space="0"/>
              <w:right w:val="single" w:color="auto" w:sz="4" w:space="0"/>
            </w:tcBorders>
            <w:noWrap w:val="0"/>
            <w:vAlign w:val="center"/>
          </w:tcPr>
          <w:p w14:paraId="3C412AB1">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single" w:color="auto" w:sz="4" w:space="0"/>
              <w:left w:val="single" w:color="auto" w:sz="4" w:space="0"/>
              <w:bottom w:val="single" w:color="auto" w:sz="4" w:space="0"/>
              <w:right w:val="single" w:color="auto" w:sz="4" w:space="0"/>
            </w:tcBorders>
            <w:noWrap w:val="0"/>
            <w:vAlign w:val="center"/>
          </w:tcPr>
          <w:p w14:paraId="64BB5D41">
            <w:pPr>
              <w:widowControl/>
              <w:spacing w:line="360" w:lineRule="auto"/>
              <w:jc w:val="center"/>
              <w:rPr>
                <w:rFonts w:hint="eastAsia" w:ascii="宋体" w:hAnsi="宋体" w:eastAsia="宋体" w:cs="宋体"/>
                <w:color w:val="auto"/>
                <w:kern w:val="0"/>
                <w:sz w:val="24"/>
                <w:szCs w:val="24"/>
                <w:highlight w:val="none"/>
              </w:rPr>
            </w:pPr>
          </w:p>
        </w:tc>
      </w:tr>
      <w:tr w14:paraId="4448F335">
        <w:tblPrEx>
          <w:tblCellMar>
            <w:top w:w="0" w:type="dxa"/>
            <w:left w:w="108" w:type="dxa"/>
            <w:bottom w:w="0" w:type="dxa"/>
            <w:right w:w="108" w:type="dxa"/>
          </w:tblCellMar>
        </w:tblPrEx>
        <w:trPr>
          <w:trHeight w:val="866" w:hRule="atLeast"/>
        </w:trPr>
        <w:tc>
          <w:tcPr>
            <w:tcW w:w="852" w:type="dxa"/>
            <w:tcBorders>
              <w:top w:val="nil"/>
              <w:left w:val="single" w:color="auto" w:sz="4" w:space="0"/>
              <w:bottom w:val="single" w:color="auto" w:sz="4" w:space="0"/>
              <w:right w:val="single" w:color="auto" w:sz="4" w:space="0"/>
            </w:tcBorders>
            <w:noWrap w:val="0"/>
            <w:vAlign w:val="center"/>
          </w:tcPr>
          <w:p w14:paraId="5FC3BA48">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78" w:type="dxa"/>
            <w:tcBorders>
              <w:top w:val="single" w:color="auto" w:sz="4" w:space="0"/>
              <w:left w:val="nil"/>
              <w:bottom w:val="single" w:color="auto" w:sz="4" w:space="0"/>
              <w:right w:val="single" w:color="auto" w:sz="4" w:space="0"/>
            </w:tcBorders>
            <w:noWrap w:val="0"/>
            <w:vAlign w:val="center"/>
          </w:tcPr>
          <w:p w14:paraId="4C4B1DB5">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投标文件格式符合招标文件第3章“投标文件格式”的要求；</w:t>
            </w:r>
          </w:p>
        </w:tc>
        <w:tc>
          <w:tcPr>
            <w:tcW w:w="850" w:type="dxa"/>
            <w:tcBorders>
              <w:top w:val="nil"/>
              <w:left w:val="nil"/>
              <w:bottom w:val="single" w:color="auto" w:sz="4" w:space="0"/>
              <w:right w:val="single" w:color="auto" w:sz="4" w:space="0"/>
            </w:tcBorders>
            <w:noWrap w:val="0"/>
            <w:vAlign w:val="center"/>
          </w:tcPr>
          <w:p w14:paraId="05F02FCF">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08720A20">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3AE7911B">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79900000">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6861464E">
            <w:pPr>
              <w:widowControl/>
              <w:spacing w:line="360" w:lineRule="auto"/>
              <w:jc w:val="center"/>
              <w:rPr>
                <w:rFonts w:hint="eastAsia" w:ascii="宋体" w:hAnsi="宋体" w:eastAsia="宋体" w:cs="宋体"/>
                <w:color w:val="auto"/>
                <w:kern w:val="0"/>
                <w:sz w:val="24"/>
                <w:szCs w:val="24"/>
                <w:highlight w:val="none"/>
              </w:rPr>
            </w:pPr>
          </w:p>
        </w:tc>
      </w:tr>
      <w:tr w14:paraId="3A0A7CC8">
        <w:tblPrEx>
          <w:tblCellMar>
            <w:top w:w="0" w:type="dxa"/>
            <w:left w:w="108" w:type="dxa"/>
            <w:bottom w:w="0" w:type="dxa"/>
            <w:right w:w="108" w:type="dxa"/>
          </w:tblCellMar>
        </w:tblPrEx>
        <w:trPr>
          <w:trHeight w:val="884" w:hRule="atLeast"/>
        </w:trPr>
        <w:tc>
          <w:tcPr>
            <w:tcW w:w="852" w:type="dxa"/>
            <w:tcBorders>
              <w:top w:val="nil"/>
              <w:left w:val="single" w:color="auto" w:sz="4" w:space="0"/>
              <w:bottom w:val="single" w:color="auto" w:sz="4" w:space="0"/>
              <w:right w:val="single" w:color="auto" w:sz="4" w:space="0"/>
            </w:tcBorders>
            <w:noWrap w:val="0"/>
            <w:vAlign w:val="center"/>
          </w:tcPr>
          <w:p w14:paraId="349B737E">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78" w:type="dxa"/>
            <w:tcBorders>
              <w:top w:val="nil"/>
              <w:left w:val="nil"/>
              <w:bottom w:val="single" w:color="auto" w:sz="4" w:space="0"/>
              <w:right w:val="single" w:color="auto" w:sz="4" w:space="0"/>
            </w:tcBorders>
            <w:noWrap w:val="0"/>
            <w:vAlign w:val="center"/>
          </w:tcPr>
          <w:p w14:paraId="2EF5B615">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投标文件按招标文件要求签字盖章；</w:t>
            </w:r>
          </w:p>
        </w:tc>
        <w:tc>
          <w:tcPr>
            <w:tcW w:w="850" w:type="dxa"/>
            <w:tcBorders>
              <w:top w:val="nil"/>
              <w:left w:val="nil"/>
              <w:bottom w:val="single" w:color="auto" w:sz="4" w:space="0"/>
              <w:right w:val="single" w:color="auto" w:sz="4" w:space="0"/>
            </w:tcBorders>
            <w:noWrap w:val="0"/>
            <w:vAlign w:val="center"/>
          </w:tcPr>
          <w:p w14:paraId="12515E06">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60C86D33">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3E6ABF74">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14BB9A91">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3FF5D132">
            <w:pPr>
              <w:widowControl/>
              <w:spacing w:line="360" w:lineRule="auto"/>
              <w:jc w:val="center"/>
              <w:rPr>
                <w:rFonts w:hint="eastAsia" w:ascii="宋体" w:hAnsi="宋体" w:eastAsia="宋体" w:cs="宋体"/>
                <w:color w:val="auto"/>
                <w:kern w:val="0"/>
                <w:sz w:val="24"/>
                <w:szCs w:val="24"/>
                <w:highlight w:val="none"/>
              </w:rPr>
            </w:pPr>
          </w:p>
        </w:tc>
      </w:tr>
      <w:tr w14:paraId="26DCC2E0">
        <w:tblPrEx>
          <w:tblCellMar>
            <w:top w:w="0" w:type="dxa"/>
            <w:left w:w="108" w:type="dxa"/>
            <w:bottom w:w="0" w:type="dxa"/>
            <w:right w:w="108" w:type="dxa"/>
          </w:tblCellMar>
        </w:tblPrEx>
        <w:trPr>
          <w:trHeight w:val="884" w:hRule="atLeast"/>
        </w:trPr>
        <w:tc>
          <w:tcPr>
            <w:tcW w:w="852" w:type="dxa"/>
            <w:tcBorders>
              <w:top w:val="nil"/>
              <w:left w:val="single" w:color="auto" w:sz="4" w:space="0"/>
              <w:bottom w:val="single" w:color="auto" w:sz="4" w:space="0"/>
              <w:right w:val="single" w:color="auto" w:sz="4" w:space="0"/>
            </w:tcBorders>
            <w:noWrap w:val="0"/>
            <w:vAlign w:val="center"/>
          </w:tcPr>
          <w:p w14:paraId="3BD793D5">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78" w:type="dxa"/>
            <w:tcBorders>
              <w:top w:val="nil"/>
              <w:left w:val="nil"/>
              <w:bottom w:val="single" w:color="auto" w:sz="4" w:space="0"/>
              <w:right w:val="single" w:color="auto" w:sz="4" w:space="0"/>
            </w:tcBorders>
            <w:noWrap w:val="0"/>
            <w:vAlign w:val="center"/>
          </w:tcPr>
          <w:p w14:paraId="6D82E425">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对同一项目无出现两个或以上的投标报价，或修正有依据的；</w:t>
            </w:r>
          </w:p>
        </w:tc>
        <w:tc>
          <w:tcPr>
            <w:tcW w:w="850" w:type="dxa"/>
            <w:tcBorders>
              <w:top w:val="nil"/>
              <w:left w:val="nil"/>
              <w:bottom w:val="single" w:color="auto" w:sz="4" w:space="0"/>
              <w:right w:val="single" w:color="auto" w:sz="4" w:space="0"/>
            </w:tcBorders>
            <w:noWrap w:val="0"/>
            <w:vAlign w:val="center"/>
          </w:tcPr>
          <w:p w14:paraId="6DCA241D">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105E6364">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3B771A35">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740534F3">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4E32BA1A">
            <w:pPr>
              <w:widowControl/>
              <w:spacing w:line="360" w:lineRule="auto"/>
              <w:jc w:val="center"/>
              <w:rPr>
                <w:rFonts w:hint="eastAsia" w:ascii="宋体" w:hAnsi="宋体" w:eastAsia="宋体" w:cs="宋体"/>
                <w:color w:val="auto"/>
                <w:kern w:val="0"/>
                <w:sz w:val="24"/>
                <w:szCs w:val="24"/>
                <w:highlight w:val="none"/>
              </w:rPr>
            </w:pPr>
          </w:p>
        </w:tc>
      </w:tr>
      <w:tr w14:paraId="08ACCE3B">
        <w:tblPrEx>
          <w:tblCellMar>
            <w:top w:w="0" w:type="dxa"/>
            <w:left w:w="108" w:type="dxa"/>
            <w:bottom w:w="0" w:type="dxa"/>
            <w:right w:w="108" w:type="dxa"/>
          </w:tblCellMar>
        </w:tblPrEx>
        <w:trPr>
          <w:trHeight w:val="818" w:hRule="atLeast"/>
        </w:trPr>
        <w:tc>
          <w:tcPr>
            <w:tcW w:w="852" w:type="dxa"/>
            <w:tcBorders>
              <w:top w:val="nil"/>
              <w:left w:val="single" w:color="auto" w:sz="4" w:space="0"/>
              <w:bottom w:val="single" w:color="auto" w:sz="4" w:space="0"/>
              <w:right w:val="single" w:color="auto" w:sz="4" w:space="0"/>
            </w:tcBorders>
            <w:noWrap w:val="0"/>
            <w:vAlign w:val="center"/>
          </w:tcPr>
          <w:p w14:paraId="4EB471BC">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4678" w:type="dxa"/>
            <w:tcBorders>
              <w:top w:val="nil"/>
              <w:left w:val="nil"/>
              <w:bottom w:val="single" w:color="auto" w:sz="4" w:space="0"/>
              <w:right w:val="single" w:color="auto" w:sz="4" w:space="0"/>
            </w:tcBorders>
            <w:noWrap w:val="0"/>
            <w:vAlign w:val="center"/>
          </w:tcPr>
          <w:p w14:paraId="62109B2B">
            <w:pPr>
              <w:widowControl/>
              <w:spacing w:line="360" w:lineRule="auto"/>
              <w:jc w:val="left"/>
              <w:rPr>
                <w:rFonts w:hint="default" w:ascii="宋体" w:hAnsi="宋体" w:eastAsia="宋体" w:cs="宋体"/>
                <w:color w:val="auto"/>
                <w:kern w:val="0"/>
                <w:sz w:val="24"/>
                <w:szCs w:val="24"/>
                <w:highlight w:val="none"/>
                <w:lang w:val="en-US"/>
              </w:rPr>
            </w:pPr>
            <w:r>
              <w:rPr>
                <w:rFonts w:hint="eastAsia" w:ascii="宋体" w:hAnsi="宋体" w:eastAsia="宋体" w:cs="宋体"/>
                <w:b w:val="0"/>
                <w:bCs w:val="0"/>
                <w:color w:val="auto"/>
                <w:kern w:val="44"/>
                <w:sz w:val="24"/>
                <w:szCs w:val="24"/>
                <w:highlight w:val="none"/>
              </w:rPr>
              <w:t>投标报价按招标文件要求报价，投标报价</w:t>
            </w:r>
            <w:r>
              <w:rPr>
                <w:rFonts w:hint="eastAsia" w:ascii="宋体" w:hAnsi="宋体" w:eastAsia="宋体" w:cs="宋体"/>
                <w:b w:val="0"/>
                <w:bCs w:val="0"/>
                <w:color w:val="auto"/>
                <w:kern w:val="44"/>
                <w:sz w:val="24"/>
                <w:szCs w:val="24"/>
                <w:highlight w:val="none"/>
                <w:lang w:val="en-US" w:eastAsia="zh-CN"/>
              </w:rPr>
              <w:t>不</w:t>
            </w:r>
            <w:r>
              <w:rPr>
                <w:rFonts w:hint="eastAsia" w:ascii="宋体" w:hAnsi="宋体" w:eastAsia="宋体" w:cs="宋体"/>
                <w:b w:val="0"/>
                <w:bCs w:val="0"/>
                <w:color w:val="auto"/>
                <w:kern w:val="44"/>
                <w:sz w:val="24"/>
                <w:szCs w:val="24"/>
                <w:highlight w:val="none"/>
              </w:rPr>
              <w:t>超过</w:t>
            </w:r>
            <w:r>
              <w:rPr>
                <w:rFonts w:hint="eastAsia" w:ascii="宋体" w:hAnsi="宋体" w:eastAsia="宋体" w:cs="宋体"/>
                <w:b w:val="0"/>
                <w:bCs w:val="0"/>
                <w:color w:val="auto"/>
                <w:kern w:val="44"/>
                <w:sz w:val="24"/>
                <w:szCs w:val="24"/>
                <w:highlight w:val="none"/>
                <w:lang w:eastAsia="zh-CN"/>
              </w:rPr>
              <w:t>招标控制价</w:t>
            </w:r>
            <w:r>
              <w:rPr>
                <w:rFonts w:hint="eastAsia" w:ascii="宋体" w:hAnsi="宋体" w:eastAsia="宋体" w:cs="宋体"/>
                <w:color w:val="auto"/>
                <w:sz w:val="24"/>
                <w:szCs w:val="24"/>
                <w:highlight w:val="none"/>
              </w:rPr>
              <w:t>、综合单价未超过</w:t>
            </w:r>
            <w:r>
              <w:rPr>
                <w:rFonts w:hint="eastAsia" w:ascii="宋体" w:hAnsi="宋体" w:cs="宋体"/>
                <w:color w:val="auto"/>
                <w:sz w:val="24"/>
                <w:szCs w:val="24"/>
                <w:highlight w:val="none"/>
                <w:lang w:val="en-US" w:eastAsia="zh-CN"/>
              </w:rPr>
              <w:t>综合单价</w:t>
            </w:r>
            <w:r>
              <w:rPr>
                <w:rFonts w:hint="eastAsia" w:ascii="宋体" w:hAnsi="宋体" w:eastAsia="宋体" w:cs="宋体"/>
                <w:color w:val="auto"/>
                <w:sz w:val="24"/>
                <w:szCs w:val="24"/>
                <w:highlight w:val="none"/>
              </w:rPr>
              <w:t>最高限价</w:t>
            </w:r>
          </w:p>
        </w:tc>
        <w:tc>
          <w:tcPr>
            <w:tcW w:w="850" w:type="dxa"/>
            <w:tcBorders>
              <w:top w:val="nil"/>
              <w:left w:val="nil"/>
              <w:bottom w:val="single" w:color="auto" w:sz="4" w:space="0"/>
              <w:right w:val="single" w:color="auto" w:sz="4" w:space="0"/>
            </w:tcBorders>
            <w:noWrap w:val="0"/>
            <w:vAlign w:val="center"/>
          </w:tcPr>
          <w:p w14:paraId="7F63E48D">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3746013E">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35DE60A2">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6F63FD46">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448AEF78">
            <w:pPr>
              <w:widowControl/>
              <w:spacing w:line="360" w:lineRule="auto"/>
              <w:jc w:val="center"/>
              <w:rPr>
                <w:rFonts w:hint="eastAsia" w:ascii="宋体" w:hAnsi="宋体" w:eastAsia="宋体" w:cs="宋体"/>
                <w:color w:val="auto"/>
                <w:kern w:val="0"/>
                <w:sz w:val="24"/>
                <w:szCs w:val="24"/>
                <w:highlight w:val="none"/>
              </w:rPr>
            </w:pPr>
          </w:p>
        </w:tc>
      </w:tr>
      <w:tr w14:paraId="23171E89">
        <w:tblPrEx>
          <w:tblCellMar>
            <w:top w:w="0" w:type="dxa"/>
            <w:left w:w="108" w:type="dxa"/>
            <w:bottom w:w="0" w:type="dxa"/>
            <w:right w:w="108" w:type="dxa"/>
          </w:tblCellMar>
        </w:tblPrEx>
        <w:trPr>
          <w:trHeight w:val="818" w:hRule="atLeast"/>
        </w:trPr>
        <w:tc>
          <w:tcPr>
            <w:tcW w:w="852" w:type="dxa"/>
            <w:tcBorders>
              <w:top w:val="nil"/>
              <w:left w:val="single" w:color="auto" w:sz="4" w:space="0"/>
              <w:bottom w:val="single" w:color="auto" w:sz="4" w:space="0"/>
              <w:right w:val="single" w:color="auto" w:sz="4" w:space="0"/>
            </w:tcBorders>
            <w:noWrap w:val="0"/>
            <w:vAlign w:val="center"/>
          </w:tcPr>
          <w:p w14:paraId="4C9D24B7">
            <w:pPr>
              <w:widowControl/>
              <w:spacing w:line="360" w:lineRule="auto"/>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p>
        </w:tc>
        <w:tc>
          <w:tcPr>
            <w:tcW w:w="4678" w:type="dxa"/>
            <w:tcBorders>
              <w:top w:val="nil"/>
              <w:left w:val="nil"/>
              <w:bottom w:val="single" w:color="auto" w:sz="4" w:space="0"/>
              <w:right w:val="single" w:color="auto" w:sz="4" w:space="0"/>
            </w:tcBorders>
            <w:noWrap w:val="0"/>
            <w:vAlign w:val="center"/>
          </w:tcPr>
          <w:p w14:paraId="0B4F851B">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投标文件满足用户需求书要求。</w:t>
            </w:r>
          </w:p>
        </w:tc>
        <w:tc>
          <w:tcPr>
            <w:tcW w:w="850" w:type="dxa"/>
            <w:tcBorders>
              <w:top w:val="nil"/>
              <w:left w:val="nil"/>
              <w:bottom w:val="single" w:color="auto" w:sz="4" w:space="0"/>
              <w:right w:val="single" w:color="auto" w:sz="4" w:space="0"/>
            </w:tcBorders>
            <w:noWrap w:val="0"/>
            <w:vAlign w:val="center"/>
          </w:tcPr>
          <w:p w14:paraId="1356A6D0">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207C363A">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7CD4AA1C">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4A4D199B">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6E7F5FA1">
            <w:pPr>
              <w:widowControl/>
              <w:spacing w:line="360" w:lineRule="auto"/>
              <w:jc w:val="center"/>
              <w:rPr>
                <w:rFonts w:hint="eastAsia" w:ascii="宋体" w:hAnsi="宋体" w:eastAsia="宋体" w:cs="宋体"/>
                <w:color w:val="auto"/>
                <w:kern w:val="0"/>
                <w:sz w:val="24"/>
                <w:szCs w:val="24"/>
                <w:highlight w:val="none"/>
              </w:rPr>
            </w:pPr>
          </w:p>
        </w:tc>
      </w:tr>
      <w:tr w14:paraId="355A6B9E">
        <w:tblPrEx>
          <w:tblCellMar>
            <w:top w:w="0" w:type="dxa"/>
            <w:left w:w="108" w:type="dxa"/>
            <w:bottom w:w="0" w:type="dxa"/>
            <w:right w:w="108" w:type="dxa"/>
          </w:tblCellMar>
        </w:tblPrEx>
        <w:trPr>
          <w:trHeight w:val="897" w:hRule="atLeast"/>
        </w:trPr>
        <w:tc>
          <w:tcPr>
            <w:tcW w:w="852" w:type="dxa"/>
            <w:tcBorders>
              <w:top w:val="nil"/>
              <w:left w:val="single" w:color="auto" w:sz="4" w:space="0"/>
              <w:bottom w:val="single" w:color="auto" w:sz="4" w:space="0"/>
              <w:right w:val="single" w:color="auto" w:sz="4" w:space="0"/>
            </w:tcBorders>
            <w:noWrap w:val="0"/>
            <w:vAlign w:val="center"/>
          </w:tcPr>
          <w:p w14:paraId="50D5773B">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结论</w:t>
            </w:r>
          </w:p>
        </w:tc>
        <w:tc>
          <w:tcPr>
            <w:tcW w:w="4678" w:type="dxa"/>
            <w:tcBorders>
              <w:top w:val="nil"/>
              <w:left w:val="nil"/>
              <w:bottom w:val="single" w:color="auto" w:sz="4" w:space="0"/>
              <w:right w:val="single" w:color="auto" w:sz="4" w:space="0"/>
            </w:tcBorders>
            <w:noWrap w:val="0"/>
            <w:vAlign w:val="center"/>
          </w:tcPr>
          <w:p w14:paraId="39A2CCD1">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是否通过并进入下一阶段评审。</w:t>
            </w:r>
          </w:p>
        </w:tc>
        <w:tc>
          <w:tcPr>
            <w:tcW w:w="850" w:type="dxa"/>
            <w:tcBorders>
              <w:top w:val="nil"/>
              <w:left w:val="nil"/>
              <w:bottom w:val="single" w:color="auto" w:sz="4" w:space="0"/>
              <w:right w:val="single" w:color="auto" w:sz="4" w:space="0"/>
            </w:tcBorders>
            <w:noWrap w:val="0"/>
            <w:vAlign w:val="center"/>
          </w:tcPr>
          <w:p w14:paraId="69204B55">
            <w:pPr>
              <w:widowControl/>
              <w:spacing w:line="360" w:lineRule="auto"/>
              <w:jc w:val="center"/>
              <w:rPr>
                <w:rFonts w:hint="eastAsia" w:ascii="宋体" w:hAnsi="宋体" w:eastAsia="宋体" w:cs="宋体"/>
                <w:color w:val="auto"/>
                <w:kern w:val="0"/>
                <w:sz w:val="24"/>
                <w:szCs w:val="24"/>
                <w:highlight w:val="none"/>
              </w:rPr>
            </w:pPr>
          </w:p>
        </w:tc>
        <w:tc>
          <w:tcPr>
            <w:tcW w:w="794" w:type="dxa"/>
            <w:tcBorders>
              <w:top w:val="nil"/>
              <w:left w:val="nil"/>
              <w:bottom w:val="single" w:color="auto" w:sz="4" w:space="0"/>
              <w:right w:val="single" w:color="auto" w:sz="4" w:space="0"/>
            </w:tcBorders>
            <w:noWrap w:val="0"/>
            <w:vAlign w:val="center"/>
          </w:tcPr>
          <w:p w14:paraId="683D3A01">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5226F646">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088E3BB4">
            <w:pPr>
              <w:widowControl/>
              <w:spacing w:line="360" w:lineRule="auto"/>
              <w:jc w:val="center"/>
              <w:rPr>
                <w:rFonts w:hint="eastAsia" w:ascii="宋体" w:hAnsi="宋体" w:eastAsia="宋体" w:cs="宋体"/>
                <w:color w:val="auto"/>
                <w:kern w:val="0"/>
                <w:sz w:val="24"/>
                <w:szCs w:val="24"/>
                <w:highlight w:val="none"/>
              </w:rPr>
            </w:pPr>
          </w:p>
        </w:tc>
        <w:tc>
          <w:tcPr>
            <w:tcW w:w="822" w:type="dxa"/>
            <w:tcBorders>
              <w:top w:val="nil"/>
              <w:left w:val="nil"/>
              <w:bottom w:val="single" w:color="auto" w:sz="4" w:space="0"/>
              <w:right w:val="single" w:color="auto" w:sz="4" w:space="0"/>
            </w:tcBorders>
            <w:noWrap w:val="0"/>
            <w:vAlign w:val="center"/>
          </w:tcPr>
          <w:p w14:paraId="5566DC6E">
            <w:pPr>
              <w:widowControl/>
              <w:spacing w:line="360" w:lineRule="auto"/>
              <w:jc w:val="center"/>
              <w:rPr>
                <w:rFonts w:hint="eastAsia" w:ascii="宋体" w:hAnsi="宋体" w:eastAsia="宋体" w:cs="宋体"/>
                <w:color w:val="auto"/>
                <w:kern w:val="0"/>
                <w:sz w:val="24"/>
                <w:szCs w:val="24"/>
                <w:highlight w:val="none"/>
              </w:rPr>
            </w:pPr>
          </w:p>
        </w:tc>
      </w:tr>
    </w:tbl>
    <w:p w14:paraId="68858A92">
      <w:pPr>
        <w:tabs>
          <w:tab w:val="left" w:pos="720"/>
        </w:tabs>
        <w:snapToGrid w:val="0"/>
        <w:spacing w:line="360" w:lineRule="auto"/>
        <w:rPr>
          <w:rFonts w:hint="eastAsia" w:ascii="宋体" w:hAnsi="宋体" w:eastAsia="宋体" w:cs="宋体"/>
          <w:bCs/>
          <w:color w:val="auto"/>
          <w:szCs w:val="21"/>
          <w:highlight w:val="none"/>
        </w:rPr>
      </w:pPr>
    </w:p>
    <w:p w14:paraId="524DB465">
      <w:pPr>
        <w:tabs>
          <w:tab w:val="left" w:pos="720"/>
        </w:tabs>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备注：1、“是否通过并进入下一阶段评审”一栏应写“通过”或“不通过”。</w:t>
      </w:r>
    </w:p>
    <w:p w14:paraId="07A77127">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2、每一项目符合的填“通过”，不符合的填“不通过”。出现一个“不通过”的结论为“不通过”。</w:t>
      </w:r>
    </w:p>
    <w:p w14:paraId="3B2FCDD7">
      <w:pPr>
        <w:tabs>
          <w:tab w:val="left" w:pos="720"/>
        </w:tabs>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3、表中全部条件满足为“通过”，同意进入下一阶段评审。</w:t>
      </w:r>
    </w:p>
    <w:p w14:paraId="4FC46CC9">
      <w:pPr>
        <w:tabs>
          <w:tab w:val="left" w:pos="720"/>
        </w:tabs>
        <w:snapToGrid w:val="0"/>
        <w:spacing w:line="360" w:lineRule="auto"/>
        <w:ind w:firstLine="717" w:firstLineChars="2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4、若专家意见不一致时，则按少数服从多数的原则，由专家投票决定该投标人是否通过符合性审查，进入下一阶段评审。</w:t>
      </w:r>
    </w:p>
    <w:p w14:paraId="17773CE6">
      <w:pPr>
        <w:pStyle w:val="5"/>
        <w:spacing w:line="360" w:lineRule="auto"/>
        <w:rPr>
          <w:rFonts w:hint="eastAsia" w:ascii="宋体" w:hAnsi="宋体" w:eastAsia="宋体" w:cs="宋体"/>
          <w:color w:val="auto"/>
          <w:sz w:val="24"/>
          <w:szCs w:val="24"/>
          <w:highlight w:val="none"/>
        </w:rPr>
      </w:pPr>
    </w:p>
    <w:p w14:paraId="0876C9F8">
      <w:pPr>
        <w:snapToGrid w:val="0"/>
        <w:spacing w:line="360" w:lineRule="auto"/>
        <w:ind w:left="151" w:leftChars="72" w:firstLine="14" w:firstLineChars="6"/>
        <w:rPr>
          <w:rFonts w:hint="eastAsia" w:ascii="宋体" w:hAnsi="宋体" w:eastAsia="宋体" w:cs="宋体"/>
          <w:color w:val="auto"/>
          <w:sz w:val="24"/>
          <w:szCs w:val="24"/>
          <w:highlight w:val="none"/>
        </w:rPr>
        <w:sectPr>
          <w:pgSz w:w="11906" w:h="16838"/>
          <w:pgMar w:top="1701" w:right="1701" w:bottom="1418" w:left="1701" w:header="851" w:footer="851" w:gutter="0"/>
          <w:pgNumType w:fmt="decimal"/>
          <w:cols w:space="720" w:num="1"/>
          <w:docGrid w:linePitch="312" w:charSpace="0"/>
        </w:sectPr>
      </w:pPr>
      <w:r>
        <w:rPr>
          <w:rFonts w:hint="eastAsia" w:ascii="宋体" w:hAnsi="宋体" w:eastAsia="宋体" w:cs="宋体"/>
          <w:bCs/>
          <w:color w:val="auto"/>
          <w:sz w:val="24"/>
          <w:szCs w:val="24"/>
          <w:highlight w:val="none"/>
        </w:rPr>
        <w:t>评委签名：                          日期：</w:t>
      </w:r>
    </w:p>
    <w:bookmarkEnd w:id="178"/>
    <w:bookmarkEnd w:id="179"/>
    <w:p w14:paraId="6E8BF99E">
      <w:pPr>
        <w:adjustRightInd w:val="0"/>
        <w:spacing w:line="360" w:lineRule="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附</w:t>
      </w:r>
      <w:r>
        <w:rPr>
          <w:rFonts w:hint="eastAsia" w:ascii="宋体" w:hAnsi="宋体" w:eastAsia="宋体" w:cs="宋体"/>
          <w:b/>
          <w:color w:val="auto"/>
          <w:sz w:val="24"/>
          <w:szCs w:val="24"/>
          <w:highlight w:val="none"/>
        </w:rPr>
        <w:t>表3：</w:t>
      </w:r>
    </w:p>
    <w:p w14:paraId="6200A00A">
      <w:pPr>
        <w:widowControl/>
        <w:spacing w:line="360" w:lineRule="auto"/>
        <w:jc w:val="center"/>
        <w:rPr>
          <w:rFonts w:hint="eastAsia" w:ascii="宋体" w:hAnsi="宋体" w:eastAsia="宋体" w:cs="宋体"/>
          <w:b/>
          <w:bCs/>
          <w:color w:val="auto"/>
          <w:sz w:val="30"/>
          <w:szCs w:val="30"/>
          <w:highlight w:val="none"/>
        </w:rPr>
      </w:pPr>
      <w:r>
        <w:rPr>
          <w:rFonts w:hint="eastAsia" w:ascii="宋体" w:hAnsi="宋体" w:cs="宋体"/>
          <w:b/>
          <w:bCs/>
          <w:color w:val="auto"/>
          <w:sz w:val="30"/>
          <w:szCs w:val="30"/>
          <w:highlight w:val="none"/>
          <w:lang w:val="en-US" w:eastAsia="zh-CN"/>
        </w:rPr>
        <w:t>商务技术</w:t>
      </w:r>
      <w:r>
        <w:rPr>
          <w:rFonts w:hint="eastAsia" w:ascii="宋体" w:hAnsi="宋体" w:eastAsia="宋体" w:cs="宋体"/>
          <w:b/>
          <w:bCs/>
          <w:color w:val="auto"/>
          <w:sz w:val="30"/>
          <w:szCs w:val="30"/>
          <w:highlight w:val="none"/>
        </w:rPr>
        <w:t>评分表</w:t>
      </w:r>
    </w:p>
    <w:p w14:paraId="2F2E0251">
      <w:pPr>
        <w:widowControl/>
        <w:spacing w:line="360" w:lineRule="auto"/>
        <w:jc w:val="left"/>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cs="宋体"/>
          <w:color w:val="auto"/>
          <w:sz w:val="24"/>
          <w:szCs w:val="22"/>
          <w:highlight w:val="none"/>
          <w:u w:val="none"/>
          <w:lang w:eastAsia="zh-CN"/>
        </w:rPr>
        <w:t>广州市自来水有限公司北部水厂智慧化系统开发服务公开招标项目</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004"/>
        <w:gridCol w:w="1462"/>
        <w:gridCol w:w="863"/>
        <w:gridCol w:w="10082"/>
      </w:tblGrid>
      <w:tr w14:paraId="633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0" w:type="auto"/>
            <w:shd w:val="clear" w:color="auto" w:fill="FFFFFF"/>
            <w:noWrap w:val="0"/>
            <w:vAlign w:val="center"/>
          </w:tcPr>
          <w:p w14:paraId="2BC8A79B">
            <w:pPr>
              <w:widowControl/>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466" w:type="dxa"/>
            <w:gridSpan w:val="2"/>
            <w:shd w:val="clear" w:color="auto" w:fill="FFFFFF"/>
            <w:noWrap w:val="0"/>
            <w:vAlign w:val="center"/>
          </w:tcPr>
          <w:p w14:paraId="2060CBCF">
            <w:pPr>
              <w:widowControl/>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评审因素</w:t>
            </w:r>
          </w:p>
        </w:tc>
        <w:tc>
          <w:tcPr>
            <w:tcW w:w="863" w:type="dxa"/>
            <w:shd w:val="clear" w:color="auto" w:fill="FFFFFF"/>
            <w:noWrap w:val="0"/>
            <w:vAlign w:val="center"/>
          </w:tcPr>
          <w:p w14:paraId="251295DE">
            <w:pPr>
              <w:widowControl/>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10082" w:type="dxa"/>
            <w:shd w:val="clear" w:color="auto" w:fill="FFFFFF"/>
            <w:noWrap w:val="0"/>
            <w:vAlign w:val="center"/>
          </w:tcPr>
          <w:p w14:paraId="19949369">
            <w:pPr>
              <w:widowControl/>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评分标准</w:t>
            </w:r>
          </w:p>
        </w:tc>
      </w:tr>
      <w:tr w14:paraId="4D74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0" w:type="auto"/>
            <w:noWrap w:val="0"/>
            <w:vAlign w:val="center"/>
          </w:tcPr>
          <w:p w14:paraId="1CB2B944">
            <w:pPr>
              <w:widowControl/>
              <w:spacing w:line="24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p>
        </w:tc>
        <w:tc>
          <w:tcPr>
            <w:tcW w:w="1004" w:type="dxa"/>
            <w:vMerge w:val="restart"/>
            <w:noWrap w:val="0"/>
            <w:vAlign w:val="center"/>
          </w:tcPr>
          <w:p w14:paraId="2D227227">
            <w:pPr>
              <w:widowControl w:val="0"/>
              <w:adjustRightInd w:val="0"/>
              <w:spacing w:line="240" w:lineRule="auto"/>
              <w:contextualSpacing/>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商务部分（35分）</w:t>
            </w:r>
          </w:p>
        </w:tc>
        <w:tc>
          <w:tcPr>
            <w:tcW w:w="1462" w:type="dxa"/>
            <w:noWrap w:val="0"/>
            <w:vAlign w:val="center"/>
          </w:tcPr>
          <w:p w14:paraId="64BAB6FA">
            <w:pPr>
              <w:widowControl w:val="0"/>
              <w:adjustRightInd w:val="0"/>
              <w:spacing w:line="24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管理体系认证</w:t>
            </w:r>
          </w:p>
        </w:tc>
        <w:tc>
          <w:tcPr>
            <w:tcW w:w="863" w:type="dxa"/>
            <w:noWrap w:val="0"/>
            <w:vAlign w:val="center"/>
          </w:tcPr>
          <w:p w14:paraId="59CFF88A">
            <w:pPr>
              <w:widowControl w:val="0"/>
              <w:adjustRightInd w:val="0"/>
              <w:spacing w:line="240" w:lineRule="auto"/>
              <w:contextualSpacing/>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p>
        </w:tc>
        <w:tc>
          <w:tcPr>
            <w:tcW w:w="10082" w:type="dxa"/>
            <w:noWrap w:val="0"/>
            <w:vAlign w:val="center"/>
          </w:tcPr>
          <w:p w14:paraId="74FA7BC6">
            <w:pPr>
              <w:widowControl/>
              <w:spacing w:line="400" w:lineRule="exact"/>
              <w:ind w:right="0"/>
              <w:jc w:val="left"/>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lang w:val="zh-CN"/>
              </w:rPr>
              <w:t>提供有效的质量管理体系认证证书、环境管理体系认证证书、职业健康安全管理体系认证证书、信息技术服务管理体系认证证书</w:t>
            </w:r>
            <w:r>
              <w:rPr>
                <w:rFonts w:hint="eastAsia" w:ascii="宋体" w:hAnsi="宋体" w:eastAsia="宋体" w:cs="宋体"/>
                <w:color w:val="auto"/>
                <w:kern w:val="0"/>
                <w:sz w:val="24"/>
                <w:szCs w:val="24"/>
                <w:highlight w:val="none"/>
                <w:shd w:val="clear" w:color="auto" w:fill="FFFFFF"/>
                <w:lang w:val="zh-CN" w:eastAsia="zh-CN"/>
              </w:rPr>
              <w:t>、</w:t>
            </w:r>
            <w:r>
              <w:rPr>
                <w:rFonts w:hint="eastAsia" w:ascii="宋体" w:hAnsi="宋体" w:eastAsia="宋体" w:cs="宋体"/>
                <w:color w:val="auto"/>
                <w:kern w:val="0"/>
                <w:sz w:val="24"/>
                <w:szCs w:val="24"/>
                <w:highlight w:val="none"/>
                <w:shd w:val="clear" w:color="auto" w:fill="FFFFFF"/>
                <w:lang w:val="zh-CN"/>
              </w:rPr>
              <w:t>信息安全管理体系认证证书、人工智能管理体系认证证书</w:t>
            </w:r>
            <w:r>
              <w:rPr>
                <w:rFonts w:hint="eastAsia" w:ascii="宋体" w:hAnsi="宋体" w:eastAsia="宋体" w:cs="宋体"/>
                <w:color w:val="auto"/>
                <w:kern w:val="0"/>
                <w:sz w:val="24"/>
                <w:szCs w:val="24"/>
                <w:highlight w:val="none"/>
                <w:shd w:val="clear" w:color="auto" w:fill="FFFFFF"/>
                <w:lang w:val="zh-CN" w:eastAsia="zh-CN"/>
              </w:rPr>
              <w:t>每个证书得</w:t>
            </w: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lang w:val="zh-CN" w:eastAsia="zh-CN"/>
              </w:rPr>
              <w:t>分，最多得</w:t>
            </w:r>
            <w:r>
              <w:rPr>
                <w:rFonts w:hint="eastAsia" w:ascii="宋体" w:hAnsi="宋体" w:eastAsia="宋体" w:cs="宋体"/>
                <w:color w:val="auto"/>
                <w:kern w:val="0"/>
                <w:sz w:val="24"/>
                <w:szCs w:val="24"/>
                <w:highlight w:val="none"/>
                <w:shd w:val="clear" w:color="auto" w:fill="FFFFFF"/>
                <w:lang w:val="en-US" w:eastAsia="zh-CN"/>
              </w:rPr>
              <w:t>6</w:t>
            </w:r>
            <w:r>
              <w:rPr>
                <w:rFonts w:hint="eastAsia" w:ascii="宋体" w:hAnsi="宋体" w:eastAsia="宋体" w:cs="宋体"/>
                <w:color w:val="auto"/>
                <w:kern w:val="0"/>
                <w:sz w:val="24"/>
                <w:szCs w:val="24"/>
                <w:highlight w:val="none"/>
                <w:shd w:val="clear" w:color="auto" w:fill="FFFFFF"/>
                <w:lang w:val="zh-CN" w:eastAsia="zh-CN"/>
              </w:rPr>
              <w:t>分。</w:t>
            </w:r>
          </w:p>
          <w:p w14:paraId="0385DC28">
            <w:pPr>
              <w:adjustRightInd/>
              <w:snapToGrid/>
              <w:spacing w:line="400" w:lineRule="exact"/>
              <w:rPr>
                <w:rFonts w:hint="eastAsia" w:ascii="宋体" w:hAnsi="宋体" w:eastAsia="宋体" w:cs="宋体"/>
                <w:color w:val="auto"/>
                <w:kern w:val="0"/>
                <w:sz w:val="24"/>
                <w:szCs w:val="24"/>
                <w:highlight w:val="none"/>
                <w:shd w:val="clear" w:color="auto" w:fill="FFFFFF"/>
                <w:lang w:val="zh-CN"/>
              </w:rPr>
            </w:pPr>
          </w:p>
          <w:p w14:paraId="760A5451">
            <w:pPr>
              <w:widowControl/>
              <w:adjustRightInd/>
              <w:spacing w:line="400" w:lineRule="exact"/>
              <w:contextualSpacing w:val="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shd w:val="clear" w:color="auto" w:fill="FFFFFF"/>
                <w:lang w:val="zh-CN"/>
              </w:rPr>
              <w:t>注：</w:t>
            </w:r>
            <w:r>
              <w:rPr>
                <w:rFonts w:hint="eastAsia" w:ascii="宋体" w:hAnsi="宋体" w:eastAsia="宋体" w:cs="宋体"/>
                <w:color w:val="auto"/>
                <w:kern w:val="0"/>
                <w:sz w:val="24"/>
                <w:szCs w:val="24"/>
                <w:highlight w:val="none"/>
                <w:shd w:val="clear" w:color="auto" w:fill="FFFFFF"/>
              </w:rPr>
              <w:t>需提供证书，且每个证书</w:t>
            </w:r>
            <w:r>
              <w:rPr>
                <w:rFonts w:hint="eastAsia" w:ascii="宋体" w:hAnsi="宋体" w:eastAsia="宋体" w:cs="宋体"/>
                <w:color w:val="auto"/>
                <w:kern w:val="0"/>
                <w:sz w:val="24"/>
                <w:szCs w:val="24"/>
                <w:highlight w:val="none"/>
                <w:shd w:val="clear" w:color="auto" w:fill="FFFFFF"/>
                <w:lang w:val="zh-CN"/>
              </w:rPr>
              <w:t>可在国家认证认可监督管理委员会网站查询，并提供查询截图。</w:t>
            </w:r>
          </w:p>
        </w:tc>
      </w:tr>
      <w:tr w14:paraId="4CF0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noWrap w:val="0"/>
            <w:vAlign w:val="center"/>
          </w:tcPr>
          <w:p w14:paraId="0EA57BDC">
            <w:pPr>
              <w:widowControl/>
              <w:spacing w:line="240" w:lineRule="auto"/>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p>
        </w:tc>
        <w:tc>
          <w:tcPr>
            <w:tcW w:w="1004" w:type="dxa"/>
            <w:vMerge w:val="continue"/>
            <w:noWrap w:val="0"/>
            <w:vAlign w:val="center"/>
          </w:tcPr>
          <w:p w14:paraId="67C00FAD">
            <w:pPr>
              <w:widowControl/>
              <w:adjustRightInd/>
              <w:spacing w:line="240" w:lineRule="auto"/>
              <w:contextualSpacing w:val="0"/>
              <w:jc w:val="center"/>
              <w:rPr>
                <w:rFonts w:hint="eastAsia" w:ascii="宋体" w:hAnsi="宋体" w:eastAsia="宋体" w:cs="宋体"/>
                <w:color w:val="auto"/>
                <w:kern w:val="0"/>
                <w:sz w:val="24"/>
                <w:szCs w:val="24"/>
                <w:highlight w:val="none"/>
              </w:rPr>
            </w:pPr>
          </w:p>
        </w:tc>
        <w:tc>
          <w:tcPr>
            <w:tcW w:w="1462" w:type="dxa"/>
            <w:noWrap w:val="0"/>
            <w:vAlign w:val="center"/>
          </w:tcPr>
          <w:p w14:paraId="04A66612">
            <w:pPr>
              <w:widowControl/>
              <w:adjustRightInd/>
              <w:spacing w:line="240" w:lineRule="auto"/>
              <w:contextualSpacing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企业综合实力认证</w:t>
            </w:r>
          </w:p>
        </w:tc>
        <w:tc>
          <w:tcPr>
            <w:tcW w:w="863" w:type="dxa"/>
            <w:noWrap w:val="0"/>
            <w:vAlign w:val="center"/>
          </w:tcPr>
          <w:p w14:paraId="159354EA">
            <w:pPr>
              <w:widowControl w:val="0"/>
              <w:adjustRightInd w:val="0"/>
              <w:spacing w:line="240" w:lineRule="auto"/>
              <w:contextualSpacing/>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p>
        </w:tc>
        <w:tc>
          <w:tcPr>
            <w:tcW w:w="10082" w:type="dxa"/>
            <w:noWrap w:val="0"/>
            <w:vAlign w:val="center"/>
          </w:tcPr>
          <w:p w14:paraId="4229F770">
            <w:pPr>
              <w:widowControl/>
              <w:adjustRightInd/>
              <w:snapToGrid/>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eastAsia="zh-CN"/>
              </w:rPr>
              <w:t>供应商提供有效的资格认证：</w:t>
            </w:r>
          </w:p>
          <w:p w14:paraId="76EA9153">
            <w:pPr>
              <w:widowControl/>
              <w:spacing w:line="400" w:lineRule="exact"/>
              <w:ind w:right="-1"/>
              <w:jc w:val="left"/>
              <w:rPr>
                <w:rFonts w:hint="eastAsia" w:ascii="宋体" w:hAnsi="宋体" w:eastAsia="宋体" w:cs="宋体"/>
                <w:color w:val="auto"/>
                <w:kern w:val="0"/>
                <w:sz w:val="24"/>
                <w:szCs w:val="24"/>
                <w:highlight w:val="none"/>
                <w:shd w:val="clear" w:color="auto" w:fill="FFFFFF"/>
                <w:lang w:val="zh-CN"/>
              </w:rPr>
            </w:pP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lang w:val="zh-CN"/>
              </w:rPr>
              <w:t>具有CMMI认证（能力成熟度模型集成）</w:t>
            </w:r>
            <w:r>
              <w:rPr>
                <w:rFonts w:hint="eastAsia" w:ascii="宋体" w:hAnsi="宋体" w:eastAsia="宋体" w:cs="宋体"/>
                <w:color w:val="auto"/>
                <w:kern w:val="0"/>
                <w:sz w:val="24"/>
                <w:szCs w:val="24"/>
                <w:highlight w:val="none"/>
                <w:shd w:val="clear" w:color="auto" w:fill="FFFFFF"/>
                <w:lang w:val="en-US" w:eastAsia="zh-CN"/>
              </w:rPr>
              <w:t>四级或以上</w:t>
            </w:r>
            <w:r>
              <w:rPr>
                <w:rFonts w:hint="eastAsia" w:ascii="宋体" w:hAnsi="宋体" w:eastAsia="宋体" w:cs="宋体"/>
                <w:color w:val="auto"/>
                <w:kern w:val="0"/>
                <w:sz w:val="24"/>
                <w:szCs w:val="24"/>
                <w:highlight w:val="none"/>
                <w:shd w:val="clear" w:color="auto" w:fill="FFFFFF"/>
                <w:lang w:val="zh-CN"/>
              </w:rPr>
              <w:t>的，得</w:t>
            </w:r>
            <w:r>
              <w:rPr>
                <w:rFonts w:hint="eastAsia" w:ascii="宋体" w:hAnsi="宋体" w:eastAsia="宋体" w:cs="宋体"/>
                <w:color w:val="auto"/>
                <w:kern w:val="0"/>
                <w:sz w:val="24"/>
                <w:szCs w:val="24"/>
                <w:highlight w:val="none"/>
                <w:shd w:val="clear" w:color="auto" w:fill="FFFFFF"/>
                <w:lang w:val="en-US" w:eastAsia="zh-CN"/>
              </w:rPr>
              <w:t>1.5</w:t>
            </w:r>
            <w:r>
              <w:rPr>
                <w:rFonts w:hint="eastAsia" w:ascii="宋体" w:hAnsi="宋体" w:eastAsia="宋体" w:cs="宋体"/>
                <w:color w:val="auto"/>
                <w:kern w:val="0"/>
                <w:sz w:val="24"/>
                <w:szCs w:val="24"/>
                <w:highlight w:val="none"/>
                <w:shd w:val="clear" w:color="auto" w:fill="FFFFFF"/>
                <w:lang w:val="zh-CN"/>
              </w:rPr>
              <w:t>分；</w:t>
            </w:r>
            <w:r>
              <w:rPr>
                <w:rFonts w:hint="eastAsia" w:ascii="宋体" w:hAnsi="宋体" w:eastAsia="宋体" w:cs="宋体"/>
                <w:color w:val="auto"/>
                <w:kern w:val="0"/>
                <w:sz w:val="24"/>
                <w:szCs w:val="24"/>
                <w:highlight w:val="none"/>
                <w:shd w:val="clear" w:color="auto" w:fill="FFFFFF"/>
                <w:lang w:val="en-US" w:eastAsia="zh-CN"/>
              </w:rPr>
              <w:t>四</w:t>
            </w:r>
            <w:r>
              <w:rPr>
                <w:rFonts w:hint="eastAsia" w:ascii="宋体" w:hAnsi="宋体" w:eastAsia="宋体" w:cs="宋体"/>
                <w:color w:val="auto"/>
                <w:kern w:val="0"/>
                <w:sz w:val="24"/>
                <w:szCs w:val="24"/>
                <w:highlight w:val="none"/>
                <w:shd w:val="clear" w:color="auto" w:fill="FFFFFF"/>
                <w:lang w:val="zh-CN"/>
              </w:rPr>
              <w:t>级以下的，得</w:t>
            </w:r>
            <w:r>
              <w:rPr>
                <w:rFonts w:hint="eastAsia" w:ascii="宋体" w:hAnsi="宋体" w:eastAsia="宋体" w:cs="宋体"/>
                <w:color w:val="auto"/>
                <w:kern w:val="0"/>
                <w:sz w:val="24"/>
                <w:szCs w:val="24"/>
                <w:highlight w:val="none"/>
                <w:shd w:val="clear" w:color="auto" w:fill="FFFFFF"/>
                <w:lang w:val="en-US" w:eastAsia="zh-CN"/>
              </w:rPr>
              <w:t>0.75</w:t>
            </w:r>
            <w:r>
              <w:rPr>
                <w:rFonts w:hint="eastAsia" w:ascii="宋体" w:hAnsi="宋体" w:eastAsia="宋体" w:cs="宋体"/>
                <w:color w:val="auto"/>
                <w:kern w:val="0"/>
                <w:sz w:val="24"/>
                <w:szCs w:val="24"/>
                <w:highlight w:val="none"/>
                <w:shd w:val="clear" w:color="auto" w:fill="FFFFFF"/>
                <w:lang w:val="zh-CN"/>
              </w:rPr>
              <w:t>分；</w:t>
            </w:r>
          </w:p>
          <w:p w14:paraId="1109617F">
            <w:pPr>
              <w:widowControl/>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lang w:val="zh-CN" w:eastAsia="zh-CN"/>
              </w:rPr>
              <w:t>具</w:t>
            </w:r>
            <w:r>
              <w:rPr>
                <w:rFonts w:hint="eastAsia" w:ascii="宋体" w:hAnsi="宋体" w:eastAsia="宋体" w:cs="宋体"/>
                <w:color w:val="auto"/>
                <w:kern w:val="0"/>
                <w:sz w:val="24"/>
                <w:szCs w:val="24"/>
                <w:highlight w:val="none"/>
                <w:shd w:val="clear" w:color="auto" w:fill="FFFFFF"/>
                <w:lang w:val="zh-CN"/>
              </w:rPr>
              <w:t>有ITSS</w:t>
            </w:r>
            <w:r>
              <w:rPr>
                <w:rFonts w:hint="eastAsia" w:ascii="宋体" w:hAnsi="宋体" w:eastAsia="宋体" w:cs="宋体"/>
                <w:color w:val="auto"/>
                <w:kern w:val="0"/>
                <w:sz w:val="24"/>
                <w:szCs w:val="24"/>
                <w:highlight w:val="none"/>
                <w:shd w:val="clear" w:color="auto" w:fill="FFFFFF"/>
                <w:lang w:val="zh-CN" w:eastAsia="zh-CN"/>
              </w:rPr>
              <w:t>认证（信息技术服务标准）二</w:t>
            </w:r>
            <w:r>
              <w:rPr>
                <w:rFonts w:hint="eastAsia" w:ascii="宋体" w:hAnsi="宋体" w:eastAsia="宋体" w:cs="宋体"/>
                <w:color w:val="auto"/>
                <w:kern w:val="0"/>
                <w:sz w:val="24"/>
                <w:szCs w:val="24"/>
                <w:highlight w:val="none"/>
                <w:shd w:val="clear" w:color="auto" w:fill="FFFFFF"/>
                <w:lang w:val="zh-CN"/>
              </w:rPr>
              <w:t>级</w:t>
            </w:r>
            <w:r>
              <w:rPr>
                <w:rFonts w:hint="eastAsia" w:ascii="宋体" w:hAnsi="宋体" w:eastAsia="宋体" w:cs="宋体"/>
                <w:color w:val="auto"/>
                <w:kern w:val="0"/>
                <w:sz w:val="24"/>
                <w:szCs w:val="24"/>
                <w:highlight w:val="none"/>
                <w:shd w:val="clear" w:color="auto" w:fill="FFFFFF"/>
                <w:lang w:val="zh-CN" w:eastAsia="zh-CN"/>
              </w:rPr>
              <w:t>或以上</w:t>
            </w:r>
            <w:r>
              <w:rPr>
                <w:rFonts w:hint="eastAsia" w:ascii="宋体" w:hAnsi="宋体" w:eastAsia="宋体" w:cs="宋体"/>
                <w:color w:val="auto"/>
                <w:kern w:val="0"/>
                <w:sz w:val="24"/>
                <w:szCs w:val="24"/>
                <w:highlight w:val="none"/>
                <w:shd w:val="clear" w:color="auto" w:fill="FFFFFF"/>
                <w:lang w:val="zh-CN"/>
              </w:rPr>
              <w:t>的，得</w:t>
            </w:r>
            <w:r>
              <w:rPr>
                <w:rFonts w:hint="eastAsia" w:ascii="宋体" w:hAnsi="宋体" w:eastAsia="宋体" w:cs="宋体"/>
                <w:color w:val="auto"/>
                <w:kern w:val="0"/>
                <w:sz w:val="24"/>
                <w:szCs w:val="24"/>
                <w:highlight w:val="none"/>
                <w:shd w:val="clear" w:color="auto" w:fill="FFFFFF"/>
                <w:lang w:val="en-US" w:eastAsia="zh-CN"/>
              </w:rPr>
              <w:t>1.5</w:t>
            </w:r>
            <w:r>
              <w:rPr>
                <w:rFonts w:hint="eastAsia" w:ascii="宋体" w:hAnsi="宋体" w:eastAsia="宋体" w:cs="宋体"/>
                <w:color w:val="auto"/>
                <w:kern w:val="0"/>
                <w:sz w:val="24"/>
                <w:szCs w:val="24"/>
                <w:highlight w:val="none"/>
                <w:shd w:val="clear" w:color="auto" w:fill="FFFFFF"/>
                <w:lang w:val="zh-CN"/>
              </w:rPr>
              <w:t>分；</w:t>
            </w:r>
            <w:r>
              <w:rPr>
                <w:rFonts w:hint="eastAsia" w:ascii="宋体" w:hAnsi="宋体" w:eastAsia="宋体" w:cs="宋体"/>
                <w:color w:val="auto"/>
                <w:kern w:val="0"/>
                <w:sz w:val="24"/>
                <w:szCs w:val="24"/>
                <w:highlight w:val="none"/>
                <w:shd w:val="clear" w:color="auto" w:fill="FFFFFF"/>
                <w:lang w:val="zh-CN" w:eastAsia="zh-CN"/>
              </w:rPr>
              <w:t>二</w:t>
            </w:r>
            <w:r>
              <w:rPr>
                <w:rFonts w:hint="eastAsia" w:ascii="宋体" w:hAnsi="宋体" w:eastAsia="宋体" w:cs="宋体"/>
                <w:color w:val="auto"/>
                <w:kern w:val="0"/>
                <w:sz w:val="24"/>
                <w:szCs w:val="24"/>
                <w:highlight w:val="none"/>
                <w:shd w:val="clear" w:color="auto" w:fill="FFFFFF"/>
                <w:lang w:val="zh-CN"/>
              </w:rPr>
              <w:t>级以下的，得</w:t>
            </w:r>
            <w:r>
              <w:rPr>
                <w:rFonts w:hint="eastAsia" w:ascii="宋体" w:hAnsi="宋体" w:eastAsia="宋体" w:cs="宋体"/>
                <w:color w:val="auto"/>
                <w:kern w:val="0"/>
                <w:sz w:val="24"/>
                <w:szCs w:val="24"/>
                <w:highlight w:val="none"/>
                <w:shd w:val="clear" w:color="auto" w:fill="FFFFFF"/>
                <w:lang w:val="en-US" w:eastAsia="zh-CN"/>
              </w:rPr>
              <w:t>0.75</w:t>
            </w:r>
            <w:r>
              <w:rPr>
                <w:rFonts w:hint="eastAsia" w:ascii="宋体" w:hAnsi="宋体" w:eastAsia="宋体" w:cs="宋体"/>
                <w:color w:val="auto"/>
                <w:kern w:val="0"/>
                <w:sz w:val="24"/>
                <w:szCs w:val="24"/>
                <w:highlight w:val="none"/>
                <w:shd w:val="clear" w:color="auto" w:fill="FFFFFF"/>
                <w:lang w:val="zh-CN"/>
              </w:rPr>
              <w:t>分；</w:t>
            </w:r>
          </w:p>
          <w:p w14:paraId="0DAC14A8">
            <w:pPr>
              <w:widowControl/>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lang w:val="zh-CN"/>
              </w:rPr>
              <w:t>具有CCRC认证</w:t>
            </w:r>
            <w:r>
              <w:rPr>
                <w:rFonts w:hint="eastAsia" w:ascii="宋体" w:hAnsi="宋体" w:eastAsia="宋体" w:cs="宋体"/>
                <w:color w:val="auto"/>
                <w:kern w:val="0"/>
                <w:sz w:val="24"/>
                <w:szCs w:val="24"/>
                <w:highlight w:val="none"/>
                <w:shd w:val="clear" w:color="auto" w:fill="FFFFFF"/>
                <w:lang w:val="zh-CN" w:eastAsia="zh-CN"/>
              </w:rPr>
              <w:t>（</w:t>
            </w:r>
            <w:r>
              <w:rPr>
                <w:rFonts w:hint="eastAsia" w:ascii="宋体" w:hAnsi="宋体" w:eastAsia="宋体" w:cs="宋体"/>
                <w:color w:val="auto"/>
                <w:kern w:val="0"/>
                <w:sz w:val="24"/>
                <w:szCs w:val="24"/>
                <w:highlight w:val="none"/>
                <w:shd w:val="clear" w:color="auto" w:fill="FFFFFF"/>
                <w:lang w:val="zh-CN"/>
              </w:rPr>
              <w:t>信息</w:t>
            </w:r>
            <w:r>
              <w:rPr>
                <w:rFonts w:hint="eastAsia" w:ascii="宋体" w:hAnsi="宋体" w:eastAsia="宋体" w:cs="宋体"/>
                <w:color w:val="auto"/>
                <w:kern w:val="0"/>
                <w:sz w:val="24"/>
                <w:szCs w:val="24"/>
                <w:highlight w:val="none"/>
                <w:shd w:val="clear" w:color="auto" w:fill="FFFFFF"/>
                <w:lang w:val="en-US" w:eastAsia="zh-CN"/>
              </w:rPr>
              <w:t>系统</w:t>
            </w:r>
            <w:r>
              <w:rPr>
                <w:rFonts w:hint="eastAsia" w:ascii="宋体" w:hAnsi="宋体" w:eastAsia="宋体" w:cs="宋体"/>
                <w:color w:val="auto"/>
                <w:kern w:val="0"/>
                <w:sz w:val="24"/>
                <w:szCs w:val="24"/>
                <w:highlight w:val="none"/>
                <w:shd w:val="clear" w:color="auto" w:fill="FFFFFF"/>
                <w:lang w:val="zh-CN"/>
              </w:rPr>
              <w:t>安全</w:t>
            </w:r>
            <w:r>
              <w:rPr>
                <w:rFonts w:hint="eastAsia" w:ascii="宋体" w:hAnsi="宋体" w:eastAsia="宋体" w:cs="宋体"/>
                <w:color w:val="auto"/>
                <w:kern w:val="0"/>
                <w:sz w:val="24"/>
                <w:szCs w:val="24"/>
                <w:highlight w:val="none"/>
                <w:shd w:val="clear" w:color="auto" w:fill="FFFFFF"/>
                <w:lang w:val="en-US" w:eastAsia="zh-CN"/>
              </w:rPr>
              <w:t>集成</w:t>
            </w:r>
            <w:r>
              <w:rPr>
                <w:rFonts w:hint="eastAsia" w:ascii="宋体" w:hAnsi="宋体" w:eastAsia="宋体" w:cs="宋体"/>
                <w:color w:val="auto"/>
                <w:kern w:val="0"/>
                <w:sz w:val="24"/>
                <w:szCs w:val="24"/>
                <w:highlight w:val="none"/>
                <w:shd w:val="clear" w:color="auto" w:fill="FFFFFF"/>
                <w:lang w:val="zh-CN"/>
              </w:rPr>
              <w:t>服务资质</w:t>
            </w:r>
            <w:r>
              <w:rPr>
                <w:rFonts w:hint="eastAsia" w:ascii="宋体" w:hAnsi="宋体" w:eastAsia="宋体" w:cs="宋体"/>
                <w:color w:val="auto"/>
                <w:kern w:val="0"/>
                <w:sz w:val="24"/>
                <w:szCs w:val="24"/>
                <w:highlight w:val="none"/>
                <w:shd w:val="clear" w:color="auto" w:fill="FFFFFF"/>
                <w:lang w:val="zh-CN" w:eastAsia="zh-CN"/>
              </w:rPr>
              <w:t>）二</w:t>
            </w:r>
            <w:r>
              <w:rPr>
                <w:rFonts w:hint="eastAsia" w:ascii="宋体" w:hAnsi="宋体" w:eastAsia="宋体" w:cs="宋体"/>
                <w:color w:val="auto"/>
                <w:kern w:val="0"/>
                <w:sz w:val="24"/>
                <w:szCs w:val="24"/>
                <w:highlight w:val="none"/>
                <w:shd w:val="clear" w:color="auto" w:fill="FFFFFF"/>
                <w:lang w:val="zh-CN"/>
              </w:rPr>
              <w:t>级</w:t>
            </w:r>
            <w:r>
              <w:rPr>
                <w:rFonts w:hint="eastAsia" w:ascii="宋体" w:hAnsi="宋体" w:eastAsia="宋体" w:cs="宋体"/>
                <w:color w:val="auto"/>
                <w:kern w:val="0"/>
                <w:sz w:val="24"/>
                <w:szCs w:val="24"/>
                <w:highlight w:val="none"/>
                <w:shd w:val="clear" w:color="auto" w:fill="FFFFFF"/>
                <w:lang w:val="zh-CN" w:eastAsia="zh-CN"/>
              </w:rPr>
              <w:t>或以上的</w:t>
            </w:r>
            <w:r>
              <w:rPr>
                <w:rFonts w:hint="eastAsia" w:ascii="宋体" w:hAnsi="宋体" w:eastAsia="宋体" w:cs="宋体"/>
                <w:color w:val="auto"/>
                <w:kern w:val="0"/>
                <w:sz w:val="24"/>
                <w:szCs w:val="24"/>
                <w:highlight w:val="none"/>
                <w:shd w:val="clear" w:color="auto" w:fill="FFFFFF"/>
                <w:lang w:val="zh-CN"/>
              </w:rPr>
              <w:t>，得</w:t>
            </w:r>
            <w:r>
              <w:rPr>
                <w:rFonts w:hint="eastAsia" w:ascii="宋体" w:hAnsi="宋体" w:eastAsia="宋体" w:cs="宋体"/>
                <w:color w:val="auto"/>
                <w:kern w:val="0"/>
                <w:sz w:val="24"/>
                <w:szCs w:val="24"/>
                <w:highlight w:val="none"/>
                <w:shd w:val="clear" w:color="auto" w:fill="FFFFFF"/>
                <w:lang w:val="en-US" w:eastAsia="zh-CN"/>
              </w:rPr>
              <w:t>1.5</w:t>
            </w:r>
            <w:r>
              <w:rPr>
                <w:rFonts w:hint="eastAsia" w:ascii="宋体" w:hAnsi="宋体" w:eastAsia="宋体" w:cs="宋体"/>
                <w:color w:val="auto"/>
                <w:kern w:val="0"/>
                <w:sz w:val="24"/>
                <w:szCs w:val="24"/>
                <w:highlight w:val="none"/>
                <w:shd w:val="clear" w:color="auto" w:fill="FFFFFF"/>
                <w:lang w:val="zh-CN"/>
              </w:rPr>
              <w:t>分；</w:t>
            </w:r>
            <w:r>
              <w:rPr>
                <w:rFonts w:hint="eastAsia" w:ascii="宋体" w:hAnsi="宋体" w:eastAsia="宋体" w:cs="宋体"/>
                <w:color w:val="auto"/>
                <w:kern w:val="0"/>
                <w:sz w:val="24"/>
                <w:szCs w:val="24"/>
                <w:highlight w:val="none"/>
                <w:shd w:val="clear" w:color="auto" w:fill="FFFFFF"/>
                <w:lang w:val="zh-CN" w:eastAsia="zh-CN"/>
              </w:rPr>
              <w:t>二</w:t>
            </w:r>
            <w:r>
              <w:rPr>
                <w:rFonts w:hint="eastAsia" w:ascii="宋体" w:hAnsi="宋体" w:eastAsia="宋体" w:cs="宋体"/>
                <w:color w:val="auto"/>
                <w:kern w:val="0"/>
                <w:sz w:val="24"/>
                <w:szCs w:val="24"/>
                <w:highlight w:val="none"/>
                <w:shd w:val="clear" w:color="auto" w:fill="FFFFFF"/>
                <w:lang w:val="zh-CN"/>
              </w:rPr>
              <w:t>级以下的，得</w:t>
            </w:r>
            <w:r>
              <w:rPr>
                <w:rFonts w:hint="eastAsia" w:ascii="宋体" w:hAnsi="宋体" w:eastAsia="宋体" w:cs="宋体"/>
                <w:color w:val="auto"/>
                <w:kern w:val="0"/>
                <w:sz w:val="24"/>
                <w:szCs w:val="24"/>
                <w:highlight w:val="none"/>
                <w:shd w:val="clear" w:color="auto" w:fill="FFFFFF"/>
                <w:lang w:val="en-US" w:eastAsia="zh-CN"/>
              </w:rPr>
              <w:t>0.75</w:t>
            </w:r>
            <w:r>
              <w:rPr>
                <w:rFonts w:hint="eastAsia" w:ascii="宋体" w:hAnsi="宋体" w:eastAsia="宋体" w:cs="宋体"/>
                <w:color w:val="auto"/>
                <w:kern w:val="0"/>
                <w:sz w:val="24"/>
                <w:szCs w:val="24"/>
                <w:highlight w:val="none"/>
                <w:shd w:val="clear" w:color="auto" w:fill="FFFFFF"/>
                <w:lang w:val="zh-CN"/>
              </w:rPr>
              <w:t>分</w:t>
            </w:r>
            <w:r>
              <w:rPr>
                <w:rFonts w:hint="eastAsia" w:ascii="宋体" w:hAnsi="宋体" w:eastAsia="宋体" w:cs="宋体"/>
                <w:color w:val="auto"/>
                <w:kern w:val="0"/>
                <w:sz w:val="24"/>
                <w:szCs w:val="24"/>
                <w:highlight w:val="none"/>
                <w:shd w:val="clear" w:color="auto" w:fill="FFFFFF"/>
                <w:lang w:val="zh-CN" w:eastAsia="zh-CN"/>
              </w:rPr>
              <w:t>；</w:t>
            </w:r>
          </w:p>
          <w:p w14:paraId="174968ED">
            <w:pPr>
              <w:widowControl/>
              <w:spacing w:line="400" w:lineRule="exact"/>
              <w:ind w:right="-1"/>
              <w:jc w:val="left"/>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lang w:val="zh-CN"/>
              </w:rPr>
              <w:t>具有</w:t>
            </w:r>
            <w:r>
              <w:rPr>
                <w:rFonts w:hint="eastAsia" w:ascii="宋体" w:hAnsi="宋体" w:eastAsia="宋体" w:cs="宋体"/>
                <w:color w:val="auto"/>
                <w:kern w:val="0"/>
                <w:sz w:val="24"/>
                <w:szCs w:val="24"/>
                <w:highlight w:val="none"/>
                <w:shd w:val="clear" w:color="auto" w:fill="FFFFFF"/>
                <w:lang w:val="en-US" w:eastAsia="zh-CN"/>
              </w:rPr>
              <w:t>DC</w:t>
            </w:r>
            <w:r>
              <w:rPr>
                <w:rFonts w:hint="eastAsia" w:ascii="宋体" w:hAnsi="宋体" w:eastAsia="宋体" w:cs="宋体"/>
                <w:color w:val="auto"/>
                <w:kern w:val="0"/>
                <w:sz w:val="24"/>
                <w:szCs w:val="24"/>
                <w:highlight w:val="none"/>
                <w:shd w:val="clear" w:color="auto" w:fill="FFFFFF"/>
                <w:lang w:val="zh-CN"/>
              </w:rPr>
              <w:t>MM</w:t>
            </w:r>
            <w:r>
              <w:rPr>
                <w:rFonts w:hint="eastAsia" w:ascii="宋体" w:hAnsi="宋体" w:eastAsia="宋体" w:cs="宋体"/>
                <w:color w:val="auto"/>
                <w:kern w:val="0"/>
                <w:sz w:val="24"/>
                <w:szCs w:val="24"/>
                <w:highlight w:val="none"/>
                <w:shd w:val="clear" w:color="auto" w:fill="FFFFFF"/>
                <w:lang w:val="zh-CN" w:eastAsia="zh-CN"/>
              </w:rPr>
              <w:t>认证（数据管理能力成熟度）四级或以上</w:t>
            </w:r>
            <w:r>
              <w:rPr>
                <w:rFonts w:hint="eastAsia" w:ascii="宋体" w:hAnsi="宋体" w:eastAsia="宋体" w:cs="宋体"/>
                <w:color w:val="auto"/>
                <w:kern w:val="0"/>
                <w:sz w:val="24"/>
                <w:szCs w:val="24"/>
                <w:highlight w:val="none"/>
                <w:shd w:val="clear" w:color="auto" w:fill="FFFFFF"/>
                <w:lang w:val="zh-CN"/>
              </w:rPr>
              <w:t>的，得</w:t>
            </w:r>
            <w:r>
              <w:rPr>
                <w:rFonts w:hint="eastAsia" w:ascii="宋体" w:hAnsi="宋体" w:eastAsia="宋体" w:cs="宋体"/>
                <w:color w:val="auto"/>
                <w:kern w:val="0"/>
                <w:sz w:val="24"/>
                <w:szCs w:val="24"/>
                <w:highlight w:val="none"/>
                <w:shd w:val="clear" w:color="auto" w:fill="FFFFFF"/>
                <w:lang w:val="en-US" w:eastAsia="zh-CN"/>
              </w:rPr>
              <w:t>1.5</w:t>
            </w:r>
            <w:r>
              <w:rPr>
                <w:rFonts w:hint="eastAsia" w:ascii="宋体" w:hAnsi="宋体" w:eastAsia="宋体" w:cs="宋体"/>
                <w:color w:val="auto"/>
                <w:kern w:val="0"/>
                <w:sz w:val="24"/>
                <w:szCs w:val="24"/>
                <w:highlight w:val="none"/>
                <w:shd w:val="clear" w:color="auto" w:fill="FFFFFF"/>
                <w:lang w:val="zh-CN"/>
              </w:rPr>
              <w:t>分；</w:t>
            </w:r>
            <w:r>
              <w:rPr>
                <w:rFonts w:hint="eastAsia" w:ascii="宋体" w:hAnsi="宋体" w:eastAsia="宋体" w:cs="宋体"/>
                <w:color w:val="auto"/>
                <w:kern w:val="0"/>
                <w:sz w:val="24"/>
                <w:szCs w:val="24"/>
                <w:highlight w:val="none"/>
                <w:shd w:val="clear" w:color="auto" w:fill="FFFFFF"/>
                <w:lang w:val="zh-CN" w:eastAsia="zh-CN"/>
              </w:rPr>
              <w:t>四</w:t>
            </w:r>
            <w:r>
              <w:rPr>
                <w:rFonts w:hint="eastAsia" w:ascii="宋体" w:hAnsi="宋体" w:eastAsia="宋体" w:cs="宋体"/>
                <w:color w:val="auto"/>
                <w:kern w:val="0"/>
                <w:sz w:val="24"/>
                <w:szCs w:val="24"/>
                <w:highlight w:val="none"/>
                <w:shd w:val="clear" w:color="auto" w:fill="FFFFFF"/>
                <w:lang w:val="zh-CN"/>
              </w:rPr>
              <w:t>级以下</w:t>
            </w:r>
            <w:r>
              <w:rPr>
                <w:rFonts w:hint="eastAsia" w:ascii="宋体" w:hAnsi="宋体" w:eastAsia="宋体" w:cs="宋体"/>
                <w:color w:val="auto"/>
                <w:kern w:val="0"/>
                <w:sz w:val="24"/>
                <w:szCs w:val="24"/>
                <w:highlight w:val="none"/>
                <w:shd w:val="clear" w:color="auto" w:fill="FFFFFF"/>
                <w:lang w:val="zh-CN" w:eastAsia="zh-CN"/>
              </w:rPr>
              <w:t>的</w:t>
            </w:r>
            <w:r>
              <w:rPr>
                <w:rFonts w:hint="eastAsia" w:ascii="宋体" w:hAnsi="宋体" w:eastAsia="宋体" w:cs="宋体"/>
                <w:color w:val="auto"/>
                <w:kern w:val="0"/>
                <w:sz w:val="24"/>
                <w:szCs w:val="24"/>
                <w:highlight w:val="none"/>
                <w:shd w:val="clear" w:color="auto" w:fill="FFFFFF"/>
                <w:lang w:val="zh-CN"/>
              </w:rPr>
              <w:t>，得</w:t>
            </w:r>
            <w:r>
              <w:rPr>
                <w:rFonts w:hint="eastAsia" w:ascii="宋体" w:hAnsi="宋体" w:eastAsia="宋体" w:cs="宋体"/>
                <w:color w:val="auto"/>
                <w:kern w:val="0"/>
                <w:sz w:val="24"/>
                <w:szCs w:val="24"/>
                <w:highlight w:val="none"/>
                <w:shd w:val="clear" w:color="auto" w:fill="FFFFFF"/>
                <w:lang w:val="en-US" w:eastAsia="zh-CN"/>
              </w:rPr>
              <w:t>0.75</w:t>
            </w:r>
            <w:r>
              <w:rPr>
                <w:rFonts w:hint="eastAsia" w:ascii="宋体" w:hAnsi="宋体" w:eastAsia="宋体" w:cs="宋体"/>
                <w:color w:val="auto"/>
                <w:kern w:val="0"/>
                <w:sz w:val="24"/>
                <w:szCs w:val="24"/>
                <w:highlight w:val="none"/>
                <w:shd w:val="clear" w:color="auto" w:fill="FFFFFF"/>
                <w:lang w:val="zh-CN"/>
              </w:rPr>
              <w:t>分；</w:t>
            </w:r>
          </w:p>
          <w:p w14:paraId="621B1920">
            <w:pPr>
              <w:widowControl/>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eastAsia="zh-CN"/>
              </w:rPr>
              <w:t>注：（1）上述1-</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lang w:val="zh-CN" w:eastAsia="zh-CN"/>
              </w:rPr>
              <w:t>项可累计得分，最高得</w:t>
            </w:r>
            <w:r>
              <w:rPr>
                <w:rFonts w:hint="eastAsia" w:ascii="宋体" w:hAnsi="宋体" w:eastAsia="宋体" w:cs="宋体"/>
                <w:color w:val="auto"/>
                <w:kern w:val="0"/>
                <w:sz w:val="24"/>
                <w:szCs w:val="24"/>
                <w:highlight w:val="none"/>
                <w:shd w:val="clear" w:color="auto" w:fill="FFFFFF"/>
                <w:lang w:val="en-US" w:eastAsia="zh-CN"/>
              </w:rPr>
              <w:t>6</w:t>
            </w:r>
            <w:r>
              <w:rPr>
                <w:rFonts w:hint="eastAsia" w:ascii="宋体" w:hAnsi="宋体" w:eastAsia="宋体" w:cs="宋体"/>
                <w:color w:val="auto"/>
                <w:kern w:val="0"/>
                <w:sz w:val="24"/>
                <w:szCs w:val="24"/>
                <w:highlight w:val="none"/>
                <w:shd w:val="clear" w:color="auto" w:fill="FFFFFF"/>
                <w:lang w:val="zh-CN" w:eastAsia="zh-CN"/>
              </w:rPr>
              <w:t>分；</w:t>
            </w:r>
          </w:p>
          <w:p w14:paraId="44BEC8E2">
            <w:pPr>
              <w:pStyle w:val="2"/>
              <w:widowControl w:val="0"/>
              <w:adjustRightInd w:val="0"/>
              <w:spacing w:line="400" w:lineRule="exact"/>
              <w:ind w:firstLine="720" w:firstLineChars="300"/>
              <w:contextualSpacing/>
              <w:jc w:val="both"/>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shd w:val="clear" w:color="auto" w:fill="FFFFFF"/>
                <w:lang w:val="zh-CN" w:eastAsia="zh-CN"/>
              </w:rPr>
              <w:t>（2）供应商须提供证书。</w:t>
            </w:r>
          </w:p>
        </w:tc>
      </w:tr>
      <w:tr w14:paraId="3DFB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trPr>
        <w:tc>
          <w:tcPr>
            <w:tcW w:w="0" w:type="auto"/>
            <w:noWrap w:val="0"/>
            <w:vAlign w:val="center"/>
          </w:tcPr>
          <w:p w14:paraId="71BA2864">
            <w:pPr>
              <w:widowControl/>
              <w:spacing w:line="24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p>
        </w:tc>
        <w:tc>
          <w:tcPr>
            <w:tcW w:w="1004" w:type="dxa"/>
            <w:vMerge w:val="continue"/>
            <w:noWrap w:val="0"/>
            <w:vAlign w:val="center"/>
          </w:tcPr>
          <w:p w14:paraId="37523A70">
            <w:pPr>
              <w:widowControl/>
              <w:adjustRightInd/>
              <w:spacing w:line="240" w:lineRule="auto"/>
              <w:contextualSpacing w:val="0"/>
              <w:jc w:val="center"/>
              <w:rPr>
                <w:rFonts w:hint="eastAsia" w:ascii="宋体" w:hAnsi="宋体" w:eastAsia="宋体" w:cs="宋体"/>
                <w:color w:val="auto"/>
                <w:sz w:val="24"/>
                <w:szCs w:val="24"/>
                <w:highlight w:val="none"/>
              </w:rPr>
            </w:pPr>
          </w:p>
        </w:tc>
        <w:tc>
          <w:tcPr>
            <w:tcW w:w="1462" w:type="dxa"/>
            <w:noWrap w:val="0"/>
            <w:vAlign w:val="center"/>
          </w:tcPr>
          <w:p w14:paraId="75931A37">
            <w:pPr>
              <w:widowControl/>
              <w:adjustRightInd/>
              <w:spacing w:line="240" w:lineRule="auto"/>
              <w:contextualSpacing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企业荣誉</w:t>
            </w:r>
          </w:p>
        </w:tc>
        <w:tc>
          <w:tcPr>
            <w:tcW w:w="863" w:type="dxa"/>
            <w:noWrap w:val="0"/>
            <w:vAlign w:val="center"/>
          </w:tcPr>
          <w:p w14:paraId="314AA9DF">
            <w:pPr>
              <w:widowControl w:val="0"/>
              <w:adjustRightInd w:val="0"/>
              <w:spacing w:line="240" w:lineRule="auto"/>
              <w:contextualSpacing/>
              <w:jc w:val="center"/>
              <w:rPr>
                <w:rFonts w:hint="eastAsia"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4</w:t>
            </w:r>
          </w:p>
        </w:tc>
        <w:tc>
          <w:tcPr>
            <w:tcW w:w="10082" w:type="dxa"/>
            <w:noWrap w:val="0"/>
            <w:vAlign w:val="center"/>
          </w:tcPr>
          <w:p w14:paraId="06BA1A5D">
            <w:pPr>
              <w:widowControl/>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eastAsia="zh-CN"/>
              </w:rPr>
              <w:t>供应商自20</w:t>
            </w:r>
            <w:r>
              <w:rPr>
                <w:rFonts w:hint="eastAsia" w:ascii="宋体" w:hAnsi="宋体" w:eastAsia="宋体" w:cs="宋体"/>
                <w:color w:val="auto"/>
                <w:kern w:val="0"/>
                <w:sz w:val="24"/>
                <w:szCs w:val="24"/>
                <w:highlight w:val="none"/>
                <w:shd w:val="clear" w:color="auto" w:fill="FFFFFF"/>
                <w:lang w:val="en-US" w:eastAsia="zh-CN"/>
              </w:rPr>
              <w:t>19</w:t>
            </w:r>
            <w:r>
              <w:rPr>
                <w:rFonts w:hint="eastAsia" w:ascii="宋体" w:hAnsi="宋体" w:eastAsia="宋体" w:cs="宋体"/>
                <w:color w:val="auto"/>
                <w:kern w:val="0"/>
                <w:sz w:val="24"/>
                <w:szCs w:val="24"/>
                <w:highlight w:val="none"/>
                <w:shd w:val="clear" w:color="auto" w:fill="FFFFFF"/>
                <w:lang w:val="zh-CN" w:eastAsia="zh-CN"/>
              </w:rPr>
              <w:t>年1月1日至本项目公告发布之日止获得的：</w:t>
            </w:r>
          </w:p>
          <w:p w14:paraId="3D123476">
            <w:pPr>
              <w:widowControl/>
              <w:numPr>
                <w:ilvl w:val="0"/>
                <w:numId w:val="17"/>
              </w:numPr>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eastAsia="zh-CN"/>
              </w:rPr>
              <w:t>科学技术或技术发明相关国家级奖项</w:t>
            </w:r>
            <w:r>
              <w:rPr>
                <w:rFonts w:hint="eastAsia" w:ascii="宋体" w:hAnsi="宋体" w:eastAsia="宋体" w:cs="宋体"/>
                <w:color w:val="auto"/>
                <w:kern w:val="0"/>
                <w:sz w:val="24"/>
                <w:szCs w:val="24"/>
                <w:highlight w:val="none"/>
                <w:shd w:val="clear" w:color="auto" w:fill="FFFFFF"/>
                <w:lang w:val="en-US" w:eastAsia="zh-CN"/>
              </w:rPr>
              <w:t>的，</w:t>
            </w:r>
            <w:r>
              <w:rPr>
                <w:rFonts w:hint="eastAsia" w:ascii="宋体" w:hAnsi="宋体" w:eastAsia="宋体" w:cs="宋体"/>
                <w:color w:val="auto"/>
                <w:kern w:val="0"/>
                <w:sz w:val="24"/>
                <w:szCs w:val="24"/>
                <w:highlight w:val="none"/>
                <w:shd w:val="clear" w:color="auto" w:fill="FFFFFF"/>
                <w:lang w:val="zh-CN" w:eastAsia="zh-CN"/>
              </w:rPr>
              <w:t>得</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lang w:val="zh-CN" w:eastAsia="zh-CN"/>
              </w:rPr>
              <w:t>分；</w:t>
            </w:r>
          </w:p>
          <w:p w14:paraId="6D54514F">
            <w:pPr>
              <w:widowControl/>
              <w:numPr>
                <w:ilvl w:val="0"/>
                <w:numId w:val="17"/>
              </w:numPr>
              <w:spacing w:line="400" w:lineRule="exact"/>
              <w:ind w:right="-1"/>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eastAsia="zh-CN"/>
              </w:rPr>
              <w:t>科学技术或技术发明相关</w:t>
            </w:r>
            <w:r>
              <w:rPr>
                <w:rFonts w:hint="eastAsia" w:ascii="宋体" w:hAnsi="宋体" w:eastAsia="宋体" w:cs="宋体"/>
                <w:color w:val="auto"/>
                <w:kern w:val="0"/>
                <w:sz w:val="24"/>
                <w:szCs w:val="24"/>
                <w:highlight w:val="none"/>
                <w:shd w:val="clear" w:color="auto" w:fill="FFFFFF"/>
                <w:lang w:val="en-US" w:eastAsia="zh-CN"/>
              </w:rPr>
              <w:t>省</w:t>
            </w:r>
            <w:r>
              <w:rPr>
                <w:rFonts w:hint="eastAsia" w:ascii="宋体" w:hAnsi="宋体" w:eastAsia="宋体" w:cs="宋体"/>
                <w:color w:val="auto"/>
                <w:kern w:val="0"/>
                <w:sz w:val="24"/>
                <w:szCs w:val="24"/>
                <w:highlight w:val="none"/>
                <w:shd w:val="clear" w:color="auto" w:fill="FFFFFF"/>
                <w:lang w:val="zh-CN" w:eastAsia="zh-CN"/>
              </w:rPr>
              <w:t>级奖项</w:t>
            </w:r>
            <w:r>
              <w:rPr>
                <w:rFonts w:hint="eastAsia" w:ascii="宋体" w:hAnsi="宋体" w:eastAsia="宋体" w:cs="宋体"/>
                <w:color w:val="auto"/>
                <w:kern w:val="0"/>
                <w:sz w:val="24"/>
                <w:szCs w:val="24"/>
                <w:highlight w:val="none"/>
                <w:shd w:val="clear" w:color="auto" w:fill="FFFFFF"/>
                <w:lang w:val="en-US" w:eastAsia="zh-CN"/>
              </w:rPr>
              <w:t>的，</w:t>
            </w:r>
            <w:r>
              <w:rPr>
                <w:rFonts w:hint="eastAsia" w:ascii="宋体" w:hAnsi="宋体" w:eastAsia="宋体" w:cs="宋体"/>
                <w:color w:val="auto"/>
                <w:kern w:val="0"/>
                <w:sz w:val="24"/>
                <w:szCs w:val="24"/>
                <w:highlight w:val="none"/>
                <w:shd w:val="clear" w:color="auto" w:fill="FFFFFF"/>
                <w:lang w:val="zh-CN" w:eastAsia="zh-CN"/>
              </w:rPr>
              <w:t>得</w:t>
            </w:r>
            <w:r>
              <w:rPr>
                <w:rFonts w:hint="eastAsia" w:ascii="宋体" w:hAnsi="宋体" w:eastAsia="宋体" w:cs="宋体"/>
                <w:color w:val="auto"/>
                <w:kern w:val="0"/>
                <w:sz w:val="24"/>
                <w:szCs w:val="24"/>
                <w:highlight w:val="none"/>
                <w:shd w:val="clear" w:color="auto" w:fill="FFFFFF"/>
                <w:lang w:val="en-US" w:eastAsia="zh-CN"/>
              </w:rPr>
              <w:t>2.5</w:t>
            </w:r>
            <w:r>
              <w:rPr>
                <w:rFonts w:hint="eastAsia" w:ascii="宋体" w:hAnsi="宋体" w:eastAsia="宋体" w:cs="宋体"/>
                <w:color w:val="auto"/>
                <w:kern w:val="0"/>
                <w:sz w:val="24"/>
                <w:szCs w:val="24"/>
                <w:highlight w:val="none"/>
                <w:shd w:val="clear" w:color="auto" w:fill="FFFFFF"/>
                <w:lang w:val="zh-CN" w:eastAsia="zh-CN"/>
              </w:rPr>
              <w:t>分；</w:t>
            </w:r>
          </w:p>
          <w:p w14:paraId="134F116A">
            <w:pPr>
              <w:widowControl/>
              <w:numPr>
                <w:ilvl w:val="0"/>
                <w:numId w:val="17"/>
              </w:numPr>
              <w:spacing w:line="400" w:lineRule="exact"/>
              <w:ind w:right="-1"/>
              <w:jc w:val="left"/>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zh-CN" w:eastAsia="zh-CN"/>
              </w:rPr>
              <w:t>科学技术或技术发明相关</w:t>
            </w:r>
            <w:r>
              <w:rPr>
                <w:rFonts w:hint="eastAsia" w:ascii="宋体" w:hAnsi="宋体" w:eastAsia="宋体" w:cs="宋体"/>
                <w:color w:val="auto"/>
                <w:kern w:val="0"/>
                <w:sz w:val="24"/>
                <w:szCs w:val="24"/>
                <w:highlight w:val="none"/>
                <w:shd w:val="clear" w:color="auto" w:fill="FFFFFF"/>
                <w:lang w:val="en-US" w:eastAsia="zh-CN"/>
              </w:rPr>
              <w:t>市级</w:t>
            </w:r>
            <w:r>
              <w:rPr>
                <w:rFonts w:hint="eastAsia" w:ascii="宋体" w:hAnsi="宋体" w:eastAsia="宋体" w:cs="宋体"/>
                <w:color w:val="auto"/>
                <w:kern w:val="0"/>
                <w:sz w:val="24"/>
                <w:szCs w:val="24"/>
                <w:highlight w:val="none"/>
                <w:shd w:val="clear" w:color="auto" w:fill="FFFFFF"/>
                <w:lang w:val="zh-CN" w:eastAsia="zh-CN"/>
              </w:rPr>
              <w:t>奖项</w:t>
            </w:r>
            <w:r>
              <w:rPr>
                <w:rFonts w:hint="eastAsia" w:ascii="宋体" w:hAnsi="宋体" w:eastAsia="宋体" w:cs="宋体"/>
                <w:color w:val="auto"/>
                <w:kern w:val="0"/>
                <w:sz w:val="24"/>
                <w:szCs w:val="24"/>
                <w:highlight w:val="none"/>
                <w:shd w:val="clear" w:color="auto" w:fill="FFFFFF"/>
                <w:lang w:val="en-US" w:eastAsia="zh-CN"/>
              </w:rPr>
              <w:t>的，</w:t>
            </w:r>
            <w:r>
              <w:rPr>
                <w:rFonts w:hint="eastAsia" w:ascii="宋体" w:hAnsi="宋体" w:eastAsia="宋体" w:cs="宋体"/>
                <w:color w:val="auto"/>
                <w:kern w:val="0"/>
                <w:sz w:val="24"/>
                <w:szCs w:val="24"/>
                <w:highlight w:val="none"/>
                <w:shd w:val="clear" w:color="auto" w:fill="FFFFFF"/>
                <w:lang w:val="zh-CN" w:eastAsia="zh-CN"/>
              </w:rPr>
              <w:t>得</w:t>
            </w: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lang w:val="zh-CN" w:eastAsia="zh-CN"/>
              </w:rPr>
              <w:t>分；</w:t>
            </w:r>
          </w:p>
          <w:p w14:paraId="11C54E4D">
            <w:pPr>
              <w:widowControl/>
              <w:spacing w:line="400" w:lineRule="exact"/>
              <w:ind w:right="-1"/>
              <w:jc w:val="left"/>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注：（1）上述1-3项可累计得分，</w:t>
            </w:r>
            <w:r>
              <w:rPr>
                <w:rFonts w:hint="eastAsia" w:ascii="宋体" w:hAnsi="宋体" w:eastAsia="宋体" w:cs="宋体"/>
                <w:color w:val="auto"/>
                <w:kern w:val="0"/>
                <w:sz w:val="24"/>
                <w:szCs w:val="24"/>
                <w:highlight w:val="none"/>
                <w:shd w:val="clear" w:color="auto" w:fill="FFFFFF"/>
                <w:lang w:val="zh-CN" w:eastAsia="zh-CN"/>
              </w:rPr>
              <w:t>最高得</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lang w:val="zh-CN" w:eastAsia="zh-CN"/>
              </w:rPr>
              <w:t>分；</w:t>
            </w:r>
          </w:p>
          <w:p w14:paraId="2325F1B8">
            <w:pPr>
              <w:widowControl/>
              <w:spacing w:line="400" w:lineRule="exact"/>
              <w:ind w:right="-1"/>
              <w:jc w:val="left"/>
              <w:rPr>
                <w:rFonts w:hint="eastAsia" w:ascii="宋体" w:hAnsi="宋体" w:eastAsia="宋体" w:cs="宋体"/>
                <w:bCs w:val="0"/>
                <w:color w:val="auto"/>
                <w:kern w:val="0"/>
                <w:sz w:val="24"/>
                <w:szCs w:val="24"/>
                <w:highlight w:val="none"/>
                <w:shd w:val="clear" w:color="auto" w:fill="FFFFFF"/>
                <w:lang w:val="en-US" w:eastAsia="zh-CN"/>
              </w:rPr>
            </w:pPr>
            <w:r>
              <w:rPr>
                <w:rFonts w:hint="eastAsia" w:ascii="宋体" w:hAnsi="宋体" w:eastAsia="宋体" w:cs="宋体"/>
                <w:bCs w:val="0"/>
                <w:color w:val="auto"/>
                <w:kern w:val="0"/>
                <w:sz w:val="24"/>
                <w:szCs w:val="24"/>
                <w:highlight w:val="none"/>
                <w:shd w:val="clear" w:color="auto" w:fill="FFFFFF"/>
                <w:lang w:val="en-US" w:eastAsia="zh-CN"/>
              </w:rPr>
              <w:t>（2）获奖时间以获奖证书颁发时间为准，需提供获奖证书；</w:t>
            </w:r>
          </w:p>
          <w:p w14:paraId="3A1E958F">
            <w:pPr>
              <w:pStyle w:val="2"/>
              <w:widowControl w:val="0"/>
              <w:adjustRightInd w:val="0"/>
              <w:spacing w:line="400" w:lineRule="exact"/>
              <w:ind w:firstLine="0"/>
              <w:contextualSpacing/>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val="0"/>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lang w:val="zh-CN" w:eastAsia="zh-CN"/>
              </w:rPr>
              <w:t>科学技术或技术发明</w:t>
            </w:r>
            <w:r>
              <w:rPr>
                <w:rFonts w:hint="eastAsia" w:ascii="宋体" w:hAnsi="宋体" w:eastAsia="宋体" w:cs="宋体"/>
                <w:color w:val="auto"/>
                <w:kern w:val="0"/>
                <w:sz w:val="24"/>
                <w:szCs w:val="24"/>
                <w:highlight w:val="none"/>
                <w:shd w:val="clear" w:color="auto" w:fill="FFFFFF"/>
                <w:lang w:val="en-US" w:eastAsia="zh-CN"/>
              </w:rPr>
              <w:t>相关奖项包括但不限于科学技术奖、科技进步奖、科技成果奖等。</w:t>
            </w:r>
          </w:p>
        </w:tc>
      </w:tr>
      <w:tr w14:paraId="3124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center"/>
          </w:tcPr>
          <w:p w14:paraId="6C38439A">
            <w:pPr>
              <w:widowControl/>
              <w:spacing w:line="24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1004" w:type="dxa"/>
            <w:vMerge w:val="continue"/>
            <w:noWrap w:val="0"/>
            <w:vAlign w:val="center"/>
          </w:tcPr>
          <w:p w14:paraId="3AE5D0D6">
            <w:pPr>
              <w:widowControl w:val="0"/>
              <w:adjustRightInd w:val="0"/>
              <w:spacing w:line="240" w:lineRule="auto"/>
              <w:contextualSpacing/>
              <w:jc w:val="center"/>
              <w:rPr>
                <w:rFonts w:hint="eastAsia" w:ascii="宋体" w:hAnsi="宋体" w:eastAsia="宋体" w:cs="宋体"/>
                <w:color w:val="auto"/>
                <w:kern w:val="0"/>
                <w:sz w:val="24"/>
                <w:szCs w:val="24"/>
                <w:highlight w:val="none"/>
              </w:rPr>
            </w:pPr>
          </w:p>
        </w:tc>
        <w:tc>
          <w:tcPr>
            <w:tcW w:w="1462" w:type="dxa"/>
            <w:noWrap w:val="0"/>
            <w:vAlign w:val="center"/>
          </w:tcPr>
          <w:p w14:paraId="72900FFF">
            <w:pPr>
              <w:widowControl w:val="0"/>
              <w:adjustRightInd w:val="0"/>
              <w:spacing w:line="24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类似项目业绩</w:t>
            </w:r>
          </w:p>
        </w:tc>
        <w:tc>
          <w:tcPr>
            <w:tcW w:w="863" w:type="dxa"/>
            <w:noWrap w:val="0"/>
            <w:vAlign w:val="center"/>
          </w:tcPr>
          <w:p w14:paraId="3244658F">
            <w:pPr>
              <w:widowControl w:val="0"/>
              <w:adjustRightInd w:val="0"/>
              <w:spacing w:line="240" w:lineRule="auto"/>
              <w:contextualSpacing/>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10082" w:type="dxa"/>
            <w:noWrap w:val="0"/>
            <w:vAlign w:val="center"/>
          </w:tcPr>
          <w:p w14:paraId="1D142238">
            <w:pPr>
              <w:widowControl w:val="0"/>
              <w:numPr>
                <w:ilvl w:val="-1"/>
                <w:numId w:val="0"/>
              </w:numPr>
              <w:adjustRightInd w:val="0"/>
              <w:spacing w:after="0" w:line="400" w:lineRule="exact"/>
              <w:ind w:right="0"/>
              <w:contextualSpacing/>
              <w:jc w:val="left"/>
              <w:rPr>
                <w:rFonts w:hint="eastAsia" w:ascii="宋体" w:hAnsi="宋体" w:eastAsia="宋体" w:cs="宋体"/>
                <w:bCs w:val="0"/>
                <w:color w:val="auto"/>
                <w:kern w:val="0"/>
                <w:sz w:val="24"/>
                <w:szCs w:val="24"/>
                <w:highlight w:val="none"/>
                <w:shd w:val="clear" w:color="auto" w:fill="FFFFFF"/>
                <w:lang w:val="en-US" w:eastAsia="zh-CN" w:bidi="ar"/>
              </w:rPr>
            </w:pPr>
            <w:r>
              <w:rPr>
                <w:rFonts w:hint="eastAsia" w:ascii="宋体" w:hAnsi="宋体" w:eastAsia="宋体" w:cs="宋体"/>
                <w:bCs w:val="0"/>
                <w:color w:val="auto"/>
                <w:kern w:val="0"/>
                <w:sz w:val="24"/>
                <w:szCs w:val="24"/>
                <w:highlight w:val="none"/>
                <w:shd w:val="clear" w:color="auto" w:fill="FFFFFF"/>
                <w:lang w:val="en-US" w:eastAsia="zh-CN" w:bidi="ar"/>
              </w:rPr>
              <w:t>投</w:t>
            </w:r>
            <w:r>
              <w:rPr>
                <w:rFonts w:hint="eastAsia" w:ascii="宋体" w:hAnsi="宋体" w:eastAsia="宋体" w:cs="宋体"/>
                <w:bCs w:val="0"/>
                <w:color w:val="auto"/>
                <w:kern w:val="0"/>
                <w:sz w:val="24"/>
                <w:szCs w:val="24"/>
                <w:highlight w:val="none"/>
                <w:shd w:val="clear" w:color="auto" w:fill="FFFFFF"/>
                <w:lang w:val="zh-CN" w:bidi="ar"/>
              </w:rPr>
              <w:t>标人自20</w:t>
            </w:r>
            <w:r>
              <w:rPr>
                <w:rFonts w:hint="eastAsia" w:ascii="宋体" w:hAnsi="宋体" w:eastAsia="宋体" w:cs="宋体"/>
                <w:bCs w:val="0"/>
                <w:color w:val="auto"/>
                <w:kern w:val="0"/>
                <w:sz w:val="24"/>
                <w:szCs w:val="24"/>
                <w:highlight w:val="none"/>
                <w:shd w:val="clear" w:color="auto" w:fill="FFFFFF"/>
                <w:lang w:val="en-US" w:eastAsia="zh-CN" w:bidi="ar"/>
              </w:rPr>
              <w:t>19</w:t>
            </w:r>
            <w:r>
              <w:rPr>
                <w:rFonts w:hint="eastAsia" w:ascii="宋体" w:hAnsi="宋体" w:eastAsia="宋体" w:cs="宋体"/>
                <w:bCs w:val="0"/>
                <w:color w:val="auto"/>
                <w:kern w:val="0"/>
                <w:sz w:val="24"/>
                <w:szCs w:val="24"/>
                <w:highlight w:val="none"/>
                <w:shd w:val="clear" w:color="auto" w:fill="FFFFFF"/>
                <w:lang w:val="zh-CN" w:bidi="ar"/>
              </w:rPr>
              <w:t>年1月1日</w:t>
            </w:r>
            <w:r>
              <w:rPr>
                <w:rFonts w:hint="eastAsia" w:ascii="宋体" w:hAnsi="宋体" w:eastAsia="宋体" w:cs="宋体"/>
                <w:color w:val="auto"/>
                <w:kern w:val="0"/>
                <w:sz w:val="24"/>
                <w:szCs w:val="24"/>
                <w:highlight w:val="none"/>
                <w:shd w:val="clear" w:color="auto" w:fill="FFFFFF"/>
                <w:lang w:val="zh-CN" w:eastAsia="zh-CN"/>
              </w:rPr>
              <w:t>项目公告发布之日止</w:t>
            </w:r>
            <w:r>
              <w:rPr>
                <w:rFonts w:hint="eastAsia" w:ascii="宋体" w:hAnsi="宋体" w:eastAsia="宋体" w:cs="宋体"/>
                <w:bCs w:val="0"/>
                <w:color w:val="auto"/>
                <w:kern w:val="0"/>
                <w:sz w:val="24"/>
                <w:szCs w:val="24"/>
                <w:highlight w:val="none"/>
                <w:shd w:val="clear" w:color="auto" w:fill="FFFFFF"/>
                <w:lang w:val="zh-CN" w:bidi="ar"/>
              </w:rPr>
              <w:t>，</w:t>
            </w:r>
            <w:r>
              <w:rPr>
                <w:rFonts w:hint="eastAsia" w:ascii="宋体" w:hAnsi="宋体" w:eastAsia="宋体" w:cs="宋体"/>
                <w:bCs w:val="0"/>
                <w:color w:val="auto"/>
                <w:kern w:val="0"/>
                <w:sz w:val="24"/>
                <w:szCs w:val="24"/>
                <w:highlight w:val="none"/>
                <w:shd w:val="clear" w:color="auto" w:fill="FFFFFF"/>
                <w:lang w:val="en-US" w:eastAsia="zh-CN" w:bidi="ar"/>
              </w:rPr>
              <w:t>完成过一项</w:t>
            </w:r>
            <w:r>
              <w:rPr>
                <w:rFonts w:hint="eastAsia" w:ascii="宋体" w:hAnsi="宋体" w:eastAsia="宋体" w:cs="宋体"/>
                <w:bCs w:val="0"/>
                <w:color w:val="auto"/>
                <w:kern w:val="0"/>
                <w:sz w:val="24"/>
                <w:szCs w:val="24"/>
                <w:highlight w:val="none"/>
                <w:shd w:val="clear" w:color="auto" w:fill="FFFFFF"/>
                <w:lang w:val="zh-CN" w:bidi="ar"/>
              </w:rPr>
              <w:t>基于大模型或智能化应用的相关项目建设业绩</w:t>
            </w:r>
            <w:r>
              <w:rPr>
                <w:rFonts w:hint="eastAsia" w:ascii="宋体" w:hAnsi="宋体" w:eastAsia="宋体" w:cs="宋体"/>
                <w:bCs w:val="0"/>
                <w:color w:val="auto"/>
                <w:kern w:val="0"/>
                <w:sz w:val="24"/>
                <w:szCs w:val="24"/>
                <w:highlight w:val="none"/>
                <w:shd w:val="clear" w:color="auto" w:fill="FFFFFF"/>
                <w:lang w:val="en-US" w:eastAsia="zh-CN" w:bidi="ar"/>
              </w:rPr>
              <w:t>的，合同金额为400-1800万元（不含1800万元）的得5分，1800万元或以上的，得10分；</w:t>
            </w:r>
          </w:p>
          <w:p w14:paraId="787620AF">
            <w:pPr>
              <w:adjustRightInd w:val="0"/>
              <w:spacing w:line="400" w:lineRule="exact"/>
              <w:contextualSpacing/>
              <w:jc w:val="left"/>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lang w:val="zh-CN"/>
              </w:rPr>
              <w:t>注：（</w:t>
            </w:r>
            <w:r>
              <w:rPr>
                <w:rFonts w:hint="eastAsia" w:ascii="宋体" w:hAnsi="宋体" w:eastAsia="宋体" w:cs="宋体"/>
                <w:color w:val="auto"/>
                <w:kern w:val="0"/>
                <w:sz w:val="24"/>
                <w:szCs w:val="24"/>
                <w:highlight w:val="none"/>
                <w:shd w:val="clear" w:color="auto" w:fill="FFFFFF"/>
                <w:lang w:val="zh-CN" w:eastAsia="zh-CN"/>
              </w:rPr>
              <w:t>1</w:t>
            </w:r>
            <w:r>
              <w:rPr>
                <w:rFonts w:hint="eastAsia" w:ascii="宋体" w:hAnsi="宋体" w:eastAsia="宋体" w:cs="宋体"/>
                <w:color w:val="auto"/>
                <w:kern w:val="0"/>
                <w:sz w:val="24"/>
                <w:szCs w:val="24"/>
                <w:highlight w:val="none"/>
                <w:shd w:val="clear" w:color="auto" w:fill="FFFFFF"/>
                <w:lang w:val="zh-CN"/>
              </w:rPr>
              <w:t>）</w:t>
            </w:r>
            <w:r>
              <w:rPr>
                <w:rFonts w:hint="eastAsia" w:ascii="宋体" w:hAnsi="宋体" w:eastAsia="宋体" w:cs="宋体"/>
                <w:color w:val="auto"/>
                <w:kern w:val="0"/>
                <w:sz w:val="24"/>
                <w:szCs w:val="24"/>
                <w:highlight w:val="none"/>
                <w:shd w:val="clear" w:color="auto" w:fill="FFFFFF"/>
                <w:lang w:val="en-US" w:eastAsia="zh-CN"/>
              </w:rPr>
              <w:t>业绩数量按1份计算，若递交多份业绩，则按单项分值最高的计取业绩得分，</w:t>
            </w:r>
          </w:p>
          <w:p w14:paraId="31C172A3">
            <w:pPr>
              <w:keepNext w:val="0"/>
              <w:keepLines w:val="0"/>
              <w:pageBreakBefore w:val="0"/>
              <w:widowControl w:val="0"/>
              <w:kinsoku/>
              <w:wordWrap/>
              <w:overflowPunct/>
              <w:topLinePunct w:val="0"/>
              <w:autoSpaceDE/>
              <w:autoSpaceDN/>
              <w:bidi w:val="0"/>
              <w:adjustRightInd w:val="0"/>
              <w:snapToGrid/>
              <w:spacing w:line="400" w:lineRule="exact"/>
              <w:ind w:right="0"/>
              <w:contextualSpacing/>
              <w:jc w:val="left"/>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本项最高得10分；</w:t>
            </w:r>
          </w:p>
          <w:p w14:paraId="693CF806">
            <w:pPr>
              <w:adjustRightInd w:val="0"/>
              <w:spacing w:line="400" w:lineRule="exact"/>
              <w:contextualSpacing/>
              <w:jc w:val="left"/>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lang w:val="zh-CN"/>
              </w:rPr>
              <w:t>（</w:t>
            </w: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lang w:val="zh-CN"/>
              </w:rPr>
              <w:t>）基于大模型的业绩是指包含模型训练</w:t>
            </w:r>
            <w:r>
              <w:rPr>
                <w:rFonts w:hint="eastAsia" w:ascii="宋体" w:hAnsi="宋体" w:eastAsia="宋体" w:cs="宋体"/>
                <w:color w:val="auto"/>
                <w:kern w:val="0"/>
                <w:sz w:val="24"/>
                <w:szCs w:val="24"/>
                <w:highlight w:val="none"/>
                <w:shd w:val="clear" w:color="auto" w:fill="FFFFFF"/>
                <w:lang w:val="en-US" w:eastAsia="zh-CN"/>
              </w:rPr>
              <w:t>或大模型平台</w:t>
            </w:r>
            <w:r>
              <w:rPr>
                <w:rFonts w:hint="eastAsia" w:ascii="宋体" w:hAnsi="宋体" w:eastAsia="宋体" w:cs="宋体"/>
                <w:color w:val="auto"/>
                <w:kern w:val="0"/>
                <w:sz w:val="24"/>
                <w:szCs w:val="24"/>
                <w:highlight w:val="none"/>
                <w:shd w:val="clear" w:color="auto" w:fill="FFFFFF"/>
                <w:lang w:val="zh-CN"/>
              </w:rPr>
              <w:t>或大模型加工或大模型应用开发或大模型应用服务内容的项目；</w:t>
            </w:r>
          </w:p>
          <w:p w14:paraId="7759D608">
            <w:pPr>
              <w:widowControl w:val="0"/>
              <w:adjustRightInd w:val="0"/>
              <w:spacing w:line="400" w:lineRule="exact"/>
              <w:ind w:right="0"/>
              <w:contextualSpacing/>
              <w:jc w:val="left"/>
              <w:rPr>
                <w:rFonts w:hint="eastAsia" w:ascii="宋体" w:hAnsi="宋体" w:eastAsia="宋体" w:cs="宋体"/>
                <w:color w:val="auto"/>
                <w:kern w:val="0"/>
                <w:sz w:val="24"/>
                <w:szCs w:val="24"/>
                <w:highlight w:val="none"/>
                <w:shd w:val="clear" w:color="auto" w:fill="FFFFFF"/>
                <w:lang w:val="zh-CN"/>
              </w:rPr>
            </w:pPr>
            <w:r>
              <w:rPr>
                <w:rFonts w:hint="eastAsia" w:ascii="宋体" w:hAnsi="宋体" w:eastAsia="宋体" w:cs="宋体"/>
                <w:color w:val="auto"/>
                <w:kern w:val="0"/>
                <w:sz w:val="24"/>
                <w:szCs w:val="24"/>
                <w:highlight w:val="none"/>
                <w:shd w:val="clear" w:color="auto" w:fill="FFFFFF"/>
                <w:lang w:val="zh-CN"/>
              </w:rPr>
              <w:t>（</w:t>
            </w: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lang w:val="zh-CN"/>
              </w:rPr>
              <w:t>）基于智能化应用的相关项目建设业绩指在智慧城市、智慧水务、智能工业制造、智能交通等多个行业实现有效应用和价值创造的智慧信息化项目。</w:t>
            </w:r>
          </w:p>
          <w:p w14:paraId="10BFA806">
            <w:pPr>
              <w:widowControl w:val="0"/>
              <w:adjustRightInd w:val="0"/>
              <w:spacing w:line="400" w:lineRule="exact"/>
              <w:ind w:right="0"/>
              <w:contextualSpacing/>
              <w:jc w:val="left"/>
              <w:rPr>
                <w:rFonts w:hint="eastAsia" w:ascii="宋体" w:hAnsi="宋体" w:eastAsia="宋体" w:cs="宋体"/>
                <w:color w:val="auto"/>
                <w:kern w:val="0"/>
                <w:sz w:val="24"/>
                <w:szCs w:val="24"/>
                <w:highlight w:val="none"/>
                <w:shd w:val="clear" w:color="auto" w:fill="FFFFFF"/>
                <w:lang w:val="zh-CN"/>
              </w:rPr>
            </w:pPr>
            <w:r>
              <w:rPr>
                <w:rFonts w:hint="eastAsia" w:ascii="宋体" w:hAnsi="宋体" w:eastAsia="宋体" w:cs="宋体"/>
                <w:color w:val="auto"/>
                <w:kern w:val="0"/>
                <w:sz w:val="24"/>
                <w:szCs w:val="24"/>
                <w:highlight w:val="none"/>
                <w:shd w:val="clear" w:color="auto" w:fill="FFFFFF"/>
                <w:lang w:val="zh-CN"/>
              </w:rPr>
              <w:t>（</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lang w:val="zh-CN"/>
              </w:rPr>
              <w:t>）本项目的业绩时间以项目</w:t>
            </w:r>
            <w:r>
              <w:rPr>
                <w:rFonts w:hint="eastAsia" w:ascii="宋体" w:hAnsi="宋体" w:eastAsia="宋体" w:cs="宋体"/>
                <w:i w:val="0"/>
                <w:iCs w:val="0"/>
                <w:caps w:val="0"/>
                <w:color w:val="auto"/>
                <w:spacing w:val="0"/>
                <w:kern w:val="0"/>
                <w:sz w:val="24"/>
                <w:szCs w:val="24"/>
                <w:highlight w:val="none"/>
                <w:shd w:val="clear" w:color="auto" w:fill="auto"/>
                <w:lang w:val="en-US" w:eastAsia="zh-CN" w:bidi="ar"/>
              </w:rPr>
              <w:t>验收报告或相关项目验收证明文件</w:t>
            </w:r>
            <w:r>
              <w:rPr>
                <w:rFonts w:hint="eastAsia" w:ascii="宋体" w:hAnsi="宋体" w:eastAsia="宋体" w:cs="宋体"/>
                <w:color w:val="auto"/>
                <w:kern w:val="0"/>
                <w:sz w:val="24"/>
                <w:szCs w:val="24"/>
                <w:highlight w:val="none"/>
                <w:shd w:val="clear" w:color="auto" w:fill="FFFFFF"/>
                <w:lang w:val="zh-CN"/>
              </w:rPr>
              <w:t>时间为准；</w:t>
            </w:r>
          </w:p>
          <w:p w14:paraId="32E1479F">
            <w:pPr>
              <w:widowControl w:val="0"/>
              <w:adjustRightInd w:val="0"/>
              <w:spacing w:line="400" w:lineRule="exact"/>
              <w:contextualSpacing/>
              <w:jc w:val="left"/>
              <w:rPr>
                <w:rFonts w:hint="eastAsia" w:ascii="宋体" w:hAnsi="宋体" w:eastAsia="宋体" w:cs="宋体"/>
                <w:color w:val="auto"/>
                <w:kern w:val="0"/>
                <w:sz w:val="24"/>
                <w:szCs w:val="24"/>
                <w:highlight w:val="none"/>
                <w:shd w:val="clear" w:color="auto" w:fill="FFFFFF"/>
                <w:lang w:val="zh-CN" w:eastAsia="zh-CN"/>
              </w:rPr>
            </w:pPr>
            <w:r>
              <w:rPr>
                <w:rFonts w:hint="eastAsia" w:ascii="宋体" w:hAnsi="宋体" w:eastAsia="宋体" w:cs="宋体"/>
                <w:color w:val="auto"/>
                <w:kern w:val="0"/>
                <w:sz w:val="24"/>
                <w:szCs w:val="24"/>
                <w:highlight w:val="none"/>
                <w:shd w:val="clear" w:color="auto" w:fill="FFFFFF"/>
                <w:lang w:val="zh-CN"/>
              </w:rPr>
              <w:t>（</w:t>
            </w:r>
            <w:r>
              <w:rPr>
                <w:rFonts w:hint="eastAsia" w:ascii="宋体" w:hAnsi="宋体" w:eastAsia="宋体" w:cs="宋体"/>
                <w:color w:val="auto"/>
                <w:kern w:val="0"/>
                <w:sz w:val="24"/>
                <w:szCs w:val="24"/>
                <w:highlight w:val="none"/>
                <w:shd w:val="clear" w:color="auto" w:fill="FFFFFF"/>
                <w:lang w:val="en-US" w:eastAsia="zh-CN"/>
              </w:rPr>
              <w:t>5</w:t>
            </w:r>
            <w:r>
              <w:rPr>
                <w:rFonts w:hint="eastAsia" w:ascii="宋体" w:hAnsi="宋体" w:eastAsia="宋体" w:cs="宋体"/>
                <w:color w:val="auto"/>
                <w:kern w:val="0"/>
                <w:sz w:val="24"/>
                <w:szCs w:val="24"/>
                <w:highlight w:val="none"/>
                <w:shd w:val="clear" w:color="auto" w:fill="FFFFFF"/>
                <w:lang w:val="zh-CN"/>
              </w:rPr>
              <w:t>）业绩证</w:t>
            </w:r>
            <w:r>
              <w:rPr>
                <w:rFonts w:hint="eastAsia" w:ascii="宋体" w:hAnsi="宋体" w:eastAsia="宋体" w:cs="宋体"/>
                <w:color w:val="auto"/>
                <w:kern w:val="0"/>
                <w:sz w:val="24"/>
                <w:szCs w:val="24"/>
                <w:highlight w:val="none"/>
                <w:shd w:val="clear" w:color="auto" w:fill="FFFFFF"/>
                <w:lang w:val="zh-CN" w:eastAsia="zh-CN"/>
              </w:rPr>
              <w:t>明需提供项目合同原件扫描件和验收报告等，如以上资料不能证明业绩、规模的，</w:t>
            </w:r>
          </w:p>
          <w:p w14:paraId="77DAE394">
            <w:pPr>
              <w:widowControl w:val="0"/>
              <w:adjustRightInd w:val="0"/>
              <w:spacing w:line="400" w:lineRule="exact"/>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lang w:val="zh-CN" w:eastAsia="zh-CN"/>
              </w:rPr>
              <w:t>须另提供可证明的其他资料。</w:t>
            </w:r>
          </w:p>
        </w:tc>
      </w:tr>
      <w:tr w14:paraId="35A4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atLeast"/>
        </w:trPr>
        <w:tc>
          <w:tcPr>
            <w:tcW w:w="0" w:type="auto"/>
            <w:noWrap w:val="0"/>
            <w:vAlign w:val="center"/>
          </w:tcPr>
          <w:p w14:paraId="1C40A565">
            <w:pPr>
              <w:widowControl/>
              <w:spacing w:line="240" w:lineRule="auto"/>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p>
        </w:tc>
        <w:tc>
          <w:tcPr>
            <w:tcW w:w="1004" w:type="dxa"/>
            <w:vMerge w:val="continue"/>
            <w:noWrap w:val="0"/>
            <w:vAlign w:val="center"/>
          </w:tcPr>
          <w:p w14:paraId="50974BE2">
            <w:pPr>
              <w:adjustRightInd/>
              <w:spacing w:line="240" w:lineRule="auto"/>
              <w:ind w:left="0"/>
              <w:contextualSpacing w:val="0"/>
              <w:jc w:val="center"/>
              <w:rPr>
                <w:rFonts w:hint="eastAsia" w:ascii="宋体" w:hAnsi="宋体" w:eastAsia="宋体" w:cs="宋体"/>
                <w:color w:val="auto"/>
                <w:kern w:val="0"/>
                <w:sz w:val="24"/>
                <w:szCs w:val="24"/>
                <w:highlight w:val="none"/>
              </w:rPr>
            </w:pPr>
          </w:p>
        </w:tc>
        <w:tc>
          <w:tcPr>
            <w:tcW w:w="1462" w:type="dxa"/>
            <w:noWrap w:val="0"/>
            <w:vAlign w:val="center"/>
          </w:tcPr>
          <w:p w14:paraId="4327C6E1">
            <w:pPr>
              <w:adjustRightInd/>
              <w:spacing w:line="400" w:lineRule="exact"/>
              <w:ind w:left="0"/>
              <w:contextualSpacing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拟投入项目团队（项目负责人除外）情况</w:t>
            </w:r>
          </w:p>
        </w:tc>
        <w:tc>
          <w:tcPr>
            <w:tcW w:w="863" w:type="dxa"/>
            <w:noWrap w:val="0"/>
            <w:vAlign w:val="center"/>
          </w:tcPr>
          <w:p w14:paraId="6C600BE0">
            <w:pPr>
              <w:adjustRightInd w:val="0"/>
              <w:spacing w:line="240" w:lineRule="auto"/>
              <w:contextualSpacing/>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9</w:t>
            </w:r>
          </w:p>
        </w:tc>
        <w:tc>
          <w:tcPr>
            <w:tcW w:w="10082" w:type="dxa"/>
            <w:noWrap w:val="0"/>
            <w:vAlign w:val="center"/>
          </w:tcPr>
          <w:p w14:paraId="082EFA20">
            <w:pPr>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1、拟为本项目投入团队人员具备信息系统项目管理师、PMP、系统规划与管理师、系统分析师、网络规划设计师、系统架构设计师证书等任一项资格认证的，每提供一名人员证书的，得1分，最高得4分；</w:t>
            </w:r>
          </w:p>
          <w:p w14:paraId="215C4EAA">
            <w:pPr>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2、拟为本项目投入团队人员为</w:t>
            </w:r>
            <w:r>
              <w:rPr>
                <w:rFonts w:hint="eastAsia" w:ascii="宋体" w:hAnsi="宋体" w:eastAsia="宋体" w:cs="宋体"/>
                <w:bCs/>
                <w:color w:val="auto"/>
                <w:sz w:val="24"/>
                <w:szCs w:val="24"/>
                <w:highlight w:val="none"/>
              </w:rPr>
              <w:t>信息工程、或通信工程、或计算机科学与技术、或人工智能、或软件工程相关专业研究生及以上学历且具备</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年及以上工作经验的，每</w:t>
            </w:r>
            <w:r>
              <w:rPr>
                <w:rFonts w:hint="eastAsia" w:ascii="宋体" w:hAnsi="宋体" w:eastAsia="宋体" w:cs="宋体"/>
                <w:bCs/>
                <w:color w:val="auto"/>
                <w:sz w:val="24"/>
                <w:szCs w:val="24"/>
                <w:highlight w:val="none"/>
                <w:lang w:val="en-US" w:eastAsia="zh-CN"/>
              </w:rPr>
              <w:t>提供一名符合要求人员的，</w:t>
            </w:r>
            <w:r>
              <w:rPr>
                <w:rFonts w:hint="eastAsia" w:ascii="宋体" w:hAnsi="宋体" w:eastAsia="宋体" w:cs="宋体"/>
                <w:bCs/>
                <w:color w:val="auto"/>
                <w:sz w:val="24"/>
                <w:szCs w:val="24"/>
                <w:highlight w:val="none"/>
              </w:rPr>
              <w:t>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分;本项最高</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p>
          <w:p w14:paraId="6AB93D7C">
            <w:pPr>
              <w:spacing w:line="400" w:lineRule="exact"/>
              <w:rPr>
                <w:rFonts w:hint="eastAsia" w:ascii="宋体" w:hAnsi="宋体" w:eastAsia="宋体" w:cs="宋体"/>
                <w:bCs/>
                <w:color w:val="auto"/>
                <w:sz w:val="24"/>
                <w:szCs w:val="24"/>
                <w:highlight w:val="none"/>
                <w:lang w:val="en-US" w:eastAsia="zh-CN"/>
              </w:rPr>
            </w:pPr>
          </w:p>
          <w:p w14:paraId="3DCD1BC1">
            <w:pPr>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注：（1）上述1-2项可累计得分，最高得9分；</w:t>
            </w:r>
          </w:p>
          <w:p w14:paraId="346C49F7">
            <w:pPr>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val="en-US" w:eastAsia="zh-CN"/>
              </w:rPr>
              <w:t>（2）上述第1项</w:t>
            </w:r>
            <w:r>
              <w:rPr>
                <w:rFonts w:hint="eastAsia" w:ascii="宋体" w:hAnsi="宋体" w:eastAsia="宋体" w:cs="宋体"/>
                <w:color w:val="auto"/>
                <w:sz w:val="24"/>
                <w:szCs w:val="24"/>
                <w:highlight w:val="none"/>
              </w:rPr>
              <w:t>需提供有效的资格证书</w:t>
            </w:r>
            <w:r>
              <w:rPr>
                <w:rFonts w:hint="eastAsia" w:ascii="宋体" w:hAnsi="宋体" w:eastAsia="宋体" w:cs="宋体"/>
                <w:color w:val="auto"/>
                <w:sz w:val="24"/>
                <w:szCs w:val="24"/>
                <w:highlight w:val="none"/>
                <w:lang w:val="en-US" w:eastAsia="zh-CN"/>
              </w:rPr>
              <w:t>，第2项人员</w:t>
            </w:r>
            <w:r>
              <w:rPr>
                <w:rFonts w:hint="eastAsia" w:ascii="宋体" w:hAnsi="宋体" w:eastAsia="宋体" w:cs="宋体"/>
                <w:bCs/>
                <w:color w:val="auto"/>
                <w:sz w:val="24"/>
                <w:szCs w:val="24"/>
                <w:highlight w:val="none"/>
                <w:lang w:val="en-US" w:eastAsia="zh-CN"/>
              </w:rPr>
              <w:t>工作经验以毕业时间为准，</w:t>
            </w:r>
            <w:r>
              <w:rPr>
                <w:rFonts w:hint="eastAsia" w:ascii="宋体" w:hAnsi="宋体" w:eastAsia="宋体" w:cs="宋体"/>
                <w:color w:val="auto"/>
                <w:sz w:val="24"/>
                <w:szCs w:val="24"/>
                <w:highlight w:val="none"/>
                <w:lang w:val="en-US" w:eastAsia="zh-CN"/>
              </w:rPr>
              <w:t>需提供人员学历证书</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同一人员证书不可累计得分，按最高得分项计算。并应</w:t>
            </w:r>
            <w:r>
              <w:rPr>
                <w:rFonts w:hint="eastAsia" w:ascii="宋体" w:hAnsi="宋体" w:eastAsia="宋体" w:cs="宋体"/>
                <w:color w:val="auto"/>
                <w:sz w:val="24"/>
                <w:szCs w:val="24"/>
                <w:highlight w:val="none"/>
              </w:rPr>
              <w:t>递交投标文件截止时间止前</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个月（202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rPr>
              <w:t>）的社保证明，原件备查</w:t>
            </w:r>
            <w:r>
              <w:rPr>
                <w:rFonts w:hint="eastAsia" w:ascii="宋体" w:hAnsi="宋体" w:eastAsia="宋体" w:cs="宋体"/>
                <w:bCs/>
                <w:color w:val="auto"/>
                <w:sz w:val="24"/>
                <w:szCs w:val="24"/>
                <w:highlight w:val="none"/>
                <w:lang w:val="en-US" w:eastAsia="zh-CN"/>
              </w:rPr>
              <w:t>提供证明材料扫描件；若提供的人员</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同时满足上述1-2项的，可重复得分。</w:t>
            </w:r>
          </w:p>
        </w:tc>
      </w:tr>
      <w:tr w14:paraId="2367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3" w:hRule="atLeast"/>
        </w:trPr>
        <w:tc>
          <w:tcPr>
            <w:tcW w:w="0" w:type="auto"/>
            <w:noWrap w:val="0"/>
            <w:vAlign w:val="center"/>
          </w:tcPr>
          <w:p w14:paraId="2A123A70">
            <w:pPr>
              <w:widowControl/>
              <w:spacing w:line="240" w:lineRule="auto"/>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p>
        </w:tc>
        <w:tc>
          <w:tcPr>
            <w:tcW w:w="1004" w:type="dxa"/>
            <w:vMerge w:val="restart"/>
            <w:noWrap w:val="0"/>
            <w:vAlign w:val="center"/>
          </w:tcPr>
          <w:p w14:paraId="6B4DF516">
            <w:pPr>
              <w:adjustRightInd w:val="0"/>
              <w:snapToGrid w:val="0"/>
              <w:spacing w:line="240" w:lineRule="auto"/>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技术部分（35分）</w:t>
            </w:r>
          </w:p>
        </w:tc>
        <w:tc>
          <w:tcPr>
            <w:tcW w:w="1462" w:type="dxa"/>
            <w:noWrap w:val="0"/>
            <w:vAlign w:val="center"/>
          </w:tcPr>
          <w:p w14:paraId="48E8E5D5">
            <w:pPr>
              <w:adjustRightInd w:val="0"/>
              <w:snapToGrid w:val="0"/>
              <w:spacing w:line="24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项目总体设计</w:t>
            </w:r>
            <w:r>
              <w:rPr>
                <w:rFonts w:hint="eastAsia" w:ascii="宋体" w:hAnsi="宋体" w:eastAsia="宋体" w:cs="宋体"/>
                <w:color w:val="auto"/>
                <w:sz w:val="24"/>
                <w:szCs w:val="24"/>
                <w:highlight w:val="none"/>
              </w:rPr>
              <w:t>方案</w:t>
            </w:r>
          </w:p>
        </w:tc>
        <w:tc>
          <w:tcPr>
            <w:tcW w:w="863" w:type="dxa"/>
            <w:noWrap w:val="0"/>
            <w:vAlign w:val="center"/>
          </w:tcPr>
          <w:p w14:paraId="44E0AAD9">
            <w:pPr>
              <w:adjustRightInd w:val="0"/>
              <w:snapToGrid w:val="0"/>
              <w:spacing w:line="240" w:lineRule="auto"/>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10082" w:type="dxa"/>
            <w:noWrap w:val="0"/>
            <w:vAlign w:val="center"/>
          </w:tcPr>
          <w:p w14:paraId="0F3E34AC">
            <w:pPr>
              <w:spacing w:line="400" w:lineRule="exact"/>
              <w:ind w:firstLine="0" w:firstLineChars="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针对投标人对本项目需求制定</w:t>
            </w:r>
            <w:r>
              <w:rPr>
                <w:rFonts w:hint="eastAsia" w:ascii="宋体" w:hAnsi="宋体" w:eastAsia="宋体" w:cs="宋体"/>
                <w:color w:val="auto"/>
                <w:kern w:val="0"/>
                <w:sz w:val="24"/>
                <w:szCs w:val="24"/>
                <w:highlight w:val="none"/>
                <w:lang w:val="en-US" w:eastAsia="zh-CN"/>
              </w:rPr>
              <w:t>水厂智慧化系统</w:t>
            </w:r>
            <w:r>
              <w:rPr>
                <w:rFonts w:hint="eastAsia" w:ascii="宋体" w:hAnsi="宋体" w:eastAsia="宋体" w:cs="宋体"/>
                <w:color w:val="auto"/>
                <w:kern w:val="0"/>
                <w:sz w:val="24"/>
                <w:szCs w:val="24"/>
                <w:highlight w:val="none"/>
              </w:rPr>
              <w:t>总体设计方案，</w:t>
            </w:r>
            <w:r>
              <w:rPr>
                <w:rFonts w:hint="eastAsia" w:ascii="宋体" w:hAnsi="宋体" w:eastAsia="宋体" w:cs="宋体"/>
                <w:color w:val="auto"/>
                <w:kern w:val="0"/>
                <w:sz w:val="24"/>
                <w:szCs w:val="24"/>
                <w:highlight w:val="none"/>
                <w:lang w:val="en-US" w:eastAsia="zh-CN"/>
              </w:rPr>
              <w:t>从</w:t>
            </w:r>
            <w:r>
              <w:rPr>
                <w:rFonts w:hint="eastAsia" w:ascii="宋体" w:hAnsi="宋体" w:eastAsia="宋体" w:cs="宋体"/>
                <w:color w:val="auto"/>
                <w:kern w:val="0"/>
                <w:sz w:val="24"/>
                <w:szCs w:val="24"/>
                <w:highlight w:val="none"/>
              </w:rPr>
              <w:t>编制思路清晰、层次清楚，内容严谨全面，有指导性、针对性、可操作性，符合规范</w:t>
            </w:r>
            <w:r>
              <w:rPr>
                <w:rFonts w:hint="eastAsia" w:ascii="宋体" w:hAnsi="宋体" w:eastAsia="宋体" w:cs="宋体"/>
                <w:color w:val="auto"/>
                <w:kern w:val="0"/>
                <w:sz w:val="24"/>
                <w:szCs w:val="24"/>
                <w:highlight w:val="none"/>
                <w:lang w:val="en-US" w:eastAsia="zh-CN"/>
              </w:rPr>
              <w:t>等方面进行评审</w:t>
            </w:r>
            <w:r>
              <w:rPr>
                <w:rFonts w:hint="eastAsia" w:ascii="宋体" w:hAnsi="宋体" w:eastAsia="宋体" w:cs="宋体"/>
                <w:color w:val="auto"/>
                <w:kern w:val="0"/>
                <w:sz w:val="24"/>
                <w:szCs w:val="24"/>
                <w:highlight w:val="none"/>
              </w:rPr>
              <w:t>，包括但不限于</w:t>
            </w:r>
            <w:r>
              <w:rPr>
                <w:rFonts w:hint="eastAsia" w:ascii="宋体" w:hAnsi="宋体" w:eastAsia="宋体" w:cs="宋体"/>
                <w:color w:val="auto"/>
                <w:kern w:val="0"/>
                <w:sz w:val="24"/>
                <w:szCs w:val="24"/>
                <w:highlight w:val="none"/>
                <w:lang w:val="en-US" w:eastAsia="zh-CN"/>
              </w:rPr>
              <w:t>水厂智慧化系统</w:t>
            </w:r>
            <w:r>
              <w:rPr>
                <w:rFonts w:hint="eastAsia" w:ascii="宋体" w:hAnsi="宋体" w:eastAsia="宋体" w:cs="宋体"/>
                <w:color w:val="auto"/>
                <w:kern w:val="0"/>
                <w:sz w:val="24"/>
                <w:szCs w:val="24"/>
                <w:highlight w:val="none"/>
              </w:rPr>
              <w:t>总体设计思路、设计特点、设计重点、系统架构设计</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智慧控制算法</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智慧管控</w:t>
            </w:r>
            <w:r>
              <w:rPr>
                <w:rFonts w:hint="eastAsia" w:ascii="宋体" w:hAnsi="宋体" w:eastAsia="宋体" w:cs="宋体"/>
                <w:color w:val="auto"/>
                <w:kern w:val="0"/>
                <w:sz w:val="24"/>
                <w:szCs w:val="24"/>
                <w:highlight w:val="none"/>
                <w:lang w:val="en-US" w:eastAsia="zh-CN"/>
              </w:rPr>
              <w:t>及决策</w:t>
            </w:r>
            <w:r>
              <w:rPr>
                <w:rFonts w:hint="eastAsia" w:ascii="宋体" w:hAnsi="宋体" w:eastAsia="宋体" w:cs="宋体"/>
                <w:color w:val="auto"/>
                <w:kern w:val="0"/>
                <w:sz w:val="24"/>
                <w:szCs w:val="24"/>
                <w:highlight w:val="none"/>
              </w:rPr>
              <w:t>方案</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数字孪生、多模态大模型实现</w:t>
            </w:r>
            <w:r>
              <w:rPr>
                <w:rFonts w:hint="eastAsia" w:ascii="宋体" w:hAnsi="宋体" w:eastAsia="宋体" w:cs="宋体"/>
                <w:color w:val="auto"/>
                <w:kern w:val="0"/>
                <w:sz w:val="24"/>
                <w:szCs w:val="24"/>
                <w:highlight w:val="none"/>
                <w:lang w:val="en-US" w:eastAsia="zh-CN"/>
              </w:rPr>
              <w:t>等</w:t>
            </w:r>
            <w:r>
              <w:rPr>
                <w:rFonts w:hint="eastAsia" w:ascii="宋体" w:hAnsi="宋体" w:eastAsia="宋体" w:cs="宋体"/>
                <w:color w:val="auto"/>
                <w:kern w:val="0"/>
                <w:sz w:val="24"/>
                <w:szCs w:val="24"/>
                <w:highlight w:val="none"/>
              </w:rPr>
              <w:t>。</w:t>
            </w:r>
          </w:p>
          <w:p w14:paraId="5C1A72C2">
            <w:pPr>
              <w:spacing w:line="400" w:lineRule="exac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优：</w:t>
            </w:r>
            <w:r>
              <w:rPr>
                <w:rFonts w:hint="eastAsia" w:ascii="宋体" w:hAnsi="宋体" w:eastAsia="宋体" w:cs="宋体"/>
                <w:color w:val="auto"/>
                <w:kern w:val="0"/>
                <w:sz w:val="24"/>
                <w:szCs w:val="24"/>
                <w:highlight w:val="none"/>
              </w:rPr>
              <w:t>制定的方案详细，</w:t>
            </w:r>
            <w:r>
              <w:rPr>
                <w:rFonts w:hint="eastAsia" w:ascii="宋体" w:hAnsi="宋体" w:eastAsia="宋体" w:cs="宋体"/>
                <w:color w:val="auto"/>
                <w:kern w:val="0"/>
                <w:sz w:val="24"/>
                <w:szCs w:val="24"/>
                <w:highlight w:val="none"/>
                <w:lang w:val="en-US" w:eastAsia="zh-CN"/>
              </w:rPr>
              <w:t>充分满足项目需求，能体现智慧水厂的特点，</w:t>
            </w:r>
            <w:r>
              <w:rPr>
                <w:rFonts w:hint="eastAsia" w:ascii="宋体" w:hAnsi="宋体" w:eastAsia="宋体" w:cs="宋体"/>
                <w:color w:val="auto"/>
                <w:kern w:val="0"/>
                <w:sz w:val="24"/>
                <w:szCs w:val="24"/>
                <w:highlight w:val="none"/>
              </w:rPr>
              <w:t>工作内容切实可行，总体设计思路具有科学性和前瞻性，特点突出、方案重点明确工作内容切实可行，逻辑严谨</w:t>
            </w:r>
            <w:r>
              <w:rPr>
                <w:rFonts w:hint="eastAsia" w:ascii="宋体" w:hAnsi="宋体" w:eastAsia="宋体" w:cs="宋体"/>
                <w:color w:val="auto"/>
                <w:kern w:val="0"/>
                <w:sz w:val="24"/>
                <w:szCs w:val="24"/>
                <w:highlight w:val="none"/>
                <w:lang w:val="en-US" w:eastAsia="zh-CN"/>
              </w:rPr>
              <w:t>；智慧控制算法合理、智慧管控功能完善、数字孪生，各类应用完善、技术先进，</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分；</w:t>
            </w:r>
          </w:p>
          <w:p w14:paraId="4CCFE0E3">
            <w:pPr>
              <w:spacing w:line="400" w:lineRule="exac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良：</w:t>
            </w:r>
            <w:r>
              <w:rPr>
                <w:rFonts w:hint="eastAsia" w:ascii="宋体" w:hAnsi="宋体" w:eastAsia="宋体" w:cs="宋体"/>
                <w:color w:val="auto"/>
                <w:kern w:val="0"/>
                <w:sz w:val="24"/>
                <w:szCs w:val="24"/>
                <w:highlight w:val="none"/>
              </w:rPr>
              <w:t>制定的方案较详细，</w:t>
            </w:r>
            <w:r>
              <w:rPr>
                <w:rFonts w:hint="eastAsia" w:ascii="宋体" w:hAnsi="宋体" w:eastAsia="宋体" w:cs="宋体"/>
                <w:color w:val="auto"/>
                <w:kern w:val="0"/>
                <w:sz w:val="24"/>
                <w:szCs w:val="24"/>
                <w:highlight w:val="none"/>
                <w:lang w:val="en-US" w:eastAsia="zh-CN"/>
              </w:rPr>
              <w:t>满足项目需求，能体现智慧水厂的特点，</w:t>
            </w:r>
            <w:r>
              <w:rPr>
                <w:rFonts w:hint="eastAsia" w:ascii="宋体" w:hAnsi="宋体" w:eastAsia="宋体" w:cs="宋体"/>
                <w:color w:val="auto"/>
                <w:kern w:val="0"/>
                <w:sz w:val="24"/>
                <w:szCs w:val="24"/>
                <w:highlight w:val="none"/>
              </w:rPr>
              <w:t>总体设计思路能</w:t>
            </w:r>
            <w:r>
              <w:rPr>
                <w:rFonts w:hint="eastAsia" w:ascii="宋体" w:hAnsi="宋体" w:eastAsia="宋体" w:cs="宋体"/>
                <w:color w:val="auto"/>
                <w:kern w:val="0"/>
                <w:sz w:val="24"/>
                <w:szCs w:val="24"/>
                <w:highlight w:val="none"/>
                <w:lang w:val="en-US" w:eastAsia="zh-CN"/>
              </w:rPr>
              <w:t>较好</w:t>
            </w:r>
            <w:r>
              <w:rPr>
                <w:rFonts w:hint="eastAsia" w:ascii="宋体" w:hAnsi="宋体" w:eastAsia="宋体" w:cs="宋体"/>
                <w:color w:val="auto"/>
                <w:kern w:val="0"/>
                <w:sz w:val="24"/>
                <w:szCs w:val="24"/>
                <w:highlight w:val="none"/>
              </w:rPr>
              <w:t>满足现有需求，特点、方案 和系统架构设计基本可行，逻辑较严谨</w:t>
            </w:r>
            <w:r>
              <w:rPr>
                <w:rFonts w:hint="eastAsia" w:ascii="宋体" w:hAnsi="宋体" w:eastAsia="宋体" w:cs="宋体"/>
                <w:color w:val="auto"/>
                <w:kern w:val="0"/>
                <w:sz w:val="24"/>
                <w:szCs w:val="24"/>
                <w:highlight w:val="none"/>
                <w:lang w:val="en-US" w:eastAsia="zh-CN"/>
              </w:rPr>
              <w:t>；智慧控制算法合理、智慧运营功能较完善、数字孪生，各类应用完善、技术较先进，</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分；</w:t>
            </w:r>
          </w:p>
          <w:p w14:paraId="4E576A63">
            <w:pPr>
              <w:spacing w:line="400" w:lineRule="exact"/>
              <w:ind w:firstLine="0" w:firstLineChars="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一般:</w:t>
            </w:r>
            <w:r>
              <w:rPr>
                <w:rFonts w:hint="eastAsia" w:ascii="宋体" w:hAnsi="宋体" w:eastAsia="宋体" w:cs="宋体"/>
                <w:color w:val="auto"/>
                <w:kern w:val="0"/>
                <w:sz w:val="24"/>
                <w:szCs w:val="24"/>
                <w:highlight w:val="none"/>
              </w:rPr>
              <w:t>制定的方案较详细，</w:t>
            </w:r>
            <w:r>
              <w:rPr>
                <w:rFonts w:hint="eastAsia" w:ascii="宋体" w:hAnsi="宋体" w:eastAsia="宋体" w:cs="宋体"/>
                <w:color w:val="auto"/>
                <w:kern w:val="0"/>
                <w:sz w:val="24"/>
                <w:szCs w:val="24"/>
                <w:highlight w:val="none"/>
                <w:lang w:val="en-US" w:eastAsia="zh-CN"/>
              </w:rPr>
              <w:t>基本满足项目需求，能基本体现智慧水厂的特点，</w:t>
            </w:r>
            <w:r>
              <w:rPr>
                <w:rFonts w:hint="eastAsia" w:ascii="宋体" w:hAnsi="宋体" w:eastAsia="宋体" w:cs="宋体"/>
                <w:color w:val="auto"/>
                <w:kern w:val="0"/>
                <w:sz w:val="24"/>
                <w:szCs w:val="24"/>
                <w:highlight w:val="none"/>
              </w:rPr>
              <w:t>总体设计思路能</w:t>
            </w:r>
            <w:r>
              <w:rPr>
                <w:rFonts w:hint="eastAsia" w:ascii="宋体" w:hAnsi="宋体" w:eastAsia="宋体" w:cs="宋体"/>
                <w:color w:val="auto"/>
                <w:kern w:val="0"/>
                <w:sz w:val="24"/>
                <w:szCs w:val="24"/>
                <w:highlight w:val="none"/>
                <w:lang w:val="en-US" w:eastAsia="zh-CN"/>
              </w:rPr>
              <w:t>基本</w:t>
            </w:r>
            <w:r>
              <w:rPr>
                <w:rFonts w:hint="eastAsia" w:ascii="宋体" w:hAnsi="宋体" w:eastAsia="宋体" w:cs="宋体"/>
                <w:color w:val="auto"/>
                <w:kern w:val="0"/>
                <w:sz w:val="24"/>
                <w:szCs w:val="24"/>
                <w:highlight w:val="none"/>
              </w:rPr>
              <w:t>满足现有需求，特点、方案和系统架构设计基本可行</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智慧控制算法相对合理、智慧运营功能较完善，各类应用、技术成效一般，得4分；</w:t>
            </w:r>
          </w:p>
          <w:p w14:paraId="66616D96">
            <w:pPr>
              <w:spacing w:line="400" w:lineRule="exact"/>
              <w:ind w:firstLine="0" w:firstLineChars="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差：制定的</w:t>
            </w:r>
            <w:r>
              <w:rPr>
                <w:rFonts w:hint="eastAsia" w:ascii="宋体" w:hAnsi="宋体" w:eastAsia="宋体" w:cs="宋体"/>
                <w:color w:val="auto"/>
                <w:kern w:val="0"/>
                <w:sz w:val="24"/>
                <w:szCs w:val="24"/>
                <w:highlight w:val="none"/>
              </w:rPr>
              <w:t>方案</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shd w:val="clear" w:color="auto" w:fill="FFFFFF"/>
                <w:lang w:val="en-US" w:eastAsia="zh-CN"/>
              </w:rPr>
              <w:t>总体</w:t>
            </w:r>
            <w:r>
              <w:rPr>
                <w:rFonts w:hint="eastAsia" w:ascii="宋体" w:hAnsi="宋体" w:eastAsia="宋体" w:cs="宋体"/>
                <w:color w:val="auto"/>
                <w:kern w:val="0"/>
                <w:sz w:val="24"/>
                <w:szCs w:val="24"/>
                <w:highlight w:val="none"/>
                <w:shd w:val="clear" w:color="auto" w:fill="FFFFFF"/>
                <w:lang w:val="zh-CN" w:eastAsia="zh-CN"/>
              </w:rPr>
              <w:t>建设</w:t>
            </w:r>
            <w:r>
              <w:rPr>
                <w:rFonts w:hint="eastAsia" w:ascii="宋体" w:hAnsi="宋体" w:eastAsia="宋体" w:cs="宋体"/>
                <w:color w:val="auto"/>
                <w:kern w:val="0"/>
                <w:sz w:val="24"/>
                <w:szCs w:val="24"/>
                <w:highlight w:val="none"/>
              </w:rPr>
              <w:t>思路</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合理性和条理性</w:t>
            </w:r>
            <w:r>
              <w:rPr>
                <w:rFonts w:hint="eastAsia" w:ascii="宋体" w:hAnsi="宋体" w:eastAsia="宋体" w:cs="宋体"/>
                <w:color w:val="auto"/>
                <w:kern w:val="0"/>
                <w:sz w:val="24"/>
                <w:szCs w:val="24"/>
                <w:highlight w:val="none"/>
                <w:lang w:val="en-US" w:eastAsia="zh-CN"/>
              </w:rPr>
              <w:t>不足</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基本满足项目需求，未能体现智慧水厂的特点，</w:t>
            </w:r>
            <w:r>
              <w:rPr>
                <w:rFonts w:hint="eastAsia" w:ascii="宋体" w:hAnsi="宋体" w:eastAsia="宋体" w:cs="宋体"/>
                <w:color w:val="auto"/>
                <w:kern w:val="0"/>
                <w:sz w:val="24"/>
                <w:szCs w:val="24"/>
                <w:highlight w:val="none"/>
              </w:rPr>
              <w:t>系统架构设计不够合理，逻辑</w:t>
            </w:r>
            <w:r>
              <w:rPr>
                <w:rFonts w:hint="eastAsia" w:ascii="宋体" w:hAnsi="宋体" w:eastAsia="宋体" w:cs="宋体"/>
                <w:color w:val="auto"/>
                <w:kern w:val="0"/>
                <w:sz w:val="24"/>
                <w:szCs w:val="24"/>
                <w:highlight w:val="none"/>
                <w:lang w:val="en-US" w:eastAsia="zh-CN"/>
              </w:rPr>
              <w:t>性</w:t>
            </w:r>
            <w:r>
              <w:rPr>
                <w:rFonts w:hint="eastAsia" w:ascii="宋体" w:hAnsi="宋体" w:eastAsia="宋体" w:cs="宋体"/>
                <w:color w:val="auto"/>
                <w:kern w:val="0"/>
                <w:sz w:val="24"/>
                <w:szCs w:val="24"/>
                <w:highlight w:val="none"/>
              </w:rPr>
              <w:t>、合理</w:t>
            </w:r>
            <w:r>
              <w:rPr>
                <w:rFonts w:hint="eastAsia" w:ascii="宋体" w:hAnsi="宋体" w:eastAsia="宋体" w:cs="宋体"/>
                <w:color w:val="auto"/>
                <w:kern w:val="0"/>
                <w:sz w:val="24"/>
                <w:szCs w:val="24"/>
                <w:highlight w:val="none"/>
                <w:lang w:val="en-US" w:eastAsia="zh-CN"/>
              </w:rPr>
              <w:t>性</w:t>
            </w:r>
            <w:r>
              <w:rPr>
                <w:rFonts w:hint="eastAsia" w:ascii="宋体" w:hAnsi="宋体" w:eastAsia="宋体" w:cs="宋体"/>
                <w:color w:val="auto"/>
                <w:kern w:val="0"/>
                <w:sz w:val="24"/>
                <w:szCs w:val="24"/>
                <w:highlight w:val="none"/>
              </w:rPr>
              <w:t>，可行性</w:t>
            </w:r>
            <w:r>
              <w:rPr>
                <w:rFonts w:hint="eastAsia" w:ascii="宋体" w:hAnsi="宋体" w:eastAsia="宋体" w:cs="宋体"/>
                <w:color w:val="auto"/>
                <w:kern w:val="0"/>
                <w:sz w:val="24"/>
                <w:szCs w:val="24"/>
                <w:highlight w:val="none"/>
                <w:lang w:val="en-US" w:eastAsia="zh-CN"/>
              </w:rPr>
              <w:t>较薄弱</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智慧控制算法合理性，数字孪生，各类应用、技术成效薄弱，得1分；</w:t>
            </w:r>
          </w:p>
          <w:p w14:paraId="0167C9C6">
            <w:pPr>
              <w:spacing w:line="400" w:lineRule="exact"/>
              <w:rPr>
                <w:rFonts w:hint="eastAsia" w:ascii="宋体" w:hAnsi="宋体" w:cs="宋体"/>
                <w:color w:val="auto"/>
                <w:sz w:val="24"/>
                <w:szCs w:val="24"/>
                <w:highlight w:val="none"/>
              </w:rPr>
            </w:pPr>
            <w:r>
              <w:rPr>
                <w:rFonts w:hint="eastAsia" w:ascii="宋体" w:hAnsi="宋体" w:eastAsia="宋体" w:cs="宋体"/>
                <w:color w:val="auto"/>
                <w:kern w:val="0"/>
                <w:sz w:val="24"/>
                <w:szCs w:val="24"/>
                <w:highlight w:val="none"/>
                <w:lang w:val="en-US" w:eastAsia="zh-CN"/>
              </w:rPr>
              <w:t>未按要求提供方案的，</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p w14:paraId="3742085C">
            <w:pPr>
              <w:adjustRightInd/>
              <w:snapToGrid/>
              <w:spacing w:line="240" w:lineRule="auto"/>
              <w:jc w:val="left"/>
              <w:rPr>
                <w:rFonts w:hint="eastAsia" w:ascii="宋体" w:hAnsi="宋体" w:eastAsia="宋体" w:cs="宋体"/>
                <w:color w:val="auto"/>
                <w:sz w:val="24"/>
                <w:szCs w:val="24"/>
                <w:highlight w:val="none"/>
                <w:lang w:val="en-US" w:eastAsia="zh-CN"/>
              </w:rPr>
            </w:pPr>
          </w:p>
        </w:tc>
      </w:tr>
      <w:tr w14:paraId="77AA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center"/>
          </w:tcPr>
          <w:p w14:paraId="6275A662">
            <w:pPr>
              <w:widowControl/>
              <w:spacing w:line="240" w:lineRule="auto"/>
              <w:jc w:val="center"/>
              <w:rPr>
                <w:rFonts w:hint="eastAsia" w:ascii="宋体" w:hAnsi="宋体" w:cs="宋体"/>
                <w:color w:val="auto"/>
                <w:kern w:val="0"/>
                <w:sz w:val="24"/>
                <w:szCs w:val="24"/>
                <w:highlight w:val="none"/>
                <w:lang w:val="en-US" w:eastAsia="zh-CN"/>
              </w:rPr>
            </w:pPr>
          </w:p>
        </w:tc>
        <w:tc>
          <w:tcPr>
            <w:tcW w:w="1004" w:type="dxa"/>
            <w:vMerge w:val="continue"/>
            <w:noWrap w:val="0"/>
            <w:vAlign w:val="center"/>
          </w:tcPr>
          <w:p w14:paraId="1C10BB64">
            <w:pPr>
              <w:adjustRightInd w:val="0"/>
              <w:snapToGrid w:val="0"/>
              <w:spacing w:line="240" w:lineRule="auto"/>
              <w:jc w:val="center"/>
              <w:rPr>
                <w:rFonts w:hint="eastAsia" w:ascii="宋体" w:hAnsi="宋体" w:cs="宋体"/>
                <w:color w:val="auto"/>
                <w:kern w:val="0"/>
                <w:sz w:val="24"/>
                <w:szCs w:val="24"/>
                <w:highlight w:val="none"/>
                <w:lang w:val="en-US" w:eastAsia="zh-CN"/>
              </w:rPr>
            </w:pPr>
          </w:p>
        </w:tc>
        <w:tc>
          <w:tcPr>
            <w:tcW w:w="1462" w:type="dxa"/>
            <w:noWrap w:val="0"/>
            <w:vAlign w:val="center"/>
          </w:tcPr>
          <w:p w14:paraId="7ADC8AD2">
            <w:pPr>
              <w:adjustRightInd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shd w:val="clear" w:color="auto" w:fill="auto"/>
                <w:lang w:val="zh-CN" w:eastAsia="zh-CN"/>
              </w:rPr>
              <w:t>AI大模型</w:t>
            </w:r>
            <w:r>
              <w:rPr>
                <w:rFonts w:hint="eastAsia" w:ascii="宋体" w:hAnsi="宋体" w:eastAsia="宋体" w:cs="宋体"/>
                <w:color w:val="auto"/>
                <w:kern w:val="0"/>
                <w:sz w:val="24"/>
                <w:szCs w:val="24"/>
                <w:highlight w:val="none"/>
                <w:shd w:val="clear" w:color="auto" w:fill="auto"/>
                <w:lang w:val="en-US" w:eastAsia="zh-CN"/>
              </w:rPr>
              <w:t>开发</w:t>
            </w:r>
            <w:r>
              <w:rPr>
                <w:rFonts w:hint="eastAsia" w:ascii="宋体" w:hAnsi="宋体" w:eastAsia="宋体" w:cs="宋体"/>
                <w:color w:val="auto"/>
                <w:kern w:val="0"/>
                <w:sz w:val="24"/>
                <w:szCs w:val="24"/>
                <w:highlight w:val="none"/>
                <w:shd w:val="clear" w:color="auto" w:fill="auto"/>
                <w:lang w:val="zh-CN" w:eastAsia="zh-CN"/>
              </w:rPr>
              <w:t>方案</w:t>
            </w:r>
          </w:p>
        </w:tc>
        <w:tc>
          <w:tcPr>
            <w:tcW w:w="863" w:type="dxa"/>
            <w:noWrap w:val="0"/>
            <w:vAlign w:val="center"/>
          </w:tcPr>
          <w:p w14:paraId="37CAC20B">
            <w:pPr>
              <w:adjustRightInd w:val="0"/>
              <w:snapToGrid w:val="0"/>
              <w:spacing w:line="24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12</w:t>
            </w:r>
          </w:p>
        </w:tc>
        <w:tc>
          <w:tcPr>
            <w:tcW w:w="10082" w:type="dxa"/>
            <w:noWrap w:val="0"/>
            <w:vAlign w:val="center"/>
          </w:tcPr>
          <w:p w14:paraId="31057DCA">
            <w:pPr>
              <w:spacing w:line="400" w:lineRule="atLeas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针对投标人对本项目</w:t>
            </w:r>
            <w:r>
              <w:rPr>
                <w:rFonts w:hint="eastAsia" w:ascii="宋体" w:hAnsi="宋体" w:eastAsia="宋体" w:cs="宋体"/>
                <w:color w:val="auto"/>
                <w:kern w:val="0"/>
                <w:sz w:val="24"/>
                <w:szCs w:val="24"/>
                <w:highlight w:val="none"/>
                <w:lang w:val="en-US" w:eastAsia="zh-CN"/>
              </w:rPr>
              <w:t>需求制定水厂智慧化</w:t>
            </w:r>
            <w:r>
              <w:rPr>
                <w:rFonts w:hint="eastAsia" w:ascii="宋体" w:hAnsi="宋体" w:eastAsia="宋体" w:cs="宋体"/>
                <w:color w:val="auto"/>
                <w:kern w:val="0"/>
                <w:sz w:val="24"/>
                <w:szCs w:val="24"/>
                <w:highlight w:val="none"/>
                <w:shd w:val="clear" w:color="auto" w:fill="auto"/>
                <w:lang w:val="zh-CN" w:eastAsia="zh-CN"/>
              </w:rPr>
              <w:t>AI大模型建设</w:t>
            </w:r>
            <w:r>
              <w:rPr>
                <w:rFonts w:hint="eastAsia" w:ascii="宋体" w:hAnsi="宋体" w:eastAsia="宋体" w:cs="宋体"/>
                <w:color w:val="auto"/>
                <w:kern w:val="0"/>
                <w:sz w:val="24"/>
                <w:szCs w:val="24"/>
                <w:highlight w:val="none"/>
              </w:rPr>
              <w:t>方案，</w:t>
            </w:r>
            <w:r>
              <w:rPr>
                <w:rFonts w:hint="eastAsia" w:ascii="宋体" w:hAnsi="宋体" w:eastAsia="宋体" w:cs="宋体"/>
                <w:color w:val="auto"/>
                <w:kern w:val="0"/>
                <w:sz w:val="24"/>
                <w:szCs w:val="24"/>
                <w:highlight w:val="none"/>
                <w:lang w:val="en-US" w:eastAsia="zh-CN"/>
              </w:rPr>
              <w:t>对</w:t>
            </w:r>
            <w:r>
              <w:rPr>
                <w:rFonts w:hint="eastAsia" w:ascii="宋体" w:hAnsi="宋体" w:eastAsia="宋体" w:cs="宋体"/>
                <w:color w:val="auto"/>
                <w:kern w:val="0"/>
                <w:sz w:val="24"/>
                <w:szCs w:val="24"/>
                <w:highlight w:val="none"/>
                <w:shd w:val="clear" w:color="auto" w:fill="FFFFFF"/>
                <w:lang w:val="zh-CN" w:eastAsia="zh-CN"/>
              </w:rPr>
              <w:t>AI大模型</w:t>
            </w:r>
            <w:r>
              <w:rPr>
                <w:rFonts w:hint="eastAsia" w:ascii="宋体" w:hAnsi="宋体" w:eastAsia="宋体" w:cs="宋体"/>
                <w:color w:val="auto"/>
                <w:kern w:val="0"/>
                <w:sz w:val="24"/>
                <w:szCs w:val="24"/>
                <w:highlight w:val="none"/>
                <w:shd w:val="clear" w:color="auto" w:fill="FFFFFF"/>
                <w:lang w:val="en-US" w:eastAsia="zh-CN"/>
              </w:rPr>
              <w:t>平台技术先进性、</w:t>
            </w:r>
            <w:r>
              <w:rPr>
                <w:rFonts w:hint="eastAsia" w:ascii="宋体" w:hAnsi="宋体" w:eastAsia="宋体" w:cs="宋体"/>
                <w:color w:val="auto"/>
                <w:kern w:val="0"/>
                <w:sz w:val="24"/>
                <w:szCs w:val="24"/>
                <w:highlight w:val="none"/>
                <w:shd w:val="clear" w:color="auto" w:fill="FFFFFF"/>
                <w:lang w:val="zh-CN" w:eastAsia="zh-CN"/>
              </w:rPr>
              <w:t>AI大模型建设</w:t>
            </w:r>
            <w:r>
              <w:rPr>
                <w:rFonts w:hint="eastAsia" w:ascii="宋体" w:hAnsi="宋体" w:eastAsia="宋体" w:cs="宋体"/>
                <w:color w:val="auto"/>
                <w:kern w:val="0"/>
                <w:sz w:val="24"/>
                <w:szCs w:val="24"/>
                <w:highlight w:val="none"/>
              </w:rPr>
              <w:t>思路、</w:t>
            </w:r>
            <w:r>
              <w:rPr>
                <w:rFonts w:hint="eastAsia" w:ascii="宋体" w:hAnsi="宋体" w:eastAsia="宋体" w:cs="宋体"/>
                <w:color w:val="auto"/>
                <w:kern w:val="0"/>
                <w:sz w:val="24"/>
                <w:szCs w:val="24"/>
                <w:highlight w:val="none"/>
                <w:lang w:val="en-US" w:eastAsia="zh-CN"/>
              </w:rPr>
              <w:t>建设</w:t>
            </w:r>
            <w:r>
              <w:rPr>
                <w:rFonts w:hint="eastAsia" w:ascii="宋体" w:hAnsi="宋体" w:eastAsia="宋体" w:cs="宋体"/>
                <w:color w:val="auto"/>
                <w:kern w:val="0"/>
                <w:sz w:val="24"/>
                <w:szCs w:val="24"/>
                <w:highlight w:val="none"/>
              </w:rPr>
              <w:t>特点、</w:t>
            </w:r>
            <w:r>
              <w:rPr>
                <w:rFonts w:hint="eastAsia" w:ascii="宋体" w:hAnsi="宋体" w:eastAsia="宋体" w:cs="宋体"/>
                <w:color w:val="auto"/>
                <w:kern w:val="0"/>
                <w:sz w:val="24"/>
                <w:szCs w:val="24"/>
                <w:highlight w:val="none"/>
                <w:lang w:val="en-US" w:eastAsia="zh-CN"/>
              </w:rPr>
              <w:t>建设</w:t>
            </w:r>
            <w:r>
              <w:rPr>
                <w:rFonts w:hint="eastAsia" w:ascii="宋体" w:hAnsi="宋体" w:eastAsia="宋体" w:cs="宋体"/>
                <w:color w:val="auto"/>
                <w:kern w:val="0"/>
                <w:sz w:val="24"/>
                <w:szCs w:val="24"/>
                <w:highlight w:val="none"/>
              </w:rPr>
              <w:t>重点</w:t>
            </w:r>
            <w:r>
              <w:rPr>
                <w:rFonts w:hint="eastAsia" w:ascii="宋体" w:hAnsi="宋体" w:eastAsia="宋体" w:cs="宋体"/>
                <w:color w:val="auto"/>
                <w:kern w:val="0"/>
                <w:sz w:val="24"/>
                <w:szCs w:val="24"/>
                <w:highlight w:val="none"/>
                <w:lang w:val="en-US" w:eastAsia="zh-CN"/>
              </w:rPr>
              <w:t>等</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对</w:t>
            </w:r>
            <w:r>
              <w:rPr>
                <w:rFonts w:hint="eastAsia" w:ascii="宋体" w:hAnsi="宋体" w:eastAsia="宋体" w:cs="宋体"/>
                <w:color w:val="auto"/>
                <w:kern w:val="0"/>
                <w:sz w:val="24"/>
                <w:szCs w:val="24"/>
                <w:highlight w:val="none"/>
                <w:shd w:val="clear" w:color="auto" w:fill="FFFFFF"/>
                <w:lang w:val="zh-CN" w:eastAsia="zh-CN"/>
              </w:rPr>
              <w:t>AI大模型建设</w:t>
            </w:r>
            <w:r>
              <w:rPr>
                <w:rFonts w:hint="eastAsia" w:ascii="宋体" w:hAnsi="宋体" w:eastAsia="宋体" w:cs="宋体"/>
                <w:color w:val="auto"/>
                <w:kern w:val="0"/>
                <w:sz w:val="24"/>
                <w:szCs w:val="24"/>
                <w:highlight w:val="none"/>
              </w:rPr>
              <w:t>方案结构完整、措施详细，编制思路清晰、层次清楚，内容严谨全面，有</w:t>
            </w:r>
            <w:r>
              <w:rPr>
                <w:rFonts w:hint="eastAsia" w:ascii="宋体" w:hAnsi="宋体" w:eastAsia="宋体" w:cs="宋体"/>
                <w:color w:val="auto"/>
                <w:kern w:val="0"/>
                <w:sz w:val="24"/>
                <w:szCs w:val="24"/>
                <w:highlight w:val="none"/>
                <w:lang w:val="en-US" w:eastAsia="zh-CN"/>
              </w:rPr>
              <w:t>先进性、</w:t>
            </w:r>
            <w:r>
              <w:rPr>
                <w:rFonts w:hint="eastAsia" w:ascii="宋体" w:hAnsi="宋体" w:eastAsia="宋体" w:cs="宋体"/>
                <w:color w:val="auto"/>
                <w:kern w:val="0"/>
                <w:sz w:val="24"/>
                <w:szCs w:val="24"/>
                <w:highlight w:val="none"/>
              </w:rPr>
              <w:t>指导性、针对性、可操作性，符合规范</w:t>
            </w:r>
            <w:r>
              <w:rPr>
                <w:rFonts w:hint="eastAsia" w:ascii="宋体" w:hAnsi="宋体" w:eastAsia="宋体" w:cs="宋体"/>
                <w:color w:val="auto"/>
                <w:kern w:val="0"/>
                <w:sz w:val="24"/>
                <w:szCs w:val="24"/>
                <w:highlight w:val="none"/>
                <w:lang w:val="en-US" w:eastAsia="zh-CN"/>
              </w:rPr>
              <w:t>等方面进行评审。方案内容应</w:t>
            </w:r>
            <w:r>
              <w:rPr>
                <w:rFonts w:hint="eastAsia" w:ascii="宋体" w:hAnsi="宋体" w:eastAsia="宋体" w:cs="宋体"/>
                <w:color w:val="auto"/>
                <w:kern w:val="0"/>
                <w:sz w:val="24"/>
                <w:szCs w:val="24"/>
                <w:highlight w:val="none"/>
              </w:rPr>
              <w:t>包括但不限于 涵盖一站式大模型&amp;小模型开发推理工具链、AI应用开发工具链等。模型开发需涵盖预置大模型、数据管理、模型管理、模型训练、模型评估、服务编排、</w:t>
            </w:r>
            <w:r>
              <w:rPr>
                <w:rFonts w:hint="eastAsia" w:ascii="宋体" w:hAnsi="宋体" w:eastAsia="宋体" w:cs="宋体"/>
                <w:color w:val="auto"/>
                <w:kern w:val="0"/>
                <w:sz w:val="24"/>
                <w:szCs w:val="24"/>
                <w:highlight w:val="none"/>
                <w:lang w:val="en-US" w:eastAsia="zh-CN"/>
              </w:rPr>
              <w:t>资源管理</w:t>
            </w:r>
            <w:r>
              <w:rPr>
                <w:rFonts w:hint="eastAsia" w:ascii="宋体" w:hAnsi="宋体" w:eastAsia="宋体" w:cs="宋体"/>
                <w:color w:val="auto"/>
                <w:kern w:val="0"/>
                <w:sz w:val="24"/>
                <w:szCs w:val="24"/>
                <w:highlight w:val="none"/>
              </w:rPr>
              <w:t>等功能。平台预置大模型涵盖主流开源大模型（不低于7个）和闭源大模型。平台支持多种开发形态：</w:t>
            </w:r>
            <w:r>
              <w:rPr>
                <w:rFonts w:hint="eastAsia" w:ascii="宋体" w:hAnsi="宋体" w:eastAsia="宋体" w:cs="宋体"/>
                <w:color w:val="auto"/>
                <w:kern w:val="0"/>
                <w:sz w:val="24"/>
                <w:szCs w:val="24"/>
                <w:highlight w:val="none"/>
                <w:lang w:eastAsia="zh-CN"/>
              </w:rPr>
              <w:t>低</w:t>
            </w:r>
            <w:r>
              <w:rPr>
                <w:rFonts w:hint="eastAsia" w:ascii="宋体" w:hAnsi="宋体" w:eastAsia="宋体" w:cs="宋体"/>
                <w:color w:val="auto"/>
                <w:kern w:val="0"/>
                <w:sz w:val="24"/>
                <w:szCs w:val="24"/>
                <w:highlight w:val="none"/>
              </w:rPr>
              <w:t>代码和全代码开发，满足不同用户和开发场景需求。AI应用开发需包含RAG、Agent、生成式BI等常用开发引擎</w:t>
            </w:r>
            <w:r>
              <w:rPr>
                <w:rFonts w:hint="eastAsia" w:ascii="宋体" w:hAnsi="宋体" w:eastAsia="宋体" w:cs="宋体"/>
                <w:color w:val="auto"/>
                <w:kern w:val="0"/>
                <w:sz w:val="24"/>
                <w:szCs w:val="24"/>
                <w:highlight w:val="none"/>
                <w:lang w:eastAsia="zh-CN"/>
              </w:rPr>
              <w:t>。</w:t>
            </w:r>
          </w:p>
          <w:p w14:paraId="3B2C7535">
            <w:pPr>
              <w:spacing w:line="400" w:lineRule="atLeast"/>
              <w:ind w:firstLine="0" w:firstLineChars="0"/>
              <w:outlineLvl w:val="9"/>
              <w:rPr>
                <w:rFonts w:hint="eastAsia" w:ascii="宋体" w:hAnsi="宋体" w:eastAsia="宋体" w:cs="宋体"/>
                <w:color w:val="auto"/>
                <w:kern w:val="0"/>
                <w:sz w:val="24"/>
                <w:szCs w:val="24"/>
                <w:highlight w:val="none"/>
              </w:rPr>
            </w:pPr>
          </w:p>
          <w:p w14:paraId="605B0617">
            <w:pPr>
              <w:spacing w:line="400" w:lineRule="atLeas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优：</w:t>
            </w:r>
            <w:r>
              <w:rPr>
                <w:rFonts w:hint="eastAsia" w:ascii="宋体" w:hAnsi="宋体" w:eastAsia="宋体" w:cs="宋体"/>
                <w:color w:val="auto"/>
                <w:kern w:val="0"/>
                <w:sz w:val="24"/>
                <w:szCs w:val="24"/>
                <w:highlight w:val="none"/>
              </w:rPr>
              <w:t>制定的</w:t>
            </w:r>
            <w:r>
              <w:rPr>
                <w:rFonts w:hint="eastAsia" w:ascii="宋体" w:hAnsi="宋体" w:eastAsia="宋体" w:cs="宋体"/>
                <w:color w:val="auto"/>
                <w:kern w:val="0"/>
                <w:sz w:val="24"/>
                <w:szCs w:val="24"/>
                <w:highlight w:val="none"/>
                <w:lang w:val="en-US" w:eastAsia="zh-CN"/>
              </w:rPr>
              <w:t>开发</w:t>
            </w:r>
            <w:r>
              <w:rPr>
                <w:rFonts w:hint="eastAsia" w:ascii="宋体" w:hAnsi="宋体" w:eastAsia="宋体" w:cs="宋体"/>
                <w:color w:val="auto"/>
                <w:kern w:val="0"/>
                <w:sz w:val="24"/>
                <w:szCs w:val="24"/>
                <w:highlight w:val="none"/>
              </w:rPr>
              <w:t>方案详细，</w:t>
            </w:r>
            <w:r>
              <w:rPr>
                <w:rFonts w:hint="eastAsia" w:ascii="宋体" w:hAnsi="宋体" w:eastAsia="宋体" w:cs="宋体"/>
                <w:color w:val="auto"/>
                <w:kern w:val="0"/>
                <w:sz w:val="24"/>
                <w:szCs w:val="24"/>
                <w:highlight w:val="none"/>
                <w:lang w:val="en-US" w:eastAsia="zh-CN"/>
              </w:rPr>
              <w:t>充分满足项目需求，</w:t>
            </w:r>
            <w:r>
              <w:rPr>
                <w:rFonts w:hint="eastAsia" w:ascii="宋体" w:hAnsi="宋体" w:eastAsia="宋体" w:cs="宋体"/>
                <w:color w:val="auto"/>
                <w:kern w:val="0"/>
                <w:sz w:val="24"/>
                <w:szCs w:val="24"/>
                <w:highlight w:val="none"/>
              </w:rPr>
              <w:t>工作内容切实可行，</w:t>
            </w:r>
            <w:r>
              <w:rPr>
                <w:rFonts w:hint="eastAsia" w:ascii="宋体" w:hAnsi="宋体" w:eastAsia="宋体" w:cs="宋体"/>
                <w:color w:val="auto"/>
                <w:kern w:val="0"/>
                <w:sz w:val="24"/>
                <w:szCs w:val="24"/>
                <w:highlight w:val="none"/>
                <w:shd w:val="clear" w:color="auto" w:fill="auto"/>
                <w:lang w:val="zh-CN" w:eastAsia="zh-CN"/>
              </w:rPr>
              <w:t>AI大模型建设</w:t>
            </w:r>
            <w:r>
              <w:rPr>
                <w:rFonts w:hint="eastAsia" w:ascii="宋体" w:hAnsi="宋体" w:eastAsia="宋体" w:cs="宋体"/>
                <w:color w:val="auto"/>
                <w:kern w:val="0"/>
                <w:sz w:val="24"/>
                <w:szCs w:val="24"/>
                <w:highlight w:val="none"/>
              </w:rPr>
              <w:t>思路具有科学性和前瞻性，</w:t>
            </w:r>
            <w:r>
              <w:rPr>
                <w:rFonts w:hint="eastAsia" w:ascii="宋体" w:hAnsi="宋体" w:eastAsia="宋体" w:cs="宋体"/>
                <w:color w:val="auto"/>
                <w:kern w:val="0"/>
                <w:sz w:val="24"/>
                <w:szCs w:val="24"/>
                <w:highlight w:val="none"/>
                <w:lang w:val="en-US" w:eastAsia="zh-CN"/>
              </w:rPr>
              <w:t>AI各功能完善、技术先进及自主可控、安全可靠，方案</w:t>
            </w:r>
            <w:r>
              <w:rPr>
                <w:rFonts w:hint="eastAsia" w:ascii="宋体" w:hAnsi="宋体" w:eastAsia="宋体" w:cs="宋体"/>
                <w:color w:val="auto"/>
                <w:kern w:val="0"/>
                <w:sz w:val="24"/>
                <w:szCs w:val="24"/>
                <w:highlight w:val="none"/>
              </w:rPr>
              <w:t>特点突出、重点明确工作内容切实可行，逻辑严谨</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分；</w:t>
            </w:r>
          </w:p>
          <w:p w14:paraId="056DA8EE">
            <w:pPr>
              <w:spacing w:line="400" w:lineRule="atLeas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良：</w:t>
            </w:r>
            <w:r>
              <w:rPr>
                <w:rFonts w:hint="eastAsia" w:ascii="宋体" w:hAnsi="宋体" w:eastAsia="宋体" w:cs="宋体"/>
                <w:color w:val="auto"/>
                <w:kern w:val="0"/>
                <w:sz w:val="24"/>
                <w:szCs w:val="24"/>
                <w:highlight w:val="none"/>
              </w:rPr>
              <w:t>制定的</w:t>
            </w:r>
            <w:r>
              <w:rPr>
                <w:rFonts w:hint="eastAsia" w:ascii="宋体" w:hAnsi="宋体" w:eastAsia="宋体" w:cs="宋体"/>
                <w:color w:val="auto"/>
                <w:kern w:val="0"/>
                <w:sz w:val="24"/>
                <w:szCs w:val="24"/>
                <w:highlight w:val="none"/>
                <w:shd w:val="clear" w:color="auto" w:fill="auto"/>
                <w:lang w:val="en-US" w:eastAsia="zh-CN"/>
              </w:rPr>
              <w:t>开发方案</w:t>
            </w:r>
            <w:r>
              <w:rPr>
                <w:rFonts w:hint="eastAsia" w:ascii="宋体" w:hAnsi="宋体" w:eastAsia="宋体" w:cs="宋体"/>
                <w:color w:val="auto"/>
                <w:kern w:val="0"/>
                <w:sz w:val="24"/>
                <w:szCs w:val="24"/>
                <w:highlight w:val="none"/>
              </w:rPr>
              <w:t>较详细，</w:t>
            </w:r>
            <w:r>
              <w:rPr>
                <w:rFonts w:hint="eastAsia" w:ascii="宋体" w:hAnsi="宋体" w:eastAsia="宋体" w:cs="宋体"/>
                <w:color w:val="auto"/>
                <w:kern w:val="0"/>
                <w:sz w:val="24"/>
                <w:szCs w:val="24"/>
                <w:highlight w:val="none"/>
                <w:lang w:val="en-US" w:eastAsia="zh-CN"/>
              </w:rPr>
              <w:t>满足项目需求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shd w:val="clear" w:color="auto" w:fill="auto"/>
                <w:lang w:val="zh-CN" w:eastAsia="zh-CN"/>
              </w:rPr>
              <w:t>AI大模型建设</w:t>
            </w:r>
            <w:r>
              <w:rPr>
                <w:rFonts w:hint="eastAsia" w:ascii="宋体" w:hAnsi="宋体" w:eastAsia="宋体" w:cs="宋体"/>
                <w:color w:val="auto"/>
                <w:kern w:val="0"/>
                <w:sz w:val="24"/>
                <w:szCs w:val="24"/>
                <w:highlight w:val="none"/>
              </w:rPr>
              <w:t>思路能</w:t>
            </w:r>
            <w:r>
              <w:rPr>
                <w:rFonts w:hint="eastAsia" w:ascii="宋体" w:hAnsi="宋体" w:eastAsia="宋体" w:cs="宋体"/>
                <w:color w:val="auto"/>
                <w:kern w:val="0"/>
                <w:sz w:val="24"/>
                <w:szCs w:val="24"/>
                <w:highlight w:val="none"/>
                <w:lang w:val="en-US" w:eastAsia="zh-CN"/>
              </w:rPr>
              <w:t>较好</w:t>
            </w:r>
            <w:r>
              <w:rPr>
                <w:rFonts w:hint="eastAsia" w:ascii="宋体" w:hAnsi="宋体" w:eastAsia="宋体" w:cs="宋体"/>
                <w:color w:val="auto"/>
                <w:kern w:val="0"/>
                <w:sz w:val="24"/>
                <w:szCs w:val="24"/>
                <w:highlight w:val="none"/>
              </w:rPr>
              <w:t>满足现有需求，</w:t>
            </w:r>
            <w:r>
              <w:rPr>
                <w:rFonts w:hint="eastAsia" w:ascii="宋体" w:hAnsi="宋体" w:eastAsia="宋体" w:cs="宋体"/>
                <w:color w:val="auto"/>
                <w:kern w:val="0"/>
                <w:sz w:val="24"/>
                <w:szCs w:val="24"/>
                <w:highlight w:val="none"/>
                <w:lang w:val="en-US" w:eastAsia="zh-CN"/>
              </w:rPr>
              <w:t>AI各功能完善、技术较先进及自主可控、安全可靠，建设方案</w:t>
            </w:r>
            <w:r>
              <w:rPr>
                <w:rFonts w:hint="eastAsia" w:ascii="宋体" w:hAnsi="宋体" w:eastAsia="宋体" w:cs="宋体"/>
                <w:color w:val="auto"/>
                <w:kern w:val="0"/>
                <w:sz w:val="24"/>
                <w:szCs w:val="24"/>
                <w:highlight w:val="none"/>
              </w:rPr>
              <w:t>可行，逻辑较严谨</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3EC70377">
            <w:pPr>
              <w:spacing w:line="400" w:lineRule="atLeast"/>
              <w:ind w:firstLine="0" w:firstLineChars="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一般:</w:t>
            </w:r>
            <w:r>
              <w:rPr>
                <w:rFonts w:hint="eastAsia" w:ascii="宋体" w:hAnsi="宋体" w:eastAsia="宋体" w:cs="宋体"/>
                <w:color w:val="auto"/>
                <w:kern w:val="0"/>
                <w:sz w:val="24"/>
                <w:szCs w:val="24"/>
                <w:highlight w:val="none"/>
              </w:rPr>
              <w:t>制定的</w:t>
            </w:r>
            <w:r>
              <w:rPr>
                <w:rFonts w:hint="eastAsia" w:ascii="宋体" w:hAnsi="宋体" w:eastAsia="宋体" w:cs="宋体"/>
                <w:color w:val="auto"/>
                <w:kern w:val="0"/>
                <w:sz w:val="24"/>
                <w:szCs w:val="24"/>
                <w:highlight w:val="none"/>
                <w:shd w:val="clear" w:color="auto" w:fill="auto"/>
                <w:lang w:val="en-US" w:eastAsia="zh-CN"/>
              </w:rPr>
              <w:t>开发方案</w:t>
            </w:r>
            <w:r>
              <w:rPr>
                <w:rFonts w:hint="eastAsia" w:ascii="宋体" w:hAnsi="宋体" w:eastAsia="宋体" w:cs="宋体"/>
                <w:color w:val="auto"/>
                <w:kern w:val="0"/>
                <w:sz w:val="24"/>
                <w:szCs w:val="24"/>
                <w:highlight w:val="none"/>
              </w:rPr>
              <w:t>较详细，</w:t>
            </w:r>
            <w:r>
              <w:rPr>
                <w:rFonts w:hint="eastAsia" w:ascii="宋体" w:hAnsi="宋体" w:eastAsia="宋体" w:cs="宋体"/>
                <w:color w:val="auto"/>
                <w:kern w:val="0"/>
                <w:sz w:val="24"/>
                <w:szCs w:val="24"/>
                <w:highlight w:val="none"/>
                <w:lang w:val="en-US" w:eastAsia="zh-CN"/>
              </w:rPr>
              <w:t>基本满足项目需求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shd w:val="clear" w:color="auto" w:fill="auto"/>
                <w:lang w:val="zh-CN" w:eastAsia="zh-CN"/>
              </w:rPr>
              <w:t>AI大模型建设</w:t>
            </w:r>
            <w:r>
              <w:rPr>
                <w:rFonts w:hint="eastAsia" w:ascii="宋体" w:hAnsi="宋体" w:eastAsia="宋体" w:cs="宋体"/>
                <w:color w:val="auto"/>
                <w:kern w:val="0"/>
                <w:sz w:val="24"/>
                <w:szCs w:val="24"/>
                <w:highlight w:val="none"/>
              </w:rPr>
              <w:t>思路能</w:t>
            </w:r>
            <w:r>
              <w:rPr>
                <w:rFonts w:hint="eastAsia" w:ascii="宋体" w:hAnsi="宋体" w:eastAsia="宋体" w:cs="宋体"/>
                <w:color w:val="auto"/>
                <w:kern w:val="0"/>
                <w:sz w:val="24"/>
                <w:szCs w:val="24"/>
                <w:highlight w:val="none"/>
                <w:lang w:val="en-US" w:eastAsia="zh-CN"/>
              </w:rPr>
              <w:t>基本</w:t>
            </w:r>
            <w:r>
              <w:rPr>
                <w:rFonts w:hint="eastAsia" w:ascii="宋体" w:hAnsi="宋体" w:eastAsia="宋体" w:cs="宋体"/>
                <w:color w:val="auto"/>
                <w:kern w:val="0"/>
                <w:sz w:val="24"/>
                <w:szCs w:val="24"/>
                <w:highlight w:val="none"/>
              </w:rPr>
              <w:t>满足现有需求，</w:t>
            </w:r>
            <w:r>
              <w:rPr>
                <w:rFonts w:hint="eastAsia" w:ascii="宋体" w:hAnsi="宋体" w:eastAsia="宋体" w:cs="宋体"/>
                <w:color w:val="auto"/>
                <w:kern w:val="0"/>
                <w:sz w:val="24"/>
                <w:szCs w:val="24"/>
                <w:highlight w:val="none"/>
                <w:lang w:val="en-US" w:eastAsia="zh-CN"/>
              </w:rPr>
              <w:t>AI各功能相对完善、技术较好及基本自主可控，建设方案</w:t>
            </w:r>
            <w:r>
              <w:rPr>
                <w:rFonts w:hint="eastAsia" w:ascii="宋体" w:hAnsi="宋体" w:eastAsia="宋体" w:cs="宋体"/>
                <w:color w:val="auto"/>
                <w:kern w:val="0"/>
                <w:sz w:val="24"/>
                <w:szCs w:val="24"/>
                <w:highlight w:val="none"/>
              </w:rPr>
              <w:t>基本可行，逻辑较严谨</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p>
          <w:p w14:paraId="35AC034B">
            <w:pPr>
              <w:spacing w:line="400" w:lineRule="atLeas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差：</w:t>
            </w:r>
            <w:r>
              <w:rPr>
                <w:rFonts w:hint="eastAsia" w:ascii="宋体" w:hAnsi="宋体" w:eastAsia="宋体" w:cs="宋体"/>
                <w:color w:val="auto"/>
                <w:kern w:val="0"/>
                <w:sz w:val="24"/>
                <w:szCs w:val="24"/>
                <w:highlight w:val="none"/>
                <w:lang w:val="zh-CN" w:eastAsia="zh-CN"/>
              </w:rPr>
              <w:t>制定的</w:t>
            </w:r>
            <w:r>
              <w:rPr>
                <w:rFonts w:hint="eastAsia" w:ascii="宋体" w:hAnsi="宋体" w:eastAsia="宋体" w:cs="宋体"/>
                <w:color w:val="auto"/>
                <w:kern w:val="0"/>
                <w:sz w:val="24"/>
                <w:szCs w:val="24"/>
                <w:highlight w:val="none"/>
                <w:lang w:val="zh-CN"/>
              </w:rPr>
              <w:t>方案</w:t>
            </w:r>
            <w:r>
              <w:rPr>
                <w:rFonts w:hint="eastAsia" w:ascii="宋体" w:hAnsi="宋体" w:eastAsia="宋体" w:cs="宋体"/>
                <w:color w:val="auto"/>
                <w:kern w:val="0"/>
                <w:sz w:val="24"/>
                <w:szCs w:val="24"/>
                <w:highlight w:val="none"/>
                <w:lang w:val="en-US" w:eastAsia="zh-CN"/>
              </w:rPr>
              <w:t>能基本满足项目需求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shd w:val="clear" w:color="auto" w:fill="auto"/>
                <w:lang w:val="zh-CN" w:eastAsia="zh-CN"/>
              </w:rPr>
              <w:t>AI大模型建设</w:t>
            </w:r>
            <w:r>
              <w:rPr>
                <w:rFonts w:hint="eastAsia" w:ascii="宋体" w:hAnsi="宋体" w:eastAsia="宋体" w:cs="宋体"/>
                <w:color w:val="auto"/>
                <w:kern w:val="0"/>
                <w:sz w:val="24"/>
                <w:szCs w:val="24"/>
                <w:highlight w:val="none"/>
                <w:lang w:val="zh-CN"/>
              </w:rPr>
              <w:t>思路</w:t>
            </w:r>
            <w:r>
              <w:rPr>
                <w:rFonts w:hint="eastAsia" w:ascii="宋体" w:hAnsi="宋体" w:eastAsia="宋体" w:cs="宋体"/>
                <w:color w:val="auto"/>
                <w:kern w:val="0"/>
                <w:sz w:val="24"/>
                <w:szCs w:val="24"/>
                <w:highlight w:val="none"/>
                <w:lang w:val="zh-CN" w:eastAsia="zh-CN"/>
              </w:rPr>
              <w:t>的</w:t>
            </w:r>
            <w:r>
              <w:rPr>
                <w:rFonts w:hint="eastAsia" w:ascii="宋体" w:hAnsi="宋体" w:eastAsia="宋体" w:cs="宋体"/>
                <w:color w:val="auto"/>
                <w:kern w:val="0"/>
                <w:sz w:val="24"/>
                <w:szCs w:val="24"/>
                <w:highlight w:val="none"/>
                <w:lang w:val="zh-CN"/>
              </w:rPr>
              <w:t>合理性和条理性</w:t>
            </w:r>
            <w:r>
              <w:rPr>
                <w:rFonts w:hint="eastAsia" w:ascii="宋体" w:hAnsi="宋体" w:eastAsia="宋体" w:cs="宋体"/>
                <w:color w:val="auto"/>
                <w:kern w:val="0"/>
                <w:sz w:val="24"/>
                <w:szCs w:val="24"/>
                <w:highlight w:val="none"/>
                <w:lang w:val="zh-CN" w:eastAsia="zh-CN"/>
              </w:rPr>
              <w:t>不足，</w:t>
            </w:r>
            <w:r>
              <w:rPr>
                <w:rFonts w:hint="eastAsia" w:ascii="宋体" w:hAnsi="宋体" w:eastAsia="宋体" w:cs="宋体"/>
                <w:color w:val="auto"/>
                <w:kern w:val="0"/>
                <w:sz w:val="24"/>
                <w:szCs w:val="24"/>
                <w:highlight w:val="none"/>
                <w:lang w:val="en-US" w:eastAsia="zh-CN"/>
              </w:rPr>
              <w:t>AI各功能及技术性能一般，建设方案</w:t>
            </w:r>
            <w:r>
              <w:rPr>
                <w:rFonts w:hint="eastAsia" w:ascii="宋体" w:hAnsi="宋体" w:eastAsia="宋体" w:cs="宋体"/>
                <w:color w:val="auto"/>
                <w:kern w:val="0"/>
                <w:sz w:val="24"/>
                <w:szCs w:val="24"/>
                <w:highlight w:val="none"/>
                <w:lang w:val="zh-CN"/>
              </w:rPr>
              <w:t>可行性、</w:t>
            </w:r>
            <w:r>
              <w:rPr>
                <w:rFonts w:hint="eastAsia" w:ascii="宋体" w:hAnsi="宋体" w:eastAsia="宋体" w:cs="宋体"/>
                <w:color w:val="auto"/>
                <w:kern w:val="0"/>
                <w:sz w:val="24"/>
                <w:szCs w:val="24"/>
                <w:highlight w:val="none"/>
                <w:lang w:val="en-US" w:eastAsia="zh-CN"/>
              </w:rPr>
              <w:t>逻辑性</w:t>
            </w:r>
            <w:r>
              <w:rPr>
                <w:rFonts w:hint="eastAsia" w:ascii="宋体" w:hAnsi="宋体" w:eastAsia="宋体" w:cs="宋体"/>
                <w:color w:val="auto"/>
                <w:kern w:val="0"/>
                <w:sz w:val="24"/>
                <w:szCs w:val="24"/>
                <w:highlight w:val="none"/>
                <w:lang w:val="zh-CN" w:eastAsia="zh-CN"/>
              </w:rPr>
              <w:t>较薄弱</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得1分；</w:t>
            </w:r>
          </w:p>
          <w:p w14:paraId="40FB5545">
            <w:pPr>
              <w:adjustRightInd/>
              <w:snapToGrid/>
              <w:spacing w:line="400" w:lineRule="atLeast"/>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未按要求提供方案的，</w:t>
            </w:r>
            <w:r>
              <w:rPr>
                <w:rFonts w:hint="eastAsia" w:ascii="宋体" w:hAnsi="宋体" w:eastAsia="宋体" w:cs="宋体"/>
                <w:color w:val="auto"/>
                <w:kern w:val="0"/>
                <w:sz w:val="24"/>
                <w:szCs w:val="24"/>
                <w:highlight w:val="none"/>
                <w:lang w:val="zh-CN"/>
              </w:rPr>
              <w:t>得0分。</w:t>
            </w:r>
          </w:p>
        </w:tc>
      </w:tr>
      <w:tr w14:paraId="102E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4" w:hRule="atLeast"/>
        </w:trPr>
        <w:tc>
          <w:tcPr>
            <w:tcW w:w="0" w:type="auto"/>
            <w:noWrap w:val="0"/>
            <w:vAlign w:val="center"/>
          </w:tcPr>
          <w:p w14:paraId="1DA0980C">
            <w:pPr>
              <w:widowControl/>
              <w:spacing w:line="240" w:lineRule="auto"/>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p>
        </w:tc>
        <w:tc>
          <w:tcPr>
            <w:tcW w:w="1004" w:type="dxa"/>
            <w:vMerge w:val="continue"/>
            <w:noWrap w:val="0"/>
            <w:vAlign w:val="center"/>
          </w:tcPr>
          <w:p w14:paraId="00C9BFF4">
            <w:pPr>
              <w:spacing w:line="240" w:lineRule="auto"/>
              <w:jc w:val="center"/>
              <w:rPr>
                <w:rFonts w:hint="eastAsia" w:ascii="宋体" w:hAnsi="宋体" w:eastAsia="宋体" w:cs="宋体"/>
                <w:color w:val="auto"/>
                <w:sz w:val="24"/>
                <w:szCs w:val="24"/>
                <w:highlight w:val="none"/>
              </w:rPr>
            </w:pPr>
          </w:p>
        </w:tc>
        <w:tc>
          <w:tcPr>
            <w:tcW w:w="1462" w:type="dxa"/>
            <w:noWrap w:val="0"/>
            <w:vAlign w:val="center"/>
          </w:tcPr>
          <w:p w14:paraId="79D6B650">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服务组织架构、岗位职责和实施方案制定</w:t>
            </w:r>
          </w:p>
        </w:tc>
        <w:tc>
          <w:tcPr>
            <w:tcW w:w="863" w:type="dxa"/>
            <w:noWrap w:val="0"/>
            <w:vAlign w:val="center"/>
          </w:tcPr>
          <w:p w14:paraId="5E642E49">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0082" w:type="dxa"/>
            <w:noWrap w:val="0"/>
            <w:vAlign w:val="center"/>
          </w:tcPr>
          <w:p w14:paraId="42B8D983">
            <w:pPr>
              <w:spacing w:beforeLines="-2147483648" w:afterLines="-2147483648" w:line="400" w:lineRule="atLeast"/>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rPr>
              <w:t>结合项目技术要求的最低人员配置及投标承诺人员配置</w:t>
            </w:r>
            <w:r>
              <w:rPr>
                <w:rFonts w:hint="eastAsia" w:ascii="宋体" w:hAnsi="宋体" w:eastAsia="宋体" w:cs="宋体"/>
                <w:color w:val="auto"/>
                <w:kern w:val="0"/>
                <w:sz w:val="24"/>
                <w:szCs w:val="24"/>
                <w:highlight w:val="none"/>
                <w:lang w:val="en-US" w:eastAsia="zh-CN"/>
              </w:rPr>
              <w:t>情况</w:t>
            </w:r>
            <w:r>
              <w:rPr>
                <w:rFonts w:hint="eastAsia" w:ascii="宋体" w:hAnsi="宋体" w:eastAsia="宋体" w:cs="宋体"/>
                <w:color w:val="auto"/>
                <w:kern w:val="0"/>
                <w:sz w:val="24"/>
                <w:szCs w:val="24"/>
                <w:highlight w:val="none"/>
              </w:rPr>
              <w:t>，建立</w:t>
            </w:r>
            <w:r>
              <w:rPr>
                <w:rFonts w:hint="eastAsia" w:ascii="宋体" w:hAnsi="宋体" w:eastAsia="宋体" w:cs="宋体"/>
                <w:color w:val="auto"/>
                <w:kern w:val="0"/>
                <w:sz w:val="24"/>
                <w:szCs w:val="24"/>
                <w:highlight w:val="none"/>
                <w:lang w:val="en-US" w:eastAsia="zh-CN"/>
              </w:rPr>
              <w:t>健全的系统研发、建设</w:t>
            </w:r>
            <w:r>
              <w:rPr>
                <w:rFonts w:hint="eastAsia" w:ascii="宋体" w:hAnsi="宋体" w:eastAsia="宋体" w:cs="宋体"/>
                <w:color w:val="auto"/>
                <w:kern w:val="0"/>
                <w:sz w:val="24"/>
                <w:szCs w:val="24"/>
                <w:highlight w:val="none"/>
              </w:rPr>
              <w:t>工作</w:t>
            </w:r>
            <w:r>
              <w:rPr>
                <w:rFonts w:hint="eastAsia" w:ascii="宋体" w:hAnsi="宋体" w:eastAsia="宋体" w:cs="宋体"/>
                <w:color w:val="auto"/>
                <w:kern w:val="0"/>
                <w:sz w:val="24"/>
                <w:szCs w:val="24"/>
                <w:highlight w:val="none"/>
                <w:lang w:val="en-US" w:eastAsia="zh-CN"/>
              </w:rPr>
              <w:t>团队</w:t>
            </w:r>
            <w:r>
              <w:rPr>
                <w:rFonts w:hint="eastAsia" w:ascii="宋体" w:hAnsi="宋体" w:eastAsia="宋体" w:cs="宋体"/>
                <w:color w:val="auto"/>
                <w:kern w:val="0"/>
                <w:sz w:val="24"/>
                <w:szCs w:val="24"/>
                <w:highlight w:val="none"/>
              </w:rPr>
              <w:t>的组织架构</w:t>
            </w:r>
            <w:r>
              <w:rPr>
                <w:rFonts w:hint="eastAsia" w:ascii="宋体" w:hAnsi="宋体" w:eastAsia="宋体" w:cs="宋体"/>
                <w:color w:val="auto"/>
                <w:kern w:val="0"/>
                <w:sz w:val="24"/>
                <w:szCs w:val="24"/>
                <w:highlight w:val="none"/>
                <w:lang w:val="en-US" w:eastAsia="zh-CN"/>
              </w:rPr>
              <w:t>和</w:t>
            </w:r>
            <w:r>
              <w:rPr>
                <w:rFonts w:hint="eastAsia" w:ascii="宋体" w:hAnsi="宋体" w:eastAsia="宋体" w:cs="宋体"/>
                <w:color w:val="auto"/>
                <w:kern w:val="0"/>
                <w:sz w:val="24"/>
                <w:szCs w:val="24"/>
                <w:highlight w:val="none"/>
              </w:rPr>
              <w:t>岗位职责</w:t>
            </w:r>
            <w:r>
              <w:rPr>
                <w:rFonts w:hint="eastAsia" w:ascii="宋体" w:hAnsi="宋体" w:eastAsia="宋体" w:cs="宋体"/>
                <w:color w:val="auto"/>
                <w:kern w:val="0"/>
                <w:sz w:val="24"/>
                <w:szCs w:val="24"/>
                <w:highlight w:val="none"/>
                <w:lang w:val="en-US" w:eastAsia="zh-CN"/>
              </w:rPr>
              <w:t>分配方案，以及贴合项目制定项目实施方案，项目管理目标、实施部署安排、人员配置、进度计划。</w:t>
            </w:r>
          </w:p>
          <w:p w14:paraId="2DDC03D5">
            <w:pPr>
              <w:spacing w:beforeLines="-2147483648" w:afterLines="-2147483648" w:line="400" w:lineRule="atLeast"/>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1、制定的方案详细，逻辑严谨，进度计划安排合理性、可行性高，</w:t>
            </w:r>
            <w:r>
              <w:rPr>
                <w:rFonts w:hint="eastAsia" w:ascii="宋体" w:hAnsi="宋体" w:eastAsia="宋体" w:cs="宋体"/>
                <w:color w:val="auto"/>
                <w:kern w:val="0"/>
                <w:sz w:val="24"/>
                <w:szCs w:val="24"/>
                <w:highlight w:val="none"/>
              </w:rPr>
              <w:t>组织架构、岗位职责设置合理</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分;</w:t>
            </w:r>
          </w:p>
          <w:p w14:paraId="2B9BF195">
            <w:pPr>
              <w:spacing w:beforeLines="-2147483648" w:afterLines="-2147483648" w:line="400" w:lineRule="atLeast"/>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2、制定的方案详细，逻辑严谨，进度计划安排合理性、可行性较高，</w:t>
            </w:r>
            <w:r>
              <w:rPr>
                <w:rFonts w:hint="eastAsia" w:ascii="宋体" w:hAnsi="宋体" w:eastAsia="宋体" w:cs="宋体"/>
                <w:color w:val="auto"/>
                <w:kern w:val="0"/>
                <w:sz w:val="24"/>
                <w:szCs w:val="24"/>
                <w:highlight w:val="none"/>
              </w:rPr>
              <w:t>组织架构、岗位职责设置</w:t>
            </w:r>
            <w:r>
              <w:rPr>
                <w:rFonts w:hint="eastAsia" w:ascii="宋体" w:hAnsi="宋体" w:eastAsia="宋体" w:cs="宋体"/>
                <w:color w:val="auto"/>
                <w:kern w:val="0"/>
                <w:sz w:val="24"/>
                <w:szCs w:val="24"/>
                <w:highlight w:val="none"/>
                <w:lang w:val="en-US" w:eastAsia="zh-CN"/>
              </w:rPr>
              <w:t>较为</w:t>
            </w:r>
            <w:r>
              <w:rPr>
                <w:rFonts w:hint="eastAsia" w:ascii="宋体" w:hAnsi="宋体" w:eastAsia="宋体" w:cs="宋体"/>
                <w:color w:val="auto"/>
                <w:kern w:val="0"/>
                <w:sz w:val="24"/>
                <w:szCs w:val="24"/>
                <w:highlight w:val="none"/>
              </w:rPr>
              <w:t>合理，得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0192E8B7">
            <w:pPr>
              <w:numPr>
                <w:ilvl w:val="-1"/>
                <w:numId w:val="0"/>
              </w:numPr>
              <w:spacing w:beforeLines="-2147483648" w:afterLines="-2147483648" w:line="400" w:lineRule="atLeast"/>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3、制定的方案一般，进度计划安排基本可行性，</w:t>
            </w:r>
            <w:r>
              <w:rPr>
                <w:rFonts w:hint="eastAsia" w:ascii="宋体" w:hAnsi="宋体" w:eastAsia="宋体" w:cs="宋体"/>
                <w:color w:val="auto"/>
                <w:kern w:val="0"/>
                <w:sz w:val="24"/>
                <w:szCs w:val="24"/>
                <w:highlight w:val="none"/>
              </w:rPr>
              <w:t>组织架构、岗位职责设置</w:t>
            </w:r>
            <w:r>
              <w:rPr>
                <w:rFonts w:hint="eastAsia" w:ascii="宋体" w:hAnsi="宋体" w:eastAsia="宋体" w:cs="宋体"/>
                <w:color w:val="auto"/>
                <w:kern w:val="0"/>
                <w:sz w:val="24"/>
                <w:szCs w:val="24"/>
                <w:highlight w:val="none"/>
                <w:lang w:val="en-US" w:eastAsia="zh-CN"/>
              </w:rPr>
              <w:t>一般</w:t>
            </w:r>
            <w:r>
              <w:rPr>
                <w:rFonts w:hint="eastAsia" w:ascii="宋体" w:hAnsi="宋体" w:eastAsia="宋体" w:cs="宋体"/>
                <w:color w:val="auto"/>
                <w:kern w:val="0"/>
                <w:sz w:val="24"/>
                <w:szCs w:val="24"/>
                <w:highlight w:val="none"/>
              </w:rPr>
              <w:t>，得</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p>
          <w:p w14:paraId="4892F066">
            <w:pPr>
              <w:spacing w:line="400" w:lineRule="atLeast"/>
              <w:ind w:firstLine="0"/>
              <w:jc w:val="lef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4、制定的</w:t>
            </w:r>
            <w:r>
              <w:rPr>
                <w:rFonts w:hint="eastAsia" w:ascii="宋体" w:hAnsi="宋体" w:eastAsia="宋体" w:cs="宋体"/>
                <w:color w:val="auto"/>
                <w:kern w:val="0"/>
                <w:sz w:val="24"/>
                <w:szCs w:val="24"/>
                <w:highlight w:val="none"/>
                <w:lang w:val="en-US"/>
              </w:rPr>
              <w:t>方案合理性和条理性</w:t>
            </w:r>
            <w:r>
              <w:rPr>
                <w:rFonts w:hint="eastAsia" w:ascii="宋体" w:hAnsi="宋体" w:eastAsia="宋体" w:cs="宋体"/>
                <w:color w:val="auto"/>
                <w:kern w:val="0"/>
                <w:sz w:val="24"/>
                <w:szCs w:val="24"/>
                <w:highlight w:val="none"/>
                <w:lang w:val="en-US" w:eastAsia="zh-CN"/>
              </w:rPr>
              <w:t>不足，</w:t>
            </w:r>
            <w:r>
              <w:rPr>
                <w:rFonts w:hint="eastAsia" w:ascii="宋体" w:hAnsi="宋体" w:eastAsia="宋体" w:cs="宋体"/>
                <w:color w:val="auto"/>
                <w:kern w:val="0"/>
                <w:sz w:val="24"/>
                <w:szCs w:val="24"/>
                <w:highlight w:val="none"/>
              </w:rPr>
              <w:t>组织架构、岗位职责设置</w:t>
            </w:r>
            <w:r>
              <w:rPr>
                <w:rFonts w:hint="eastAsia" w:ascii="宋体" w:hAnsi="宋体" w:eastAsia="宋体" w:cs="宋体"/>
                <w:color w:val="auto"/>
                <w:kern w:val="0"/>
                <w:sz w:val="24"/>
                <w:szCs w:val="24"/>
                <w:highlight w:val="none"/>
                <w:lang w:val="en-US" w:eastAsia="zh-CN"/>
              </w:rPr>
              <w:t>较薄弱的</w:t>
            </w:r>
            <w:r>
              <w:rPr>
                <w:rFonts w:hint="eastAsia" w:ascii="宋体" w:hAnsi="宋体" w:eastAsia="宋体" w:cs="宋体"/>
                <w:color w:val="auto"/>
                <w:kern w:val="0"/>
                <w:sz w:val="24"/>
                <w:szCs w:val="24"/>
                <w:highlight w:val="none"/>
                <w:lang w:val="en-US"/>
              </w:rPr>
              <w:t>，</w:t>
            </w:r>
            <w:r>
              <w:rPr>
                <w:rFonts w:hint="eastAsia" w:ascii="宋体" w:hAnsi="宋体" w:eastAsia="宋体" w:cs="宋体"/>
                <w:color w:val="auto"/>
                <w:kern w:val="0"/>
                <w:sz w:val="24"/>
                <w:szCs w:val="24"/>
                <w:highlight w:val="none"/>
                <w:lang w:val="en-US" w:eastAsia="zh-CN"/>
              </w:rPr>
              <w:t>得1分；</w:t>
            </w:r>
          </w:p>
          <w:p w14:paraId="40C1BA97">
            <w:pPr>
              <w:spacing w:line="400" w:lineRule="atLeast"/>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5、未按要求提供方案的，</w:t>
            </w:r>
            <w:r>
              <w:rPr>
                <w:rFonts w:hint="eastAsia" w:ascii="宋体" w:hAnsi="宋体" w:eastAsia="宋体" w:cs="宋体"/>
                <w:color w:val="auto"/>
                <w:kern w:val="0"/>
                <w:sz w:val="24"/>
                <w:szCs w:val="24"/>
                <w:highlight w:val="none"/>
                <w:lang w:val="en-US"/>
              </w:rPr>
              <w:t>得0分。</w:t>
            </w:r>
          </w:p>
        </w:tc>
      </w:tr>
      <w:tr w14:paraId="1C1F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center"/>
          </w:tcPr>
          <w:p w14:paraId="702DEE4F">
            <w:pPr>
              <w:widowControl/>
              <w:spacing w:line="24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p>
        </w:tc>
        <w:tc>
          <w:tcPr>
            <w:tcW w:w="1004" w:type="dxa"/>
            <w:vMerge w:val="continue"/>
            <w:noWrap w:val="0"/>
            <w:vAlign w:val="center"/>
          </w:tcPr>
          <w:p w14:paraId="2E819A4E">
            <w:pPr>
              <w:spacing w:line="240" w:lineRule="auto"/>
              <w:jc w:val="center"/>
              <w:rPr>
                <w:rFonts w:hint="eastAsia" w:ascii="宋体" w:hAnsi="宋体" w:eastAsia="宋体" w:cs="宋体"/>
                <w:color w:val="auto"/>
                <w:sz w:val="24"/>
                <w:szCs w:val="24"/>
                <w:highlight w:val="none"/>
              </w:rPr>
            </w:pPr>
          </w:p>
        </w:tc>
        <w:tc>
          <w:tcPr>
            <w:tcW w:w="1462" w:type="dxa"/>
            <w:noWrap w:val="0"/>
            <w:vAlign w:val="center"/>
          </w:tcPr>
          <w:p w14:paraId="1072DD5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售后服务与技术服务方案</w:t>
            </w:r>
          </w:p>
        </w:tc>
        <w:tc>
          <w:tcPr>
            <w:tcW w:w="863" w:type="dxa"/>
            <w:noWrap w:val="0"/>
            <w:vAlign w:val="center"/>
          </w:tcPr>
          <w:p w14:paraId="1AA51335">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0082" w:type="dxa"/>
            <w:noWrap w:val="0"/>
            <w:vAlign w:val="center"/>
          </w:tcPr>
          <w:p w14:paraId="7584F6DC">
            <w:pPr>
              <w:widowControl/>
              <w:spacing w:line="400" w:lineRule="atLeast"/>
              <w:jc w:val="lef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结合项目需求，制定</w:t>
            </w:r>
            <w:r>
              <w:rPr>
                <w:rFonts w:hint="eastAsia" w:ascii="宋体" w:hAnsi="宋体" w:eastAsia="宋体" w:cs="宋体"/>
                <w:color w:val="auto"/>
                <w:kern w:val="0"/>
                <w:sz w:val="24"/>
                <w:szCs w:val="24"/>
                <w:highlight w:val="none"/>
                <w:lang w:val="en-US" w:eastAsia="zh-CN"/>
              </w:rPr>
              <w:t>相关</w:t>
            </w:r>
            <w:r>
              <w:rPr>
                <w:rFonts w:hint="eastAsia" w:ascii="宋体" w:hAnsi="宋体" w:eastAsia="宋体" w:cs="宋体"/>
                <w:color w:val="auto"/>
                <w:kern w:val="0"/>
                <w:sz w:val="24"/>
                <w:szCs w:val="24"/>
                <w:highlight w:val="none"/>
              </w:rPr>
              <w:t>售后服务与技术服务方案</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包括但不限于售后服务团队配置、质保期限承诺、响应时间、疑难问题应对、应急保障措施等方面。</w:t>
            </w:r>
          </w:p>
          <w:p w14:paraId="5F129239">
            <w:pPr>
              <w:widowControl/>
              <w:numPr>
                <w:ilvl w:val="-1"/>
                <w:numId w:val="0"/>
              </w:numPr>
              <w:spacing w:beforeLines="-2147483648" w:afterLines="-2147483648" w:line="400" w:lineRule="atLeast"/>
              <w:jc w:val="lef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售后服务与技术服务方案具体、合理、针对性强</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维护内容符合技术文件中“技术维护服务”的要求</w:t>
            </w:r>
            <w:r>
              <w:rPr>
                <w:rFonts w:hint="eastAsia" w:ascii="宋体" w:hAnsi="宋体" w:eastAsia="宋体" w:cs="宋体"/>
                <w:color w:val="auto"/>
                <w:kern w:val="0"/>
                <w:sz w:val="24"/>
                <w:szCs w:val="24"/>
                <w:highlight w:val="none"/>
                <w:lang w:val="en-US" w:eastAsia="zh-CN"/>
              </w:rPr>
              <w:t>且质保期限承诺为24个月以上</w:t>
            </w:r>
            <w:r>
              <w:rPr>
                <w:rFonts w:hint="eastAsia" w:ascii="宋体" w:hAnsi="宋体" w:eastAsia="宋体" w:cs="宋体"/>
                <w:color w:val="auto"/>
                <w:kern w:val="0"/>
                <w:sz w:val="24"/>
                <w:szCs w:val="24"/>
                <w:highlight w:val="none"/>
              </w:rPr>
              <w:t>；售后服务与技术服务方案能充分为招标人在解决系统运行中解决疑难问题，且能为系统的提升提供强有力的、切实可行的方案和</w:t>
            </w:r>
            <w:r>
              <w:rPr>
                <w:rFonts w:hint="eastAsia" w:ascii="宋体" w:hAnsi="宋体" w:eastAsia="宋体" w:cs="宋体"/>
                <w:color w:val="auto"/>
                <w:kern w:val="0"/>
                <w:sz w:val="24"/>
                <w:szCs w:val="24"/>
                <w:highlight w:val="none"/>
                <w:lang w:val="en-US" w:eastAsia="zh-CN"/>
              </w:rPr>
              <w:t>保障</w:t>
            </w:r>
            <w:r>
              <w:rPr>
                <w:rFonts w:hint="eastAsia" w:ascii="宋体" w:hAnsi="宋体" w:eastAsia="宋体" w:cs="宋体"/>
                <w:color w:val="auto"/>
                <w:kern w:val="0"/>
                <w:sz w:val="24"/>
                <w:szCs w:val="24"/>
                <w:highlight w:val="none"/>
              </w:rPr>
              <w:t>措施，以确保系统的稳定运行</w:t>
            </w:r>
            <w:r>
              <w:rPr>
                <w:rFonts w:hint="eastAsia" w:ascii="宋体" w:hAnsi="宋体" w:eastAsia="宋体" w:cs="宋体"/>
                <w:color w:val="auto"/>
                <w:kern w:val="0"/>
                <w:sz w:val="24"/>
                <w:szCs w:val="24"/>
                <w:highlight w:val="none"/>
                <w:lang w:val="en-US" w:eastAsia="zh-CN"/>
              </w:rPr>
              <w:t>的，得6分；</w:t>
            </w:r>
          </w:p>
          <w:p w14:paraId="53331C42">
            <w:pPr>
              <w:widowControl/>
              <w:numPr>
                <w:ilvl w:val="-1"/>
                <w:numId w:val="0"/>
              </w:numPr>
              <w:spacing w:beforeLines="-2147483648" w:afterLines="-2147483648" w:line="400" w:lineRule="atLeast"/>
              <w:jc w:val="lef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售后服务与技术服务方案具体、合理、针对性强，维护内容符合技术文件中“技术维护服务”的要求</w:t>
            </w:r>
            <w:r>
              <w:rPr>
                <w:rFonts w:hint="eastAsia" w:ascii="宋体" w:hAnsi="宋体" w:eastAsia="宋体" w:cs="宋体"/>
                <w:color w:val="auto"/>
                <w:kern w:val="0"/>
                <w:sz w:val="24"/>
                <w:szCs w:val="24"/>
                <w:highlight w:val="none"/>
                <w:lang w:val="en-US" w:eastAsia="zh-CN"/>
              </w:rPr>
              <w:t>且质保期限承诺为18个月或以上的</w:t>
            </w:r>
            <w:r>
              <w:rPr>
                <w:rFonts w:hint="eastAsia" w:ascii="宋体" w:hAnsi="宋体" w:eastAsia="宋体" w:cs="宋体"/>
                <w:color w:val="auto"/>
                <w:kern w:val="0"/>
                <w:sz w:val="24"/>
                <w:szCs w:val="24"/>
                <w:highlight w:val="none"/>
              </w:rPr>
              <w:t>；售后服务与技术服务方案能</w:t>
            </w:r>
            <w:r>
              <w:rPr>
                <w:rFonts w:hint="eastAsia" w:ascii="宋体" w:hAnsi="宋体" w:eastAsia="宋体" w:cs="宋体"/>
                <w:color w:val="auto"/>
                <w:kern w:val="0"/>
                <w:sz w:val="24"/>
                <w:szCs w:val="24"/>
                <w:highlight w:val="none"/>
                <w:lang w:val="en-US" w:eastAsia="zh-CN"/>
              </w:rPr>
              <w:t>基本</w:t>
            </w:r>
            <w:r>
              <w:rPr>
                <w:rFonts w:hint="eastAsia" w:ascii="宋体" w:hAnsi="宋体" w:eastAsia="宋体" w:cs="宋体"/>
                <w:color w:val="auto"/>
                <w:kern w:val="0"/>
                <w:sz w:val="24"/>
                <w:szCs w:val="24"/>
                <w:highlight w:val="none"/>
              </w:rPr>
              <w:t>为招标人在解决系统运行中解决疑难问题，且能为系统的提升提供切实可行的方案和</w:t>
            </w:r>
            <w:r>
              <w:rPr>
                <w:rFonts w:hint="eastAsia" w:ascii="宋体" w:hAnsi="宋体" w:eastAsia="宋体" w:cs="宋体"/>
                <w:color w:val="auto"/>
                <w:kern w:val="0"/>
                <w:sz w:val="24"/>
                <w:szCs w:val="24"/>
                <w:highlight w:val="none"/>
                <w:lang w:val="en-US" w:eastAsia="zh-CN"/>
              </w:rPr>
              <w:t>保障</w:t>
            </w:r>
            <w:r>
              <w:rPr>
                <w:rFonts w:hint="eastAsia" w:ascii="宋体" w:hAnsi="宋体" w:eastAsia="宋体" w:cs="宋体"/>
                <w:color w:val="auto"/>
                <w:kern w:val="0"/>
                <w:sz w:val="24"/>
                <w:szCs w:val="24"/>
                <w:highlight w:val="none"/>
              </w:rPr>
              <w:t>措施，以确保系统的稳定运行</w:t>
            </w:r>
            <w:r>
              <w:rPr>
                <w:rFonts w:hint="eastAsia" w:ascii="宋体" w:hAnsi="宋体" w:eastAsia="宋体" w:cs="宋体"/>
                <w:color w:val="auto"/>
                <w:kern w:val="0"/>
                <w:sz w:val="24"/>
                <w:szCs w:val="24"/>
                <w:highlight w:val="none"/>
                <w:lang w:val="en-US" w:eastAsia="zh-CN"/>
              </w:rPr>
              <w:t>的，得4分；</w:t>
            </w:r>
          </w:p>
          <w:p w14:paraId="323CF7A4">
            <w:pPr>
              <w:widowControl/>
              <w:numPr>
                <w:ilvl w:val="-1"/>
                <w:numId w:val="0"/>
              </w:numPr>
              <w:spacing w:beforeLines="-2147483648" w:afterLines="-2147483648" w:line="400" w:lineRule="atLeast"/>
              <w:jc w:val="left"/>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售后服务与技术服务方案</w:t>
            </w:r>
            <w:r>
              <w:rPr>
                <w:rFonts w:hint="eastAsia" w:ascii="宋体" w:hAnsi="宋体" w:eastAsia="宋体" w:cs="宋体"/>
                <w:color w:val="auto"/>
                <w:kern w:val="0"/>
                <w:sz w:val="24"/>
                <w:szCs w:val="24"/>
                <w:highlight w:val="none"/>
                <w:lang w:val="en-US" w:eastAsia="zh-CN"/>
              </w:rPr>
              <w:t>较为合理</w:t>
            </w:r>
            <w:r>
              <w:rPr>
                <w:rFonts w:hint="eastAsia" w:ascii="宋体" w:hAnsi="宋体" w:eastAsia="宋体" w:cs="宋体"/>
                <w:color w:val="auto"/>
                <w:kern w:val="0"/>
                <w:sz w:val="24"/>
                <w:szCs w:val="24"/>
                <w:highlight w:val="none"/>
              </w:rPr>
              <w:t>，维护内容符合技术文件中“技术维护服务”的要求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且质保期限承诺为12个月或以上的</w:t>
            </w:r>
            <w:r>
              <w:rPr>
                <w:rFonts w:hint="eastAsia" w:ascii="宋体" w:hAnsi="宋体" w:eastAsia="宋体" w:cs="宋体"/>
                <w:color w:val="auto"/>
                <w:kern w:val="0"/>
                <w:sz w:val="24"/>
                <w:szCs w:val="24"/>
                <w:highlight w:val="none"/>
              </w:rPr>
              <w:t>；售后服务与技术服务方案能</w:t>
            </w:r>
            <w:r>
              <w:rPr>
                <w:rFonts w:hint="eastAsia" w:ascii="宋体" w:hAnsi="宋体" w:eastAsia="宋体" w:cs="宋体"/>
                <w:color w:val="auto"/>
                <w:kern w:val="0"/>
                <w:sz w:val="24"/>
                <w:szCs w:val="24"/>
                <w:highlight w:val="none"/>
                <w:lang w:val="en-US" w:eastAsia="zh-CN"/>
              </w:rPr>
              <w:t>一般</w:t>
            </w:r>
            <w:r>
              <w:rPr>
                <w:rFonts w:hint="eastAsia" w:ascii="宋体" w:hAnsi="宋体" w:eastAsia="宋体" w:cs="宋体"/>
                <w:color w:val="auto"/>
                <w:kern w:val="0"/>
                <w:sz w:val="24"/>
                <w:szCs w:val="24"/>
                <w:highlight w:val="none"/>
              </w:rPr>
              <w:t>，为系统的提升提供方案和</w:t>
            </w:r>
            <w:r>
              <w:rPr>
                <w:rFonts w:hint="eastAsia" w:ascii="宋体" w:hAnsi="宋体" w:eastAsia="宋体" w:cs="宋体"/>
                <w:color w:val="auto"/>
                <w:kern w:val="0"/>
                <w:sz w:val="24"/>
                <w:szCs w:val="24"/>
                <w:highlight w:val="none"/>
                <w:lang w:val="en-US" w:eastAsia="zh-CN"/>
              </w:rPr>
              <w:t>保障</w:t>
            </w:r>
            <w:r>
              <w:rPr>
                <w:rFonts w:hint="eastAsia" w:ascii="宋体" w:hAnsi="宋体" w:eastAsia="宋体" w:cs="宋体"/>
                <w:color w:val="auto"/>
                <w:kern w:val="0"/>
                <w:sz w:val="24"/>
                <w:szCs w:val="24"/>
                <w:highlight w:val="none"/>
              </w:rPr>
              <w:t>措施，确保系统的</w:t>
            </w:r>
            <w:r>
              <w:rPr>
                <w:rFonts w:hint="eastAsia" w:ascii="宋体" w:hAnsi="宋体" w:eastAsia="宋体" w:cs="宋体"/>
                <w:color w:val="auto"/>
                <w:kern w:val="0"/>
                <w:sz w:val="24"/>
                <w:szCs w:val="24"/>
                <w:highlight w:val="none"/>
                <w:lang w:val="en-US" w:eastAsia="zh-CN"/>
              </w:rPr>
              <w:t>正常</w:t>
            </w:r>
            <w:r>
              <w:rPr>
                <w:rFonts w:hint="eastAsia" w:ascii="宋体" w:hAnsi="宋体" w:eastAsia="宋体" w:cs="宋体"/>
                <w:color w:val="auto"/>
                <w:kern w:val="0"/>
                <w:sz w:val="24"/>
                <w:szCs w:val="24"/>
                <w:highlight w:val="none"/>
              </w:rPr>
              <w:t>运行</w:t>
            </w:r>
            <w:r>
              <w:rPr>
                <w:rFonts w:hint="eastAsia" w:ascii="宋体" w:hAnsi="宋体" w:eastAsia="宋体" w:cs="宋体"/>
                <w:color w:val="auto"/>
                <w:kern w:val="0"/>
                <w:sz w:val="24"/>
                <w:szCs w:val="24"/>
                <w:highlight w:val="none"/>
                <w:lang w:val="en-US" w:eastAsia="zh-CN"/>
              </w:rPr>
              <w:t>的，得2分；</w:t>
            </w:r>
          </w:p>
          <w:p w14:paraId="1A406D6D">
            <w:pPr>
              <w:spacing w:line="400" w:lineRule="atLeast"/>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4、没有提供，则不得分。</w:t>
            </w:r>
          </w:p>
        </w:tc>
      </w:tr>
      <w:tr w14:paraId="6B90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91" w:type="dxa"/>
            <w:gridSpan w:val="3"/>
            <w:noWrap w:val="0"/>
            <w:vAlign w:val="center"/>
          </w:tcPr>
          <w:p w14:paraId="42B8E526">
            <w:pPr>
              <w:widowControl/>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10945" w:type="dxa"/>
            <w:gridSpan w:val="2"/>
            <w:noWrap w:val="0"/>
            <w:vAlign w:val="center"/>
          </w:tcPr>
          <w:p w14:paraId="3DF629FA">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0</w:t>
            </w:r>
          </w:p>
        </w:tc>
      </w:tr>
    </w:tbl>
    <w:p w14:paraId="2EEFB6CA">
      <w:pPr>
        <w:adjustRightInd w:val="0"/>
        <w:snapToGrid w:val="0"/>
        <w:spacing w:line="360" w:lineRule="auto"/>
        <w:rPr>
          <w:rFonts w:hint="eastAsia" w:ascii="宋体" w:hAnsi="宋体" w:eastAsia="宋体" w:cs="宋体"/>
          <w:b/>
          <w:bCs/>
          <w:color w:val="auto"/>
          <w:szCs w:val="21"/>
          <w:highlight w:val="none"/>
        </w:rPr>
      </w:pPr>
    </w:p>
    <w:p w14:paraId="798CACF7">
      <w:pPr>
        <w:pStyle w:val="2"/>
        <w:ind w:firstLine="0"/>
        <w:rPr>
          <w:rFonts w:hint="eastAsia" w:ascii="宋体" w:hAnsi="宋体" w:eastAsia="宋体" w:cs="宋体"/>
          <w:b/>
          <w:bCs/>
          <w:color w:val="auto"/>
          <w:szCs w:val="21"/>
          <w:highlight w:val="none"/>
        </w:rPr>
      </w:pPr>
    </w:p>
    <w:p w14:paraId="2DAF020C">
      <w:pPr>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bCs/>
          <w:color w:val="auto"/>
          <w:szCs w:val="21"/>
          <w:highlight w:val="none"/>
        </w:rPr>
        <w:t>评委签名：                                                           日期</w:t>
      </w:r>
    </w:p>
    <w:p w14:paraId="0EA65E46">
      <w:pPr>
        <w:adjustRightInd w:val="0"/>
        <w:spacing w:line="360" w:lineRule="auto"/>
        <w:rPr>
          <w:rFonts w:hint="eastAsia" w:ascii="宋体" w:hAnsi="宋体" w:eastAsia="宋体" w:cs="宋体"/>
          <w:b/>
          <w:color w:val="auto"/>
          <w:sz w:val="24"/>
          <w:szCs w:val="24"/>
          <w:highlight w:val="none"/>
        </w:rPr>
        <w:sectPr>
          <w:pgSz w:w="16838" w:h="11905" w:orient="landscape"/>
          <w:pgMar w:top="1701" w:right="1701" w:bottom="1701" w:left="1417" w:header="851" w:footer="850" w:gutter="0"/>
          <w:pgNumType w:fmt="decimal"/>
          <w:cols w:space="720" w:num="1"/>
          <w:docGrid w:linePitch="312" w:charSpace="0"/>
        </w:sectPr>
      </w:pPr>
    </w:p>
    <w:p w14:paraId="19673E06">
      <w:pPr>
        <w:widowControl/>
        <w:adjustRightIn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szCs w:val="24"/>
          <w:highlight w:val="none"/>
        </w:rPr>
        <w:t>表4：</w:t>
      </w:r>
    </w:p>
    <w:p w14:paraId="156F8C28">
      <w:pPr>
        <w:widowControl/>
        <w:adjustRightInd w:val="0"/>
        <w:spacing w:line="360" w:lineRule="auto"/>
        <w:jc w:val="left"/>
        <w:rPr>
          <w:rFonts w:hint="eastAsia" w:ascii="宋体" w:hAnsi="宋体" w:eastAsia="宋体" w:cs="宋体"/>
          <w:b/>
          <w:bCs/>
          <w:color w:val="auto"/>
          <w:kern w:val="0"/>
          <w:sz w:val="24"/>
          <w:szCs w:val="24"/>
          <w:highlight w:val="none"/>
        </w:rPr>
      </w:pPr>
    </w:p>
    <w:p w14:paraId="5E6B6095">
      <w:pPr>
        <w:tabs>
          <w:tab w:val="left" w:pos="720"/>
        </w:tabs>
        <w:snapToGri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投标报价得分表</w:t>
      </w:r>
    </w:p>
    <w:p w14:paraId="66BA8729">
      <w:pPr>
        <w:widowControl/>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项目名称：</w:t>
      </w:r>
      <w:r>
        <w:rPr>
          <w:rFonts w:hint="eastAsia" w:ascii="宋体" w:hAnsi="宋体" w:cs="宋体"/>
          <w:color w:val="auto"/>
          <w:sz w:val="24"/>
          <w:szCs w:val="22"/>
          <w:highlight w:val="none"/>
          <w:u w:val="none"/>
          <w:lang w:eastAsia="zh-CN"/>
        </w:rPr>
        <w:t>广州市自来水有限公司北部水厂智慧化系统开发服务公开招标项目</w:t>
      </w:r>
      <w:r>
        <w:rPr>
          <w:rFonts w:hint="eastAsia" w:ascii="宋体" w:hAnsi="宋体" w:eastAsia="宋体" w:cs="宋体"/>
          <w:b/>
          <w:bCs/>
          <w:color w:val="auto"/>
          <w:kern w:val="0"/>
          <w:sz w:val="24"/>
          <w:szCs w:val="24"/>
          <w:highlight w:val="none"/>
        </w:rPr>
        <w:t xml:space="preserve">           </w:t>
      </w:r>
    </w:p>
    <w:p w14:paraId="4DB991A9">
      <w:pPr>
        <w:widowControl/>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单位：  元                                                                         </w:t>
      </w:r>
    </w:p>
    <w:tbl>
      <w:tblPr>
        <w:tblStyle w:val="20"/>
        <w:tblW w:w="13930" w:type="dxa"/>
        <w:tblInd w:w="0" w:type="dxa"/>
        <w:tblLayout w:type="fixed"/>
        <w:tblCellMar>
          <w:top w:w="0" w:type="dxa"/>
          <w:left w:w="108" w:type="dxa"/>
          <w:bottom w:w="0" w:type="dxa"/>
          <w:right w:w="108" w:type="dxa"/>
        </w:tblCellMar>
      </w:tblPr>
      <w:tblGrid>
        <w:gridCol w:w="729"/>
        <w:gridCol w:w="2622"/>
        <w:gridCol w:w="1831"/>
        <w:gridCol w:w="1834"/>
        <w:gridCol w:w="2494"/>
        <w:gridCol w:w="4420"/>
      </w:tblGrid>
      <w:tr w14:paraId="7F59D60B">
        <w:tblPrEx>
          <w:tblCellMar>
            <w:top w:w="0" w:type="dxa"/>
            <w:left w:w="108" w:type="dxa"/>
            <w:bottom w:w="0" w:type="dxa"/>
            <w:right w:w="108" w:type="dxa"/>
          </w:tblCellMar>
        </w:tblPrEx>
        <w:trPr>
          <w:trHeight w:val="865" w:hRule="atLeast"/>
        </w:trPr>
        <w:tc>
          <w:tcPr>
            <w:tcW w:w="729" w:type="dxa"/>
            <w:tcBorders>
              <w:top w:val="single" w:color="auto" w:sz="4" w:space="0"/>
              <w:left w:val="single" w:color="auto" w:sz="4" w:space="0"/>
              <w:bottom w:val="single" w:color="auto" w:sz="4" w:space="0"/>
              <w:right w:val="single" w:color="auto" w:sz="4" w:space="0"/>
            </w:tcBorders>
            <w:noWrap w:val="0"/>
            <w:vAlign w:val="center"/>
          </w:tcPr>
          <w:p w14:paraId="194F60F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622" w:type="dxa"/>
            <w:tcBorders>
              <w:top w:val="single" w:color="auto" w:sz="4" w:space="0"/>
              <w:left w:val="nil"/>
              <w:bottom w:val="single" w:color="auto" w:sz="4" w:space="0"/>
              <w:right w:val="single" w:color="auto" w:sz="4" w:space="0"/>
            </w:tcBorders>
            <w:noWrap w:val="0"/>
            <w:vAlign w:val="center"/>
          </w:tcPr>
          <w:p w14:paraId="7C1C50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1831" w:type="dxa"/>
            <w:tcBorders>
              <w:top w:val="single" w:color="auto" w:sz="4" w:space="0"/>
              <w:left w:val="nil"/>
              <w:bottom w:val="single" w:color="auto" w:sz="4" w:space="0"/>
              <w:right w:val="single" w:color="auto" w:sz="4" w:space="0"/>
            </w:tcBorders>
            <w:noWrap w:val="0"/>
            <w:vAlign w:val="center"/>
          </w:tcPr>
          <w:p w14:paraId="3FBC592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54168A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报价A</w:t>
            </w:r>
          </w:p>
        </w:tc>
        <w:tc>
          <w:tcPr>
            <w:tcW w:w="1834" w:type="dxa"/>
            <w:tcBorders>
              <w:top w:val="single" w:color="auto" w:sz="4" w:space="0"/>
              <w:left w:val="nil"/>
              <w:bottom w:val="single" w:color="auto" w:sz="4" w:space="0"/>
              <w:right w:val="single" w:color="auto" w:sz="4" w:space="0"/>
            </w:tcBorders>
            <w:noWrap w:val="0"/>
            <w:vAlign w:val="center"/>
          </w:tcPr>
          <w:p w14:paraId="7AFE7F6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投标报价修正值B</w:t>
            </w:r>
          </w:p>
        </w:tc>
        <w:tc>
          <w:tcPr>
            <w:tcW w:w="2494" w:type="dxa"/>
            <w:tcBorders>
              <w:top w:val="single" w:color="auto" w:sz="4" w:space="0"/>
              <w:left w:val="nil"/>
              <w:bottom w:val="single" w:color="auto" w:sz="4" w:space="0"/>
              <w:right w:val="single" w:color="auto" w:sz="4" w:space="0"/>
            </w:tcBorders>
            <w:noWrap w:val="0"/>
            <w:vAlign w:val="center"/>
          </w:tcPr>
          <w:p w14:paraId="1B0696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经评审的最终投标报价PT</w:t>
            </w:r>
          </w:p>
        </w:tc>
        <w:tc>
          <w:tcPr>
            <w:tcW w:w="4420" w:type="dxa"/>
            <w:tcBorders>
              <w:top w:val="single" w:color="auto" w:sz="4" w:space="0"/>
              <w:left w:val="nil"/>
              <w:bottom w:val="single" w:color="auto" w:sz="4" w:space="0"/>
              <w:right w:val="single" w:color="auto" w:sz="4" w:space="0"/>
            </w:tcBorders>
            <w:noWrap w:val="0"/>
            <w:vAlign w:val="center"/>
          </w:tcPr>
          <w:p w14:paraId="46A4216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投标报价得分(I=</w:t>
            </w:r>
            <w:r>
              <w:rPr>
                <w:rFonts w:hint="eastAsia" w:ascii="宋体" w:hAnsi="宋体" w:eastAsia="宋体" w:cs="宋体"/>
                <w:color w:val="auto"/>
                <w:sz w:val="24"/>
                <w:szCs w:val="24"/>
                <w:highlight w:val="none"/>
                <w:lang w:val="en-US" w:eastAsia="zh-CN"/>
              </w:rPr>
              <w:t>PC/PT*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tc>
      </w:tr>
      <w:tr w14:paraId="2901217B">
        <w:tblPrEx>
          <w:tblCellMar>
            <w:top w:w="0" w:type="dxa"/>
            <w:left w:w="108" w:type="dxa"/>
            <w:bottom w:w="0" w:type="dxa"/>
            <w:right w:w="108" w:type="dxa"/>
          </w:tblCellMar>
        </w:tblPrEx>
        <w:trPr>
          <w:trHeight w:val="463" w:hRule="atLeast"/>
        </w:trPr>
        <w:tc>
          <w:tcPr>
            <w:tcW w:w="729" w:type="dxa"/>
            <w:tcBorders>
              <w:top w:val="single" w:color="auto" w:sz="4" w:space="0"/>
              <w:left w:val="single" w:color="auto" w:sz="4" w:space="0"/>
              <w:bottom w:val="single" w:color="auto" w:sz="4" w:space="0"/>
              <w:right w:val="single" w:color="auto" w:sz="4" w:space="0"/>
            </w:tcBorders>
            <w:noWrap w:val="0"/>
            <w:vAlign w:val="center"/>
          </w:tcPr>
          <w:p w14:paraId="20B3C84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p>
        </w:tc>
        <w:tc>
          <w:tcPr>
            <w:tcW w:w="2622" w:type="dxa"/>
            <w:tcBorders>
              <w:top w:val="single" w:color="auto" w:sz="4" w:space="0"/>
              <w:left w:val="nil"/>
              <w:bottom w:val="single" w:color="auto" w:sz="4" w:space="0"/>
              <w:right w:val="single" w:color="auto" w:sz="4" w:space="0"/>
            </w:tcBorders>
            <w:noWrap w:val="0"/>
            <w:vAlign w:val="center"/>
          </w:tcPr>
          <w:p w14:paraId="6DFE58EA">
            <w:pPr>
              <w:rPr>
                <w:rFonts w:hint="eastAsia" w:ascii="宋体" w:hAnsi="宋体" w:eastAsia="宋体" w:cs="宋体"/>
                <w:color w:val="auto"/>
                <w:sz w:val="24"/>
                <w:szCs w:val="24"/>
                <w:highlight w:val="none"/>
              </w:rPr>
            </w:pPr>
          </w:p>
        </w:tc>
        <w:tc>
          <w:tcPr>
            <w:tcW w:w="1831" w:type="dxa"/>
            <w:tcBorders>
              <w:top w:val="single" w:color="auto" w:sz="4" w:space="0"/>
              <w:left w:val="nil"/>
              <w:bottom w:val="single" w:color="auto" w:sz="4" w:space="0"/>
              <w:right w:val="single" w:color="auto" w:sz="4" w:space="0"/>
            </w:tcBorders>
            <w:noWrap w:val="0"/>
            <w:vAlign w:val="center"/>
          </w:tcPr>
          <w:p w14:paraId="497F5FC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34" w:type="dxa"/>
            <w:tcBorders>
              <w:top w:val="single" w:color="auto" w:sz="4" w:space="0"/>
              <w:left w:val="nil"/>
              <w:bottom w:val="single" w:color="auto" w:sz="4" w:space="0"/>
              <w:right w:val="single" w:color="auto" w:sz="4" w:space="0"/>
            </w:tcBorders>
            <w:noWrap w:val="0"/>
            <w:vAlign w:val="center"/>
          </w:tcPr>
          <w:p w14:paraId="47D7EB0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494" w:type="dxa"/>
            <w:tcBorders>
              <w:top w:val="single" w:color="auto" w:sz="4" w:space="0"/>
              <w:left w:val="nil"/>
              <w:bottom w:val="single" w:color="auto" w:sz="4" w:space="0"/>
              <w:right w:val="single" w:color="auto" w:sz="4" w:space="0"/>
            </w:tcBorders>
            <w:noWrap w:val="0"/>
            <w:vAlign w:val="center"/>
          </w:tcPr>
          <w:p w14:paraId="318DEDB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420" w:type="dxa"/>
            <w:tcBorders>
              <w:top w:val="single" w:color="auto" w:sz="4" w:space="0"/>
              <w:left w:val="nil"/>
              <w:bottom w:val="single" w:color="auto" w:sz="4" w:space="0"/>
              <w:right w:val="single" w:color="auto" w:sz="4" w:space="0"/>
            </w:tcBorders>
            <w:noWrap w:val="0"/>
            <w:vAlign w:val="center"/>
          </w:tcPr>
          <w:p w14:paraId="17150421">
            <w:pPr>
              <w:rPr>
                <w:rFonts w:hint="eastAsia" w:ascii="宋体" w:hAnsi="宋体" w:eastAsia="宋体" w:cs="宋体"/>
                <w:color w:val="auto"/>
                <w:sz w:val="24"/>
                <w:szCs w:val="24"/>
                <w:highlight w:val="none"/>
              </w:rPr>
            </w:pPr>
          </w:p>
        </w:tc>
      </w:tr>
      <w:tr w14:paraId="69B91AFA">
        <w:tblPrEx>
          <w:tblCellMar>
            <w:top w:w="0" w:type="dxa"/>
            <w:left w:w="108" w:type="dxa"/>
            <w:bottom w:w="0" w:type="dxa"/>
            <w:right w:w="108" w:type="dxa"/>
          </w:tblCellMar>
        </w:tblPrEx>
        <w:trPr>
          <w:trHeight w:val="388" w:hRule="atLeast"/>
        </w:trPr>
        <w:tc>
          <w:tcPr>
            <w:tcW w:w="729" w:type="dxa"/>
            <w:tcBorders>
              <w:top w:val="single" w:color="auto" w:sz="4" w:space="0"/>
              <w:left w:val="single" w:color="auto" w:sz="4" w:space="0"/>
              <w:bottom w:val="single" w:color="auto" w:sz="4" w:space="0"/>
              <w:right w:val="single" w:color="auto" w:sz="4" w:space="0"/>
            </w:tcBorders>
            <w:noWrap w:val="0"/>
            <w:vAlign w:val="center"/>
          </w:tcPr>
          <w:p w14:paraId="7292495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p>
        </w:tc>
        <w:tc>
          <w:tcPr>
            <w:tcW w:w="2622" w:type="dxa"/>
            <w:tcBorders>
              <w:top w:val="single" w:color="auto" w:sz="4" w:space="0"/>
              <w:left w:val="nil"/>
              <w:bottom w:val="single" w:color="auto" w:sz="4" w:space="0"/>
              <w:right w:val="single" w:color="auto" w:sz="4" w:space="0"/>
            </w:tcBorders>
            <w:noWrap w:val="0"/>
            <w:vAlign w:val="center"/>
          </w:tcPr>
          <w:p w14:paraId="4FA3CEBA">
            <w:pPr>
              <w:rPr>
                <w:rFonts w:hint="eastAsia" w:ascii="宋体" w:hAnsi="宋体" w:eastAsia="宋体" w:cs="宋体"/>
                <w:color w:val="auto"/>
                <w:sz w:val="24"/>
                <w:szCs w:val="24"/>
                <w:highlight w:val="none"/>
              </w:rPr>
            </w:pPr>
          </w:p>
        </w:tc>
        <w:tc>
          <w:tcPr>
            <w:tcW w:w="1831" w:type="dxa"/>
            <w:tcBorders>
              <w:top w:val="single" w:color="auto" w:sz="4" w:space="0"/>
              <w:left w:val="nil"/>
              <w:bottom w:val="single" w:color="auto" w:sz="4" w:space="0"/>
              <w:right w:val="single" w:color="auto" w:sz="4" w:space="0"/>
            </w:tcBorders>
            <w:noWrap w:val="0"/>
            <w:vAlign w:val="center"/>
          </w:tcPr>
          <w:p w14:paraId="7E76505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34" w:type="dxa"/>
            <w:tcBorders>
              <w:top w:val="single" w:color="auto" w:sz="4" w:space="0"/>
              <w:left w:val="nil"/>
              <w:bottom w:val="single" w:color="auto" w:sz="4" w:space="0"/>
              <w:right w:val="single" w:color="auto" w:sz="4" w:space="0"/>
            </w:tcBorders>
            <w:noWrap w:val="0"/>
            <w:vAlign w:val="center"/>
          </w:tcPr>
          <w:p w14:paraId="0D86200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494" w:type="dxa"/>
            <w:tcBorders>
              <w:top w:val="single" w:color="auto" w:sz="4" w:space="0"/>
              <w:left w:val="nil"/>
              <w:bottom w:val="single" w:color="auto" w:sz="4" w:space="0"/>
              <w:right w:val="single" w:color="auto" w:sz="4" w:space="0"/>
            </w:tcBorders>
            <w:noWrap w:val="0"/>
            <w:vAlign w:val="center"/>
          </w:tcPr>
          <w:p w14:paraId="41A7092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420" w:type="dxa"/>
            <w:tcBorders>
              <w:top w:val="single" w:color="auto" w:sz="4" w:space="0"/>
              <w:left w:val="nil"/>
              <w:bottom w:val="single" w:color="auto" w:sz="4" w:space="0"/>
              <w:right w:val="single" w:color="auto" w:sz="4" w:space="0"/>
            </w:tcBorders>
            <w:noWrap w:val="0"/>
            <w:vAlign w:val="top"/>
          </w:tcPr>
          <w:p w14:paraId="23962423">
            <w:pPr>
              <w:rPr>
                <w:rFonts w:hint="eastAsia" w:ascii="宋体" w:hAnsi="宋体" w:eastAsia="宋体" w:cs="宋体"/>
                <w:color w:val="auto"/>
                <w:sz w:val="24"/>
                <w:szCs w:val="24"/>
                <w:highlight w:val="none"/>
              </w:rPr>
            </w:pPr>
          </w:p>
        </w:tc>
      </w:tr>
      <w:tr w14:paraId="78E86011">
        <w:tblPrEx>
          <w:tblCellMar>
            <w:top w:w="0" w:type="dxa"/>
            <w:left w:w="108" w:type="dxa"/>
            <w:bottom w:w="0" w:type="dxa"/>
            <w:right w:w="108" w:type="dxa"/>
          </w:tblCellMar>
        </w:tblPrEx>
        <w:trPr>
          <w:trHeight w:val="388" w:hRule="atLeast"/>
        </w:trPr>
        <w:tc>
          <w:tcPr>
            <w:tcW w:w="729" w:type="dxa"/>
            <w:tcBorders>
              <w:top w:val="single" w:color="auto" w:sz="4" w:space="0"/>
              <w:left w:val="single" w:color="auto" w:sz="4" w:space="0"/>
              <w:bottom w:val="single" w:color="auto" w:sz="4" w:space="0"/>
              <w:right w:val="single" w:color="auto" w:sz="4" w:space="0"/>
            </w:tcBorders>
            <w:noWrap w:val="0"/>
            <w:vAlign w:val="center"/>
          </w:tcPr>
          <w:p w14:paraId="5C9D81B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622" w:type="dxa"/>
            <w:tcBorders>
              <w:top w:val="single" w:color="auto" w:sz="4" w:space="0"/>
              <w:left w:val="nil"/>
              <w:bottom w:val="single" w:color="auto" w:sz="4" w:space="0"/>
              <w:right w:val="single" w:color="auto" w:sz="4" w:space="0"/>
            </w:tcBorders>
            <w:noWrap w:val="0"/>
            <w:vAlign w:val="center"/>
          </w:tcPr>
          <w:p w14:paraId="06EE0D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31" w:type="dxa"/>
            <w:tcBorders>
              <w:top w:val="single" w:color="auto" w:sz="4" w:space="0"/>
              <w:left w:val="nil"/>
              <w:bottom w:val="single" w:color="auto" w:sz="4" w:space="0"/>
              <w:right w:val="single" w:color="auto" w:sz="4" w:space="0"/>
            </w:tcBorders>
            <w:noWrap w:val="0"/>
            <w:vAlign w:val="center"/>
          </w:tcPr>
          <w:p w14:paraId="614FF72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34" w:type="dxa"/>
            <w:tcBorders>
              <w:top w:val="single" w:color="auto" w:sz="4" w:space="0"/>
              <w:left w:val="nil"/>
              <w:bottom w:val="single" w:color="auto" w:sz="4" w:space="0"/>
              <w:right w:val="single" w:color="auto" w:sz="4" w:space="0"/>
            </w:tcBorders>
            <w:noWrap w:val="0"/>
            <w:vAlign w:val="center"/>
          </w:tcPr>
          <w:p w14:paraId="6FF7B4F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494" w:type="dxa"/>
            <w:tcBorders>
              <w:top w:val="single" w:color="auto" w:sz="4" w:space="0"/>
              <w:left w:val="nil"/>
              <w:bottom w:val="single" w:color="auto" w:sz="4" w:space="0"/>
              <w:right w:val="single" w:color="auto" w:sz="4" w:space="0"/>
            </w:tcBorders>
            <w:noWrap w:val="0"/>
            <w:vAlign w:val="center"/>
          </w:tcPr>
          <w:p w14:paraId="694D102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420" w:type="dxa"/>
            <w:tcBorders>
              <w:top w:val="single" w:color="auto" w:sz="4" w:space="0"/>
              <w:left w:val="nil"/>
              <w:bottom w:val="single" w:color="auto" w:sz="4" w:space="0"/>
              <w:right w:val="single" w:color="auto" w:sz="4" w:space="0"/>
            </w:tcBorders>
            <w:noWrap w:val="0"/>
            <w:vAlign w:val="top"/>
          </w:tcPr>
          <w:p w14:paraId="54C9807F">
            <w:pPr>
              <w:rPr>
                <w:rFonts w:hint="eastAsia" w:ascii="宋体" w:hAnsi="宋体" w:eastAsia="宋体" w:cs="宋体"/>
                <w:color w:val="auto"/>
                <w:sz w:val="24"/>
                <w:szCs w:val="24"/>
                <w:highlight w:val="none"/>
              </w:rPr>
            </w:pPr>
          </w:p>
        </w:tc>
      </w:tr>
      <w:tr w14:paraId="153266FE">
        <w:tblPrEx>
          <w:tblCellMar>
            <w:top w:w="0" w:type="dxa"/>
            <w:left w:w="108" w:type="dxa"/>
            <w:bottom w:w="0" w:type="dxa"/>
            <w:right w:w="108" w:type="dxa"/>
          </w:tblCellMar>
        </w:tblPrEx>
        <w:trPr>
          <w:trHeight w:val="493" w:hRule="atLeast"/>
        </w:trPr>
        <w:tc>
          <w:tcPr>
            <w:tcW w:w="3351" w:type="dxa"/>
            <w:gridSpan w:val="2"/>
            <w:tcBorders>
              <w:top w:val="single" w:color="auto" w:sz="4" w:space="0"/>
              <w:left w:val="single" w:color="auto" w:sz="4" w:space="0"/>
              <w:bottom w:val="single" w:color="auto" w:sz="4" w:space="0"/>
              <w:right w:val="single" w:color="auto" w:sz="4" w:space="0"/>
            </w:tcBorders>
            <w:noWrap w:val="0"/>
            <w:vAlign w:val="center"/>
          </w:tcPr>
          <w:p w14:paraId="053779C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eastAsia="zh-CN"/>
              </w:rPr>
              <w:t>基准</w:t>
            </w:r>
            <w:r>
              <w:rPr>
                <w:rFonts w:hint="eastAsia" w:ascii="宋体" w:hAnsi="宋体" w:eastAsia="宋体" w:cs="宋体"/>
                <w:color w:val="auto"/>
                <w:sz w:val="24"/>
                <w:szCs w:val="24"/>
                <w:highlight w:val="none"/>
              </w:rPr>
              <w:t>价（PC）</w:t>
            </w:r>
          </w:p>
        </w:tc>
        <w:tc>
          <w:tcPr>
            <w:tcW w:w="10579" w:type="dxa"/>
            <w:gridSpan w:val="4"/>
            <w:tcBorders>
              <w:top w:val="single" w:color="auto" w:sz="4" w:space="0"/>
              <w:left w:val="single" w:color="auto" w:sz="4" w:space="0"/>
              <w:bottom w:val="single" w:color="auto" w:sz="4" w:space="0"/>
              <w:right w:val="single" w:color="auto" w:sz="4" w:space="0"/>
            </w:tcBorders>
            <w:noWrap w:val="0"/>
            <w:vAlign w:val="center"/>
          </w:tcPr>
          <w:p w14:paraId="3CC24EB2">
            <w:pPr>
              <w:rPr>
                <w:rFonts w:hint="eastAsia" w:ascii="宋体" w:hAnsi="宋体" w:eastAsia="宋体" w:cs="宋体"/>
                <w:color w:val="auto"/>
                <w:sz w:val="24"/>
                <w:szCs w:val="24"/>
                <w:highlight w:val="none"/>
              </w:rPr>
            </w:pPr>
          </w:p>
        </w:tc>
      </w:tr>
    </w:tbl>
    <w:p w14:paraId="71B926D7">
      <w:pPr>
        <w:spacing w:line="276" w:lineRule="auto"/>
        <w:rPr>
          <w:rFonts w:hint="eastAsia" w:ascii="宋体" w:hAnsi="宋体" w:eastAsia="宋体" w:cs="宋体"/>
          <w:color w:val="auto"/>
          <w:szCs w:val="21"/>
          <w:highlight w:val="none"/>
        </w:rPr>
      </w:pPr>
    </w:p>
    <w:p w14:paraId="21E77284">
      <w:pPr>
        <w:widowControl/>
        <w:spacing w:line="400" w:lineRule="atLeast"/>
        <w:ind w:firstLine="420" w:firstLineChars="200"/>
        <w:jc w:val="left"/>
        <w:outlineLvl w:val="9"/>
        <w:rPr>
          <w:rFonts w:hint="eastAsia" w:ascii="宋体" w:hAnsi="宋体" w:eastAsia="宋体" w:cs="宋体"/>
          <w:color w:val="auto"/>
          <w:kern w:val="0"/>
          <w:szCs w:val="21"/>
          <w:highlight w:val="none"/>
          <w:lang w:eastAsia="zh-CN"/>
        </w:rPr>
      </w:pPr>
      <w:r>
        <w:rPr>
          <w:rFonts w:hint="eastAsia" w:ascii="宋体" w:hAnsi="宋体" w:cs="宋体"/>
          <w:color w:val="auto"/>
          <w:szCs w:val="21"/>
          <w:highlight w:val="none"/>
        </w:rPr>
        <w:t>注</w:t>
      </w:r>
      <w:r>
        <w:rPr>
          <w:rFonts w:hint="eastAsia" w:ascii="宋体" w:hAnsi="宋体" w:cs="宋体"/>
          <w:color w:val="auto"/>
          <w:kern w:val="0"/>
          <w:sz w:val="24"/>
          <w:szCs w:val="24"/>
          <w:highlight w:val="none"/>
        </w:rPr>
        <w:t>：</w:t>
      </w:r>
      <w:r>
        <w:rPr>
          <w:rFonts w:hint="eastAsia" w:ascii="宋体" w:hAnsi="宋体" w:cs="宋体"/>
          <w:color w:val="auto"/>
          <w:kern w:val="0"/>
          <w:szCs w:val="21"/>
          <w:highlight w:val="none"/>
        </w:rPr>
        <w:t>1、确定评标基准价</w:t>
      </w:r>
      <w:r>
        <w:rPr>
          <w:rFonts w:hint="eastAsia" w:ascii="宋体" w:hAnsi="宋体" w:cs="宋体"/>
          <w:color w:val="auto"/>
          <w:kern w:val="0"/>
          <w:szCs w:val="21"/>
          <w:highlight w:val="none"/>
          <w:lang w:eastAsia="zh-CN"/>
        </w:rPr>
        <w:t>：</w:t>
      </w:r>
    </w:p>
    <w:p w14:paraId="15397334">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TW"/>
        </w:rPr>
        <w:t>将技术评审得分的前</w:t>
      </w:r>
      <w:r>
        <w:rPr>
          <w:rFonts w:hint="eastAsia" w:ascii="宋体" w:hAnsi="宋体" w:eastAsia="宋体" w:cs="宋体"/>
          <w:color w:val="auto"/>
          <w:kern w:val="0"/>
          <w:sz w:val="21"/>
          <w:szCs w:val="21"/>
          <w:highlight w:val="none"/>
        </w:rPr>
        <w:t>N</w:t>
      </w:r>
      <w:r>
        <w:rPr>
          <w:rFonts w:hint="eastAsia" w:ascii="宋体" w:hAnsi="宋体" w:eastAsia="宋体" w:cs="宋体"/>
          <w:color w:val="auto"/>
          <w:kern w:val="0"/>
          <w:sz w:val="21"/>
          <w:szCs w:val="21"/>
          <w:highlight w:val="none"/>
          <w:lang w:val="zh-TW" w:eastAsia="zh-TW"/>
        </w:rPr>
        <w:t>名排序（若技术评审得分相同的，由评标委员会采用记名投票方式，确定投标人的排序。）</w:t>
      </w:r>
    </w:p>
    <w:p w14:paraId="7F6C998F">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zh-TW" w:eastAsia="zh-CN"/>
        </w:rPr>
        <w:t>）</w:t>
      </w:r>
      <w:r>
        <w:rPr>
          <w:rFonts w:hint="eastAsia" w:ascii="宋体" w:hAnsi="宋体" w:eastAsia="宋体" w:cs="宋体"/>
          <w:color w:val="auto"/>
          <w:kern w:val="0"/>
          <w:sz w:val="21"/>
          <w:szCs w:val="21"/>
          <w:highlight w:val="none"/>
          <w:lang w:val="zh-TW" w:eastAsia="zh-TW"/>
        </w:rPr>
        <w:t>当有效投标报价的投标人少于或等于7个时，取全部有效投标报价的加权平均按随机抽取的评标基准价下浮率(0～3%，0.5一个级别)下浮作为评标基准价。</w:t>
      </w:r>
    </w:p>
    <w:p w14:paraId="7D686DE1">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zh-TW" w:eastAsia="zh-CN"/>
        </w:rPr>
        <w:t>）</w:t>
      </w:r>
      <w:r>
        <w:rPr>
          <w:rFonts w:hint="eastAsia" w:ascii="宋体" w:hAnsi="宋体" w:eastAsia="宋体" w:cs="宋体"/>
          <w:color w:val="auto"/>
          <w:kern w:val="0"/>
          <w:sz w:val="21"/>
          <w:szCs w:val="21"/>
          <w:highlight w:val="none"/>
          <w:lang w:val="zh-TW" w:eastAsia="zh-TW"/>
        </w:rPr>
        <w:t>当有效投标报价的投标人大于7个小于10个时，从全部有效投标报价中去掉一个最大值和最小值，其他有效投标报价的加权平均值按随机抽取的评标基准价下浮率(0～3%，0.5一个级别)下浮作为评标基准价。”</w:t>
      </w:r>
    </w:p>
    <w:p w14:paraId="7D2AA7F2">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TW"/>
        </w:rPr>
        <w:t>3、当有效投标报价的投标人数量大于或等于10时,随机从前10名抽取7个有效投标报价，从中去掉一个最大值和最小值后计算加权平均值,该乎均值按随机抽取的评标基准价下浮率(0～3%，0.5一个级别)下浮作为评标基准价。</w:t>
      </w:r>
    </w:p>
    <w:p w14:paraId="387189E8">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TW"/>
        </w:rPr>
        <w:t>按上述办法确定参与计算评标参考价的投标报价后，计算评标参考价计算公式如下:</w:t>
      </w:r>
    </w:p>
    <w:p w14:paraId="6B55A1D7">
      <w:pPr>
        <w:widowControl/>
        <w:numPr>
          <w:ilvl w:val="-1"/>
          <w:numId w:val="0"/>
        </w:numPr>
        <w:spacing w:beforeLines="-2147483648" w:afterLines="-2147483648" w:line="400" w:lineRule="atLeast"/>
        <w:ind w:firstLine="420" w:firstLineChars="200"/>
        <w:jc w:val="left"/>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TW" w:eastAsia="zh-TW"/>
        </w:rPr>
        <w:t>评标参考价＝∑（投标人的投标报价*报价权重）</w:t>
      </w:r>
    </w:p>
    <w:p w14:paraId="0E9190A0">
      <w:pPr>
        <w:widowControl/>
        <w:spacing w:line="400" w:lineRule="atLeast"/>
        <w:ind w:left="0" w:leftChars="0" w:firstLine="420" w:firstLineChars="200"/>
        <w:jc w:val="left"/>
        <w:outlineLvl w:val="9"/>
        <w:rPr>
          <w:rFonts w:hint="eastAsia" w:ascii="宋体" w:hAnsi="宋体" w:eastAsia="宋体" w:cs="宋体"/>
          <w:color w:val="auto"/>
          <w:kern w:val="0"/>
          <w:sz w:val="21"/>
          <w:szCs w:val="21"/>
          <w:highlight w:val="none"/>
          <w:lang w:val="zh-TW" w:eastAsia="zh-TW"/>
        </w:rPr>
      </w:pPr>
      <w:r>
        <w:rPr>
          <w:rFonts w:hint="eastAsia" w:ascii="宋体" w:hAnsi="宋体" w:eastAsia="宋体" w:cs="宋体"/>
          <w:color w:val="auto"/>
          <w:kern w:val="0"/>
          <w:sz w:val="21"/>
          <w:szCs w:val="21"/>
          <w:highlight w:val="none"/>
          <w:lang w:val="zh-TW" w:eastAsia="zh-TW"/>
        </w:rPr>
        <w:t>其中：报价权重的计算方法为：将N名投标人按技术评审得分由高至低进行排序，第一名投标人的权重为（</w:t>
      </w:r>
      <w:r>
        <w:rPr>
          <w:rFonts w:hint="eastAsia" w:ascii="宋体" w:hAnsi="宋体" w:eastAsia="宋体" w:cs="宋体"/>
          <w:color w:val="auto"/>
          <w:kern w:val="0"/>
          <w:sz w:val="21"/>
          <w:szCs w:val="21"/>
          <w:highlight w:val="none"/>
          <w:lang w:val="zh-TW" w:eastAsia="zh-TW"/>
        </w:rPr>
        <w:drawing>
          <wp:inline distT="0" distB="0" distL="114300" distR="114300">
            <wp:extent cx="235585" cy="286385"/>
            <wp:effectExtent l="0" t="0" r="12065" b="18415"/>
            <wp:docPr id="24" name="图片 4" descr="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图片 10"/>
                    <pic:cNvPicPr>
                      <a:picLocks noChangeAspect="1"/>
                    </pic:cNvPicPr>
                  </pic:nvPicPr>
                  <pic:blipFill>
                    <a:blip r:embed="rId19"/>
                    <a:stretch>
                      <a:fillRect/>
                    </a:stretch>
                  </pic:blipFill>
                  <pic:spPr>
                    <a:xfrm>
                      <a:off x="0" y="0"/>
                      <a:ext cx="235585" cy="286385"/>
                    </a:xfrm>
                    <a:prstGeom prst="rect">
                      <a:avLst/>
                    </a:prstGeom>
                    <a:noFill/>
                    <a:ln w="12700">
                      <a:noFill/>
                    </a:ln>
                  </pic:spPr>
                </pic:pic>
              </a:graphicData>
            </a:graphic>
          </wp:inline>
        </w:drawing>
      </w:r>
      <w:r>
        <w:rPr>
          <w:rFonts w:hint="eastAsia" w:ascii="宋体" w:hAnsi="宋体" w:eastAsia="宋体" w:cs="宋体"/>
          <w:color w:val="auto"/>
          <w:kern w:val="0"/>
          <w:sz w:val="21"/>
          <w:szCs w:val="21"/>
          <w:highlight w:val="none"/>
          <w:lang w:val="zh-TW" w:eastAsia="zh-TW"/>
        </w:rPr>
        <w:t>），第二名投标人的权重为（</w:t>
      </w:r>
      <w:r>
        <w:rPr>
          <w:rFonts w:hint="eastAsia" w:ascii="宋体" w:hAnsi="宋体" w:eastAsia="宋体" w:cs="宋体"/>
          <w:color w:val="auto"/>
          <w:kern w:val="0"/>
          <w:sz w:val="21"/>
          <w:szCs w:val="21"/>
          <w:highlight w:val="none"/>
          <w:lang w:val="zh-TW" w:eastAsia="zh-TW"/>
        </w:rPr>
        <w:drawing>
          <wp:inline distT="0" distB="0" distL="114300" distR="114300">
            <wp:extent cx="236220" cy="283845"/>
            <wp:effectExtent l="0" t="0" r="11430" b="1905"/>
            <wp:docPr id="23" name="图片 5"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图片 11"/>
                    <pic:cNvPicPr>
                      <a:picLocks noChangeAspect="1"/>
                    </pic:cNvPicPr>
                  </pic:nvPicPr>
                  <pic:blipFill>
                    <a:blip r:embed="rId20"/>
                    <a:stretch>
                      <a:fillRect/>
                    </a:stretch>
                  </pic:blipFill>
                  <pic:spPr>
                    <a:xfrm>
                      <a:off x="0" y="0"/>
                      <a:ext cx="236220" cy="283845"/>
                    </a:xfrm>
                    <a:prstGeom prst="rect">
                      <a:avLst/>
                    </a:prstGeom>
                    <a:noFill/>
                    <a:ln w="12700">
                      <a:noFill/>
                    </a:ln>
                  </pic:spPr>
                </pic:pic>
              </a:graphicData>
            </a:graphic>
          </wp:inline>
        </w:drawing>
      </w:r>
      <w:r>
        <w:rPr>
          <w:rFonts w:hint="eastAsia" w:ascii="宋体" w:hAnsi="宋体" w:eastAsia="宋体" w:cs="宋体"/>
          <w:color w:val="auto"/>
          <w:kern w:val="0"/>
          <w:sz w:val="21"/>
          <w:szCs w:val="21"/>
          <w:highlight w:val="none"/>
          <w:lang w:val="zh-TW" w:eastAsia="zh-TW"/>
        </w:rPr>
        <w:t>），以此类推，最后一名投标人的权重为（</w:t>
      </w:r>
      <w:r>
        <w:rPr>
          <w:rFonts w:hint="eastAsia" w:ascii="宋体" w:hAnsi="宋体" w:eastAsia="宋体" w:cs="宋体"/>
          <w:color w:val="auto"/>
          <w:kern w:val="0"/>
          <w:sz w:val="21"/>
          <w:szCs w:val="21"/>
          <w:highlight w:val="none"/>
          <w:lang w:val="zh-TW" w:eastAsia="zh-TW"/>
        </w:rPr>
        <w:drawing>
          <wp:inline distT="0" distB="0" distL="114300" distR="114300">
            <wp:extent cx="236220" cy="283845"/>
            <wp:effectExtent l="0" t="0" r="11430" b="1905"/>
            <wp:docPr id="25" name="图片 6" descr="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图片 12"/>
                    <pic:cNvPicPr>
                      <a:picLocks noChangeAspect="1"/>
                    </pic:cNvPicPr>
                  </pic:nvPicPr>
                  <pic:blipFill>
                    <a:blip r:embed="rId21"/>
                    <a:stretch>
                      <a:fillRect/>
                    </a:stretch>
                  </pic:blipFill>
                  <pic:spPr>
                    <a:xfrm>
                      <a:off x="0" y="0"/>
                      <a:ext cx="236220" cy="283845"/>
                    </a:xfrm>
                    <a:prstGeom prst="rect">
                      <a:avLst/>
                    </a:prstGeom>
                    <a:noFill/>
                    <a:ln w="12700">
                      <a:noFill/>
                    </a:ln>
                  </pic:spPr>
                </pic:pic>
              </a:graphicData>
            </a:graphic>
          </wp:inline>
        </w:drawing>
      </w:r>
      <w:r>
        <w:rPr>
          <w:rFonts w:hint="eastAsia" w:ascii="宋体" w:hAnsi="宋体" w:eastAsia="宋体" w:cs="宋体"/>
          <w:color w:val="auto"/>
          <w:kern w:val="0"/>
          <w:sz w:val="21"/>
          <w:szCs w:val="21"/>
          <w:highlight w:val="none"/>
          <w:lang w:val="zh-TW" w:eastAsia="zh-TW"/>
        </w:rPr>
        <w:t>）。</w:t>
      </w:r>
    </w:p>
    <w:p w14:paraId="78E3A563">
      <w:pPr>
        <w:spacing w:line="276" w:lineRule="auto"/>
        <w:ind w:left="0" w:leftChars="0" w:firstLine="420" w:firstLineChars="200"/>
        <w:rPr>
          <w:rFonts w:hint="eastAsia" w:ascii="宋体" w:hAnsi="宋体" w:cs="宋体"/>
          <w:b w:val="0"/>
          <w:bCs w:val="0"/>
          <w:color w:val="auto"/>
          <w:szCs w:val="21"/>
          <w:highlight w:val="none"/>
        </w:rPr>
      </w:pPr>
      <w:r>
        <w:rPr>
          <w:rFonts w:hint="eastAsia" w:ascii="宋体" w:hAnsi="宋体" w:cs="宋体"/>
          <w:bCs w:val="0"/>
          <w:color w:val="auto"/>
          <w:szCs w:val="21"/>
          <w:highlight w:val="none"/>
        </w:rPr>
        <w:t>2、计算有效投标人的投标报价得分：</w:t>
      </w:r>
      <w:r>
        <w:rPr>
          <w:rFonts w:hint="eastAsia" w:ascii="宋体" w:hAnsi="宋体" w:eastAsia="宋体" w:cs="宋体"/>
          <w:bCs w:val="0"/>
          <w:color w:val="auto"/>
          <w:sz w:val="21"/>
          <w:szCs w:val="21"/>
          <w:highlight w:val="none"/>
        </w:rPr>
        <w:t>当投标人的最终投标报价等于</w:t>
      </w:r>
      <w:r>
        <w:rPr>
          <w:rFonts w:hint="eastAsia" w:ascii="宋体" w:hAnsi="宋体" w:eastAsia="宋体" w:cs="宋体"/>
          <w:bCs w:val="0"/>
          <w:color w:val="auto"/>
          <w:sz w:val="21"/>
          <w:szCs w:val="21"/>
          <w:highlight w:val="none"/>
          <w:lang w:val="en-US" w:eastAsia="zh-CN"/>
        </w:rPr>
        <w:t>或低于</w:t>
      </w:r>
      <w:r>
        <w:rPr>
          <w:rFonts w:hint="eastAsia" w:ascii="宋体" w:hAnsi="宋体" w:eastAsia="宋体" w:cs="宋体"/>
          <w:bCs w:val="0"/>
          <w:color w:val="auto"/>
          <w:sz w:val="21"/>
          <w:szCs w:val="21"/>
          <w:highlight w:val="none"/>
        </w:rPr>
        <w:t>评标</w:t>
      </w:r>
      <w:r>
        <w:rPr>
          <w:rFonts w:hint="eastAsia" w:ascii="宋体" w:hAnsi="宋体" w:eastAsia="宋体" w:cs="宋体"/>
          <w:bCs w:val="0"/>
          <w:color w:val="auto"/>
          <w:sz w:val="21"/>
          <w:szCs w:val="21"/>
          <w:highlight w:val="none"/>
          <w:lang w:val="en-US" w:eastAsia="zh-CN"/>
        </w:rPr>
        <w:t>基准</w:t>
      </w:r>
      <w:r>
        <w:rPr>
          <w:rFonts w:hint="eastAsia" w:ascii="宋体" w:hAnsi="宋体" w:eastAsia="宋体" w:cs="宋体"/>
          <w:bCs w:val="0"/>
          <w:color w:val="auto"/>
          <w:sz w:val="21"/>
          <w:szCs w:val="21"/>
          <w:highlight w:val="none"/>
        </w:rPr>
        <w:t>价时得</w:t>
      </w:r>
      <w:r>
        <w:rPr>
          <w:rFonts w:hint="eastAsia" w:ascii="宋体" w:hAnsi="宋体" w:cs="宋体"/>
          <w:bCs w:val="0"/>
          <w:color w:val="auto"/>
          <w:sz w:val="21"/>
          <w:szCs w:val="21"/>
          <w:highlight w:val="none"/>
          <w:lang w:val="en-US" w:eastAsia="zh-CN"/>
        </w:rPr>
        <w:t>3</w:t>
      </w:r>
      <w:r>
        <w:rPr>
          <w:rFonts w:hint="eastAsia" w:ascii="宋体" w:hAnsi="宋体" w:eastAsia="宋体" w:cs="宋体"/>
          <w:bCs w:val="0"/>
          <w:color w:val="auto"/>
          <w:sz w:val="21"/>
          <w:szCs w:val="21"/>
          <w:highlight w:val="none"/>
        </w:rPr>
        <w:t>0分，</w:t>
      </w:r>
      <w:r>
        <w:rPr>
          <w:rFonts w:hint="eastAsia" w:ascii="宋体" w:hAnsi="宋体" w:eastAsia="宋体" w:cs="宋体"/>
          <w:color w:val="auto"/>
          <w:sz w:val="21"/>
          <w:szCs w:val="21"/>
          <w:highlight w:val="none"/>
          <w:lang w:val="en-US" w:eastAsia="zh-CN"/>
        </w:rPr>
        <w:t>最终投标报价每高于评标参考价1%，扣0.6分，每低于评标参考价1%，扣0.3分，扣至0分为止，得出投标报价得分，</w:t>
      </w:r>
      <w:r>
        <w:rPr>
          <w:rFonts w:hint="eastAsia" w:ascii="宋体" w:hAnsi="宋体" w:eastAsia="宋体" w:cs="宋体"/>
          <w:bCs w:val="0"/>
          <w:color w:val="auto"/>
          <w:sz w:val="21"/>
          <w:szCs w:val="21"/>
          <w:highlight w:val="none"/>
        </w:rPr>
        <w:t>精确到小数点后两位。</w:t>
      </w:r>
    </w:p>
    <w:p w14:paraId="51C8A8F8">
      <w:pPr>
        <w:spacing w:line="276" w:lineRule="auto"/>
        <w:ind w:firstLine="0" w:firstLineChars="0"/>
        <w:rPr>
          <w:rFonts w:hint="eastAsia" w:ascii="宋体" w:hAnsi="宋体" w:eastAsia="宋体" w:cs="宋体"/>
          <w:b w:val="0"/>
          <w:bCs w:val="0"/>
          <w:color w:val="auto"/>
          <w:sz w:val="21"/>
          <w:szCs w:val="21"/>
          <w:highlight w:val="none"/>
        </w:rPr>
      </w:pPr>
    </w:p>
    <w:p w14:paraId="4AC206E9">
      <w:pPr>
        <w:snapToGrid w:val="0"/>
        <w:rPr>
          <w:rFonts w:hint="eastAsia" w:ascii="宋体" w:hAnsi="宋体" w:eastAsia="宋体" w:cs="宋体"/>
          <w:b/>
          <w:bCs/>
          <w:color w:val="auto"/>
          <w:sz w:val="28"/>
          <w:szCs w:val="28"/>
          <w:highlight w:val="none"/>
        </w:rPr>
        <w:sectPr>
          <w:headerReference r:id="rId11" w:type="default"/>
          <w:footerReference r:id="rId12" w:type="default"/>
          <w:pgSz w:w="16838" w:h="11906" w:orient="landscape"/>
          <w:pgMar w:top="1701" w:right="1701" w:bottom="1701" w:left="1417" w:header="851" w:footer="850" w:gutter="0"/>
          <w:pgNumType w:fmt="decimal"/>
          <w:cols w:space="720" w:num="1"/>
          <w:rtlGutter w:val="0"/>
          <w:docGrid w:linePitch="312" w:charSpace="0"/>
        </w:sectPr>
      </w:pPr>
      <w:r>
        <w:rPr>
          <w:rFonts w:hint="eastAsia" w:ascii="宋体" w:hAnsi="宋体" w:eastAsia="宋体" w:cs="宋体"/>
          <w:b/>
          <w:bCs/>
          <w:color w:val="auto"/>
          <w:szCs w:val="21"/>
          <w:highlight w:val="none"/>
        </w:rPr>
        <w:t>全体评委签名：                                                          日期：</w:t>
      </w:r>
    </w:p>
    <w:p w14:paraId="4EF87875">
      <w:pPr>
        <w:pStyle w:val="27"/>
        <w:spacing w:before="156" w:beforeLines="0" w:after="120" w:line="360" w:lineRule="auto"/>
        <w:rPr>
          <w:rFonts w:hint="eastAsia" w:ascii="宋体" w:hAnsi="宋体" w:eastAsia="宋体" w:cs="宋体"/>
          <w:color w:val="auto"/>
          <w:highlight w:val="none"/>
        </w:rPr>
      </w:pPr>
      <w:bookmarkStart w:id="180" w:name="_Toc14152"/>
      <w:bookmarkStart w:id="181" w:name="_Toc93064510"/>
      <w:bookmarkStart w:id="182" w:name="_Toc489230105"/>
      <w:r>
        <w:rPr>
          <w:rFonts w:hint="eastAsia" w:ascii="宋体" w:hAnsi="宋体" w:eastAsia="宋体" w:cs="宋体"/>
          <w:b/>
          <w:color w:val="auto"/>
          <w:spacing w:val="4"/>
          <w:kern w:val="0"/>
          <w:sz w:val="36"/>
          <w:szCs w:val="36"/>
          <w:highlight w:val="none"/>
        </w:rPr>
        <w:t>第6章 用户需求书</w:t>
      </w:r>
      <w:bookmarkEnd w:id="180"/>
      <w:bookmarkEnd w:id="181"/>
    </w:p>
    <w:bookmarkEnd w:id="182"/>
    <w:p w14:paraId="3877FB51">
      <w:pPr>
        <w:bidi w:val="0"/>
        <w:ind w:firstLine="0" w:firstLineChars="0"/>
        <w:jc w:val="center"/>
        <w:rPr>
          <w:rFonts w:hint="eastAsia" w:ascii="宋体" w:hAnsi="宋体" w:eastAsia="宋体" w:cs="宋体"/>
          <w:b/>
          <w:bCs/>
          <w:color w:val="auto"/>
          <w:sz w:val="52"/>
          <w:szCs w:val="52"/>
          <w:highlight w:val="none"/>
          <w:lang w:eastAsia="zh-CN"/>
        </w:rPr>
      </w:pPr>
    </w:p>
    <w:p w14:paraId="53DD7F05">
      <w:pPr>
        <w:pStyle w:val="2"/>
        <w:bidi w:val="0"/>
        <w:rPr>
          <w:rFonts w:hint="eastAsia"/>
          <w:color w:val="auto"/>
          <w:highlight w:val="none"/>
          <w:lang w:eastAsia="zh-CN"/>
        </w:rPr>
      </w:pPr>
    </w:p>
    <w:p w14:paraId="101BF6A0">
      <w:pPr>
        <w:pStyle w:val="5"/>
        <w:bidi w:val="0"/>
        <w:rPr>
          <w:rFonts w:hint="eastAsia"/>
          <w:color w:val="auto"/>
          <w:highlight w:val="none"/>
          <w:lang w:eastAsia="zh-CN"/>
        </w:rPr>
      </w:pPr>
    </w:p>
    <w:p w14:paraId="722F9DF0">
      <w:pPr>
        <w:pStyle w:val="7"/>
        <w:bidi w:val="0"/>
        <w:rPr>
          <w:rFonts w:hint="eastAsia"/>
          <w:color w:val="auto"/>
          <w:highlight w:val="none"/>
          <w:lang w:eastAsia="zh-CN"/>
        </w:rPr>
      </w:pPr>
    </w:p>
    <w:p w14:paraId="4161D66D">
      <w:pPr>
        <w:bidi w:val="0"/>
        <w:rPr>
          <w:rFonts w:hint="eastAsia"/>
          <w:color w:val="auto"/>
          <w:highlight w:val="none"/>
          <w:lang w:eastAsia="zh-CN"/>
        </w:rPr>
      </w:pPr>
    </w:p>
    <w:p w14:paraId="63869C77">
      <w:pPr>
        <w:pStyle w:val="2"/>
        <w:bidi w:val="0"/>
        <w:rPr>
          <w:rFonts w:hint="eastAsia"/>
          <w:color w:val="auto"/>
          <w:highlight w:val="none"/>
          <w:lang w:eastAsia="zh-CN"/>
        </w:rPr>
      </w:pPr>
    </w:p>
    <w:p w14:paraId="176CBE97">
      <w:pPr>
        <w:bidi w:val="0"/>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广州市自来水有限公司北部水厂</w:t>
      </w:r>
    </w:p>
    <w:p w14:paraId="5F98A9E8">
      <w:pPr>
        <w:bidi w:val="0"/>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智慧化系统开发服务项目</w:t>
      </w:r>
    </w:p>
    <w:p w14:paraId="1C8C5FC6">
      <w:pPr>
        <w:widowControl/>
        <w:spacing w:line="360" w:lineRule="auto"/>
        <w:ind w:firstLine="0" w:firstLineChars="0"/>
        <w:jc w:val="center"/>
        <w:rPr>
          <w:rFonts w:hint="eastAsia" w:ascii="宋体" w:hAnsi="宋体" w:eastAsia="宋体" w:cs="宋体"/>
          <w:b/>
          <w:bCs/>
          <w:color w:val="auto"/>
          <w:kern w:val="0"/>
          <w:sz w:val="52"/>
          <w:szCs w:val="52"/>
          <w:highlight w:val="none"/>
          <w:lang w:eastAsia="zh-CN"/>
        </w:rPr>
      </w:pPr>
      <w:r>
        <w:rPr>
          <w:rFonts w:hint="eastAsia" w:ascii="宋体" w:hAnsi="宋体" w:eastAsia="宋体" w:cs="宋体"/>
          <w:b/>
          <w:bCs/>
          <w:color w:val="auto"/>
          <w:sz w:val="52"/>
          <w:szCs w:val="52"/>
          <w:highlight w:val="none"/>
          <w:lang w:eastAsia="zh-CN"/>
        </w:rPr>
        <w:t>技术要求</w:t>
      </w:r>
    </w:p>
    <w:p w14:paraId="26EC52C2">
      <w:pPr>
        <w:widowControl/>
        <w:spacing w:line="360" w:lineRule="auto"/>
        <w:ind w:firstLine="643" w:firstLineChars="200"/>
        <w:jc w:val="center"/>
        <w:rPr>
          <w:rFonts w:hint="eastAsia" w:ascii="宋体" w:hAnsi="宋体" w:cs="Times New Roman"/>
          <w:b/>
          <w:color w:val="auto"/>
          <w:kern w:val="0"/>
          <w:sz w:val="32"/>
          <w:highlight w:val="none"/>
          <w:lang w:eastAsia="zh-CN"/>
        </w:rPr>
      </w:pPr>
    </w:p>
    <w:p w14:paraId="7E5BCBC7">
      <w:pPr>
        <w:widowControl w:val="0"/>
        <w:spacing w:before="120" w:after="120" w:line="360" w:lineRule="auto"/>
        <w:ind w:left="420" w:leftChars="200" w:firstLine="643" w:firstLineChars="200"/>
        <w:jc w:val="left"/>
        <w:rPr>
          <w:rFonts w:hint="eastAsia" w:ascii="宋体" w:hAnsi="宋体" w:eastAsia="宋体" w:cs="Times New Roman"/>
          <w:b/>
          <w:color w:val="auto"/>
          <w:kern w:val="2"/>
          <w:sz w:val="32"/>
          <w:szCs w:val="24"/>
          <w:highlight w:val="none"/>
          <w:lang w:val="en-US" w:eastAsia="zh-CN" w:bidi="ar-SA"/>
        </w:rPr>
      </w:pPr>
    </w:p>
    <w:p w14:paraId="2BEDB02D">
      <w:pPr>
        <w:widowControl w:val="0"/>
        <w:spacing w:before="120" w:after="120" w:line="360" w:lineRule="auto"/>
        <w:ind w:left="420" w:leftChars="200" w:firstLine="643" w:firstLineChars="200"/>
        <w:jc w:val="left"/>
        <w:rPr>
          <w:rFonts w:hint="eastAsia" w:ascii="宋体" w:hAnsi="宋体" w:eastAsia="宋体" w:cs="Times New Roman"/>
          <w:b/>
          <w:color w:val="auto"/>
          <w:kern w:val="2"/>
          <w:sz w:val="32"/>
          <w:szCs w:val="24"/>
          <w:highlight w:val="none"/>
          <w:lang w:val="en-US" w:eastAsia="zh-CN" w:bidi="ar-SA"/>
        </w:rPr>
      </w:pPr>
    </w:p>
    <w:p w14:paraId="2115577B">
      <w:pPr>
        <w:spacing w:after="120" w:line="360" w:lineRule="auto"/>
        <w:ind w:firstLine="321" w:firstLineChars="100"/>
        <w:jc w:val="both"/>
        <w:rPr>
          <w:rFonts w:hint="eastAsia" w:ascii="宋体" w:hAnsi="宋体" w:eastAsia="宋体" w:cs="Times New Roman"/>
          <w:b/>
          <w:color w:val="auto"/>
          <w:sz w:val="32"/>
          <w:highlight w:val="none"/>
          <w:lang w:val="en-US" w:eastAsia="zh-CN" w:bidi="ar-SA"/>
        </w:rPr>
      </w:pPr>
    </w:p>
    <w:p w14:paraId="0656D653">
      <w:pPr>
        <w:spacing w:after="120" w:line="360" w:lineRule="auto"/>
        <w:ind w:firstLine="321" w:firstLineChars="100"/>
        <w:jc w:val="both"/>
        <w:rPr>
          <w:rFonts w:hint="eastAsia" w:ascii="宋体" w:hAnsi="宋体" w:eastAsia="宋体" w:cs="Times New Roman"/>
          <w:b/>
          <w:color w:val="auto"/>
          <w:sz w:val="32"/>
          <w:highlight w:val="none"/>
          <w:lang w:val="en-US" w:eastAsia="zh-CN" w:bidi="ar-SA"/>
        </w:rPr>
      </w:pPr>
    </w:p>
    <w:p w14:paraId="533637DD">
      <w:pPr>
        <w:spacing w:after="120" w:line="360" w:lineRule="auto"/>
        <w:ind w:firstLine="321" w:firstLineChars="100"/>
        <w:jc w:val="both"/>
        <w:rPr>
          <w:rFonts w:hint="eastAsia" w:ascii="宋体" w:hAnsi="宋体" w:eastAsia="宋体" w:cs="Times New Roman"/>
          <w:b/>
          <w:color w:val="auto"/>
          <w:sz w:val="32"/>
          <w:highlight w:val="none"/>
          <w:lang w:val="en-US" w:eastAsia="zh-CN" w:bidi="ar-SA"/>
        </w:rPr>
      </w:pPr>
    </w:p>
    <w:p w14:paraId="222F6E9D">
      <w:pPr>
        <w:spacing w:after="120" w:line="360" w:lineRule="auto"/>
        <w:ind w:firstLine="321" w:firstLineChars="100"/>
        <w:jc w:val="both"/>
        <w:rPr>
          <w:rFonts w:hint="eastAsia" w:ascii="宋体" w:hAnsi="宋体" w:eastAsia="宋体" w:cs="Times New Roman"/>
          <w:b/>
          <w:color w:val="auto"/>
          <w:sz w:val="32"/>
          <w:highlight w:val="none"/>
          <w:lang w:val="en-US" w:eastAsia="zh-CN" w:bidi="ar-SA"/>
        </w:rPr>
      </w:pPr>
    </w:p>
    <w:p w14:paraId="7398C94A">
      <w:pPr>
        <w:spacing w:after="120" w:line="360" w:lineRule="auto"/>
        <w:ind w:firstLine="321" w:firstLineChars="100"/>
        <w:jc w:val="both"/>
        <w:rPr>
          <w:rFonts w:hint="eastAsia" w:ascii="宋体" w:hAnsi="宋体" w:eastAsia="宋体" w:cs="Times New Roman"/>
          <w:b/>
          <w:color w:val="auto"/>
          <w:sz w:val="32"/>
          <w:highlight w:val="none"/>
          <w:lang w:val="en-US" w:eastAsia="zh-CN" w:bidi="ar-SA"/>
        </w:rPr>
      </w:pPr>
    </w:p>
    <w:p w14:paraId="41149F90">
      <w:pPr>
        <w:spacing w:after="120" w:afterLines="0" w:line="360" w:lineRule="auto"/>
        <w:ind w:firstLine="482" w:firstLineChars="150"/>
        <w:jc w:val="both"/>
        <w:rPr>
          <w:rFonts w:hint="eastAsia" w:ascii="宋体" w:hAnsi="宋体" w:eastAsia="宋体" w:cs="Times New Roman"/>
          <w:b/>
          <w:color w:val="auto"/>
          <w:sz w:val="32"/>
          <w:szCs w:val="20"/>
          <w:highlight w:val="none"/>
          <w:lang w:val="en-US" w:eastAsia="zh-CN" w:bidi="ar-SA"/>
        </w:rPr>
      </w:pPr>
    </w:p>
    <w:p w14:paraId="33F18854">
      <w:pPr>
        <w:widowControl/>
        <w:spacing w:line="360" w:lineRule="auto"/>
        <w:jc w:val="both"/>
        <w:rPr>
          <w:rFonts w:ascii="Times New Roman" w:hAnsi="Times New Roman" w:eastAsia="宋体" w:cs="Times New Roman"/>
          <w:b/>
          <w:color w:val="auto"/>
          <w:kern w:val="0"/>
          <w:sz w:val="56"/>
          <w:szCs w:val="22"/>
          <w:highlight w:val="none"/>
          <w:lang w:eastAsia="zh-CN"/>
        </w:rPr>
      </w:pPr>
    </w:p>
    <w:p w14:paraId="00004B37">
      <w:pPr>
        <w:tabs>
          <w:tab w:val="right" w:leader="dot" w:pos="8312"/>
        </w:tabs>
        <w:spacing w:line="360" w:lineRule="auto"/>
        <w:ind w:firstLine="800" w:firstLineChars="200"/>
        <w:jc w:val="center"/>
        <w:rPr>
          <w:rFonts w:ascii="Times New Roman" w:hAnsi="Times New Roman" w:eastAsia="宋体" w:cs="Times New Roman"/>
          <w:color w:val="auto"/>
          <w:sz w:val="40"/>
          <w:szCs w:val="28"/>
          <w:highlight w:val="none"/>
          <w:lang w:val="en-US" w:eastAsia="zh-CN" w:bidi="ar-SA"/>
        </w:rPr>
      </w:pPr>
      <w:bookmarkStart w:id="183" w:name="OLE_LINK2"/>
      <w:r>
        <w:rPr>
          <w:rFonts w:hint="eastAsia" w:ascii="Times New Roman" w:hAnsi="Times New Roman" w:eastAsia="宋体" w:cs="Times New Roman"/>
          <w:color w:val="auto"/>
          <w:sz w:val="40"/>
          <w:szCs w:val="28"/>
          <w:highlight w:val="none"/>
          <w:lang w:val="en-US" w:eastAsia="zh-CN" w:bidi="ar-SA"/>
        </w:rPr>
        <w:t>目录</w:t>
      </w:r>
    </w:p>
    <w:p w14:paraId="4AB1126D">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zh-CN" w:bidi="ar-SA"/>
        </w:rPr>
        <w:fldChar w:fldCharType="begin"/>
      </w:r>
      <w:r>
        <w:rPr>
          <w:rFonts w:hint="eastAsia" w:ascii="Times New Roman" w:hAnsi="Times New Roman" w:eastAsia="宋体" w:cs="Times New Roman"/>
          <w:color w:val="auto"/>
          <w:sz w:val="24"/>
          <w:highlight w:val="none"/>
          <w:lang w:val="en-US" w:eastAsia="zh-CN" w:bidi="ar-SA"/>
        </w:rPr>
        <w:instrText xml:space="preserve">TOC \o "1-3" \h \u </w:instrText>
      </w:r>
      <w:r>
        <w:rPr>
          <w:rFonts w:hint="eastAsia" w:ascii="Times New Roman" w:hAnsi="Times New Roman" w:eastAsia="宋体" w:cs="Times New Roman"/>
          <w:color w:val="auto"/>
          <w:sz w:val="24"/>
          <w:highlight w:val="none"/>
          <w:lang w:val="en-US" w:eastAsia="zh-CN" w:bidi="ar-SA"/>
        </w:rPr>
        <w:fldChar w:fldCharType="separate"/>
      </w:r>
      <w:r>
        <w:rPr>
          <w:rFonts w:hint="eastAsia" w:ascii="Times New Roman" w:hAnsi="Times New Roman" w:eastAsia="宋体" w:cs="Times New Roman"/>
          <w:color w:val="auto"/>
          <w:sz w:val="24"/>
          <w:highlight w:val="none"/>
          <w:lang w:val="en-US" w:eastAsia="zh-CN" w:bidi="ar-SA"/>
        </w:rPr>
        <w:fldChar w:fldCharType="begin"/>
      </w:r>
      <w:r>
        <w:rPr>
          <w:rFonts w:hint="eastAsia" w:ascii="Times New Roman" w:hAnsi="Times New Roman" w:eastAsia="宋体" w:cs="Times New Roman"/>
          <w:color w:val="auto"/>
          <w:sz w:val="24"/>
          <w:highlight w:val="none"/>
          <w:lang w:val="en-US" w:eastAsia="zh-CN" w:bidi="ar-SA"/>
        </w:rPr>
        <w:instrText xml:space="preserve"> HYPERLINK \l _Toc30098 </w:instrText>
      </w:r>
      <w:r>
        <w:rPr>
          <w:rFonts w:hint="eastAsia" w:ascii="Times New Roman" w:hAnsi="Times New Roman" w:eastAsia="宋体" w:cs="Times New Roman"/>
          <w:color w:val="auto"/>
          <w:sz w:val="24"/>
          <w:highlight w:val="none"/>
          <w:lang w:val="en-US" w:eastAsia="zh-CN" w:bidi="ar-SA"/>
        </w:rPr>
        <w:fldChar w:fldCharType="separate"/>
      </w:r>
      <w:r>
        <w:rPr>
          <w:rFonts w:hint="eastAsia" w:ascii="Times New Roman" w:hAnsi="Times New Roman" w:eastAsia="宋体" w:cs="Times New Roman"/>
          <w:color w:val="auto"/>
          <w:sz w:val="24"/>
          <w:highlight w:val="none"/>
          <w:lang w:val="en-US" w:eastAsia="zh-CN" w:bidi="ar-SA"/>
        </w:rPr>
        <w:t>第一章 概述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_Toc30098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zh-CN" w:bidi="ar-SA"/>
        </w:rPr>
        <w:fldChar w:fldCharType="end"/>
      </w:r>
    </w:p>
    <w:p w14:paraId="2072E3B5">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_Toc24002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1.1 项目背景</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_Toc24002 \h </w:instrText>
      </w:r>
      <w:r>
        <w:rPr>
          <w:rFonts w:ascii="Times New Roman" w:hAnsi="Times New Roman" w:eastAsia="宋体" w:cs="Times New Roman"/>
          <w:color w:val="auto"/>
          <w:sz w:val="24"/>
          <w:highlight w:val="none"/>
          <w:lang w:val="en-US" w:eastAsia="en-US" w:bidi="ar-SA"/>
        </w:rPr>
        <w:fldChar w:fldCharType="separate"/>
      </w:r>
      <w:r>
        <w:rPr>
          <w:b/>
          <w:color w:val="auto"/>
          <w:highlight w:val="none"/>
        </w:rPr>
        <w:t>错误！未定义书签。</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DCF2F63">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_Toc3384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 xml:space="preserve">1.2 </w:t>
      </w:r>
      <w:r>
        <w:rPr>
          <w:rFonts w:hint="eastAsia" w:ascii="Times New Roman" w:hAnsi="Times New Roman" w:eastAsia="宋体" w:cs="Times New Roman"/>
          <w:caps/>
          <w:color w:val="auto"/>
          <w:sz w:val="24"/>
          <w:highlight w:val="none"/>
          <w:lang w:val="en-US" w:eastAsia="zh-CN" w:bidi="ar-SA"/>
        </w:rPr>
        <w:t>智慧水务现状</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_Toc3384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7608D82">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_Toc9583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1.3 建设目标</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_Toc9583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150663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_Toc3315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1.3.1 水厂生产控制方面</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_Toc3315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6D9D36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_Toc6689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1.3.2 水厂经营方面</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_Toc6689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96A4AE8">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_Toc27353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1.3.3 公司管理方面</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_Toc27353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73FD11A">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_Toc1436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1.4 建设原则</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_Toc1436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4BD636A">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_Toc28033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1.5 参考标准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_Toc28033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6161E36">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_Toc12404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1.6 合同范围</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_Toc12404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6F75EA4">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_Toc20002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1.7 与其他供货商的分界面</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_Toc20002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5FD555A">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_Toc32307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1.8 中标人的职责范围</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_Toc32307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53353DC">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_Toc23715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1.9 需提交的图纸和技术文件</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_Toc23715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2F61BFB">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_Toc6042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1.10 二次深化要求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_Toc6042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3D62373">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_Toc15695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1.11 优先性</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_Toc15695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092C359">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_Toc31764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1.12 设计联络</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_Toc31764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3558D70">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_Toc21769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1.13 进度表</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_Toc21769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00C5F30">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_Toc23442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第二章 顶层设计</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_Toc23442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1895179">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_Toc24622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2.1 </w:t>
      </w:r>
      <w:r>
        <w:rPr>
          <w:rFonts w:ascii="Times New Roman" w:hAnsi="Times New Roman" w:eastAsia="宋体" w:cs="Times New Roman"/>
          <w:color w:val="auto"/>
          <w:sz w:val="24"/>
          <w:highlight w:val="none"/>
          <w:lang w:val="en-US" w:eastAsia="zh-CN" w:bidi="ar-SA"/>
        </w:rPr>
        <w:t>公司的总体情况</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_Toc24622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DE62019">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_Toc25701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2.2 </w:t>
      </w:r>
      <w:r>
        <w:rPr>
          <w:rFonts w:ascii="Times New Roman" w:hAnsi="Times New Roman" w:eastAsia="宋体" w:cs="Times New Roman"/>
          <w:color w:val="auto"/>
          <w:sz w:val="24"/>
          <w:highlight w:val="none"/>
          <w:lang w:val="en-US" w:eastAsia="zh-CN" w:bidi="ar-SA"/>
        </w:rPr>
        <w:t>供水云平台架构</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_Toc25701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70E5459">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_Toc20879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2.2.1 整体架构</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_Toc20879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EDA2991">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_Toc19669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2.2.2 边缘层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_Toc19669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A63781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_Toc16931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2.2.3 IaaS层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_Toc16931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7FEF94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_Toc24198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2.2.4 PaaS层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_Toc24198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5B3A4C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_Toc16228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2.2.5 SaaS层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_Toc16228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D94ACA1">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_Toc14825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2.3 </w:t>
      </w:r>
      <w:r>
        <w:rPr>
          <w:rFonts w:ascii="Times New Roman" w:hAnsi="Times New Roman" w:eastAsia="宋体" w:cs="Times New Roman"/>
          <w:color w:val="auto"/>
          <w:sz w:val="24"/>
          <w:highlight w:val="none"/>
          <w:lang w:val="en-US" w:eastAsia="zh-CN" w:bidi="ar-SA"/>
        </w:rPr>
        <w:t>应用现状</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_Toc14825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2132AD8">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_Toc30064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2.3.1 “源厂站网端”全要素物联感知</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_Toc30064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E8053B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_Toc31303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2.3.2 源厂站网端”全链条智慧管控</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_Toc31303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D7DD218">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_Toc23403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2.3.3 管网监测预警、评估诊断、智慧调度</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_Toc23403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F188F7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_Toc26419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2.3.4 网格精细化管理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_Toc26419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69AFE0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_Toc31667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2.3.5 二次供水智慧监控</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_Toc31667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FB34AE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_Toc1625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2.3.6 用户终端智能服务、优化营商环境</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_Toc1625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69D3BE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_Toc32481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2.3.7 全面开展应急管理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_Toc32481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19E234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_Toc14605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2.3.8 业财融合促进项目全过程管理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_Toc14605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24B6963">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_Toc6064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2.3.9 智能化资产全生命周期管理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_Toc6064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8DDBAF8">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_Toc8001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第三章 项目总体设计方案</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_Toc8001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A76C744">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_Toc17432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3.1 </w:t>
      </w:r>
      <w:r>
        <w:rPr>
          <w:rFonts w:ascii="Times New Roman" w:hAnsi="Times New Roman" w:eastAsia="宋体" w:cs="Times New Roman"/>
          <w:color w:val="auto"/>
          <w:sz w:val="24"/>
          <w:highlight w:val="none"/>
          <w:lang w:val="en-US" w:eastAsia="zh-CN" w:bidi="ar-SA"/>
        </w:rPr>
        <w:t>项目总体目标</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_Toc17432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661959E">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_Toc27729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3.1.1 实现水厂少/无人控制运行</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_Toc27729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36D91D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_Toc7446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3.1.2 远程与移动监管</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_Toc7446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10495D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_Toc1380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3.1.3 全面的信息感知</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_Toc1380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4803343">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_Toc14291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3.1.4 高可靠的水厂运营安全性</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_Toc14291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8CF7059">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_Toc3307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3.1.5 绩效指标管理与分析</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_Toc3307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ED9EC2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_Toc32035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3.1.6 具备科学决策水平</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_Toc32035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B682822">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_Toc32749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3.2 </w:t>
      </w:r>
      <w:r>
        <w:rPr>
          <w:rFonts w:ascii="Times New Roman" w:hAnsi="Times New Roman" w:eastAsia="宋体" w:cs="Times New Roman"/>
          <w:color w:val="auto"/>
          <w:sz w:val="24"/>
          <w:highlight w:val="none"/>
          <w:lang w:val="en-US" w:eastAsia="zh-CN" w:bidi="ar-SA"/>
        </w:rPr>
        <w:t>北部水厂智慧</w:t>
      </w:r>
      <w:r>
        <w:rPr>
          <w:rFonts w:hint="eastAsia" w:ascii="Times New Roman" w:hAnsi="Times New Roman" w:eastAsia="宋体" w:cs="Times New Roman"/>
          <w:color w:val="auto"/>
          <w:sz w:val="24"/>
          <w:highlight w:val="none"/>
          <w:lang w:val="en-US" w:eastAsia="zh-CN" w:bidi="ar-SA"/>
        </w:rPr>
        <w:t>化</w:t>
      </w:r>
      <w:r>
        <w:rPr>
          <w:rFonts w:ascii="Times New Roman" w:hAnsi="Times New Roman" w:eastAsia="宋体" w:cs="Times New Roman"/>
          <w:color w:val="auto"/>
          <w:sz w:val="24"/>
          <w:highlight w:val="none"/>
          <w:lang w:val="en-US" w:eastAsia="zh-CN" w:bidi="ar-SA"/>
        </w:rPr>
        <w:t>系统架构设计</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_Toc32749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49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84E8D71">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_Toc22381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3.2.1 设备层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_Toc22381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50</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B6FFEA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_Toc25283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3.2.2 智慧控制层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_Toc25283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598BC2B">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_Toc14059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3.2.3 业务支持层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_Toc14059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4F6D64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_Toc5348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3.2.4 运营决策</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_Toc5348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C18F9EE">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_Toc29912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3.3 </w:t>
      </w:r>
      <w:r>
        <w:rPr>
          <w:rFonts w:ascii="Times New Roman" w:hAnsi="Times New Roman" w:eastAsia="宋体" w:cs="Times New Roman"/>
          <w:color w:val="auto"/>
          <w:sz w:val="24"/>
          <w:highlight w:val="none"/>
          <w:lang w:val="en-US" w:eastAsia="zh-CN" w:bidi="ar-SA"/>
        </w:rPr>
        <w:t>智慧控制与PLC控制的关系</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_Toc29912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1579C7D">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_Toc3025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3.4 </w:t>
      </w:r>
      <w:r>
        <w:rPr>
          <w:rFonts w:ascii="Times New Roman" w:hAnsi="Times New Roman" w:eastAsia="宋体" w:cs="Times New Roman"/>
          <w:color w:val="auto"/>
          <w:sz w:val="24"/>
          <w:highlight w:val="none"/>
          <w:lang w:val="en-US" w:eastAsia="zh-CN" w:bidi="ar-SA"/>
        </w:rPr>
        <w:t>智慧水厂系统与智慧供水云平台关系</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_Toc3025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DE9C833">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_Toc29975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3.5 </w:t>
      </w:r>
      <w:r>
        <w:rPr>
          <w:rFonts w:ascii="Times New Roman" w:hAnsi="Times New Roman" w:eastAsia="宋体" w:cs="Times New Roman"/>
          <w:color w:val="auto"/>
          <w:sz w:val="24"/>
          <w:highlight w:val="none"/>
          <w:lang w:val="en-US" w:eastAsia="zh-CN" w:bidi="ar-SA"/>
        </w:rPr>
        <w:t>项目功能实现的方法</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_Toc29975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C95382F">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_Toc30369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3.5.1 拓展物联网接入内容</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_Toc30369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A63A25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_Toc8735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3.5.2 构建北部水厂数据中心</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_Toc8735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DEBA73F">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_Toc5828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3.5.3 业务功能点的编制</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_Toc5828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0B984A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_Toc32042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3.5.4 业务流程实现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_Toc32042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9F9A72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_Toc16364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3.5.5 AI推理算法部署方法</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_Toc16364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30C460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_Toc3321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3.5.6 系统设计的实现技术路径</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_Toc3321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9058D2F">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_Toc16454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3.6 </w:t>
      </w:r>
      <w:r>
        <w:rPr>
          <w:rFonts w:ascii="Times New Roman" w:hAnsi="Times New Roman" w:eastAsia="宋体" w:cs="Times New Roman"/>
          <w:color w:val="auto"/>
          <w:sz w:val="24"/>
          <w:highlight w:val="none"/>
          <w:lang w:val="en-US" w:eastAsia="zh-CN" w:bidi="ar-SA"/>
        </w:rPr>
        <w:t>网络结构描述和搭建要求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_Toc16454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59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87E9BEE">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_Toc1971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3.7 项目实现目标主要参数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_Toc1971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5347EB0">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_Toc15202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第四章 详细软件业务功能</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_Toc15202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F33B0FB">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_Toc14494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4.1 AI大模型平台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_Toc14494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CFDA41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_Toc5504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 xml:space="preserve">4.1.1 </w:t>
      </w:r>
      <w:r>
        <w:rPr>
          <w:rFonts w:ascii="Times New Roman" w:hAnsi="Times New Roman" w:eastAsia="宋体" w:cs="Times New Roman"/>
          <w:color w:val="auto"/>
          <w:sz w:val="24"/>
          <w:highlight w:val="none"/>
          <w:lang w:val="en-US" w:eastAsia="zh-CN" w:bidi="ar-SA"/>
        </w:rPr>
        <w:t>大模型</w:t>
      </w:r>
      <w:r>
        <w:rPr>
          <w:rFonts w:hint="eastAsia" w:ascii="Times New Roman" w:hAnsi="Times New Roman" w:eastAsia="宋体" w:cs="Times New Roman"/>
          <w:color w:val="auto"/>
          <w:sz w:val="24"/>
          <w:highlight w:val="none"/>
          <w:lang w:val="en-US" w:eastAsia="zh-CN" w:bidi="ar-SA"/>
        </w:rPr>
        <w:t>管理</w:t>
      </w:r>
      <w:r>
        <w:rPr>
          <w:rFonts w:ascii="Times New Roman" w:hAnsi="Times New Roman" w:eastAsia="宋体" w:cs="Times New Roman"/>
          <w:color w:val="auto"/>
          <w:sz w:val="24"/>
          <w:highlight w:val="none"/>
          <w:lang w:val="en-US" w:eastAsia="zh-CN" w:bidi="ar-SA"/>
        </w:rPr>
        <w:t>平台要求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_Toc5504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3E9706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_Toc26823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 xml:space="preserve">4.1.2 </w:t>
      </w:r>
      <w:r>
        <w:rPr>
          <w:rFonts w:hint="eastAsia" w:ascii="Times New Roman" w:hAnsi="Times New Roman" w:eastAsia="宋体" w:cs="Times New Roman"/>
          <w:color w:val="auto"/>
          <w:sz w:val="24"/>
          <w:highlight w:val="none"/>
          <w:lang w:val="en-US" w:eastAsia="zh-CN" w:bidi="ar-SA"/>
        </w:rPr>
        <w:t>大模型</w:t>
      </w:r>
      <w:r>
        <w:rPr>
          <w:rFonts w:hint="eastAsia" w:ascii="Times New Roman" w:hAnsi="Times New Roman" w:eastAsia="宋体" w:cs="Times New Roman"/>
          <w:color w:val="auto"/>
          <w:sz w:val="24"/>
          <w:highlight w:val="none"/>
          <w:lang w:val="en-US" w:eastAsia="en-US" w:bidi="ar-SA"/>
        </w:rPr>
        <w:t>应用开发平台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_Toc26823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65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71C8BEA">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_Toc14875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4.1.3 </w:t>
      </w:r>
      <w:r>
        <w:rPr>
          <w:rFonts w:ascii="Times New Roman" w:hAnsi="Times New Roman" w:eastAsia="宋体" w:cs="Times New Roman"/>
          <w:color w:val="auto"/>
          <w:sz w:val="24"/>
          <w:highlight w:val="none"/>
          <w:lang w:val="en-US" w:eastAsia="zh-CN" w:bidi="ar-SA"/>
        </w:rPr>
        <w:t>AI</w:t>
      </w:r>
      <w:r>
        <w:rPr>
          <w:rFonts w:hint="eastAsia" w:ascii="Times New Roman" w:hAnsi="Times New Roman" w:eastAsia="宋体" w:cs="Times New Roman"/>
          <w:color w:val="auto"/>
          <w:sz w:val="24"/>
          <w:highlight w:val="none"/>
          <w:lang w:val="en-US" w:eastAsia="zh-CN" w:bidi="ar-SA"/>
        </w:rPr>
        <w:t>开发</w:t>
      </w:r>
      <w:r>
        <w:rPr>
          <w:rFonts w:ascii="Times New Roman" w:hAnsi="Times New Roman" w:eastAsia="宋体" w:cs="Times New Roman"/>
          <w:color w:val="auto"/>
          <w:sz w:val="24"/>
          <w:highlight w:val="none"/>
          <w:lang w:val="en-US" w:eastAsia="zh-CN" w:bidi="ar-SA"/>
        </w:rPr>
        <w:t>平台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_Toc14875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75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A1CF3CB">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_Toc2521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4.2 智慧生产控制模块</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_Toc2521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84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29DD4F1">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_Toc7342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4.2.1 </w:t>
      </w:r>
      <w:r>
        <w:rPr>
          <w:rFonts w:ascii="Times New Roman" w:hAnsi="Times New Roman" w:eastAsia="宋体" w:cs="Times New Roman"/>
          <w:color w:val="auto"/>
          <w:sz w:val="24"/>
          <w:highlight w:val="none"/>
          <w:lang w:val="en-US" w:eastAsia="zh-CN" w:bidi="ar-SA"/>
        </w:rPr>
        <w:t>概述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_Toc7342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84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8615EF9">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_Toc15753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4.2.2 智慧控制AI算法需求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_Toc15753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84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D10AD5A">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_Toc22879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4.2.3 智慧控制</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_Toc22879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F401EE8">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_Toc32283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4.2.4 生产交互控制系统</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_Toc32283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128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57A9A2F">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_Toc3293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 智慧运营</w:t>
      </w:r>
      <w:r>
        <w:rPr>
          <w:rFonts w:ascii="Times New Roman" w:hAnsi="Times New Roman" w:eastAsia="宋体" w:cs="Times New Roman"/>
          <w:color w:val="auto"/>
          <w:sz w:val="24"/>
          <w:highlight w:val="none"/>
          <w:lang w:val="en-US" w:eastAsia="zh-CN" w:bidi="ar-SA"/>
        </w:rPr>
        <w:t>模块</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_Toc3293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BD483DE">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_Toc30883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4.3.1 概述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_Toc30883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8130EF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_Toc95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4.3.2 </w:t>
      </w:r>
      <w:r>
        <w:rPr>
          <w:rFonts w:ascii="Times New Roman" w:hAnsi="Times New Roman" w:eastAsia="宋体" w:cs="Times New Roman"/>
          <w:color w:val="auto"/>
          <w:sz w:val="24"/>
          <w:highlight w:val="none"/>
          <w:lang w:val="en-US" w:eastAsia="zh-CN" w:bidi="ar-SA"/>
        </w:rPr>
        <w:t>模块功能和数据管理概述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_Toc95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48245DF">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_Toc3695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4.3.3 </w:t>
      </w:r>
      <w:r>
        <w:rPr>
          <w:rFonts w:ascii="Times New Roman" w:hAnsi="Times New Roman" w:eastAsia="宋体" w:cs="Times New Roman"/>
          <w:color w:val="auto"/>
          <w:sz w:val="24"/>
          <w:highlight w:val="none"/>
          <w:lang w:val="en-US" w:eastAsia="zh-CN" w:bidi="ar-SA"/>
        </w:rPr>
        <w:t>生产运行监控管理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_Toc3695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74B891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_Toc8484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Arial" w:hAnsi="Arial" w:eastAsia="宋体" w:cs="Times New Roman"/>
          <w:color w:val="auto"/>
          <w:sz w:val="24"/>
          <w:highlight w:val="none"/>
          <w:lang w:val="en-US" w:eastAsia="zh-CN" w:bidi="ar-SA"/>
        </w:rPr>
        <w:t>4.3.4 综合运营管理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_Toc8484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39B6D8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_Toc27715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4.3.5 设备智慧管理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_Toc27715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98B516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_Toc4954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4.3.6 智能巡检管理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_Toc4954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138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95CEE3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_Toc3627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4.3.7 化验室管理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_Toc3627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30E02A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_Toc28969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4.3.8 应急事件管理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_Toc28969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2EFBAA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_Toc8909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4.3.9 水厂仿真和预测分析</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_Toc8909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A4B6796">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_Toc16181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4.3.10 碳管理主题分析</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_Toc16181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8C9D61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_Toc21105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4.3.11 生产成本管理主题分析</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_Toc21105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5056D45">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_Toc10773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4.4 </w:t>
      </w:r>
      <w:r>
        <w:rPr>
          <w:rFonts w:ascii="Times New Roman" w:hAnsi="Times New Roman" w:eastAsia="宋体" w:cs="Times New Roman"/>
          <w:color w:val="auto"/>
          <w:sz w:val="24"/>
          <w:highlight w:val="none"/>
          <w:lang w:val="en-US" w:eastAsia="zh-CN" w:bidi="ar-SA"/>
        </w:rPr>
        <w:t>智慧决策模块</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_Toc10773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B667FB8">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_Toc20242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4.4.1 概述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_Toc20242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28CCAF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_Toc31885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4.4.2 数字孪生</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_Toc31885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148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D2B4013">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_Toc32313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4.4.3 视频智能平台</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_Toc32313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8FE2FC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_Toc21108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4.4.4 安全生产系统</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_Toc21108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77C948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_Toc3402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4.4.5 大模型智慧决策</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_Toc3402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169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D2EA299">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_Toc22937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第五章 主要软件采购清单</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_Toc22937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177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263B6FA">
      <w:pPr>
        <w:tabs>
          <w:tab w:val="right" w:leader="dot" w:pos="8312"/>
        </w:tabs>
        <w:spacing w:line="360" w:lineRule="auto"/>
        <w:ind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_Toc9956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第六章 服务要求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_Toc9956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131AEB1">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_Toc28234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6.1 项目建设管理要求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_Toc28234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5498316">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_Toc30839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6.1.1 项目范围管理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_Toc30839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D783BC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_Toc11845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6.1.2 组织架构保障</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_Toc11845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B90A7C4">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_Toc28559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6.1.3 项目人员要求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_Toc28559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1AA6858">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_Toc9350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6.2 项目进度要求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_Toc9350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179ADC8">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_Toc30801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6.3 项目验收要求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_Toc30801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82316A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_Toc19794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6.3.1 验收总体要求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_Toc19794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193</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C9D380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_Toc9177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6.3.2 验收阶段</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_Toc9177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58AFAEA">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_Toc2965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6.3.3 验收准备</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_Toc2965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877AD2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_Toc3741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6.3.4 验收流程</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_Toc3741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CEE3D6D">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_Toc8767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6.3.5 验收资料要求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_Toc8767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C48BCF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_Toc28376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6.3.6 验收要求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_Toc28376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194</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1F5ECA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_Toc6534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en-US" w:bidi="ar-SA"/>
        </w:rPr>
        <w:t>6.3.7 验收的补充说明</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_Toc6534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195</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1943CD0">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_Toc13119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Arial" w:hAnsi="Arial" w:eastAsia="宋体" w:cs="Times New Roman"/>
          <w:color w:val="auto"/>
          <w:sz w:val="24"/>
          <w:highlight w:val="none"/>
          <w:lang w:val="en-US" w:eastAsia="zh-CN" w:bidi="ar-SA"/>
        </w:rPr>
        <w:t>6.3.8 验收表格</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_Toc13119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196</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1D4D96F">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_Toc30517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6.4 项目过程管理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_Toc30517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197</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56F80C3">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_Toc7327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6.4.1 项目实施要求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_Toc7327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45AB16C">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_Toc10863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6.4.2 项目联络会</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_Toc10863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198</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7374F679">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_Toc20745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6.4.3 测试要求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_Toc20745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119CB9A">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_Toc20110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6.4.4 项目变更管理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_Toc20110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E50605C">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_Toc7605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6.5 项目质量管理</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_Toc7605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199</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2C861D85">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_Toc17932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6.6 </w:t>
      </w:r>
      <w:r>
        <w:rPr>
          <w:rFonts w:ascii="Times New Roman" w:hAnsi="Times New Roman" w:eastAsia="宋体" w:cs="Times New Roman"/>
          <w:color w:val="auto"/>
          <w:sz w:val="24"/>
          <w:highlight w:val="none"/>
          <w:lang w:val="en-US" w:eastAsia="zh-CN" w:bidi="ar-SA"/>
        </w:rPr>
        <w:t>技术文档要求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_Toc17932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200</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C3A7EE4">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_Toc1233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6.7 项目</w:t>
      </w:r>
      <w:r>
        <w:rPr>
          <w:rFonts w:ascii="Times New Roman" w:hAnsi="Times New Roman" w:eastAsia="宋体" w:cs="Times New Roman"/>
          <w:color w:val="auto"/>
          <w:sz w:val="24"/>
          <w:highlight w:val="none"/>
          <w:lang w:val="en-US" w:eastAsia="zh-CN" w:bidi="ar-SA"/>
        </w:rPr>
        <w:t>培训</w:t>
      </w:r>
      <w:r>
        <w:rPr>
          <w:rFonts w:hint="eastAsia" w:ascii="Times New Roman" w:hAnsi="Times New Roman" w:eastAsia="宋体" w:cs="Times New Roman"/>
          <w:color w:val="auto"/>
          <w:sz w:val="24"/>
          <w:highlight w:val="none"/>
          <w:lang w:val="en-US" w:eastAsia="zh-CN" w:bidi="ar-SA"/>
        </w:rPr>
        <w:t>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_Toc1233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4B181C7">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_Toc30101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6.7.1 培训方案</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_Toc30101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5D8AB315">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_Toc24262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6.7.2 培训内容</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_Toc24262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168A518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_Toc26794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6.7.3 现场培训</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_Toc26794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201</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6F6BD132">
      <w:pPr>
        <w:tabs>
          <w:tab w:val="right" w:leader="dot" w:pos="8312"/>
        </w:tabs>
        <w:spacing w:line="360" w:lineRule="auto"/>
        <w:ind w:left="840" w:leftChars="4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_Toc21190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6.7.4 集中培训</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_Toc21190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0F4BBCA">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_Toc13452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6.8 项目</w:t>
      </w:r>
      <w:r>
        <w:rPr>
          <w:rFonts w:ascii="Times New Roman" w:hAnsi="Times New Roman" w:eastAsia="宋体" w:cs="Times New Roman"/>
          <w:color w:val="auto"/>
          <w:sz w:val="24"/>
          <w:highlight w:val="none"/>
          <w:lang w:val="en-US" w:eastAsia="zh-CN" w:bidi="ar-SA"/>
        </w:rPr>
        <w:t>知识产权归属</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_Toc13452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4FF5A1E3">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_Toc18585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6.9 项目其他要求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_Toc18585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3672EA74">
      <w:pPr>
        <w:tabs>
          <w:tab w:val="right" w:leader="dot" w:pos="8312"/>
        </w:tabs>
        <w:spacing w:line="360" w:lineRule="auto"/>
        <w:ind w:left="420" w:leftChars="200" w:firstLine="480" w:firstLineChars="200"/>
        <w:jc w:val="both"/>
        <w:rPr>
          <w:rFonts w:ascii="Times New Roman" w:hAnsi="Times New Roman" w:eastAsia="宋体" w:cs="Times New Roman"/>
          <w:color w:val="auto"/>
          <w:sz w:val="24"/>
          <w:highlight w:val="none"/>
          <w:lang w:val="en-US" w:eastAsia="en-US" w:bidi="ar-SA"/>
        </w:rPr>
      </w:pPr>
      <w:r>
        <w:rPr>
          <w:rFonts w:hint="eastAsia" w:ascii="Times New Roman" w:hAnsi="Times New Roman" w:eastAsia="宋体" w:cs="Times New Roman"/>
          <w:color w:val="auto"/>
          <w:sz w:val="24"/>
          <w:highlight w:val="none"/>
          <w:lang w:val="en-US" w:eastAsia="en-US" w:bidi="ar-SA"/>
        </w:rPr>
        <w:fldChar w:fldCharType="begin"/>
      </w:r>
      <w:r>
        <w:rPr>
          <w:rFonts w:hint="eastAsia" w:ascii="Times New Roman" w:hAnsi="Times New Roman" w:eastAsia="宋体" w:cs="Times New Roman"/>
          <w:color w:val="auto"/>
          <w:sz w:val="24"/>
          <w:highlight w:val="none"/>
          <w:lang w:val="en-US" w:eastAsia="en-US" w:bidi="ar-SA"/>
        </w:rPr>
        <w:instrText xml:space="preserve"> HYPERLINK \l _Toc21315 </w:instrText>
      </w:r>
      <w:r>
        <w:rPr>
          <w:rFonts w:hint="eastAsia" w:ascii="Times New Roman" w:hAnsi="Times New Roman" w:eastAsia="宋体" w:cs="Times New Roman"/>
          <w:color w:val="auto"/>
          <w:sz w:val="24"/>
          <w:highlight w:val="none"/>
          <w:lang w:val="en-US" w:eastAsia="en-US" w:bidi="ar-SA"/>
        </w:rPr>
        <w:fldChar w:fldCharType="separate"/>
      </w:r>
      <w:r>
        <w:rPr>
          <w:rFonts w:hint="eastAsia" w:ascii="Times New Roman" w:hAnsi="Times New Roman" w:eastAsia="宋体" w:cs="Times New Roman"/>
          <w:color w:val="auto"/>
          <w:sz w:val="24"/>
          <w:highlight w:val="none"/>
          <w:lang w:val="en-US" w:eastAsia="zh-CN" w:bidi="ar-SA"/>
        </w:rPr>
        <w:t xml:space="preserve">6.10 </w:t>
      </w:r>
      <w:r>
        <w:rPr>
          <w:rFonts w:ascii="Times New Roman" w:hAnsi="Times New Roman" w:eastAsia="宋体" w:cs="Times New Roman"/>
          <w:color w:val="auto"/>
          <w:sz w:val="24"/>
          <w:highlight w:val="none"/>
          <w:lang w:val="en-US" w:eastAsia="zh-CN" w:bidi="ar-SA"/>
        </w:rPr>
        <w:t>系统安全要求</w:t>
      </w:r>
      <w:r>
        <w:rPr>
          <w:rFonts w:ascii="Times New Roman" w:hAnsi="Times New Roman" w:eastAsia="宋体" w:cs="Times New Roman"/>
          <w:color w:val="auto"/>
          <w:sz w:val="24"/>
          <w:highlight w:val="none"/>
          <w:lang w:val="en-US" w:eastAsia="en-US" w:bidi="ar-SA"/>
        </w:rPr>
        <w:tab/>
      </w:r>
      <w:r>
        <w:rPr>
          <w:rFonts w:ascii="Times New Roman" w:hAnsi="Times New Roman" w:eastAsia="宋体" w:cs="Times New Roman"/>
          <w:color w:val="auto"/>
          <w:sz w:val="24"/>
          <w:highlight w:val="none"/>
          <w:lang w:val="en-US" w:eastAsia="en-US" w:bidi="ar-SA"/>
        </w:rPr>
        <w:fldChar w:fldCharType="begin"/>
      </w:r>
      <w:r>
        <w:rPr>
          <w:rFonts w:ascii="Times New Roman" w:hAnsi="Times New Roman" w:eastAsia="宋体" w:cs="Times New Roman"/>
          <w:color w:val="auto"/>
          <w:sz w:val="24"/>
          <w:highlight w:val="none"/>
          <w:lang w:val="en-US" w:eastAsia="en-US" w:bidi="ar-SA"/>
        </w:rPr>
        <w:instrText xml:space="preserve"> PAGEREF _Toc21315 \h </w:instrText>
      </w:r>
      <w:r>
        <w:rPr>
          <w:rFonts w:ascii="Times New Roman" w:hAnsi="Times New Roman" w:eastAsia="宋体" w:cs="Times New Roman"/>
          <w:color w:val="auto"/>
          <w:sz w:val="24"/>
          <w:highlight w:val="none"/>
          <w:lang w:val="en-US" w:eastAsia="en-US" w:bidi="ar-SA"/>
        </w:rPr>
        <w:fldChar w:fldCharType="separate"/>
      </w:r>
      <w:r>
        <w:rPr>
          <w:rFonts w:ascii="Times New Roman" w:hAnsi="Times New Roman" w:eastAsia="宋体" w:cs="Times New Roman"/>
          <w:color w:val="auto"/>
          <w:sz w:val="24"/>
          <w:highlight w:val="none"/>
          <w:lang w:val="en-US" w:eastAsia="en-US" w:bidi="ar-SA"/>
        </w:rPr>
        <w:t>202</w:t>
      </w:r>
      <w:r>
        <w:rPr>
          <w:rFonts w:ascii="Times New Roman" w:hAnsi="Times New Roman" w:eastAsia="宋体" w:cs="Times New Roman"/>
          <w:color w:val="auto"/>
          <w:sz w:val="24"/>
          <w:highlight w:val="none"/>
          <w:lang w:val="en-US" w:eastAsia="en-US" w:bidi="ar-SA"/>
        </w:rPr>
        <w:fldChar w:fldCharType="end"/>
      </w:r>
      <w:r>
        <w:rPr>
          <w:rFonts w:hint="eastAsia" w:ascii="Times New Roman" w:hAnsi="Times New Roman" w:eastAsia="宋体" w:cs="Times New Roman"/>
          <w:color w:val="auto"/>
          <w:sz w:val="24"/>
          <w:highlight w:val="none"/>
          <w:lang w:val="en-US" w:eastAsia="en-US" w:bidi="ar-SA"/>
        </w:rPr>
        <w:fldChar w:fldCharType="end"/>
      </w:r>
    </w:p>
    <w:p w14:paraId="0FCE16C3">
      <w:pPr>
        <w:ind w:left="480" w:firstLine="480"/>
        <w:rPr>
          <w:color w:val="auto"/>
          <w:highlight w:val="none"/>
        </w:rPr>
        <w:sectPr>
          <w:headerReference r:id="rId13" w:type="default"/>
          <w:footerReference r:id="rId14"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ascii="Calibri" w:hAnsi="Calibri" w:eastAsia="宋体" w:cs="Times New Roman"/>
          <w:color w:val="auto"/>
          <w:kern w:val="2"/>
          <w:sz w:val="24"/>
          <w:szCs w:val="24"/>
          <w:highlight w:val="none"/>
          <w:lang w:val="en-US" w:eastAsia="zh-CN" w:bidi="ar-SA"/>
        </w:rPr>
        <w:fldChar w:fldCharType="end"/>
      </w:r>
    </w:p>
    <w:p w14:paraId="63CBC4E4">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184" w:name="_Toc738742860"/>
      <w:bookmarkStart w:id="185" w:name="_Toc193093536"/>
      <w:bookmarkStart w:id="186" w:name="_Toc11616"/>
      <w:bookmarkStart w:id="187" w:name="_Toc29526"/>
      <w:bookmarkStart w:id="188" w:name="_Toc8113"/>
      <w:bookmarkStart w:id="189" w:name="_Toc12652"/>
      <w:bookmarkStart w:id="190" w:name="_Toc27274"/>
      <w:bookmarkStart w:id="191" w:name="_Toc31419"/>
      <w:bookmarkStart w:id="192" w:name="_Toc30098"/>
      <w:bookmarkStart w:id="193" w:name="_Toc1028"/>
      <w:bookmarkStart w:id="194" w:name="_Toc1014492289"/>
      <w:bookmarkStart w:id="195" w:name="_Toc1252863042"/>
      <w:bookmarkStart w:id="196" w:name="_Toc11011"/>
      <w:bookmarkStart w:id="197" w:name="_Toc1235"/>
      <w:bookmarkStart w:id="198" w:name="_Toc1841275990"/>
      <w:r>
        <w:rPr>
          <w:rFonts w:hint="eastAsia" w:ascii="Arial" w:hAnsi="Arial" w:eastAsia="黑体" w:cs="Times New Roman"/>
          <w:b/>
          <w:caps/>
          <w:color w:val="auto"/>
          <w:sz w:val="32"/>
          <w:szCs w:val="28"/>
          <w:highlight w:val="none"/>
          <w:lang w:val="en-US" w:eastAsia="zh-CN" w:bidi="ar-SA"/>
        </w:rPr>
        <w:t>概述</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Start w:id="199" w:name="_Toc15703"/>
      <w:bookmarkStart w:id="200" w:name="_Toc25312"/>
      <w:bookmarkStart w:id="201" w:name="_Toc22527"/>
      <w:bookmarkStart w:id="202" w:name="_Toc17622"/>
      <w:bookmarkStart w:id="203" w:name="_Toc3883"/>
      <w:bookmarkStart w:id="204" w:name="_Toc8209"/>
    </w:p>
    <w:p w14:paraId="3835CC6B">
      <w:pPr>
        <w:keepNext/>
        <w:keepLines/>
        <w:numPr>
          <w:ilvl w:val="1"/>
          <w:numId w:val="1"/>
        </w:numPr>
        <w:spacing w:line="360" w:lineRule="auto"/>
        <w:ind w:left="-641" w:firstLine="641"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205" w:name="_Toc791988059"/>
      <w:bookmarkStart w:id="206" w:name="_Toc29490"/>
      <w:bookmarkStart w:id="207" w:name="_Toc1699227690"/>
      <w:bookmarkStart w:id="208" w:name="_Toc193093537"/>
      <w:bookmarkStart w:id="209" w:name="_Toc1086210660"/>
      <w:bookmarkStart w:id="210" w:name="_Toc17573"/>
      <w:bookmarkStart w:id="211" w:name="_Toc20043"/>
      <w:bookmarkStart w:id="212" w:name="_Toc1448284713"/>
      <w:r>
        <w:rPr>
          <w:rFonts w:hint="eastAsia" w:ascii="Arial" w:hAnsi="Arial" w:eastAsia="黑体" w:cs="Times New Roman"/>
          <w:b/>
          <w:color w:val="auto"/>
          <w:sz w:val="32"/>
          <w:highlight w:val="none"/>
          <w:lang w:val="en-US" w:eastAsia="zh-CN" w:bidi="ar-SA"/>
        </w:rPr>
        <w:t>项目背景</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480B3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党的二十大报告明确提出"高质量发展是全面建设社会主义现代化国家的首要任务"，强调要"推动战略性新兴产业融合集群发展，构建新一代信息技术、人工智能等一批新的增长引擎"，并首次将"加快发展新质生产力"列为现代化产业体系建设核心任务，要求以科技创新推动产业创新，促进数字技术与实体经济深度融合。根据《城镇水务2035 年行业发展规划纲要》发展目标，“到2035年，基本建成安全、便民、高效、绿色、经济、智慧的现代化城镇水务体系”。从人民群众对美好生活的向往出发，立足韧性城市保障需求和水务业务管理能力，水务行业未来将在饮用水安全保障、“厂网河湖”水环境治理、城镇排水防涝、资源节约绿色循环、水务产业数字化五大业务领域集中发力。而其中新型信息技术赋能下的水务数字化转型是支撑传统水务行业突破短板、高质量发展的必然路径与核心要务。</w:t>
      </w:r>
    </w:p>
    <w:p w14:paraId="3314EF7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此大背景下，准确剖析智慧水务发展中水务数字化转型的机遇与挑战，正确运用数字技术，使之与水务企业基础设施、生产运营和经营模式相融合，及时总结智慧水务建设路径与实践经验，是未来打造水务行业新格局下数字水务体系的重要基础和必要条件。对此，广州自来水公司在北部水厂一期成果的基础上，开展北部水厂二期建设项目，全面提升自来水厂的智慧化水平和服务质量。目前北部二期主体建设部分已开始建设。</w:t>
      </w:r>
    </w:p>
    <w:p w14:paraId="0C059F9C">
      <w:pPr>
        <w:keepNext/>
        <w:keepLines/>
        <w:numPr>
          <w:ilvl w:val="1"/>
          <w:numId w:val="1"/>
        </w:numPr>
        <w:spacing w:line="360" w:lineRule="auto"/>
        <w:ind w:left="-641" w:firstLine="641" w:firstLineChars="0"/>
        <w:jc w:val="both"/>
        <w:outlineLvl w:val="1"/>
        <w:rPr>
          <w:rFonts w:ascii="Arial" w:hAnsi="Arial" w:eastAsia="黑体" w:cs="Times New Roman"/>
          <w:b/>
          <w:color w:val="auto"/>
          <w:sz w:val="32"/>
          <w:highlight w:val="none"/>
          <w:lang w:val="en-US" w:eastAsia="en-US" w:bidi="ar-SA"/>
        </w:rPr>
      </w:pPr>
      <w:bookmarkStart w:id="213" w:name="_Toc26939"/>
      <w:bookmarkStart w:id="214" w:name="_Toc4842"/>
      <w:bookmarkStart w:id="215" w:name="_Toc30696"/>
      <w:bookmarkStart w:id="216" w:name="_Toc17715"/>
      <w:bookmarkStart w:id="217" w:name="_Toc12657"/>
      <w:bookmarkStart w:id="218" w:name="_Toc31428"/>
      <w:r>
        <w:rPr>
          <w:rFonts w:hint="eastAsia" w:ascii="Arial" w:hAnsi="Arial" w:eastAsia="黑体" w:cs="Times New Roman"/>
          <w:b/>
          <w:caps/>
          <w:color w:val="auto"/>
          <w:sz w:val="32"/>
          <w:highlight w:val="none"/>
          <w:lang w:val="en-US" w:eastAsia="zh-CN" w:bidi="ar-SA"/>
        </w:rPr>
        <w:t xml:space="preserve"> </w:t>
      </w:r>
      <w:bookmarkStart w:id="219" w:name="_Toc3384"/>
      <w:bookmarkStart w:id="220" w:name="_Toc1741516293"/>
      <w:bookmarkStart w:id="221" w:name="_Toc18297"/>
      <w:bookmarkStart w:id="222" w:name="_Toc1682248024"/>
      <w:bookmarkStart w:id="223" w:name="_Toc21002"/>
      <w:bookmarkStart w:id="224" w:name="_Toc10418"/>
      <w:bookmarkStart w:id="225" w:name="_Toc184079473"/>
      <w:bookmarkStart w:id="226" w:name="_Toc193093538"/>
      <w:bookmarkStart w:id="227" w:name="_Toc839663507"/>
      <w:r>
        <w:rPr>
          <w:rFonts w:hint="eastAsia" w:ascii="Arial" w:hAnsi="Arial" w:eastAsia="黑体" w:cs="Times New Roman"/>
          <w:b/>
          <w:caps/>
          <w:color w:val="auto"/>
          <w:sz w:val="32"/>
          <w:highlight w:val="none"/>
          <w:lang w:val="en-US" w:eastAsia="zh-CN" w:bidi="ar-SA"/>
        </w:rPr>
        <w:t>智慧水务现状</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4A1962A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广州自来水公司开展统一顶层设计，规划先行，制定“1233”战略目标，开展“广州智慧供水云服务平台”建设，全面投入使用，初步实现数字化转型，形成了广州模式智慧水务标杆。具体内容体现如下：</w:t>
      </w:r>
    </w:p>
    <w:p w14:paraId="02377F7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信息技术框架：建立了统一的智慧供水云平台技术框架和IT管控体系，智慧管理云平台是一种基于云计算的服务，可分为典型Iass、Pass、Saas层结构，具备可扩展性、可维护性、安全性和可靠性等方面的特点，提供一致的管理工具、开发工具和技术框架，提供实时的数据监测和报告，提供预测分析和警报功能，实现系统建设与创新管理应用搭建。</w:t>
      </w:r>
    </w:p>
    <w:p w14:paraId="2B44C92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整体规划实施：根据基础管理流程、部门职责、业务链条全过程、数据共治等维度，全面重构业务，实现全景数字化管理模式新升级。将全部工作划分为人力资源、项目管理、资产管理、生产管理、用户服务、运营监督共6大领域，并细分为27个业务域（细分业务建模），建成了248个业务模块（场景应用），有上万个专业功能。</w:t>
      </w:r>
    </w:p>
    <w:p w14:paraId="437143E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3、跨部门协同：依托云平台的流程中台和数据中心，按照顶层设计和业务重构业务内容，对全公司流程进行了梳理和划分，并实现各业务流程的联通，实现业务的统一集成、全链条过程管理和跨部门协同。</w:t>
      </w:r>
    </w:p>
    <w:p w14:paraId="1097C8B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数据统一管理：通过统一数据管理平台进行数据建模和集中管理，以数据门户实现数据的全局共享。物联网提供实时数据接入和输出，实现了以“水质、水量、水压”为主线，从水源到终端的全过程供水大数据管理。</w:t>
      </w:r>
    </w:p>
    <w:p w14:paraId="025FF09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水厂已建成一期，采用PLC技术为主体，实现了自动化控制，数据通过物联网上传到智慧供水云平台进行数据展示、共享和利用，水厂员工通过云平台开展“人、机、物、法、环”全方位管理，系统全面支持移动端使用。</w:t>
      </w:r>
    </w:p>
    <w:p w14:paraId="106D47DE">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228" w:name="_Toc23006"/>
      <w:bookmarkStart w:id="229" w:name="_Toc24397"/>
      <w:bookmarkStart w:id="230" w:name="_Toc15499"/>
      <w:bookmarkStart w:id="231" w:name="_Toc13785"/>
      <w:bookmarkStart w:id="232" w:name="_Toc16395"/>
      <w:bookmarkStart w:id="233" w:name="_Toc7692"/>
      <w:r>
        <w:rPr>
          <w:rFonts w:hint="eastAsia" w:ascii="Arial" w:hAnsi="Arial" w:eastAsia="黑体" w:cs="Times New Roman"/>
          <w:b/>
          <w:color w:val="auto"/>
          <w:sz w:val="32"/>
          <w:highlight w:val="none"/>
          <w:lang w:val="en-US" w:eastAsia="zh-CN" w:bidi="ar-SA"/>
        </w:rPr>
        <w:t xml:space="preserve"> </w:t>
      </w:r>
      <w:bookmarkStart w:id="234" w:name="_Toc9583"/>
      <w:bookmarkStart w:id="235" w:name="_Toc1609711488"/>
      <w:bookmarkStart w:id="236" w:name="_Toc22482"/>
      <w:bookmarkStart w:id="237" w:name="_Toc1447251031"/>
      <w:bookmarkStart w:id="238" w:name="_Toc21817"/>
      <w:bookmarkStart w:id="239" w:name="_Toc1109517712"/>
      <w:bookmarkStart w:id="240" w:name="_Toc1081"/>
      <w:bookmarkStart w:id="241" w:name="_Toc193093539"/>
      <w:bookmarkStart w:id="242" w:name="_Toc1920326613"/>
      <w:r>
        <w:rPr>
          <w:rFonts w:hint="eastAsia" w:ascii="Arial" w:hAnsi="Arial" w:eastAsia="黑体" w:cs="Times New Roman"/>
          <w:b/>
          <w:color w:val="auto"/>
          <w:sz w:val="32"/>
          <w:highlight w:val="none"/>
          <w:lang w:val="en-US" w:eastAsia="zh-CN" w:bidi="ar-SA"/>
        </w:rPr>
        <w:t>建设目标</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5745E4D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总体目标是结合水厂一、二期建设实际情况进行优化改造，有机实现智能化与信息化“两化融合”，让智慧供水云平台在从综合管理基础上，向生产方面深化和延伸，充分让互联网、通信技术、物联网、大数据、云计算、AI人工智能、区块链、机器人等技术赋能水厂生产，把北部水厂建设成“无人自主调节，智慧诊断、自动处置，低碳绿色”的新一代智慧水厂标杆。助力公司形成水厂集约化管理，高效绿色生产模式，释放新质生产力“新动能”，打造发展新优势、赢得发展主动权，进而推动企业高质量发展。</w:t>
      </w:r>
    </w:p>
    <w:p w14:paraId="6F239AE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分项指标有以下几个方面：</w:t>
      </w:r>
    </w:p>
    <w:p w14:paraId="5BD6D23E">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243" w:name="_Toc18207"/>
      <w:bookmarkStart w:id="244" w:name="_Toc18086"/>
      <w:bookmarkStart w:id="245" w:name="_Toc7786"/>
      <w:bookmarkStart w:id="246" w:name="_Toc16036"/>
      <w:bookmarkStart w:id="247" w:name="_Toc385"/>
      <w:bookmarkStart w:id="248" w:name="_Toc15817"/>
      <w:r>
        <w:rPr>
          <w:rFonts w:hint="eastAsia" w:ascii="Times New Roman" w:hAnsi="Times New Roman" w:eastAsia="黑体" w:cs="Times New Roman"/>
          <w:b/>
          <w:color w:val="auto"/>
          <w:sz w:val="30"/>
          <w:highlight w:val="none"/>
          <w:lang w:val="en-US" w:eastAsia="zh-CN" w:bidi="ar-SA"/>
        </w:rPr>
        <w:t xml:space="preserve"> </w:t>
      </w:r>
      <w:bookmarkStart w:id="249" w:name="_Toc23493"/>
      <w:bookmarkStart w:id="250" w:name="_Toc3315"/>
      <w:bookmarkStart w:id="251" w:name="_Toc1102"/>
      <w:bookmarkStart w:id="252" w:name="_Toc30270"/>
      <w:bookmarkStart w:id="253" w:name="_Toc397653928"/>
      <w:bookmarkStart w:id="254" w:name="_Toc1548292095"/>
      <w:bookmarkStart w:id="255" w:name="_Toc1063678683"/>
      <w:bookmarkStart w:id="256" w:name="_Toc421993910"/>
      <w:bookmarkStart w:id="257" w:name="_Toc193093540"/>
      <w:r>
        <w:rPr>
          <w:rFonts w:hint="eastAsia" w:ascii="Times New Roman" w:hAnsi="Times New Roman" w:eastAsia="黑体" w:cs="Times New Roman"/>
          <w:b/>
          <w:color w:val="auto"/>
          <w:sz w:val="30"/>
          <w:highlight w:val="none"/>
          <w:lang w:val="en-US" w:eastAsia="zh-CN" w:bidi="ar-SA"/>
        </w:rPr>
        <w:t>水厂生产控制方面</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B091BE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建立水厂智慧控制层，用人工智能算法和适用的技术，编制控制程序，通过接口以DCS/PLC系统作为控制单元，对工艺参数、运行设备进行监视和控制，自动按照公司调度方案，在既定出水水量和压力条件下，联动全厂各工艺段，实现泵站低能耗运行，保障水质达标，降低能耗和原材料消耗。</w:t>
      </w:r>
    </w:p>
    <w:p w14:paraId="51C52AB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通过运用机器人、无人机、摄像头和仪器仪表等，运用大数据计算和AI人工智能分析，对仪表、生产设备和工艺现状巡检，对生产过程的状态、潜在风险点进行多维度智慧诊断。</w:t>
      </w:r>
    </w:p>
    <w:p w14:paraId="31985ED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汇聚智慧控制层、DCS/PLC层、AI智慧分析等渠道产生的各种事件，配置编排合理的处理逻辑，进行自动处理，整个水厂生产能在无人干预的情况下，长期可靠自主运行。</w:t>
      </w:r>
    </w:p>
    <w:p w14:paraId="5FC5333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大模型，加速水厂数据治理，吸收智慧水厂相应的专业知识，模拟人类的思考过程，逐步形成专家数据库，形成智慧决策助手。利用大模型调用智慧水厂AI算法，综合多个模型的优势，提高分析和预测能力。在生产中，可快速调用模型、数据和操作，提升调度和应急的响应速度。</w:t>
      </w:r>
    </w:p>
    <w:p w14:paraId="04E550F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258" w:name="_Toc26025"/>
      <w:bookmarkStart w:id="259" w:name="_Toc30380"/>
      <w:bookmarkStart w:id="260" w:name="_Toc31491"/>
      <w:bookmarkStart w:id="261" w:name="_Toc1451"/>
      <w:bookmarkStart w:id="262" w:name="_Toc12624"/>
      <w:bookmarkStart w:id="263" w:name="_Toc5007"/>
      <w:r>
        <w:rPr>
          <w:rFonts w:hint="eastAsia" w:ascii="Times New Roman" w:hAnsi="Times New Roman" w:eastAsia="黑体" w:cs="Times New Roman"/>
          <w:b/>
          <w:color w:val="auto"/>
          <w:sz w:val="30"/>
          <w:highlight w:val="none"/>
          <w:lang w:val="en-US" w:eastAsia="zh-CN" w:bidi="ar-SA"/>
        </w:rPr>
        <w:t xml:space="preserve"> </w:t>
      </w:r>
      <w:bookmarkStart w:id="264" w:name="_Toc6689"/>
      <w:bookmarkStart w:id="265" w:name="_Toc1593747553"/>
      <w:bookmarkStart w:id="266" w:name="_Toc1460642976"/>
      <w:bookmarkStart w:id="267" w:name="_Toc400458432"/>
      <w:bookmarkStart w:id="268" w:name="_Toc13907"/>
      <w:bookmarkStart w:id="269" w:name="_Toc193093541"/>
      <w:bookmarkStart w:id="270" w:name="_Toc21323"/>
      <w:bookmarkStart w:id="271" w:name="_Toc1085889966"/>
      <w:bookmarkStart w:id="272" w:name="_Toc12978"/>
      <w:r>
        <w:rPr>
          <w:rFonts w:hint="eastAsia" w:ascii="Times New Roman" w:hAnsi="Times New Roman" w:eastAsia="黑体" w:cs="Times New Roman"/>
          <w:b/>
          <w:color w:val="auto"/>
          <w:sz w:val="30"/>
          <w:highlight w:val="none"/>
          <w:lang w:val="en-US" w:eastAsia="zh-CN" w:bidi="ar-SA"/>
        </w:rPr>
        <w:t>水厂经营方面</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A6DB09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撑建立集约化、全数字化运营管理体系，利用云平台技术优势，将生产运行监控与生产管理有机地结合起来，将分类事件分类自动用短信、电话和工单等各种方式，发出报警，形成维修检查工单，及时通知各单位、各级管理人员，精准高效开展现场管理工作。</w:t>
      </w:r>
      <w:r>
        <w:rPr>
          <w:rFonts w:hint="eastAsia" w:ascii="Times New Roman" w:hAnsi="Times New Roman" w:eastAsia="宋体" w:cs="Times New Roman"/>
          <w:color w:val="auto"/>
          <w:kern w:val="0"/>
          <w:sz w:val="24"/>
          <w:highlight w:val="none"/>
          <w:lang w:eastAsia="zh-CN"/>
        </w:rPr>
        <w:tab/>
      </w:r>
    </w:p>
    <w:p w14:paraId="0E6D6F2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智慧供水云平台工具、数据等资源，往数据中心补充数据，增添修改云平台功能，自动准确形成报表，立体多维直观展示自来水厂的生产运行情况，按不同管理需求，自动形成能耗、物耗、成本、设备管理、工单处理等主题KPI看板，全面提升生产管理效率和运营管理水平。</w:t>
      </w:r>
    </w:p>
    <w:p w14:paraId="48E3DBA5">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273" w:name="_Toc1309"/>
      <w:bookmarkStart w:id="274" w:name="_Toc15436"/>
      <w:bookmarkStart w:id="275" w:name="_Toc15484"/>
      <w:bookmarkStart w:id="276" w:name="_Toc28910"/>
      <w:bookmarkStart w:id="277" w:name="_Toc4315"/>
      <w:bookmarkStart w:id="278" w:name="_Toc8957"/>
      <w:r>
        <w:rPr>
          <w:rFonts w:hint="eastAsia" w:ascii="Times New Roman" w:hAnsi="Times New Roman" w:eastAsia="黑体" w:cs="Times New Roman"/>
          <w:b/>
          <w:color w:val="auto"/>
          <w:sz w:val="30"/>
          <w:highlight w:val="none"/>
          <w:lang w:val="en-US" w:eastAsia="zh-CN" w:bidi="ar-SA"/>
        </w:rPr>
        <w:t xml:space="preserve"> </w:t>
      </w:r>
      <w:bookmarkStart w:id="279" w:name="_Toc2006"/>
      <w:bookmarkStart w:id="280" w:name="_Toc1236626356"/>
      <w:bookmarkStart w:id="281" w:name="_Toc193093542"/>
      <w:bookmarkStart w:id="282" w:name="_Toc26287"/>
      <w:bookmarkStart w:id="283" w:name="_Toc27353"/>
      <w:bookmarkStart w:id="284" w:name="_Toc1140928775"/>
      <w:bookmarkStart w:id="285" w:name="_Toc551594240"/>
      <w:bookmarkStart w:id="286" w:name="_Toc22762"/>
      <w:bookmarkStart w:id="287" w:name="_Toc291116926"/>
      <w:r>
        <w:rPr>
          <w:rFonts w:hint="eastAsia" w:ascii="Times New Roman" w:hAnsi="Times New Roman" w:eastAsia="黑体" w:cs="Times New Roman"/>
          <w:b/>
          <w:color w:val="auto"/>
          <w:sz w:val="30"/>
          <w:highlight w:val="none"/>
          <w:lang w:val="en-US" w:eastAsia="zh-CN" w:bidi="ar-SA"/>
        </w:rPr>
        <w:t>公司管理方面</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0A9B27B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增强智慧供水云平台的可靠性和适用性，在功能上支撑新一代智慧水厂生产控制和运营管理，快速适应智慧水厂变革形成新的管理模式；在模式上具备通用化和可复制性，同步为其他水厂的智慧化建设提供可立即使用的功能（工具）、可复制移植的技术、借鉴的结合方案。</w:t>
      </w:r>
    </w:p>
    <w:p w14:paraId="7EDECFB6">
      <w:pPr>
        <w:widowControl/>
        <w:spacing w:line="360" w:lineRule="auto"/>
        <w:ind w:firstLine="480" w:firstLineChars="200"/>
        <w:rPr>
          <w:rFonts w:hint="eastAsia" w:ascii="仿宋_GB2312" w:hAnsi="仿宋_GB2312" w:eastAsia="仿宋_GB2312" w:cs="仿宋_GB2312"/>
          <w:color w:val="auto"/>
          <w:kern w:val="0"/>
          <w:sz w:val="24"/>
          <w:szCs w:val="28"/>
          <w:highlight w:val="none"/>
          <w:lang w:eastAsia="zh-CN"/>
        </w:rPr>
      </w:pPr>
      <w:r>
        <w:rPr>
          <w:rFonts w:hint="eastAsia" w:ascii="Times New Roman" w:hAnsi="Times New Roman" w:eastAsia="宋体" w:cs="Times New Roman"/>
          <w:color w:val="auto"/>
          <w:kern w:val="0"/>
          <w:sz w:val="24"/>
          <w:highlight w:val="none"/>
          <w:lang w:eastAsia="zh-CN"/>
        </w:rPr>
        <w:t>利用智慧供水云平台的工具、成果、数据和方法论，支持自来水公司的人才自我培养，提升员工的数字化技能和创新能力。</w:t>
      </w:r>
    </w:p>
    <w:p w14:paraId="49BCF1E3">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288" w:name="_Toc6571"/>
      <w:bookmarkStart w:id="289" w:name="_Toc24315"/>
      <w:bookmarkStart w:id="290" w:name="_Toc2570"/>
      <w:bookmarkStart w:id="291" w:name="_Toc26674"/>
      <w:bookmarkStart w:id="292" w:name="_Toc8222"/>
      <w:bookmarkStart w:id="293" w:name="_Toc24297"/>
      <w:r>
        <w:rPr>
          <w:rFonts w:hint="eastAsia" w:ascii="Arial" w:hAnsi="Arial" w:eastAsia="黑体" w:cs="Times New Roman"/>
          <w:b/>
          <w:color w:val="auto"/>
          <w:sz w:val="32"/>
          <w:highlight w:val="none"/>
          <w:lang w:val="en-US" w:eastAsia="zh-CN" w:bidi="ar-SA"/>
        </w:rPr>
        <w:t xml:space="preserve"> </w:t>
      </w:r>
      <w:bookmarkStart w:id="294" w:name="_Toc15656"/>
      <w:bookmarkStart w:id="295" w:name="_Toc3943"/>
      <w:bookmarkStart w:id="296" w:name="_Toc708437362"/>
      <w:bookmarkStart w:id="297" w:name="_Toc1436"/>
      <w:bookmarkStart w:id="298" w:name="_Toc2104971228"/>
      <w:bookmarkStart w:id="299" w:name="_Toc11385"/>
      <w:bookmarkStart w:id="300" w:name="_Toc193093543"/>
      <w:bookmarkStart w:id="301" w:name="_Toc632429626"/>
      <w:bookmarkStart w:id="302" w:name="_Toc834427416"/>
      <w:r>
        <w:rPr>
          <w:rFonts w:hint="eastAsia" w:ascii="Arial" w:hAnsi="Arial" w:eastAsia="黑体" w:cs="Times New Roman"/>
          <w:b/>
          <w:color w:val="auto"/>
          <w:sz w:val="32"/>
          <w:highlight w:val="none"/>
          <w:lang w:val="en-US" w:eastAsia="zh-CN" w:bidi="ar-SA"/>
        </w:rPr>
        <w:t>建设原则</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FAFAE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遵循现有架构，兼容互补。严格按照已有的整体规划，充分利用现有平台资源，包括硬件设施、软件系统、数据资源等，避免重复建设，对平台的功能和性能进行全面提升，并具有良好的兼容性、集成性以及标识、视觉和控制原则的一致性，使其更加符合智慧水厂的需求。</w:t>
      </w:r>
    </w:p>
    <w:p w14:paraId="553D17D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技术先进，经济实用。采用先进的技术和设备，对现有平台进行改造和升级，确保智慧水厂的智能化水平。同时也考虑经济因素，选择性价比高的解决方案，避免过度投资。</w:t>
      </w:r>
    </w:p>
    <w:p w14:paraId="47D2F93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安全可靠，易于维护。注意系统的安全性和稳定性，确保智慧水厂系统的稳定性和可靠性，能够应对各种突发状况。同时，系统应易于维护，降低运维成本。 </w:t>
      </w:r>
    </w:p>
    <w:p w14:paraId="2CEE7709">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03" w:name="_Toc23647"/>
      <w:bookmarkStart w:id="304" w:name="_Toc1561"/>
      <w:bookmarkStart w:id="305" w:name="_Toc8818"/>
      <w:bookmarkStart w:id="306" w:name="_Toc27761"/>
      <w:bookmarkStart w:id="307" w:name="_Toc17631"/>
      <w:bookmarkStart w:id="308" w:name="_Toc31620"/>
      <w:r>
        <w:rPr>
          <w:rFonts w:hint="eastAsia" w:ascii="Arial" w:hAnsi="Arial" w:eastAsia="黑体" w:cs="Times New Roman"/>
          <w:b/>
          <w:color w:val="auto"/>
          <w:sz w:val="32"/>
          <w:highlight w:val="none"/>
          <w:lang w:val="en-US" w:eastAsia="zh-CN" w:bidi="ar-SA"/>
        </w:rPr>
        <w:t xml:space="preserve"> </w:t>
      </w:r>
      <w:bookmarkStart w:id="309" w:name="_Toc1153365802"/>
      <w:bookmarkStart w:id="310" w:name="_Toc605828318"/>
      <w:bookmarkStart w:id="311" w:name="_Toc4769"/>
      <w:bookmarkStart w:id="312" w:name="_Toc18362"/>
      <w:bookmarkStart w:id="313" w:name="_Toc28033"/>
      <w:bookmarkStart w:id="314" w:name="_Toc12819"/>
      <w:bookmarkStart w:id="315" w:name="_Toc193093544"/>
      <w:bookmarkStart w:id="316" w:name="_Toc1348155179"/>
      <w:bookmarkStart w:id="317" w:name="_Toc1057404166"/>
      <w:r>
        <w:rPr>
          <w:rFonts w:hint="eastAsia" w:ascii="Arial" w:hAnsi="Arial" w:eastAsia="黑体" w:cs="Times New Roman"/>
          <w:b/>
          <w:color w:val="auto"/>
          <w:sz w:val="32"/>
          <w:highlight w:val="none"/>
          <w:lang w:val="en-US" w:eastAsia="zh-CN" w:bidi="ar-SA"/>
        </w:rPr>
        <w:t>参考标准</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84DB1A4">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318" w:name="_Toc24352"/>
      <w:r>
        <w:rPr>
          <w:rFonts w:hint="eastAsia" w:ascii="Times New Roman" w:hAnsi="Times New Roman" w:eastAsia="宋体" w:cs="Times New Roman"/>
          <w:color w:val="auto"/>
          <w:kern w:val="0"/>
          <w:sz w:val="24"/>
          <w:highlight w:val="none"/>
          <w:lang w:eastAsia="zh-CN"/>
        </w:rPr>
        <w:t>1、软件工程类标准与规范</w:t>
      </w:r>
      <w:bookmarkEnd w:id="318"/>
    </w:p>
    <w:p w14:paraId="0FF22D7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（1）《软件工程国家标准》GB5749</w:t>
      </w:r>
    </w:p>
    <w:p w14:paraId="7B737674">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（2）《信息技术互连国际标准》CJ/T206</w:t>
      </w:r>
    </w:p>
    <w:p w14:paraId="7DC2A73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（3）《计算机软件开发、供应、安装和维护总的应用指南》ISO/IEC11801</w:t>
      </w:r>
    </w:p>
    <w:p w14:paraId="1CAF589B">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（4）《计算机软件需求说明编写指南》ISO9000-3</w:t>
      </w:r>
    </w:p>
    <w:p w14:paraId="7A6DA19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（5）《计算机软件测试文件编制规范》ISO9001</w:t>
      </w:r>
    </w:p>
    <w:p w14:paraId="612D039A">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（6）《计算机软件质量标准保证计划规范》 GB9385</w:t>
      </w:r>
    </w:p>
    <w:p w14:paraId="69B5BA2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（7）《计算机软件配置管理计划规范》 GB9386</w:t>
      </w:r>
    </w:p>
    <w:p w14:paraId="6DB3247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（8）《信息技术、软件生存周期过程》 GB/T12504</w:t>
      </w:r>
    </w:p>
    <w:p w14:paraId="624122B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（9）《计算机软件可靠性和可维护性管理》 ISO/IEC12207</w:t>
      </w:r>
    </w:p>
    <w:p w14:paraId="5634BD07">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（10）《计算机软件单元测试》 GB/T14079</w:t>
      </w:r>
    </w:p>
    <w:p w14:paraId="43F9DA44">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（11）《软件工程术语》GB/T14394</w:t>
      </w:r>
    </w:p>
    <w:p w14:paraId="12D7A2E7">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（12）《信息技术软件产品评价质量特性及其使用指南》GB/T 16260</w:t>
      </w:r>
    </w:p>
    <w:p w14:paraId="33A097E0">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w:t>
      </w:r>
      <w:bookmarkStart w:id="319" w:name="_Toc11833"/>
      <w:r>
        <w:rPr>
          <w:rFonts w:hint="eastAsia" w:ascii="Times New Roman" w:hAnsi="Times New Roman" w:eastAsia="宋体" w:cs="Times New Roman"/>
          <w:color w:val="auto"/>
          <w:kern w:val="0"/>
          <w:sz w:val="24"/>
          <w:highlight w:val="none"/>
          <w:lang w:eastAsia="zh-CN"/>
        </w:rPr>
        <w:t>2、信息安全类标准与规范</w:t>
      </w:r>
      <w:bookmarkEnd w:id="319"/>
    </w:p>
    <w:p w14:paraId="5CB12D29">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（1）《信息安全技术网络安全等级保护基本要求》GB/T22239</w:t>
      </w:r>
    </w:p>
    <w:p w14:paraId="0E1FAA92">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（2）《信息安全技术网络等级保护安全设计技术要求》GB/T25070</w:t>
      </w:r>
    </w:p>
    <w:p w14:paraId="2AA40A26">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w:t>
      </w:r>
      <w:bookmarkStart w:id="320" w:name="_Toc14437"/>
      <w:r>
        <w:rPr>
          <w:rFonts w:hint="eastAsia" w:ascii="Times New Roman" w:hAnsi="Times New Roman" w:eastAsia="宋体" w:cs="Times New Roman"/>
          <w:color w:val="auto"/>
          <w:kern w:val="0"/>
          <w:sz w:val="24"/>
          <w:highlight w:val="none"/>
          <w:lang w:eastAsia="zh-CN"/>
        </w:rPr>
        <w:t>3、电气自控类标准与规范</w:t>
      </w:r>
      <w:bookmarkEnd w:id="320"/>
    </w:p>
    <w:p w14:paraId="627F9079">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（1）《电气装置安装工程电缆线路施工及验收标准》GB50168</w:t>
      </w:r>
    </w:p>
    <w:p w14:paraId="7B2E7A4F">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（2）《自动化仪表工程施工质量验收规范》GB50093</w:t>
      </w:r>
    </w:p>
    <w:p w14:paraId="76577FE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（3）《电气装置安装工程盘、柜及二次回路接线施工及验收规范》GB50171</w:t>
      </w:r>
    </w:p>
    <w:p w14:paraId="6ED4A9C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（4）《分散型控制系统工程设计规定》HG/T20573</w:t>
      </w:r>
    </w:p>
    <w:p w14:paraId="5A6D1EC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（5）《自动化仪表选型设计规范》HG/T20507</w:t>
      </w:r>
    </w:p>
    <w:p w14:paraId="69020935">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（6）《控制室设计规范》HG/T20508</w:t>
      </w:r>
    </w:p>
    <w:p w14:paraId="26FAED8B">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（7）《仪表供电设计规范》HG/T20508</w:t>
      </w:r>
    </w:p>
    <w:p w14:paraId="388477E9">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（8）《仪表配管配线设计规范》HG/T20512</w:t>
      </w:r>
    </w:p>
    <w:p w14:paraId="71FA4CE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（9）《仪表系统接地设计规范》HG/T20513</w:t>
      </w:r>
    </w:p>
    <w:p w14:paraId="5E323B36">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（10）《可编程序控制器系统工程设计规范》HG/T20700</w:t>
      </w:r>
    </w:p>
    <w:p w14:paraId="61489A6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（11）《过程测量与控制仪表的功能标志及图形符号》HG/T20505</w:t>
      </w:r>
    </w:p>
    <w:p w14:paraId="7F5D122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（12）《电气装置安装工程接地施工及验收规范》GB50169</w:t>
      </w:r>
    </w:p>
    <w:p w14:paraId="65A6B916">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（13）《民用建筑电气设计标准》GB51348-2019</w:t>
      </w:r>
    </w:p>
    <w:p w14:paraId="7C61691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（14）《建筑防雷设计规范》GB50057</w:t>
      </w:r>
    </w:p>
    <w:p w14:paraId="1CB58405">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（15）《建筑物电子信息系统防雷技术规范》GB50343</w:t>
      </w:r>
    </w:p>
    <w:p w14:paraId="595D1D61">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（16）《电力工程电缆设计标准》GB50217</w:t>
      </w:r>
    </w:p>
    <w:p w14:paraId="368891C2">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（17）《建筑电气工程施工质量验收规范》GB503</w:t>
      </w:r>
    </w:p>
    <w:p w14:paraId="05B0AA79">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321" w:name="_Toc17005"/>
      <w:r>
        <w:rPr>
          <w:rFonts w:hint="eastAsia" w:ascii="Times New Roman" w:hAnsi="Times New Roman" w:eastAsia="宋体" w:cs="Times New Roman"/>
          <w:color w:val="auto"/>
          <w:kern w:val="0"/>
          <w:sz w:val="24"/>
          <w:highlight w:val="none"/>
          <w:lang w:eastAsia="zh-CN"/>
        </w:rPr>
        <w:t>4、综合安防类标准与规范</w:t>
      </w:r>
      <w:bookmarkEnd w:id="321"/>
    </w:p>
    <w:p w14:paraId="774A001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（1）《安全防范视频监控联网系统信息传输、交换、控制技术要求》GB/T28181</w:t>
      </w:r>
    </w:p>
    <w:p w14:paraId="71B6247C">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（2）《视频安防监控系统技术要求》GA/T367</w:t>
      </w:r>
    </w:p>
    <w:p w14:paraId="00154B1B">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（3）《安全防范系统雷电浪涌防护技术要求》GA/T670</w:t>
      </w:r>
    </w:p>
    <w:p w14:paraId="3F1C9E69">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（4）《安全防范工程技术规范》GB50348</w:t>
      </w:r>
    </w:p>
    <w:p w14:paraId="476E902A">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（5）《智能建筑设计标准》GB/T50314</w:t>
      </w:r>
    </w:p>
    <w:p w14:paraId="52B885F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（6）《防盗报警控制器通用技术条件》GB12663</w:t>
      </w:r>
    </w:p>
    <w:p w14:paraId="05E0D9C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（7）《安全防范工程程序与要求》GA/T75</w:t>
      </w:r>
    </w:p>
    <w:p w14:paraId="7188CEC7">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（8）《入侵报警系统工程设计规范》GB50394</w:t>
      </w:r>
    </w:p>
    <w:p w14:paraId="6A23F69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（9）《安全防范系统验收规则》GA308</w:t>
      </w:r>
    </w:p>
    <w:p w14:paraId="4CF3220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（10）《综合布线系统工程设计规范》GB50311</w:t>
      </w:r>
    </w:p>
    <w:p w14:paraId="5064166C">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（11）《综合布线系统工程验收规范》GB50312</w:t>
      </w:r>
    </w:p>
    <w:p w14:paraId="1933B81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（12）《电气装置安装工程电缆线路施工及验收规范》GB50168</w:t>
      </w:r>
    </w:p>
    <w:p w14:paraId="3A80B35F">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（13）《电气装置安装工程接地装置施工及验收规范》GB50169</w:t>
      </w:r>
    </w:p>
    <w:p w14:paraId="20FD5126">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（14）《安全防范系统通用图形符号》GA/T75</w:t>
      </w:r>
    </w:p>
    <w:p w14:paraId="5E28AA9E">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（15）《企业安全生产网络化监测系统技术规范》AQ9003.3</w:t>
      </w:r>
    </w:p>
    <w:p w14:paraId="7C35AA66">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（16）《智慧城市软件服务预算管理规范》（GB/T 36334）；</w:t>
      </w:r>
    </w:p>
    <w:p w14:paraId="12F79CAF">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（17）《智慧城市 SOA 标准应用指南》（GB/T 36445）；</w:t>
      </w:r>
    </w:p>
    <w:p w14:paraId="0CD4A92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（18）《智慧城市信息技术运营指南》（GB/T 36621）；</w:t>
      </w:r>
    </w:p>
    <w:p w14:paraId="10AF33A1">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（19）《网络工程设计标准》（GB/T 51375）；</w:t>
      </w:r>
    </w:p>
    <w:p w14:paraId="6084DC58">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（20）《信息安全技术网络安全等级保护实施指南》（GB/T 25058）；</w:t>
      </w:r>
    </w:p>
    <w:p w14:paraId="7873C3E8">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（21）《云计算基础设施工程技术标准》（GB/T 51399）；</w:t>
      </w:r>
    </w:p>
    <w:p w14:paraId="70D86BA5">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（22）《数据中心设计规范》（GB 50174）；</w:t>
      </w:r>
    </w:p>
    <w:p w14:paraId="5A7D515A">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（23）《信息安全技术网络存储安全技术要求》（GB/T37939）；</w:t>
      </w:r>
    </w:p>
    <w:p w14:paraId="6BAA9E2B">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（24）《信息安全技术智慧城市安全体系框架》（GB/T37971）；</w:t>
      </w:r>
    </w:p>
    <w:p w14:paraId="5AC74714">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（25）《信息安全技术云计算服务运行监管框架》（GB/T37972）；</w:t>
      </w:r>
    </w:p>
    <w:p w14:paraId="01752C02">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（26）《信息安全技术大数据安全管理指南》（GB/T37973）；</w:t>
      </w:r>
    </w:p>
    <w:p w14:paraId="52B5D2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（27）《信息安全技术数据库管理系统安全技术要求》（GB/T20273）；</w:t>
      </w:r>
    </w:p>
    <w:p w14:paraId="08A2EDDA">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（28）《广州市地方标准DB4401/T 10.1-2018 反恐怖防范管理 第1部分：通则》</w:t>
      </w:r>
    </w:p>
    <w:p w14:paraId="4E591855">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（29）《广州市地方标准DB4401/T 10.25-2019 反恐怖防范管理 第25部分：水务系统》</w:t>
      </w:r>
    </w:p>
    <w:p w14:paraId="0B8411C0">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322" w:name="_Toc15843"/>
      <w:r>
        <w:rPr>
          <w:rFonts w:hint="eastAsia" w:ascii="Times New Roman" w:hAnsi="Times New Roman" w:eastAsia="宋体" w:cs="Times New Roman"/>
          <w:color w:val="auto"/>
          <w:kern w:val="0"/>
          <w:sz w:val="24"/>
          <w:highlight w:val="none"/>
          <w:lang w:eastAsia="zh-CN"/>
        </w:rPr>
        <w:t>5、成果评价标准</w:t>
      </w:r>
      <w:bookmarkEnd w:id="322"/>
    </w:p>
    <w:p w14:paraId="598FAD48">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《智慧水厂评价标准》</w:t>
      </w:r>
    </w:p>
    <w:p w14:paraId="522014DD">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w:t>
      </w:r>
      <w:bookmarkStart w:id="323" w:name="_Toc1346"/>
      <w:r>
        <w:rPr>
          <w:rFonts w:hint="eastAsia" w:ascii="Times New Roman" w:hAnsi="Times New Roman" w:eastAsia="宋体" w:cs="Times New Roman"/>
          <w:color w:val="auto"/>
          <w:kern w:val="0"/>
          <w:sz w:val="24"/>
          <w:highlight w:val="none"/>
          <w:lang w:eastAsia="zh-CN"/>
        </w:rPr>
        <w:t>6、遵循的公司相关规定</w:t>
      </w:r>
      <w:bookmarkEnd w:id="323"/>
    </w:p>
    <w:p w14:paraId="1690E32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（1）《广州市自来水有限公司无人值守调节泵站技术规范》（穗自来水〔2023〕167 号）</w:t>
      </w:r>
    </w:p>
    <w:p w14:paraId="43C180A7">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（2）《广州市自来水有限公司无人值守变电站监控系统技术指引（试行）》（部室〔2023〕47号）</w:t>
      </w:r>
    </w:p>
    <w:p w14:paraId="4569F1E5">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（3）《广州市自来水有限公司无人值守仓库技术指引（试行）》（部室〔2023〕46号）</w:t>
      </w:r>
    </w:p>
    <w:p w14:paraId="7176EB89">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24" w:name="_Toc27396"/>
      <w:bookmarkStart w:id="325" w:name="_Toc4003"/>
      <w:bookmarkStart w:id="326" w:name="_Toc20811"/>
      <w:bookmarkStart w:id="327" w:name="_Toc3500"/>
      <w:bookmarkStart w:id="328" w:name="_Toc18382"/>
      <w:bookmarkStart w:id="329" w:name="_Toc20524"/>
      <w:bookmarkStart w:id="330" w:name="_Toc12414"/>
      <w:bookmarkStart w:id="331" w:name="_Toc32609"/>
      <w:r>
        <w:rPr>
          <w:rFonts w:hint="eastAsia" w:ascii="Arial" w:hAnsi="Arial" w:eastAsia="黑体" w:cs="Times New Roman"/>
          <w:b/>
          <w:color w:val="auto"/>
          <w:sz w:val="32"/>
          <w:highlight w:val="none"/>
          <w:lang w:val="en-US" w:eastAsia="zh-CN" w:bidi="ar-SA"/>
        </w:rPr>
        <w:t xml:space="preserve"> </w:t>
      </w:r>
      <w:bookmarkStart w:id="332" w:name="_Toc936570199"/>
      <w:bookmarkStart w:id="333" w:name="_Toc1431636392"/>
      <w:bookmarkStart w:id="334" w:name="_Toc193093545"/>
      <w:bookmarkStart w:id="335" w:name="_Toc344133956"/>
      <w:bookmarkStart w:id="336" w:name="_Toc12404"/>
      <w:bookmarkStart w:id="337" w:name="_Toc14071"/>
      <w:bookmarkStart w:id="338" w:name="_Toc25365"/>
      <w:bookmarkStart w:id="339" w:name="_Toc7280"/>
      <w:bookmarkStart w:id="340" w:name="_Toc1364639037"/>
      <w:r>
        <w:rPr>
          <w:rFonts w:hint="eastAsia" w:ascii="Arial" w:hAnsi="Arial" w:eastAsia="黑体" w:cs="Times New Roman"/>
          <w:b/>
          <w:color w:val="auto"/>
          <w:sz w:val="32"/>
          <w:highlight w:val="none"/>
          <w:lang w:val="en-US" w:eastAsia="zh-CN" w:bidi="ar-SA"/>
        </w:rPr>
        <w:t>合同范围</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00B68EE6">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本合同包涉及的范围为北部水厂一、二期(一阶段)中为满足</w:t>
      </w:r>
      <w:r>
        <w:rPr>
          <w:rFonts w:hint="eastAsia" w:ascii="宋体" w:hAnsi="宋体" w:eastAsia="宋体" w:cs="Times New Roman"/>
          <w:color w:val="auto"/>
          <w:kern w:val="0"/>
          <w:sz w:val="24"/>
          <w:highlight w:val="none"/>
          <w:lang w:val="en-US" w:eastAsia="zh-CN"/>
        </w:rPr>
        <w:t>智慧控制、</w:t>
      </w:r>
      <w:r>
        <w:rPr>
          <w:rFonts w:hint="eastAsia" w:ascii="宋体" w:hAnsi="宋体" w:eastAsia="宋体" w:cs="Times New Roman"/>
          <w:color w:val="auto"/>
          <w:kern w:val="0"/>
          <w:sz w:val="24"/>
          <w:highlight w:val="none"/>
          <w:lang w:eastAsia="zh-CN"/>
        </w:rPr>
        <w:t>智慧运营、智慧</w:t>
      </w:r>
      <w:r>
        <w:rPr>
          <w:rFonts w:hint="eastAsia" w:ascii="宋体" w:hAnsi="宋体" w:eastAsia="宋体" w:cs="Times New Roman"/>
          <w:color w:val="auto"/>
          <w:kern w:val="0"/>
          <w:sz w:val="24"/>
          <w:highlight w:val="none"/>
          <w:lang w:val="en-US" w:eastAsia="zh-CN"/>
        </w:rPr>
        <w:t>决策</w:t>
      </w:r>
      <w:r>
        <w:rPr>
          <w:rFonts w:hint="eastAsia" w:ascii="宋体" w:hAnsi="宋体" w:eastAsia="宋体" w:cs="Times New Roman"/>
          <w:color w:val="auto"/>
          <w:kern w:val="0"/>
          <w:sz w:val="24"/>
          <w:highlight w:val="none"/>
          <w:lang w:eastAsia="zh-CN"/>
        </w:rPr>
        <w:t>需要的部分智慧运营系统软件的提供、开发、集成、调试及运维指导，对智慧化系统开发</w:t>
      </w:r>
      <w:r>
        <w:rPr>
          <w:rFonts w:hint="eastAsia" w:ascii="宋体" w:hAnsi="宋体" w:eastAsia="宋体" w:cs="Times New Roman"/>
          <w:color w:val="auto"/>
          <w:kern w:val="0"/>
          <w:sz w:val="24"/>
          <w:highlight w:val="none"/>
          <w:lang w:val="en-US" w:eastAsia="zh-CN"/>
        </w:rPr>
        <w:t>硬件部份、</w:t>
      </w:r>
      <w:r>
        <w:rPr>
          <w:rFonts w:hint="eastAsia" w:ascii="宋体" w:hAnsi="宋体" w:eastAsia="宋体" w:cs="Times New Roman"/>
          <w:color w:val="auto"/>
          <w:kern w:val="0"/>
          <w:sz w:val="24"/>
          <w:highlight w:val="none"/>
          <w:lang w:eastAsia="zh-CN"/>
        </w:rPr>
        <w:t>仪表自控工程、电气工程、工艺、绿化、通风专业等各专业已包含的硬件设备以及厂区现状设备、土建的改造、调试及运维指导，以及对北部水厂一期BIM模型的深化。</w:t>
      </w:r>
    </w:p>
    <w:p w14:paraId="7C82E83C">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具体包括以下内容（但不仅限于下列内容）：</w:t>
      </w:r>
    </w:p>
    <w:p w14:paraId="40DA8F53">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bookmarkStart w:id="341" w:name="_Toc28270"/>
      <w:r>
        <w:rPr>
          <w:rFonts w:hint="eastAsia" w:ascii="Times New Roman" w:hAnsi="Times New Roman" w:eastAsia="宋体" w:cs="Times New Roman"/>
          <w:color w:val="auto"/>
          <w:kern w:val="0"/>
          <w:sz w:val="24"/>
          <w:highlight w:val="none"/>
          <w:lang w:eastAsia="zh-CN"/>
        </w:rPr>
        <w:t>按项目内容对智慧水厂内容(含BIM)进行二次深化设计。</w:t>
      </w:r>
      <w:bookmarkEnd w:id="341"/>
    </w:p>
    <w:p w14:paraId="2A42A483">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本项目需完成相关功能实现、相关数据模型修订和数据仓库修改、北部水厂的数据初始化，并指导招标人编制推广应用的实施方案。</w:t>
      </w:r>
    </w:p>
    <w:p w14:paraId="4E6F3C23">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基于招标人提供的算力条件（见下表），</w:t>
      </w:r>
      <w:r>
        <w:rPr>
          <w:rFonts w:hint="eastAsia" w:ascii="Times New Roman" w:hAnsi="Times New Roman" w:eastAsia="宋体" w:cs="Times New Roman"/>
          <w:color w:val="auto"/>
          <w:kern w:val="0"/>
          <w:sz w:val="24"/>
          <w:highlight w:val="none"/>
          <w:lang w:eastAsia="zh-CN"/>
        </w:rPr>
        <w:t>建立AI大模型平台，进行原子模型部署或开发，进行模型算法编排、调优、标注训练、封装和发布等工作。</w:t>
      </w:r>
    </w:p>
    <w:tbl>
      <w:tblPr>
        <w:tblStyle w:val="20"/>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1367"/>
        <w:gridCol w:w="1325"/>
        <w:gridCol w:w="1717"/>
        <w:gridCol w:w="2308"/>
      </w:tblGrid>
      <w:tr w14:paraId="7C29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tcBorders>
              <w:tl2br w:val="single" w:color="auto" w:sz="4" w:space="0"/>
            </w:tcBorders>
            <w:noWrap w:val="0"/>
            <w:vAlign w:val="center"/>
          </w:tcPr>
          <w:p w14:paraId="55BC6380">
            <w:pPr>
              <w:widowControl/>
              <w:numPr>
                <w:ilvl w:val="0"/>
                <w:numId w:val="0"/>
              </w:numPr>
              <w:spacing w:line="360" w:lineRule="auto"/>
              <w:ind w:firstLine="1200" w:firstLineChars="500"/>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参数</w:t>
            </w:r>
          </w:p>
          <w:p w14:paraId="0D47C06D">
            <w:pPr>
              <w:widowControl/>
              <w:numPr>
                <w:ilvl w:val="0"/>
                <w:numId w:val="0"/>
              </w:numPr>
              <w:spacing w:line="360" w:lineRule="auto"/>
              <w:ind w:firstLine="480" w:firstLineChars="200"/>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类型</w:t>
            </w:r>
          </w:p>
        </w:tc>
        <w:tc>
          <w:tcPr>
            <w:tcW w:w="1367" w:type="dxa"/>
            <w:noWrap w:val="0"/>
            <w:vAlign w:val="center"/>
          </w:tcPr>
          <w:p w14:paraId="41A161D3">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CPU</w:t>
            </w:r>
          </w:p>
        </w:tc>
        <w:tc>
          <w:tcPr>
            <w:tcW w:w="1325" w:type="dxa"/>
            <w:noWrap w:val="0"/>
            <w:vAlign w:val="center"/>
          </w:tcPr>
          <w:p w14:paraId="1525F59E">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内存</w:t>
            </w:r>
          </w:p>
        </w:tc>
        <w:tc>
          <w:tcPr>
            <w:tcW w:w="1717" w:type="dxa"/>
            <w:noWrap w:val="0"/>
            <w:vAlign w:val="center"/>
          </w:tcPr>
          <w:p w14:paraId="4E9F510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存储</w:t>
            </w:r>
          </w:p>
        </w:tc>
        <w:tc>
          <w:tcPr>
            <w:tcW w:w="2308" w:type="dxa"/>
            <w:noWrap w:val="0"/>
            <w:vAlign w:val="center"/>
          </w:tcPr>
          <w:p w14:paraId="41602CF4">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备注</w:t>
            </w:r>
          </w:p>
        </w:tc>
      </w:tr>
      <w:tr w14:paraId="64DC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7E2B233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一、常规计算能力服务器</w:t>
            </w:r>
          </w:p>
        </w:tc>
        <w:tc>
          <w:tcPr>
            <w:tcW w:w="1367" w:type="dxa"/>
            <w:noWrap w:val="0"/>
            <w:vAlign w:val="center"/>
          </w:tcPr>
          <w:p w14:paraId="6317ACA1">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≤600C</w:t>
            </w:r>
          </w:p>
        </w:tc>
        <w:tc>
          <w:tcPr>
            <w:tcW w:w="1325" w:type="dxa"/>
            <w:noWrap w:val="0"/>
            <w:vAlign w:val="center"/>
          </w:tcPr>
          <w:p w14:paraId="35A89787">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≤2.5TB</w:t>
            </w:r>
          </w:p>
        </w:tc>
        <w:tc>
          <w:tcPr>
            <w:tcW w:w="1717" w:type="dxa"/>
            <w:noWrap w:val="0"/>
            <w:vAlign w:val="center"/>
          </w:tcPr>
          <w:p w14:paraId="5C2B94F6">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 xml:space="preserve">≤70TB </w:t>
            </w:r>
          </w:p>
        </w:tc>
        <w:tc>
          <w:tcPr>
            <w:tcW w:w="2308" w:type="dxa"/>
            <w:noWrap w:val="0"/>
            <w:vAlign w:val="center"/>
          </w:tcPr>
          <w:p w14:paraId="277676C6">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w:t>
            </w:r>
          </w:p>
        </w:tc>
      </w:tr>
      <w:tr w14:paraId="19BD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1760611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二、AI算力服务器</w:t>
            </w:r>
          </w:p>
        </w:tc>
        <w:tc>
          <w:tcPr>
            <w:tcW w:w="1367" w:type="dxa"/>
            <w:noWrap w:val="0"/>
            <w:vAlign w:val="center"/>
          </w:tcPr>
          <w:p w14:paraId="010BA913">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≤600C</w:t>
            </w:r>
          </w:p>
        </w:tc>
        <w:tc>
          <w:tcPr>
            <w:tcW w:w="1325" w:type="dxa"/>
            <w:noWrap w:val="0"/>
            <w:vAlign w:val="center"/>
          </w:tcPr>
          <w:p w14:paraId="6C7023B6">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≤2.5TB</w:t>
            </w:r>
          </w:p>
        </w:tc>
        <w:tc>
          <w:tcPr>
            <w:tcW w:w="1717" w:type="dxa"/>
            <w:noWrap w:val="0"/>
            <w:vAlign w:val="center"/>
          </w:tcPr>
          <w:p w14:paraId="78C13E17">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 xml:space="preserve">≤35TB </w:t>
            </w:r>
          </w:p>
        </w:tc>
        <w:tc>
          <w:tcPr>
            <w:tcW w:w="2308" w:type="dxa"/>
            <w:noWrap w:val="0"/>
            <w:vAlign w:val="center"/>
          </w:tcPr>
          <w:p w14:paraId="118190B1">
            <w:pPr>
              <w:widowControl/>
              <w:numPr>
                <w:ilvl w:val="0"/>
                <w:numId w:val="0"/>
              </w:numPr>
              <w:spacing w:line="360" w:lineRule="auto"/>
              <w:ind w:firstLine="480" w:firstLineChars="200"/>
              <w:jc w:val="center"/>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6000TFLOPS</w:t>
            </w:r>
          </w:p>
          <w:p w14:paraId="6B6355A1">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（FP16）（按理论值）</w:t>
            </w:r>
          </w:p>
        </w:tc>
      </w:tr>
      <w:tr w14:paraId="328F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4CA281CB">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三、大模型算力</w:t>
            </w:r>
          </w:p>
        </w:tc>
        <w:tc>
          <w:tcPr>
            <w:tcW w:w="1367" w:type="dxa"/>
            <w:noWrap w:val="0"/>
            <w:vAlign w:val="center"/>
          </w:tcPr>
          <w:p w14:paraId="5BB64C0F">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≤96C</w:t>
            </w:r>
          </w:p>
        </w:tc>
        <w:tc>
          <w:tcPr>
            <w:tcW w:w="1325" w:type="dxa"/>
            <w:noWrap w:val="0"/>
            <w:vAlign w:val="center"/>
          </w:tcPr>
          <w:p w14:paraId="2666AB1B">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≤2TB</w:t>
            </w:r>
          </w:p>
        </w:tc>
        <w:tc>
          <w:tcPr>
            <w:tcW w:w="1717" w:type="dxa"/>
            <w:noWrap w:val="0"/>
            <w:vAlign w:val="center"/>
          </w:tcPr>
          <w:p w14:paraId="2C62D430">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4TB</w:t>
            </w:r>
          </w:p>
        </w:tc>
        <w:tc>
          <w:tcPr>
            <w:tcW w:w="2308" w:type="dxa"/>
            <w:noWrap w:val="0"/>
            <w:vAlign w:val="center"/>
          </w:tcPr>
          <w:p w14:paraId="153154A6">
            <w:pPr>
              <w:widowControl/>
              <w:numPr>
                <w:ilvl w:val="0"/>
                <w:numId w:val="0"/>
              </w:numPr>
              <w:spacing w:line="360" w:lineRule="auto"/>
              <w:ind w:firstLine="480" w:firstLineChars="200"/>
              <w:jc w:val="center"/>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2.5PFLOPS</w:t>
            </w:r>
          </w:p>
          <w:p w14:paraId="5663D2C8">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（FP16）（按理论值）</w:t>
            </w:r>
          </w:p>
        </w:tc>
      </w:tr>
    </w:tbl>
    <w:p w14:paraId="38DC475D">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在智慧供水云平台增添本项目涉及的开发工具、中间件、算法和服务等资源，在开发、测试环境中按公司规范开发相应的服务，并接受统一管理。</w:t>
      </w:r>
    </w:p>
    <w:p w14:paraId="76AA84B8">
      <w:pPr>
        <w:widowControl/>
        <w:numPr>
          <w:ilvl w:val="0"/>
          <w:numId w:val="18"/>
        </w:numPr>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按应用场景要求编排相应的算法、服务、数据和界面，形成专题系统和系统功能，满足本项目智慧水厂的应用。</w:t>
      </w:r>
    </w:p>
    <w:p w14:paraId="67CB56E7">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val="en-US" w:eastAsia="zh-CN"/>
        </w:rPr>
        <w:t>配合</w:t>
      </w:r>
      <w:r>
        <w:rPr>
          <w:rFonts w:hint="eastAsia" w:ascii="宋体" w:hAnsi="宋体" w:eastAsia="宋体" w:cs="Times New Roman"/>
          <w:color w:val="auto"/>
          <w:kern w:val="0"/>
          <w:sz w:val="24"/>
          <w:highlight w:val="none"/>
          <w:lang w:eastAsia="zh-CN"/>
        </w:rPr>
        <w:t>与自动控制系统、安防系统、配电系统等的集成、调试、投运和培训，以及相关资料的提供。</w:t>
      </w:r>
    </w:p>
    <w:p w14:paraId="603DF1AB">
      <w:pPr>
        <w:widowControl/>
        <w:numPr>
          <w:ilvl w:val="0"/>
          <w:numId w:val="18"/>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指导自动化系统中标人按要求进行编程，保证系统无缝切换。</w:t>
      </w:r>
    </w:p>
    <w:p w14:paraId="7034A5B4">
      <w:pPr>
        <w:widowControl/>
        <w:numPr>
          <w:ilvl w:val="0"/>
          <w:numId w:val="18"/>
        </w:numPr>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中标人还应负责下列工作（但不仅限于下列工作）：</w:t>
      </w:r>
    </w:p>
    <w:p w14:paraId="027D9E33">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(a)遵照本技术规格书要求，对</w:t>
      </w:r>
      <w:r>
        <w:rPr>
          <w:rFonts w:hint="eastAsia" w:ascii="宋体" w:hAnsi="宋体" w:eastAsia="宋体" w:cs="Times New Roman"/>
          <w:color w:val="auto"/>
          <w:kern w:val="0"/>
          <w:sz w:val="24"/>
          <w:highlight w:val="none"/>
          <w:lang w:val="en-US" w:eastAsia="zh-CN"/>
        </w:rPr>
        <w:t>软件</w:t>
      </w:r>
      <w:r>
        <w:rPr>
          <w:rFonts w:hint="eastAsia" w:ascii="宋体" w:hAnsi="宋体" w:eastAsia="宋体" w:cs="Times New Roman"/>
          <w:color w:val="auto"/>
          <w:kern w:val="0"/>
          <w:sz w:val="24"/>
          <w:highlight w:val="none"/>
          <w:lang w:eastAsia="zh-CN"/>
        </w:rPr>
        <w:t>的</w:t>
      </w:r>
      <w:r>
        <w:rPr>
          <w:rFonts w:hint="eastAsia" w:ascii="宋体" w:hAnsi="宋体" w:eastAsia="宋体" w:cs="Times New Roman"/>
          <w:color w:val="auto"/>
          <w:kern w:val="0"/>
          <w:sz w:val="24"/>
          <w:highlight w:val="none"/>
          <w:lang w:val="en-US" w:eastAsia="zh-CN"/>
        </w:rPr>
        <w:t>开发</w:t>
      </w:r>
      <w:r>
        <w:rPr>
          <w:rFonts w:hint="eastAsia" w:ascii="宋体" w:hAnsi="宋体" w:eastAsia="宋体" w:cs="Times New Roman"/>
          <w:color w:val="auto"/>
          <w:kern w:val="0"/>
          <w:sz w:val="24"/>
          <w:highlight w:val="none"/>
          <w:lang w:eastAsia="zh-CN"/>
        </w:rPr>
        <w:t>、</w:t>
      </w:r>
      <w:r>
        <w:rPr>
          <w:rFonts w:hint="eastAsia" w:ascii="宋体" w:hAnsi="宋体" w:eastAsia="宋体" w:cs="Times New Roman"/>
          <w:color w:val="auto"/>
          <w:kern w:val="0"/>
          <w:sz w:val="24"/>
          <w:highlight w:val="none"/>
          <w:lang w:val="en-US" w:eastAsia="zh-CN"/>
        </w:rPr>
        <w:t>调试</w:t>
      </w:r>
      <w:r>
        <w:rPr>
          <w:rFonts w:hint="eastAsia" w:ascii="宋体" w:hAnsi="宋体" w:eastAsia="宋体" w:cs="Times New Roman"/>
          <w:color w:val="auto"/>
          <w:kern w:val="0"/>
          <w:sz w:val="24"/>
          <w:highlight w:val="none"/>
          <w:lang w:eastAsia="zh-CN"/>
        </w:rPr>
        <w:t>及应用等各方面负责；</w:t>
      </w:r>
    </w:p>
    <w:p w14:paraId="02DC924D">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(b)与各设备中标人联系，保证各设备及设计的整体的统一性；</w:t>
      </w:r>
    </w:p>
    <w:p w14:paraId="7CA0E8DE">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(c)对全面的系统</w:t>
      </w:r>
      <w:r>
        <w:rPr>
          <w:rFonts w:hint="eastAsia" w:ascii="宋体" w:hAnsi="宋体" w:eastAsia="宋体" w:cs="Times New Roman"/>
          <w:color w:val="auto"/>
          <w:kern w:val="0"/>
          <w:sz w:val="24"/>
          <w:highlight w:val="none"/>
          <w:lang w:val="en-US" w:eastAsia="zh-CN"/>
        </w:rPr>
        <w:t>软件部份</w:t>
      </w:r>
      <w:r>
        <w:rPr>
          <w:rFonts w:hint="eastAsia" w:ascii="宋体" w:hAnsi="宋体" w:eastAsia="宋体" w:cs="Times New Roman"/>
          <w:color w:val="auto"/>
          <w:kern w:val="0"/>
          <w:sz w:val="24"/>
          <w:highlight w:val="none"/>
          <w:lang w:eastAsia="zh-CN"/>
        </w:rPr>
        <w:t>工作负责，保证所有的设备、部件和系统组成一个一致的合理的和完全整体化的智慧运营系统以及通讯系统；</w:t>
      </w:r>
    </w:p>
    <w:p w14:paraId="6E552498">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(d)负责提供对达到技术规格要求所必须的所有组件，无论这些组件是否在技术规格中明确指出；</w:t>
      </w:r>
    </w:p>
    <w:p w14:paraId="4E85C9C0">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(e)对负责有关线路及设备提供保护，以避免系统受雷击及感应电流的影响；；</w:t>
      </w:r>
    </w:p>
    <w:p w14:paraId="3B325E8C">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w:t>
      </w:r>
      <w:r>
        <w:rPr>
          <w:rFonts w:hint="eastAsia" w:ascii="宋体" w:hAnsi="宋体" w:eastAsia="宋体" w:cs="Times New Roman"/>
          <w:color w:val="auto"/>
          <w:kern w:val="0"/>
          <w:sz w:val="24"/>
          <w:highlight w:val="none"/>
          <w:lang w:val="en-US" w:eastAsia="zh-CN"/>
        </w:rPr>
        <w:t>f</w:t>
      </w:r>
      <w:r>
        <w:rPr>
          <w:rFonts w:hint="eastAsia" w:ascii="宋体" w:hAnsi="宋体" w:eastAsia="宋体" w:cs="Times New Roman"/>
          <w:color w:val="auto"/>
          <w:kern w:val="0"/>
          <w:sz w:val="24"/>
          <w:highlight w:val="none"/>
          <w:lang w:eastAsia="zh-CN"/>
        </w:rPr>
        <w:t>)负责智慧</w:t>
      </w:r>
      <w:r>
        <w:rPr>
          <w:rFonts w:hint="eastAsia" w:ascii="宋体" w:hAnsi="宋体" w:eastAsia="宋体" w:cs="Times New Roman"/>
          <w:color w:val="auto"/>
          <w:kern w:val="0"/>
          <w:sz w:val="24"/>
          <w:highlight w:val="none"/>
          <w:lang w:val="en-US" w:eastAsia="zh-CN"/>
        </w:rPr>
        <w:t>水厂</w:t>
      </w:r>
      <w:r>
        <w:rPr>
          <w:rFonts w:hint="eastAsia" w:ascii="宋体" w:hAnsi="宋体" w:eastAsia="宋体" w:cs="Times New Roman"/>
          <w:color w:val="auto"/>
          <w:kern w:val="0"/>
          <w:sz w:val="24"/>
          <w:highlight w:val="none"/>
          <w:lang w:eastAsia="zh-CN"/>
        </w:rPr>
        <w:t>系统软件及相关应用软件的编制、汉化以及调试（根据招标人的要求）；</w:t>
      </w:r>
    </w:p>
    <w:p w14:paraId="282B0A3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w:t>
      </w:r>
      <w:r>
        <w:rPr>
          <w:rFonts w:hint="eastAsia" w:ascii="宋体" w:hAnsi="宋体" w:eastAsia="宋体" w:cs="Times New Roman"/>
          <w:color w:val="auto"/>
          <w:kern w:val="0"/>
          <w:sz w:val="24"/>
          <w:highlight w:val="none"/>
          <w:lang w:val="en-US" w:eastAsia="zh-CN"/>
        </w:rPr>
        <w:t>g</w:t>
      </w:r>
      <w:r>
        <w:rPr>
          <w:rFonts w:hint="eastAsia" w:ascii="宋体" w:hAnsi="宋体" w:eastAsia="宋体" w:cs="Times New Roman"/>
          <w:color w:val="auto"/>
          <w:kern w:val="0"/>
          <w:sz w:val="24"/>
          <w:highlight w:val="none"/>
          <w:lang w:eastAsia="zh-CN"/>
        </w:rPr>
        <w:t>)扩建后全厂的整体改造和智慧</w:t>
      </w:r>
      <w:r>
        <w:rPr>
          <w:rFonts w:hint="eastAsia" w:ascii="宋体" w:hAnsi="宋体" w:eastAsia="宋体" w:cs="Times New Roman"/>
          <w:color w:val="auto"/>
          <w:kern w:val="0"/>
          <w:sz w:val="24"/>
          <w:highlight w:val="none"/>
          <w:lang w:val="en-US" w:eastAsia="zh-CN"/>
        </w:rPr>
        <w:t>水厂</w:t>
      </w:r>
      <w:r>
        <w:rPr>
          <w:rFonts w:hint="eastAsia" w:ascii="宋体" w:hAnsi="宋体" w:eastAsia="宋体" w:cs="Times New Roman"/>
          <w:color w:val="auto"/>
          <w:kern w:val="0"/>
          <w:sz w:val="24"/>
          <w:highlight w:val="none"/>
          <w:lang w:eastAsia="zh-CN"/>
        </w:rPr>
        <w:t>系统调试：当工艺设备，电气、自控</w:t>
      </w:r>
      <w:r>
        <w:rPr>
          <w:rFonts w:hint="eastAsia" w:ascii="宋体" w:hAnsi="宋体" w:eastAsia="宋体" w:cs="Times New Roman"/>
          <w:color w:val="auto"/>
          <w:kern w:val="0"/>
          <w:sz w:val="24"/>
          <w:highlight w:val="none"/>
          <w:lang w:val="en-US" w:eastAsia="zh-CN"/>
        </w:rPr>
        <w:t>及智慧化</w:t>
      </w:r>
      <w:r>
        <w:rPr>
          <w:rFonts w:hint="eastAsia" w:ascii="宋体" w:hAnsi="宋体" w:eastAsia="宋体" w:cs="Times New Roman"/>
          <w:color w:val="auto"/>
          <w:kern w:val="0"/>
          <w:sz w:val="24"/>
          <w:highlight w:val="none"/>
          <w:lang w:eastAsia="zh-CN"/>
        </w:rPr>
        <w:t>等专业设备及本合同包的中标人达到各自合同包下的调试要求后，在招标人协调下由中标人牵头组织对新建及现状部分进行整合改造及调试，在联动试车期间各合同包中标人对各自合同范围内所出现的问题自行解决。</w:t>
      </w:r>
    </w:p>
    <w:p w14:paraId="0723F9BF">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42" w:name="_Toc18278"/>
      <w:bookmarkStart w:id="343" w:name="_Toc4081"/>
      <w:bookmarkStart w:id="344" w:name="_Toc24568"/>
      <w:bookmarkStart w:id="345" w:name="_Toc24616"/>
      <w:bookmarkStart w:id="346" w:name="_Toc13898"/>
      <w:bookmarkStart w:id="347" w:name="_Toc3043"/>
      <w:bookmarkStart w:id="348" w:name="_Toc28235"/>
      <w:bookmarkStart w:id="349" w:name="_Toc23205"/>
      <w:r>
        <w:rPr>
          <w:rFonts w:hint="eastAsia" w:ascii="Arial" w:hAnsi="Arial" w:eastAsia="黑体" w:cs="Times New Roman"/>
          <w:b/>
          <w:color w:val="auto"/>
          <w:sz w:val="32"/>
          <w:highlight w:val="none"/>
          <w:lang w:val="en-US" w:eastAsia="zh-CN" w:bidi="ar-SA"/>
        </w:rPr>
        <w:t xml:space="preserve"> </w:t>
      </w:r>
      <w:bookmarkStart w:id="350" w:name="_Toc921147860"/>
      <w:bookmarkStart w:id="351" w:name="_Toc9490"/>
      <w:bookmarkStart w:id="352" w:name="_Toc20002"/>
      <w:bookmarkStart w:id="353" w:name="_Toc362944899"/>
      <w:bookmarkStart w:id="354" w:name="_Toc193093546"/>
      <w:bookmarkStart w:id="355" w:name="_Toc685937121"/>
      <w:bookmarkStart w:id="356" w:name="_Toc2027685730"/>
      <w:bookmarkStart w:id="357" w:name="_Toc3428"/>
      <w:bookmarkStart w:id="358" w:name="_Toc21208"/>
      <w:r>
        <w:rPr>
          <w:rFonts w:hint="eastAsia" w:ascii="Arial" w:hAnsi="Arial" w:eastAsia="黑体" w:cs="Times New Roman"/>
          <w:b/>
          <w:color w:val="auto"/>
          <w:sz w:val="32"/>
          <w:highlight w:val="none"/>
          <w:lang w:val="en-US" w:eastAsia="zh-CN" w:bidi="ar-SA"/>
        </w:rPr>
        <w:t>与其他供货商的分界面</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5440FBE9">
      <w:pPr>
        <w:widowControl/>
        <w:spacing w:line="360" w:lineRule="auto"/>
        <w:ind w:firstLine="504" w:firstLineChars="200"/>
        <w:rPr>
          <w:rFonts w:ascii="Times New Roman" w:hAnsi="Times New Roman" w:eastAsia="宋体" w:cs="Times New Roman"/>
          <w:color w:val="auto"/>
          <w:spacing w:val="6"/>
          <w:kern w:val="0"/>
          <w:sz w:val="24"/>
          <w:szCs w:val="24"/>
          <w:highlight w:val="none"/>
          <w:lang w:eastAsia="zh-CN"/>
        </w:rPr>
      </w:pPr>
      <w:r>
        <w:rPr>
          <w:rFonts w:ascii="Times New Roman" w:hAnsi="Times New Roman" w:eastAsia="宋体" w:cs="Times New Roman"/>
          <w:color w:val="auto"/>
          <w:spacing w:val="6"/>
          <w:kern w:val="0"/>
          <w:sz w:val="24"/>
          <w:szCs w:val="24"/>
          <w:highlight w:val="none"/>
          <w:lang w:eastAsia="zh-CN"/>
        </w:rPr>
        <w:t>属其他合同内容的，但与本合同存在分界面关系的，</w:t>
      </w:r>
      <w:r>
        <w:rPr>
          <w:rFonts w:hint="eastAsia" w:ascii="Times New Roman" w:hAnsi="Times New Roman" w:eastAsia="宋体" w:cs="Times New Roman"/>
          <w:color w:val="auto"/>
          <w:spacing w:val="6"/>
          <w:kern w:val="0"/>
          <w:sz w:val="24"/>
          <w:szCs w:val="24"/>
          <w:highlight w:val="none"/>
          <w:lang w:eastAsia="zh-CN"/>
        </w:rPr>
        <w:t>中标人</w:t>
      </w:r>
      <w:r>
        <w:rPr>
          <w:rFonts w:ascii="Times New Roman" w:hAnsi="Times New Roman" w:eastAsia="宋体" w:cs="Times New Roman"/>
          <w:color w:val="auto"/>
          <w:spacing w:val="6"/>
          <w:kern w:val="0"/>
          <w:sz w:val="24"/>
          <w:szCs w:val="24"/>
          <w:highlight w:val="none"/>
          <w:lang w:eastAsia="zh-CN"/>
        </w:rPr>
        <w:t>有责任向其他合同</w:t>
      </w:r>
      <w:r>
        <w:rPr>
          <w:rFonts w:hint="eastAsia" w:ascii="Times New Roman" w:hAnsi="Times New Roman" w:eastAsia="宋体" w:cs="Times New Roman"/>
          <w:color w:val="auto"/>
          <w:spacing w:val="6"/>
          <w:kern w:val="0"/>
          <w:sz w:val="24"/>
          <w:szCs w:val="24"/>
          <w:highlight w:val="none"/>
          <w:lang w:eastAsia="zh-CN"/>
        </w:rPr>
        <w:t>中标人</w:t>
      </w:r>
      <w:r>
        <w:rPr>
          <w:rFonts w:ascii="Times New Roman" w:hAnsi="Times New Roman" w:eastAsia="宋体" w:cs="Times New Roman"/>
          <w:color w:val="auto"/>
          <w:spacing w:val="6"/>
          <w:kern w:val="0"/>
          <w:sz w:val="24"/>
          <w:szCs w:val="24"/>
          <w:highlight w:val="none"/>
          <w:lang w:eastAsia="zh-CN"/>
        </w:rPr>
        <w:t>提供属本合同范围内的设备接口资料及文件，明确提出技术要求，并有责任协助对方完成和调试各设备的接口工作。</w:t>
      </w:r>
    </w:p>
    <w:p w14:paraId="7E8B930E">
      <w:pPr>
        <w:widowControl/>
        <w:spacing w:line="360" w:lineRule="auto"/>
        <w:ind w:firstLine="504"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spacing w:val="6"/>
          <w:kern w:val="0"/>
          <w:sz w:val="24"/>
          <w:szCs w:val="24"/>
          <w:highlight w:val="none"/>
          <w:lang w:eastAsia="zh-CN"/>
        </w:rPr>
        <w:t>本</w:t>
      </w:r>
      <w:r>
        <w:rPr>
          <w:rFonts w:hint="eastAsia" w:ascii="Times New Roman" w:hAnsi="Times New Roman" w:eastAsia="宋体" w:cs="Times New Roman"/>
          <w:color w:val="auto"/>
          <w:spacing w:val="6"/>
          <w:kern w:val="0"/>
          <w:sz w:val="24"/>
          <w:szCs w:val="24"/>
          <w:highlight w:val="none"/>
          <w:lang w:eastAsia="zh-CN"/>
        </w:rPr>
        <w:t>合同投标人</w:t>
      </w:r>
      <w:r>
        <w:rPr>
          <w:rFonts w:ascii="Times New Roman" w:hAnsi="Times New Roman" w:eastAsia="宋体" w:cs="Times New Roman"/>
          <w:color w:val="auto"/>
          <w:spacing w:val="6"/>
          <w:kern w:val="0"/>
          <w:sz w:val="24"/>
          <w:szCs w:val="24"/>
          <w:highlight w:val="none"/>
          <w:lang w:eastAsia="zh-CN"/>
        </w:rPr>
        <w:t>应负责将</w:t>
      </w:r>
      <w:r>
        <w:rPr>
          <w:rFonts w:hint="eastAsia" w:ascii="Times New Roman" w:hAnsi="Times New Roman" w:eastAsia="宋体" w:cs="Times New Roman"/>
          <w:color w:val="auto"/>
          <w:spacing w:val="6"/>
          <w:kern w:val="0"/>
          <w:sz w:val="24"/>
          <w:szCs w:val="24"/>
          <w:highlight w:val="none"/>
          <w:lang w:eastAsia="zh-CN"/>
        </w:rPr>
        <w:t>工艺包</w:t>
      </w:r>
      <w:r>
        <w:rPr>
          <w:rFonts w:ascii="Times New Roman" w:hAnsi="Times New Roman" w:eastAsia="宋体" w:cs="Times New Roman"/>
          <w:color w:val="auto"/>
          <w:spacing w:val="6"/>
          <w:kern w:val="0"/>
          <w:sz w:val="24"/>
          <w:szCs w:val="24"/>
          <w:highlight w:val="none"/>
          <w:lang w:eastAsia="zh-CN"/>
        </w:rPr>
        <w:t>成套设备控制系统</w:t>
      </w:r>
      <w:r>
        <w:rPr>
          <w:rFonts w:hint="eastAsia" w:ascii="Times New Roman" w:hAnsi="Times New Roman" w:eastAsia="宋体" w:cs="Times New Roman"/>
          <w:color w:val="auto"/>
          <w:spacing w:val="6"/>
          <w:kern w:val="0"/>
          <w:sz w:val="24"/>
          <w:szCs w:val="24"/>
          <w:highlight w:val="none"/>
          <w:lang w:val="en-US" w:eastAsia="zh-CN"/>
        </w:rPr>
        <w:t>通过软件手段</w:t>
      </w:r>
      <w:r>
        <w:rPr>
          <w:rFonts w:ascii="Times New Roman" w:hAnsi="Times New Roman" w:eastAsia="宋体" w:cs="Times New Roman"/>
          <w:color w:val="auto"/>
          <w:spacing w:val="6"/>
          <w:kern w:val="0"/>
          <w:sz w:val="24"/>
          <w:szCs w:val="24"/>
          <w:highlight w:val="none"/>
          <w:lang w:eastAsia="zh-CN"/>
        </w:rPr>
        <w:t>接入</w:t>
      </w:r>
      <w:r>
        <w:rPr>
          <w:rFonts w:hint="eastAsia" w:ascii="Times New Roman" w:hAnsi="Times New Roman" w:eastAsia="宋体" w:cs="Times New Roman"/>
          <w:color w:val="auto"/>
          <w:spacing w:val="6"/>
          <w:kern w:val="0"/>
          <w:sz w:val="24"/>
          <w:szCs w:val="24"/>
          <w:highlight w:val="none"/>
          <w:lang w:eastAsia="zh-CN"/>
        </w:rPr>
        <w:t>智慧</w:t>
      </w:r>
      <w:r>
        <w:rPr>
          <w:rFonts w:hint="eastAsia" w:ascii="Times New Roman" w:hAnsi="Times New Roman" w:eastAsia="宋体" w:cs="Times New Roman"/>
          <w:color w:val="auto"/>
          <w:spacing w:val="6"/>
          <w:kern w:val="0"/>
          <w:sz w:val="24"/>
          <w:szCs w:val="24"/>
          <w:highlight w:val="none"/>
          <w:lang w:val="en-US" w:eastAsia="zh-CN"/>
        </w:rPr>
        <w:t>水厂</w:t>
      </w:r>
      <w:r>
        <w:rPr>
          <w:rFonts w:ascii="Times New Roman" w:hAnsi="Times New Roman" w:eastAsia="宋体" w:cs="Times New Roman"/>
          <w:color w:val="auto"/>
          <w:spacing w:val="6"/>
          <w:kern w:val="0"/>
          <w:sz w:val="24"/>
          <w:szCs w:val="24"/>
          <w:highlight w:val="none"/>
          <w:lang w:eastAsia="zh-CN"/>
        </w:rPr>
        <w:t>系统</w:t>
      </w:r>
      <w:r>
        <w:rPr>
          <w:rFonts w:hint="eastAsia" w:ascii="Times New Roman" w:hAnsi="Times New Roman" w:eastAsia="宋体" w:cs="Times New Roman"/>
          <w:color w:val="auto"/>
          <w:spacing w:val="6"/>
          <w:kern w:val="0"/>
          <w:sz w:val="24"/>
          <w:szCs w:val="24"/>
          <w:highlight w:val="none"/>
          <w:lang w:eastAsia="zh-CN"/>
        </w:rPr>
        <w:t>或者自控系统</w:t>
      </w:r>
      <w:r>
        <w:rPr>
          <w:rFonts w:ascii="Times New Roman" w:hAnsi="Times New Roman" w:eastAsia="宋体" w:cs="Times New Roman"/>
          <w:color w:val="auto"/>
          <w:spacing w:val="6"/>
          <w:kern w:val="0"/>
          <w:sz w:val="24"/>
          <w:szCs w:val="24"/>
          <w:highlight w:val="none"/>
          <w:lang w:eastAsia="zh-CN"/>
        </w:rPr>
        <w:t>中，使之成为一个完整的系统，并负责相关通讯及数据接口的协调、开发及调试，并将</w:t>
      </w:r>
      <w:r>
        <w:rPr>
          <w:rFonts w:hint="eastAsia" w:ascii="Times New Roman" w:hAnsi="Times New Roman" w:eastAsia="宋体" w:cs="Times New Roman"/>
          <w:color w:val="auto"/>
          <w:spacing w:val="6"/>
          <w:kern w:val="0"/>
          <w:sz w:val="24"/>
          <w:szCs w:val="24"/>
          <w:highlight w:val="none"/>
          <w:lang w:eastAsia="zh-CN"/>
        </w:rPr>
        <w:t>工艺包</w:t>
      </w:r>
      <w:r>
        <w:rPr>
          <w:rFonts w:ascii="Times New Roman" w:hAnsi="Times New Roman" w:eastAsia="宋体" w:cs="Times New Roman"/>
          <w:color w:val="auto"/>
          <w:spacing w:val="6"/>
          <w:kern w:val="0"/>
          <w:sz w:val="24"/>
          <w:szCs w:val="24"/>
          <w:highlight w:val="none"/>
          <w:lang w:eastAsia="zh-CN"/>
        </w:rPr>
        <w:t>成套设备所控设备信息</w:t>
      </w:r>
      <w:r>
        <w:rPr>
          <w:rFonts w:hint="eastAsia" w:ascii="Times New Roman" w:hAnsi="Times New Roman" w:eastAsia="宋体" w:cs="Times New Roman"/>
          <w:color w:val="auto"/>
          <w:spacing w:val="6"/>
          <w:kern w:val="0"/>
          <w:sz w:val="24"/>
          <w:szCs w:val="24"/>
          <w:highlight w:val="none"/>
          <w:lang w:eastAsia="zh-CN"/>
        </w:rPr>
        <w:t>采集至本系统数据中心，供各模块调用，且</w:t>
      </w:r>
      <w:r>
        <w:rPr>
          <w:rFonts w:ascii="Times New Roman" w:hAnsi="Times New Roman" w:eastAsia="宋体" w:cs="Times New Roman"/>
          <w:color w:val="auto"/>
          <w:spacing w:val="6"/>
          <w:kern w:val="0"/>
          <w:sz w:val="24"/>
          <w:szCs w:val="24"/>
          <w:highlight w:val="none"/>
          <w:lang w:eastAsia="zh-CN"/>
        </w:rPr>
        <w:t>在中央监控计算机上显示相应的运行画面。</w:t>
      </w:r>
      <w:r>
        <w:rPr>
          <w:rFonts w:hint="eastAsia" w:ascii="Times New Roman" w:hAnsi="Times New Roman" w:eastAsia="宋体" w:cs="Times New Roman"/>
          <w:color w:val="auto"/>
          <w:spacing w:val="6"/>
          <w:kern w:val="0"/>
          <w:sz w:val="24"/>
          <w:szCs w:val="24"/>
          <w:highlight w:val="none"/>
          <w:lang w:eastAsia="zh-CN"/>
        </w:rPr>
        <w:t>同时，</w:t>
      </w:r>
      <w:r>
        <w:rPr>
          <w:rFonts w:hint="eastAsia" w:ascii="Times New Roman" w:hAnsi="Times New Roman" w:eastAsia="宋体" w:cs="Times New Roman"/>
          <w:color w:val="auto"/>
          <w:kern w:val="0"/>
          <w:sz w:val="24"/>
          <w:szCs w:val="24"/>
          <w:highlight w:val="none"/>
          <w:lang w:eastAsia="zh-CN"/>
        </w:rPr>
        <w:t>在中控室能够根据工艺要求实现工艺包成套设备的远程控制。</w:t>
      </w:r>
      <w:r>
        <w:rPr>
          <w:rFonts w:ascii="Times New Roman" w:hAnsi="Times New Roman" w:eastAsia="宋体" w:cs="Times New Roman"/>
          <w:color w:val="auto"/>
          <w:spacing w:val="6"/>
          <w:kern w:val="0"/>
          <w:sz w:val="24"/>
          <w:szCs w:val="24"/>
          <w:highlight w:val="none"/>
          <w:lang w:eastAsia="zh-CN"/>
        </w:rPr>
        <w:t>以各成套设备控制系统数据上传通讯接口为界，数据通讯程序的开发及调试以及成套设备在中央监控计算机上监控程序及画面的开发均属本</w:t>
      </w:r>
      <w:r>
        <w:rPr>
          <w:rFonts w:hint="eastAsia" w:ascii="Times New Roman" w:hAnsi="Times New Roman" w:eastAsia="宋体" w:cs="Times New Roman"/>
          <w:color w:val="auto"/>
          <w:spacing w:val="6"/>
          <w:kern w:val="0"/>
          <w:sz w:val="24"/>
          <w:szCs w:val="24"/>
          <w:highlight w:val="none"/>
          <w:lang w:eastAsia="zh-CN"/>
        </w:rPr>
        <w:t>标</w:t>
      </w:r>
      <w:r>
        <w:rPr>
          <w:rFonts w:ascii="Times New Roman" w:hAnsi="Times New Roman" w:eastAsia="宋体" w:cs="Times New Roman"/>
          <w:color w:val="auto"/>
          <w:spacing w:val="6"/>
          <w:kern w:val="0"/>
          <w:sz w:val="24"/>
          <w:szCs w:val="24"/>
          <w:highlight w:val="none"/>
          <w:lang w:eastAsia="zh-CN"/>
        </w:rPr>
        <w:t>范围。</w:t>
      </w:r>
    </w:p>
    <w:p w14:paraId="0A188BFD">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59" w:name="_Toc18368"/>
      <w:bookmarkStart w:id="360" w:name="_Toc2119"/>
      <w:bookmarkStart w:id="361" w:name="_Toc1310"/>
      <w:bookmarkStart w:id="362" w:name="_Toc25423"/>
      <w:bookmarkStart w:id="363" w:name="_Toc18608"/>
      <w:bookmarkStart w:id="364" w:name="_Toc21260"/>
      <w:bookmarkStart w:id="365" w:name="_Toc16794"/>
      <w:bookmarkStart w:id="366" w:name="_Toc17730"/>
      <w:r>
        <w:rPr>
          <w:rFonts w:hint="eastAsia" w:ascii="Arial" w:hAnsi="Arial" w:eastAsia="黑体" w:cs="Times New Roman"/>
          <w:b/>
          <w:color w:val="auto"/>
          <w:sz w:val="32"/>
          <w:highlight w:val="none"/>
          <w:lang w:val="en-US" w:eastAsia="zh-CN" w:bidi="ar-SA"/>
        </w:rPr>
        <w:t xml:space="preserve"> </w:t>
      </w:r>
      <w:bookmarkStart w:id="367" w:name="_Toc1161360013"/>
      <w:bookmarkStart w:id="368" w:name="_Toc16535"/>
      <w:bookmarkStart w:id="369" w:name="_Toc852975551"/>
      <w:bookmarkStart w:id="370" w:name="_Toc18506"/>
      <w:bookmarkStart w:id="371" w:name="_Toc193093547"/>
      <w:bookmarkStart w:id="372" w:name="_Toc522471797"/>
      <w:bookmarkStart w:id="373" w:name="_Toc896069867"/>
      <w:bookmarkStart w:id="374" w:name="_Toc27331"/>
      <w:bookmarkStart w:id="375" w:name="_Toc32307"/>
      <w:r>
        <w:rPr>
          <w:rFonts w:hint="eastAsia" w:ascii="Arial" w:hAnsi="Arial" w:eastAsia="黑体" w:cs="Times New Roman"/>
          <w:b/>
          <w:color w:val="auto"/>
          <w:sz w:val="32"/>
          <w:highlight w:val="none"/>
          <w:lang w:val="en-US" w:eastAsia="zh-CN" w:bidi="ar-SA"/>
        </w:rPr>
        <w:t>中标人的职责范围</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5ACF9B4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中标人应按本招标文件的各条款履行合同，完成合同所需设备的供货、安装、调试、试运行、验收、移交、培训、保修和相应的技术方案设计等工作。</w:t>
      </w:r>
    </w:p>
    <w:p w14:paraId="69FBAD5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中标人必须对合同内设备的单体和整个系统联动运行</w:t>
      </w:r>
      <w:r>
        <w:rPr>
          <w:rFonts w:hint="eastAsia" w:ascii="Times New Roman" w:hAnsi="Times New Roman" w:eastAsia="宋体" w:cs="Times New Roman"/>
          <w:color w:val="auto"/>
          <w:kern w:val="0"/>
          <w:sz w:val="24"/>
          <w:highlight w:val="none"/>
          <w:lang w:val="en-US" w:eastAsia="zh-CN"/>
        </w:rPr>
        <w:t>软件部份</w:t>
      </w:r>
      <w:r>
        <w:rPr>
          <w:rFonts w:hint="eastAsia" w:ascii="Times New Roman" w:hAnsi="Times New Roman" w:eastAsia="宋体" w:cs="Times New Roman"/>
          <w:color w:val="auto"/>
          <w:kern w:val="0"/>
          <w:sz w:val="24"/>
          <w:highlight w:val="none"/>
          <w:lang w:eastAsia="zh-CN"/>
        </w:rPr>
        <w:t>负责。</w:t>
      </w:r>
    </w:p>
    <w:p w14:paraId="1BB0C2B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(b)</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由于控制软件等错误造成出水达不到标准时，通讯系统不稳定时，系统中标人应负其责任。</w:t>
      </w:r>
    </w:p>
    <w:p w14:paraId="656EBE5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(c)</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中标人必须提供</w:t>
      </w:r>
      <w:r>
        <w:rPr>
          <w:rFonts w:hint="eastAsia" w:ascii="Times New Roman" w:hAnsi="Times New Roman" w:eastAsia="宋体" w:cs="Times New Roman"/>
          <w:color w:val="auto"/>
          <w:kern w:val="0"/>
          <w:sz w:val="24"/>
          <w:highlight w:val="none"/>
          <w:lang w:val="en-US" w:eastAsia="zh-CN"/>
        </w:rPr>
        <w:t>满足要求的</w:t>
      </w:r>
      <w:r>
        <w:rPr>
          <w:rFonts w:hint="eastAsia" w:ascii="Times New Roman" w:hAnsi="Times New Roman" w:eastAsia="宋体" w:cs="Times New Roman"/>
          <w:color w:val="auto"/>
          <w:kern w:val="0"/>
          <w:sz w:val="24"/>
          <w:highlight w:val="none"/>
          <w:lang w:eastAsia="zh-CN"/>
        </w:rPr>
        <w:t>控制软件，确保系统整体功能的实现。如中标人发现招标人提出的招标文件、设计文件存在缺陷，将妨碍上述要求的实现，中标人有义务明确指出修正建议，但必须征求招标人及设计人的意见，决定是否采纳。</w:t>
      </w:r>
    </w:p>
    <w:p w14:paraId="65127F1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d</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智慧运营系统与自控仪表系统、安防系统、办公系统、各工艺包单元控制系统、电气设备、工艺设备相互间的相关</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技术衔接。</w:t>
      </w:r>
    </w:p>
    <w:p w14:paraId="44F8086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e</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提供所需要的备品备件和专用工具。</w:t>
      </w:r>
    </w:p>
    <w:p w14:paraId="69FD429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f</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提供技术文件和图纸资料的纸质版及电子版光盘。</w:t>
      </w:r>
    </w:p>
    <w:p w14:paraId="6AB5B00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g</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ab/>
      </w:r>
      <w:r>
        <w:rPr>
          <w:rFonts w:hint="eastAsia" w:ascii="Times New Roman" w:hAnsi="Times New Roman" w:eastAsia="宋体" w:cs="Times New Roman"/>
          <w:color w:val="auto"/>
          <w:kern w:val="0"/>
          <w:sz w:val="24"/>
          <w:highlight w:val="none"/>
          <w:lang w:eastAsia="zh-CN"/>
        </w:rPr>
        <w:t>提供技术文件中未提及，但在安装、调试、移交的全过程中确实需要的元件、材料和服务。</w:t>
      </w:r>
    </w:p>
    <w:p w14:paraId="72014C4B">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76" w:name="_Toc539"/>
      <w:bookmarkStart w:id="377" w:name="_Toc29938"/>
      <w:bookmarkStart w:id="378" w:name="_Toc7987"/>
      <w:bookmarkStart w:id="379" w:name="_Toc4469"/>
      <w:bookmarkStart w:id="380" w:name="_Toc22463"/>
      <w:bookmarkStart w:id="381" w:name="_Toc12080"/>
      <w:bookmarkStart w:id="382" w:name="_Toc11674"/>
      <w:bookmarkStart w:id="383" w:name="_Toc25754"/>
      <w:r>
        <w:rPr>
          <w:rFonts w:hint="eastAsia" w:ascii="Arial" w:hAnsi="Arial" w:eastAsia="黑体" w:cs="Times New Roman"/>
          <w:b/>
          <w:color w:val="auto"/>
          <w:sz w:val="32"/>
          <w:highlight w:val="none"/>
          <w:lang w:val="en-US" w:eastAsia="zh-CN" w:bidi="ar-SA"/>
        </w:rPr>
        <w:t xml:space="preserve"> </w:t>
      </w:r>
      <w:bookmarkStart w:id="384" w:name="_Toc2090921905"/>
      <w:bookmarkStart w:id="385" w:name="_Toc1506741932"/>
      <w:bookmarkStart w:id="386" w:name="_Toc23363"/>
      <w:bookmarkStart w:id="387" w:name="_Toc29430"/>
      <w:bookmarkStart w:id="388" w:name="_Toc28643"/>
      <w:bookmarkStart w:id="389" w:name="_Toc23715"/>
      <w:bookmarkStart w:id="390" w:name="_Toc193093548"/>
      <w:bookmarkStart w:id="391" w:name="_Toc498870908"/>
      <w:bookmarkStart w:id="392" w:name="_Toc122859596"/>
      <w:r>
        <w:rPr>
          <w:rFonts w:hint="eastAsia" w:ascii="Arial" w:hAnsi="Arial" w:eastAsia="黑体" w:cs="Times New Roman"/>
          <w:b/>
          <w:color w:val="auto"/>
          <w:sz w:val="32"/>
          <w:highlight w:val="none"/>
          <w:lang w:val="en-US" w:eastAsia="zh-CN" w:bidi="ar-SA"/>
        </w:rPr>
        <w:t>需提交的图纸和技术文件</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302D3E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eastAsia="zh-CN"/>
        </w:rPr>
        <w:t>) 投标人在投标文件中必须提供</w:t>
      </w:r>
      <w:r>
        <w:rPr>
          <w:rFonts w:hint="eastAsia" w:ascii="Times New Roman" w:hAnsi="Times New Roman" w:eastAsia="宋体" w:cs="Times New Roman"/>
          <w:color w:val="auto"/>
          <w:kern w:val="0"/>
          <w:sz w:val="24"/>
          <w:highlight w:val="none"/>
          <w:lang w:val="en-US" w:eastAsia="zh-CN"/>
        </w:rPr>
        <w:t>包括但不仅限于以下文件：</w:t>
      </w:r>
    </w:p>
    <w:p w14:paraId="5C9B3E9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A. </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系统：系统图、软件功能说明；参照《智慧水厂评价标准》，提供工艺过程程控率、程控连续运转率、数据接入率、信号监控率、单元内控指标合格率、水厂内控指标优良率等指标。</w:t>
      </w:r>
    </w:p>
    <w:p w14:paraId="473F790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B</w:t>
      </w:r>
      <w:r>
        <w:rPr>
          <w:rFonts w:hint="eastAsia" w:ascii="Times New Roman" w:hAnsi="Times New Roman" w:eastAsia="宋体" w:cs="Times New Roman"/>
          <w:color w:val="auto"/>
          <w:kern w:val="0"/>
          <w:sz w:val="24"/>
          <w:highlight w:val="none"/>
          <w:lang w:eastAsia="zh-CN"/>
        </w:rPr>
        <w:t>．投标人认为有必要提供的其他图纸、证书及证明等资料。</w:t>
      </w:r>
    </w:p>
    <w:p w14:paraId="42E8FBB2">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393" w:name="_Toc28346"/>
      <w:bookmarkStart w:id="394" w:name="_Toc27887"/>
      <w:bookmarkStart w:id="395" w:name="_Toc7758"/>
      <w:bookmarkStart w:id="396" w:name="_Toc4589"/>
      <w:bookmarkStart w:id="397" w:name="_Toc9413"/>
      <w:bookmarkStart w:id="398" w:name="_Toc8572"/>
      <w:bookmarkStart w:id="399" w:name="_Toc18446"/>
      <w:bookmarkStart w:id="400" w:name="_Toc20715"/>
      <w:r>
        <w:rPr>
          <w:rFonts w:hint="eastAsia" w:ascii="Arial" w:hAnsi="Arial" w:eastAsia="黑体" w:cs="Times New Roman"/>
          <w:b/>
          <w:color w:val="auto"/>
          <w:sz w:val="32"/>
          <w:highlight w:val="none"/>
          <w:lang w:val="en-US" w:eastAsia="zh-CN" w:bidi="ar-SA"/>
        </w:rPr>
        <w:t xml:space="preserve"> </w:t>
      </w:r>
      <w:bookmarkStart w:id="401" w:name="_Toc2872"/>
      <w:bookmarkStart w:id="402" w:name="_Toc4843"/>
      <w:bookmarkStart w:id="403" w:name="_Toc747192868"/>
      <w:bookmarkStart w:id="404" w:name="_Toc193093549"/>
      <w:bookmarkStart w:id="405" w:name="_Toc1169445205"/>
      <w:bookmarkStart w:id="406" w:name="_Toc702057827"/>
      <w:bookmarkStart w:id="407" w:name="_Toc9267"/>
      <w:bookmarkStart w:id="408" w:name="_Toc684485700"/>
      <w:bookmarkStart w:id="409" w:name="_Toc6042"/>
      <w:r>
        <w:rPr>
          <w:rFonts w:hint="eastAsia" w:ascii="Arial" w:hAnsi="Arial" w:eastAsia="黑体" w:cs="Times New Roman"/>
          <w:b/>
          <w:color w:val="auto"/>
          <w:sz w:val="32"/>
          <w:highlight w:val="none"/>
          <w:lang w:val="en-US" w:eastAsia="zh-CN" w:bidi="ar-SA"/>
        </w:rPr>
        <w:t>二次深化要求</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8675C5D">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410" w:name="_Toc14797"/>
      <w:r>
        <w:rPr>
          <w:rFonts w:hint="eastAsia" w:ascii="Times New Roman" w:hAnsi="Times New Roman" w:eastAsia="宋体" w:cs="Times New Roman"/>
          <w:color w:val="auto"/>
          <w:kern w:val="0"/>
          <w:sz w:val="24"/>
          <w:highlight w:val="none"/>
          <w:lang w:eastAsia="zh-CN"/>
        </w:rPr>
        <w:t>(1) 中标人负责本项目智慧化系统</w:t>
      </w:r>
      <w:r>
        <w:rPr>
          <w:rFonts w:hint="eastAsia" w:ascii="Times New Roman" w:hAnsi="Times New Roman" w:eastAsia="宋体" w:cs="Times New Roman"/>
          <w:color w:val="auto"/>
          <w:kern w:val="0"/>
          <w:sz w:val="24"/>
          <w:highlight w:val="none"/>
          <w:lang w:val="en-US" w:eastAsia="zh-CN"/>
        </w:rPr>
        <w:t>软件部份</w:t>
      </w:r>
      <w:r>
        <w:rPr>
          <w:rFonts w:hint="eastAsia" w:ascii="Times New Roman" w:hAnsi="Times New Roman" w:eastAsia="宋体" w:cs="Times New Roman"/>
          <w:color w:val="auto"/>
          <w:kern w:val="0"/>
          <w:sz w:val="24"/>
          <w:highlight w:val="none"/>
          <w:lang w:eastAsia="zh-CN"/>
        </w:rPr>
        <w:t>的整体架构设计。</w:t>
      </w:r>
      <w:bookmarkEnd w:id="410"/>
    </w:p>
    <w:p w14:paraId="409836B1">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411" w:name="_Toc30319"/>
      <w:bookmarkStart w:id="412" w:name="_Toc2792"/>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 中标人负责智慧化系统及各子系统通讯</w:t>
      </w:r>
      <w:r>
        <w:rPr>
          <w:rFonts w:hint="eastAsia" w:ascii="Times New Roman" w:hAnsi="Times New Roman" w:eastAsia="宋体" w:cs="Times New Roman"/>
          <w:color w:val="auto"/>
          <w:kern w:val="0"/>
          <w:sz w:val="24"/>
          <w:highlight w:val="none"/>
          <w:lang w:val="en-US" w:eastAsia="zh-CN"/>
        </w:rPr>
        <w:t>软件部份的</w:t>
      </w:r>
      <w:r>
        <w:rPr>
          <w:rFonts w:hint="eastAsia" w:ascii="Times New Roman" w:hAnsi="Times New Roman" w:eastAsia="宋体" w:cs="Times New Roman"/>
          <w:color w:val="auto"/>
          <w:kern w:val="0"/>
          <w:sz w:val="24"/>
          <w:highlight w:val="none"/>
          <w:lang w:eastAsia="zh-CN"/>
        </w:rPr>
        <w:t>实现。</w:t>
      </w:r>
      <w:bookmarkEnd w:id="411"/>
      <w:bookmarkEnd w:id="412"/>
    </w:p>
    <w:p w14:paraId="004951B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eastAsia="zh-CN"/>
        </w:rPr>
        <w:t>) 中标人负责本项目的二次深化以及</w:t>
      </w:r>
      <w:r>
        <w:rPr>
          <w:rFonts w:hint="eastAsia" w:ascii="Times New Roman" w:hAnsi="Times New Roman" w:eastAsia="宋体" w:cs="Times New Roman"/>
          <w:color w:val="auto"/>
          <w:kern w:val="0"/>
          <w:sz w:val="24"/>
          <w:highlight w:val="none"/>
          <w:lang w:val="en-US" w:eastAsia="zh-CN"/>
        </w:rPr>
        <w:t>软件提供</w:t>
      </w:r>
      <w:r>
        <w:rPr>
          <w:rFonts w:hint="eastAsia" w:ascii="Times New Roman" w:hAnsi="Times New Roman" w:eastAsia="宋体" w:cs="Times New Roman"/>
          <w:color w:val="auto"/>
          <w:kern w:val="0"/>
          <w:sz w:val="24"/>
          <w:highlight w:val="none"/>
          <w:lang w:eastAsia="zh-CN"/>
        </w:rPr>
        <w:t>、调试、软件功能开发</w:t>
      </w:r>
      <w:r>
        <w:rPr>
          <w:rFonts w:hint="eastAsia" w:ascii="Times New Roman" w:hAnsi="Times New Roman" w:eastAsia="宋体" w:cs="Times New Roman"/>
          <w:color w:val="auto"/>
          <w:kern w:val="0"/>
          <w:sz w:val="24"/>
          <w:highlight w:val="none"/>
          <w:lang w:val="en-US" w:eastAsia="zh-CN"/>
        </w:rPr>
        <w:t>等</w:t>
      </w:r>
      <w:r>
        <w:rPr>
          <w:rFonts w:hint="eastAsia" w:ascii="Times New Roman" w:hAnsi="Times New Roman" w:eastAsia="宋体" w:cs="Times New Roman"/>
          <w:color w:val="auto"/>
          <w:kern w:val="0"/>
          <w:sz w:val="24"/>
          <w:highlight w:val="none"/>
          <w:lang w:eastAsia="zh-CN"/>
        </w:rPr>
        <w:t>。中标人需根据本招标文件所描述的控制、通信网络系统框架要求以及招标人的要求，对本项目进行二次深化，提供</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系统</w:t>
      </w:r>
      <w:r>
        <w:rPr>
          <w:rFonts w:hint="eastAsia" w:ascii="Times New Roman" w:hAnsi="Times New Roman" w:eastAsia="宋体" w:cs="Times New Roman"/>
          <w:color w:val="auto"/>
          <w:kern w:val="0"/>
          <w:sz w:val="24"/>
          <w:highlight w:val="none"/>
          <w:lang w:val="en-US" w:eastAsia="zh-CN"/>
        </w:rPr>
        <w:t>原理图</w:t>
      </w:r>
      <w:r>
        <w:rPr>
          <w:rFonts w:hint="eastAsia" w:ascii="Times New Roman" w:hAnsi="Times New Roman" w:eastAsia="宋体" w:cs="Times New Roman"/>
          <w:color w:val="auto"/>
          <w:kern w:val="0"/>
          <w:sz w:val="24"/>
          <w:highlight w:val="none"/>
          <w:lang w:eastAsia="zh-CN"/>
        </w:rPr>
        <w:t>等设计图纸供招标人确认，并根据招标人要求进行相应修改，直到设计方案得到招标人认可。</w:t>
      </w:r>
    </w:p>
    <w:p w14:paraId="04FD92D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eastAsia="zh-CN"/>
        </w:rPr>
        <w:t>) 中标人的设计应按相关国家标准规范进行,最终设计必须经招标人审查认可。中标人应接受招标人在技术规范要求的范围内对设计提出的修改意见，中标人并不得增加任何费用。</w:t>
      </w:r>
    </w:p>
    <w:p w14:paraId="1EFAC7CE">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413" w:name="_Toc9336"/>
      <w:bookmarkStart w:id="414" w:name="_Toc15262"/>
      <w:bookmarkStart w:id="415" w:name="_Toc23001"/>
      <w:bookmarkStart w:id="416" w:name="_Toc19733"/>
      <w:bookmarkStart w:id="417" w:name="_Toc2864"/>
      <w:bookmarkStart w:id="418" w:name="_Toc6825"/>
      <w:bookmarkStart w:id="419" w:name="_Toc22235"/>
      <w:bookmarkStart w:id="420" w:name="_Toc30251"/>
      <w:r>
        <w:rPr>
          <w:rFonts w:hint="eastAsia" w:ascii="Arial" w:hAnsi="Arial" w:eastAsia="黑体" w:cs="Times New Roman"/>
          <w:b/>
          <w:color w:val="auto"/>
          <w:sz w:val="32"/>
          <w:highlight w:val="none"/>
          <w:lang w:val="en-US" w:eastAsia="zh-CN" w:bidi="ar-SA"/>
        </w:rPr>
        <w:t xml:space="preserve"> </w:t>
      </w:r>
      <w:bookmarkStart w:id="421" w:name="_Toc28791"/>
      <w:bookmarkStart w:id="422" w:name="_Toc1210741771"/>
      <w:bookmarkStart w:id="423" w:name="_Toc81262921"/>
      <w:bookmarkStart w:id="424" w:name="_Toc31825"/>
      <w:bookmarkStart w:id="425" w:name="_Toc29126"/>
      <w:bookmarkStart w:id="426" w:name="_Toc15695"/>
      <w:bookmarkStart w:id="427" w:name="_Toc193093550"/>
      <w:bookmarkStart w:id="428" w:name="_Toc1095223091"/>
      <w:bookmarkStart w:id="429" w:name="_Toc1733648467"/>
      <w:r>
        <w:rPr>
          <w:rFonts w:hint="eastAsia" w:ascii="Arial" w:hAnsi="Arial" w:eastAsia="黑体" w:cs="Times New Roman"/>
          <w:b/>
          <w:color w:val="auto"/>
          <w:sz w:val="32"/>
          <w:highlight w:val="none"/>
          <w:lang w:val="en-US" w:eastAsia="zh-CN" w:bidi="ar-SA"/>
        </w:rPr>
        <w:t>优先性</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3D1EE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本招标技术规范参数如各节出现矛盾或不一致时，应以下列原则处理：</w:t>
      </w:r>
    </w:p>
    <w:p w14:paraId="3B9BD71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(1)如果使用标准和本标技术规范不一致时，由招标人及本项目设计工程师确认；</w:t>
      </w:r>
    </w:p>
    <w:p w14:paraId="0090ADB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(2)如果使用标准和本标技术规范之间在某些条款上模糊不清，由招标人项目经理/设计工程师首先解释本合同含义；</w:t>
      </w:r>
    </w:p>
    <w:p w14:paraId="06D5E33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(3)招标图规定的技术参数和尺寸优先于一般和专用技术要求章节；</w:t>
      </w:r>
    </w:p>
    <w:p w14:paraId="2FB319C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(4)专用技术规范优先于一般技术规范；</w:t>
      </w:r>
    </w:p>
    <w:p w14:paraId="7F84613C">
      <w:pPr>
        <w:widowControl/>
        <w:spacing w:line="360" w:lineRule="auto"/>
        <w:ind w:firstLine="480" w:firstLineChars="200"/>
        <w:rPr>
          <w:rFonts w:hint="eastAsia" w:ascii="宋体" w:hAnsi="宋体"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(5)当意见不统一时，应由招标人项目经理确认。</w:t>
      </w:r>
    </w:p>
    <w:p w14:paraId="45160FD4">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430" w:name="_Toc7296"/>
      <w:bookmarkStart w:id="431" w:name="_Toc11783"/>
      <w:bookmarkStart w:id="432" w:name="_Toc12664"/>
      <w:bookmarkStart w:id="433" w:name="_Toc21201"/>
      <w:bookmarkStart w:id="434" w:name="_Toc13541"/>
      <w:bookmarkStart w:id="435" w:name="_Toc14705"/>
      <w:bookmarkStart w:id="436" w:name="_Toc18718"/>
      <w:bookmarkStart w:id="437" w:name="_Toc8338"/>
      <w:r>
        <w:rPr>
          <w:rFonts w:hint="eastAsia" w:ascii="Arial" w:hAnsi="Arial" w:eastAsia="黑体" w:cs="Times New Roman"/>
          <w:b/>
          <w:color w:val="auto"/>
          <w:sz w:val="32"/>
          <w:highlight w:val="none"/>
          <w:lang w:val="en-US" w:eastAsia="zh-CN" w:bidi="ar-SA"/>
        </w:rPr>
        <w:t xml:space="preserve"> </w:t>
      </w:r>
      <w:bookmarkStart w:id="438" w:name="_Toc1529389872"/>
      <w:bookmarkStart w:id="439" w:name="_Toc1961644025"/>
      <w:bookmarkStart w:id="440" w:name="_Toc2133797402"/>
      <w:bookmarkStart w:id="441" w:name="_Toc29383"/>
      <w:bookmarkStart w:id="442" w:name="_Toc23635"/>
      <w:bookmarkStart w:id="443" w:name="_Toc371662373"/>
      <w:bookmarkStart w:id="444" w:name="_Toc31764"/>
      <w:bookmarkStart w:id="445" w:name="_Toc10854"/>
      <w:bookmarkStart w:id="446" w:name="_Toc193093552"/>
      <w:r>
        <w:rPr>
          <w:rFonts w:hint="eastAsia" w:ascii="Arial" w:hAnsi="Arial" w:eastAsia="黑体" w:cs="Times New Roman"/>
          <w:b/>
          <w:color w:val="auto"/>
          <w:sz w:val="32"/>
          <w:highlight w:val="none"/>
          <w:lang w:val="en-US" w:eastAsia="zh-CN" w:bidi="ar-SA"/>
        </w:rPr>
        <w:t>设计联络</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6C4A43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(1)由于本标段为</w:t>
      </w:r>
      <w:r>
        <w:rPr>
          <w:rFonts w:hint="eastAsia" w:ascii="Times New Roman" w:hAnsi="Times New Roman" w:eastAsia="宋体" w:cs="Times New Roman"/>
          <w:color w:val="auto"/>
          <w:kern w:val="0"/>
          <w:sz w:val="24"/>
          <w:highlight w:val="none"/>
          <w:lang w:val="en-US" w:eastAsia="zh-CN"/>
        </w:rPr>
        <w:t>软件开发项目</w:t>
      </w:r>
      <w:r>
        <w:rPr>
          <w:rFonts w:hint="eastAsia" w:ascii="Times New Roman" w:hAnsi="Times New Roman" w:eastAsia="宋体" w:cs="Times New Roman"/>
          <w:color w:val="auto"/>
          <w:kern w:val="0"/>
          <w:sz w:val="24"/>
          <w:highlight w:val="none"/>
          <w:lang w:eastAsia="zh-CN"/>
        </w:rPr>
        <w:t>，其</w:t>
      </w:r>
      <w:r>
        <w:rPr>
          <w:rFonts w:hint="eastAsia" w:ascii="Times New Roman" w:hAnsi="Times New Roman" w:eastAsia="宋体" w:cs="Times New Roman"/>
          <w:color w:val="auto"/>
          <w:kern w:val="0"/>
          <w:sz w:val="24"/>
          <w:highlight w:val="none"/>
          <w:lang w:val="en-US" w:eastAsia="zh-CN"/>
        </w:rPr>
        <w:t>功能开发、调试前</w:t>
      </w:r>
      <w:r>
        <w:rPr>
          <w:rFonts w:hint="eastAsia" w:ascii="Times New Roman" w:hAnsi="Times New Roman" w:eastAsia="宋体" w:cs="Times New Roman"/>
          <w:color w:val="auto"/>
          <w:kern w:val="0"/>
          <w:sz w:val="24"/>
          <w:highlight w:val="none"/>
          <w:lang w:eastAsia="zh-CN"/>
        </w:rPr>
        <w:t>与招标人、北部水厂二期建设项目工程其他专业、</w:t>
      </w:r>
      <w:r>
        <w:rPr>
          <w:rFonts w:hint="eastAsia" w:ascii="Times New Roman" w:hAnsi="Times New Roman" w:eastAsia="宋体" w:cs="Times New Roman"/>
          <w:color w:val="auto"/>
          <w:kern w:val="0"/>
          <w:sz w:val="24"/>
          <w:highlight w:val="none"/>
          <w:lang w:val="en-US" w:eastAsia="zh-CN"/>
        </w:rPr>
        <w:t>智慧化系统硬件部份</w:t>
      </w:r>
      <w:r>
        <w:rPr>
          <w:rFonts w:hint="eastAsia" w:ascii="Times New Roman" w:hAnsi="Times New Roman" w:eastAsia="宋体" w:cs="Times New Roman"/>
          <w:color w:val="auto"/>
          <w:kern w:val="0"/>
          <w:sz w:val="24"/>
          <w:highlight w:val="none"/>
          <w:lang w:eastAsia="zh-CN"/>
        </w:rPr>
        <w:t>供货商协商，为顺利完成工程设计，招标人需要派原设计方与中标人在产地进行一次设计联络。</w:t>
      </w:r>
    </w:p>
    <w:p w14:paraId="61B8511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(2)设计联络的确切日期由招标人确定。</w:t>
      </w:r>
    </w:p>
    <w:p w14:paraId="68B6508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(3)设计联络的费用（产地联络）无论中标人在投标报价中是否单独报列，都被认为已纳入指标中，以上设计联络所涉及的一切费用均由中标人承担。</w:t>
      </w:r>
    </w:p>
    <w:p w14:paraId="72C31314">
      <w:pPr>
        <w:widowControl/>
        <w:spacing w:line="360" w:lineRule="auto"/>
        <w:ind w:firstLine="480" w:firstLineChars="200"/>
        <w:rPr>
          <w:rFonts w:hint="eastAsia" w:ascii="宋体" w:hAnsi="宋体" w:eastAsia="宋体" w:cs="Times New Roman"/>
          <w:color w:val="auto"/>
          <w:kern w:val="0"/>
          <w:sz w:val="24"/>
          <w:highlight w:val="none"/>
          <w:lang w:eastAsia="zh-CN"/>
        </w:rPr>
      </w:pPr>
      <w:bookmarkStart w:id="447" w:name="_Toc32716"/>
      <w:bookmarkStart w:id="448" w:name="_Toc21408"/>
      <w:r>
        <w:rPr>
          <w:rFonts w:hint="eastAsia" w:ascii="Times New Roman" w:hAnsi="Times New Roman" w:eastAsia="宋体" w:cs="Times New Roman"/>
          <w:color w:val="auto"/>
          <w:kern w:val="0"/>
          <w:sz w:val="24"/>
          <w:highlight w:val="none"/>
          <w:lang w:eastAsia="zh-CN"/>
        </w:rPr>
        <w:t>(4)技术联络在发出中标通知书之日起60个日历天内完成。</w:t>
      </w:r>
      <w:bookmarkEnd w:id="447"/>
      <w:bookmarkEnd w:id="448"/>
    </w:p>
    <w:p w14:paraId="664104F1">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449" w:name="_Toc18452"/>
      <w:bookmarkStart w:id="450" w:name="_Toc11096"/>
      <w:bookmarkStart w:id="451" w:name="_Toc11526"/>
      <w:bookmarkStart w:id="452" w:name="_Toc9537"/>
      <w:bookmarkStart w:id="453" w:name="_Toc31394"/>
      <w:bookmarkStart w:id="454" w:name="_Toc6757"/>
      <w:bookmarkStart w:id="455" w:name="_Toc23931"/>
      <w:bookmarkStart w:id="456" w:name="_Toc24640"/>
      <w:r>
        <w:rPr>
          <w:rFonts w:hint="eastAsia" w:ascii="Arial" w:hAnsi="Arial" w:eastAsia="黑体" w:cs="Times New Roman"/>
          <w:b/>
          <w:color w:val="auto"/>
          <w:sz w:val="32"/>
          <w:highlight w:val="none"/>
          <w:lang w:val="en-US" w:eastAsia="zh-CN" w:bidi="ar-SA"/>
        </w:rPr>
        <w:t xml:space="preserve"> </w:t>
      </w:r>
      <w:bookmarkStart w:id="457" w:name="_Toc234"/>
      <w:bookmarkStart w:id="458" w:name="_Toc1647057535"/>
      <w:bookmarkStart w:id="459" w:name="_Toc2007"/>
      <w:bookmarkStart w:id="460" w:name="_Toc1903514161"/>
      <w:bookmarkStart w:id="461" w:name="_Toc14810"/>
      <w:bookmarkStart w:id="462" w:name="_Toc193093559"/>
      <w:bookmarkStart w:id="463" w:name="_Toc1223807761"/>
      <w:bookmarkStart w:id="464" w:name="_Toc656195470"/>
      <w:bookmarkStart w:id="465" w:name="_Toc21769"/>
      <w:r>
        <w:rPr>
          <w:rFonts w:hint="eastAsia" w:ascii="Arial" w:hAnsi="Arial" w:eastAsia="黑体" w:cs="Times New Roman"/>
          <w:b/>
          <w:color w:val="auto"/>
          <w:sz w:val="32"/>
          <w:highlight w:val="none"/>
          <w:lang w:val="en-US" w:eastAsia="zh-CN" w:bidi="ar-SA"/>
        </w:rPr>
        <w:t>进度表</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126D54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1、在合同执行之前，中标人应向招标人项目经理递交一份说明计划进行</w:t>
      </w:r>
      <w:r>
        <w:rPr>
          <w:rFonts w:hint="eastAsia" w:ascii="Times New Roman" w:hAnsi="Times New Roman" w:eastAsia="宋体" w:cs="Times New Roman"/>
          <w:color w:val="auto"/>
          <w:kern w:val="0"/>
          <w:sz w:val="24"/>
          <w:highlight w:val="none"/>
          <w:lang w:val="en-US" w:eastAsia="zh-CN"/>
        </w:rPr>
        <w:t>软件开发</w:t>
      </w:r>
      <w:r>
        <w:rPr>
          <w:rFonts w:hint="eastAsia" w:ascii="Times New Roman" w:hAnsi="Times New Roman" w:eastAsia="宋体" w:cs="Times New Roman"/>
          <w:color w:val="auto"/>
          <w:kern w:val="0"/>
          <w:sz w:val="24"/>
          <w:highlight w:val="none"/>
          <w:lang w:eastAsia="zh-CN"/>
        </w:rPr>
        <w:t>的顺序进度表，以供批准。该进度表应清楚表明以下内容：</w:t>
      </w:r>
    </w:p>
    <w:p w14:paraId="0F4B01D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color w:val="auto"/>
          <w:kern w:val="0"/>
          <w:sz w:val="24"/>
          <w:highlight w:val="none"/>
          <w:lang w:eastAsia="zh-CN"/>
        </w:rPr>
        <w:t>）每项工作的顺序，每项工作的计划开始和完成日期，每月底预期达到的进度比例和累积完成量或百分比。最终和阶段性的完工日期。需要招标人项目经理批准</w:t>
      </w:r>
      <w:r>
        <w:rPr>
          <w:rFonts w:hint="eastAsia" w:ascii="Times New Roman" w:hAnsi="Times New Roman" w:eastAsia="宋体" w:cs="Times New Roman"/>
          <w:color w:val="auto"/>
          <w:kern w:val="0"/>
          <w:sz w:val="24"/>
          <w:highlight w:val="none"/>
          <w:lang w:val="en-US" w:eastAsia="zh-CN"/>
        </w:rPr>
        <w:t>方案</w:t>
      </w:r>
      <w:r>
        <w:rPr>
          <w:rFonts w:hint="eastAsia" w:ascii="Times New Roman" w:hAnsi="Times New Roman" w:eastAsia="宋体" w:cs="Times New Roman"/>
          <w:color w:val="auto"/>
          <w:kern w:val="0"/>
          <w:sz w:val="24"/>
          <w:highlight w:val="none"/>
          <w:lang w:eastAsia="zh-CN"/>
        </w:rPr>
        <w:t>的日期，招标人项目经理收到</w:t>
      </w:r>
      <w:r>
        <w:rPr>
          <w:rFonts w:hint="eastAsia" w:ascii="Times New Roman" w:hAnsi="Times New Roman" w:eastAsia="宋体" w:cs="Times New Roman"/>
          <w:color w:val="auto"/>
          <w:kern w:val="0"/>
          <w:sz w:val="24"/>
          <w:highlight w:val="none"/>
          <w:lang w:val="en-US" w:eastAsia="zh-CN"/>
        </w:rPr>
        <w:t>方案</w:t>
      </w:r>
      <w:r>
        <w:rPr>
          <w:rFonts w:hint="eastAsia" w:ascii="Times New Roman" w:hAnsi="Times New Roman" w:eastAsia="宋体" w:cs="Times New Roman"/>
          <w:color w:val="auto"/>
          <w:kern w:val="0"/>
          <w:sz w:val="24"/>
          <w:highlight w:val="none"/>
          <w:lang w:eastAsia="zh-CN"/>
        </w:rPr>
        <w:t>后将在规定的时间</w:t>
      </w:r>
      <w:r>
        <w:rPr>
          <w:rFonts w:ascii="Times New Roman" w:hAnsi="Times New Roman" w:eastAsia="宋体" w:cs="Times New Roman"/>
          <w:color w:val="auto"/>
          <w:kern w:val="0"/>
          <w:sz w:val="24"/>
          <w:highlight w:val="none"/>
          <w:lang w:eastAsia="zh-CN"/>
        </w:rPr>
        <w:t>内</w:t>
      </w:r>
      <w:r>
        <w:rPr>
          <w:rFonts w:hint="eastAsia" w:ascii="Times New Roman" w:hAnsi="Times New Roman" w:eastAsia="宋体" w:cs="Times New Roman"/>
          <w:color w:val="auto"/>
          <w:kern w:val="0"/>
          <w:sz w:val="24"/>
          <w:highlight w:val="none"/>
          <w:lang w:eastAsia="zh-CN"/>
        </w:rPr>
        <w:t>完成审查。</w:t>
      </w:r>
    </w:p>
    <w:p w14:paraId="38E4394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）所有</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的</w:t>
      </w:r>
      <w:r>
        <w:rPr>
          <w:rFonts w:hint="eastAsia" w:ascii="Times New Roman" w:hAnsi="Times New Roman" w:eastAsia="宋体" w:cs="Times New Roman"/>
          <w:color w:val="auto"/>
          <w:kern w:val="0"/>
          <w:sz w:val="24"/>
          <w:highlight w:val="none"/>
          <w:lang w:val="en-US" w:eastAsia="zh-CN"/>
        </w:rPr>
        <w:t>提供</w:t>
      </w:r>
      <w:r>
        <w:rPr>
          <w:rFonts w:hint="eastAsia" w:ascii="Times New Roman" w:hAnsi="Times New Roman" w:eastAsia="宋体" w:cs="Times New Roman"/>
          <w:color w:val="auto"/>
          <w:kern w:val="0"/>
          <w:sz w:val="24"/>
          <w:highlight w:val="none"/>
          <w:lang w:eastAsia="zh-CN"/>
        </w:rPr>
        <w:t>时间。</w:t>
      </w:r>
    </w:p>
    <w:p w14:paraId="12F0A8E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eastAsia="zh-CN"/>
        </w:rPr>
        <w:t>）所有</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的</w:t>
      </w:r>
      <w:r>
        <w:rPr>
          <w:rFonts w:hint="eastAsia" w:ascii="Times New Roman" w:hAnsi="Times New Roman" w:eastAsia="宋体" w:cs="Times New Roman"/>
          <w:color w:val="auto"/>
          <w:kern w:val="0"/>
          <w:sz w:val="24"/>
          <w:highlight w:val="none"/>
          <w:lang w:val="en-US" w:eastAsia="zh-CN"/>
        </w:rPr>
        <w:t>开发</w:t>
      </w:r>
      <w:r>
        <w:rPr>
          <w:rFonts w:hint="eastAsia" w:ascii="Times New Roman" w:hAnsi="Times New Roman" w:eastAsia="宋体" w:cs="Times New Roman"/>
          <w:color w:val="auto"/>
          <w:kern w:val="0"/>
          <w:sz w:val="24"/>
          <w:highlight w:val="none"/>
          <w:lang w:eastAsia="zh-CN"/>
        </w:rPr>
        <w:t>时间。</w:t>
      </w:r>
    </w:p>
    <w:p w14:paraId="09E5FC5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eastAsia="zh-CN"/>
        </w:rPr>
        <w:t>）所有</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的测试时间。</w:t>
      </w:r>
    </w:p>
    <w:p w14:paraId="289FB5C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eastAsia="zh-CN"/>
        </w:rPr>
        <w:t>）完成</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的测试及交接日期。</w:t>
      </w:r>
    </w:p>
    <w:p w14:paraId="4B502BE9">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466" w:name="_Toc9463"/>
      <w:bookmarkStart w:id="467" w:name="_Toc31149"/>
      <w:bookmarkStart w:id="468" w:name="_Toc1031780915"/>
      <w:bookmarkStart w:id="469" w:name="_Toc193093561"/>
      <w:bookmarkStart w:id="470" w:name="_Toc1531940530"/>
      <w:bookmarkStart w:id="471" w:name="_Toc23706"/>
      <w:bookmarkStart w:id="472" w:name="_Toc549"/>
      <w:bookmarkStart w:id="473" w:name="_Toc2339"/>
      <w:bookmarkStart w:id="474" w:name="_Toc2086151808"/>
      <w:bookmarkStart w:id="475" w:name="_Toc17523"/>
      <w:bookmarkStart w:id="476" w:name="_Toc23442"/>
      <w:bookmarkStart w:id="477" w:name="_Toc1259"/>
      <w:bookmarkStart w:id="478" w:name="_Toc23290"/>
      <w:bookmarkStart w:id="479" w:name="_Toc20755"/>
      <w:bookmarkStart w:id="480" w:name="_Toc1298614568"/>
      <w:r>
        <w:rPr>
          <w:rFonts w:hint="eastAsia" w:ascii="Arial" w:hAnsi="Arial" w:eastAsia="黑体" w:cs="Times New Roman"/>
          <w:b/>
          <w:caps/>
          <w:color w:val="auto"/>
          <w:sz w:val="32"/>
          <w:szCs w:val="28"/>
          <w:highlight w:val="none"/>
          <w:lang w:val="en-US" w:eastAsia="zh-CN" w:bidi="ar-SA"/>
        </w:rPr>
        <w:t>顶层设计</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2D406C1F">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481" w:name="_Toc17917"/>
      <w:bookmarkStart w:id="482" w:name="_Toc16698"/>
      <w:bookmarkStart w:id="483" w:name="_Toc560"/>
      <w:bookmarkStart w:id="484" w:name="_Toc6738"/>
      <w:bookmarkStart w:id="485" w:name="_Toc23010"/>
      <w:bookmarkStart w:id="486" w:name="_Toc23135"/>
      <w:bookmarkStart w:id="487" w:name="_Toc1156"/>
      <w:bookmarkStart w:id="488" w:name="_Toc22746"/>
      <w:r>
        <w:rPr>
          <w:rFonts w:hint="eastAsia" w:ascii="Arial" w:hAnsi="Arial" w:eastAsia="黑体" w:cs="Times New Roman"/>
          <w:b/>
          <w:color w:val="auto"/>
          <w:sz w:val="32"/>
          <w:highlight w:val="none"/>
          <w:lang w:val="en-US" w:eastAsia="zh-CN" w:bidi="ar-SA"/>
        </w:rPr>
        <w:t xml:space="preserve"> </w:t>
      </w:r>
      <w:bookmarkStart w:id="489" w:name="_Toc13967"/>
      <w:bookmarkStart w:id="490" w:name="_Toc211388880"/>
      <w:bookmarkStart w:id="491" w:name="_Toc24622"/>
      <w:bookmarkStart w:id="492" w:name="_Toc2135416134"/>
      <w:bookmarkStart w:id="493" w:name="_Toc938739915"/>
      <w:bookmarkStart w:id="494" w:name="_Toc24981"/>
      <w:bookmarkStart w:id="495" w:name="_Toc1768"/>
      <w:bookmarkStart w:id="496" w:name="_Toc1143043827"/>
      <w:bookmarkStart w:id="497" w:name="_Toc193093562"/>
      <w:r>
        <w:rPr>
          <w:rFonts w:ascii="Arial" w:hAnsi="Arial" w:eastAsia="黑体" w:cs="Times New Roman"/>
          <w:b/>
          <w:color w:val="auto"/>
          <w:sz w:val="32"/>
          <w:highlight w:val="none"/>
          <w:lang w:val="en-US" w:eastAsia="zh-CN" w:bidi="ar-SA"/>
        </w:rPr>
        <w:t>公司的总体情况</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2E80998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2019年开始，公司构建了智慧供水云服务平台系统，借助大数据共享、流程贯通、渠道集成等手段，公司完成对现有生产、运营、服务、建设等基本管理系统进行升级改造，基于一个平台，统一了供水服务，融合了27个业务域。采用了服务集中管理和数据集中管理的理念，通过把共性功能服务化，减少重复建设风险，快速响应变化和需求，形成服务中心和数据中心。系统立足于公司核心业务，构建了生产运行指挥中心和应急中心，注重供水管网服务化，提高业务管理水平和效率。同时，采用互联网+技术，拓展现场移动作业，实现全流程电子化办理和实时监控经营情况。技术上采用了业界领先的微服务负载架构，支持核心业务在线更新和7*24小时在线。服务上采用流程贯通、数据贯通的方式，响应政府“只跑一次”的原则，助力智慧城市建设，优化营商环境。</w:t>
      </w:r>
    </w:p>
    <w:p w14:paraId="58AA8426">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498" w:name="_Toc10240"/>
      <w:bookmarkStart w:id="499" w:name="_Toc23877"/>
      <w:bookmarkStart w:id="500" w:name="_Toc7522"/>
      <w:bookmarkStart w:id="501" w:name="_Toc14919"/>
      <w:bookmarkStart w:id="502" w:name="_Toc8208"/>
      <w:bookmarkStart w:id="503" w:name="_Toc8749"/>
      <w:bookmarkStart w:id="504" w:name="_Toc2939"/>
      <w:bookmarkStart w:id="505" w:name="_Toc25465"/>
      <w:r>
        <w:rPr>
          <w:rFonts w:hint="eastAsia" w:ascii="Arial" w:hAnsi="Arial" w:eastAsia="黑体" w:cs="Times New Roman"/>
          <w:b/>
          <w:color w:val="auto"/>
          <w:sz w:val="32"/>
          <w:highlight w:val="none"/>
          <w:lang w:val="en-US" w:eastAsia="zh-CN" w:bidi="ar-SA"/>
        </w:rPr>
        <w:t xml:space="preserve"> </w:t>
      </w:r>
      <w:bookmarkStart w:id="506" w:name="_Toc193093563"/>
      <w:bookmarkStart w:id="507" w:name="_Toc25701"/>
      <w:bookmarkStart w:id="508" w:name="_Toc19384"/>
      <w:bookmarkStart w:id="509" w:name="_Toc30932"/>
      <w:bookmarkStart w:id="510" w:name="_Toc1986880543"/>
      <w:bookmarkStart w:id="511" w:name="_Toc1896377974"/>
      <w:bookmarkStart w:id="512" w:name="_Toc26670"/>
      <w:bookmarkStart w:id="513" w:name="_Toc1192255474"/>
      <w:bookmarkStart w:id="514" w:name="_Toc874954022"/>
      <w:r>
        <w:rPr>
          <w:rFonts w:ascii="Arial" w:hAnsi="Arial" w:eastAsia="黑体" w:cs="Times New Roman"/>
          <w:b/>
          <w:color w:val="auto"/>
          <w:sz w:val="32"/>
          <w:highlight w:val="none"/>
          <w:lang w:val="en-US" w:eastAsia="zh-CN" w:bidi="ar-SA"/>
        </w:rPr>
        <w:t>供水云平台架构</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Start w:id="515" w:name="_Toc163660280"/>
      <w:bookmarkStart w:id="516" w:name="_Toc13518"/>
      <w:bookmarkStart w:id="517" w:name="_Toc2925"/>
    </w:p>
    <w:p w14:paraId="19D0DBD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518" w:name="_Toc8149"/>
      <w:bookmarkStart w:id="519" w:name="_Toc18481"/>
      <w:bookmarkStart w:id="520" w:name="_Toc3334"/>
      <w:bookmarkStart w:id="521" w:name="_Toc1722"/>
      <w:bookmarkStart w:id="522" w:name="_Toc27306"/>
      <w:bookmarkStart w:id="523" w:name="_Toc9418"/>
      <w:r>
        <w:rPr>
          <w:rFonts w:hint="eastAsia" w:ascii="Times New Roman" w:hAnsi="Times New Roman" w:eastAsia="黑体" w:cs="Times New Roman"/>
          <w:b/>
          <w:color w:val="auto"/>
          <w:sz w:val="30"/>
          <w:highlight w:val="none"/>
          <w:lang w:val="en-US" w:eastAsia="zh-CN" w:bidi="ar-SA"/>
        </w:rPr>
        <w:t xml:space="preserve"> </w:t>
      </w:r>
      <w:bookmarkStart w:id="524" w:name="_Toc193093564"/>
      <w:bookmarkStart w:id="525" w:name="_Toc20879"/>
      <w:bookmarkStart w:id="526" w:name="_Toc14061"/>
      <w:bookmarkStart w:id="527" w:name="_Toc1619803891"/>
      <w:bookmarkStart w:id="528" w:name="_Toc7230"/>
      <w:bookmarkStart w:id="529" w:name="_Toc67841361"/>
      <w:bookmarkStart w:id="530" w:name="_Toc1531716745"/>
      <w:bookmarkStart w:id="531" w:name="_Toc1759"/>
      <w:bookmarkStart w:id="532" w:name="_Toc130575351"/>
      <w:r>
        <w:rPr>
          <w:rFonts w:hint="eastAsia" w:ascii="Times New Roman" w:hAnsi="Times New Roman" w:eastAsia="黑体" w:cs="Times New Roman"/>
          <w:b/>
          <w:color w:val="auto"/>
          <w:sz w:val="30"/>
          <w:highlight w:val="none"/>
          <w:lang w:val="en-US" w:eastAsia="zh-CN" w:bidi="ar-SA"/>
        </w:rPr>
        <w:t>整体架构</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B4740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公司信息化现状采用先进的四层架构，以边缘端水务物联网为基础，依托新一代信息技术应用、微服务体系和模型驱动建模方法，进行IaaS、PaaS、SaaS层的整体划分，按照“统一组织，典型设计，试点先行，分步推广”思路，已初步完成信息化条块分割的部门级向横向集成、纵向贯通的转变。</w:t>
      </w:r>
    </w:p>
    <w:p w14:paraId="2B568FE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目前，公司已基于供水云平台，全面重构广业务管理系统，规划有27个业务应用域，从建设标准、数据标准、安全标准、服务标准四个方面统一规划设计，涵盖供水生产、管网运营、用户服务和应急保障等全流程体系，实现了供水运营管理的智慧化。</w:t>
      </w:r>
    </w:p>
    <w:p w14:paraId="5E236C2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公司整体信息化建设架构分为四层，分别为边缘层、IaaS层、PaaS层、SaaS层，如下图所示：</w:t>
      </w:r>
    </w:p>
    <w:p w14:paraId="1198408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drawing>
          <wp:inline distT="0" distB="0" distL="114300" distR="114300">
            <wp:extent cx="4547235" cy="2437130"/>
            <wp:effectExtent l="0" t="0" r="5715" b="1270"/>
            <wp:docPr id="83" name="图片 28" descr="171499170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descr="1714991708019"/>
                    <pic:cNvPicPr>
                      <a:picLocks noChangeAspect="1"/>
                    </pic:cNvPicPr>
                  </pic:nvPicPr>
                  <pic:blipFill>
                    <a:blip r:embed="rId22"/>
                    <a:stretch>
                      <a:fillRect/>
                    </a:stretch>
                  </pic:blipFill>
                  <pic:spPr>
                    <a:xfrm>
                      <a:off x="0" y="0"/>
                      <a:ext cx="4547235" cy="2437130"/>
                    </a:xfrm>
                    <a:prstGeom prst="rect">
                      <a:avLst/>
                    </a:prstGeom>
                    <a:noFill/>
                    <a:ln>
                      <a:noFill/>
                    </a:ln>
                  </pic:spPr>
                </pic:pic>
              </a:graphicData>
            </a:graphic>
          </wp:inline>
        </w:drawing>
      </w:r>
    </w:p>
    <w:p w14:paraId="54D2394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边缘层主要是智能水表、流量计、液位仪、水质传感器、智能消火栓、压力传感器等生产现场数据采集设备，是公司数字化应用和底层物理设备的桥梁，主要负责对接不同厂商、不同协议设备，开展从物理层到中台层和应用层的数据采集与传输、异构设备协议解析与转换，以及多元数据分析与处理，降低网络传输负载和云端计算压力。</w:t>
      </w:r>
    </w:p>
    <w:p w14:paraId="71D4F70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IaaS层结合自来水公司现状，融合计算、存储、网络三大物理资源成为有机整体，满足业务增长需要，搭建智慧供水云平台所需的基础设施资源，包括虚拟化宿主机集群、核心数据库集群、集中式存储集群、容灾系统、分布式存储集群以及各类应用服务器集群等。实现随业务的动态变更、资源的智能管理和服务的自动化交付。</w:t>
      </w:r>
    </w:p>
    <w:p w14:paraId="32C5AA8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PaaS层是智慧供水云平台的核心组成部分，包括物联网平台、数据平台、一站式开发平台、混合集成平台及服务中心、数据中心、AI中心三大中心。PaaS层是基于IaaS层的基础设施能力，为SaaS层业务应用及多终端交互提供关键技术支撑。物联网平台主要实现装备、器材等数据的采集和处理。大数据平台包含数据建模、数据治理、数据分析、数据监控、数据集成及数据存储等功能模块，满足数据治理全过程的管控。一站式开发平台包含低代码开发、动态建模、云开发框架、DevOps、微服务、业务流程、AI研发中心及AR/VR技术，满足快速迭代的技术支撑要求，支持多终端无缝切换。混合集成平台是帮助云平台与第三方业务系统集成所需的身份、数据、流程、服务等不同层面都提供了相应的支持。三个中心（服务中心、数据中心、AI中心）是为SaaS应用层提供数据与技术支撑。</w:t>
      </w:r>
    </w:p>
    <w:p w14:paraId="2A6F412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SaaS层基于智慧供水云平台进行各专业模块业务应用搭建，将各模块封装成满足各业务需求现有业务需求分四个领域进行建设，即ERP业务、营业应用、生产应用和管网应用。构建供水全业务“1个云平台+27个业务域”综合管理系统，集成“供水全流程”业务：源、厂、站、网、端；营、调、质、服；ERP管理，实现供水全流程智慧运营管控。</w:t>
      </w:r>
    </w:p>
    <w:p w14:paraId="19283D41">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533" w:name="_Toc30377"/>
      <w:bookmarkStart w:id="534" w:name="_Toc25667"/>
      <w:bookmarkStart w:id="535" w:name="_Toc10174"/>
      <w:bookmarkStart w:id="536" w:name="_Toc15002"/>
      <w:bookmarkStart w:id="537" w:name="_Toc9205"/>
      <w:bookmarkStart w:id="538" w:name="_Toc25477"/>
      <w:bookmarkStart w:id="539" w:name="_Toc1954"/>
      <w:bookmarkStart w:id="540" w:name="_Toc16705"/>
      <w:r>
        <w:rPr>
          <w:rFonts w:hint="eastAsia" w:ascii="Times New Roman" w:hAnsi="Times New Roman" w:eastAsia="黑体" w:cs="Times New Roman"/>
          <w:b/>
          <w:color w:val="auto"/>
          <w:sz w:val="30"/>
          <w:highlight w:val="none"/>
          <w:lang w:val="en-US" w:eastAsia="zh-CN" w:bidi="ar-SA"/>
        </w:rPr>
        <w:t xml:space="preserve"> </w:t>
      </w:r>
      <w:bookmarkStart w:id="541" w:name="_Toc28885"/>
      <w:bookmarkStart w:id="542" w:name="_Toc193093565"/>
      <w:bookmarkStart w:id="543" w:name="_Toc393803018"/>
      <w:bookmarkStart w:id="544" w:name="_Toc1676856626"/>
      <w:bookmarkStart w:id="545" w:name="_Toc14960"/>
      <w:bookmarkStart w:id="546" w:name="_Toc2043421417"/>
      <w:bookmarkStart w:id="547" w:name="_Toc24409"/>
      <w:bookmarkStart w:id="548" w:name="_Toc1999120670"/>
      <w:bookmarkStart w:id="549" w:name="_Toc19669"/>
      <w:r>
        <w:rPr>
          <w:rFonts w:hint="eastAsia" w:ascii="Times New Roman" w:hAnsi="Times New Roman" w:eastAsia="黑体" w:cs="Times New Roman"/>
          <w:b/>
          <w:color w:val="auto"/>
          <w:sz w:val="30"/>
          <w:highlight w:val="none"/>
          <w:lang w:val="en-US" w:eastAsia="zh-CN" w:bidi="ar-SA"/>
        </w:rPr>
        <w:t>边缘层</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08AD554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目前已改造主要阀门约12万个、智能消火栓约800个、在线压力检测点约400个、流量检测点约550个、水质检测点约50个、智能水表约50万个等多种智能设备检测点，实时监控数据超50万个。通过海量物联感知数据，结合AI预测及水力模型等技术，实现从水源到用户终端全流程在线监测，及时发现并处理影响供水稳定运行的潜在问题，并为供水业务精准决策分析提供数据基础，实现供水服务的优质优量、低耗安全。</w:t>
      </w:r>
    </w:p>
    <w:p w14:paraId="69560BA4">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550" w:name="_Toc17771"/>
      <w:bookmarkStart w:id="551" w:name="_Toc12093"/>
      <w:bookmarkStart w:id="552" w:name="_Toc18618"/>
      <w:bookmarkStart w:id="553" w:name="_Toc11819"/>
      <w:bookmarkStart w:id="554" w:name="_Toc31991"/>
      <w:bookmarkStart w:id="555" w:name="_Toc4112"/>
      <w:bookmarkStart w:id="556" w:name="_Toc18578"/>
      <w:bookmarkStart w:id="557" w:name="_Toc27006"/>
      <w:r>
        <w:rPr>
          <w:rFonts w:hint="eastAsia" w:ascii="Times New Roman" w:hAnsi="Times New Roman" w:eastAsia="黑体" w:cs="Times New Roman"/>
          <w:b/>
          <w:color w:val="auto"/>
          <w:sz w:val="30"/>
          <w:highlight w:val="none"/>
          <w:lang w:val="en-US" w:eastAsia="zh-CN" w:bidi="ar-SA"/>
        </w:rPr>
        <w:t xml:space="preserve"> </w:t>
      </w:r>
      <w:bookmarkStart w:id="558" w:name="_Toc1501413601"/>
      <w:bookmarkStart w:id="559" w:name="_Toc102723472"/>
      <w:bookmarkStart w:id="560" w:name="_Toc20723"/>
      <w:bookmarkStart w:id="561" w:name="_Toc1225272695"/>
      <w:bookmarkStart w:id="562" w:name="_Toc16931"/>
      <w:bookmarkStart w:id="563" w:name="_Toc1839443375"/>
      <w:bookmarkStart w:id="564" w:name="_Toc30575"/>
      <w:bookmarkStart w:id="565" w:name="_Toc193093566"/>
      <w:bookmarkStart w:id="566" w:name="_Toc5193"/>
      <w:r>
        <w:rPr>
          <w:rFonts w:hint="eastAsia" w:ascii="Times New Roman" w:hAnsi="Times New Roman" w:eastAsia="黑体" w:cs="Times New Roman"/>
          <w:b/>
          <w:color w:val="auto"/>
          <w:sz w:val="30"/>
          <w:highlight w:val="none"/>
          <w:lang w:val="en-US" w:eastAsia="zh-CN" w:bidi="ar-SA"/>
        </w:rPr>
        <w:t>IaaS层</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F95C89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IaaS层由存储集群、小型机集群和宿主机集群组成。存储分为专用存储、非结构化存储、云存储。专用存储和小型机集群组成业务数据库硬件基础设施。云存储和宿主机集群组成私有云平台硬件基础设施。非结构化存储作为业务系统非结构化数据存储支撑硬件基础设施。</w:t>
      </w:r>
    </w:p>
    <w:p w14:paraId="7C4E714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IaaS层使用基于Openstack架构的IaaS云计算技术建设云平台，实现了资源按需自动分配、资源自动化维护的两个能力，为智慧水务云平台建设带来高效、稳定、安全的数据处理技术优势。云服务平台提供IaaS层基础设施软硬件服务，将用户的IT基础设施（包括服务器、存储等）形成了统一的资源池进行管理、监控、调度、运维等，同时还通过纳管独立的基础设施管理系统实现对网络中的各类节点进行监控。其中云管理控制器维护云计算涉及的资源信息，通过云管理代理实现对虚机、非虚机、虚拟机控制器的管理；云健康监视器提供私有云的实时监控和后台自动监控功能，能够及时发现健康问题并进行预警，可以根据预定的健康策略对资源进行动态调配、故障转移，给部署在云平台上的业务应用提供高可用、易运维的技术支撑。</w:t>
      </w:r>
    </w:p>
    <w:p w14:paraId="314D7DA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网络现状</w:t>
      </w:r>
    </w:p>
    <w:p w14:paraId="6A31471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公司主数据中心网络简要拓扑架构：</w:t>
      </w:r>
    </w:p>
    <w:p w14:paraId="3D634AC6">
      <w:pPr>
        <w:widowControl/>
        <w:spacing w:line="360" w:lineRule="auto"/>
        <w:ind w:firstLine="480" w:firstLineChars="200"/>
        <w:jc w:val="center"/>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drawing>
          <wp:inline distT="0" distB="0" distL="114300" distR="114300">
            <wp:extent cx="4411345" cy="2829560"/>
            <wp:effectExtent l="0" t="0" r="8255" b="889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23"/>
                    <a:stretch>
                      <a:fillRect/>
                    </a:stretch>
                  </pic:blipFill>
                  <pic:spPr>
                    <a:xfrm>
                      <a:off x="0" y="0"/>
                      <a:ext cx="4411345" cy="2829560"/>
                    </a:xfrm>
                    <a:prstGeom prst="rect">
                      <a:avLst/>
                    </a:prstGeom>
                    <a:noFill/>
                    <a:ln>
                      <a:noFill/>
                    </a:ln>
                  </pic:spPr>
                </pic:pic>
              </a:graphicData>
            </a:graphic>
          </wp:inline>
        </w:drawing>
      </w:r>
    </w:p>
    <w:p w14:paraId="6D7FC5B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1、主中心网络分为服务器区、办公网接入区、互联网接入区、政务网接入区、广域网接入区、外联单位接入区和安全管理区。其中：</w:t>
      </w:r>
    </w:p>
    <w:p w14:paraId="2F4621B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2、互联网接入区配置了双出口链路，双份的抗DDos、负载均衡、入侵防御系统、web应用防火墙、网关防火墙、上网行为管理等设备。</w:t>
      </w:r>
    </w:p>
    <w:p w14:paraId="53E392A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3、外联单位接入区主要为上下游业务联动单位的网络互联。</w:t>
      </w:r>
    </w:p>
    <w:p w14:paraId="739FE0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4、广域网接入区主要为下属单位（如水厂）和上级单位互联的区域。</w:t>
      </w:r>
    </w:p>
    <w:p w14:paraId="0129054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5、安全管理区接入云平台的安全管理设备。</w:t>
      </w:r>
    </w:p>
    <w:p w14:paraId="7D6AB977">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数据现状</w:t>
      </w:r>
    </w:p>
    <w:p w14:paraId="55013D0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核心数据库数据主要由Oracle数据库承载，涉及9个数据库，分别部署在两个RAC集群中。其中，RAC集群1承载约7TB的数据，包括ERP、OA等核心业务系统；RAC集群2同样承载约7TB的数据，主要涵盖生产、数据仓库等关键领域。并且，还拥有其他重要的数据库数据，包括influxdb、mongoDB、mysql等。具体来讲，influxdb存储了约800GB的物联网时序数据，MongoDB存储了约500GB的物联网生产调度数据。Mysql数据库则包含了多个系统数据，如HCM数据库、物联网云计量数据库、订餐系统数据库、北斗定位数据库以及财政电子票据数据库，总数据量约为204GB；另外，图片数据主要包括人工抄表的拍照图片和工程图纸扫描图片，目前这些图片数据总量约为50TB。</w:t>
      </w:r>
    </w:p>
    <w:p w14:paraId="4A15376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567" w:name="_Toc31154"/>
      <w:bookmarkStart w:id="568" w:name="_Toc31192"/>
      <w:bookmarkStart w:id="569" w:name="_Toc9972"/>
      <w:bookmarkStart w:id="570" w:name="_Toc13323"/>
      <w:bookmarkStart w:id="571" w:name="_Toc165"/>
      <w:bookmarkStart w:id="572" w:name="_Toc15533"/>
      <w:bookmarkStart w:id="573" w:name="_Toc17965"/>
      <w:bookmarkStart w:id="574" w:name="_Toc26321"/>
      <w:r>
        <w:rPr>
          <w:rFonts w:hint="eastAsia" w:ascii="Times New Roman" w:hAnsi="Times New Roman" w:eastAsia="黑体" w:cs="Times New Roman"/>
          <w:b/>
          <w:color w:val="auto"/>
          <w:sz w:val="30"/>
          <w:highlight w:val="none"/>
          <w:lang w:val="en-US" w:eastAsia="zh-CN" w:bidi="ar-SA"/>
        </w:rPr>
        <w:t xml:space="preserve"> </w:t>
      </w:r>
      <w:bookmarkStart w:id="575" w:name="_Toc350221413"/>
      <w:bookmarkStart w:id="576" w:name="_Toc937493782"/>
      <w:bookmarkStart w:id="577" w:name="_Toc10194"/>
      <w:bookmarkStart w:id="578" w:name="_Toc24198"/>
      <w:bookmarkStart w:id="579" w:name="_Toc4725"/>
      <w:bookmarkStart w:id="580" w:name="_Toc193093567"/>
      <w:bookmarkStart w:id="581" w:name="_Toc6391"/>
      <w:bookmarkStart w:id="582" w:name="_Toc1325539757"/>
      <w:bookmarkStart w:id="583" w:name="_Toc2044025363"/>
      <w:r>
        <w:rPr>
          <w:rFonts w:hint="eastAsia" w:ascii="Times New Roman" w:hAnsi="Times New Roman" w:eastAsia="黑体" w:cs="Times New Roman"/>
          <w:b/>
          <w:color w:val="auto"/>
          <w:sz w:val="30"/>
          <w:highlight w:val="none"/>
          <w:lang w:val="en-US" w:eastAsia="zh-CN" w:bidi="ar-SA"/>
        </w:rPr>
        <w:t>PaaS层</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7B55DB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PaaS层采用云原生技术架构，构建三中心、四平台的技术支撑底座，实现高效互联、敏捷开发、自主可控，提供了一系列应用程序的开发和运行环境，对上层SaaS层智慧水务云应用、供水行业大数据和人工智能应用、智慧水务产业平台等27个业务域的智慧应用的全面运行支撑与开发，对下层IaaS层资源实现统一、弹性、敏捷的调用和纳管。三中心包含服务中心、数据中心、AI中心，四平台包含一站式开发平台、物联网平台，数据平台和集成平台等子平台。</w:t>
      </w:r>
    </w:p>
    <w:p w14:paraId="72EEA12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物联网平台</w:t>
      </w:r>
    </w:p>
    <w:p w14:paraId="0A6FFE2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物联网平台作为硬件层和应用层的中介，以数据为核心，管理二者之间的所有连接与交互。物联网平台包含边缘侧设备连接与云平台物联网服务两大部分。边缘网关通过不同的协议和网络拓扑，负责设备接入和从设备端收集数据；平台核心物联网功能，由规则引擎负责消息处理，进行数据流转和场景联动，实现设备管理、配置管理、消息传递、控制远程设备等功能。同时，平台提供API开放接口，为后续构建行业生态提供支撑和保障。</w:t>
      </w:r>
    </w:p>
    <w:p w14:paraId="75BE07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4B86FEB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1、多网络多协议设备接入</w:t>
      </w:r>
    </w:p>
    <w:p w14:paraId="6D4527A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边缘侧支持多协议、多网络接入；边缘设备连接支持虚拟网关、硬件网关、边缘服务器多种方式，支持标准数据格式和透传/自定义。</w:t>
      </w:r>
    </w:p>
    <w:p w14:paraId="322ED06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2、数据持久化和实时分析</w:t>
      </w:r>
    </w:p>
    <w:p w14:paraId="774894A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支持大规模时序数据的数据流转，高效存储和分发；采用规则引擎进行函数计算，业务规则和数据分离，实现时序数据实时分析。</w:t>
      </w:r>
    </w:p>
    <w:p w14:paraId="65C184C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3、低成本快速开发云组态</w:t>
      </w:r>
    </w:p>
    <w:p w14:paraId="5782DBB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支持多种数据源接口，进行低代码图形化开发，实现实时IOT仪表盘和可视化组态；支持2D、2.5D、3D素材渲染，实时数据支持秒级展现。</w:t>
      </w:r>
    </w:p>
    <w:p w14:paraId="4D8B90E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4、支持大规模部署</w:t>
      </w:r>
    </w:p>
    <w:p w14:paraId="2DEAC0F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采用以流式计算为核心的架构，边缘侧设备接入服务和云平台物联网核心服务都支持弹性伸缩，可以应对海量高频设备数据采集、存储场景，支持大规模物联网设备接入需求。</w:t>
      </w:r>
    </w:p>
    <w:p w14:paraId="05FB33D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5、云边端一体化开放式架构</w:t>
      </w:r>
    </w:p>
    <w:p w14:paraId="32BFEA9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（1）采用云原生微服务架构，支持总部和分支机构云边端协同；采用开放式接口设计，提供API服务，支持应用开发与集成。</w:t>
      </w:r>
    </w:p>
    <w:p w14:paraId="6727379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（2）物联网平台主要提供设备广泛接入、设备数字化管理、拖拽式云组态和应用开发与集成等核心能力，为各类IoT场景和行业开发者赋能。</w:t>
      </w:r>
    </w:p>
    <w:p w14:paraId="723C819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协议解析</w:t>
      </w:r>
    </w:p>
    <w:p w14:paraId="6C424C4E">
      <w:pPr>
        <w:widowControl/>
        <w:spacing w:line="360" w:lineRule="auto"/>
        <w:ind w:firstLine="480" w:firstLineChars="200"/>
        <w:rPr>
          <w:rFonts w:hint="eastAsia" w:ascii="仿宋_GB2312" w:hAnsi="仿宋_GB2312" w:eastAsia="仿宋_GB2312" w:cs="仿宋_GB2312"/>
          <w:color w:val="auto"/>
          <w:kern w:val="0"/>
          <w:sz w:val="24"/>
          <w:szCs w:val="28"/>
          <w:highlight w:val="none"/>
          <w:lang w:eastAsia="zh-CN"/>
        </w:rPr>
      </w:pPr>
      <w:r>
        <w:rPr>
          <w:rFonts w:hint="eastAsia" w:ascii="Times New Roman" w:hAnsi="Times New Roman" w:eastAsia="宋体" w:cs="Times New Roman"/>
          <w:color w:val="auto"/>
          <w:kern w:val="0"/>
          <w:sz w:val="24"/>
          <w:highlight w:val="none"/>
          <w:lang w:eastAsia="zh-CN"/>
        </w:rPr>
        <w:t>通过接入网关实现将设备接入协议的加工、转换，内置编解码器支持私有协议解析，支持MQTT、TCP、UDP、Lwm2m、CoAP、AEP_HTTP、ONENET_HTTP、HTTP等多种类型接入。提供统一编解码器，将不同报文协议动态加载相应的编解码插件进行数据格式的转换定义。</w:t>
      </w:r>
    </w:p>
    <w:p w14:paraId="02824D7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设备接入</w:t>
      </w:r>
    </w:p>
    <w:p w14:paraId="4247809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提供设备统一接入能力，提供证书管理、原始数据等接入能力，为了方便用户查询原始数据，提供了按照设备编码、接入网关、写入节点、创建时间等维度原始数据查询能力。</w:t>
      </w:r>
    </w:p>
    <w:p w14:paraId="085E322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设备管理</w:t>
      </w:r>
    </w:p>
    <w:p w14:paraId="675F1F0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设备管理模块提供多类设备集合与管理服务，将设备属性、设备基础信息、设备分组、设备影子、物模型、设备运行状态等功能进行统一管理，适用于设备的层级管理、监测、遥控和维护保养等场景。提供物联网设备全生命周期一站式管理服务。</w:t>
      </w:r>
    </w:p>
    <w:p w14:paraId="4F7C456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设备模板：设备模板是设备的集合，通常是一组具有相同功能定义的设备集合。设备模板定义了设备的参数、属性、命令等基本信息。一个设备必须根据设备模板生成。例如，设备模板指同一个型号的产品，设备就是该型号下的某个设备。使用物联网平台接入设备前，需在物联网平台创建设备模板。</w:t>
      </w:r>
    </w:p>
    <w:p w14:paraId="21FACE0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设备列表：在新建设备时，需要指定设备的编码和名称、选择设备接入信息、选择设备分组、地理位置信息、配置设备参数等操作。设备与平台建立安全连接时，需要加载平台端颁发的证书。平台支持设备证书颁发、下载。构建完成的设备会在列表中展示，用户可以对其进行查看、编辑、启用/禁用等管理操作。在设备详情界面，用户可以查看、编辑设备信息以及设备当前状态。</w:t>
      </w:r>
    </w:p>
    <w:p w14:paraId="67517E4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自动注册面向大规模设备接入场景时，手动创建设备不仅工作量大，还容易发生设备信息填写错误、设备遗漏等问题。平台提供设备自动注册的功能，通过识别设备连接信息或设备发送的原始消息，自动生成设备基础数据，并插入到未注册设备列表，用户确认后可将该设备正式注册到平台上。平台支持直连设备和网关设备的自动注册，提供开放接口给第三方平台同步待注册设备基础数据。</w:t>
      </w:r>
    </w:p>
    <w:p w14:paraId="6E9E9C73">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运行监控</w:t>
      </w:r>
    </w:p>
    <w:p w14:paraId="38A1474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可以拖拉拽的云组态，支持低代码图形化快速开发，用户可自由拖拽配置的仪表盘、可视化画布，根据设备行业特点与实际需求，配置可视化展现界面。沉淀丰富的水务业务数据展现组件，支持用户拓展。实时场景页面渲染引擎，支持2D、2.5D、3D素材渲染，实时数据支持秒级展现。</w:t>
      </w:r>
    </w:p>
    <w:p w14:paraId="6F82B02D">
      <w:pPr>
        <w:widowControl/>
        <w:spacing w:line="360" w:lineRule="auto"/>
        <w:ind w:firstLine="480" w:firstLineChars="200"/>
        <w:rPr>
          <w:rFonts w:hint="eastAsia" w:ascii="仿宋_GB2312" w:hAnsi="仿宋_GB2312" w:eastAsia="仿宋_GB2312" w:cs="仿宋_GB2312"/>
          <w:color w:val="auto"/>
          <w:kern w:val="0"/>
          <w:sz w:val="24"/>
          <w:szCs w:val="28"/>
          <w:highlight w:val="none"/>
          <w:lang w:eastAsia="zh-CN"/>
        </w:rPr>
      </w:pPr>
      <w:r>
        <w:rPr>
          <w:rFonts w:hint="eastAsia" w:ascii="Times New Roman" w:hAnsi="Times New Roman" w:eastAsia="宋体" w:cs="Times New Roman"/>
          <w:color w:val="auto"/>
          <w:kern w:val="0"/>
          <w:sz w:val="24"/>
          <w:highlight w:val="none"/>
          <w:lang w:eastAsia="zh-CN"/>
        </w:rPr>
        <w:t>基于web三维技术实现实时数据联动。平台提供模型加载功能，用户可上传glb等格式的三维模型，加载后的模型可在画布上自由拖拽、360度旋转，用户根据实际场景需求，设计可视化展现界面。支持模型子模块要素交互文档的自动识别，从而与实体模型中的子模块进行自动匹配关联，并生成子模块可视化配置界面，支持实时数据推送和监控告警等功能，可实现模型数据的实时动态展示，支持实时场景页面渲染、光源阴影效果。通过组态设计，可以自定义实现统一的监管大屏，能同时展示物联设备的实时数据及监控区域的视频画面，实现物联设备与视频监控的联动、融合。</w:t>
      </w:r>
    </w:p>
    <w:p w14:paraId="4AE6653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云组态设计器</w:t>
      </w:r>
    </w:p>
    <w:p w14:paraId="34F7E02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可以拖拉拽的云组态，支持低代码图形化快速开发，用户可自由拖拽配置的仪表盘、可视化画布，根据设备行业特点与实际需求，配置可视化展现界面。沉淀丰富的水务业务数据展现组件，支持用户拓展。实时场景页面渲染引擎，支持2D、2.5D、3D素材渲染，实时数据支持秒级展现。</w:t>
      </w:r>
    </w:p>
    <w:p w14:paraId="70B7490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报警管理</w:t>
      </w:r>
    </w:p>
    <w:p w14:paraId="0962AC6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自定义制定报警策略，实现基于实时数据驱动告警的功能。平台基于流式计算对上报的每条数据进行告警计算。平台支持报警数据防抖处理、降噪处理、超时处理，实现基于敏感度的报警管理，提供设备报警流水和报警热力图，报警历史提供报警处理功能，点击可选择处理或忽略报警信息；报警热力图可以按小时或天展示，方便用户查看及分析设备报警情况，支持视频丢失报警、设备防拆报警、设备磁盘满报警、设备高温报警、设备低温报警、物体移除检测报警、流量统计报警、密度检测报警、视频异常检测报警、快速移动报警等多种场景。报警方式支持电话报警、设备报警、短信报警、GPS报警、视频报警等。</w:t>
      </w:r>
    </w:p>
    <w:p w14:paraId="41F62677">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大数据平台</w:t>
      </w:r>
    </w:p>
    <w:p w14:paraId="457CB5E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大数据平台是企业数据资源开发和利用的重要载体，除了负责数据资产管理、软硬件运行环境管理以及人财物等综合管理，还负责支撑全域的数据服务。包含数据建模、数据治理、数据分析、数据监控、数据集成等核心能力，打通面向多源异构数据采集通道和面向子公司的数据链路，实现各领域数据及指标整合及标准化，为企业数据分析和挖掘应用提供了数据统一采集、数据统一存储、数据统一管理以及数据统一使用的能力。实现业务数据化、数据业务化的数字化运营。</w:t>
      </w:r>
    </w:p>
    <w:p w14:paraId="498382C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5653872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全链路的数据加工过程：通过数据源管理、数据加工厂、数据服务、数据门户形成了完整的企业数据加工链条。提供数据源变动对数据模型影响的检测功能；内置数据仓库建议分层结构；提供图形化用户界面，拖拽式操作。</w:t>
      </w:r>
    </w:p>
    <w:p w14:paraId="1835FD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2、全过程的数据落标管理：提供数据标准管理、数据标准映射、数据标准落标报告、值域异常检测、标准监控看板等功能，形成闭环管理。</w:t>
      </w:r>
    </w:p>
    <w:p w14:paraId="4D81C84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3、持续提升的数据质量管理：提供丰富的数据稽核规则，能够将简单的质量规则组合成复杂检核方案，可给出质量问题清单，并能通过邮件方式进行主动告警反馈。</w:t>
      </w:r>
    </w:p>
    <w:p w14:paraId="771BFF7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4、平民化的机器学习建模：算法封装、建模可视化、支持模型训练和预测，满足优化、预测、预警等不同AI应用场景。</w:t>
      </w:r>
    </w:p>
    <w:p w14:paraId="013DDC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5、跨部门受控的数据共享：需共享的数据可发布到数据门户中，支持按处室、目录进行展示，信息资源申请需经相关部门领导审批后共享。</w:t>
      </w:r>
    </w:p>
    <w:p w14:paraId="1C950F7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6、灵活自助的可视化分析：提供多终端（大屏、PC、移动）可视化界面设计器，预置精美的布局模板、修饰元素及动效，以所见即所得的“拖拉拽”配置方式进行看板设计。</w:t>
      </w:r>
    </w:p>
    <w:p w14:paraId="135ED1F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7、逻辑集中物理分散的弹性可伸缩架构：通过权限与管理配置，实现数据资产管理逻辑统一，数据资源存放物理分布。</w:t>
      </w:r>
    </w:p>
    <w:p w14:paraId="58F5C06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数据建模</w:t>
      </w:r>
    </w:p>
    <w:p w14:paraId="7BF7A44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对关系型数据源、传感数据源、手工数据源类型等各类数据属性定义及配置、各类数据编码规则定义及配置。支持各类数据的配置管理功能，包括物理存储、数据模型、数据源链接、ETL、报表等元模型的管理；提供了数据模块定义、模型定义、字段配置、编码规则配置等。</w:t>
      </w:r>
    </w:p>
    <w:p w14:paraId="622CCF0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11880D3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1、提供全面的数据源内容管理，包括代码表、实体表、存储过程、视图、函数等，支持添加业务描述、属性设置、数据预览等功能。</w:t>
      </w:r>
    </w:p>
    <w:p w14:paraId="4EA9AEF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2、支持管理手工数据源，系统提供数据模板，支持手工数据导入，导入方式包括增量、全量。</w:t>
      </w:r>
    </w:p>
    <w:p w14:paraId="5922E08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3、提供模型规划、模型稽核和模型监控功能，支撑逻辑模型设计、稽核和监控。</w:t>
      </w:r>
    </w:p>
    <w:p w14:paraId="26A6E08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4、支持模型主题分层设计，预置分为主题域分组、主题域、业务对象三层结构。</w:t>
      </w:r>
    </w:p>
    <w:p w14:paraId="16260C5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5、支持根据主题构建逻辑模型，包括模型新增、模型审核、模型变更、模型停用、模型版本管理、模型恢复等，可通过逻辑模型自动生成物理模型。</w:t>
      </w:r>
    </w:p>
    <w:p w14:paraId="42F74C6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6、支持模型稽核，设计、执行和查看稽核任务，实现对逻辑模型、物理模型、库表模型的一致性稽核，支持模型稽核问题以列表形式展示，并支持穿透跳转至具体问题模型进行修改。</w:t>
      </w:r>
    </w:p>
    <w:p w14:paraId="20447C6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数据治理</w:t>
      </w:r>
    </w:p>
    <w:p w14:paraId="4D22774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依托公司数据治理体系，对各类数据资产提供了统一的数据资产管理、数字资产共享和数据资产监控等功能。对各系统共同使用的数据元进行统一描述，规范企业各类数据标准，如元数据标准、主数据标准、数据共享标准、数据质量标准等。提供了数仓模型、数据源连接、API、信息资源、调度数量、规则个数、数仓模型分布、数据源模型分布、数据源异常情况等数据资产盘点与质量管理能力。</w:t>
      </w:r>
    </w:p>
    <w:p w14:paraId="45502FD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074E89F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1、数据资产</w:t>
      </w:r>
    </w:p>
    <w:p w14:paraId="549CC2D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提供全局统一的资产地图、资产搜索、资产共享服务，构建主题明确、服务完善、权责清晰的数据资产管理体系。</w:t>
      </w:r>
    </w:p>
    <w:p w14:paraId="00027C6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2、数据标准</w:t>
      </w:r>
    </w:p>
    <w:p w14:paraId="2A91EC6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对各系统共同使用的数据元进行统一描述，规范企业各类数据标准，如业务数据标准、指标数据标准、参考数据标准等。同时提供标准扩展，适应未来需求变化和标准扩展更新。</w:t>
      </w:r>
    </w:p>
    <w:p w14:paraId="183AAA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3、元数据</w:t>
      </w:r>
    </w:p>
    <w:p w14:paraId="3B8AF18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通过内置常见类型的采集适配器方式，实现端到端的元数据自动化采集，可快速理清现有数据资源，了解数据来龙去脉，构建数据地图，为数据标准建设和数据质量提供基础支撑。</w:t>
      </w:r>
    </w:p>
    <w:p w14:paraId="1D65C6B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4、数据质量</w:t>
      </w:r>
    </w:p>
    <w:p w14:paraId="7404FA0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通过制定数据检核规则和方案，实现对数据质量的监控。当数据产生质量问题时，系统自动告警，为数据管理者提供详细的数据质量分析报告。</w:t>
      </w:r>
    </w:p>
    <w:p w14:paraId="0AEC7BE9">
      <w:pPr>
        <w:keepNext/>
        <w:keepLines/>
        <w:numPr>
          <w:ilvl w:val="4"/>
          <w:numId w:val="1"/>
        </w:numPr>
        <w:spacing w:line="360" w:lineRule="auto"/>
        <w:ind w:left="1429" w:leftChars="200" w:hanging="1009" w:firstLineChars="0"/>
        <w:jc w:val="both"/>
        <w:outlineLvl w:val="4"/>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w:t>
      </w:r>
      <w:r>
        <w:rPr>
          <w:rFonts w:hint="eastAsia" w:ascii="Times New Roman" w:hAnsi="Times New Roman" w:eastAsia="黑体" w:cs="Times New Roman"/>
          <w:b/>
          <w:color w:val="auto"/>
          <w:sz w:val="28"/>
          <w:highlight w:val="none"/>
          <w:lang w:val="en-US" w:eastAsia="zh-CN" w:bidi="ar-SA"/>
        </w:rPr>
        <w:t>分析</w:t>
      </w:r>
    </w:p>
    <w:p w14:paraId="6D138A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了统一的指标管理、万能分析的数据分析工具，可以从海量的数据中分析隐含在其中的，事先不为人知的、潜在的、有用信息和知识，为公司不同层面用户分析决策提供依据。指标工具提供指标体系定义、指标数据维护、指标计算任务定义、指标数据分析以及自动预警等功能，从业务及管理角度搭建了公司各业务领域的指标体系。万能分析提供了轻量级模型的“多维”数据图表设计工具，能够通过简单、拖拽操作，使得业务人员无须写代码就能够进行操作配置，自己设计出需要的业务分析页面，沉淀表格、交叉表、透视表、折线/柱状图、扩展图表30余种支持常用的图形及表格定义，满足用户对不同展示部件的构建和分析需求。</w:t>
      </w:r>
    </w:p>
    <w:p w14:paraId="4501456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0669F5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1、指标管理</w:t>
      </w:r>
    </w:p>
    <w:p w14:paraId="358713B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按照多维度建模思想实现企业级指标数据管理，提供指标体系搭建、指标取数服务、指标数据管理功能，可满足企业运营、集团管控、各类监管指标的灵活管理。</w:t>
      </w:r>
    </w:p>
    <w:p w14:paraId="5FC00CE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2、万能分析</w:t>
      </w:r>
    </w:p>
    <w:p w14:paraId="57A3AAF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提供多终端（大屏、PC、移动）可视化界面设计器，预置精美的布局模板、修饰元素及动效，以所见即所得的“拖拉拽”配置方式完成决策指挥看板的制作，具有制作步骤简便、制作周期短、效果精美等特点。</w:t>
      </w:r>
    </w:p>
    <w:p w14:paraId="74EB60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3、数据推演</w:t>
      </w:r>
    </w:p>
    <w:p w14:paraId="758F6D5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主要应用于数据的推演，通过设置层级数据间的逻辑关系，实现本级的数据联动上级数据变化。</w:t>
      </w:r>
    </w:p>
    <w:p w14:paraId="1796D69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4、智能报告</w:t>
      </w:r>
    </w:p>
    <w:p w14:paraId="49B8D1D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实现企业常见各类业务报告按模板自动取数、生成及报告管理功能，支持图、表、文字等多种形式，使得制作报告，不再陷入繁琐劳动、不再花费大量时间、不再投入太多人力，提升工作效率。</w:t>
      </w:r>
    </w:p>
    <w:p w14:paraId="63EF1693">
      <w:pPr>
        <w:keepNext/>
        <w:keepLines/>
        <w:numPr>
          <w:ilvl w:val="4"/>
          <w:numId w:val="1"/>
        </w:numPr>
        <w:spacing w:line="360" w:lineRule="auto"/>
        <w:ind w:left="1429" w:leftChars="200" w:hanging="1009" w:firstLineChars="0"/>
        <w:jc w:val="both"/>
        <w:outlineLvl w:val="4"/>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数据监控</w:t>
      </w:r>
    </w:p>
    <w:p w14:paraId="682C3A0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监控功能提供了数据管理的实时监控预警和数据传输日志能力，包含交换节点、调度任务、服务器监控，展示指标至少包含当前系统中的ETL任务调度、数据质量方案、定时报送等任务的任务数、CPU、内存和硬盘使用、对企业侧DMP运行状态等的监控预警以及包括ETL调度日志、数据上报日志、接收数据日志、数据服务日志、通道传输日志的展示。</w:t>
      </w:r>
    </w:p>
    <w:p w14:paraId="1530C2D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2049378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1、数据全景</w:t>
      </w:r>
    </w:p>
    <w:p w14:paraId="29D5EB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通过数据全景功能，将数据仓库的整体运行情况一张图展示，数据仓库管理人员能够对数据仓库的整体运行情况进行分析，实现数据仓库可视化运行。</w:t>
      </w:r>
    </w:p>
    <w:p w14:paraId="22706F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2、资源搜索</w:t>
      </w:r>
    </w:p>
    <w:p w14:paraId="2FC4A9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系统统一管理数据仓库中的各种资源，通过资源搜索功能，数据仓库管理员、数据分析人员、ETL开发人员能够快速定位数据仓库中的模型、转换、作业等资源，提高工作效率。</w:t>
      </w:r>
    </w:p>
    <w:p w14:paraId="0E6C169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3、数据画像</w:t>
      </w:r>
    </w:p>
    <w:p w14:paraId="20E5A67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依据数据处理关系，自动形成企业全景数据画像，能够一张图展示企业数据关系，数据节点可层层穿透查询，资源节点自动生成，无需维护。</w:t>
      </w:r>
    </w:p>
    <w:p w14:paraId="7DCFB499">
      <w:pPr>
        <w:keepNext/>
        <w:keepLines/>
        <w:numPr>
          <w:ilvl w:val="4"/>
          <w:numId w:val="1"/>
        </w:numPr>
        <w:spacing w:line="360" w:lineRule="auto"/>
        <w:ind w:left="1429" w:leftChars="200" w:hanging="1009" w:firstLineChars="0"/>
        <w:jc w:val="both"/>
        <w:outlineLvl w:val="4"/>
        <w:rPr>
          <w:rFonts w:ascii="Arial" w:hAnsi="Arial"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数据</w:t>
      </w:r>
      <w:r>
        <w:rPr>
          <w:rFonts w:hint="eastAsia" w:ascii="Arial" w:hAnsi="Arial" w:eastAsia="黑体" w:cs="Times New Roman"/>
          <w:b/>
          <w:color w:val="auto"/>
          <w:sz w:val="28"/>
          <w:highlight w:val="none"/>
          <w:lang w:val="en-US" w:eastAsia="zh-CN" w:bidi="ar-SA"/>
        </w:rPr>
        <w:t>集成</w:t>
      </w:r>
    </w:p>
    <w:p w14:paraId="44B5A24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为公司各数据集成提供ETL抽取、填报采集、接口采集、文件上传、大数据实时采集、作业调整与调度的工具及能力，包括对结构化数据及非结构化数据的抽取、汇集、加载、转换、传输等能力，实现数据平台与内外部各业务系统集成适配、数据自动获取汇聚(增量/全量)，形成院级数据资源池，同时在采集汇聚过程中需按照数据标准规范对数据开展清洗、转换、加工等预处理操作，提高数据采集时效性、准确性和完整性；</w:t>
      </w:r>
    </w:p>
    <w:p w14:paraId="0A1D2A3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665976D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1、支持可视化的规则设计、灵活的流程编排、完整的服务注册和准确的运行监控实现全公司的数据整合应用。</w:t>
      </w:r>
    </w:p>
    <w:p w14:paraId="09E50E4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2、支持数据同步、数据交换、分布集中、数据分离、数据迁移等数据处理场景，同时满足基于数据的、基于事件的、基于服务的各种数据集成需求。</w:t>
      </w:r>
    </w:p>
    <w:p w14:paraId="230CBF0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3、采用标准开放接口，支持与第三方系统的数据交换与共享。</w:t>
      </w:r>
    </w:p>
    <w:p w14:paraId="1CB15EC5">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一站式开发平台</w:t>
      </w:r>
    </w:p>
    <w:p w14:paraId="7C3A375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面向公司各种业务主题域的PC、移动、大屏以及VR/AR等各类应用，提供一站式开发、部署、运维、运营一体化的云原生开发体系，可视化开发工具是搭建在私有云的低代码、零代码在线开发环境与相关服务，通过WebIDE与通用能力服务，提供低、零代码在线开发能力，实现开发产物的全生命周期管理。内置AI服务自定义训练平台，只需提供标注后的数据即可训练生成个性化的智能服务模型，支撑认知服务所需的日常训练。</w:t>
      </w:r>
    </w:p>
    <w:p w14:paraId="5C5B876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044277E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1、提供PC端、移动端等多端、多场景应用的全栈开发支撑。</w:t>
      </w:r>
    </w:p>
    <w:p w14:paraId="24AFF47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2、提供基于统一的建模体系和技术框架，包含低代码开发、零代码开发和硬编码开发三种开发工具。</w:t>
      </w:r>
    </w:p>
    <w:p w14:paraId="5E3EA38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3、支持业务规则快速建模，提供业务间计算、依赖、必填和校验表达式，能够进行图形化业务逻辑配置，并支持业务逻辑函数在项目上进行定制扩展。</w:t>
      </w:r>
    </w:p>
    <w:p w14:paraId="57F2C58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4、遵循DDD领域驱动设计理念，模型驱动架构(ModelDrivenArchitecture)进行设计；基于领域驱动和模型驱动设计，保障业务应用的可复用性、可扩展性、可移植性、可靠性及安全性。</w:t>
      </w:r>
    </w:p>
    <w:p w14:paraId="20E6053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5、同时支持代码生成编译执行和模型解释执行两种低代码开发模式，源码工程化，且支持两种工程之间相互引用，以实现资源的共享。</w:t>
      </w:r>
    </w:p>
    <w:p w14:paraId="2CFCBBC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6、前端应基于MVVM架构、采用前后端分离模式，使用响应式编程框架，提供高效率的前端应用开发体验。</w:t>
      </w:r>
    </w:p>
    <w:p w14:paraId="0DEFF29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7、支持前后端分离架构设计的开发框架，基于前端的调用请求，实现自动转换和适配、编排后端业务领域服务，使业务领域服务稳定，前台处理灵活响应。</w:t>
      </w:r>
    </w:p>
    <w:p w14:paraId="5641874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8、提供持久化层开发框架，支持自动实现实体数据与关系数据的存取转换，封装底层不同种类数据库的访问差异，并提供灵活的业务查询语言机制，以面向业务实体的方式组织高效数据查询处理。</w:t>
      </w:r>
    </w:p>
    <w:p w14:paraId="3815031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9、基于开发运维一体化理念，与DevOps平台进行能力集成。与Git仓库深度集成，支持实现一键拉取、提交、推送。</w:t>
      </w:r>
    </w:p>
    <w:p w14:paraId="7D43AC6C">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低代码开发</w:t>
      </w:r>
    </w:p>
    <w:p w14:paraId="33F4BC9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低代码平台提供了在线云IDE的开发环境，业务用户只需Web浏览器就可以通过可视化、拖拽的方式完成表单、流程等建模定义，实现新业务应用的快速开发或者已有应用的二次调整。</w:t>
      </w:r>
    </w:p>
    <w:p w14:paraId="3A1E9D9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00943BB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1、支持不同通讯协议支持，对业务调用屏蔽底层的通信实现，通信方式变化时，可以保持应用调用的接口稳定。</w:t>
      </w:r>
    </w:p>
    <w:p w14:paraId="522A1E4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2、支持常见的数据序列化、反序列化，并应支持自定义扩展。</w:t>
      </w:r>
    </w:p>
    <w:p w14:paraId="7F9587E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3、内置集成服务发现组件，可以自动实现远程服务。</w:t>
      </w:r>
    </w:p>
    <w:p w14:paraId="7C4775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4、优化开发流程，强化一体化开发流程，完成低代码与零代码融合等特性。</w:t>
      </w:r>
    </w:p>
    <w:p w14:paraId="20AA87A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5、支持开发增强特性，支持开发者将已有应用预置为模板，支持项目交付物开发者可以采用交互+规则方式开发常规应用。</w:t>
      </w:r>
    </w:p>
    <w:p w14:paraId="2F274D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6、提供低代码开发持续改造，包括帮助、枚举多选改造、各设计器功能增强与不合理流程处理。</w:t>
      </w:r>
    </w:p>
    <w:p w14:paraId="46A94915">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动态建模</w:t>
      </w:r>
    </w:p>
    <w:p w14:paraId="3BD7DF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DDD领域驱动和MDA模型驱动的设计方法，提供实体对象、聚合、领域服务、领域事件等核心概念的建模能力，提炼了支持可持续沉淀与复用的业务框架和构件库，并提供基于构件的组装、编排集成复用及多维度动态建模工具，实现应用系统开发所需的用户界面、API服务、业务领域逻辑、实体数据结构、业务流程、打印、查询等开发内容要素的运行时动态建模调整。</w:t>
      </w:r>
    </w:p>
    <w:p w14:paraId="797C656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081DFAC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1、支持按照一致的业务导航，对业务功能进行集中配置。</w:t>
      </w:r>
    </w:p>
    <w:p w14:paraId="0F6C176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表单实体的定制功能，支持按照可预设的维度（如组织、业务类型）对表单实体的结构、业务逻辑进行定制，支持字段、子表、校验规则、业务事件等内容的定制，支持数据更新逻辑的扩展区分事务内、事务外。</w:t>
      </w:r>
    </w:p>
    <w:p w14:paraId="4AC1071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3、支持按照可预设的维度扩展表单的界面格式，支持调整界面布局，支持增加、删除、隐藏、更换控件，支持调整控件的位置、显示格式、掩码、校验规则；支持扩展前端的业务逻辑。</w:t>
      </w:r>
    </w:p>
    <w:p w14:paraId="0365EBD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4、支持按照可预设的维度设置不同的审批流程，提供流程设置及分配功能。</w:t>
      </w:r>
    </w:p>
    <w:p w14:paraId="1A52279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5、支持按照可预设的维度定制查询实体的结构、业务逻辑，支持调整查询的参数、返回列、数据权限、筛选条件，支持增加查询的关联表，支持在不同的时机扩展查询的逻辑。</w:t>
      </w:r>
    </w:p>
    <w:p w14:paraId="453C8F4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6、支持按照可预设的维度定义打印格式，提供打印格式维护、格式选择、打印参数设置、打印服务等功能。</w:t>
      </w:r>
    </w:p>
    <w:p w14:paraId="2C161A8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7、支持按照可预设的维度配置单据的流转规则，提供单据生单、拉单流程的配置功能，提供单据流转条件、数据转换等规则的定义。</w:t>
      </w:r>
    </w:p>
    <w:p w14:paraId="4868FCA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8、支持按照可预设的维度配置审计日志的规则，支持配置审计日志的内容、业务操作等信息。</w:t>
      </w:r>
    </w:p>
    <w:p w14:paraId="3B167D2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9、提供标准模型（实体及表单）模型扩展能力，能够依据组织单位、业务类型等多维度对标准模型进行继承式定制扩展，标准模型的变更能够自动更新到扩展模型并自动生效，并且扩展模型的定制不会被覆盖。</w:t>
      </w:r>
    </w:p>
    <w:p w14:paraId="3A4B1DD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云开发框架</w:t>
      </w:r>
    </w:p>
    <w:p w14:paraId="00FDB25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业内主流开源、微服务、云原生开发框架，结合云平台业务需求，打造一个通用的Web开发框架-CAF（CloudApplicationFramework）云应用开发框架，有效满足云平台应用开发的“一站式”开发，作为云原生应用开发的基础，提升云平台的原生云应用开发规范性以及可重用性、可扩展性及通用性。</w:t>
      </w:r>
    </w:p>
    <w:p w14:paraId="105D793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70C3E2E4">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4" w:name="_Toc7589"/>
      <w:r>
        <w:rPr>
          <w:rFonts w:hint="eastAsia" w:ascii="Times New Roman" w:hAnsi="Times New Roman" w:eastAsia="宋体" w:cs="Times New Roman"/>
          <w:color w:val="auto"/>
          <w:kern w:val="0"/>
          <w:sz w:val="24"/>
          <w:highlight w:val="none"/>
          <w:lang w:eastAsia="zh-CN"/>
        </w:rPr>
        <w:t>1、后端开发框架</w:t>
      </w:r>
      <w:bookmarkEnd w:id="584"/>
    </w:p>
    <w:p w14:paraId="59EA61E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基于Springboot架构和标准的J2EE规范，采用组件化和平台化的编程思想，提供了一系列通用的组件级API，包括配置、服务管理、数据访问、事务处理、日志、异常处理、上下文、事件处理、国际化，可以供平台和业务开发人员直接进行调用，从而提高业务开发效率和软件复用度。</w:t>
      </w:r>
    </w:p>
    <w:p w14:paraId="3CCC4B0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（2）提供完整的微服务开发及治理框架，如配置管理、RPC框架、服务发现、断路器、分布式会话、分布式锁等。</w:t>
      </w:r>
    </w:p>
    <w:p w14:paraId="58002A0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（3）提供多租户管理功能，提供多租户请求路由及数据源动态切换能力，运行时自动实现租户数据隔离，开发人员无需过多关注，降低开发复杂度。</w:t>
      </w:r>
    </w:p>
    <w:p w14:paraId="66ED629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（4）提供一系列可复用、可插拔的组件，避免开发者的重复工作，让开发更多关注具体业务，降低技术门槛、减少研发成本、提升开发效率，协助开发者快速搭建稳定高质量的信息化应用。</w:t>
      </w:r>
    </w:p>
    <w:p w14:paraId="72CDF03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（5）提供微服务间通信和一致性控制的开发框架，支持同步和异步通信模式，支持TCC（Try-Confirm-Cancel）事务处理模式，支持事件总线模式的调用及补偿框架，内置提供自动补偿机制。</w:t>
      </w:r>
    </w:p>
    <w:p w14:paraId="0DFC929D">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5" w:name="_Toc22042"/>
      <w:r>
        <w:rPr>
          <w:rFonts w:hint="eastAsia" w:ascii="Times New Roman" w:hAnsi="Times New Roman" w:eastAsia="宋体" w:cs="Times New Roman"/>
          <w:color w:val="auto"/>
          <w:kern w:val="0"/>
          <w:sz w:val="24"/>
          <w:highlight w:val="none"/>
          <w:lang w:eastAsia="zh-CN"/>
        </w:rPr>
        <w:t>2、前端开发框架</w:t>
      </w:r>
      <w:bookmarkEnd w:id="585"/>
    </w:p>
    <w:p w14:paraId="153BA3E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（1）使用Angular框架，基于最新ModernWeb理念，采用领域驱动方法设计的响应式编程框架，采用MVVM、前后端分离模式，支持开发高性能的前端应用。</w:t>
      </w:r>
    </w:p>
    <w:p w14:paraId="6AC9993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（2）提供成熟可以复用的组件库，包括输入类、布局类、数据展示类等，支持开发各类前端页面，提供企业级应用开发领域的最佳实践，以便于开发高质量的程序，从而保证产品质量。</w:t>
      </w:r>
    </w:p>
    <w:p w14:paraId="5E10C5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（3）提供响应式编程工具，使开发者专注数据处理，在数据流转中提供扩展能力，并将数据变化准确高性能地更新至界面。</w:t>
      </w:r>
    </w:p>
    <w:p w14:paraId="00BC297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（4）提供视图模型，支持基于绑定展现数据，通过绑定事件实现界面交互。</w:t>
      </w:r>
    </w:p>
    <w:p w14:paraId="0AFE4BC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（5）提供前端状态关联组件，统一管理界面状态，通过状态机动作实现界面状态迁移，控制界面UI元素显示隐藏，控制输入控件编辑与只读状态。</w:t>
      </w:r>
    </w:p>
    <w:p w14:paraId="214DF5E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（6）提供前端工程化工具，可按应用粒度独立开发、独立部署前端应用，支持按模块独立上线部署前端应用。</w:t>
      </w:r>
    </w:p>
    <w:p w14:paraId="61698457">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6" w:name="_Toc16112"/>
      <w:r>
        <w:rPr>
          <w:rFonts w:hint="eastAsia" w:ascii="Times New Roman" w:hAnsi="Times New Roman" w:eastAsia="宋体" w:cs="Times New Roman"/>
          <w:color w:val="auto"/>
          <w:kern w:val="0"/>
          <w:sz w:val="24"/>
          <w:highlight w:val="none"/>
          <w:lang w:eastAsia="zh-CN"/>
        </w:rPr>
        <w:t>3、云应用基础框架服务</w:t>
      </w:r>
      <w:bookmarkEnd w:id="586"/>
    </w:p>
    <w:p w14:paraId="67EF3D82">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7" w:name="_Toc15037"/>
      <w:r>
        <w:rPr>
          <w:rFonts w:hint="eastAsia" w:ascii="Times New Roman" w:hAnsi="Times New Roman" w:eastAsia="宋体" w:cs="Times New Roman"/>
          <w:color w:val="auto"/>
          <w:kern w:val="0"/>
          <w:sz w:val="24"/>
          <w:highlight w:val="none"/>
          <w:lang w:eastAsia="zh-CN"/>
        </w:rPr>
        <w:t>（1）统一通信框架</w:t>
      </w:r>
      <w:bookmarkEnd w:id="587"/>
    </w:p>
    <w:p w14:paraId="02DCE88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提供统一的通信框架，实现客户端和服务器之间的底层通信，对上层调用透明。通信框架，作为承载服务端的Host，功能类似IIS，其封装了客户端和服务器之间底层通信方式，对上层调用透明。</w:t>
      </w:r>
    </w:p>
    <w:p w14:paraId="6B2F6DA5">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8" w:name="_Toc7584"/>
      <w:r>
        <w:rPr>
          <w:rFonts w:hint="eastAsia" w:ascii="Times New Roman" w:hAnsi="Times New Roman" w:eastAsia="宋体" w:cs="Times New Roman"/>
          <w:color w:val="auto"/>
          <w:kern w:val="0"/>
          <w:sz w:val="24"/>
          <w:highlight w:val="none"/>
          <w:lang w:eastAsia="zh-CN"/>
        </w:rPr>
        <w:t>（2）会话管理组件</w:t>
      </w:r>
      <w:bookmarkEnd w:id="588"/>
    </w:p>
    <w:p w14:paraId="49B72FE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会话管理组件，框架提供ISessionPublicService接口用于实现对Session进行增删改查操作，可以通过ioc容器获取接口对应的实现。会话组件默认内置了保留字，保留字范围内的变量在登录时统一创建，不允许修改。会话组件提供关键节点的事件扩展机制，如需进行事件扩展时需要继承并实现接口ISessionEventListener即可。</w:t>
      </w:r>
    </w:p>
    <w:p w14:paraId="26418113">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89" w:name="_Toc18055"/>
      <w:r>
        <w:rPr>
          <w:rFonts w:hint="eastAsia" w:ascii="Times New Roman" w:hAnsi="Times New Roman" w:eastAsia="宋体" w:cs="Times New Roman"/>
          <w:color w:val="auto"/>
          <w:kern w:val="0"/>
          <w:sz w:val="24"/>
          <w:highlight w:val="none"/>
          <w:lang w:eastAsia="zh-CN"/>
        </w:rPr>
        <w:t>（3）实体框架</w:t>
      </w:r>
      <w:bookmarkEnd w:id="589"/>
    </w:p>
    <w:p w14:paraId="34BB988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面向领域模型的实体框架，将应用程序的服务端业务开发分三层：服务层，仓储层、模型配置层。实体框架功能全面，能够满足Saas软件要求的特性，比如支持多租户、国际化特性；实体框架性能优秀，速度快，与Ado.Net开启事务(业务开发使用场景)操作处于同一量级，内存占用小。</w:t>
      </w:r>
    </w:p>
    <w:p w14:paraId="42EB044A">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0" w:name="_Toc6608"/>
      <w:r>
        <w:rPr>
          <w:rFonts w:hint="eastAsia" w:ascii="Times New Roman" w:hAnsi="Times New Roman" w:eastAsia="宋体" w:cs="Times New Roman"/>
          <w:color w:val="auto"/>
          <w:kern w:val="0"/>
          <w:sz w:val="24"/>
          <w:highlight w:val="none"/>
          <w:lang w:eastAsia="zh-CN"/>
        </w:rPr>
        <w:t>（4）异常处理框架</w:t>
      </w:r>
      <w:bookmarkEnd w:id="590"/>
    </w:p>
    <w:p w14:paraId="5D29528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完整的异常框架、封装了异常的公共处理策略，并制定了一组规范，可提高异常处理的开发效率，使异常处理的代码一致、规范，并支持异常处理的灵活扩展。封装异常处理代码，将异常处理逻辑（引发、记录和报告）从应用程序的业务逻辑中抽取出来；定义了统一的异常基类GSPException，提供了异常编号字段，并提供异常远程传递（一般是跨进程）的序列化和构造处理；内置了异常公共的处理策略，支持异常处理策略的可配置、可扩展。</w:t>
      </w:r>
    </w:p>
    <w:p w14:paraId="73546FC3">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1" w:name="_Toc11755"/>
      <w:r>
        <w:rPr>
          <w:rFonts w:hint="eastAsia" w:ascii="Times New Roman" w:hAnsi="Times New Roman" w:eastAsia="宋体" w:cs="Times New Roman"/>
          <w:color w:val="auto"/>
          <w:kern w:val="0"/>
          <w:sz w:val="24"/>
          <w:highlight w:val="none"/>
          <w:lang w:eastAsia="zh-CN"/>
        </w:rPr>
        <w:t>（5）分布式缓存框架</w:t>
      </w:r>
      <w:bookmarkEnd w:id="591"/>
    </w:p>
    <w:p w14:paraId="4A8C53F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缓存组件，提供高性能的数据访问。缓存就是在内存中存储的数据备份，当数据没有发生本质变化的时候，应避免数据的查询操作直接连接数据库，而应去缓存中读取数据，以降低数据库的读写次数，且从内存中读数据的速度比从数据库查询快。</w:t>
      </w:r>
    </w:p>
    <w:p w14:paraId="3681A88B">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2" w:name="_Toc8161"/>
      <w:r>
        <w:rPr>
          <w:rFonts w:hint="eastAsia" w:ascii="Times New Roman" w:hAnsi="Times New Roman" w:eastAsia="宋体" w:cs="Times New Roman"/>
          <w:color w:val="auto"/>
          <w:kern w:val="0"/>
          <w:sz w:val="24"/>
          <w:highlight w:val="none"/>
          <w:lang w:eastAsia="zh-CN"/>
        </w:rPr>
        <w:t>（6）SU管理</w:t>
      </w:r>
      <w:bookmarkEnd w:id="592"/>
    </w:p>
    <w:p w14:paraId="67B063A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SU管理，SU（ServiceUnit）服务单元是平台部署的最小粒度单位，服务单元内部包含该模块或者功能的所有信息（包含其程序集、配置、元数据等等），平台在设计上采用了模块化的思想，通过服务单元来实现微服务的灵活的组合和拆分。</w:t>
      </w:r>
    </w:p>
    <w:p w14:paraId="79F76621">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3" w:name="_Toc30364"/>
      <w:r>
        <w:rPr>
          <w:rFonts w:hint="eastAsia" w:ascii="Times New Roman" w:hAnsi="Times New Roman" w:eastAsia="宋体" w:cs="Times New Roman"/>
          <w:color w:val="auto"/>
          <w:kern w:val="0"/>
          <w:sz w:val="24"/>
          <w:highlight w:val="none"/>
          <w:lang w:eastAsia="zh-CN"/>
        </w:rPr>
        <w:t>（7）多租户基础框架</w:t>
      </w:r>
      <w:bookmarkEnd w:id="593"/>
    </w:p>
    <w:p w14:paraId="7EEC48D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提供多租户基础框架，确保各租户间数据的隔离性。考虑云平台应用具有数据规模普遍较大、业务开发的复杂度、运维复杂度高等特点，采用Schema隔离或库级隔离模式。</w:t>
      </w:r>
    </w:p>
    <w:p w14:paraId="1EF17E15">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DevOps</w:t>
      </w:r>
    </w:p>
    <w:p w14:paraId="3D06199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已使用DevOps开发，DevOps平台提供开发运维一体化现代研发模式，打破开发、测试、运维部门之间的隔阂，支持涵盖应用的开发、编译、构建、测试、打包、灰度发布、快速试错、迭代的自动化流程，并提供覆盖软件生命周期的开发、构造、发布、配置、维护等各阶段的管理工具和DevOps工具链，支撑信息化建设力量，进行专业化开发运维团队建设，实现需求快速响应、软件快速部署、应用持续集成、产品快速交付。</w:t>
      </w:r>
    </w:p>
    <w:p w14:paraId="4D5BD8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32FE23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1、多视角（用户、团队、仓库等）跟踪分析功能，包括操作历史、动态跟踪、行为分析等。</w:t>
      </w:r>
    </w:p>
    <w:p w14:paraId="3C8FF9E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2、支持团队协作的源代码管理功能及能力，与低代码平台完全融合。</w:t>
      </w:r>
    </w:p>
    <w:p w14:paraId="022E75F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3、基于git的源码管理中心，实现统一的源代码版本管理和质量控制。</w:t>
      </w:r>
    </w:p>
    <w:p w14:paraId="45F94A7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4、支持低代码开发内容版本管理，支持低代码制品管理，包括版本管理。</w:t>
      </w:r>
    </w:p>
    <w:p w14:paraId="23EAC40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5、具备与低代码平台深度融合的能力，提供低代码开发内容的检验、打包、部署等能力。</w:t>
      </w:r>
    </w:p>
    <w:p w14:paraId="08CE1CE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6、覆盖代码提交到生产部署的提交-测试（第一轮）-构建—测试（第二轮）-部署的规范化流程管理，实现应用的持续集成。</w:t>
      </w:r>
    </w:p>
    <w:p w14:paraId="39D3C6B2">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4" w:name="_Toc3727"/>
      <w:r>
        <w:rPr>
          <w:rFonts w:hint="eastAsia" w:ascii="Times New Roman" w:hAnsi="Times New Roman" w:eastAsia="宋体" w:cs="Times New Roman"/>
          <w:color w:val="auto"/>
          <w:kern w:val="0"/>
          <w:sz w:val="24"/>
          <w:highlight w:val="none"/>
          <w:lang w:eastAsia="zh-CN"/>
        </w:rPr>
        <w:t>7、提供私有镜像仓库管理功能，保证企业自研应用镜像的安全性。</w:t>
      </w:r>
      <w:bookmarkEnd w:id="594"/>
    </w:p>
    <w:p w14:paraId="58DAC88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8、提供多架构镜像托管能力，支持Linux、Windows、ARM等多架构容器镜像。</w:t>
      </w:r>
    </w:p>
    <w:p w14:paraId="7BB3DA4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9、提供开发、生产场景的镜像仓库分离管理能力，对生产镜像仓库提供版本控制保护，防止发版制品被篡改，保证生产镜像仓库的稳定性。</w:t>
      </w:r>
    </w:p>
    <w:p w14:paraId="3B24770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10、提供统一、完整的制品管理仓库，支持Maven、Helm、npm包等常见制品库类型，确保制品库可以跟源代码协同进行版本化控制。</w:t>
      </w:r>
    </w:p>
    <w:p w14:paraId="50B957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11、支持与持续集成、持续部署流程结合。持续集成的交付物提交到制品仓库后，可以基于持续部署流程进行新版本交付物的持续部署。</w:t>
      </w:r>
    </w:p>
    <w:p w14:paraId="55501EA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12、提供缺陷管理与跟踪功能，支持缺陷从新建到关闭的全生命周期管理。</w:t>
      </w:r>
    </w:p>
    <w:p w14:paraId="2D29883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微服务</w:t>
      </w:r>
    </w:p>
    <w:p w14:paraId="2EE4815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基于开发平台提供内置服务隔离机制，业务应用可灵活地配置物理部署的粒度。并且系统的分布式部署粒度对应用开发和应用间的集成通信透明，并能够基于部署粒度自动适配本地和远程调用。</w:t>
      </w:r>
    </w:p>
    <w:p w14:paraId="0A0EB1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78674F1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1、提供微服务可视化建模框架，基于开发、运维一体化的方法理念提供覆盖软件全生命周期的管理工具，支持公有云、私有云、混合云的多云部署模式。</w:t>
      </w:r>
    </w:p>
    <w:p w14:paraId="0B1BD7A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2、支持弹性伸缩架构，基于业内通用的Kubernetes作为计算资源管理标准，统一对IaaS资源按需求进行动态配给。实现了计算资源的动态、弹性调度。</w:t>
      </w:r>
    </w:p>
    <w:p w14:paraId="4966118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支持非侵入式微服务治理架构，采用先进的服务网格技术，不需要在代码中绑定具体微服务框架，不修改代码即可持续升级微服务平台的提供商和版本，易升级，该架构不受语言的限制，并支持微服务的开发及发布、管理，能够发布标准的RESTful风格服务，基于OpenAPI3.0标准。</w:t>
      </w:r>
    </w:p>
    <w:p w14:paraId="2513A88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提供内置服务隔离机制，提供微服务逻辑单元定义和开发框架支撑。微服务逻辑单元符合微服务设计和划分原则，基于微服务逻辑单元，业务应用可灵活地配置物理部署的粒度，例如可支持集中单体部署以及最小颗粒度的弹性部署形式。并且系统的分布式部署粒度对应用开发和应用间的集成通信透明，并能够基于部署粒度自动适配本地和远程调用。</w:t>
      </w:r>
    </w:p>
    <w:p w14:paraId="5EBA956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5、提供统一RPC通信框架，支持本地调用和RPC调用的自动适配（微服务集中部署时为本地调用，微服务分离部署的时候为RPC调用），提高微服务间的通信效率。</w:t>
      </w:r>
    </w:p>
    <w:p w14:paraId="0720C60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6、提供微服务间数据实时同步框架，实现数据的读写及微服务单元之间的数据实时同步。</w:t>
      </w:r>
    </w:p>
    <w:p w14:paraId="1891461D">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7、要求提供微服务间通信和一致性控制的开发框架，支持同步和异步通信模式，支持TCC（Try-Confirm-Cancel）事务处理模式，支持事件总线模式的调用及补偿框架，内置提供自动补偿机制。</w:t>
      </w:r>
    </w:p>
    <w:p w14:paraId="3E5ECEC6">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业务流程</w:t>
      </w:r>
    </w:p>
    <w:p w14:paraId="0555CDC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BPMN2.0技术规范，采用以业务流程为中心的设计方法，构建业务流程的设计、开发、运行的基本机制和工具，同时支持审批流、工作流、业务流等三种主流流程应用模式，可支撑端到端的流程自动化，实现业务流程的跨职能、广泛灵活的业务协同和整合。</w:t>
      </w:r>
      <w:bookmarkStart w:id="595" w:name="_Toc118270580"/>
    </w:p>
    <w:p w14:paraId="3E50E538">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支持以下功能特性：</w:t>
      </w:r>
    </w:p>
    <w:p w14:paraId="597FD765">
      <w:pPr>
        <w:widowControl/>
        <w:spacing w:line="360" w:lineRule="auto"/>
        <w:ind w:firstLine="480" w:firstLineChars="200"/>
        <w:rPr>
          <w:rFonts w:ascii="Times New Roman" w:hAnsi="Times New Roman" w:eastAsia="宋体" w:cs="Times New Roman"/>
          <w:color w:val="auto"/>
          <w:kern w:val="0"/>
          <w:sz w:val="24"/>
          <w:highlight w:val="none"/>
          <w:lang w:eastAsia="en-US"/>
        </w:rPr>
      </w:pPr>
      <w:bookmarkStart w:id="596" w:name="_Toc26867"/>
      <w:r>
        <w:rPr>
          <w:rFonts w:hint="eastAsia" w:ascii="Times New Roman" w:hAnsi="Times New Roman" w:eastAsia="宋体" w:cs="Times New Roman"/>
          <w:color w:val="auto"/>
          <w:kern w:val="0"/>
          <w:sz w:val="24"/>
          <w:highlight w:val="none"/>
          <w:lang w:eastAsia="en-US"/>
        </w:rPr>
        <w:t>1、流程建模</w:t>
      </w:r>
      <w:bookmarkEnd w:id="595"/>
      <w:bookmarkEnd w:id="596"/>
    </w:p>
    <w:p w14:paraId="670B475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图形化的设计工具，符合国际通用的BPMN2.0规范；提供丰富的流程活动类型，支持人工操作、审批、知会、信号捕获、服务活动、子流程活动、消息通知等常用活动类型，并提供简洁方式支持项目按需封装自定义业务活动，可视化规则设计器，支持条目化的简单规则设置，并提供高级规则设计器进行复杂规则设置，为分支路由提供自定义的配置。</w:t>
      </w:r>
    </w:p>
    <w:p w14:paraId="472347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灵活的通知策略，支持流程、任务执行过程中、节点流转、任务结束等事件发生时通知相关人；提供节点的通知与超时提醒机制，支持包括内部消息、短信、移动应用、邮件等多种形式的消息，支持项目扩展自定义的消息方式。</w:t>
      </w:r>
    </w:p>
    <w:p w14:paraId="194A685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（3）提供流程版本与数据的隔离机制，支持多版本多实例共存，支持流程版本回溯，支持修改指定的历史版本并即时生效。</w:t>
      </w:r>
    </w:p>
    <w:p w14:paraId="0B15358F">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7" w:name="_Toc118270581"/>
      <w:bookmarkStart w:id="598" w:name="_Toc13111"/>
      <w:r>
        <w:rPr>
          <w:rFonts w:hint="eastAsia" w:ascii="Times New Roman" w:hAnsi="Times New Roman" w:eastAsia="宋体" w:cs="Times New Roman"/>
          <w:color w:val="auto"/>
          <w:kern w:val="0"/>
          <w:sz w:val="24"/>
          <w:highlight w:val="none"/>
          <w:lang w:eastAsia="zh-CN"/>
        </w:rPr>
        <w:t>2、流程监控</w:t>
      </w:r>
      <w:bookmarkEnd w:id="597"/>
      <w:bookmarkEnd w:id="598"/>
    </w:p>
    <w:p w14:paraId="34AE66A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通过提供流程管理员视角的查询功能，全程监控流程的运行状况，并提供特殊业务需求情况下临时干预流程的能力。</w:t>
      </w:r>
    </w:p>
    <w:p w14:paraId="6D0A9E92">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599" w:name="_Toc4703"/>
      <w:bookmarkStart w:id="600" w:name="_Toc118270582"/>
      <w:r>
        <w:rPr>
          <w:rFonts w:hint="eastAsia" w:ascii="Times New Roman" w:hAnsi="Times New Roman" w:eastAsia="宋体" w:cs="Times New Roman"/>
          <w:color w:val="auto"/>
          <w:kern w:val="0"/>
          <w:sz w:val="24"/>
          <w:highlight w:val="none"/>
          <w:lang w:eastAsia="zh-CN"/>
        </w:rPr>
        <w:t>3、流程分析</w:t>
      </w:r>
      <w:bookmarkEnd w:id="599"/>
      <w:bookmarkEnd w:id="600"/>
    </w:p>
    <w:p w14:paraId="2372BC6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通过从“流程数量、时间”等方面分析流程运行情况，实现对流程的运行情况进行绩效分析，为流程建模设计及运行维护提供决策优化的依据。</w:t>
      </w:r>
    </w:p>
    <w:p w14:paraId="5E81341A">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01" w:name="_Toc2171"/>
      <w:r>
        <w:rPr>
          <w:rFonts w:hint="eastAsia" w:ascii="Times New Roman" w:hAnsi="Times New Roman" w:eastAsia="宋体" w:cs="Times New Roman"/>
          <w:color w:val="auto"/>
          <w:kern w:val="0"/>
          <w:sz w:val="24"/>
          <w:highlight w:val="none"/>
          <w:lang w:eastAsia="zh-CN"/>
        </w:rPr>
        <w:t>4、任务中心</w:t>
      </w:r>
      <w:bookmarkEnd w:id="601"/>
    </w:p>
    <w:p w14:paraId="667F97E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任务中心，提供集中化的流程发起、任务办理、草稿箱功能。支持第三方系统任务集中办理。将分散在不同系统模块中的任务待办信息，根据用户的身份和权限，集中地推送到各用户任务中心的待办列表中，避免多模块切换和登录耗费时间，提升业务的处理效率。</w:t>
      </w:r>
    </w:p>
    <w:p w14:paraId="47937608">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移动中台</w:t>
      </w:r>
    </w:p>
    <w:p w14:paraId="1890EA9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移动中台提供了移动应用App、移动应用后台管理以及移动应用开发工具等移动能力。移动应用APP提供了即时通信、位置信息、条码扫描、拍照、文件、移动审批等移动通信、办公能力，移动应用开发工具可以快速构建移动端H5界面并直接发布到APP中。移动应用后台管理供设备从注册、审批、使用、淘汰各个环节完整的管理功能以及应用发布、版本管理、应用授权、分组推荐等应用管理功能。</w:t>
      </w:r>
    </w:p>
    <w:p w14:paraId="3A54DFA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1EEA910A">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02" w:name="_Toc30001"/>
      <w:bookmarkStart w:id="603" w:name="_Toc98254030"/>
      <w:r>
        <w:rPr>
          <w:rFonts w:hint="eastAsia" w:ascii="Times New Roman" w:hAnsi="Times New Roman" w:eastAsia="宋体" w:cs="Times New Roman"/>
          <w:color w:val="auto"/>
          <w:kern w:val="0"/>
          <w:sz w:val="24"/>
          <w:highlight w:val="none"/>
          <w:lang w:eastAsia="zh-CN"/>
        </w:rPr>
        <w:t>1、移动运行框架</w:t>
      </w:r>
      <w:bookmarkEnd w:id="602"/>
      <w:bookmarkEnd w:id="603"/>
    </w:p>
    <w:p w14:paraId="454D34A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提供统一的电话、通讯录、位置信息、条码扫描、拍照、文件等设备功能接口，解决了移动设备多操作系统、多版本接口不统一的问题，为企业移动应用一次开发，多终端运行提供底层支撑。</w:t>
      </w:r>
    </w:p>
    <w:p w14:paraId="02A4D435">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04" w:name="_Toc98254031"/>
      <w:bookmarkStart w:id="605" w:name="_Toc20008"/>
      <w:r>
        <w:rPr>
          <w:rFonts w:hint="eastAsia" w:ascii="Times New Roman" w:hAnsi="Times New Roman" w:eastAsia="宋体" w:cs="Times New Roman"/>
          <w:color w:val="auto"/>
          <w:kern w:val="0"/>
          <w:sz w:val="24"/>
          <w:highlight w:val="none"/>
          <w:lang w:eastAsia="zh-CN"/>
        </w:rPr>
        <w:t>2、移动设备管理</w:t>
      </w:r>
      <w:bookmarkEnd w:id="604"/>
      <w:bookmarkEnd w:id="605"/>
    </w:p>
    <w:p w14:paraId="1331D8A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提供设备生命周期管理、安全策略、数据备份恢复、行为分析等功能，企业通过设备管理功能对员工设备访问企业业务系统和数据进行管控，解决了自带设备(BYOD)给企业信息化建设带来的安全问题。</w:t>
      </w:r>
    </w:p>
    <w:p w14:paraId="5DAE1024">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06" w:name="_Toc30275"/>
      <w:bookmarkStart w:id="607" w:name="_Toc98254032"/>
      <w:r>
        <w:rPr>
          <w:rFonts w:hint="eastAsia" w:ascii="Times New Roman" w:hAnsi="Times New Roman" w:eastAsia="宋体" w:cs="Times New Roman"/>
          <w:color w:val="auto"/>
          <w:kern w:val="0"/>
          <w:sz w:val="24"/>
          <w:highlight w:val="none"/>
          <w:lang w:eastAsia="zh-CN"/>
        </w:rPr>
        <w:t>3、设备生命周期管理</w:t>
      </w:r>
      <w:bookmarkEnd w:id="606"/>
      <w:bookmarkEnd w:id="607"/>
    </w:p>
    <w:p w14:paraId="54FAC08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设备从注册、审批、使用、淘汰各个环节完整的管理功能，通过管理员提前预制或企业员工主动注册、管理员审批等方式，将员工账号和移动设备进行绑定，员工账号只有通过指定的设备才能访问企业移动互联网络；设备丢失或员工离职时，对该设备进行注销和企业数据擦除处理，提高了企业移动应用的安全性。</w:t>
      </w:r>
    </w:p>
    <w:p w14:paraId="5DFC5C2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（2）提供安全策略配置功能，包括账号可绑定设备数量，设备注册信息输入，设备审批流程，设备黑白名单等；通过对不同的组织和个人设置不同的安全策略，方便企业对设备进行灵活方便的管理。</w:t>
      </w:r>
    </w:p>
    <w:p w14:paraId="1A667AB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（3）提供数据备份和恢复功能，自动备份用户的通讯录、日历、邮件等重要数据到企业备份服务器，移动设备丢失或更换时，这些数据可从备份服务器恢复到新的设备上。</w:t>
      </w:r>
    </w:p>
    <w:p w14:paraId="7D8983A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（4）提供移动设备层面的分析功能，按照设备数量、操作系统类型、设备型号、使用时长、频率等生成统计报表，为企业移动研发、运维提供数据支持。</w:t>
      </w:r>
    </w:p>
    <w:p w14:paraId="57627974">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08" w:name="_Toc9122"/>
      <w:bookmarkStart w:id="609" w:name="_Toc98254033"/>
      <w:r>
        <w:rPr>
          <w:rFonts w:hint="eastAsia" w:ascii="Times New Roman" w:hAnsi="Times New Roman" w:eastAsia="宋体" w:cs="Times New Roman"/>
          <w:color w:val="auto"/>
          <w:kern w:val="0"/>
          <w:sz w:val="24"/>
          <w:highlight w:val="none"/>
          <w:lang w:eastAsia="zh-CN"/>
        </w:rPr>
        <w:t>4、移动应用管理</w:t>
      </w:r>
      <w:bookmarkEnd w:id="608"/>
      <w:bookmarkEnd w:id="609"/>
    </w:p>
    <w:p w14:paraId="27CA9C2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（1）提供设备从注册、审批、使用、淘汰各个环节完整的管理功能，提供应用发布、版本管理、应用授权、分组推荐等应用管理功能，帮助企业快速建立企业内部应用市场，提升企业移动应用的整体管理效率。</w:t>
      </w:r>
    </w:p>
    <w:p w14:paraId="795020A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（2）版本管理提供应用新版本递增发布功能，通过提示、强制、灰度等方式，提示用户对应用进行升级；可查看版本发布历史，版本发布原因等。</w:t>
      </w:r>
    </w:p>
    <w:p w14:paraId="61BF583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（3）提供应用权限控制，根据不同岗位用户权限，制定不同的应用访问策略；为了方便管理，按角色的方式进行管理和授权功能。</w:t>
      </w:r>
    </w:p>
    <w:p w14:paraId="50C3802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（5）根据应用的使用频率、使用时长等数据，分析用户使用习惯，提供常用应用和应用推荐功能，提升用户使用体验。</w:t>
      </w:r>
    </w:p>
    <w:p w14:paraId="6218F0FF">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0" w:name="_Toc98254035"/>
      <w:bookmarkStart w:id="611" w:name="_Toc11874"/>
      <w:r>
        <w:rPr>
          <w:rFonts w:hint="eastAsia" w:ascii="Times New Roman" w:hAnsi="Times New Roman" w:eastAsia="宋体" w:cs="Times New Roman"/>
          <w:color w:val="auto"/>
          <w:kern w:val="0"/>
          <w:sz w:val="24"/>
          <w:highlight w:val="none"/>
          <w:lang w:eastAsia="zh-CN"/>
        </w:rPr>
        <w:t>5、移动公共服务</w:t>
      </w:r>
      <w:bookmarkEnd w:id="610"/>
      <w:bookmarkEnd w:id="611"/>
    </w:p>
    <w:p w14:paraId="377D4E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提供对身份、权限、预警、推送、日志等公共功能的封装，将这些功能以服务的形式对外提供，为移动应用运行平台自身和企业其他移动应用提供基础公共服务。</w:t>
      </w:r>
    </w:p>
    <w:p w14:paraId="5CFFED63">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2" w:name="_Toc98254037"/>
      <w:bookmarkStart w:id="613" w:name="_Toc2484"/>
      <w:r>
        <w:rPr>
          <w:rFonts w:hint="eastAsia" w:ascii="Times New Roman" w:hAnsi="Times New Roman" w:eastAsia="宋体" w:cs="Times New Roman"/>
          <w:color w:val="auto"/>
          <w:kern w:val="0"/>
          <w:sz w:val="24"/>
          <w:highlight w:val="none"/>
          <w:lang w:eastAsia="zh-CN"/>
        </w:rPr>
        <w:t>6、移动App身份认证</w:t>
      </w:r>
      <w:bookmarkEnd w:id="612"/>
      <w:bookmarkEnd w:id="613"/>
    </w:p>
    <w:p w14:paraId="6C5230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（1）提供用户名+密码的身份认证方式，用户名可以是用户账号，也可以是用户邮箱或者手机号；同时支持使用短信验证码或邮箱验证码进行登录验证。</w:t>
      </w:r>
    </w:p>
    <w:p w14:paraId="3A7F0EC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（2）提供手势图案、密码、指纹、FaceID等二次辅助验证功能，当移动APP从后台、待机、锁屏等状态重新激活时要进行二次身份验证。</w:t>
      </w:r>
    </w:p>
    <w:p w14:paraId="380B539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提供终端设备绑定功能，员工在终端设备上使用移动APP时，需要将账号和终端设备进行绑定，员工只能在绑定的设备上使用移动APP，可以在服务端配置一个用户最多可绑定的设备数量；提供解绑功能，允许员工将设备接触绑定。</w:t>
      </w:r>
    </w:p>
    <w:p w14:paraId="13FB395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（4）提供账号登录控制功能，同一时间，只允许账号在一个设备上进行登录。</w:t>
      </w:r>
    </w:p>
    <w:p w14:paraId="4A88742F">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4" w:name="_Toc98254038"/>
      <w:bookmarkStart w:id="615" w:name="_Toc10361"/>
      <w:r>
        <w:rPr>
          <w:rFonts w:hint="eastAsia" w:ascii="Times New Roman" w:hAnsi="Times New Roman" w:eastAsia="宋体" w:cs="Times New Roman"/>
          <w:color w:val="auto"/>
          <w:kern w:val="0"/>
          <w:sz w:val="24"/>
          <w:highlight w:val="none"/>
          <w:lang w:eastAsia="zh-CN"/>
        </w:rPr>
        <w:t>7、消息推送</w:t>
      </w:r>
      <w:bookmarkEnd w:id="614"/>
      <w:bookmarkEnd w:id="615"/>
    </w:p>
    <w:p w14:paraId="60F984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（1）提供消息和通知接口，对于待办数量、任务消息、预警信息等，提供数字角标或者推送手机通知栏消息的方式对用户进行提醒，提高工作效率。</w:t>
      </w:r>
    </w:p>
    <w:p w14:paraId="4F357B8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（2）基于手机的系统通知功能，实现通知栏、锁定等界面的通知提醒功能。</w:t>
      </w:r>
    </w:p>
    <w:p w14:paraId="6DD3F45E">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6" w:name="_Toc4014"/>
      <w:bookmarkStart w:id="617" w:name="_Toc98254039"/>
      <w:r>
        <w:rPr>
          <w:rFonts w:hint="eastAsia" w:ascii="Times New Roman" w:hAnsi="Times New Roman" w:eastAsia="宋体" w:cs="Times New Roman"/>
          <w:color w:val="auto"/>
          <w:kern w:val="0"/>
          <w:sz w:val="24"/>
          <w:highlight w:val="none"/>
          <w:lang w:eastAsia="zh-CN"/>
        </w:rPr>
        <w:t>8、开放平台</w:t>
      </w:r>
      <w:bookmarkEnd w:id="616"/>
      <w:bookmarkEnd w:id="617"/>
    </w:p>
    <w:p w14:paraId="51378FB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（1）提供开放平台、云连接器，可集成第三方系统的轻应用、数据流、消息流、AI、统一入口，构建丰富的应用生态，让数字化工作能力不断提升，一切皆可连接，尽享极致体验。</w:t>
      </w:r>
    </w:p>
    <w:p w14:paraId="4A57F4A7">
      <w:pPr>
        <w:widowControl/>
        <w:spacing w:line="360" w:lineRule="auto"/>
        <w:ind w:firstLine="480" w:firstLineChars="200"/>
        <w:rPr>
          <w:rFonts w:ascii="Calibri" w:hAnsi="Calibri" w:eastAsia="宋体" w:cs="Times New Roman"/>
          <w:b/>
          <w:color w:val="auto"/>
          <w:kern w:val="2"/>
          <w:sz w:val="28"/>
          <w:szCs w:val="24"/>
          <w:highlight w:val="none"/>
          <w:lang w:eastAsia="zh-CN"/>
        </w:rPr>
      </w:pPr>
      <w:r>
        <w:rPr>
          <w:rFonts w:hint="eastAsia" w:ascii="Times New Roman" w:hAnsi="Times New Roman" w:eastAsia="宋体" w:cs="Times New Roman"/>
          <w:color w:val="auto"/>
          <w:kern w:val="0"/>
          <w:sz w:val="24"/>
          <w:highlight w:val="none"/>
          <w:lang w:eastAsia="zh-CN"/>
        </w:rPr>
        <w:t>（2）把组织、用户、身份、消息推送等基础功能，以及地理位置定位、拍照、语音识别、OCR、二维码扫描等能力封装为服务API并免费开放，企业自研应用、第三方应用可以利用这些API开发自己的移动应用，为传统应用赋予移动化、智能化的新技术特性。用户可发布自研、第三方应用，可以自荐应用分类，支持灰度发布、分级授权。</w:t>
      </w:r>
    </w:p>
    <w:p w14:paraId="3DBFA419">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AI大模型平台</w:t>
      </w:r>
    </w:p>
    <w:p w14:paraId="7E83A37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大模型平台基于机器学习、计算机视觉、智能语音等关键技术框架，沉淀和封装AI能力纳管、认知服务、知识图谱、对话平台和算法模型，AI能力纳管提供对训练后AI模型、成熟厂商AI能力引入的统一管理能力，可以封装车牌识别、人脸识等开箱即用的云服务；开放AI能力服务集，支撑智慧安防、安全生产、设备养护、水质检测、供水调度、管道泄漏等智能化场景落地。</w:t>
      </w:r>
    </w:p>
    <w:p w14:paraId="2E62AB5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可为公司各类训练后AI模型、成熟厂商AI能力引入提供了统一管理能力，支持算法引擎、API等多种接入方式，对各种AI能力的基础信息、生命周期、配套引擎、使用申请等内容进行集中管控，同时提供了AI能力简单调用能力，仅需进行简单的能力标准协议适配，即可实现内部AI能力的统一规划调用，通过AI能力纳管平台屏蔽了不同能力提供厂商带来的接口差异，提升能力复用率。</w:t>
      </w:r>
    </w:p>
    <w:p w14:paraId="5AC8C4E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10B3342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1、创建AI能力并制定企业标准AI能力协议，定义能力输入、输出、功能，自主掌控能力定义，统一管理内部能力。</w:t>
      </w:r>
    </w:p>
    <w:p w14:paraId="6EC3C6A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2、提供基于管理员制定的标准协议，各AI厂商通过API方式接入的标准能力。</w:t>
      </w:r>
    </w:p>
    <w:p w14:paraId="110E66E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3、系统根据标准协议配置测试用例，管理员可一键进行能力厂商在测试环境下的能力测试。</w:t>
      </w:r>
    </w:p>
    <w:p w14:paraId="26C15A6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4、完成测试的能力厂商，可根据管理员填写的部署规格，一键部署至现网环境中。</w:t>
      </w:r>
    </w:p>
    <w:p w14:paraId="1FCD270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5、协议抽象：对各种请求协议应提供协议抽象，例如针对请求类型应支持定义非流式、实时、非实时等。针对整个协议格式系统应给出规范，并支持进行对协议进行校验适配工作。</w:t>
      </w:r>
    </w:p>
    <w:p w14:paraId="1E3579B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6、标准模板协议：平台系统应内置标准模板协议，能够对接常规AI能力服务厂商。</w:t>
      </w:r>
    </w:p>
    <w:p w14:paraId="18C96A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7、新建AI能力：填写AI能力基本信息，AI能力描述、能力编码、能力种类、功能描述信息等。</w:t>
      </w:r>
    </w:p>
    <w:p w14:paraId="381E841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标准协议制定：可在系统上构建AI能力的标准协议，AI大模型平台内置一部分成熟AI能力的标准模块，可以根据AI能力的特点进行AI能力标准协议的制定，大致分为接口形式、请求控制参数、请求数据、响应控制参数、响应数据、错误码等。</w:t>
      </w:r>
    </w:p>
    <w:p w14:paraId="62625E7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AR/VR平台</w:t>
      </w:r>
    </w:p>
    <w:p w14:paraId="32A9B82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已将AR/VR技术投入使用，利用远程专家指导功能，支持现场人员通过手机、平板电脑、AR眼镜及其他头戴设备，接受专家远程指导，把真实的物体融合到异地现实环境中，在异地详细地展示操作过程。专家可以远程实时帮助现场人员诊断和解决复杂问题，有效提高维修现场响应的速度和质量。另外，AR/VR技术为企业提供了逼真的安全培训和演练环境，员工可以在虚拟环境中模拟各种紧急情况，增强应急反应能力和安全意识，降低实际培训中的风险和成本。</w:t>
      </w:r>
    </w:p>
    <w:p w14:paraId="7725544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103B742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1、高清音视频通讯：确保远程专家与现场人员之间的音视频交流清晰流畅，不受地理位置限制。通过实时语音和视频，专家可以直观地了解现场情况，并提供准确的指导。</w:t>
      </w:r>
    </w:p>
    <w:p w14:paraId="5831735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2、实时标注与注释：专家可以在远程指导时，直接在现场人员的手机、平板电脑或AR眼镜的视图中添加标注、箭头、文本注释等，明确指出需要注意的地方或操作步骤，提高沟通效率。</w:t>
      </w:r>
    </w:p>
    <w:p w14:paraId="01B30A8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3、文件共享与协作：支持文档、图片、视频等文件的实时共享和协作编辑，使专家能够迅速发送相关图纸、手册、案例等资料给现场人员，辅助其快速解决问题。</w:t>
      </w:r>
    </w:p>
    <w:p w14:paraId="206365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4、数据记录与分析：自动记录远程指导过程中的音视频、标注、注释等数据，用于后续的分析和评估。</w:t>
      </w:r>
    </w:p>
    <w:p w14:paraId="0EAF27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5、多场景模拟：支持不同工作场景和紧急情况的模拟，包括设备故障、安全事故、自然灾害等。</w:t>
      </w:r>
    </w:p>
    <w:p w14:paraId="1946363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6、安全监控与预警：在虚拟培训环境中，系统可以实时监测员工的行为和操作，及时发现潜在的安全隐患。一旦发现异常行为或操作，系统可以立即发出预警，并提示员工采取相应措施，确保培训过程的安全。</w:t>
      </w:r>
    </w:p>
    <w:p w14:paraId="07D6AEF1">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ArcGIS</w:t>
      </w:r>
    </w:p>
    <w:p w14:paraId="4A9141AA">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以地理信息服务方式内部发布供水管网地图，使得现有或待建的系统可以方便、集成地调用地图应用，共享地理空间信息，降低IT建设成本。统一地理信息服务平台将实现各类地理空间信息资源的整合，提供纵向多级、横向多库的地理空间信息数据，通过有效的GIS空间数据引擎，对外提供标准的多类型（WMS、WFS、ECW等）的地理信息服务接口，将地理信息服务方式由数据提供转变为在线服务，实现分建共享、协同服务、联动更新，为各应用系统开发提供统一、规范的地理空间信息服务。</w:t>
      </w:r>
    </w:p>
    <w:p w14:paraId="63C2199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支持以下功能特性：</w:t>
      </w:r>
    </w:p>
    <w:p w14:paraId="297DF129">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8" w:name="_Toc30745"/>
      <w:r>
        <w:rPr>
          <w:rFonts w:hint="eastAsia" w:ascii="Times New Roman" w:hAnsi="Times New Roman" w:eastAsia="宋体" w:cs="Times New Roman"/>
          <w:color w:val="auto"/>
          <w:kern w:val="0"/>
          <w:sz w:val="24"/>
          <w:highlight w:val="none"/>
          <w:lang w:eastAsia="zh-CN"/>
        </w:rPr>
        <w:t>1、信息的输入和转换</w:t>
      </w:r>
      <w:bookmarkEnd w:id="618"/>
    </w:p>
    <w:p w14:paraId="4FE9231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（1）信息的输入包括对空间数据和属性数据这两类数据的输入，其中输入点、线、面这类带有空间位置和几何特性的要素为空间数据输入，而文字、表格和其他非几何数据的输入为属性数据输入。</w:t>
      </w:r>
    </w:p>
    <w:p w14:paraId="673535C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信息的转换包括将常用的其他软件文件转换到GIS中，通过多个软件之间的联动获取比单纯用GIS输入来得更丰富的外界信息，例如将DWG格式文件转换输入到GIS中；除此之外还可以通过ArcToolbox工具集进行的GIS内部的矢量数据和栅格数据之间的转换。</w:t>
      </w:r>
    </w:p>
    <w:p w14:paraId="23796379">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19" w:name="_Toc19258"/>
      <w:r>
        <w:rPr>
          <w:rFonts w:hint="eastAsia" w:ascii="Times New Roman" w:hAnsi="Times New Roman" w:eastAsia="宋体" w:cs="Times New Roman"/>
          <w:color w:val="auto"/>
          <w:kern w:val="0"/>
          <w:sz w:val="24"/>
          <w:highlight w:val="none"/>
          <w:lang w:eastAsia="zh-CN"/>
        </w:rPr>
        <w:t>2、数据的编辑</w:t>
      </w:r>
      <w:bookmarkEnd w:id="619"/>
    </w:p>
    <w:p w14:paraId="3E373EA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对已有的数据进行修改更新以及建立数据之间的联系的过程。主要包括拓扑关系的建立、数据的投影变换、扭曲拉伸、裁剪、拼接和提取、以及坐标校正等。</w:t>
      </w:r>
    </w:p>
    <w:p w14:paraId="6285C2D9">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20" w:name="_Toc24313"/>
      <w:r>
        <w:rPr>
          <w:rFonts w:hint="eastAsia" w:ascii="Times New Roman" w:hAnsi="Times New Roman" w:eastAsia="宋体" w:cs="Times New Roman"/>
          <w:color w:val="auto"/>
          <w:kern w:val="0"/>
          <w:sz w:val="24"/>
          <w:highlight w:val="none"/>
          <w:lang w:eastAsia="zh-CN"/>
        </w:rPr>
        <w:t>3、数据的储存与管理</w:t>
      </w:r>
      <w:bookmarkEnd w:id="620"/>
    </w:p>
    <w:p w14:paraId="39B1B6B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提供空间与属性数据的储存和灵活调用的能力。</w:t>
      </w:r>
    </w:p>
    <w:p w14:paraId="37CAB718">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21" w:name="_Toc13773"/>
      <w:r>
        <w:rPr>
          <w:rFonts w:hint="eastAsia" w:ascii="Times New Roman" w:hAnsi="Times New Roman" w:eastAsia="宋体" w:cs="Times New Roman"/>
          <w:color w:val="auto"/>
          <w:kern w:val="0"/>
          <w:sz w:val="24"/>
          <w:highlight w:val="none"/>
          <w:lang w:eastAsia="zh-CN"/>
        </w:rPr>
        <w:t>4、数据的查询</w:t>
      </w:r>
      <w:bookmarkEnd w:id="621"/>
    </w:p>
    <w:p w14:paraId="66A89FF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数据的查询包括两个方面功能：通过空间位置查属性和通过属性查空间位置。</w:t>
      </w:r>
    </w:p>
    <w:p w14:paraId="15923AD6">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22" w:name="_Toc3789"/>
      <w:r>
        <w:rPr>
          <w:rFonts w:hint="eastAsia" w:ascii="Times New Roman" w:hAnsi="Times New Roman" w:eastAsia="宋体" w:cs="Times New Roman"/>
          <w:color w:val="auto"/>
          <w:kern w:val="0"/>
          <w:sz w:val="24"/>
          <w:highlight w:val="none"/>
          <w:lang w:eastAsia="zh-CN"/>
        </w:rPr>
        <w:t>5、数据的分析</w:t>
      </w:r>
      <w:bookmarkEnd w:id="622"/>
    </w:p>
    <w:p w14:paraId="3ABBEA5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能够通过对基础数据的分析并叠加其影响来量化解决现实生活中与空间相关的实际问题，其中包括栅格、矢量数据分析，三维分析和网络分析。</w:t>
      </w:r>
    </w:p>
    <w:p w14:paraId="3AAB81B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（1）栅格数据分析：包括生成高程栅格、坡度栅格（可以通过高程栅格转换）、距离栅格、密度栅格，重分类、栅格计算等具体功能。</w:t>
      </w:r>
    </w:p>
    <w:p w14:paraId="58BFDEA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（2）矢量数据分析：包括基于空间位置的查询、缓冲区分析、叠置分析、邻近分析、泰森多边形、空间统计等功能。</w:t>
      </w:r>
    </w:p>
    <w:p w14:paraId="7EF174C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（3）三维分析：包括创建栅格和TIN表面，对于表面积与体积、坡度坡向、可视性分析、表面长度等一系列表面分析，还有Arcscence三维可视化及二维转三维的数据转换等。</w:t>
      </w:r>
    </w:p>
    <w:p w14:paraId="6DBAFC3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（4）网络分析：包括最佳路径、最近设施、服务区、上下行、选址与配置等功能。</w:t>
      </w:r>
    </w:p>
    <w:p w14:paraId="0B382FC9">
      <w:pPr>
        <w:widowControl/>
        <w:spacing w:line="360" w:lineRule="auto"/>
        <w:ind w:firstLine="480" w:firstLineChars="200"/>
        <w:rPr>
          <w:rFonts w:ascii="Times New Roman" w:hAnsi="Times New Roman" w:eastAsia="宋体" w:cs="Times New Roman"/>
          <w:color w:val="auto"/>
          <w:kern w:val="0"/>
          <w:sz w:val="24"/>
          <w:highlight w:val="none"/>
          <w:lang w:eastAsia="zh-CN"/>
        </w:rPr>
      </w:pPr>
      <w:bookmarkStart w:id="623" w:name="_Toc28741"/>
      <w:r>
        <w:rPr>
          <w:rFonts w:hint="eastAsia" w:ascii="Times New Roman" w:hAnsi="Times New Roman" w:eastAsia="宋体" w:cs="Times New Roman"/>
          <w:color w:val="auto"/>
          <w:kern w:val="0"/>
          <w:sz w:val="24"/>
          <w:highlight w:val="none"/>
          <w:lang w:eastAsia="zh-CN"/>
        </w:rPr>
        <w:t>6、成果表达与输出</w:t>
      </w:r>
      <w:bookmarkEnd w:id="623"/>
    </w:p>
    <w:p w14:paraId="3DBCC2E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成果表达和输出是指GIS对前几个步骤所得成果的可视化表达。GIS具有强大的地图输出功能，不仅可以输出全要素地图，也可根据需求输出各种专题图、统计图、表格等。</w:t>
      </w:r>
      <w:bookmarkStart w:id="624" w:name="_Toc8755"/>
    </w:p>
    <w:p w14:paraId="6B7C14F2">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混合集成平台</w:t>
      </w:r>
      <w:bookmarkEnd w:id="624"/>
    </w:p>
    <w:p w14:paraId="451EF374">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提供了一系列业务系统集成所需的基础工具和组件，包含云连接器、云服务总线、服务网关、安全监控、API安全等核心能力，帮助云平台与第三方业务系统集成所需的身份、数据、流程、服务等不同层面都提供了相应支持，内置REST、SOAP、RFC、JDBC等多种技术协议，沉淀系统连接器及第三方服务。通过可视化配置和服务日志监控功能，实现集成的过程可靠、风险可控。</w:t>
      </w:r>
    </w:p>
    <w:p w14:paraId="36629166">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支持以下功能特性：</w:t>
      </w:r>
    </w:p>
    <w:p w14:paraId="3C11E677">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bookmarkStart w:id="625" w:name="_Ref73969198"/>
      <w:bookmarkStart w:id="626" w:name="_Toc85121797"/>
      <w:bookmarkStart w:id="627" w:name="_Toc59115248"/>
      <w:bookmarkStart w:id="628" w:name="_Toc85121798"/>
      <w:r>
        <w:rPr>
          <w:rFonts w:hint="eastAsia" w:ascii="Times New Roman" w:hAnsi="Times New Roman" w:eastAsia="宋体" w:cs="Times New Roman"/>
          <w:color w:val="auto"/>
          <w:kern w:val="0"/>
          <w:sz w:val="24"/>
          <w:highlight w:val="none"/>
          <w:lang w:val="en-GB" w:eastAsia="zh-CN"/>
        </w:rPr>
        <w:t>1、采用事件驱动架构，提供基于业务事件触发服务并在微服务间通信的能力，主要功能包括：事件注册与订阅管理、事件发布、事件处理、事件监控。</w:t>
      </w:r>
    </w:p>
    <w:p w14:paraId="41184B16">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2</w:t>
      </w:r>
      <w:bookmarkEnd w:id="625"/>
      <w:bookmarkEnd w:id="626"/>
      <w:bookmarkEnd w:id="627"/>
      <w:bookmarkEnd w:id="628"/>
      <w:r>
        <w:rPr>
          <w:rFonts w:hint="eastAsia" w:ascii="Times New Roman" w:hAnsi="Times New Roman" w:eastAsia="宋体" w:cs="Times New Roman"/>
          <w:color w:val="auto"/>
          <w:kern w:val="0"/>
          <w:sz w:val="24"/>
          <w:highlight w:val="none"/>
          <w:lang w:val="en-GB" w:eastAsia="zh-CN"/>
        </w:rPr>
        <w:t>、提供企业内部业务系统集成其他异构系统的连接器基础组件和管理功能，一方面提供通用连接器用于连接外部系统，另一方面也支持基于企业需求扩展自定义外部连接器。</w:t>
      </w:r>
    </w:p>
    <w:p w14:paraId="22A297E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3、提供连接器定义契约和连接器管理功能，能够通过统一的方式建立各业务系统间的安全连接通道。</w:t>
      </w:r>
    </w:p>
    <w:p w14:paraId="54CD3A1D">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4、提供基于OAuth标准的统一身份管理，实现统一认证集成、单点登录及登录认证扩展服务（包含CA认证扩展）。实现业务系统的单点登录集成，应用系统访问的授权和鉴权。</w:t>
      </w:r>
    </w:p>
    <w:p w14:paraId="0968E03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5、遵循国际标准规范设计，更加开放，便于集成，基于OpenAPI3.0实现服务的统一接入和管理。</w:t>
      </w:r>
    </w:p>
    <w:p w14:paraId="2A755CB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6、提供微服务之间的数据实时同步，具有高可靠、实时、敏捷的数据读写及微服务单元之间的数据实时同步能力。</w:t>
      </w:r>
    </w:p>
    <w:p w14:paraId="4FF893E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云连接器</w:t>
      </w:r>
    </w:p>
    <w:p w14:paraId="01D13D9A">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云连接器主要用来接入第三方系统，提供了对HTTP、SOAP、RFC等不同类型通信协议及认证方式的连接适配，以屏蔽它们的技术细节并提供统一的调用方式。</w:t>
      </w:r>
    </w:p>
    <w:p w14:paraId="051AC669">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云服务总线</w:t>
      </w:r>
    </w:p>
    <w:p w14:paraId="593C065B">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云服务总线为云连接器接入的各类系统的集成服务提供了统一建模描述和统一注册管理机制，包括第三方的API，内部RPC服务及本地的Local方法等；集成服务提供了对企业内外部资源的统一建模与管理机制，基于领域建模驱动架构，对所有服务接口进行结构化建模描述，并支持将已经建模的集成服务动态发布为对外提供服务的Restful接口，以便于其他第三方系统访问使用，同时针对已经建模并管理起来的集成服务，提供可视化、拖拽式的服务组装、模型转换等复杂的逻辑处理，并支持将编排结果注册为新的服务并对外发布；</w:t>
      </w:r>
    </w:p>
    <w:p w14:paraId="0FC8E27C">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服务网关</w:t>
      </w:r>
    </w:p>
    <w:p w14:paraId="6CCAC05D">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服务网关通过服务封装，为服务开发提供了完备的集成开发环境，将公司各类业务应用的业务逻辑、内部数据及其他功能实现，采用发布、订购服务API方式安全可靠地开放出来，通过基于OpenAPI3.0标准的RestfulAPI模式，支撑业务全面API化，实现与系统内其他应用，以及业务功能和管控平台的集成操作，并提供API服务目录和运行监控等内容。</w:t>
      </w:r>
    </w:p>
    <w:p w14:paraId="550889D6">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安全监控</w:t>
      </w:r>
    </w:p>
    <w:p w14:paraId="0624D170">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提供API监控功能，提供接入及对外开放接口的调用日志监控功能，支持系统接入与服务调用的数据追溯、连接和调用过程中的全流程追溯。通过动态收集系统中API运行数据，汇总展示、数据报表展示、Top10统计和请求数与IP访问数、平均响应时间、请求数时间趋势、请求方法占比、HTTP状态码等信息。</w:t>
      </w:r>
    </w:p>
    <w:p w14:paraId="22B0158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API调试</w:t>
      </w:r>
    </w:p>
    <w:p w14:paraId="0D5DAF7D">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可以实现服务的快速配置、服务生命周期管理，服务统计分析、服务监控管理、服务文档发布、服务调试、服务导出等功能，保障第三方集成服务调用的标准性、可靠性和安全性。提供API跟踪工具，通过API跟踪工具，能够查看故障出现的异常点，同时点击详情，能够查看异常的具体堆栈信息，方便故障的定位。</w:t>
      </w:r>
    </w:p>
    <w:p w14:paraId="40026CCC">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API安全配置</w:t>
      </w:r>
    </w:p>
    <w:p w14:paraId="59A02658">
      <w:pPr>
        <w:widowControl/>
        <w:spacing w:line="360" w:lineRule="auto"/>
        <w:ind w:firstLine="480" w:firstLineChars="200"/>
        <w:rPr>
          <w:rFonts w:ascii="Times New Roman" w:hAnsi="Times New Roman" w:eastAsia="宋体" w:cs="Times New Roman"/>
          <w:color w:val="auto"/>
          <w:kern w:val="0"/>
          <w:sz w:val="24"/>
          <w:highlight w:val="none"/>
          <w:lang w:val="en-GB" w:eastAsia="en-US"/>
        </w:rPr>
      </w:pPr>
      <w:r>
        <w:rPr>
          <w:rFonts w:hint="eastAsia" w:ascii="Times New Roman" w:hAnsi="Times New Roman" w:eastAsia="宋体" w:cs="Times New Roman"/>
          <w:color w:val="auto"/>
          <w:kern w:val="0"/>
          <w:sz w:val="24"/>
          <w:highlight w:val="none"/>
          <w:lang w:val="en-GB" w:eastAsia="zh-CN"/>
        </w:rPr>
        <w:t>通过API权限功能以及APIKey管理功能，选择映射为特定用户或特定服务身份，实现服务间的安全互调用，免去了用户管理的复杂度。通过请求签名防止伪造请求或重放流量攻击。</w:t>
      </w:r>
      <w:r>
        <w:rPr>
          <w:rFonts w:hint="eastAsia" w:ascii="Times New Roman" w:hAnsi="Times New Roman" w:eastAsia="宋体" w:cs="Times New Roman"/>
          <w:color w:val="auto"/>
          <w:kern w:val="0"/>
          <w:sz w:val="24"/>
          <w:highlight w:val="none"/>
          <w:lang w:val="en-GB" w:eastAsia="en-US"/>
        </w:rPr>
        <w:t>提升了系统集成的安全性。</w:t>
      </w:r>
    </w:p>
    <w:p w14:paraId="7ABD3488">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服务中心</w:t>
      </w:r>
    </w:p>
    <w:p w14:paraId="52F64E65">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通过将有共性的业务封装公共服务，供各业务应用调用，形成统一的中台服务能力，实现对上层业务系统的公共能力沉淀及复用。如对客户服务、水量计算服务、用户服务、网格化服务、工单服务等进行封装，避免冗余、重复性建设，支撑上层各业务应用灵活配置与调用，实现业务应用的快速构建与调整。</w:t>
      </w:r>
    </w:p>
    <w:p w14:paraId="0A0F4F54">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数据中心</w:t>
      </w:r>
    </w:p>
    <w:p w14:paraId="2A715A7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通过大数据中心，制定了详尽的数据标准体系，覆盖27个业务域，包含1000多项公司级指标，搭建项目管理、合同管理、财务管理、采购管理、资产管理等主题看板258个，满足管理层对公司经营情况进行透明化管理，为公司的战略决策提供坚实的数据支撑。</w:t>
      </w:r>
    </w:p>
    <w:p w14:paraId="0536AF7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drawing>
          <wp:inline distT="0" distB="0" distL="114300" distR="114300">
            <wp:extent cx="4688205" cy="2416175"/>
            <wp:effectExtent l="0" t="0" r="17145" b="3175"/>
            <wp:docPr id="72" name="图片 30" descr="171499826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descr="1714998262259"/>
                    <pic:cNvPicPr>
                      <a:picLocks noChangeAspect="1"/>
                    </pic:cNvPicPr>
                  </pic:nvPicPr>
                  <pic:blipFill>
                    <a:blip r:embed="rId24"/>
                    <a:stretch>
                      <a:fillRect/>
                    </a:stretch>
                  </pic:blipFill>
                  <pic:spPr>
                    <a:xfrm>
                      <a:off x="0" y="0"/>
                      <a:ext cx="4688205" cy="2416175"/>
                    </a:xfrm>
                    <a:prstGeom prst="rect">
                      <a:avLst/>
                    </a:prstGeom>
                    <a:noFill/>
                    <a:ln>
                      <a:noFill/>
                    </a:ln>
                  </pic:spPr>
                </pic:pic>
              </a:graphicData>
            </a:graphic>
          </wp:inline>
        </w:drawing>
      </w:r>
    </w:p>
    <w:p w14:paraId="52C4C29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在数据应用方面，数据分析已经投入实际使用。如建立了机器学习模型来预测公司的关键指标，实现供水量、售水量和销售收入等，从年、月、日等多个维度进行指标预测，为公司制定计划和考核提供了有力的参考依据。</w:t>
      </w:r>
    </w:p>
    <w:p w14:paraId="07DBC90A">
      <w:pPr>
        <w:keepNext/>
        <w:keepLines/>
        <w:numPr>
          <w:ilvl w:val="3"/>
          <w:numId w:val="1"/>
        </w:numPr>
        <w:spacing w:line="360" w:lineRule="auto"/>
        <w:ind w:left="420" w:leftChars="200" w:firstLine="0"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AI应用中心</w:t>
      </w:r>
    </w:p>
    <w:p w14:paraId="2D527573">
      <w:pPr>
        <w:widowControl/>
        <w:spacing w:line="360" w:lineRule="auto"/>
        <w:ind w:firstLine="480" w:firstLineChars="200"/>
        <w:rPr>
          <w:rFonts w:hint="eastAsia" w:ascii="仿宋_GB2312" w:hAnsi="仿宋_GB2312" w:eastAsia="仿宋_GB2312" w:cs="仿宋_GB2312"/>
          <w:color w:val="auto"/>
          <w:kern w:val="0"/>
          <w:sz w:val="24"/>
          <w:szCs w:val="28"/>
          <w:highlight w:val="none"/>
          <w:lang w:val="en-GB" w:eastAsia="zh-CN"/>
        </w:rPr>
      </w:pPr>
      <w:r>
        <w:rPr>
          <w:rFonts w:hint="eastAsia" w:ascii="Times New Roman" w:hAnsi="Times New Roman" w:eastAsia="宋体" w:cs="Times New Roman"/>
          <w:color w:val="auto"/>
          <w:kern w:val="0"/>
          <w:sz w:val="24"/>
          <w:highlight w:val="none"/>
          <w:lang w:val="en-GB" w:eastAsia="zh-CN"/>
        </w:rPr>
        <w:t>通过对系统中安防、压力、流量、水质等参数的在线采集，借助以AI能力纳管、认知服务、知识图谱、对话平台和算法模型等关键技术，</w:t>
      </w:r>
      <w:r>
        <w:rPr>
          <w:rFonts w:hint="eastAsia" w:ascii="Times New Roman" w:hAnsi="Times New Roman" w:eastAsia="宋体" w:cs="Times New Roman"/>
          <w:color w:val="auto"/>
          <w:kern w:val="0"/>
          <w:sz w:val="24"/>
          <w:highlight w:val="none"/>
          <w:lang w:eastAsia="zh-CN"/>
        </w:rPr>
        <w:t>管理</w:t>
      </w:r>
      <w:r>
        <w:rPr>
          <w:rFonts w:hint="eastAsia" w:ascii="Times New Roman" w:hAnsi="Times New Roman" w:eastAsia="宋体" w:cs="Times New Roman"/>
          <w:color w:val="auto"/>
          <w:kern w:val="0"/>
          <w:sz w:val="24"/>
          <w:highlight w:val="none"/>
          <w:lang w:val="en-GB" w:eastAsia="zh-CN"/>
        </w:rPr>
        <w:t>智慧安防、安全生产、设备养护、水质检测、供水调度、管道泄漏等</w:t>
      </w:r>
      <w:r>
        <w:rPr>
          <w:rFonts w:hint="eastAsia" w:ascii="Times New Roman" w:hAnsi="Times New Roman" w:eastAsia="宋体" w:cs="Times New Roman"/>
          <w:color w:val="auto"/>
          <w:kern w:val="0"/>
          <w:sz w:val="24"/>
          <w:highlight w:val="none"/>
          <w:lang w:eastAsia="zh-CN"/>
        </w:rPr>
        <w:t>AI算法，</w:t>
      </w:r>
      <w:r>
        <w:rPr>
          <w:rFonts w:hint="eastAsia" w:ascii="Times New Roman" w:hAnsi="Times New Roman" w:eastAsia="宋体" w:cs="Times New Roman"/>
          <w:color w:val="auto"/>
          <w:kern w:val="0"/>
          <w:sz w:val="24"/>
          <w:highlight w:val="none"/>
          <w:lang w:val="en-GB" w:eastAsia="zh-CN"/>
        </w:rPr>
        <w:t>提升安防、生产、管养、水质等智能认知和自动决策能力。</w:t>
      </w:r>
    </w:p>
    <w:p w14:paraId="298D74A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629" w:name="_Toc12914"/>
      <w:bookmarkStart w:id="630" w:name="_Toc15862"/>
      <w:bookmarkStart w:id="631" w:name="_Toc7621"/>
      <w:bookmarkStart w:id="632" w:name="_Toc20163"/>
      <w:bookmarkStart w:id="633" w:name="_Toc23323"/>
      <w:bookmarkStart w:id="634" w:name="_Toc11353"/>
      <w:bookmarkStart w:id="635" w:name="_Toc27932"/>
      <w:bookmarkStart w:id="636" w:name="_Toc10815"/>
      <w:r>
        <w:rPr>
          <w:rFonts w:hint="eastAsia" w:ascii="Times New Roman" w:hAnsi="Times New Roman" w:eastAsia="黑体" w:cs="Times New Roman"/>
          <w:b/>
          <w:color w:val="auto"/>
          <w:sz w:val="30"/>
          <w:highlight w:val="none"/>
          <w:lang w:val="en-US" w:eastAsia="zh-CN" w:bidi="ar-SA"/>
        </w:rPr>
        <w:t xml:space="preserve"> </w:t>
      </w:r>
      <w:bookmarkStart w:id="637" w:name="_Toc2066095511"/>
      <w:bookmarkStart w:id="638" w:name="_Toc16658"/>
      <w:bookmarkStart w:id="639" w:name="_Toc638374882"/>
      <w:bookmarkStart w:id="640" w:name="_Toc19930"/>
      <w:bookmarkStart w:id="641" w:name="_Toc351341921"/>
      <w:bookmarkStart w:id="642" w:name="_Toc4661"/>
      <w:bookmarkStart w:id="643" w:name="_Toc16228"/>
      <w:bookmarkStart w:id="644" w:name="_Toc193093568"/>
      <w:bookmarkStart w:id="645" w:name="_Toc370476035"/>
      <w:r>
        <w:rPr>
          <w:rFonts w:hint="eastAsia" w:ascii="Times New Roman" w:hAnsi="Times New Roman" w:eastAsia="黑体" w:cs="Times New Roman"/>
          <w:b/>
          <w:color w:val="auto"/>
          <w:sz w:val="30"/>
          <w:highlight w:val="none"/>
          <w:lang w:val="en-US" w:eastAsia="zh-CN" w:bidi="ar-SA"/>
        </w:rPr>
        <w:t>SaaS层</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25E6C4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系统功能</w:t>
      </w:r>
    </w:p>
    <w:p w14:paraId="22489F4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将全部工作划分为人力资源、项目管理、资产管理、生产管理、用户服务、运营监督共6大领域，并细分为27个业务域（细分业务建模），形成了各种不同类型的软件服务，形成了248个业务模块（场景应用），有上万个专业功能。</w:t>
      </w:r>
    </w:p>
    <w:p w14:paraId="42AC176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智慧决策</w:t>
      </w:r>
    </w:p>
    <w:p w14:paraId="37902B8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通过集成与挖掘27个业务域的生产数据，运用智能报告、业务分析决策、领导驾驶舱及大屏综合展示等数据分析和展示功能，实现对公司财务状况、经营状况、生产运营等多个业务的全面监测，为管理层提供直观、透明的决策辅助。</w:t>
      </w:r>
    </w:p>
    <w:p w14:paraId="1096C8CE">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智能报告</w:t>
      </w:r>
    </w:p>
    <w:p w14:paraId="10C62667">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基于一套数据自动生成财务、经营、监管等多种不同类型的报告，实现报告内插入图表、关键数据及对运行情况的图文一体展示分析。对于需要定期（如每月）形成的报告，可以直接通过关联数据库自动获取指标的值、报表、万能查询中的图形表格等内容，自动生成相应的报告，并能将生成消息自动反馈给相关人员，提高数据分析工作效率，减少分析人员的工作量。目前智能报告已在财务、水质、大数据等相关业务场景中使用。</w:t>
      </w:r>
    </w:p>
    <w:p w14:paraId="7196150A">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业务分析决策</w:t>
      </w:r>
    </w:p>
    <w:p w14:paraId="541B1A0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GB" w:eastAsia="zh-CN"/>
        </w:rPr>
        <w:t>通过数据集成与整合，将27个业务域的生产数据汇集到数据仓库中，同时将数据仓库进行分层架构规划，再运用数据挖掘、机器学习等技术对数据进行深度分析。借助可视化展示工具，搭建项目管理、生产经营、网格管理等多个业务主题看板，为管理人员提供清晰、直观的决策依据，助力企业优化生产资源配置，增强供水应急响应能力，保障供水服务安全稳定运行。</w:t>
      </w:r>
    </w:p>
    <w:p w14:paraId="58842920">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领导驾驶舱</w:t>
      </w:r>
    </w:p>
    <w:p w14:paraId="37BE7253">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从不同的角度、维度，根据管理要求，呈现多种数据格式的展示。建立供水量、售水量、销售收入等公司级关键指标1000余项，搭建项目管理、合同管理、财务管理、采购管理、资产管理等主题看板258个，实现公司核心业务与核心资源在经营过程中的异动和问题进行动态监测及预警，在线跟踪运营状态，满足管理层对公司经营情况进行透明化管理，为管理层在智能分析、智能决策、智能管控等方面提供支撑。</w:t>
      </w:r>
    </w:p>
    <w:p w14:paraId="6D345662">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大屏综合展示</w:t>
      </w:r>
    </w:p>
    <w:p w14:paraId="1ACD9BED">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通过集成水厂生产运行数据、管网GIS数据、水质监测数据、营收数据、产销差数据及应急抢险抢修等业务系统生产数据以及物联网设备运行数据，全面实现对供水业务生产经营状况的实时监测，形成水厂、加压站、管网等供水设施运行情况的一体化在线实时监控和联动管理，为管理层提供更直观的决策辅助。</w:t>
      </w:r>
    </w:p>
    <w:p w14:paraId="1A702EF9">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646" w:name="_Toc21388"/>
      <w:bookmarkStart w:id="647" w:name="_Toc22266"/>
      <w:bookmarkStart w:id="648" w:name="_Toc2811"/>
      <w:bookmarkStart w:id="649" w:name="_Toc24229"/>
      <w:bookmarkStart w:id="650" w:name="_Toc2281"/>
      <w:bookmarkStart w:id="651" w:name="_Toc7956"/>
      <w:r>
        <w:rPr>
          <w:rFonts w:hint="eastAsia" w:ascii="Arial" w:hAnsi="Arial" w:eastAsia="黑体" w:cs="Times New Roman"/>
          <w:b/>
          <w:color w:val="auto"/>
          <w:sz w:val="32"/>
          <w:highlight w:val="none"/>
          <w:lang w:val="en-US" w:eastAsia="zh-CN" w:bidi="ar-SA"/>
        </w:rPr>
        <w:t xml:space="preserve"> </w:t>
      </w:r>
      <w:bookmarkStart w:id="652" w:name="_Toc1571120644"/>
      <w:bookmarkStart w:id="653" w:name="_Toc14825"/>
      <w:bookmarkStart w:id="654" w:name="_Toc4813"/>
      <w:bookmarkStart w:id="655" w:name="_Toc5833"/>
      <w:bookmarkStart w:id="656" w:name="_Toc1035627592"/>
      <w:bookmarkStart w:id="657" w:name="_Toc56681387"/>
      <w:bookmarkStart w:id="658" w:name="_Toc193093569"/>
      <w:bookmarkStart w:id="659" w:name="_Toc338341362"/>
      <w:bookmarkStart w:id="660" w:name="_Toc20892"/>
      <w:r>
        <w:rPr>
          <w:rFonts w:ascii="Arial" w:hAnsi="Arial" w:eastAsia="黑体" w:cs="Times New Roman"/>
          <w:b/>
          <w:color w:val="auto"/>
          <w:sz w:val="32"/>
          <w:highlight w:val="none"/>
          <w:lang w:val="en-US" w:eastAsia="zh-CN" w:bidi="ar-SA"/>
        </w:rPr>
        <w:t>应用现状</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5D73A3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661" w:name="_Toc12544"/>
      <w:bookmarkStart w:id="662" w:name="_Toc120628986"/>
      <w:bookmarkStart w:id="663" w:name="_Toc8369"/>
      <w:bookmarkStart w:id="664" w:name="_Toc25298"/>
      <w:bookmarkStart w:id="665" w:name="_Toc16177"/>
      <w:bookmarkStart w:id="666" w:name="_Toc10303"/>
      <w:bookmarkStart w:id="667" w:name="_Toc8858"/>
      <w:r>
        <w:rPr>
          <w:rFonts w:hint="eastAsia" w:ascii="Times New Roman" w:hAnsi="Times New Roman" w:eastAsia="黑体" w:cs="Times New Roman"/>
          <w:b/>
          <w:color w:val="auto"/>
          <w:sz w:val="30"/>
          <w:highlight w:val="none"/>
          <w:lang w:val="en-US" w:eastAsia="zh-CN" w:bidi="ar-SA"/>
        </w:rPr>
        <w:t xml:space="preserve"> </w:t>
      </w:r>
      <w:bookmarkStart w:id="668" w:name="_Toc30064"/>
      <w:bookmarkStart w:id="669" w:name="_Toc19347"/>
      <w:bookmarkStart w:id="670" w:name="_Toc21506"/>
      <w:bookmarkStart w:id="671" w:name="_Toc14478"/>
      <w:bookmarkStart w:id="672" w:name="_Toc2114057525"/>
      <w:bookmarkStart w:id="673" w:name="_Toc437979809"/>
      <w:bookmarkStart w:id="674" w:name="_Toc1308815688"/>
      <w:bookmarkStart w:id="675" w:name="_Toc365740196"/>
      <w:bookmarkStart w:id="676" w:name="_Toc193093570"/>
      <w:r>
        <w:rPr>
          <w:rFonts w:hint="eastAsia" w:ascii="Times New Roman" w:hAnsi="Times New Roman" w:eastAsia="黑体" w:cs="Times New Roman"/>
          <w:b/>
          <w:color w:val="auto"/>
          <w:sz w:val="30"/>
          <w:highlight w:val="none"/>
          <w:lang w:val="en-US" w:eastAsia="zh-CN" w:bidi="ar-SA"/>
        </w:rPr>
        <w:t>“源厂站网端”全要素物联感知</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60DCD877">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物联网平台建设依托于公司“云平台”，作为整体智慧水务的底层平台，通过接入公司远传监测设备，采集公司水厂、泵站、加压站、管网、大用户表等所有仪表在线监测数据。同时包括水厂、泵站、加压站等生产重要环节在线视频、图像等。为各业务上层应用提供监测数据，给数据分析、业务决策提供数据基础。</w:t>
      </w:r>
    </w:p>
    <w:p w14:paraId="7DEEA2D3">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677" w:name="_Toc21466"/>
      <w:bookmarkStart w:id="678" w:name="_Toc224"/>
      <w:bookmarkStart w:id="679" w:name="_Toc18097"/>
      <w:bookmarkStart w:id="680" w:name="_Toc120628989"/>
      <w:bookmarkStart w:id="681" w:name="_Toc25257"/>
      <w:bookmarkStart w:id="682" w:name="_Toc12358"/>
      <w:bookmarkStart w:id="683" w:name="_Toc12333"/>
      <w:r>
        <w:rPr>
          <w:rFonts w:hint="eastAsia" w:ascii="Times New Roman" w:hAnsi="Times New Roman" w:eastAsia="黑体" w:cs="Times New Roman"/>
          <w:b/>
          <w:color w:val="auto"/>
          <w:sz w:val="30"/>
          <w:highlight w:val="none"/>
          <w:lang w:val="en-US" w:eastAsia="zh-CN" w:bidi="ar-SA"/>
        </w:rPr>
        <w:t xml:space="preserve"> </w:t>
      </w:r>
      <w:bookmarkStart w:id="684" w:name="_Toc1700191594"/>
      <w:bookmarkStart w:id="685" w:name="_Toc590271995"/>
      <w:bookmarkStart w:id="686" w:name="_Toc12535"/>
      <w:bookmarkStart w:id="687" w:name="_Toc847883060"/>
      <w:bookmarkStart w:id="688" w:name="_Toc193093571"/>
      <w:bookmarkStart w:id="689" w:name="_Toc897276458"/>
      <w:bookmarkStart w:id="690" w:name="_Toc169"/>
      <w:bookmarkStart w:id="691" w:name="_Toc27475"/>
      <w:bookmarkStart w:id="692" w:name="_Toc31303"/>
      <w:r>
        <w:rPr>
          <w:rFonts w:hint="eastAsia" w:ascii="Times New Roman" w:hAnsi="Times New Roman" w:eastAsia="黑体" w:cs="Times New Roman"/>
          <w:b/>
          <w:color w:val="auto"/>
          <w:sz w:val="30"/>
          <w:highlight w:val="none"/>
          <w:lang w:val="en-US" w:eastAsia="zh-CN" w:bidi="ar-SA"/>
        </w:rPr>
        <w:t>源厂站网端”全链条智慧管控</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1612CEE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云平台从管理体系上构建了从源头到终端的全链条智慧管控，实现生产数据联动，指导取水、制水、供水到用户的整个管理环节；</w:t>
      </w:r>
    </w:p>
    <w:p w14:paraId="21602270">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1、取水环节：实现了实时的原水水质监测、原水流量监测及原水管压力监测等基础数据监测业务。基于实时监测业务，结合原水管巡检、原水管爆漏抢修等业务，实现了对水源泵站的有效管理。</w:t>
      </w:r>
    </w:p>
    <w:p w14:paraId="221590E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2、制水环节：实现原水厂监测、生产设备巡检、实时调度指令等基础业务。为水厂管理流入了新的动力，同时加强公司部室与水厂之间信息的互联互通，让云平台建设利益达到最佳水平。</w:t>
      </w:r>
    </w:p>
    <w:p w14:paraId="4BF7263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3、供水环节：实现管网实时监测，为管网供水业务提供有力的支撑，同时也为智慧调度提供了数据基础。结合GIS-外业-工单三联动，实现供水管网全程可视化，流程化的管理模式。</w:t>
      </w:r>
    </w:p>
    <w:p w14:paraId="13D19846">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4、终端环节：实现智能水表终端接入，为整个广州水用户终端服务提升一个全新的水平，同时节约人工成本。实时终端数据监测，也为用水业务分析提供了坚实的数据基础，为售水营收提供数据保障，达到智慧终端服务目标。</w:t>
      </w:r>
    </w:p>
    <w:p w14:paraId="0E24D17D">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693" w:name="_Toc20037"/>
      <w:bookmarkStart w:id="694" w:name="_Toc16138"/>
      <w:bookmarkStart w:id="695" w:name="_Toc24489"/>
      <w:bookmarkStart w:id="696" w:name="_Toc120628992"/>
      <w:bookmarkStart w:id="697" w:name="_Toc15154"/>
      <w:bookmarkStart w:id="698" w:name="_Toc107"/>
      <w:bookmarkStart w:id="699" w:name="_Toc31222"/>
      <w:r>
        <w:rPr>
          <w:rFonts w:hint="eastAsia" w:ascii="Times New Roman" w:hAnsi="Times New Roman" w:eastAsia="黑体" w:cs="Times New Roman"/>
          <w:b/>
          <w:color w:val="auto"/>
          <w:sz w:val="30"/>
          <w:highlight w:val="none"/>
          <w:lang w:val="en-US" w:eastAsia="zh-CN" w:bidi="ar-SA"/>
        </w:rPr>
        <w:t xml:space="preserve"> </w:t>
      </w:r>
      <w:bookmarkStart w:id="700" w:name="_Toc895260372"/>
      <w:bookmarkStart w:id="701" w:name="_Toc1474454472"/>
      <w:bookmarkStart w:id="702" w:name="_Toc23403"/>
      <w:bookmarkStart w:id="703" w:name="_Toc168"/>
      <w:bookmarkStart w:id="704" w:name="_Toc2189"/>
      <w:bookmarkStart w:id="705" w:name="_Toc1816591575"/>
      <w:bookmarkStart w:id="706" w:name="_Toc702713376"/>
      <w:bookmarkStart w:id="707" w:name="_Toc193093572"/>
      <w:bookmarkStart w:id="708" w:name="_Toc6964"/>
      <w:r>
        <w:rPr>
          <w:rFonts w:hint="eastAsia" w:ascii="Times New Roman" w:hAnsi="Times New Roman" w:eastAsia="黑体" w:cs="Times New Roman"/>
          <w:b/>
          <w:color w:val="auto"/>
          <w:sz w:val="30"/>
          <w:highlight w:val="none"/>
          <w:lang w:val="en-US" w:eastAsia="zh-CN" w:bidi="ar-SA"/>
        </w:rPr>
        <w:t>管网监测预警、评估诊断、智慧调度</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BAAC9B2">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管网监测系统，是基于SCADA系统监测数据的深度挖掘，分析实时数据的合理性，来检测并警报管网中的设备异常或数据异常问题。当系统从压力、流量等数据异常判断出管网漏失和爆管等异常事件后，生成对应类型的异常事件记录，显示在前台列表中，用户点击异常事件列表中的事件后，图上显示事件的定位信息，同时加载与异常事件报警时段压力、流量、大用户等曲线数据供用户参考。</w:t>
      </w:r>
    </w:p>
    <w:p w14:paraId="17BE8C7F">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智慧调度的主要任务是以实际数据、预测数据、控压点压力要求为依据，动态计算调度方案并展示调度结果，包括出厂压力、流量、开停泵、施工信息以及各水厂的相关数据曲线，同时在发生紧急事件工况下，模拟管网运行状态变化，通过目标（管网压力）压力的设置，分析计算出出厂压力、流量及调泵方案。</w:t>
      </w:r>
    </w:p>
    <w:p w14:paraId="3C140FA6">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水力模型可实现24小时实时运行，而且在功能设计方面，可根据公司业务管理需求进行因地制宜地设置，操作功能基本实现“一键式”操作，使用简单，适合普通技术人员使用。</w:t>
      </w:r>
    </w:p>
    <w:p w14:paraId="03FBC3B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09" w:name="_Toc23773"/>
      <w:bookmarkStart w:id="710" w:name="_Toc7790"/>
      <w:bookmarkStart w:id="711" w:name="_Toc120628995"/>
      <w:bookmarkStart w:id="712" w:name="_Toc25666"/>
      <w:bookmarkStart w:id="713" w:name="_Toc18254"/>
      <w:bookmarkStart w:id="714" w:name="_Toc31570"/>
      <w:bookmarkStart w:id="715" w:name="_Toc31646"/>
      <w:r>
        <w:rPr>
          <w:rFonts w:hint="eastAsia" w:ascii="Times New Roman" w:hAnsi="Times New Roman" w:eastAsia="黑体" w:cs="Times New Roman"/>
          <w:b/>
          <w:color w:val="auto"/>
          <w:sz w:val="30"/>
          <w:highlight w:val="none"/>
          <w:lang w:val="en-US" w:eastAsia="zh-CN" w:bidi="ar-SA"/>
        </w:rPr>
        <w:t xml:space="preserve"> </w:t>
      </w:r>
      <w:bookmarkStart w:id="716" w:name="_Toc1491135579"/>
      <w:bookmarkStart w:id="717" w:name="_Toc26419"/>
      <w:bookmarkStart w:id="718" w:name="_Toc679591626"/>
      <w:bookmarkStart w:id="719" w:name="_Toc1370641322"/>
      <w:bookmarkStart w:id="720" w:name="_Toc4227"/>
      <w:bookmarkStart w:id="721" w:name="_Toc27464"/>
      <w:bookmarkStart w:id="722" w:name="_Toc1342508171"/>
      <w:bookmarkStart w:id="723" w:name="_Toc193093573"/>
      <w:bookmarkStart w:id="724" w:name="_Toc5662"/>
      <w:r>
        <w:rPr>
          <w:rFonts w:hint="eastAsia" w:ascii="Times New Roman" w:hAnsi="Times New Roman" w:eastAsia="黑体" w:cs="Times New Roman"/>
          <w:b/>
          <w:color w:val="auto"/>
          <w:sz w:val="30"/>
          <w:highlight w:val="none"/>
          <w:lang w:val="en-US" w:eastAsia="zh-CN" w:bidi="ar-SA"/>
        </w:rPr>
        <w:t>网格精细化管理</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3733D87C">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运用统一云平台技术标准，贯彻“互联网+供水网格化”顶层设计，形成“公司-分公司-网格管理分区”运行的管理格局。实现了巡查网格化、服务网格化、抄表网格化、复查网格化、追欠网格化等多种业务场景。从管理维度达到了任务可直达一线、管理可多维判断、监督能层层穿透。</w:t>
      </w:r>
    </w:p>
    <w:p w14:paraId="33BD2A98">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25" w:name="_Toc20937"/>
      <w:bookmarkStart w:id="726" w:name="_Toc18256"/>
      <w:bookmarkStart w:id="727" w:name="_Toc28886"/>
      <w:bookmarkStart w:id="728" w:name="_Toc120628999"/>
      <w:bookmarkStart w:id="729" w:name="_Toc20147"/>
      <w:bookmarkStart w:id="730" w:name="_Toc13047"/>
      <w:bookmarkStart w:id="731" w:name="_Toc12596"/>
      <w:r>
        <w:rPr>
          <w:rFonts w:hint="eastAsia" w:ascii="Times New Roman" w:hAnsi="Times New Roman" w:eastAsia="黑体" w:cs="Times New Roman"/>
          <w:b/>
          <w:color w:val="auto"/>
          <w:sz w:val="30"/>
          <w:highlight w:val="none"/>
          <w:lang w:val="en-US" w:eastAsia="zh-CN" w:bidi="ar-SA"/>
        </w:rPr>
        <w:t xml:space="preserve"> </w:t>
      </w:r>
      <w:bookmarkStart w:id="732" w:name="_Toc193093574"/>
      <w:bookmarkStart w:id="733" w:name="_Toc10256"/>
      <w:bookmarkStart w:id="734" w:name="_Toc1578423436"/>
      <w:bookmarkStart w:id="735" w:name="_Toc381515763"/>
      <w:bookmarkStart w:id="736" w:name="_Toc18740"/>
      <w:bookmarkStart w:id="737" w:name="_Toc31689"/>
      <w:bookmarkStart w:id="738" w:name="_Toc31667"/>
      <w:bookmarkStart w:id="739" w:name="_Toc311617485"/>
      <w:bookmarkStart w:id="740" w:name="_Toc2071634615"/>
      <w:r>
        <w:rPr>
          <w:rFonts w:hint="eastAsia" w:ascii="Times New Roman" w:hAnsi="Times New Roman" w:eastAsia="黑体" w:cs="Times New Roman"/>
          <w:b/>
          <w:color w:val="auto"/>
          <w:sz w:val="30"/>
          <w:highlight w:val="none"/>
          <w:lang w:val="en-US" w:eastAsia="zh-CN" w:bidi="ar-SA"/>
        </w:rPr>
        <w:t>二次供水智慧监控</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BDB6E2D">
      <w:pPr>
        <w:widowControl/>
        <w:spacing w:line="360" w:lineRule="auto"/>
        <w:ind w:firstLine="480" w:firstLineChars="200"/>
        <w:rPr>
          <w:rFonts w:hint="eastAsia" w:ascii="仿宋_GB2312" w:hAnsi="仿宋_GB2312" w:eastAsia="仿宋_GB2312" w:cs="仿宋_GB2312"/>
          <w:color w:val="auto"/>
          <w:kern w:val="0"/>
          <w:sz w:val="24"/>
          <w:szCs w:val="28"/>
          <w:highlight w:val="none"/>
          <w:lang w:val="en-GB" w:eastAsia="zh-CN"/>
        </w:rPr>
      </w:pPr>
      <w:r>
        <w:rPr>
          <w:rFonts w:hint="eastAsia" w:ascii="Times New Roman" w:hAnsi="Times New Roman" w:eastAsia="宋体" w:cs="Times New Roman"/>
          <w:color w:val="auto"/>
          <w:kern w:val="0"/>
          <w:sz w:val="24"/>
          <w:highlight w:val="none"/>
          <w:lang w:val="en-GB" w:eastAsia="zh-CN"/>
        </w:rPr>
        <w:t>建设一套智慧化二次供水信息管理系统，通过应用二次供水清洗管理、二供泵房运行监控、二次供水设施运行维护管理等功能，解决水司所辖的二次加压泵房的中央集中监控，缩短加压泵房的维护管理响应时间，降低加压泵站的设备故障率，有效降低管理运营成本，提高企业对加压泵站管理水平，更好地保证供水，满足市民的用水需求。</w:t>
      </w:r>
    </w:p>
    <w:p w14:paraId="2D0A5791">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41" w:name="_Toc27298"/>
      <w:bookmarkStart w:id="742" w:name="_Toc18065"/>
      <w:bookmarkStart w:id="743" w:name="_Toc24201"/>
      <w:bookmarkStart w:id="744" w:name="_Toc28092"/>
      <w:bookmarkStart w:id="745" w:name="_Toc27617"/>
      <w:bookmarkStart w:id="746" w:name="_Toc4163"/>
      <w:bookmarkStart w:id="747" w:name="_Toc120629002"/>
      <w:r>
        <w:rPr>
          <w:rFonts w:hint="eastAsia" w:ascii="Times New Roman" w:hAnsi="Times New Roman" w:eastAsia="黑体" w:cs="Times New Roman"/>
          <w:b/>
          <w:color w:val="auto"/>
          <w:sz w:val="30"/>
          <w:highlight w:val="none"/>
          <w:lang w:val="en-US" w:eastAsia="zh-CN" w:bidi="ar-SA"/>
        </w:rPr>
        <w:t xml:space="preserve"> </w:t>
      </w:r>
      <w:bookmarkStart w:id="748" w:name="_Toc1896742446"/>
      <w:bookmarkStart w:id="749" w:name="_Toc1594"/>
      <w:bookmarkStart w:id="750" w:name="_Toc193093575"/>
      <w:bookmarkStart w:id="751" w:name="_Toc697197461"/>
      <w:bookmarkStart w:id="752" w:name="_Toc1625"/>
      <w:bookmarkStart w:id="753" w:name="_Toc9557"/>
      <w:bookmarkStart w:id="754" w:name="_Toc1789939009"/>
      <w:bookmarkStart w:id="755" w:name="_Toc810605494"/>
      <w:bookmarkStart w:id="756" w:name="_Toc30515"/>
      <w:r>
        <w:rPr>
          <w:rFonts w:hint="eastAsia" w:ascii="Times New Roman" w:hAnsi="Times New Roman" w:eastAsia="黑体" w:cs="Times New Roman"/>
          <w:b/>
          <w:color w:val="auto"/>
          <w:sz w:val="30"/>
          <w:highlight w:val="none"/>
          <w:lang w:val="en-US" w:eastAsia="zh-CN" w:bidi="ar-SA"/>
        </w:rPr>
        <w:t>用户终端智能服务、优化营商环境</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51729894">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为进一步深化实现供水业务全流程信息化管理，实现“全网受理，一网通办”，加大营商环境改革力度，营造超一流营商环境。</w:t>
      </w:r>
    </w:p>
    <w:p w14:paraId="6D1EA46B">
      <w:pPr>
        <w:widowControl/>
        <w:spacing w:line="360" w:lineRule="auto"/>
        <w:ind w:firstLine="480" w:firstLineChars="200"/>
        <w:rPr>
          <w:rFonts w:ascii="Times New Roman" w:hAnsi="Times New Roman" w:eastAsia="宋体" w:cs="Times New Roman"/>
          <w:color w:val="auto"/>
          <w:kern w:val="0"/>
          <w:sz w:val="24"/>
          <w:highlight w:val="none"/>
          <w:lang w:val="en-GB" w:eastAsia="zh-CN"/>
        </w:rPr>
      </w:pPr>
      <w:r>
        <w:rPr>
          <w:rFonts w:hint="eastAsia" w:ascii="Times New Roman" w:hAnsi="Times New Roman" w:eastAsia="宋体" w:cs="Times New Roman"/>
          <w:color w:val="auto"/>
          <w:kern w:val="0"/>
          <w:sz w:val="24"/>
          <w:highlight w:val="none"/>
          <w:lang w:val="en-GB" w:eastAsia="zh-CN"/>
        </w:rPr>
        <w:t>供水服务系统整合网上营业厅、APP、微信小程序、支付宝小程序、自助终端，提供以上多种服务渠道，实现业务全流程网办，构建“智能水管家”服务新模式，“让客户少跑路，让数据多跑路”，全方位提升用户服务能力。</w:t>
      </w:r>
    </w:p>
    <w:p w14:paraId="23768093">
      <w:pPr>
        <w:widowControl/>
        <w:spacing w:line="360" w:lineRule="auto"/>
        <w:ind w:firstLine="0" w:firstLineChars="0"/>
        <w:rPr>
          <w:rFonts w:hint="eastAsia" w:ascii="仿宋_GB2312" w:hAnsi="仿宋_GB2312" w:eastAsia="仿宋_GB2312" w:cs="仿宋_GB2312"/>
          <w:color w:val="auto"/>
          <w:kern w:val="0"/>
          <w:sz w:val="28"/>
          <w:szCs w:val="28"/>
          <w:highlight w:val="none"/>
          <w:lang w:eastAsia="en-US"/>
        </w:rPr>
      </w:pPr>
      <w:r>
        <w:rPr>
          <w:rFonts w:hint="eastAsia" w:ascii="仿宋_GB2312" w:hAnsi="仿宋_GB2312" w:eastAsia="仿宋_GB2312" w:cs="仿宋_GB2312"/>
          <w:color w:val="auto"/>
          <w:kern w:val="0"/>
          <w:sz w:val="28"/>
          <w:szCs w:val="28"/>
          <w:highlight w:val="none"/>
          <w:lang w:eastAsia="en-US"/>
        </w:rPr>
        <w:drawing>
          <wp:inline distT="0" distB="0" distL="114300" distR="114300">
            <wp:extent cx="5274310" cy="2252980"/>
            <wp:effectExtent l="0" t="0" r="2540" b="13970"/>
            <wp:docPr id="73" name="图片 31" descr="D:\360安全浏览器下载\WeChat Files\chenzhen5057\FileStorage\Temp\169967472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descr="D:\360安全浏览器下载\WeChat Files\chenzhen5057\FileStorage\Temp\1699674721216.png"/>
                    <pic:cNvPicPr>
                      <a:picLocks noChangeAspect="1"/>
                    </pic:cNvPicPr>
                  </pic:nvPicPr>
                  <pic:blipFill>
                    <a:blip r:embed="rId25"/>
                    <a:stretch>
                      <a:fillRect/>
                    </a:stretch>
                  </pic:blipFill>
                  <pic:spPr>
                    <a:xfrm>
                      <a:off x="0" y="0"/>
                      <a:ext cx="5274310" cy="2252980"/>
                    </a:xfrm>
                    <a:prstGeom prst="rect">
                      <a:avLst/>
                    </a:prstGeom>
                    <a:noFill/>
                    <a:ln>
                      <a:noFill/>
                    </a:ln>
                  </pic:spPr>
                </pic:pic>
              </a:graphicData>
            </a:graphic>
          </wp:inline>
        </w:drawing>
      </w:r>
    </w:p>
    <w:p w14:paraId="15CEC0C3">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57" w:name="_Toc10448"/>
      <w:bookmarkStart w:id="758" w:name="_Toc29107"/>
      <w:bookmarkStart w:id="759" w:name="_Toc139"/>
      <w:bookmarkStart w:id="760" w:name="_Toc31071"/>
      <w:bookmarkStart w:id="761" w:name="_Toc31621"/>
      <w:bookmarkStart w:id="762" w:name="_Toc358"/>
      <w:bookmarkStart w:id="763" w:name="_Toc120629019"/>
      <w:r>
        <w:rPr>
          <w:rFonts w:hint="eastAsia" w:ascii="Times New Roman" w:hAnsi="Times New Roman" w:eastAsia="黑体" w:cs="Times New Roman"/>
          <w:b/>
          <w:color w:val="auto"/>
          <w:sz w:val="30"/>
          <w:highlight w:val="none"/>
          <w:lang w:val="en-US" w:eastAsia="zh-CN" w:bidi="ar-SA"/>
        </w:rPr>
        <w:t xml:space="preserve"> </w:t>
      </w:r>
      <w:bookmarkStart w:id="764" w:name="_Toc29433"/>
      <w:bookmarkStart w:id="765" w:name="_Toc1553997087"/>
      <w:bookmarkStart w:id="766" w:name="_Toc1303033854"/>
      <w:bookmarkStart w:id="767" w:name="_Toc32481"/>
      <w:bookmarkStart w:id="768" w:name="_Toc193093576"/>
      <w:bookmarkStart w:id="769" w:name="_Toc1126948995"/>
      <w:bookmarkStart w:id="770" w:name="_Toc16178"/>
      <w:bookmarkStart w:id="771" w:name="_Toc9192"/>
      <w:bookmarkStart w:id="772" w:name="_Toc210281090"/>
      <w:r>
        <w:rPr>
          <w:rFonts w:hint="eastAsia" w:ascii="Times New Roman" w:hAnsi="Times New Roman" w:eastAsia="黑体" w:cs="Times New Roman"/>
          <w:b/>
          <w:color w:val="auto"/>
          <w:sz w:val="30"/>
          <w:highlight w:val="none"/>
          <w:lang w:val="en-US" w:eastAsia="zh-CN" w:bidi="ar-SA"/>
        </w:rPr>
        <w:t>全面开展应急管理</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CCF5B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应急指挥平台集成多种服务，结合可视化一张图服务、调度系统实时数据、视频监控、流程引擎等服务，在基础地图上结合GPS定位，实现对应急要素与水务要素的可视化，实现应急资源的合理调配，现场作业监控及指标数据远程监控，提高管理人员对现场情况的整体感知。</w:t>
      </w:r>
    </w:p>
    <w:p w14:paraId="465FF9FB">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73" w:name="_Toc18981"/>
      <w:bookmarkStart w:id="774" w:name="_Toc120629022"/>
      <w:bookmarkStart w:id="775" w:name="_Toc9783"/>
      <w:bookmarkStart w:id="776" w:name="_Toc21023"/>
      <w:bookmarkStart w:id="777" w:name="_Toc17406"/>
      <w:bookmarkStart w:id="778" w:name="_Toc29158"/>
      <w:bookmarkStart w:id="779" w:name="_Toc5223"/>
      <w:r>
        <w:rPr>
          <w:rFonts w:hint="eastAsia" w:ascii="Times New Roman" w:hAnsi="Times New Roman" w:eastAsia="黑体" w:cs="Times New Roman"/>
          <w:b/>
          <w:color w:val="auto"/>
          <w:sz w:val="30"/>
          <w:highlight w:val="none"/>
          <w:lang w:val="en-US" w:eastAsia="zh-CN" w:bidi="ar-SA"/>
        </w:rPr>
        <w:t xml:space="preserve"> </w:t>
      </w:r>
      <w:bookmarkStart w:id="780" w:name="_Toc23911"/>
      <w:bookmarkStart w:id="781" w:name="_Toc1583680315"/>
      <w:bookmarkStart w:id="782" w:name="_Toc51752072"/>
      <w:bookmarkStart w:id="783" w:name="_Toc1973476072"/>
      <w:bookmarkStart w:id="784" w:name="_Toc193093577"/>
      <w:bookmarkStart w:id="785" w:name="_Toc14605"/>
      <w:bookmarkStart w:id="786" w:name="_Toc332926395"/>
      <w:bookmarkStart w:id="787" w:name="_Toc8878"/>
      <w:bookmarkStart w:id="788" w:name="_Toc333"/>
      <w:r>
        <w:rPr>
          <w:rFonts w:hint="eastAsia" w:ascii="Times New Roman" w:hAnsi="Times New Roman" w:eastAsia="黑体" w:cs="Times New Roman"/>
          <w:b/>
          <w:color w:val="auto"/>
          <w:sz w:val="30"/>
          <w:highlight w:val="none"/>
          <w:lang w:val="en-US" w:eastAsia="zh-CN" w:bidi="ar-SA"/>
        </w:rPr>
        <w:t>业财融合促进项目全过程管理</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13E43FC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项目全过程管理，覆盖项目申报、投资计划、立项、采购、施工、验收交付、后评价等项目管理各环节，围绕合同、进度、费用、招投标、交付转资等核心业务，实现项目全生命周期管理。</w:t>
      </w:r>
    </w:p>
    <w:p w14:paraId="296F07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管理涵盖了工改项目、大修项目、专项项目、前期项目、科技项目、抢修项目、迁改项目、代装项目等公司的主要项目类型。项目全生命周期管理的周期阶段分为项目前期阶段、实施前准备阶段、实施阶段、竣工验收阶段、财务决算阶段、后评价阶段。通过制度流程化，流程表单化，表单数据化，借助信息化手段对项目管理业务进行管控和闭环管理，全面提升公司工程项目的管控能力。</w:t>
      </w:r>
    </w:p>
    <w:p w14:paraId="5A961168">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789" w:name="_Toc22397"/>
      <w:bookmarkStart w:id="790" w:name="_Toc19632"/>
      <w:bookmarkStart w:id="791" w:name="_Toc24996"/>
      <w:bookmarkStart w:id="792" w:name="_Toc120629030"/>
      <w:bookmarkStart w:id="793" w:name="_Toc20615"/>
      <w:bookmarkStart w:id="794" w:name="_Toc28591"/>
      <w:bookmarkStart w:id="795" w:name="_Toc1315"/>
      <w:r>
        <w:rPr>
          <w:rFonts w:hint="eastAsia" w:ascii="Times New Roman" w:hAnsi="Times New Roman" w:eastAsia="黑体" w:cs="Times New Roman"/>
          <w:b/>
          <w:color w:val="auto"/>
          <w:sz w:val="30"/>
          <w:highlight w:val="none"/>
          <w:lang w:val="en-US" w:eastAsia="zh-CN" w:bidi="ar-SA"/>
        </w:rPr>
        <w:t xml:space="preserve"> </w:t>
      </w:r>
      <w:bookmarkStart w:id="796" w:name="_Toc1299020330"/>
      <w:bookmarkStart w:id="797" w:name="_Toc66197069"/>
      <w:bookmarkStart w:id="798" w:name="_Toc26880"/>
      <w:bookmarkStart w:id="799" w:name="_Toc1002733287"/>
      <w:bookmarkStart w:id="800" w:name="_Toc19834"/>
      <w:bookmarkStart w:id="801" w:name="_Toc29059"/>
      <w:bookmarkStart w:id="802" w:name="_Toc327414189"/>
      <w:bookmarkStart w:id="803" w:name="_Toc6064"/>
      <w:bookmarkStart w:id="804" w:name="_Toc193093578"/>
      <w:r>
        <w:rPr>
          <w:rFonts w:hint="eastAsia" w:ascii="Times New Roman" w:hAnsi="Times New Roman" w:eastAsia="黑体" w:cs="Times New Roman"/>
          <w:b/>
          <w:color w:val="auto"/>
          <w:sz w:val="30"/>
          <w:highlight w:val="none"/>
          <w:lang w:val="en-US" w:eastAsia="zh-CN" w:bidi="ar-SA"/>
        </w:rPr>
        <w:t>智能化资产全生命周期管理</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6BFA6C6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能化全生命周期管理，从资产前期管理到资产新增建档，形成资产台账作为整个生命周期的基础，后续对资产使用、资产运维、资产抢修及维修过程各模块全方位管理，最后对资产报废及处置收尾过程进行管理。并基于资产使用、维护、维修、处置等过程全程跟踪结果，为资产前期管理提供经济、技术、可靠性依据，形成业务闭环。</w:t>
      </w:r>
    </w:p>
    <w:p w14:paraId="4307C69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同时资产全生命周期中，归集各具体业务系统如管网、生产系统数据，对整体资产业务运行中产生的成本数据、运行数据进行汇总分析，从不同维度对资产运行进行评估分析，形成智能化分析看板，也为领导层提供快速、准确、科学的决策信息。</w:t>
      </w:r>
    </w:p>
    <w:p w14:paraId="70BE6F6E">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805" w:name="_Toc997170909"/>
      <w:bookmarkStart w:id="806" w:name="_Toc22037"/>
      <w:bookmarkStart w:id="807" w:name="_Toc193093579"/>
      <w:bookmarkStart w:id="808" w:name="_Toc8001"/>
      <w:bookmarkStart w:id="809" w:name="_Toc2224"/>
      <w:bookmarkStart w:id="810" w:name="_Toc177609537"/>
      <w:bookmarkStart w:id="811" w:name="_Toc13017"/>
      <w:bookmarkStart w:id="812" w:name="_Toc1634176600"/>
      <w:bookmarkStart w:id="813" w:name="_Toc1315930908"/>
      <w:r>
        <w:rPr>
          <w:rFonts w:hint="eastAsia" w:ascii="Arial" w:hAnsi="Arial" w:eastAsia="黑体" w:cs="Times New Roman"/>
          <w:b/>
          <w:caps/>
          <w:color w:val="auto"/>
          <w:sz w:val="32"/>
          <w:szCs w:val="28"/>
          <w:highlight w:val="none"/>
          <w:lang w:val="en-US" w:eastAsia="zh-CN" w:bidi="ar-SA"/>
        </w:rPr>
        <w:t>项目总体设计方案</w:t>
      </w:r>
      <w:bookmarkEnd w:id="805"/>
      <w:bookmarkEnd w:id="806"/>
      <w:bookmarkEnd w:id="807"/>
      <w:bookmarkEnd w:id="808"/>
      <w:bookmarkEnd w:id="809"/>
      <w:bookmarkEnd w:id="810"/>
      <w:bookmarkEnd w:id="811"/>
      <w:bookmarkEnd w:id="812"/>
      <w:bookmarkEnd w:id="813"/>
    </w:p>
    <w:p w14:paraId="55CE0923">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814" w:name="_Toc32593"/>
      <w:bookmarkStart w:id="815" w:name="_Toc18482"/>
      <w:bookmarkStart w:id="816" w:name="_Toc16869"/>
      <w:bookmarkStart w:id="817" w:name="_Toc32676"/>
      <w:bookmarkStart w:id="818" w:name="_Toc535948738"/>
      <w:bookmarkStart w:id="819" w:name="_Toc5350"/>
      <w:bookmarkStart w:id="820" w:name="_Toc11277"/>
      <w:bookmarkStart w:id="821" w:name="_Toc17313"/>
      <w:bookmarkStart w:id="822" w:name="_Toc8282"/>
      <w:r>
        <w:rPr>
          <w:rFonts w:hint="eastAsia" w:ascii="Arial" w:hAnsi="Arial" w:eastAsia="黑体" w:cs="Times New Roman"/>
          <w:b/>
          <w:color w:val="auto"/>
          <w:sz w:val="32"/>
          <w:highlight w:val="none"/>
          <w:lang w:val="en-US" w:eastAsia="zh-CN" w:bidi="ar-SA"/>
        </w:rPr>
        <w:t xml:space="preserve"> </w:t>
      </w:r>
      <w:bookmarkStart w:id="823" w:name="_Toc17432"/>
      <w:bookmarkStart w:id="824" w:name="_Toc193093580"/>
      <w:bookmarkStart w:id="825" w:name="_Toc81219029"/>
      <w:bookmarkStart w:id="826" w:name="_Toc489086375"/>
      <w:bookmarkStart w:id="827" w:name="_Toc25081"/>
      <w:bookmarkStart w:id="828" w:name="_Toc22243"/>
      <w:bookmarkStart w:id="829" w:name="_Toc15967"/>
      <w:bookmarkStart w:id="830" w:name="_Toc1437754717"/>
      <w:bookmarkStart w:id="831" w:name="_Toc2064173950"/>
      <w:r>
        <w:rPr>
          <w:rFonts w:ascii="Arial" w:hAnsi="Arial" w:eastAsia="黑体" w:cs="Times New Roman"/>
          <w:b/>
          <w:color w:val="auto"/>
          <w:sz w:val="32"/>
          <w:highlight w:val="none"/>
          <w:lang w:val="en-US" w:eastAsia="zh-CN" w:bidi="ar-SA"/>
        </w:rPr>
        <w:t>项目总体目标</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C9EBC8C">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832" w:name="_Toc1037"/>
      <w:bookmarkStart w:id="833" w:name="_Toc26771"/>
      <w:bookmarkStart w:id="834" w:name="_Toc462503199"/>
      <w:bookmarkStart w:id="835" w:name="_Toc9021"/>
      <w:bookmarkStart w:id="836" w:name="_Toc12154"/>
      <w:bookmarkStart w:id="837" w:name="_Toc6720"/>
      <w:bookmarkStart w:id="838" w:name="_Toc474251940"/>
      <w:bookmarkStart w:id="839" w:name="_Toc30203"/>
      <w:bookmarkStart w:id="840" w:name="_Toc26417"/>
      <w:bookmarkStart w:id="841" w:name="_Toc535948739"/>
      <w:bookmarkStart w:id="842" w:name="_Toc31799"/>
      <w:r>
        <w:rPr>
          <w:rFonts w:hint="eastAsia" w:ascii="Times New Roman" w:hAnsi="Times New Roman" w:eastAsia="黑体" w:cs="Times New Roman"/>
          <w:b/>
          <w:color w:val="auto"/>
          <w:sz w:val="30"/>
          <w:highlight w:val="none"/>
          <w:lang w:val="en-US" w:eastAsia="zh-CN" w:bidi="ar-SA"/>
        </w:rPr>
        <w:t xml:space="preserve"> </w:t>
      </w:r>
      <w:bookmarkStart w:id="843" w:name="_Toc193093581"/>
      <w:bookmarkStart w:id="844" w:name="_Toc26613"/>
      <w:bookmarkStart w:id="845" w:name="_Toc2120744012"/>
      <w:bookmarkStart w:id="846" w:name="_Toc1654787556"/>
      <w:bookmarkStart w:id="847" w:name="_Toc20354"/>
      <w:bookmarkStart w:id="848" w:name="_Toc857532575"/>
      <w:bookmarkStart w:id="849" w:name="_Toc1396104558"/>
      <w:bookmarkStart w:id="850" w:name="_Toc27729"/>
      <w:bookmarkStart w:id="851" w:name="_Toc14082"/>
      <w:r>
        <w:rPr>
          <w:rFonts w:hint="eastAsia" w:ascii="Times New Roman" w:hAnsi="Times New Roman" w:eastAsia="黑体" w:cs="Times New Roman"/>
          <w:b/>
          <w:color w:val="auto"/>
          <w:sz w:val="30"/>
          <w:highlight w:val="none"/>
          <w:lang w:val="en-US" w:eastAsia="zh-CN" w:bidi="ar-SA"/>
        </w:rPr>
        <w:t>实现水厂少/无人控制运行</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18A558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实现水厂少/无人化控制运行是建设智慧水厂的核心，通过厂内自控系统实现全工艺流程自动化运行，各类控制指令的下达不再依赖人，而是由系统自动下达完成。参与控制过程的设备及通讯链路采用冗余设计，保障设备故障或网络中断时自动切换至备用方案。在工艺智能化运行时，系统自主驱动自来水厂处理设备实现控制目标，动态调整控制参数，以获得稳定与精准的控制效果，满足不断变化的运行工况下设备运行要求。将大量的简单、重复的工作完全由计算机接管。</w:t>
      </w:r>
    </w:p>
    <w:p w14:paraId="1CE9FD97">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852" w:name="_Toc462503200"/>
      <w:bookmarkStart w:id="853" w:name="_Toc4298"/>
      <w:bookmarkStart w:id="854" w:name="_Toc12112"/>
      <w:bookmarkStart w:id="855" w:name="_Toc474251941"/>
      <w:bookmarkStart w:id="856" w:name="_Toc14341"/>
      <w:bookmarkStart w:id="857" w:name="_Toc535948740"/>
      <w:bookmarkStart w:id="858" w:name="_Toc3212"/>
      <w:bookmarkStart w:id="859" w:name="_Toc156"/>
      <w:bookmarkStart w:id="860" w:name="_Toc18894"/>
      <w:bookmarkStart w:id="861" w:name="_Toc20484"/>
      <w:bookmarkStart w:id="862" w:name="_Toc19907"/>
      <w:r>
        <w:rPr>
          <w:rFonts w:hint="eastAsia" w:ascii="Times New Roman" w:hAnsi="Times New Roman" w:eastAsia="黑体" w:cs="Times New Roman"/>
          <w:b/>
          <w:color w:val="auto"/>
          <w:sz w:val="30"/>
          <w:highlight w:val="none"/>
          <w:lang w:val="en-US" w:eastAsia="zh-CN" w:bidi="ar-SA"/>
        </w:rPr>
        <w:t xml:space="preserve"> </w:t>
      </w:r>
      <w:bookmarkStart w:id="863" w:name="_Toc7446"/>
      <w:bookmarkStart w:id="864" w:name="_Toc1558520425"/>
      <w:bookmarkStart w:id="865" w:name="_Toc922979184"/>
      <w:bookmarkStart w:id="866" w:name="_Toc20689"/>
      <w:bookmarkStart w:id="867" w:name="_Toc21473"/>
      <w:bookmarkStart w:id="868" w:name="_Toc193093582"/>
      <w:bookmarkStart w:id="869" w:name="_Toc2101225042"/>
      <w:bookmarkStart w:id="870" w:name="_Toc787233008"/>
      <w:bookmarkStart w:id="871" w:name="_Toc14189"/>
      <w:r>
        <w:rPr>
          <w:rFonts w:hint="eastAsia" w:ascii="Times New Roman" w:hAnsi="Times New Roman" w:eastAsia="黑体" w:cs="Times New Roman"/>
          <w:b/>
          <w:color w:val="auto"/>
          <w:sz w:val="30"/>
          <w:highlight w:val="none"/>
          <w:lang w:val="en-US" w:eastAsia="zh-CN" w:bidi="ar-SA"/>
        </w:rPr>
        <w:t>远程与移动监</w:t>
      </w:r>
      <w:bookmarkEnd w:id="852"/>
      <w:r>
        <w:rPr>
          <w:rFonts w:hint="eastAsia" w:ascii="Times New Roman" w:hAnsi="Times New Roman" w:eastAsia="黑体" w:cs="Times New Roman"/>
          <w:b/>
          <w:color w:val="auto"/>
          <w:sz w:val="30"/>
          <w:highlight w:val="none"/>
          <w:lang w:val="en-US" w:eastAsia="zh-CN" w:bidi="ar-SA"/>
        </w:rPr>
        <w:t>管</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1E94464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云平台系统和手机移动APP，管理人员能够远程实时监视自来水厂运行，在线显示厂内仪表监测数据和设备运转信号。一旦系统检测发现运行异常，立即发布预警和报警信息，调用相应的报警处置模块，采取对应的自动应对策略，确保生产安全，并以短信或微信等方式发送至相关人员。通过调取相应监测点视频监控录像，启动专家系统进行故障诊断与风险预测，形成监控、报警、诊断的一体化联动机制。</w:t>
      </w:r>
    </w:p>
    <w:p w14:paraId="2F03CBA0">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872" w:name="_Toc28043"/>
      <w:bookmarkStart w:id="873" w:name="_Toc6061"/>
      <w:bookmarkStart w:id="874" w:name="_Toc517773141"/>
      <w:bookmarkStart w:id="875" w:name="_Toc22254"/>
      <w:bookmarkStart w:id="876" w:name="_Toc535948741"/>
      <w:bookmarkStart w:id="877" w:name="_Toc4368"/>
      <w:bookmarkStart w:id="878" w:name="_Toc30966"/>
      <w:bookmarkStart w:id="879" w:name="_Toc24310"/>
      <w:bookmarkStart w:id="880" w:name="_Toc7387"/>
      <w:bookmarkStart w:id="881" w:name="_Toc719"/>
      <w:r>
        <w:rPr>
          <w:rFonts w:hint="eastAsia" w:ascii="Times New Roman" w:hAnsi="Times New Roman" w:eastAsia="黑体" w:cs="Times New Roman"/>
          <w:b/>
          <w:color w:val="auto"/>
          <w:sz w:val="30"/>
          <w:highlight w:val="none"/>
          <w:lang w:val="en-US" w:eastAsia="zh-CN" w:bidi="ar-SA"/>
        </w:rPr>
        <w:t xml:space="preserve"> </w:t>
      </w:r>
      <w:bookmarkStart w:id="882" w:name="_Toc193093583"/>
      <w:bookmarkStart w:id="883" w:name="_Toc1194740516"/>
      <w:bookmarkStart w:id="884" w:name="_Toc2068189626"/>
      <w:bookmarkStart w:id="885" w:name="_Toc14374"/>
      <w:bookmarkStart w:id="886" w:name="_Toc26307"/>
      <w:bookmarkStart w:id="887" w:name="_Toc4358"/>
      <w:bookmarkStart w:id="888" w:name="_Toc1236763207"/>
      <w:bookmarkStart w:id="889" w:name="_Toc378416289"/>
      <w:bookmarkStart w:id="890" w:name="_Toc1380"/>
      <w:r>
        <w:rPr>
          <w:rFonts w:hint="eastAsia" w:ascii="Times New Roman" w:hAnsi="Times New Roman" w:eastAsia="黑体" w:cs="Times New Roman"/>
          <w:b/>
          <w:color w:val="auto"/>
          <w:sz w:val="30"/>
          <w:highlight w:val="none"/>
          <w:lang w:val="en-US" w:eastAsia="zh-CN" w:bidi="ar-SA"/>
        </w:rPr>
        <w:t>全面的信息感知</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5C0707E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对厂内设备设施信息、设备运行数据、视频信息、安防门禁信息等信息进行集中采集，同时对水厂周边数据(如管网数据、水文数据)进行按需收集。通过信息收集的全面性、信息处理的快速性，可以全面地把握水厂全局的信息状况。</w:t>
      </w:r>
    </w:p>
    <w:p w14:paraId="740F762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891" w:name="_Toc25021"/>
      <w:bookmarkStart w:id="892" w:name="_Toc6837"/>
      <w:bookmarkStart w:id="893" w:name="_Toc8860"/>
      <w:bookmarkStart w:id="894" w:name="_Toc25507"/>
      <w:bookmarkStart w:id="895" w:name="_Toc517773143"/>
      <w:bookmarkStart w:id="896" w:name="_Toc19535"/>
      <w:bookmarkStart w:id="897" w:name="_Toc535948742"/>
      <w:bookmarkStart w:id="898" w:name="_Toc5700"/>
      <w:bookmarkStart w:id="899" w:name="_Toc3499"/>
      <w:bookmarkStart w:id="900" w:name="_Toc6282"/>
      <w:r>
        <w:rPr>
          <w:rFonts w:hint="eastAsia" w:ascii="Times New Roman" w:hAnsi="Times New Roman" w:eastAsia="黑体" w:cs="Times New Roman"/>
          <w:b/>
          <w:color w:val="auto"/>
          <w:sz w:val="30"/>
          <w:highlight w:val="none"/>
          <w:lang w:val="en-US" w:eastAsia="zh-CN" w:bidi="ar-SA"/>
        </w:rPr>
        <w:t xml:space="preserve"> </w:t>
      </w:r>
      <w:bookmarkStart w:id="901" w:name="_Toc18150"/>
      <w:bookmarkStart w:id="902" w:name="_Toc785000736"/>
      <w:bookmarkStart w:id="903" w:name="_Toc193093584"/>
      <w:bookmarkStart w:id="904" w:name="_Toc1343490456"/>
      <w:bookmarkStart w:id="905" w:name="_Toc1031752962"/>
      <w:bookmarkStart w:id="906" w:name="_Toc19983"/>
      <w:bookmarkStart w:id="907" w:name="_Toc14291"/>
      <w:bookmarkStart w:id="908" w:name="_Toc10079"/>
      <w:bookmarkStart w:id="909" w:name="_Toc892733840"/>
      <w:r>
        <w:rPr>
          <w:rFonts w:hint="eastAsia" w:ascii="Times New Roman" w:hAnsi="Times New Roman" w:eastAsia="黑体" w:cs="Times New Roman"/>
          <w:b/>
          <w:color w:val="auto"/>
          <w:sz w:val="30"/>
          <w:highlight w:val="none"/>
          <w:lang w:val="en-US" w:eastAsia="zh-CN" w:bidi="ar-SA"/>
        </w:rPr>
        <w:t>高可靠的水厂运营安全性</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C52215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智慧水厂能够依靠先进的技术进行监测，及时发现问题，及时作出合理的方案， 对设备运行过程中出现的故障、告警进行故障诊断分析，快速发现问题根源，及时处理问题。对水厂生产运行过程中各种突发事件，比如提水泵故障、进水水质变化等，能够提供准确的解决方案或建议，使应对处理更加及时、有效。</w:t>
      </w:r>
    </w:p>
    <w:p w14:paraId="03D4744B">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910" w:name="_Toc31335"/>
      <w:bookmarkStart w:id="911" w:name="_Toc474251944"/>
      <w:bookmarkStart w:id="912" w:name="_Toc13932"/>
      <w:bookmarkStart w:id="913" w:name="_Toc15082"/>
      <w:bookmarkStart w:id="914" w:name="_Toc18299"/>
      <w:bookmarkStart w:id="915" w:name="_Toc462503203"/>
      <w:bookmarkStart w:id="916" w:name="_Toc14598"/>
      <w:bookmarkStart w:id="917" w:name="_Toc20405"/>
      <w:bookmarkStart w:id="918" w:name="_Toc4891"/>
      <w:bookmarkStart w:id="919" w:name="_Toc14456"/>
      <w:bookmarkStart w:id="920" w:name="_Toc535948743"/>
      <w:r>
        <w:rPr>
          <w:rFonts w:hint="eastAsia" w:ascii="Times New Roman" w:hAnsi="Times New Roman" w:eastAsia="黑体" w:cs="Times New Roman"/>
          <w:b/>
          <w:color w:val="auto"/>
          <w:sz w:val="30"/>
          <w:highlight w:val="none"/>
          <w:lang w:val="en-US" w:eastAsia="zh-CN" w:bidi="ar-SA"/>
        </w:rPr>
        <w:t xml:space="preserve"> </w:t>
      </w:r>
      <w:bookmarkStart w:id="921" w:name="_Toc30850"/>
      <w:bookmarkStart w:id="922" w:name="_Toc1889066456"/>
      <w:bookmarkStart w:id="923" w:name="_Toc1515326431"/>
      <w:bookmarkStart w:id="924" w:name="_Toc193093585"/>
      <w:bookmarkStart w:id="925" w:name="_Toc30234"/>
      <w:bookmarkStart w:id="926" w:name="_Toc8151"/>
      <w:bookmarkStart w:id="927" w:name="_Toc1401029434"/>
      <w:bookmarkStart w:id="928" w:name="_Toc1856890938"/>
      <w:bookmarkStart w:id="929" w:name="_Toc3307"/>
      <w:r>
        <w:rPr>
          <w:rFonts w:hint="eastAsia" w:ascii="Times New Roman" w:hAnsi="Times New Roman" w:eastAsia="黑体" w:cs="Times New Roman"/>
          <w:b/>
          <w:color w:val="auto"/>
          <w:sz w:val="30"/>
          <w:highlight w:val="none"/>
          <w:lang w:val="en-US" w:eastAsia="zh-CN" w:bidi="ar-SA"/>
        </w:rPr>
        <w:t>绩效指标管理与分析</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4A52B2C0">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CN"/>
        </w:rPr>
        <w:t>建立自来水厂运行关键绩效指标评估机制，从管理质量、能耗分析、设备运行效率、运行工艺参数等多个方面定期对自来水厂的运行管理状况进行综合性评定。通过信息系统，应用绩效评估指标体系，对自来水厂业务管理数据进行统计计算与评估分析。以多维度统计图表的方式展现绩效结果，识别自来水厂运行管理薄弱环节，为自来水厂运行管理优化提供决策支持。建立信息化绩效评估机制需在管理和技术上总结大量经验进而推陈出新，这部分内容的开展可在自来水厂实现自动化运营后逐步深入研究，建立一套完善的运营监管机制，使管理人员通过定性和定量的精细化管理的了解自来水厂运行的健康程度。</w:t>
      </w:r>
      <w:r>
        <w:rPr>
          <w:rFonts w:hint="eastAsia" w:ascii="Times New Roman" w:hAnsi="Times New Roman" w:eastAsia="宋体" w:cs="Times New Roman"/>
          <w:color w:val="auto"/>
          <w:kern w:val="0"/>
          <w:sz w:val="24"/>
          <w:highlight w:val="none"/>
          <w:lang w:eastAsia="en-US"/>
        </w:rPr>
        <w:t>以满足自来水厂合理化、最优化运营的需要。</w:t>
      </w:r>
    </w:p>
    <w:p w14:paraId="363E0551">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930" w:name="_Toc20121"/>
      <w:bookmarkStart w:id="931" w:name="_Toc24809"/>
      <w:bookmarkStart w:id="932" w:name="_Toc2178"/>
      <w:bookmarkStart w:id="933" w:name="_Toc535948744"/>
      <w:bookmarkStart w:id="934" w:name="_Toc876"/>
      <w:bookmarkStart w:id="935" w:name="_Toc15398"/>
      <w:bookmarkStart w:id="936" w:name="_Toc13861"/>
      <w:bookmarkStart w:id="937" w:name="_Toc26209"/>
      <w:bookmarkStart w:id="938" w:name="_Toc15556"/>
      <w:r>
        <w:rPr>
          <w:rFonts w:hint="eastAsia" w:ascii="Times New Roman" w:hAnsi="Times New Roman" w:eastAsia="黑体" w:cs="Times New Roman"/>
          <w:b/>
          <w:color w:val="auto"/>
          <w:sz w:val="30"/>
          <w:highlight w:val="none"/>
          <w:lang w:val="en-US" w:eastAsia="zh-CN" w:bidi="ar-SA"/>
        </w:rPr>
        <w:t xml:space="preserve"> </w:t>
      </w:r>
      <w:bookmarkStart w:id="939" w:name="_Toc32035"/>
      <w:bookmarkStart w:id="940" w:name="_Toc1082756044"/>
      <w:bookmarkStart w:id="941" w:name="_Toc6418"/>
      <w:bookmarkStart w:id="942" w:name="_Toc2090991530"/>
      <w:bookmarkStart w:id="943" w:name="_Toc1533636762"/>
      <w:bookmarkStart w:id="944" w:name="_Toc24814"/>
      <w:bookmarkStart w:id="945" w:name="_Toc193093586"/>
      <w:bookmarkStart w:id="946" w:name="_Toc1141688744"/>
      <w:bookmarkStart w:id="947" w:name="_Toc21785"/>
      <w:r>
        <w:rPr>
          <w:rFonts w:hint="eastAsia" w:ascii="Times New Roman" w:hAnsi="Times New Roman" w:eastAsia="黑体" w:cs="Times New Roman"/>
          <w:b/>
          <w:color w:val="auto"/>
          <w:sz w:val="30"/>
          <w:highlight w:val="none"/>
          <w:lang w:val="en-US" w:eastAsia="zh-CN" w:bidi="ar-SA"/>
        </w:rPr>
        <w:t>具备科学决策水平</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408AC55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基于全面的信息感知，依靠智能仿真、智能诊断、智能预报、智能控制和智能服务于一体，利用智能专家决策系统，对数据进行综合运用，能为水厂运营中的设备故障诊断、生产调配、方案择优、运营管理等提供科学化的辅助决策支持。</w:t>
      </w:r>
    </w:p>
    <w:p w14:paraId="5A672D63">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948" w:name="_Toc9172"/>
      <w:bookmarkStart w:id="949" w:name="_Toc11608"/>
      <w:bookmarkStart w:id="950" w:name="_Toc18203"/>
      <w:bookmarkStart w:id="951" w:name="_Toc26083"/>
      <w:bookmarkStart w:id="952" w:name="_Toc22196"/>
      <w:bookmarkStart w:id="953" w:name="_Toc27199"/>
      <w:r>
        <w:rPr>
          <w:rFonts w:hint="eastAsia" w:ascii="Arial" w:hAnsi="Arial" w:eastAsia="黑体" w:cs="Times New Roman"/>
          <w:b/>
          <w:color w:val="auto"/>
          <w:sz w:val="32"/>
          <w:highlight w:val="none"/>
          <w:lang w:val="en-US" w:eastAsia="zh-CN" w:bidi="ar-SA"/>
        </w:rPr>
        <w:t xml:space="preserve"> </w:t>
      </w:r>
      <w:bookmarkStart w:id="954" w:name="_Toc104406830"/>
      <w:bookmarkStart w:id="955" w:name="_Toc15618"/>
      <w:bookmarkStart w:id="956" w:name="_Toc32749"/>
      <w:bookmarkStart w:id="957" w:name="_Toc596334463"/>
      <w:bookmarkStart w:id="958" w:name="_Toc5535"/>
      <w:bookmarkStart w:id="959" w:name="_Toc19512"/>
      <w:bookmarkStart w:id="960" w:name="_Toc1734327640"/>
      <w:bookmarkStart w:id="961" w:name="_Toc1872245202"/>
      <w:bookmarkStart w:id="962" w:name="_Toc193093587"/>
      <w:r>
        <w:rPr>
          <w:rFonts w:ascii="Arial" w:hAnsi="Arial" w:eastAsia="黑体" w:cs="Times New Roman"/>
          <w:b/>
          <w:color w:val="auto"/>
          <w:sz w:val="32"/>
          <w:highlight w:val="none"/>
          <w:lang w:val="en-US" w:eastAsia="zh-CN" w:bidi="ar-SA"/>
        </w:rPr>
        <w:t>北部水厂智慧</w:t>
      </w:r>
      <w:r>
        <w:rPr>
          <w:rFonts w:hint="eastAsia" w:ascii="Arial" w:hAnsi="Arial" w:eastAsia="黑体" w:cs="Times New Roman"/>
          <w:b/>
          <w:color w:val="auto"/>
          <w:sz w:val="32"/>
          <w:highlight w:val="none"/>
          <w:lang w:val="en-US" w:eastAsia="zh-CN" w:bidi="ar-SA"/>
        </w:rPr>
        <w:t>化</w:t>
      </w:r>
      <w:r>
        <w:rPr>
          <w:rFonts w:ascii="Arial" w:hAnsi="Arial" w:eastAsia="黑体" w:cs="Times New Roman"/>
          <w:b/>
          <w:color w:val="auto"/>
          <w:sz w:val="32"/>
          <w:highlight w:val="none"/>
          <w:lang w:val="en-US" w:eastAsia="zh-CN" w:bidi="ar-SA"/>
        </w:rPr>
        <w:t>系统架构设计</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30823BF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北部水厂智慧</w:t>
      </w:r>
      <w:r>
        <w:rPr>
          <w:rFonts w:hint="eastAsia" w:ascii="Times New Roman" w:hAnsi="Times New Roman" w:eastAsia="宋体" w:cs="Times New Roman"/>
          <w:color w:val="auto"/>
          <w:kern w:val="0"/>
          <w:sz w:val="24"/>
          <w:highlight w:val="none"/>
          <w:lang w:val="en-US" w:eastAsia="zh-CN"/>
        </w:rPr>
        <w:t>化</w:t>
      </w:r>
      <w:r>
        <w:rPr>
          <w:rFonts w:hint="eastAsia" w:ascii="Times New Roman" w:hAnsi="Times New Roman" w:eastAsia="宋体" w:cs="Times New Roman"/>
          <w:color w:val="auto"/>
          <w:kern w:val="0"/>
          <w:sz w:val="24"/>
          <w:highlight w:val="none"/>
          <w:lang w:eastAsia="zh-CN"/>
        </w:rPr>
        <w:t>系统由网络隔离设备分为现场控制部分和现场管理部分，共分四个层：设备层、智慧控制层、业务支持层、运营决策层。物联网平台分两层部署，通过安全设备，提供数据连接。应用程序和算法推理等应用，在公司平台开发，可封装后再水厂边缘部署，完成智慧水厂控制功能和管理功能。北部水厂计算和存储资源按云平台模式部署，并能接受统一管理。</w:t>
      </w:r>
    </w:p>
    <w:p w14:paraId="756C6BA1">
      <w:pPr>
        <w:widowControl/>
        <w:spacing w:line="360" w:lineRule="auto"/>
        <w:ind w:firstLine="0" w:firstLineChars="0"/>
        <w:rPr>
          <w:rFonts w:hint="eastAsia" w:ascii="仿宋_GB2312" w:hAnsi="仿宋_GB2312" w:eastAsia="仿宋_GB2312" w:cs="仿宋_GB2312"/>
          <w:color w:val="auto"/>
          <w:kern w:val="0"/>
          <w:sz w:val="28"/>
          <w:szCs w:val="28"/>
          <w:highlight w:val="none"/>
          <w:lang w:eastAsia="zh-CN"/>
        </w:rPr>
      </w:pPr>
      <w:r>
        <w:rPr>
          <w:rFonts w:ascii="仿宋_GB2312" w:hAnsi="仿宋_GB2312" w:eastAsia="仿宋_GB2312" w:cs="仿宋_GB2312"/>
          <w:color w:val="auto"/>
          <w:kern w:val="0"/>
          <w:sz w:val="28"/>
          <w:szCs w:val="28"/>
          <w:highlight w:val="none"/>
          <w:lang w:eastAsia="zh-CN"/>
        </w:rPr>
        <w:drawing>
          <wp:inline distT="0" distB="0" distL="114300" distR="114300">
            <wp:extent cx="5264150" cy="3259455"/>
            <wp:effectExtent l="0" t="0" r="12700" b="17145"/>
            <wp:docPr id="75" name="图片 3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descr="图片2"/>
                    <pic:cNvPicPr>
                      <a:picLocks noChangeAspect="1"/>
                    </pic:cNvPicPr>
                  </pic:nvPicPr>
                  <pic:blipFill>
                    <a:blip r:embed="rId26"/>
                    <a:stretch>
                      <a:fillRect/>
                    </a:stretch>
                  </pic:blipFill>
                  <pic:spPr>
                    <a:xfrm>
                      <a:off x="0" y="0"/>
                      <a:ext cx="5264150" cy="3259455"/>
                    </a:xfrm>
                    <a:prstGeom prst="rect">
                      <a:avLst/>
                    </a:prstGeom>
                    <a:noFill/>
                    <a:ln>
                      <a:noFill/>
                    </a:ln>
                  </pic:spPr>
                </pic:pic>
              </a:graphicData>
            </a:graphic>
          </wp:inline>
        </w:drawing>
      </w:r>
    </w:p>
    <w:p w14:paraId="5A44AB3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963" w:name="_Toc12126"/>
      <w:bookmarkStart w:id="964" w:name="_Toc11818"/>
      <w:bookmarkStart w:id="965" w:name="_Toc32158"/>
      <w:bookmarkStart w:id="966" w:name="_Toc6473"/>
      <w:bookmarkStart w:id="967" w:name="_Toc11584"/>
      <w:bookmarkStart w:id="968" w:name="_Toc25849"/>
      <w:r>
        <w:rPr>
          <w:rFonts w:hint="eastAsia" w:ascii="Times New Roman" w:hAnsi="Times New Roman" w:eastAsia="黑体" w:cs="Times New Roman"/>
          <w:b/>
          <w:color w:val="auto"/>
          <w:sz w:val="30"/>
          <w:highlight w:val="none"/>
          <w:lang w:val="en-US" w:eastAsia="zh-CN" w:bidi="ar-SA"/>
        </w:rPr>
        <w:t xml:space="preserve"> </w:t>
      </w:r>
      <w:bookmarkStart w:id="969" w:name="_Toc18957"/>
      <w:bookmarkStart w:id="970" w:name="_Toc271452211"/>
      <w:bookmarkStart w:id="971" w:name="_Toc22381"/>
      <w:bookmarkStart w:id="972" w:name="_Toc193093588"/>
      <w:bookmarkStart w:id="973" w:name="_Toc17227"/>
      <w:bookmarkStart w:id="974" w:name="_Toc287139092"/>
      <w:bookmarkStart w:id="975" w:name="_Toc2919"/>
      <w:bookmarkStart w:id="976" w:name="_Toc1894714170"/>
      <w:bookmarkStart w:id="977" w:name="_Toc1049104749"/>
      <w:r>
        <w:rPr>
          <w:rFonts w:hint="eastAsia" w:ascii="Times New Roman" w:hAnsi="Times New Roman" w:eastAsia="黑体" w:cs="Times New Roman"/>
          <w:b/>
          <w:color w:val="auto"/>
          <w:sz w:val="30"/>
          <w:highlight w:val="none"/>
          <w:lang w:val="en-US" w:eastAsia="zh-CN" w:bidi="ar-SA"/>
        </w:rPr>
        <w:t>设备层</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517B87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物联网边缘</w:t>
      </w:r>
    </w:p>
    <w:p w14:paraId="5438E02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物联网可实现两级部署，通过配置物联网节点、节点设备、接入协议和数据源，完成数据采集，并提供现场数据存储和利用的功能。物联网边缘通过协议可上传数据到物联网平台，实现数据的统一管理和利用。</w:t>
      </w:r>
    </w:p>
    <w:p w14:paraId="6415D80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声、视频处理模块</w:t>
      </w:r>
    </w:p>
    <w:p w14:paraId="5CDA291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实现声、视频按标准统一采集和存储，包括安防、生产、无人机、机器人等信号源，并对外提供标准声、视频信号，满足AI应用需求。</w:t>
      </w:r>
    </w:p>
    <w:p w14:paraId="003FCDA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水厂数据模块</w:t>
      </w:r>
    </w:p>
    <w:p w14:paraId="264EFA24">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能对各类数据采集数据进行清洗、存储。存储类型包括内存型数据库、日志型数据库、非结构化数据库等。</w:t>
      </w:r>
    </w:p>
    <w:p w14:paraId="409C913C">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p>
    <w:p w14:paraId="72CCEC64">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AI算力模块</w:t>
      </w:r>
    </w:p>
    <w:p w14:paraId="7A460FFA">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 算力模块集成先进的计算芯片与高效算法架构，</w:t>
      </w:r>
      <w:r>
        <w:rPr>
          <w:rFonts w:hint="eastAsia" w:ascii="Times New Roman" w:hAnsi="Times New Roman" w:eastAsia="宋体" w:cs="Times New Roman"/>
          <w:color w:val="auto"/>
          <w:kern w:val="0"/>
          <w:sz w:val="24"/>
          <w:highlight w:val="none"/>
          <w:lang w:val="en-US" w:eastAsia="zh-CN"/>
        </w:rPr>
        <w:t>可</w:t>
      </w:r>
      <w:r>
        <w:rPr>
          <w:rFonts w:hint="eastAsia" w:ascii="Times New Roman" w:hAnsi="Times New Roman" w:eastAsia="宋体" w:cs="Times New Roman"/>
          <w:color w:val="auto"/>
          <w:kern w:val="0"/>
          <w:sz w:val="24"/>
          <w:highlight w:val="none"/>
          <w:lang w:eastAsia="zh-CN"/>
        </w:rPr>
        <w:t>提供</w:t>
      </w:r>
      <w:r>
        <w:rPr>
          <w:rFonts w:hint="eastAsia" w:ascii="Times New Roman" w:hAnsi="Times New Roman" w:eastAsia="宋体" w:cs="Times New Roman"/>
          <w:color w:val="auto"/>
          <w:kern w:val="0"/>
          <w:sz w:val="24"/>
          <w:highlight w:val="none"/>
          <w:lang w:val="en-US" w:eastAsia="zh-CN"/>
        </w:rPr>
        <w:t>强大的</w:t>
      </w:r>
      <w:r>
        <w:rPr>
          <w:rFonts w:hint="eastAsia" w:ascii="Times New Roman" w:hAnsi="Times New Roman" w:eastAsia="宋体" w:cs="Times New Roman"/>
          <w:color w:val="auto"/>
          <w:kern w:val="0"/>
          <w:sz w:val="24"/>
          <w:highlight w:val="none"/>
          <w:lang w:eastAsia="zh-CN"/>
        </w:rPr>
        <w:t>运算</w:t>
      </w:r>
      <w:r>
        <w:rPr>
          <w:rFonts w:hint="eastAsia" w:ascii="Times New Roman" w:hAnsi="Times New Roman" w:eastAsia="宋体" w:cs="Times New Roman"/>
          <w:color w:val="auto"/>
          <w:kern w:val="0"/>
          <w:sz w:val="24"/>
          <w:highlight w:val="none"/>
          <w:lang w:val="en-US" w:eastAsia="zh-CN"/>
        </w:rPr>
        <w:t>能</w:t>
      </w:r>
      <w:r>
        <w:rPr>
          <w:rFonts w:hint="eastAsia" w:ascii="Times New Roman" w:hAnsi="Times New Roman" w:eastAsia="宋体" w:cs="Times New Roman"/>
          <w:color w:val="auto"/>
          <w:kern w:val="0"/>
          <w:sz w:val="24"/>
          <w:highlight w:val="none"/>
          <w:lang w:eastAsia="zh-CN"/>
        </w:rPr>
        <w:t>力，</w:t>
      </w:r>
      <w:r>
        <w:rPr>
          <w:rFonts w:hint="eastAsia" w:ascii="Times New Roman" w:hAnsi="Times New Roman" w:eastAsia="宋体" w:cs="Times New Roman"/>
          <w:color w:val="auto"/>
          <w:kern w:val="0"/>
          <w:sz w:val="24"/>
          <w:highlight w:val="none"/>
          <w:lang w:val="en-US" w:eastAsia="zh-CN"/>
        </w:rPr>
        <w:t>支撑智慧水厂</w:t>
      </w:r>
      <w:r>
        <w:rPr>
          <w:rFonts w:hint="eastAsia" w:ascii="Times New Roman" w:hAnsi="Times New Roman" w:eastAsia="宋体" w:cs="Times New Roman"/>
          <w:color w:val="auto"/>
          <w:kern w:val="0"/>
          <w:sz w:val="24"/>
          <w:highlight w:val="none"/>
          <w:lang w:eastAsia="zh-CN"/>
        </w:rPr>
        <w:t>模型的开发、管理、训练、服务</w:t>
      </w:r>
      <w:r>
        <w:rPr>
          <w:rFonts w:hint="eastAsia" w:ascii="Times New Roman" w:hAnsi="Times New Roman" w:eastAsia="宋体" w:cs="Times New Roman"/>
          <w:color w:val="auto"/>
          <w:kern w:val="0"/>
          <w:sz w:val="24"/>
          <w:highlight w:val="none"/>
          <w:lang w:val="en-US" w:eastAsia="zh-CN"/>
        </w:rPr>
        <w:t>等多个</w:t>
      </w:r>
      <w:r>
        <w:rPr>
          <w:rFonts w:hint="eastAsia" w:ascii="Times New Roman" w:hAnsi="Times New Roman" w:eastAsia="宋体" w:cs="Times New Roman"/>
          <w:color w:val="auto"/>
          <w:kern w:val="0"/>
          <w:sz w:val="24"/>
          <w:highlight w:val="none"/>
          <w:lang w:eastAsia="zh-CN"/>
        </w:rPr>
        <w:t xml:space="preserve"> AI </w:t>
      </w:r>
      <w:r>
        <w:rPr>
          <w:rFonts w:hint="eastAsia" w:ascii="Times New Roman" w:hAnsi="Times New Roman" w:eastAsia="宋体" w:cs="Times New Roman"/>
          <w:color w:val="auto"/>
          <w:kern w:val="0"/>
          <w:sz w:val="24"/>
          <w:highlight w:val="none"/>
          <w:lang w:val="en-US" w:eastAsia="zh-CN"/>
        </w:rPr>
        <w:t>应用</w:t>
      </w:r>
      <w:r>
        <w:rPr>
          <w:rFonts w:hint="eastAsia" w:ascii="Times New Roman" w:hAnsi="Times New Roman" w:eastAsia="宋体" w:cs="Times New Roman"/>
          <w:color w:val="auto"/>
          <w:kern w:val="0"/>
          <w:sz w:val="24"/>
          <w:highlight w:val="none"/>
          <w:lang w:eastAsia="zh-CN"/>
        </w:rPr>
        <w:t>，助力提升整体业务的智能化水平与运行效率。</w:t>
      </w:r>
    </w:p>
    <w:tbl>
      <w:tblPr>
        <w:tblStyle w:val="20"/>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1367"/>
        <w:gridCol w:w="1325"/>
        <w:gridCol w:w="1717"/>
        <w:gridCol w:w="2308"/>
      </w:tblGrid>
      <w:tr w14:paraId="352F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tcBorders>
              <w:tl2br w:val="single" w:color="auto" w:sz="4" w:space="0"/>
            </w:tcBorders>
            <w:noWrap w:val="0"/>
            <w:vAlign w:val="center"/>
          </w:tcPr>
          <w:p w14:paraId="730376F7">
            <w:pPr>
              <w:widowControl/>
              <w:numPr>
                <w:ilvl w:val="0"/>
                <w:numId w:val="0"/>
              </w:numPr>
              <w:spacing w:line="360" w:lineRule="auto"/>
              <w:ind w:firstLine="1200" w:firstLineChars="500"/>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参数</w:t>
            </w:r>
          </w:p>
          <w:p w14:paraId="2AD64243">
            <w:pPr>
              <w:widowControl/>
              <w:numPr>
                <w:ilvl w:val="0"/>
                <w:numId w:val="0"/>
              </w:numPr>
              <w:spacing w:line="360" w:lineRule="auto"/>
              <w:ind w:firstLine="480" w:firstLineChars="200"/>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类型</w:t>
            </w:r>
          </w:p>
        </w:tc>
        <w:tc>
          <w:tcPr>
            <w:tcW w:w="1367" w:type="dxa"/>
            <w:noWrap w:val="0"/>
            <w:vAlign w:val="center"/>
          </w:tcPr>
          <w:p w14:paraId="62524694">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CPU</w:t>
            </w:r>
          </w:p>
        </w:tc>
        <w:tc>
          <w:tcPr>
            <w:tcW w:w="1325" w:type="dxa"/>
            <w:noWrap w:val="0"/>
            <w:vAlign w:val="center"/>
          </w:tcPr>
          <w:p w14:paraId="19BC23C1">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内存</w:t>
            </w:r>
          </w:p>
        </w:tc>
        <w:tc>
          <w:tcPr>
            <w:tcW w:w="1717" w:type="dxa"/>
            <w:noWrap w:val="0"/>
            <w:vAlign w:val="center"/>
          </w:tcPr>
          <w:p w14:paraId="78DC809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存储</w:t>
            </w:r>
          </w:p>
        </w:tc>
        <w:tc>
          <w:tcPr>
            <w:tcW w:w="2308" w:type="dxa"/>
            <w:noWrap w:val="0"/>
            <w:vAlign w:val="center"/>
          </w:tcPr>
          <w:p w14:paraId="049C731C">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备注</w:t>
            </w:r>
          </w:p>
        </w:tc>
      </w:tr>
      <w:tr w14:paraId="3523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4422E50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一、常规计算能力服务器</w:t>
            </w:r>
          </w:p>
        </w:tc>
        <w:tc>
          <w:tcPr>
            <w:tcW w:w="1367" w:type="dxa"/>
            <w:noWrap w:val="0"/>
            <w:vAlign w:val="center"/>
          </w:tcPr>
          <w:p w14:paraId="1C538D7F">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≤600C</w:t>
            </w:r>
          </w:p>
        </w:tc>
        <w:tc>
          <w:tcPr>
            <w:tcW w:w="1325" w:type="dxa"/>
            <w:noWrap w:val="0"/>
            <w:vAlign w:val="center"/>
          </w:tcPr>
          <w:p w14:paraId="4CFFB0B2">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≤2.5TB</w:t>
            </w:r>
          </w:p>
        </w:tc>
        <w:tc>
          <w:tcPr>
            <w:tcW w:w="1717" w:type="dxa"/>
            <w:noWrap w:val="0"/>
            <w:vAlign w:val="center"/>
          </w:tcPr>
          <w:p w14:paraId="3F0094E9">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 xml:space="preserve">≤70TB </w:t>
            </w:r>
          </w:p>
        </w:tc>
        <w:tc>
          <w:tcPr>
            <w:tcW w:w="2308" w:type="dxa"/>
            <w:noWrap w:val="0"/>
            <w:vAlign w:val="center"/>
          </w:tcPr>
          <w:p w14:paraId="65A2B107">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w:t>
            </w:r>
          </w:p>
        </w:tc>
      </w:tr>
      <w:tr w14:paraId="667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7A017C54">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二、AI算力服务器</w:t>
            </w:r>
          </w:p>
        </w:tc>
        <w:tc>
          <w:tcPr>
            <w:tcW w:w="1367" w:type="dxa"/>
            <w:noWrap w:val="0"/>
            <w:vAlign w:val="center"/>
          </w:tcPr>
          <w:p w14:paraId="305F5B2E">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≤600C</w:t>
            </w:r>
          </w:p>
        </w:tc>
        <w:tc>
          <w:tcPr>
            <w:tcW w:w="1325" w:type="dxa"/>
            <w:noWrap w:val="0"/>
            <w:vAlign w:val="center"/>
          </w:tcPr>
          <w:p w14:paraId="75606698">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≤2.5TB</w:t>
            </w:r>
          </w:p>
        </w:tc>
        <w:tc>
          <w:tcPr>
            <w:tcW w:w="1717" w:type="dxa"/>
            <w:noWrap w:val="0"/>
            <w:vAlign w:val="center"/>
          </w:tcPr>
          <w:p w14:paraId="1F86DCE5">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 xml:space="preserve">≤35TB </w:t>
            </w:r>
          </w:p>
        </w:tc>
        <w:tc>
          <w:tcPr>
            <w:tcW w:w="2308" w:type="dxa"/>
            <w:noWrap w:val="0"/>
            <w:vAlign w:val="center"/>
          </w:tcPr>
          <w:p w14:paraId="166B0F7F">
            <w:pPr>
              <w:widowControl/>
              <w:numPr>
                <w:ilvl w:val="0"/>
                <w:numId w:val="0"/>
              </w:numPr>
              <w:spacing w:line="360" w:lineRule="auto"/>
              <w:ind w:firstLine="480" w:firstLineChars="200"/>
              <w:jc w:val="center"/>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6000TFLOPS</w:t>
            </w:r>
          </w:p>
          <w:p w14:paraId="7F875620">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（FP16）（按理论值）</w:t>
            </w:r>
          </w:p>
        </w:tc>
      </w:tr>
      <w:tr w14:paraId="76F3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noWrap w:val="0"/>
            <w:vAlign w:val="center"/>
          </w:tcPr>
          <w:p w14:paraId="78156790">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三、大模型算力</w:t>
            </w:r>
          </w:p>
        </w:tc>
        <w:tc>
          <w:tcPr>
            <w:tcW w:w="1367" w:type="dxa"/>
            <w:noWrap w:val="0"/>
            <w:vAlign w:val="center"/>
          </w:tcPr>
          <w:p w14:paraId="12786EC7">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≤96C</w:t>
            </w:r>
          </w:p>
        </w:tc>
        <w:tc>
          <w:tcPr>
            <w:tcW w:w="1325" w:type="dxa"/>
            <w:noWrap w:val="0"/>
            <w:vAlign w:val="center"/>
          </w:tcPr>
          <w:p w14:paraId="6B00AA45">
            <w:pPr>
              <w:widowControl/>
              <w:numPr>
                <w:ilvl w:val="0"/>
                <w:numId w:val="0"/>
              </w:numPr>
              <w:spacing w:line="360" w:lineRule="auto"/>
              <w:ind w:firstLine="480" w:firstLineChars="200"/>
              <w:jc w:val="center"/>
              <w:rPr>
                <w:rFonts w:ascii="Times New Roman" w:hAnsi="Times New Roman" w:eastAsia="宋体" w:cs="Times New Roman"/>
                <w:color w:val="auto"/>
                <w:kern w:val="0"/>
                <w:sz w:val="24"/>
                <w:highlight w:val="none"/>
                <w:vertAlign w:val="baseline"/>
                <w:lang w:eastAsia="zh-CN"/>
              </w:rPr>
            </w:pPr>
            <w:r>
              <w:rPr>
                <w:rFonts w:hint="eastAsia" w:ascii="Times New Roman" w:hAnsi="Times New Roman" w:eastAsia="宋体" w:cs="Times New Roman"/>
                <w:color w:val="auto"/>
                <w:kern w:val="0"/>
                <w:sz w:val="24"/>
                <w:highlight w:val="none"/>
                <w:vertAlign w:val="baseline"/>
                <w:lang w:val="en-US" w:eastAsia="zh-CN"/>
              </w:rPr>
              <w:t>≤2TB</w:t>
            </w:r>
          </w:p>
        </w:tc>
        <w:tc>
          <w:tcPr>
            <w:tcW w:w="1717" w:type="dxa"/>
            <w:noWrap w:val="0"/>
            <w:vAlign w:val="center"/>
          </w:tcPr>
          <w:p w14:paraId="5AC0879E">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4TB</w:t>
            </w:r>
          </w:p>
        </w:tc>
        <w:tc>
          <w:tcPr>
            <w:tcW w:w="2308" w:type="dxa"/>
            <w:noWrap w:val="0"/>
            <w:vAlign w:val="center"/>
          </w:tcPr>
          <w:p w14:paraId="39BBCE73">
            <w:pPr>
              <w:widowControl/>
              <w:numPr>
                <w:ilvl w:val="0"/>
                <w:numId w:val="0"/>
              </w:numPr>
              <w:spacing w:line="360" w:lineRule="auto"/>
              <w:ind w:firstLine="480" w:firstLineChars="200"/>
              <w:jc w:val="center"/>
              <w:rPr>
                <w:rFonts w:hint="eastAsia"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2.5PFLOPS</w:t>
            </w:r>
          </w:p>
          <w:p w14:paraId="102A80B8">
            <w:pPr>
              <w:widowControl/>
              <w:numPr>
                <w:ilvl w:val="0"/>
                <w:numId w:val="0"/>
              </w:numPr>
              <w:spacing w:line="360" w:lineRule="auto"/>
              <w:ind w:firstLine="480" w:firstLineChars="200"/>
              <w:jc w:val="center"/>
              <w:rPr>
                <w:rFonts w:hint="default" w:ascii="Times New Roman" w:hAnsi="Times New Roman" w:eastAsia="宋体" w:cs="Times New Roman"/>
                <w:color w:val="auto"/>
                <w:kern w:val="0"/>
                <w:sz w:val="24"/>
                <w:highlight w:val="none"/>
                <w:vertAlign w:val="baseline"/>
                <w:lang w:val="en-US" w:eastAsia="zh-CN"/>
              </w:rPr>
            </w:pPr>
            <w:r>
              <w:rPr>
                <w:rFonts w:hint="eastAsia" w:ascii="Times New Roman" w:hAnsi="Times New Roman" w:eastAsia="宋体" w:cs="Times New Roman"/>
                <w:color w:val="auto"/>
                <w:kern w:val="0"/>
                <w:sz w:val="24"/>
                <w:highlight w:val="none"/>
                <w:vertAlign w:val="baseline"/>
                <w:lang w:val="en-US" w:eastAsia="zh-CN"/>
              </w:rPr>
              <w:t>（FP16）（按理论值）</w:t>
            </w:r>
          </w:p>
        </w:tc>
      </w:tr>
    </w:tbl>
    <w:p w14:paraId="3CC98925">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978" w:name="_Toc2042"/>
      <w:bookmarkStart w:id="979" w:name="_Toc8736"/>
      <w:bookmarkStart w:id="980" w:name="_Toc9474"/>
      <w:bookmarkStart w:id="981" w:name="_Toc28944"/>
      <w:bookmarkStart w:id="982" w:name="_Toc25959"/>
      <w:bookmarkStart w:id="983" w:name="_Toc24118"/>
      <w:r>
        <w:rPr>
          <w:rFonts w:hint="eastAsia" w:ascii="Times New Roman" w:hAnsi="Times New Roman" w:eastAsia="黑体" w:cs="Times New Roman"/>
          <w:b/>
          <w:color w:val="auto"/>
          <w:sz w:val="30"/>
          <w:highlight w:val="none"/>
          <w:lang w:val="en-US" w:eastAsia="zh-CN" w:bidi="ar-SA"/>
        </w:rPr>
        <w:t xml:space="preserve"> </w:t>
      </w:r>
      <w:bookmarkStart w:id="984" w:name="_Toc25283"/>
      <w:bookmarkStart w:id="985" w:name="_Toc1042044049"/>
      <w:bookmarkStart w:id="986" w:name="_Toc193093589"/>
      <w:bookmarkStart w:id="987" w:name="_Toc1454"/>
      <w:bookmarkStart w:id="988" w:name="_Toc1462774573"/>
      <w:bookmarkStart w:id="989" w:name="_Toc5180"/>
      <w:bookmarkStart w:id="990" w:name="_Toc550964435"/>
      <w:bookmarkStart w:id="991" w:name="_Toc1573537474"/>
      <w:bookmarkStart w:id="992" w:name="_Toc24373"/>
      <w:r>
        <w:rPr>
          <w:rFonts w:hint="eastAsia" w:ascii="Times New Roman" w:hAnsi="Times New Roman" w:eastAsia="黑体" w:cs="Times New Roman"/>
          <w:b/>
          <w:color w:val="auto"/>
          <w:sz w:val="30"/>
          <w:highlight w:val="none"/>
          <w:lang w:val="en-US" w:eastAsia="zh-CN" w:bidi="ar-SA"/>
        </w:rPr>
        <w:t>智慧控制层</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475C125">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AI推理边缘</w:t>
      </w:r>
    </w:p>
    <w:p w14:paraId="05ECC9B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接受AI研发中心发布的算法，对数据、视频、音频和图片进行处理，形成触发事件告警和数据截取等，将相应的数据存储本地或公司云平台，并将结果推送到事件报警和处置模块。</w:t>
      </w:r>
    </w:p>
    <w:p w14:paraId="39F223D3">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智慧控制边缘</w:t>
      </w:r>
    </w:p>
    <w:p w14:paraId="3359DCF7">
      <w:pPr>
        <w:widowControl/>
        <w:numPr>
          <w:ilvl w:val="0"/>
          <w:numId w:val="0"/>
        </w:numPr>
        <w:tabs>
          <w:tab w:val="left" w:pos="11"/>
          <w:tab w:val="left" w:pos="420"/>
          <w:tab w:val="left" w:pos="576"/>
          <w:tab w:val="left" w:pos="1440"/>
          <w:tab w:val="left" w:pos="5040"/>
        </w:tabs>
        <w:spacing w:line="360" w:lineRule="auto"/>
        <w:ind w:left="420" w:leftChars="200" w:firstLine="482" w:firstLineChars="200"/>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智慧诊断模块</w:t>
      </w:r>
    </w:p>
    <w:p w14:paraId="5347731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能对生产过程中关键数据、视频、音频和图片进行AI算法配置，通过AI推理模块形成推理结果，并结合物联网采集的数据，按照工艺要求，通过程序运算，将异常结果推送到事件报警和处置模块。</w:t>
      </w:r>
    </w:p>
    <w:p w14:paraId="45800FD8">
      <w:pPr>
        <w:widowControl/>
        <w:numPr>
          <w:ilvl w:val="0"/>
          <w:numId w:val="0"/>
        </w:numPr>
        <w:tabs>
          <w:tab w:val="left" w:pos="11"/>
          <w:tab w:val="left" w:pos="420"/>
          <w:tab w:val="left" w:pos="576"/>
          <w:tab w:val="left" w:pos="1440"/>
          <w:tab w:val="left" w:pos="5040"/>
        </w:tabs>
        <w:spacing w:line="360" w:lineRule="auto"/>
        <w:ind w:left="420" w:leftChars="200" w:firstLine="482" w:firstLineChars="200"/>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安防态势感知模块</w:t>
      </w:r>
    </w:p>
    <w:p w14:paraId="5F4D118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对水厂安全防控相关的关键数据、视频、音频和图片进行AI算法配置，通过AI推理模块形成推理结果，并结合物联网采集的数据，按照安全防控的标准和要求，通过程序运算，将异常结果推送到事件报警和处置模块。</w:t>
      </w:r>
    </w:p>
    <w:p w14:paraId="7697546B">
      <w:pPr>
        <w:widowControl/>
        <w:numPr>
          <w:ilvl w:val="0"/>
          <w:numId w:val="0"/>
        </w:numPr>
        <w:tabs>
          <w:tab w:val="left" w:pos="11"/>
          <w:tab w:val="left" w:pos="420"/>
          <w:tab w:val="left" w:pos="576"/>
          <w:tab w:val="left" w:pos="1440"/>
          <w:tab w:val="left" w:pos="5040"/>
        </w:tabs>
        <w:spacing w:line="360" w:lineRule="auto"/>
        <w:ind w:left="420" w:leftChars="200" w:firstLine="482" w:firstLineChars="200"/>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事件报警及处置模块</w:t>
      </w:r>
    </w:p>
    <w:p w14:paraId="2A2268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能接受各模块推送的事件记录，并按照事件的严重程度，可设置采取屏幕、信息、语音和工单等方式通知值班人员和各层级管理人员，并通过工单记录和完成整个管理过程。</w:t>
      </w:r>
    </w:p>
    <w:p w14:paraId="2DF331EE">
      <w:pPr>
        <w:widowControl/>
        <w:numPr>
          <w:ilvl w:val="0"/>
          <w:numId w:val="0"/>
        </w:numPr>
        <w:tabs>
          <w:tab w:val="left" w:pos="11"/>
          <w:tab w:val="left" w:pos="420"/>
          <w:tab w:val="left" w:pos="576"/>
          <w:tab w:val="left" w:pos="1440"/>
          <w:tab w:val="left" w:pos="5040"/>
        </w:tabs>
        <w:spacing w:line="360" w:lineRule="auto"/>
        <w:ind w:left="420" w:leftChars="200" w:firstLine="482" w:firstLineChars="200"/>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智慧自主生产模块</w:t>
      </w:r>
    </w:p>
    <w:p w14:paraId="3015C7B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结合工艺流程和要求，用服务化去耦合的方式，分层分工艺分设备进行数据仿真和运算，形成数据模型，并用算法得出控制结果，通过物联网进行下发数据，最终由PLC/DCS等系统，控制实际设备，实现全厂全过程监控调度，完成厂内自动闭环运行，能完成水厂生产异常状态识别、切除故障设备、投运备用设备，对工艺进行精细化调节，有效降低能耗药耗，保证水质稳定达标。值班人员无需参与设备控制和数据记录等工作，只需研判生产现状，处理系统报警并及时启动应急预案采取人工干预生产。</w:t>
      </w:r>
    </w:p>
    <w:p w14:paraId="01E34992">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生产交互控制系统</w:t>
      </w:r>
    </w:p>
    <w:p w14:paraId="0ECB3CD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是智慧水厂控制系统的主要人机交互界面，实现（全厂各工艺）参数设置、数据展示和设备控制功能，实现厂级统一监控。（与中央控制模块功能相仿）</w:t>
      </w:r>
    </w:p>
    <w:p w14:paraId="5F2086E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993" w:name="_Toc6985"/>
      <w:bookmarkStart w:id="994" w:name="_Toc12505"/>
      <w:bookmarkStart w:id="995" w:name="_Toc8102"/>
      <w:bookmarkStart w:id="996" w:name="_Toc19565"/>
      <w:bookmarkStart w:id="997" w:name="_Toc18453"/>
      <w:bookmarkStart w:id="998" w:name="_Toc8473"/>
      <w:r>
        <w:rPr>
          <w:rFonts w:hint="eastAsia" w:ascii="Times New Roman" w:hAnsi="Times New Roman" w:eastAsia="黑体" w:cs="Times New Roman"/>
          <w:b/>
          <w:color w:val="auto"/>
          <w:sz w:val="30"/>
          <w:highlight w:val="none"/>
          <w:lang w:val="en-US" w:eastAsia="zh-CN" w:bidi="ar-SA"/>
        </w:rPr>
        <w:t xml:space="preserve"> </w:t>
      </w:r>
      <w:bookmarkStart w:id="999" w:name="_Toc459457555"/>
      <w:bookmarkStart w:id="1000" w:name="_Toc905190258"/>
      <w:bookmarkStart w:id="1001" w:name="_Toc109773181"/>
      <w:bookmarkStart w:id="1002" w:name="_Toc19744"/>
      <w:bookmarkStart w:id="1003" w:name="_Toc183212713"/>
      <w:bookmarkStart w:id="1004" w:name="_Toc193093590"/>
      <w:bookmarkStart w:id="1005" w:name="_Toc13908"/>
      <w:bookmarkStart w:id="1006" w:name="_Toc14059"/>
      <w:bookmarkStart w:id="1007" w:name="_Toc4197"/>
      <w:r>
        <w:rPr>
          <w:rFonts w:hint="eastAsia" w:ascii="Times New Roman" w:hAnsi="Times New Roman" w:eastAsia="黑体" w:cs="Times New Roman"/>
          <w:b/>
          <w:color w:val="auto"/>
          <w:sz w:val="30"/>
          <w:highlight w:val="none"/>
          <w:lang w:val="en-US" w:eastAsia="zh-CN" w:bidi="ar-SA"/>
        </w:rPr>
        <w:t>业务支持层</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6E8FA29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物联网通过边缘收集北部水厂数据，并按规则存储在公司数据中心，实现水厂数据的集中存储、共享和利用。</w:t>
      </w:r>
    </w:p>
    <w:p w14:paraId="515CE2A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照智慧水厂营运管理的要求，对人员管理、设备全生命周期管理、建设全流程管理、水质全过程管理等方面的内容进行调整和升级，并用容器化与组件化的微服务开放式云原生架构，在北部水厂机房作本地应用部署，实现供需匹配、资源共享、跨部门协同的运营方式，最终形成支持高效动态组织、精准协同优化、实时闭环管控的水厂管理模式。</w:t>
      </w:r>
    </w:p>
    <w:p w14:paraId="3C03956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008" w:name="_Toc16047"/>
      <w:bookmarkStart w:id="1009" w:name="_Toc28937"/>
      <w:bookmarkStart w:id="1010" w:name="_Toc5135"/>
      <w:bookmarkStart w:id="1011" w:name="_Toc12583"/>
      <w:bookmarkStart w:id="1012" w:name="_Toc2703"/>
      <w:bookmarkStart w:id="1013" w:name="_Toc6256"/>
      <w:r>
        <w:rPr>
          <w:rFonts w:hint="eastAsia" w:ascii="Times New Roman" w:hAnsi="Times New Roman" w:eastAsia="黑体" w:cs="Times New Roman"/>
          <w:b/>
          <w:color w:val="auto"/>
          <w:sz w:val="30"/>
          <w:highlight w:val="none"/>
          <w:lang w:val="en-US" w:eastAsia="zh-CN" w:bidi="ar-SA"/>
        </w:rPr>
        <w:t xml:space="preserve"> </w:t>
      </w:r>
      <w:bookmarkStart w:id="1014" w:name="_Toc193093591"/>
      <w:bookmarkStart w:id="1015" w:name="_Toc758510858"/>
      <w:bookmarkStart w:id="1016" w:name="_Toc23041"/>
      <w:bookmarkStart w:id="1017" w:name="_Toc9056"/>
      <w:bookmarkStart w:id="1018" w:name="_Toc269400294"/>
      <w:bookmarkStart w:id="1019" w:name="_Toc1899415920"/>
      <w:bookmarkStart w:id="1020" w:name="_Toc5348"/>
      <w:bookmarkStart w:id="1021" w:name="_Toc24717"/>
      <w:bookmarkStart w:id="1022" w:name="_Toc1912001240"/>
      <w:r>
        <w:rPr>
          <w:rFonts w:hint="eastAsia" w:ascii="Times New Roman" w:hAnsi="Times New Roman" w:eastAsia="黑体" w:cs="Times New Roman"/>
          <w:b/>
          <w:color w:val="auto"/>
          <w:sz w:val="30"/>
          <w:highlight w:val="none"/>
          <w:lang w:val="en-US" w:eastAsia="zh-CN" w:bidi="ar-SA"/>
        </w:rPr>
        <w:t>运营决策</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566FA4D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依托智慧供水云平台，利用Pass层的开发工具、平台公共和已封装好的自来水公共服务，重新开发和封装新的业务，按照不同业务对象组成各种新的业务系统，提供用户操作和展示。包括并不局限于生产管家、设备助手、自动报表、三维数字孪生展示、智慧安防、智慧巡检、视频展示、领导驾驶舱、工艺仿真与决策、厂网联动调度、各种智慧主体分析看板和智能报告。</w:t>
      </w:r>
    </w:p>
    <w:p w14:paraId="2B689537">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023" w:name="_Toc2429"/>
      <w:bookmarkStart w:id="1024" w:name="_Toc28356"/>
      <w:bookmarkStart w:id="1025" w:name="_Toc11155"/>
      <w:bookmarkStart w:id="1026" w:name="_Toc18783"/>
      <w:bookmarkStart w:id="1027" w:name="_Toc32607"/>
      <w:bookmarkStart w:id="1028" w:name="_Toc25857"/>
      <w:r>
        <w:rPr>
          <w:rFonts w:hint="eastAsia" w:ascii="Arial" w:hAnsi="Arial" w:eastAsia="黑体" w:cs="Times New Roman"/>
          <w:b/>
          <w:color w:val="auto"/>
          <w:sz w:val="32"/>
          <w:highlight w:val="none"/>
          <w:lang w:val="en-US" w:eastAsia="zh-CN" w:bidi="ar-SA"/>
        </w:rPr>
        <w:t xml:space="preserve"> </w:t>
      </w:r>
      <w:bookmarkStart w:id="1029" w:name="_Toc1138954785"/>
      <w:bookmarkStart w:id="1030" w:name="_Toc11612"/>
      <w:bookmarkStart w:id="1031" w:name="_Toc29912"/>
      <w:bookmarkStart w:id="1032" w:name="_Toc829061814"/>
      <w:bookmarkStart w:id="1033" w:name="_Toc193093592"/>
      <w:bookmarkStart w:id="1034" w:name="_Toc59546972"/>
      <w:bookmarkStart w:id="1035" w:name="_Toc8819"/>
      <w:bookmarkStart w:id="1036" w:name="_Toc915213382"/>
      <w:bookmarkStart w:id="1037" w:name="_Toc14243"/>
      <w:r>
        <w:rPr>
          <w:rFonts w:ascii="Arial" w:hAnsi="Arial" w:eastAsia="黑体" w:cs="Times New Roman"/>
          <w:b/>
          <w:color w:val="auto"/>
          <w:sz w:val="32"/>
          <w:highlight w:val="none"/>
          <w:lang w:val="en-US" w:eastAsia="zh-CN" w:bidi="ar-SA"/>
        </w:rPr>
        <w:t>智慧控制与PLC控制的关系</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7F393DB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现场PLC+现场设备，完成数据采集，且可以让主要设备按工艺要求完成控制要求，并有初步的异常判断。以标准化的模式，完成数据采集和接受指令，可视为能接受接口指令的智慧化设备。</w:t>
      </w:r>
    </w:p>
    <w:p w14:paraId="4D48210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如下图示，智慧系统控制部分与PLC上位机的控制逻辑控制部分可视为并列关系，互为在线热备份系统；PLC系统有选择优先权，当PLC系统选择了智慧控制时，PLC上位机控制逻辑旁路不生效，智慧系统接管了控制权；当PLC系统选择了PLC控制，或者智慧系统因控制效果不佳等原因放弃控制权，PLC控制系统接管控制权，保障智慧水厂的运行效果底线。</w:t>
      </w:r>
    </w:p>
    <w:p w14:paraId="3FAD9053">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drawing>
          <wp:inline distT="0" distB="0" distL="114300" distR="114300">
            <wp:extent cx="5276850" cy="2324100"/>
            <wp:effectExtent l="0" t="0" r="0" b="0"/>
            <wp:docPr id="76" name="图片 33" descr="171947668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descr="1719476687015"/>
                    <pic:cNvPicPr>
                      <a:picLocks noChangeAspect="1"/>
                    </pic:cNvPicPr>
                  </pic:nvPicPr>
                  <pic:blipFill>
                    <a:blip r:embed="rId27"/>
                    <a:stretch>
                      <a:fillRect/>
                    </a:stretch>
                  </pic:blipFill>
                  <pic:spPr>
                    <a:xfrm>
                      <a:off x="0" y="0"/>
                      <a:ext cx="5276850" cy="2324100"/>
                    </a:xfrm>
                    <a:prstGeom prst="rect">
                      <a:avLst/>
                    </a:prstGeom>
                    <a:noFill/>
                    <a:ln>
                      <a:noFill/>
                    </a:ln>
                  </pic:spPr>
                </pic:pic>
              </a:graphicData>
            </a:graphic>
          </wp:inline>
        </w:drawing>
      </w:r>
    </w:p>
    <w:p w14:paraId="7517A7E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综上所述，水厂设备控制分五层实现，即运行管理调度层（智慧控制层）、中央控制层、主控 PLC 自动控制层、现场软手动（HMI）控制层和就地手动控制层。控制等级由高到低依次为：就地手动控制层、现场软手动（HMI）控制层、主控 PLC 自动控制层、中央控制层、运行管理调度层（智慧控制层）。对应主要设备控制模式分为三种：就地控制方式（其中现场软手动（HMI）控制层在自动控制方式中现场人机界面上实现）、远程控制方式、停机。 </w:t>
      </w:r>
    </w:p>
    <w:p w14:paraId="378BDB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上述的各种运行状态，均要求 PLC 进行监测，并将其状态在中控室电脑中显示出来。 </w:t>
      </w:r>
    </w:p>
    <w:p w14:paraId="5C89348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主要成套供货设备转换开关分为三档：远程/就地/停机；单套设备转换开关分为二档：就地/远程控制。 </w:t>
      </w:r>
    </w:p>
    <w:p w14:paraId="0CD6411F">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038" w:name="_Toc4079"/>
      <w:bookmarkStart w:id="1039" w:name="_Toc14809"/>
      <w:bookmarkStart w:id="1040" w:name="_Toc27131"/>
      <w:bookmarkStart w:id="1041" w:name="_Toc11934"/>
      <w:bookmarkStart w:id="1042" w:name="_Toc28211"/>
      <w:bookmarkStart w:id="1043" w:name="_Toc9754"/>
      <w:r>
        <w:rPr>
          <w:rFonts w:hint="eastAsia" w:ascii="Arial" w:hAnsi="Arial" w:eastAsia="黑体" w:cs="Times New Roman"/>
          <w:b/>
          <w:color w:val="auto"/>
          <w:sz w:val="32"/>
          <w:highlight w:val="none"/>
          <w:lang w:val="en-US" w:eastAsia="zh-CN" w:bidi="ar-SA"/>
        </w:rPr>
        <w:t xml:space="preserve"> </w:t>
      </w:r>
      <w:bookmarkStart w:id="1044" w:name="_Toc193093593"/>
      <w:bookmarkStart w:id="1045" w:name="_Toc1168006162"/>
      <w:bookmarkStart w:id="1046" w:name="_Toc1891325784"/>
      <w:bookmarkStart w:id="1047" w:name="_Toc3025"/>
      <w:bookmarkStart w:id="1048" w:name="_Toc20763"/>
      <w:bookmarkStart w:id="1049" w:name="_Toc14920"/>
      <w:bookmarkStart w:id="1050" w:name="_Toc78578902"/>
      <w:bookmarkStart w:id="1051" w:name="_Toc9356"/>
      <w:bookmarkStart w:id="1052" w:name="_Toc1713431460"/>
      <w:r>
        <w:rPr>
          <w:rFonts w:ascii="Arial" w:hAnsi="Arial" w:eastAsia="黑体" w:cs="Times New Roman"/>
          <w:b/>
          <w:color w:val="auto"/>
          <w:sz w:val="32"/>
          <w:highlight w:val="none"/>
          <w:lang w:val="en-US" w:eastAsia="zh-CN" w:bidi="ar-SA"/>
        </w:rPr>
        <w:t>智慧水厂系统与智慧供水云平台关系</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2A23E38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广州自来水公司以智慧供水云平台为抓手，依托云平台的流程中台和数据中心，根据基础管理流程、部门职责、业务链条全过程、数据共治等维度，全面重构业务，将全部工作划分为人力资源、项目管理、资产管理、生产管理、用户服务、运营监督共6大领域，实现全景数字化管理模式新升级。智慧供水物联网提供实时数据接入和输出，实现了以“水质、水量、水压”为主线，从水源到终端的全过程供水大数据管理。</w:t>
      </w:r>
    </w:p>
    <w:p w14:paraId="41DB33F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drawing>
          <wp:anchor distT="0" distB="0" distL="114300" distR="114300" simplePos="0" relativeHeight="251667456" behindDoc="0" locked="0" layoutInCell="1" allowOverlap="1">
            <wp:simplePos x="0" y="0"/>
            <wp:positionH relativeFrom="column">
              <wp:posOffset>86995</wp:posOffset>
            </wp:positionH>
            <wp:positionV relativeFrom="paragraph">
              <wp:posOffset>109220</wp:posOffset>
            </wp:positionV>
            <wp:extent cx="5269865" cy="2753360"/>
            <wp:effectExtent l="0" t="0" r="6985" b="8890"/>
            <wp:wrapTopAndBottom/>
            <wp:docPr id="78" name="图片 8" descr="171507099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1715070991651"/>
                    <pic:cNvPicPr>
                      <a:picLocks noChangeAspect="1"/>
                    </pic:cNvPicPr>
                  </pic:nvPicPr>
                  <pic:blipFill>
                    <a:blip r:embed="rId28"/>
                    <a:stretch>
                      <a:fillRect/>
                    </a:stretch>
                  </pic:blipFill>
                  <pic:spPr>
                    <a:xfrm>
                      <a:off x="0" y="0"/>
                      <a:ext cx="5269865" cy="2753360"/>
                    </a:xfrm>
                    <a:prstGeom prst="rect">
                      <a:avLst/>
                    </a:prstGeom>
                    <a:noFill/>
                    <a:ln>
                      <a:noFill/>
                    </a:ln>
                  </pic:spPr>
                </pic:pic>
              </a:graphicData>
            </a:graphic>
          </wp:anchor>
        </w:drawing>
      </w:r>
      <w:r>
        <w:rPr>
          <w:rFonts w:hint="eastAsia" w:ascii="Times New Roman" w:hAnsi="Times New Roman" w:eastAsia="宋体" w:cs="Times New Roman"/>
          <w:color w:val="auto"/>
          <w:kern w:val="0"/>
          <w:sz w:val="24"/>
          <w:highlight w:val="none"/>
          <w:lang w:eastAsia="zh-CN"/>
        </w:rPr>
        <w:t>本项目实施内容是智慧供水云平台的延伸，是智慧水务在水厂领域深化的一个分支。主要体现为：一是深化两化融合，将各水厂间的数据、管网、加压站和需水数据开展大数据分析，赋能“精准智造”；二是将AI技术广泛用于水厂控制和运营，提高决策水平；三是全面梳理和优化公司的相应流程，新增、修改现有的工单（任务单），适应智慧水厂管理的模式，用信息系统标准化、流程化管理水厂日常事务，探索水厂智慧生产运营的新模式。</w:t>
      </w:r>
    </w:p>
    <w:p w14:paraId="4A2CB5B3">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053" w:name="_Toc2474"/>
      <w:bookmarkStart w:id="1054" w:name="_Toc10272"/>
      <w:bookmarkStart w:id="1055" w:name="_Toc13914"/>
      <w:bookmarkStart w:id="1056" w:name="_Toc14936"/>
      <w:bookmarkStart w:id="1057" w:name="_Toc30198"/>
      <w:bookmarkStart w:id="1058" w:name="_Toc16544"/>
      <w:r>
        <w:rPr>
          <w:rFonts w:hint="eastAsia" w:ascii="Arial" w:hAnsi="Arial" w:eastAsia="黑体" w:cs="Times New Roman"/>
          <w:b/>
          <w:color w:val="auto"/>
          <w:sz w:val="32"/>
          <w:highlight w:val="none"/>
          <w:lang w:val="en-US" w:eastAsia="zh-CN" w:bidi="ar-SA"/>
        </w:rPr>
        <w:t xml:space="preserve"> </w:t>
      </w:r>
      <w:bookmarkStart w:id="1059" w:name="_Toc531547507"/>
      <w:bookmarkStart w:id="1060" w:name="_Toc2034325597"/>
      <w:bookmarkStart w:id="1061" w:name="_Toc193093594"/>
      <w:bookmarkStart w:id="1062" w:name="_Toc28681"/>
      <w:bookmarkStart w:id="1063" w:name="_Toc9686"/>
      <w:bookmarkStart w:id="1064" w:name="_Toc2120646656"/>
      <w:bookmarkStart w:id="1065" w:name="_Toc15502"/>
      <w:bookmarkStart w:id="1066" w:name="_Toc29975"/>
      <w:bookmarkStart w:id="1067" w:name="_Toc459508794"/>
      <w:r>
        <w:rPr>
          <w:rFonts w:ascii="Arial" w:hAnsi="Arial" w:eastAsia="黑体" w:cs="Times New Roman"/>
          <w:b/>
          <w:color w:val="auto"/>
          <w:sz w:val="32"/>
          <w:highlight w:val="none"/>
          <w:lang w:val="en-US" w:eastAsia="zh-CN" w:bidi="ar-SA"/>
        </w:rPr>
        <w:t>项目功能实现的方法</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52C4BEE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068" w:name="_Toc19280"/>
      <w:bookmarkStart w:id="1069" w:name="_Toc32497"/>
      <w:bookmarkStart w:id="1070" w:name="_Toc9183"/>
      <w:bookmarkStart w:id="1071" w:name="_Toc30013"/>
      <w:bookmarkStart w:id="1072" w:name="_Toc14120"/>
      <w:bookmarkStart w:id="1073" w:name="_Toc19131"/>
      <w:r>
        <w:rPr>
          <w:rFonts w:hint="eastAsia" w:ascii="Times New Roman" w:hAnsi="Times New Roman" w:eastAsia="黑体" w:cs="Times New Roman"/>
          <w:b/>
          <w:color w:val="auto"/>
          <w:sz w:val="30"/>
          <w:highlight w:val="none"/>
          <w:lang w:val="en-US" w:eastAsia="zh-CN" w:bidi="ar-SA"/>
        </w:rPr>
        <w:t xml:space="preserve"> </w:t>
      </w:r>
      <w:bookmarkStart w:id="1074" w:name="_Toc613106146"/>
      <w:bookmarkStart w:id="1075" w:name="_Toc30369"/>
      <w:bookmarkStart w:id="1076" w:name="_Toc823164892"/>
      <w:bookmarkStart w:id="1077" w:name="_Toc193093595"/>
      <w:bookmarkStart w:id="1078" w:name="_Toc186978629"/>
      <w:bookmarkStart w:id="1079" w:name="_Toc2540"/>
      <w:bookmarkStart w:id="1080" w:name="_Toc32150"/>
      <w:bookmarkStart w:id="1081" w:name="_Toc11863"/>
      <w:bookmarkStart w:id="1082" w:name="_Toc2069741780"/>
      <w:r>
        <w:rPr>
          <w:rFonts w:hint="eastAsia" w:ascii="Times New Roman" w:hAnsi="Times New Roman" w:eastAsia="黑体" w:cs="Times New Roman"/>
          <w:b/>
          <w:color w:val="auto"/>
          <w:sz w:val="30"/>
          <w:highlight w:val="none"/>
          <w:lang w:val="en-US" w:eastAsia="zh-CN" w:bidi="ar-SA"/>
        </w:rPr>
        <w:t>拓展物联网接入内容</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3215F82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目前智慧供水云平台物联网平台已经采集并存储了包括北部水厂一期在内的各厂、站、网、段的数据，本项目需选择与智慧供水云平台兼容的物联网边缘/网关，将厂站的成套设备、生产设备、仪器仪表、传感器、门禁、视频监控、周界防范等所以信息进行集中采集接入，共同构成水厂级数据中心，完成设备数据上报、下行指令控制、状态监控提供通信、订阅、分发与转发服务等功能，完成数据持久化和数据回放展示等功能。并在云端，补充和修改有关整个北部水厂的数据内容，在物联网平台上，统一管理物联网节点、数据采集内容和数据采集值，与云平台实物管理系统关联，在数据中心形成主题，避免重复的设备信息创建和维护；完成设备数据上报、下行指令控制、状态监控提供通信、订阅、分发与转发服务等功能，形成稳定可靠的数据通道。</w:t>
      </w:r>
    </w:p>
    <w:p w14:paraId="1DFC258E">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083" w:name="_Toc32128"/>
      <w:bookmarkStart w:id="1084" w:name="_Toc26725"/>
      <w:bookmarkStart w:id="1085" w:name="_Toc366"/>
      <w:bookmarkStart w:id="1086" w:name="_Toc16143"/>
      <w:bookmarkStart w:id="1087" w:name="_Toc14913"/>
      <w:bookmarkStart w:id="1088" w:name="_Toc19697"/>
      <w:r>
        <w:rPr>
          <w:rFonts w:hint="eastAsia" w:ascii="Times New Roman" w:hAnsi="Times New Roman" w:eastAsia="黑体" w:cs="Times New Roman"/>
          <w:b/>
          <w:color w:val="auto"/>
          <w:sz w:val="30"/>
          <w:highlight w:val="none"/>
          <w:lang w:val="en-US" w:eastAsia="zh-CN" w:bidi="ar-SA"/>
        </w:rPr>
        <w:t xml:space="preserve"> </w:t>
      </w:r>
      <w:bookmarkStart w:id="1089" w:name="_Toc8735"/>
      <w:bookmarkStart w:id="1090" w:name="_Toc28205"/>
      <w:bookmarkStart w:id="1091" w:name="_Toc1209982354"/>
      <w:bookmarkStart w:id="1092" w:name="_Toc193093596"/>
      <w:bookmarkStart w:id="1093" w:name="_Toc781242042"/>
      <w:bookmarkStart w:id="1094" w:name="_Toc13156"/>
      <w:bookmarkStart w:id="1095" w:name="_Toc842685870"/>
      <w:bookmarkStart w:id="1096" w:name="_Toc27883"/>
      <w:bookmarkStart w:id="1097" w:name="_Toc848457516"/>
      <w:r>
        <w:rPr>
          <w:rFonts w:hint="eastAsia" w:ascii="Times New Roman" w:hAnsi="Times New Roman" w:eastAsia="黑体" w:cs="Times New Roman"/>
          <w:b/>
          <w:color w:val="auto"/>
          <w:sz w:val="30"/>
          <w:highlight w:val="none"/>
          <w:lang w:val="en-US" w:eastAsia="zh-CN" w:bidi="ar-SA"/>
        </w:rPr>
        <w:t>构建北部水厂数据中心</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7FA15689">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遵循现有的数据标准，完善和扩充公司数据中心中关于北部水厂的相关数据模型和指标内容，</w:t>
      </w:r>
      <w:r>
        <w:rPr>
          <w:rFonts w:hint="eastAsia" w:ascii="Times New Roman" w:hAnsi="Times New Roman" w:eastAsia="宋体" w:cs="Times New Roman"/>
          <w:color w:val="auto"/>
          <w:kern w:val="0"/>
          <w:sz w:val="24"/>
          <w:highlight w:val="none"/>
          <w:lang w:val="en-US" w:eastAsia="zh-CN"/>
        </w:rPr>
        <w:t>支持</w:t>
      </w:r>
      <w:r>
        <w:rPr>
          <w:rFonts w:hint="eastAsia" w:ascii="Times New Roman" w:hAnsi="Times New Roman" w:eastAsia="宋体" w:cs="Times New Roman"/>
          <w:color w:val="auto"/>
          <w:kern w:val="0"/>
          <w:sz w:val="24"/>
          <w:highlight w:val="none"/>
          <w:lang w:eastAsia="zh-CN"/>
        </w:rPr>
        <w:t>招标人完善报表、多维分析、主题分析看板和智能报告等功能。</w:t>
      </w:r>
      <w:r>
        <w:rPr>
          <w:rFonts w:hint="eastAsia" w:ascii="Times New Roman" w:hAnsi="Times New Roman" w:eastAsia="宋体" w:cs="Times New Roman"/>
          <w:color w:val="auto"/>
          <w:kern w:val="0"/>
          <w:sz w:val="24"/>
          <w:highlight w:val="none"/>
          <w:lang w:val="en-US" w:eastAsia="zh-CN"/>
        </w:rPr>
        <w:t>数据中心</w:t>
      </w:r>
      <w:r>
        <w:rPr>
          <w:rFonts w:hint="eastAsia" w:ascii="Times New Roman" w:hAnsi="Times New Roman" w:eastAsia="宋体" w:cs="Times New Roman"/>
          <w:color w:val="auto"/>
          <w:kern w:val="0"/>
          <w:sz w:val="24"/>
          <w:highlight w:val="none"/>
          <w:lang w:eastAsia="zh-CN"/>
        </w:rPr>
        <w:t>采用多租户架构，</w:t>
      </w:r>
      <w:r>
        <w:rPr>
          <w:rStyle w:val="22"/>
          <w:rFonts w:hint="eastAsia" w:ascii="PingFang SC" w:hAnsi="PingFang SC" w:eastAsia="PingFang SC" w:cs="PingFang SC"/>
          <w:color w:val="auto"/>
          <w:kern w:val="0"/>
          <w:sz w:val="28"/>
          <w:szCs w:val="28"/>
          <w:highlight w:val="none"/>
          <w:shd w:val="clear" w:color="auto" w:fill="FFFFFF"/>
          <w:lang w:eastAsia="zh-CN" w:bidi="ar"/>
        </w:rPr>
        <w:t>共享系统实例，</w:t>
      </w:r>
      <w:r>
        <w:rPr>
          <w:rFonts w:hint="eastAsia" w:ascii="Times New Roman" w:hAnsi="Times New Roman" w:eastAsia="宋体" w:cs="Times New Roman"/>
          <w:color w:val="auto"/>
          <w:kern w:val="0"/>
          <w:sz w:val="24"/>
          <w:highlight w:val="none"/>
          <w:lang w:eastAsia="zh-CN" w:bidi="ar"/>
        </w:rPr>
        <w:t>隔离</w:t>
      </w:r>
      <w:r>
        <w:rPr>
          <w:rFonts w:hint="eastAsia" w:ascii="Times New Roman" w:hAnsi="Times New Roman" w:eastAsia="宋体" w:cs="Times New Roman"/>
          <w:color w:val="auto"/>
          <w:kern w:val="0"/>
          <w:sz w:val="24"/>
          <w:szCs w:val="21"/>
          <w:highlight w:val="none"/>
          <w:shd w:val="clear" w:color="auto" w:fill="auto"/>
          <w:lang w:eastAsia="zh-CN" w:bidi="ar"/>
        </w:rPr>
        <w:t>租户间</w:t>
      </w:r>
      <w:r>
        <w:rPr>
          <w:rStyle w:val="22"/>
          <w:rFonts w:hint="eastAsia" w:ascii="PingFang SC" w:hAnsi="PingFang SC" w:eastAsia="PingFang SC" w:cs="PingFang SC"/>
          <w:color w:val="auto"/>
          <w:kern w:val="0"/>
          <w:sz w:val="28"/>
          <w:szCs w:val="28"/>
          <w:highlight w:val="none"/>
          <w:shd w:val="clear" w:color="auto" w:fill="FFFFFF"/>
          <w:lang w:eastAsia="zh-CN" w:bidi="ar"/>
        </w:rPr>
        <w:t>数据和行为</w:t>
      </w:r>
      <w:r>
        <w:rPr>
          <w:rFonts w:hint="eastAsia" w:ascii="Times New Roman" w:hAnsi="Times New Roman" w:eastAsia="宋体" w:cs="Times New Roman"/>
          <w:color w:val="auto"/>
          <w:kern w:val="0"/>
          <w:sz w:val="24"/>
          <w:highlight w:val="none"/>
          <w:lang w:eastAsia="zh-CN" w:bidi="ar"/>
        </w:rPr>
        <w:t>，满足多工艺单元和不同应用服务的使用需求</w:t>
      </w:r>
      <w:r>
        <w:rPr>
          <w:rFonts w:hint="eastAsia" w:ascii="Times New Roman" w:hAnsi="Times New Roman" w:eastAsia="宋体" w:cs="Times New Roman"/>
          <w:color w:val="auto"/>
          <w:kern w:val="0"/>
          <w:sz w:val="24"/>
          <w:highlight w:val="none"/>
          <w:lang w:eastAsia="zh-CN"/>
        </w:rPr>
        <w:t>。</w:t>
      </w:r>
    </w:p>
    <w:p w14:paraId="37E40A52">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中心要求实现将北部水厂范围内的各类设备以及自控系统数据、生产运行数据、供应链数据、资产数据、工程数据、实时视频数据等复杂庞大的数据进行数据精炼，形成统一的行业数据场景，包括数据模型、指标体系、数据标签和算法特征。</w:t>
      </w:r>
    </w:p>
    <w:p w14:paraId="4F0590D5">
      <w:pPr>
        <w:widowControl/>
        <w:spacing w:line="360" w:lineRule="auto"/>
        <w:ind w:firstLine="0" w:firstLineChars="0"/>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lang w:eastAsia="en-US"/>
        </w:rPr>
        <w:drawing>
          <wp:anchor distT="0" distB="0" distL="114300" distR="114300" simplePos="0" relativeHeight="251669504" behindDoc="0" locked="0" layoutInCell="1" allowOverlap="1">
            <wp:simplePos x="0" y="0"/>
            <wp:positionH relativeFrom="column">
              <wp:posOffset>-238760</wp:posOffset>
            </wp:positionH>
            <wp:positionV relativeFrom="paragraph">
              <wp:posOffset>90170</wp:posOffset>
            </wp:positionV>
            <wp:extent cx="5271770" cy="2112010"/>
            <wp:effectExtent l="0" t="0" r="5080" b="2540"/>
            <wp:wrapTopAndBottom/>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29"/>
                    <a:stretch>
                      <a:fillRect/>
                    </a:stretch>
                  </pic:blipFill>
                  <pic:spPr>
                    <a:xfrm>
                      <a:off x="0" y="0"/>
                      <a:ext cx="5271770" cy="2112010"/>
                    </a:xfrm>
                    <a:prstGeom prst="rect">
                      <a:avLst/>
                    </a:prstGeom>
                    <a:noFill/>
                    <a:ln>
                      <a:noFill/>
                    </a:ln>
                  </pic:spPr>
                </pic:pic>
              </a:graphicData>
            </a:graphic>
          </wp:anchor>
        </w:drawing>
      </w:r>
    </w:p>
    <w:p w14:paraId="5C7D0789">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修订北部水厂数据模型</w:t>
      </w:r>
    </w:p>
    <w:p w14:paraId="12D5418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软件编制主要采用数据和应用分离的路线，数据和展示也多采用类似前后端的方式开展，数据模型规划和管理有相对独立性，所以修订完善北部水厂数据模型是本项目关键工作之一。利用大数据平台等工具，模型具备数据源定义、配置、绑定等功能，实现数据汇集、清洗、转换、共享、展示、计算、更新等服务能力，实现数据在不同数据应用场景中“数出一源”，不需重复计算、修改和设置。</w:t>
      </w:r>
    </w:p>
    <w:p w14:paraId="106E8CAC">
      <w:pPr>
        <w:widowControl/>
        <w:spacing w:line="360" w:lineRule="auto"/>
        <w:ind w:firstLine="0" w:firstLineChars="0"/>
        <w:jc w:val="center"/>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drawing>
          <wp:inline distT="0" distB="0" distL="114300" distR="114300">
            <wp:extent cx="5271135" cy="789940"/>
            <wp:effectExtent l="0" t="0" r="5715" b="10160"/>
            <wp:docPr id="80" name="图片 34" descr="171764773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descr="1717647733735"/>
                    <pic:cNvPicPr>
                      <a:picLocks noChangeAspect="1"/>
                    </pic:cNvPicPr>
                  </pic:nvPicPr>
                  <pic:blipFill>
                    <a:blip r:embed="rId30"/>
                    <a:stretch>
                      <a:fillRect/>
                    </a:stretch>
                  </pic:blipFill>
                  <pic:spPr>
                    <a:xfrm>
                      <a:off x="0" y="0"/>
                      <a:ext cx="5271135" cy="789940"/>
                    </a:xfrm>
                    <a:prstGeom prst="rect">
                      <a:avLst/>
                    </a:prstGeom>
                    <a:noFill/>
                    <a:ln>
                      <a:noFill/>
                    </a:ln>
                  </pic:spPr>
                </pic:pic>
              </a:graphicData>
            </a:graphic>
          </wp:inline>
        </w:drawing>
      </w:r>
    </w:p>
    <w:p w14:paraId="4CF3058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北部水厂数据模型主要组成</w:t>
      </w:r>
    </w:p>
    <w:p w14:paraId="45A1755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数据模型主要包括以下主要内容：</w:t>
      </w:r>
    </w:p>
    <w:p w14:paraId="5CA834D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础数据主要包括有水厂设施、设备、管道、构筑物、摄像头等设备类对象，巡检点、视频点、测量点、停车位、禁停区等功能类等对象，人员、资产、工程等管理类信息，应按照招标人编码规则，对所有对象进行统一编码，建立关联关系，绑定设备模型，并根据需要及时更新。</w:t>
      </w:r>
    </w:p>
    <w:p w14:paraId="48A89EF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监控数据主要包括通过物联网等采集场内数据和厂外的部分关联数据，对监控数据统一编码，并能与基础数据对象进行关联，并能进行数据存储和利用等功能。</w:t>
      </w:r>
    </w:p>
    <w:p w14:paraId="7E988B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空间数据包括基础数据对象的空间信息，云平台GIS管理系统空间数据，采用无人机倾斜摄影、激光雷达扫描建模、BIM、其他点云扫描方法等构建多时态、全要素地理空间数字化映射，并实现不同坐标系之间的坐标转换或者场景转换。</w:t>
      </w:r>
    </w:p>
    <w:p w14:paraId="6DAF25B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视频类资源，能对视频源进行统一编码，与基础对象进行关联，并提供接口进行对视频进行查看存储和利用。</w:t>
      </w:r>
    </w:p>
    <w:p w14:paraId="027B190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事件/报警信息包括工控网采集的设备报警信息、AI推理服务器的结果、控制逻辑判断等产生的数据、图像、视频、音频等。</w:t>
      </w:r>
    </w:p>
    <w:p w14:paraId="6913039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业务数据主要包括记录基础数据类对象发生的业务行为。如设备巡检、维修、保养、转移、报废等工单信息，工改大修的相关项目信息等。</w:t>
      </w:r>
    </w:p>
    <w:p w14:paraId="54E21B8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仿真模拟数据主要来源于仿真系统，记录了仿真系统的水力仿真模型数据、模拟生产数据、应急指挥演练数据、事件处理仿真数据等，用于三维展示、辅助检修、安全演练和其他综合展示场景。</w:t>
      </w:r>
    </w:p>
    <w:p w14:paraId="66AADED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预测诊断数据主要来源于仿真系统和其他AI推理服务系统，可记录相应的数据，用于三维展示、生产工况推演和其他综合展示场景。</w:t>
      </w:r>
    </w:p>
    <w:p w14:paraId="51BA0AF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数据利用通则</w:t>
      </w:r>
    </w:p>
    <w:p w14:paraId="593C47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w:t>
      </w:r>
      <w:r>
        <w:rPr>
          <w:rFonts w:hint="eastAsia" w:ascii="Times New Roman" w:hAnsi="Times New Roman" w:eastAsia="宋体" w:cs="Times New Roman"/>
          <w:color w:val="auto"/>
          <w:kern w:val="0"/>
          <w:sz w:val="24"/>
          <w:highlight w:val="none"/>
          <w:lang w:val="en-US" w:eastAsia="zh-CN"/>
        </w:rPr>
        <w:t>现有</w:t>
      </w:r>
      <w:r>
        <w:rPr>
          <w:rFonts w:hint="eastAsia" w:ascii="Times New Roman" w:hAnsi="Times New Roman" w:eastAsia="宋体" w:cs="Times New Roman"/>
          <w:color w:val="auto"/>
          <w:kern w:val="0"/>
          <w:sz w:val="24"/>
          <w:highlight w:val="none"/>
          <w:lang w:eastAsia="zh-CN"/>
        </w:rPr>
        <w:t>大数据平台完成数据建模、数据治理、数据分析、数据监控、数据集成等核心能力，实现各领域数据及指标整合及标准化，为智慧水厂数据分析和挖掘应用提供了数据统一采集、数据统一存储、数据统一管理以及数据统一使用的能力。</w:t>
      </w:r>
    </w:p>
    <w:p w14:paraId="6F84E96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宋体" w:hAnsi="宋体" w:eastAsia="宋体" w:cs="宋体"/>
          <w:color w:val="auto"/>
          <w:kern w:val="0"/>
          <w:sz w:val="24"/>
          <w:szCs w:val="24"/>
          <w:highlight w:val="none"/>
          <w:lang w:eastAsia="zh-CN"/>
        </w:rPr>
        <w:t>多种不同数据库中的数据资源需提供统一的封装API接口服务，以便满足不同的应用模块数据的需求调取，系统可保障在正常运行环境下提供每秒不少于10万点的数据处理性能。</w:t>
      </w:r>
    </w:p>
    <w:p w14:paraId="2E7CA7A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完成数据源管理、数据加工厂、数据服务、数据门户形成了完整的企业数据加工链条。数据仓库采用分层结构，形成多主题多类型多层次的内容。完成报表生成、驾驶仓展示、主题展示、三维展示等不同场景的要求，满足数据挖掘，数据分析等各种数据应用数据要求。</w:t>
      </w:r>
    </w:p>
    <w:p w14:paraId="3F1EB00F">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098" w:name="_Toc9670"/>
      <w:bookmarkStart w:id="1099" w:name="_Toc22650"/>
      <w:bookmarkStart w:id="1100" w:name="_Toc9518"/>
      <w:bookmarkStart w:id="1101" w:name="_Toc1464"/>
      <w:bookmarkStart w:id="1102" w:name="_Toc14576"/>
      <w:bookmarkStart w:id="1103" w:name="_Toc5941"/>
      <w:r>
        <w:rPr>
          <w:rFonts w:hint="eastAsia" w:ascii="Times New Roman" w:hAnsi="Times New Roman" w:eastAsia="黑体" w:cs="Times New Roman"/>
          <w:b/>
          <w:color w:val="auto"/>
          <w:sz w:val="30"/>
          <w:highlight w:val="none"/>
          <w:lang w:val="en-US" w:eastAsia="zh-CN" w:bidi="ar-SA"/>
        </w:rPr>
        <w:t xml:space="preserve"> </w:t>
      </w:r>
      <w:bookmarkStart w:id="1104" w:name="_Toc193093597"/>
      <w:bookmarkStart w:id="1105" w:name="_Toc10717"/>
      <w:bookmarkStart w:id="1106" w:name="_Toc29016"/>
      <w:bookmarkStart w:id="1107" w:name="_Toc30205"/>
      <w:bookmarkStart w:id="1108" w:name="_Toc1650770235"/>
      <w:bookmarkStart w:id="1109" w:name="_Toc5828"/>
      <w:bookmarkStart w:id="1110" w:name="_Toc734055332"/>
      <w:bookmarkStart w:id="1111" w:name="_Toc619982136"/>
      <w:bookmarkStart w:id="1112" w:name="_Toc366765125"/>
      <w:r>
        <w:rPr>
          <w:rFonts w:hint="eastAsia" w:ascii="Times New Roman" w:hAnsi="Times New Roman" w:eastAsia="黑体" w:cs="Times New Roman"/>
          <w:b/>
          <w:color w:val="auto"/>
          <w:sz w:val="30"/>
          <w:highlight w:val="none"/>
          <w:lang w:val="en-US" w:eastAsia="zh-CN" w:bidi="ar-SA"/>
        </w:rPr>
        <w:t>业务功能点的编制</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21D7F02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项目需求调研，优先使用智慧云平台的一体化开发平台工具和已有的业务封装公共服务和平台基础服务，按需求修改或新增业务功能点，如果是新增的有共性的功能，需封装成新的公共服务，如果是修改原有公共服务，需报招标人同意做服务版本更新或者形成多副本服务。</w:t>
      </w:r>
    </w:p>
    <w:p w14:paraId="0A62AC6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如果新增开发工具，需征得招标人同意，并将开发工具兼容性修改与智慧供水云平台有机融合，并保证开发的新增服务能接受智慧供水云平台的统一管理，通过将有共性的业务封装公共服务，供各业务应用调用，形成统一的中台服务能力，实现对上层业务系统的公共能力沉淀及复用。</w:t>
      </w:r>
    </w:p>
    <w:p w14:paraId="0B928E85">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113" w:name="_Toc27272"/>
      <w:bookmarkStart w:id="1114" w:name="_Toc18939"/>
      <w:bookmarkStart w:id="1115" w:name="_Toc26912"/>
      <w:bookmarkStart w:id="1116" w:name="_Toc24791"/>
      <w:bookmarkStart w:id="1117" w:name="_Toc15719"/>
      <w:bookmarkStart w:id="1118" w:name="_Toc10756"/>
      <w:r>
        <w:rPr>
          <w:rFonts w:hint="eastAsia" w:ascii="Times New Roman" w:hAnsi="Times New Roman" w:eastAsia="黑体" w:cs="Times New Roman"/>
          <w:b/>
          <w:color w:val="auto"/>
          <w:sz w:val="30"/>
          <w:highlight w:val="none"/>
          <w:lang w:val="en-US" w:eastAsia="zh-CN" w:bidi="ar-SA"/>
        </w:rPr>
        <w:t xml:space="preserve"> </w:t>
      </w:r>
      <w:bookmarkStart w:id="1119" w:name="_Toc2627"/>
      <w:bookmarkStart w:id="1120" w:name="_Toc943388985"/>
      <w:bookmarkStart w:id="1121" w:name="_Toc32042"/>
      <w:bookmarkStart w:id="1122" w:name="_Toc449104508"/>
      <w:bookmarkStart w:id="1123" w:name="_Toc596"/>
      <w:bookmarkStart w:id="1124" w:name="_Toc1154104052"/>
      <w:bookmarkStart w:id="1125" w:name="_Toc2121896556"/>
      <w:bookmarkStart w:id="1126" w:name="_Toc741"/>
      <w:bookmarkStart w:id="1127" w:name="_Toc193093598"/>
      <w:r>
        <w:rPr>
          <w:rFonts w:hint="eastAsia" w:ascii="Times New Roman" w:hAnsi="Times New Roman" w:eastAsia="黑体" w:cs="Times New Roman"/>
          <w:b/>
          <w:color w:val="auto"/>
          <w:sz w:val="30"/>
          <w:highlight w:val="none"/>
          <w:lang w:val="en-US" w:eastAsia="zh-CN" w:bidi="ar-SA"/>
        </w:rPr>
        <w:t>业务流程实现</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5A991EE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中涉及到流程化业务工作，必须采用智慧云平台的工作流平台完成。按公司规范，对人工巡检记录、故障处理记录、操作票记录、水质检验记录等流程化工作，对照智慧水厂管理要求，对现有的流程进行修改和新增，按需要进行流程间调用、串并联等编排，完成管理需要。用工作流完成的内容以下统称工单。工单管理应按实际情况完成权限配置、联查、督办、提醒、预警等功能，并能分类进行统计分析，完成工单全流程监督，并形成报表、主题报表和智慧报告，具体内容结合需求和调研开展。工作流主要内容需补充到数据仓库中，满足后续深层次的数据利用的要求。</w:t>
      </w:r>
    </w:p>
    <w:p w14:paraId="7413F72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128" w:name="_Toc25334"/>
      <w:bookmarkStart w:id="1129" w:name="_Toc8505"/>
      <w:bookmarkStart w:id="1130" w:name="_Toc9718"/>
      <w:bookmarkStart w:id="1131" w:name="_Toc10380"/>
      <w:bookmarkStart w:id="1132" w:name="_Toc29171"/>
      <w:bookmarkStart w:id="1133" w:name="_Toc9723"/>
      <w:r>
        <w:rPr>
          <w:rFonts w:hint="eastAsia" w:ascii="Times New Roman" w:hAnsi="Times New Roman" w:eastAsia="黑体" w:cs="Times New Roman"/>
          <w:b/>
          <w:color w:val="auto"/>
          <w:sz w:val="30"/>
          <w:highlight w:val="none"/>
          <w:lang w:val="en-US" w:eastAsia="zh-CN" w:bidi="ar-SA"/>
        </w:rPr>
        <w:t xml:space="preserve"> </w:t>
      </w:r>
      <w:bookmarkStart w:id="1134" w:name="_Toc2933"/>
      <w:bookmarkStart w:id="1135" w:name="_Toc666905094"/>
      <w:bookmarkStart w:id="1136" w:name="_Toc1841930398"/>
      <w:bookmarkStart w:id="1137" w:name="_Toc193093599"/>
      <w:bookmarkStart w:id="1138" w:name="_Toc16364"/>
      <w:bookmarkStart w:id="1139" w:name="_Toc22747"/>
      <w:bookmarkStart w:id="1140" w:name="_Toc954502260"/>
      <w:r>
        <w:rPr>
          <w:rFonts w:hint="eastAsia" w:ascii="Times New Roman" w:hAnsi="Times New Roman" w:eastAsia="黑体" w:cs="Times New Roman"/>
          <w:b/>
          <w:color w:val="auto"/>
          <w:sz w:val="30"/>
          <w:highlight w:val="none"/>
          <w:lang w:val="en-US" w:eastAsia="zh-CN" w:bidi="ar-SA"/>
        </w:rPr>
        <w:t>AI推理算法部署方法</w:t>
      </w:r>
      <w:bookmarkEnd w:id="1134"/>
      <w:bookmarkEnd w:id="1135"/>
      <w:bookmarkEnd w:id="1136"/>
      <w:bookmarkEnd w:id="1137"/>
      <w:bookmarkEnd w:id="1138"/>
      <w:bookmarkEnd w:id="1139"/>
      <w:bookmarkEnd w:id="1140"/>
    </w:p>
    <w:p w14:paraId="56FA992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智慧水厂AI算法管理的全流程需集中在AI大模型平台进行，并在平台完成AI能力的开发、部署、运行、纳管的全流程管理，形成AI能力后发布到北部水厂AI推理边缘，提供公用服务。</w:t>
      </w:r>
    </w:p>
    <w:p w14:paraId="662DB3CE">
      <w:pPr>
        <w:widowControl/>
        <w:spacing w:line="360" w:lineRule="auto"/>
        <w:ind w:firstLine="480" w:firstLineChars="200"/>
        <w:rPr>
          <w:rFonts w:hint="eastAsia" w:ascii="仿宋_GB2312" w:hAnsi="仿宋_GB2312" w:eastAsia="仿宋_GB2312" w:cs="仿宋_GB2312"/>
          <w:color w:val="auto"/>
          <w:kern w:val="0"/>
          <w:sz w:val="24"/>
          <w:szCs w:val="28"/>
          <w:highlight w:val="none"/>
          <w:lang w:eastAsia="zh-CN"/>
        </w:rPr>
      </w:pPr>
      <w:r>
        <w:rPr>
          <w:rFonts w:hint="eastAsia" w:ascii="Times New Roman" w:hAnsi="Times New Roman" w:eastAsia="宋体" w:cs="Times New Roman"/>
          <w:color w:val="auto"/>
          <w:kern w:val="0"/>
          <w:sz w:val="24"/>
          <w:highlight w:val="none"/>
          <w:lang w:eastAsia="zh-CN"/>
        </w:rPr>
        <w:t>其中水厂视（音）频主要由视频平台统一接入，并按规定完成存储、回放等常用需求，视频平台可提供标准信号源，供AI平台进行人工智能分析。北部水厂视频源主要包含有水厂视频系统摄像头、阀门泵组的声频采集器、AR眼镜、无人机摄像头、机器人摄像头等接入的视频</w:t>
      </w:r>
      <w:r>
        <w:rPr>
          <w:rFonts w:hint="eastAsia" w:ascii="仿宋_GB2312" w:hAnsi="仿宋_GB2312" w:eastAsia="仿宋_GB2312" w:cs="仿宋_GB2312"/>
          <w:color w:val="auto"/>
          <w:kern w:val="0"/>
          <w:sz w:val="24"/>
          <w:szCs w:val="28"/>
          <w:highlight w:val="none"/>
          <w:lang w:eastAsia="zh-CN"/>
        </w:rPr>
        <w:t>。</w:t>
      </w:r>
    </w:p>
    <w:p w14:paraId="450EC89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AI算法使用的结构化数据来源于数据中心统一管理的数据，利用AI研发中心完成数据管理、数据清洗、数据标注、智能标注等功能。</w:t>
      </w:r>
    </w:p>
    <w:p w14:paraId="35B3C1C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应用程序可调用和编排各种AI能力算法，通过控制逻辑完成业务功能。系统截取的声纹、视频、图片和文档等，另行存储在北部水厂数据中心的非结构化数据库中；系统形成的事件标志、日志和其他监测控制数据等结构化数据库中。</w:t>
      </w:r>
    </w:p>
    <w:p w14:paraId="479F9F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涉及的非通用AI算法，需提供原子算法、对应开发源程序、数据集等开发材料，并在AI大模型平台中形成托管，便利招标人后续修改和再训练；通用类算法应提供完整的使用权，并能提供一定的接受训练能力，可以另行部署和使用。中标人需承诺招标人在各种应用场合中都有权使用；各应用系统不应将AI算法封装到系统中，如需封装，需得到招标人同意，并把算法纳管到AI研发中心。</w:t>
      </w:r>
    </w:p>
    <w:p w14:paraId="3C44D1D7">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141" w:name="_Toc4354"/>
      <w:bookmarkStart w:id="1142" w:name="_Toc1384787831"/>
      <w:bookmarkStart w:id="1143" w:name="_Toc193093600"/>
      <w:bookmarkStart w:id="1144" w:name="_Toc3321"/>
      <w:bookmarkStart w:id="1145" w:name="_Toc15671"/>
      <w:bookmarkStart w:id="1146" w:name="_Toc1347427681"/>
      <w:bookmarkStart w:id="1147" w:name="_Toc956761165"/>
      <w:bookmarkStart w:id="1148" w:name="_Toc11303"/>
      <w:bookmarkStart w:id="1149" w:name="_Toc616640730"/>
      <w:r>
        <w:rPr>
          <w:rFonts w:hint="eastAsia" w:ascii="Times New Roman" w:hAnsi="Times New Roman" w:eastAsia="黑体" w:cs="Times New Roman"/>
          <w:b/>
          <w:color w:val="auto"/>
          <w:sz w:val="30"/>
          <w:highlight w:val="none"/>
          <w:lang w:val="en-US" w:eastAsia="zh-CN" w:bidi="ar-SA"/>
        </w:rPr>
        <w:t>系统设计的实现技术路径</w:t>
      </w:r>
      <w:bookmarkEnd w:id="1128"/>
      <w:bookmarkEnd w:id="1129"/>
      <w:bookmarkEnd w:id="1130"/>
      <w:bookmarkEnd w:id="1131"/>
      <w:bookmarkEnd w:id="1132"/>
      <w:bookmarkEnd w:id="1133"/>
      <w:bookmarkEnd w:id="1141"/>
      <w:bookmarkEnd w:id="1142"/>
      <w:bookmarkEnd w:id="1143"/>
      <w:bookmarkEnd w:id="1144"/>
      <w:bookmarkEnd w:id="1145"/>
      <w:bookmarkEnd w:id="1146"/>
      <w:bookmarkEnd w:id="1147"/>
      <w:bookmarkEnd w:id="1148"/>
      <w:bookmarkEnd w:id="1149"/>
    </w:p>
    <w:p w14:paraId="56CC132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首先，利用应用层次分析法，通过定性与定量分析相结合的多准则决策，构建智慧供水过程中可视化测量指标量化模型，研究模块化组件设计方法，构建支持数量、时间、地理位置等多维度信息表现的可视化引擎。</w:t>
      </w:r>
    </w:p>
    <w:p w14:paraId="7A5610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第二，通过机理分析与深度学习结合方式，分层建立全流程供水系统模型，采用时序调度、活动扫描、事件响应等机制，研究时间、事件双驱动的仿真引擎构建技术。</w:t>
      </w:r>
    </w:p>
    <w:p w14:paraId="13E6B5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第三，通过物联网技术采集供水过程中传感数据，经由多源数据融合，形成智慧水务供水状态融合数据集合，研究基于数据智能的供水网络实时调度技术，实现供水全流程实时智能管控。</w:t>
      </w:r>
    </w:p>
    <w:p w14:paraId="329A69F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第四，基于容器化与组件化的微服务开放式云原生架构，以PaaS层为支撑，开发决策分析执行引擎、领域知识模型管理引擎、仿真评估引擎、微服务运行引擎、监控引擎等关键部件，利用网络优化、供应仿真、知识融合、监控引擎等技术搭建供应网络，实现供需匹配、资源共享、跨域协同工作。最终形成支持高效动态组织、精准协同优化、实时闭环管控的供水协同服务平台。</w:t>
      </w:r>
    </w:p>
    <w:p w14:paraId="25979C28">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150" w:name="_Toc228"/>
      <w:bookmarkStart w:id="1151" w:name="_Toc23398"/>
      <w:bookmarkStart w:id="1152" w:name="_Toc12335"/>
      <w:bookmarkStart w:id="1153" w:name="_Toc22414"/>
      <w:bookmarkStart w:id="1154" w:name="_Toc7229"/>
      <w:bookmarkStart w:id="1155" w:name="_Toc4938"/>
      <w:r>
        <w:rPr>
          <w:rFonts w:hint="eastAsia" w:ascii="Arial" w:hAnsi="Arial" w:eastAsia="黑体" w:cs="Times New Roman"/>
          <w:b/>
          <w:color w:val="auto"/>
          <w:sz w:val="32"/>
          <w:highlight w:val="none"/>
          <w:lang w:val="en-US" w:eastAsia="zh-CN" w:bidi="ar-SA"/>
        </w:rPr>
        <w:t xml:space="preserve"> </w:t>
      </w:r>
      <w:bookmarkStart w:id="1156" w:name="_Toc9405"/>
      <w:bookmarkStart w:id="1157" w:name="_Toc124668688"/>
      <w:bookmarkStart w:id="1158" w:name="_Toc26778"/>
      <w:bookmarkStart w:id="1159" w:name="_Toc1848793078"/>
      <w:bookmarkStart w:id="1160" w:name="_Toc193093601"/>
      <w:bookmarkStart w:id="1161" w:name="_Toc16454"/>
      <w:bookmarkStart w:id="1162" w:name="_Toc1001976952"/>
      <w:bookmarkStart w:id="1163" w:name="_Toc2856"/>
      <w:bookmarkStart w:id="1164" w:name="_Toc2074835066"/>
      <w:r>
        <w:rPr>
          <w:rFonts w:ascii="Arial" w:hAnsi="Arial" w:eastAsia="黑体" w:cs="Times New Roman"/>
          <w:b/>
          <w:color w:val="auto"/>
          <w:sz w:val="32"/>
          <w:highlight w:val="none"/>
          <w:lang w:val="en-US" w:eastAsia="zh-CN" w:bidi="ar-SA"/>
        </w:rPr>
        <w:t>网络结构描述和搭建要求</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54B910F2">
      <w:pPr>
        <w:widowControl/>
        <w:spacing w:line="360" w:lineRule="auto"/>
        <w:ind w:firstLine="0" w:firstLineChars="0"/>
        <w:jc w:val="center"/>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drawing>
          <wp:inline distT="0" distB="0" distL="114300" distR="114300">
            <wp:extent cx="3674745" cy="3060065"/>
            <wp:effectExtent l="0" t="0" r="1905" b="6985"/>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31"/>
                    <a:stretch>
                      <a:fillRect/>
                    </a:stretch>
                  </pic:blipFill>
                  <pic:spPr>
                    <a:xfrm>
                      <a:off x="0" y="0"/>
                      <a:ext cx="3674745" cy="3060065"/>
                    </a:xfrm>
                    <a:prstGeom prst="rect">
                      <a:avLst/>
                    </a:prstGeom>
                    <a:noFill/>
                    <a:ln>
                      <a:noFill/>
                    </a:ln>
                  </pic:spPr>
                </pic:pic>
              </a:graphicData>
            </a:graphic>
          </wp:inline>
        </w:drawing>
      </w:r>
    </w:p>
    <w:p w14:paraId="1EE1FE0B">
      <w:pPr>
        <w:widowControl/>
        <w:spacing w:line="240" w:lineRule="auto"/>
        <w:ind w:firstLine="0" w:firstLineChars="0"/>
        <w:rPr>
          <w:rFonts w:ascii="Times New Roman" w:hAnsi="Times New Roman" w:eastAsia="宋体" w:cs="Times New Roman"/>
          <w:color w:val="auto"/>
          <w:kern w:val="0"/>
          <w:sz w:val="24"/>
          <w:highlight w:val="none"/>
          <w:lang w:eastAsia="en-US"/>
        </w:rPr>
      </w:pPr>
    </w:p>
    <w:p w14:paraId="5C54B617">
      <w:pPr>
        <w:widowControl/>
        <w:spacing w:line="240" w:lineRule="auto"/>
        <w:ind w:firstLine="0" w:firstLineChars="0"/>
        <w:rPr>
          <w:rFonts w:ascii="Times New Roman" w:hAnsi="Times New Roman" w:eastAsia="宋体" w:cs="Times New Roman"/>
          <w:color w:val="auto"/>
          <w:kern w:val="0"/>
          <w:sz w:val="24"/>
          <w:highlight w:val="none"/>
          <w:lang w:eastAsia="en-US"/>
        </w:rPr>
      </w:pPr>
      <w:r>
        <w:rPr>
          <w:rFonts w:ascii="Times New Roman" w:hAnsi="Times New Roman" w:eastAsia="宋体" w:cs="Times New Roman"/>
          <w:color w:val="auto"/>
          <w:kern w:val="0"/>
          <w:sz w:val="24"/>
          <w:highlight w:val="none"/>
          <w:lang w:eastAsia="en-US"/>
        </w:rPr>
        <w:drawing>
          <wp:inline distT="0" distB="0" distL="114300" distR="114300">
            <wp:extent cx="5278120" cy="3827145"/>
            <wp:effectExtent l="0" t="0" r="17780" b="1905"/>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2"/>
                    <a:stretch>
                      <a:fillRect/>
                    </a:stretch>
                  </pic:blipFill>
                  <pic:spPr>
                    <a:xfrm>
                      <a:off x="0" y="0"/>
                      <a:ext cx="5278120" cy="3827145"/>
                    </a:xfrm>
                    <a:prstGeom prst="rect">
                      <a:avLst/>
                    </a:prstGeom>
                    <a:noFill/>
                    <a:ln>
                      <a:noFill/>
                    </a:ln>
                  </pic:spPr>
                </pic:pic>
              </a:graphicData>
            </a:graphic>
          </wp:inline>
        </w:drawing>
      </w:r>
    </w:p>
    <w:p w14:paraId="791681D1">
      <w:pPr>
        <w:widowControl/>
        <w:spacing w:line="240" w:lineRule="auto"/>
        <w:ind w:firstLine="0" w:firstLineChars="0"/>
        <w:rPr>
          <w:rFonts w:ascii="Times New Roman" w:hAnsi="Times New Roman" w:eastAsia="宋体" w:cs="Times New Roman"/>
          <w:color w:val="auto"/>
          <w:kern w:val="0"/>
          <w:sz w:val="24"/>
          <w:highlight w:val="none"/>
          <w:lang w:eastAsia="en-US"/>
        </w:rPr>
      </w:pPr>
    </w:p>
    <w:p w14:paraId="2F9B7EB2">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总部数据中心</w:t>
      </w:r>
      <w:r>
        <w:rPr>
          <w:rFonts w:hint="eastAsia" w:ascii="Times New Roman" w:hAnsi="Times New Roman" w:eastAsia="宋体" w:cs="Times New Roman"/>
          <w:color w:val="auto"/>
          <w:kern w:val="0"/>
          <w:sz w:val="24"/>
          <w:highlight w:val="none"/>
          <w:lang w:eastAsia="zh-CN"/>
        </w:rPr>
        <w:t>：包含硬件资源和智慧供水云平台，利用虚拟化技术建设面向自来水公司统一服务、调度灵活、满足不同业务应用场景的基础设施资源池。</w:t>
      </w:r>
    </w:p>
    <w:p w14:paraId="00E49B0B">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北部数据中心</w:t>
      </w:r>
      <w:r>
        <w:rPr>
          <w:rFonts w:hint="eastAsia" w:ascii="Times New Roman" w:hAnsi="Times New Roman" w:eastAsia="宋体" w:cs="Times New Roman"/>
          <w:color w:val="auto"/>
          <w:kern w:val="0"/>
          <w:sz w:val="24"/>
          <w:highlight w:val="none"/>
          <w:lang w:eastAsia="zh-CN"/>
        </w:rPr>
        <w:t>：包含硬件资源和云管理平台，作为总部数据中心的灾备数据中心建设，并实现北部水厂各类设备以及自控系统数据、生产运行数据、供应链数据、资产数据、工程数据、实时视频数据等本地化部署；同时设置独立的防火墙接入水厂核心交换网络。</w:t>
      </w:r>
    </w:p>
    <w:p w14:paraId="22940C1E">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水厂核心交换区</w:t>
      </w:r>
      <w:r>
        <w:rPr>
          <w:rFonts w:hint="eastAsia" w:ascii="Times New Roman" w:hAnsi="Times New Roman" w:eastAsia="宋体" w:cs="Times New Roman"/>
          <w:color w:val="auto"/>
          <w:kern w:val="0"/>
          <w:sz w:val="24"/>
          <w:highlight w:val="none"/>
          <w:lang w:eastAsia="zh-CN"/>
        </w:rPr>
        <w:t>：核心交换区作为网络枢纽，物理上与各分区实现全网状连接，提供高速数据交换功能，并通过防火墙、网闸等设备与各区域实现数据隔离和防护。</w:t>
      </w:r>
    </w:p>
    <w:p w14:paraId="22A4C418">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水厂办公区</w:t>
      </w:r>
      <w:r>
        <w:rPr>
          <w:rFonts w:hint="eastAsia" w:ascii="Times New Roman" w:hAnsi="Times New Roman" w:eastAsia="宋体" w:cs="Times New Roman"/>
          <w:color w:val="auto"/>
          <w:kern w:val="0"/>
          <w:sz w:val="24"/>
          <w:highlight w:val="none"/>
          <w:lang w:eastAsia="zh-CN"/>
        </w:rPr>
        <w:t>：水厂办公人员接入网络，主要业务流量通过防火墙接入北部数据中心，实现与总部数据中心互联，访问办公OA、邮件等应用；并设置备份链路，通过防火墙直接接入总部数据中心，保障业务延续性。</w:t>
      </w:r>
    </w:p>
    <w:p w14:paraId="688E93DF">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水厂智能控制区</w:t>
      </w:r>
      <w:r>
        <w:rPr>
          <w:rFonts w:hint="eastAsia" w:ascii="Times New Roman" w:hAnsi="Times New Roman" w:eastAsia="宋体" w:cs="Times New Roman"/>
          <w:color w:val="auto"/>
          <w:kern w:val="0"/>
          <w:sz w:val="24"/>
          <w:highlight w:val="none"/>
          <w:lang w:eastAsia="zh-CN"/>
        </w:rPr>
        <w:t>：部署智慧水厂控制系统服务器，人机交互界面，实现（全厂各工艺）参数设置、数据展示和设备控制功能，实现厂级统一监控；同时设置独立的防火墙接入水厂核心交换网络实现数据隔离和防护。</w:t>
      </w:r>
    </w:p>
    <w:p w14:paraId="23EDB9F0">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水厂生产区</w:t>
      </w:r>
      <w:r>
        <w:rPr>
          <w:rFonts w:hint="eastAsia" w:ascii="Times New Roman" w:hAnsi="Times New Roman" w:eastAsia="宋体" w:cs="Times New Roman"/>
          <w:color w:val="auto"/>
          <w:kern w:val="0"/>
          <w:sz w:val="24"/>
          <w:highlight w:val="none"/>
          <w:lang w:eastAsia="zh-CN"/>
        </w:rPr>
        <w:t>：部署水厂工业控制环网；部署智慧边缘服务器和智慧系统操作HMI，智慧系统控制部分与PLC上位机的控制逻辑控制部分可视为并列关系，互为在线热备份系统；同时设置独立的网闸接入水厂核心交换网络实现数据安全交换。</w:t>
      </w:r>
    </w:p>
    <w:p w14:paraId="7B0F12C1">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水厂安防区</w:t>
      </w:r>
      <w:r>
        <w:rPr>
          <w:rFonts w:hint="eastAsia" w:ascii="Times New Roman" w:hAnsi="Times New Roman" w:eastAsia="宋体" w:cs="Times New Roman"/>
          <w:color w:val="auto"/>
          <w:kern w:val="0"/>
          <w:sz w:val="24"/>
          <w:highlight w:val="none"/>
          <w:lang w:eastAsia="zh-CN"/>
        </w:rPr>
        <w:t>：部署水厂安防广播网；部署AI推理服务器，通过AI算法，对数据、视频、音频和图片进行处理，形成触发事件告警和数据截取等，将相应的数据存储本地或公司云平台，并将结果推送到事件报警和处置模块；同时设置独立的网闸接入水厂核心交换网络实现数据隔离和防护。</w:t>
      </w:r>
    </w:p>
    <w:p w14:paraId="254E63CB">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165" w:name="_Toc11771"/>
      <w:bookmarkStart w:id="1166" w:name="_Toc1510083391"/>
      <w:bookmarkStart w:id="1167" w:name="_Toc15914"/>
      <w:bookmarkStart w:id="1168" w:name="_Toc913494276"/>
      <w:bookmarkStart w:id="1169" w:name="_Toc1807356137"/>
      <w:bookmarkStart w:id="1170" w:name="_Toc1971"/>
      <w:bookmarkStart w:id="1171" w:name="_Toc193093602"/>
      <w:r>
        <w:rPr>
          <w:rFonts w:hint="eastAsia" w:ascii="Arial" w:hAnsi="Arial" w:eastAsia="黑体" w:cs="Times New Roman"/>
          <w:b/>
          <w:color w:val="auto"/>
          <w:sz w:val="32"/>
          <w:highlight w:val="none"/>
          <w:lang w:val="en-US" w:eastAsia="zh-CN" w:bidi="ar-SA"/>
        </w:rPr>
        <w:t>项目实现目标主要参数</w:t>
      </w:r>
      <w:bookmarkEnd w:id="1165"/>
      <w:bookmarkEnd w:id="1166"/>
      <w:bookmarkEnd w:id="1167"/>
      <w:bookmarkEnd w:id="1168"/>
      <w:bookmarkEnd w:id="1169"/>
      <w:bookmarkEnd w:id="1170"/>
      <w:bookmarkEnd w:id="1171"/>
    </w:p>
    <w:p w14:paraId="012BF4CD">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水厂实现无人/少人值守，工艺过程</w:t>
      </w:r>
      <w:r>
        <w:rPr>
          <w:rFonts w:ascii="Times New Roman" w:hAnsi="Times New Roman" w:eastAsia="宋体" w:cs="Times New Roman"/>
          <w:color w:val="auto"/>
          <w:kern w:val="0"/>
          <w:sz w:val="24"/>
          <w:highlight w:val="none"/>
          <w:lang w:eastAsia="zh-CN"/>
        </w:rPr>
        <w:t>程控率</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lang w:eastAsia="zh-CN"/>
        </w:rPr>
        <w:t>98%（程控率：程序指令控制工艺过程数量/工艺过程总数量*100%）</w:t>
      </w:r>
    </w:p>
    <w:p w14:paraId="1FC1DF3D">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自动投矾实际结果值与控制目标值误差绝对值≤0.2NTU；单位矾耗与同水源水厂相比减少10%</w:t>
      </w:r>
    </w:p>
    <w:p w14:paraId="03A6A451">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自动投次氯实际结果值与控制目标值误差绝对值≤0.1mg/L；单位氯耗与北部水厂一期原运行情况相比减少10%</w:t>
      </w:r>
    </w:p>
    <w:p w14:paraId="7E1D6EB6">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当送水泵站采用恒压力控制模式时，误差绝对值≤0.02MPa，实现时间≤5min；恒流量控制模式时，误差绝对值≤5%，实现时间≤10min；采用</w:t>
      </w:r>
      <w:r>
        <w:rPr>
          <w:rFonts w:hint="eastAsia" w:ascii="宋体" w:hAnsi="宋体" w:eastAsia="宋体" w:cs="仿宋_GB2312"/>
          <w:color w:val="auto"/>
          <w:kern w:val="0"/>
          <w:sz w:val="24"/>
          <w:szCs w:val="24"/>
          <w:highlight w:val="none"/>
          <w:lang w:eastAsia="zh-CN"/>
        </w:rPr>
        <w:t>智能优化模式时，送水泵组优化搭配模式准确率≥90%，供水电耗节约1%</w:t>
      </w:r>
    </w:p>
    <w:p w14:paraId="2B71F189">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砂滤池系统</w:t>
      </w:r>
      <w:r>
        <w:rPr>
          <w:rFonts w:ascii="Times New Roman" w:hAnsi="Times New Roman" w:eastAsia="宋体" w:cs="Times New Roman"/>
          <w:color w:val="auto"/>
          <w:kern w:val="0"/>
          <w:sz w:val="24"/>
          <w:highlight w:val="none"/>
          <w:lang w:eastAsia="zh-CN"/>
        </w:rPr>
        <w:t>自动滤水恒液位控制（精准模式）误差绝对值</w:t>
      </w:r>
      <w:r>
        <w:rPr>
          <w:rFonts w:hint="eastAsia" w:ascii="宋体" w:hAnsi="宋体" w:eastAsia="宋体" w:cs="宋体"/>
          <w:color w:val="auto"/>
          <w:kern w:val="0"/>
          <w:sz w:val="24"/>
          <w:highlight w:val="none"/>
          <w:lang w:eastAsia="zh-CN"/>
        </w:rPr>
        <w:t>≤0.03m，</w:t>
      </w:r>
      <w:r>
        <w:rPr>
          <w:rFonts w:ascii="Times New Roman" w:hAnsi="Times New Roman" w:eastAsia="宋体" w:cs="Times New Roman"/>
          <w:color w:val="auto"/>
          <w:kern w:val="0"/>
          <w:sz w:val="24"/>
          <w:highlight w:val="none"/>
          <w:lang w:eastAsia="zh-CN"/>
        </w:rPr>
        <w:t>实现时间</w:t>
      </w:r>
      <w:r>
        <w:rPr>
          <w:rFonts w:hint="eastAsia" w:ascii="宋体" w:hAnsi="宋体" w:eastAsia="宋体" w:cs="宋体"/>
          <w:color w:val="auto"/>
          <w:kern w:val="0"/>
          <w:sz w:val="24"/>
          <w:highlight w:val="none"/>
          <w:lang w:eastAsia="zh-CN"/>
        </w:rPr>
        <w:t>≤5min；</w:t>
      </w:r>
      <w:r>
        <w:rPr>
          <w:rFonts w:ascii="Times New Roman" w:hAnsi="Times New Roman" w:eastAsia="宋体" w:cs="Times New Roman"/>
          <w:color w:val="auto"/>
          <w:kern w:val="0"/>
          <w:sz w:val="24"/>
          <w:highlight w:val="none"/>
          <w:lang w:eastAsia="zh-CN"/>
        </w:rPr>
        <w:t>自动滤水恒液位控制（节气模式）误差绝对值</w:t>
      </w:r>
      <w:r>
        <w:rPr>
          <w:rFonts w:hint="eastAsia" w:ascii="宋体" w:hAnsi="宋体" w:eastAsia="宋体" w:cs="宋体"/>
          <w:color w:val="auto"/>
          <w:kern w:val="0"/>
          <w:sz w:val="24"/>
          <w:highlight w:val="none"/>
          <w:lang w:eastAsia="zh-CN"/>
        </w:rPr>
        <w:t>≤0.05m，</w:t>
      </w:r>
      <w:r>
        <w:rPr>
          <w:rFonts w:ascii="Times New Roman" w:hAnsi="Times New Roman" w:eastAsia="宋体" w:cs="Times New Roman"/>
          <w:color w:val="auto"/>
          <w:kern w:val="0"/>
          <w:sz w:val="24"/>
          <w:highlight w:val="none"/>
          <w:lang w:eastAsia="zh-CN"/>
        </w:rPr>
        <w:t>实现时间</w:t>
      </w:r>
      <w:r>
        <w:rPr>
          <w:rFonts w:hint="eastAsia" w:ascii="宋体" w:hAnsi="宋体" w:eastAsia="宋体" w:cs="宋体"/>
          <w:color w:val="auto"/>
          <w:kern w:val="0"/>
          <w:sz w:val="24"/>
          <w:highlight w:val="none"/>
          <w:lang w:eastAsia="zh-CN"/>
        </w:rPr>
        <w:t>≤10min</w:t>
      </w:r>
    </w:p>
    <w:p w14:paraId="6F247E8B">
      <w:pPr>
        <w:widowControl/>
        <w:numPr>
          <w:ilvl w:val="0"/>
          <w:numId w:val="19"/>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北部水厂“运、管、控”全方位实现智慧管控，日常事务线上办理率</w:t>
      </w:r>
      <w:r>
        <w:rPr>
          <w:rFonts w:hint="eastAsia" w:ascii="宋体" w:hAnsi="宋体" w:eastAsia="宋体" w:cs="宋体"/>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90%</w:t>
      </w:r>
    </w:p>
    <w:p w14:paraId="01013D90">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1172" w:name="_Toc28358"/>
      <w:bookmarkStart w:id="1173" w:name="_Toc1009812291"/>
      <w:bookmarkStart w:id="1174" w:name="_Toc737704329"/>
      <w:bookmarkStart w:id="1175" w:name="_Toc15202"/>
      <w:bookmarkStart w:id="1176" w:name="_Toc78407744"/>
      <w:bookmarkStart w:id="1177" w:name="_Toc193093603"/>
      <w:bookmarkStart w:id="1178" w:name="_Toc26242"/>
      <w:bookmarkStart w:id="1179" w:name="_Toc5943"/>
      <w:bookmarkStart w:id="1180" w:name="_Toc724373503"/>
      <w:r>
        <w:rPr>
          <w:rFonts w:hint="eastAsia" w:ascii="Arial" w:hAnsi="Arial" w:eastAsia="黑体" w:cs="Times New Roman"/>
          <w:b/>
          <w:caps/>
          <w:color w:val="auto"/>
          <w:sz w:val="32"/>
          <w:szCs w:val="28"/>
          <w:highlight w:val="none"/>
          <w:lang w:val="en-US" w:eastAsia="zh-CN" w:bidi="ar-SA"/>
        </w:rPr>
        <w:t>详细软件业务功能</w:t>
      </w:r>
      <w:bookmarkEnd w:id="1172"/>
      <w:bookmarkEnd w:id="1173"/>
      <w:bookmarkEnd w:id="1174"/>
      <w:bookmarkEnd w:id="1175"/>
      <w:bookmarkEnd w:id="1176"/>
      <w:bookmarkEnd w:id="1177"/>
      <w:bookmarkEnd w:id="1178"/>
      <w:bookmarkEnd w:id="1179"/>
      <w:bookmarkEnd w:id="1180"/>
    </w:p>
    <w:p w14:paraId="07B07698">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181" w:name="_Toc19078"/>
      <w:bookmarkStart w:id="1182" w:name="_Toc102833700"/>
      <w:bookmarkStart w:id="1183" w:name="_Toc193093609"/>
      <w:bookmarkStart w:id="1184" w:name="_Toc4856"/>
      <w:bookmarkStart w:id="1185" w:name="_Toc21463"/>
      <w:bookmarkStart w:id="1186" w:name="_Toc14494"/>
      <w:bookmarkStart w:id="1187" w:name="_Toc351912596"/>
      <w:bookmarkStart w:id="1188" w:name="_Toc1173563372"/>
      <w:bookmarkStart w:id="1189" w:name="_Toc1391477797"/>
      <w:r>
        <w:rPr>
          <w:rFonts w:hint="eastAsia" w:ascii="Arial" w:hAnsi="Arial" w:eastAsia="黑体" w:cs="Times New Roman"/>
          <w:b/>
          <w:color w:val="auto"/>
          <w:sz w:val="32"/>
          <w:highlight w:val="none"/>
          <w:lang w:val="en-US" w:eastAsia="zh-CN" w:bidi="ar-SA"/>
        </w:rPr>
        <w:t>AI大模型平台</w:t>
      </w:r>
      <w:bookmarkEnd w:id="1181"/>
      <w:bookmarkEnd w:id="1182"/>
      <w:bookmarkEnd w:id="1183"/>
      <w:bookmarkEnd w:id="1184"/>
      <w:bookmarkEnd w:id="1185"/>
      <w:bookmarkEnd w:id="1186"/>
      <w:bookmarkEnd w:id="1187"/>
      <w:bookmarkEnd w:id="1188"/>
      <w:bookmarkEnd w:id="1189"/>
    </w:p>
    <w:p w14:paraId="25D2B26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投标人需提供AI大模型平台，平台</w:t>
      </w:r>
      <w:r>
        <w:rPr>
          <w:rFonts w:ascii="Times New Roman" w:hAnsi="Times New Roman" w:eastAsia="宋体" w:cs="Times New Roman"/>
          <w:color w:val="auto"/>
          <w:kern w:val="0"/>
          <w:sz w:val="24"/>
          <w:highlight w:val="none"/>
          <w:lang w:eastAsia="zh-CN"/>
        </w:rPr>
        <w:t>能够基于国产化算力集群，实现从数据管理、模型开发、部署上线、在线测试的AI</w:t>
      </w:r>
      <w:r>
        <w:rPr>
          <w:rFonts w:hint="eastAsia" w:ascii="Times New Roman" w:hAnsi="Times New Roman" w:eastAsia="宋体" w:cs="Times New Roman"/>
          <w:color w:val="auto"/>
          <w:kern w:val="0"/>
          <w:sz w:val="24"/>
          <w:highlight w:val="none"/>
          <w:lang w:eastAsia="zh-CN"/>
        </w:rPr>
        <w:t>大模型</w:t>
      </w:r>
      <w:r>
        <w:rPr>
          <w:rFonts w:ascii="Times New Roman" w:hAnsi="Times New Roman" w:eastAsia="宋体" w:cs="Times New Roman"/>
          <w:color w:val="auto"/>
          <w:kern w:val="0"/>
          <w:sz w:val="24"/>
          <w:highlight w:val="none"/>
          <w:lang w:eastAsia="zh-CN"/>
        </w:rPr>
        <w:t>全生命周期建设和管理。</w:t>
      </w:r>
    </w:p>
    <w:p w14:paraId="48D5DAC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投标人可采用具有自主知识产权的AI大模型平台，亦可采用外购成熟厂商的AI大模型平台，如外购时应提供平台厂商唯一授权书。</w:t>
      </w:r>
    </w:p>
    <w:p w14:paraId="41B149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AI大模型平台应至少包含大模型管理平台、大模型应用开发平台和AI开发平台。</w:t>
      </w:r>
    </w:p>
    <w:p w14:paraId="666DF608">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bookmarkStart w:id="1190" w:name="_Toc3469"/>
      <w:bookmarkStart w:id="1191" w:name="_Toc24590"/>
      <w:bookmarkStart w:id="1192" w:name="_Toc18818"/>
      <w:bookmarkStart w:id="1193" w:name="_Toc5616"/>
      <w:r>
        <w:rPr>
          <w:rFonts w:hint="eastAsia" w:ascii="Times New Roman" w:hAnsi="Times New Roman" w:eastAsia="黑体" w:cs="Times New Roman"/>
          <w:b/>
          <w:color w:val="auto"/>
          <w:sz w:val="30"/>
          <w:highlight w:val="none"/>
          <w:lang w:val="en-US" w:eastAsia="zh-CN" w:bidi="ar-SA"/>
        </w:rPr>
        <w:t xml:space="preserve"> </w:t>
      </w:r>
      <w:bookmarkStart w:id="1194" w:name="_Toc15467"/>
      <w:bookmarkStart w:id="1195" w:name="_Toc470418349"/>
      <w:bookmarkStart w:id="1196" w:name="_Toc5504"/>
      <w:bookmarkStart w:id="1197" w:name="_Toc1749143712"/>
      <w:bookmarkStart w:id="1198" w:name="_Toc22637"/>
      <w:bookmarkStart w:id="1199" w:name="_Toc193093610"/>
      <w:bookmarkStart w:id="1200" w:name="_Toc1589779156"/>
      <w:bookmarkStart w:id="1201" w:name="_Toc425037134"/>
      <w:bookmarkStart w:id="1202" w:name="_Toc15937"/>
      <w:r>
        <w:rPr>
          <w:rFonts w:ascii="Times New Roman" w:hAnsi="Times New Roman" w:eastAsia="黑体" w:cs="Times New Roman"/>
          <w:b/>
          <w:color w:val="auto"/>
          <w:sz w:val="30"/>
          <w:highlight w:val="none"/>
          <w:lang w:val="en-US" w:eastAsia="zh-CN" w:bidi="ar-SA"/>
        </w:rPr>
        <w:t>大模型</w:t>
      </w:r>
      <w:r>
        <w:rPr>
          <w:rFonts w:hint="eastAsia" w:ascii="Times New Roman" w:hAnsi="Times New Roman" w:eastAsia="黑体" w:cs="Times New Roman"/>
          <w:b/>
          <w:color w:val="auto"/>
          <w:sz w:val="30"/>
          <w:highlight w:val="none"/>
          <w:lang w:val="en-US" w:eastAsia="zh-CN" w:bidi="ar-SA"/>
        </w:rPr>
        <w:t>管理</w:t>
      </w:r>
      <w:r>
        <w:rPr>
          <w:rFonts w:ascii="Times New Roman" w:hAnsi="Times New Roman" w:eastAsia="黑体" w:cs="Times New Roman"/>
          <w:b/>
          <w:color w:val="auto"/>
          <w:sz w:val="30"/>
          <w:highlight w:val="none"/>
          <w:lang w:val="en-US" w:eastAsia="zh-CN" w:bidi="ar-SA"/>
        </w:rPr>
        <w:t>平台要求</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B06D43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仿宋" w:hAnsi="仿宋" w:eastAsia="宋体" w:cs="Times New Roman"/>
          <w:color w:val="auto"/>
          <w:kern w:val="0"/>
          <w:sz w:val="24"/>
          <w:highlight w:val="none"/>
          <w:lang w:eastAsia="zh-CN"/>
        </w:rPr>
        <w:t>本项目私有化部署大模型平台，</w:t>
      </w:r>
      <w:r>
        <w:rPr>
          <w:rFonts w:hint="eastAsia" w:ascii="仿宋" w:hAnsi="仿宋" w:eastAsia="宋体" w:cs="Times New Roman"/>
          <w:color w:val="auto"/>
          <w:kern w:val="0"/>
          <w:sz w:val="24"/>
          <w:highlight w:val="none"/>
          <w:lang w:val="en-US" w:eastAsia="zh-CN"/>
        </w:rPr>
        <w:t>同时根据现有物联网平台情况对容器平台及数据中台进行拓展与完善</w:t>
      </w:r>
      <w:r>
        <w:rPr>
          <w:rFonts w:hint="eastAsia" w:ascii="仿宋" w:hAnsi="仿宋" w:eastAsia="宋体" w:cs="Times New Roman"/>
          <w:color w:val="auto"/>
          <w:kern w:val="0"/>
          <w:sz w:val="24"/>
          <w:highlight w:val="none"/>
          <w:lang w:eastAsia="zh-CN"/>
        </w:rPr>
        <w:t>，</w:t>
      </w:r>
      <w:r>
        <w:rPr>
          <w:rFonts w:hint="eastAsia" w:ascii="仿宋" w:hAnsi="仿宋" w:eastAsia="宋体" w:cs="Times New Roman"/>
          <w:color w:val="auto"/>
          <w:kern w:val="0"/>
          <w:sz w:val="24"/>
          <w:highlight w:val="none"/>
          <w:lang w:val="en-US" w:eastAsia="zh-CN"/>
        </w:rPr>
        <w:t>大模型</w:t>
      </w:r>
      <w:r>
        <w:rPr>
          <w:rFonts w:hint="eastAsia" w:ascii="Times New Roman" w:hAnsi="Times New Roman" w:eastAsia="宋体" w:cs="Times New Roman"/>
          <w:color w:val="auto"/>
          <w:kern w:val="0"/>
          <w:sz w:val="24"/>
          <w:highlight w:val="none"/>
          <w:lang w:eastAsia="zh-CN"/>
        </w:rPr>
        <w:t>平台支持国内国外主流开源大模型以及厂商私有大模型的部署与开发，包括不限于</w:t>
      </w:r>
      <w:r>
        <w:rPr>
          <w:rFonts w:hint="eastAsia" w:ascii="Times New Roman" w:hAnsi="Times New Roman" w:eastAsia="宋体" w:cs="Times New Roman"/>
          <w:color w:val="auto"/>
          <w:kern w:val="0"/>
          <w:sz w:val="24"/>
          <w:highlight w:val="none"/>
          <w:lang w:val="en-US" w:eastAsia="zh-CN"/>
        </w:rPr>
        <w:t>Deepseek、</w:t>
      </w:r>
      <w:r>
        <w:rPr>
          <w:rFonts w:hint="eastAsia" w:ascii="Times New Roman" w:hAnsi="Times New Roman" w:eastAsia="宋体" w:cs="Times New Roman"/>
          <w:color w:val="auto"/>
          <w:kern w:val="0"/>
          <w:sz w:val="24"/>
          <w:highlight w:val="none"/>
          <w:lang w:eastAsia="zh-CN"/>
        </w:rPr>
        <w:t>ChatGLM、Bloomz、Llama、Qwen、Baichuan等生成式AI模型（最新版）的部署、模型的开发、模型的管理、模型训练、模型服务、模型开发以及数据集的管理，同时需要适配异构算力。实现大模型的私有化部署，实现行业大模型的训练与推理应用，支持百亿参数大模型的部署与推理，支撑智能体的开发与应用确保实现落地。</w:t>
      </w:r>
    </w:p>
    <w:p w14:paraId="0057037D">
      <w:pPr>
        <w:widowControl/>
        <w:spacing w:line="360" w:lineRule="auto"/>
        <w:ind w:firstLine="480" w:firstLineChars="200"/>
        <w:rPr>
          <w:rFonts w:hint="eastAsia" w:ascii="仿宋" w:hAnsi="仿宋" w:eastAsia="宋体" w:cs="Times New Roman"/>
          <w:color w:val="auto"/>
          <w:kern w:val="0"/>
          <w:sz w:val="24"/>
          <w:highlight w:val="none"/>
          <w:lang w:eastAsia="zh-CN"/>
        </w:rPr>
      </w:pPr>
      <w:r>
        <w:rPr>
          <w:rFonts w:hint="eastAsia" w:ascii="仿宋" w:hAnsi="仿宋" w:eastAsia="宋体" w:cs="Times New Roman"/>
          <w:color w:val="auto"/>
          <w:kern w:val="0"/>
          <w:sz w:val="24"/>
          <w:highlight w:val="none"/>
          <w:lang w:eastAsia="zh-CN"/>
        </w:rPr>
        <w:t>支持通过自动化训练、Notebook训练、作业训练三种方式进行基础大语言模型的训练优化，以提升基础大模型的水务专业性。</w:t>
      </w:r>
    </w:p>
    <w:p w14:paraId="672190AD">
      <w:pPr>
        <w:widowControl/>
        <w:spacing w:line="360" w:lineRule="auto"/>
        <w:ind w:firstLine="480" w:firstLineChars="200"/>
        <w:rPr>
          <w:rFonts w:hint="eastAsia" w:ascii="仿宋" w:hAnsi="仿宋"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w:t>
      </w:r>
      <w:r>
        <w:rPr>
          <w:rFonts w:hint="eastAsia" w:ascii="Times New Roman" w:hAnsi="Times New Roman" w:eastAsia="宋体" w:cs="Times New Roman"/>
          <w:color w:val="auto"/>
          <w:kern w:val="0"/>
          <w:sz w:val="24"/>
          <w:highlight w:val="none"/>
          <w:lang w:eastAsia="en-US"/>
        </w:rPr>
        <w:t>自动化训练支持</w:t>
      </w:r>
      <w:r>
        <w:rPr>
          <w:rFonts w:ascii="Times New Roman" w:hAnsi="Times New Roman" w:eastAsia="宋体" w:cs="Times New Roman"/>
          <w:color w:val="auto"/>
          <w:kern w:val="0"/>
          <w:sz w:val="24"/>
          <w:highlight w:val="none"/>
          <w:lang w:eastAsia="en-US"/>
        </w:rPr>
        <w:t>Post-pretrain、SFT-全量更新与</w:t>
      </w:r>
      <w:r>
        <w:rPr>
          <w:rFonts w:hint="eastAsia" w:ascii="Times New Roman" w:hAnsi="Times New Roman" w:eastAsia="宋体" w:cs="Times New Roman"/>
          <w:color w:val="auto"/>
          <w:kern w:val="0"/>
          <w:sz w:val="24"/>
          <w:highlight w:val="none"/>
          <w:lang w:eastAsia="zh-CN"/>
        </w:rPr>
        <w:t>偏好对齐</w:t>
      </w:r>
      <w:r>
        <w:rPr>
          <w:rFonts w:ascii="Times New Roman" w:hAnsi="Times New Roman" w:eastAsia="宋体" w:cs="Times New Roman"/>
          <w:color w:val="auto"/>
          <w:kern w:val="0"/>
          <w:sz w:val="24"/>
          <w:highlight w:val="none"/>
          <w:lang w:eastAsia="en-US"/>
        </w:rPr>
        <w:t>三种训练方法，支持自定义学习率（Learning Rate）、迭代轮数（EPOCH）、批大小（Batch Size）三种超参数。</w:t>
      </w:r>
      <w:r>
        <w:rPr>
          <w:rFonts w:hint="eastAsia" w:ascii="Times New Roman" w:hAnsi="Times New Roman" w:eastAsia="宋体" w:cs="Times New Roman"/>
          <w:color w:val="auto"/>
          <w:kern w:val="0"/>
          <w:sz w:val="24"/>
          <w:highlight w:val="none"/>
          <w:lang w:eastAsia="zh-CN"/>
        </w:rPr>
        <w:t>支持数据源选择、多种模型网络、训练类型，支持超参数、训练资源的配置。</w:t>
      </w:r>
    </w:p>
    <w:p w14:paraId="0E7C611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大模型管理平台涵盖大模型、数据管理、模型训练、评估&amp;优化、预测服务、Prompt工程和基础管控模块等。</w:t>
      </w:r>
    </w:p>
    <w:p w14:paraId="15369CA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en-US"/>
        </w:rPr>
        <w:t>平台应预置丰富的大语言模型，涵盖开源的</w:t>
      </w:r>
      <w:r>
        <w:rPr>
          <w:rFonts w:hint="eastAsia" w:ascii="Times New Roman" w:hAnsi="Times New Roman" w:eastAsia="宋体" w:cs="Times New Roman"/>
          <w:color w:val="auto"/>
          <w:kern w:val="0"/>
          <w:sz w:val="24"/>
          <w:highlight w:val="none"/>
          <w:lang w:val="en-US" w:eastAsia="zh-CN"/>
        </w:rPr>
        <w:t>D</w:t>
      </w:r>
      <w:r>
        <w:rPr>
          <w:rFonts w:hint="eastAsia" w:ascii="Times New Roman" w:hAnsi="Times New Roman" w:eastAsia="宋体" w:cs="Times New Roman"/>
          <w:color w:val="auto"/>
          <w:kern w:val="0"/>
          <w:sz w:val="24"/>
          <w:highlight w:val="none"/>
          <w:lang w:eastAsia="zh-CN"/>
        </w:rPr>
        <w:t>eepseek、</w:t>
      </w:r>
      <w:r>
        <w:rPr>
          <w:rFonts w:hint="eastAsia" w:ascii="Times New Roman" w:hAnsi="Times New Roman" w:eastAsia="宋体" w:cs="Times New Roman"/>
          <w:color w:val="auto"/>
          <w:kern w:val="0"/>
          <w:sz w:val="24"/>
          <w:highlight w:val="none"/>
          <w:lang w:eastAsia="en-US"/>
        </w:rPr>
        <w:t>Llama、Baichuan、Qwen、ChatGLM、Falcon、Bloomz等，以及闭源</w:t>
      </w:r>
      <w:r>
        <w:rPr>
          <w:rFonts w:hint="eastAsia" w:ascii="Times New Roman" w:hAnsi="Times New Roman" w:eastAsia="宋体" w:cs="Times New Roman"/>
          <w:color w:val="auto"/>
          <w:kern w:val="0"/>
          <w:sz w:val="24"/>
          <w:highlight w:val="none"/>
          <w:lang w:val="en-US" w:eastAsia="zh-CN"/>
        </w:rPr>
        <w:t>百亿</w:t>
      </w:r>
      <w:r>
        <w:rPr>
          <w:rFonts w:hint="eastAsia" w:ascii="Times New Roman" w:hAnsi="Times New Roman" w:eastAsia="宋体" w:cs="Times New Roman"/>
          <w:color w:val="auto"/>
          <w:kern w:val="0"/>
          <w:sz w:val="24"/>
          <w:highlight w:val="none"/>
          <w:lang w:eastAsia="en-US"/>
        </w:rPr>
        <w:t>自研大模型。</w:t>
      </w:r>
    </w:p>
    <w:p w14:paraId="13285B86">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数据集管理</w:t>
      </w:r>
    </w:p>
    <w:p w14:paraId="6CF5A11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数据管理模块应提供完整的数据导入、数据标注、数据清洗、数据增强、数据回流功能。</w:t>
      </w:r>
    </w:p>
    <w:p w14:paraId="4620ADC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平台支持至少3种标注方法，包括在线标注、多人标注、智能标注。</w:t>
      </w:r>
    </w:p>
    <w:p w14:paraId="6445D6E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平台在线标注能力，能够利用预置的大语言模型，对文本对话类数据进行智能标注，自动生成回答数据，完成文本对话数据集标注，提升数据标注效率。</w:t>
      </w:r>
    </w:p>
    <w:p w14:paraId="4FABB4D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平台支持智能标注能力，支持基于预置模型或根据用户自定义模型对数据集进行自动标注；智能标注过程中支持迭代式的难例筛选、难例确认等功能，最大程度降低数据标注量。</w:t>
      </w:r>
    </w:p>
    <w:p w14:paraId="6BDD3456">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数据集类型可以提供不少于10种文本数据类型，不少于5种图像数据类型，不少于3种视频数据类型，音频、跨模态数据类型。（产品</w:t>
      </w:r>
      <w:r>
        <w:rPr>
          <w:rFonts w:hint="eastAsia" w:ascii="Times New Roman" w:hAnsi="Times New Roman" w:eastAsia="宋体" w:cs="Times New Roman"/>
          <w:color w:val="auto"/>
          <w:kern w:val="0"/>
          <w:sz w:val="24"/>
          <w:highlight w:val="none"/>
          <w:lang w:val="en-US" w:eastAsia="zh-CN"/>
        </w:rPr>
        <w:t>功能</w:t>
      </w:r>
      <w:r>
        <w:rPr>
          <w:rFonts w:hint="eastAsia" w:ascii="Times New Roman" w:hAnsi="Times New Roman" w:eastAsia="宋体" w:cs="Times New Roman"/>
          <w:color w:val="auto"/>
          <w:kern w:val="0"/>
          <w:sz w:val="24"/>
          <w:highlight w:val="none"/>
          <w:lang w:eastAsia="zh-CN"/>
        </w:rPr>
        <w:t>截图）</w:t>
      </w:r>
    </w:p>
    <w:p w14:paraId="44CDD82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提供数据处理能力。数据清洗、数据增强和数据生成的解决方案。数据清洗包括异常清洗、文本过滤、去重和隐私信息删除。数据增强通过合成数据来丰富数据集，包括文本增强和图像增强。数据生成用以解决深度学习领域对抗样本问题，提升AI系统整体安全性和可靠性。</w:t>
      </w:r>
    </w:p>
    <w:p w14:paraId="0640086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平台应提供数据回流功能，支持将已上线的大模型预测服务的结果保存回数据集，经人工筛选、调整以及处理后，用于下一次的模型优化训练。</w:t>
      </w:r>
    </w:p>
    <w:p w14:paraId="0C6E0A15">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模型训练</w:t>
      </w:r>
    </w:p>
    <w:p w14:paraId="338F84E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模型训练模块应具备针对大模型的后预训练post-pretrain、调优SFT（包括全量参数更新、偏好对齐），其中可用于训练的大模型包括平台内置的大模型和第三方开源大模型。同时支持模型训练加速能力。</w:t>
      </w:r>
    </w:p>
    <w:p w14:paraId="311A245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预置闭源大语言模型、开源大模型，支持SFT全量参数微调、偏好对齐等多种训练方式。</w:t>
      </w:r>
    </w:p>
    <w:p w14:paraId="2761F94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提供大模型调优、Notebook建模、作业建模、可视化建模、自动化建模案例模版，模版数量不少于60个。</w:t>
      </w:r>
    </w:p>
    <w:p w14:paraId="542E0E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平台应支持用户可选择模型训练加速策略，支持开启或关闭RDMA训练加速。</w:t>
      </w:r>
    </w:p>
    <w:p w14:paraId="324A7571">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平台应支持输出模型训练报告，并可图表展示评估报告，评估指标至少包括ROUGE-1、BLEU-4、ROUGE-2、ROUGE-L、Training loss等。</w:t>
      </w:r>
    </w:p>
    <w:p w14:paraId="7BA19F5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模型评估</w:t>
      </w:r>
    </w:p>
    <w:p w14:paraId="2D815ED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评估模块应具备管理预置在平台内的闭源大模型和纳管开源大模型能力，并支持对大模型进行评估。</w:t>
      </w:r>
    </w:p>
    <w:p w14:paraId="040A326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平台支持对文本类生成大模型进行自动效果评估（基于文本相似度指标）, 用以衡量不同数据集或参数下的大模型表现；支持的指标包括BLEU-4、ROUGE-1、ROUGE-2、ROUGE-L、准确率、F1分数。（产品</w:t>
      </w:r>
      <w:r>
        <w:rPr>
          <w:rFonts w:hint="eastAsia" w:ascii="Times New Roman" w:hAnsi="Times New Roman" w:eastAsia="宋体" w:cs="Times New Roman"/>
          <w:color w:val="auto"/>
          <w:kern w:val="0"/>
          <w:sz w:val="24"/>
          <w:highlight w:val="none"/>
          <w:lang w:val="en-US" w:eastAsia="zh-CN"/>
        </w:rPr>
        <w:t>功能</w:t>
      </w:r>
      <w:r>
        <w:rPr>
          <w:rFonts w:hint="eastAsia" w:ascii="Times New Roman" w:hAnsi="Times New Roman" w:eastAsia="宋体" w:cs="Times New Roman"/>
          <w:color w:val="auto"/>
          <w:kern w:val="0"/>
          <w:sz w:val="24"/>
          <w:highlight w:val="none"/>
          <w:lang w:eastAsia="zh-CN"/>
        </w:rPr>
        <w:t>截图）</w:t>
      </w:r>
    </w:p>
    <w:p w14:paraId="7237184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支持自动裁判员打分，使用能力更强的大模型作为裁判员，对被评估模型的生成结果进行自动化打分，适用于开放性或复杂问答场景。</w:t>
      </w:r>
    </w:p>
    <w:p w14:paraId="55FEA92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模型管理</w:t>
      </w:r>
    </w:p>
    <w:p w14:paraId="34179E4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平台支持管理用户的项目模型和公共模型。“项目模型”纳管了用户训练、加速生成的大模型或导入的第三方格式模型。公共模型是指共享至组织或全局的模型以及内置模型。</w:t>
      </w:r>
    </w:p>
    <w:p w14:paraId="797D0A5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模型管理功能，支持平台训练模型和外部导入的第三方模型的管理，第三方模型支持主流框架，框架种类不少于10种。包括：TensorFlow、PyTorch、Caffe、Darknet、MXNet、ONNX、Sklearn、R、MOJO、POJO、PMML、国产深度学习框架。</w:t>
      </w:r>
    </w:p>
    <w:p w14:paraId="1DCF9FA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预测服务</w:t>
      </w:r>
    </w:p>
    <w:p w14:paraId="7C827863">
      <w:pPr>
        <w:widowControl/>
        <w:spacing w:line="360" w:lineRule="auto"/>
        <w:ind w:firstLine="480" w:firstLineChars="200"/>
        <w:rPr>
          <w:rFonts w:ascii="Times New Roman" w:hAnsi="Times New Roman" w:eastAsia="宋体" w:cs="Times New Roman"/>
          <w:bCs/>
          <w:color w:val="auto"/>
          <w:kern w:val="0"/>
          <w:sz w:val="24"/>
          <w:highlight w:val="none"/>
          <w:lang w:eastAsia="zh-CN"/>
        </w:rPr>
      </w:pPr>
      <w:r>
        <w:rPr>
          <w:rFonts w:hint="eastAsia" w:ascii="Times New Roman" w:hAnsi="Times New Roman" w:eastAsia="宋体" w:cs="Times New Roman"/>
          <w:bCs/>
          <w:color w:val="auto"/>
          <w:kern w:val="0"/>
          <w:sz w:val="24"/>
          <w:highlight w:val="none"/>
          <w:lang w:eastAsia="zh-CN"/>
        </w:rPr>
        <w:t>预测服务模块应具备服务部署能力，可直接部署大模型，或将微调后的大模型部署为预测服务, 并运行在高可用环境中。并支持在线测试大模型。</w:t>
      </w:r>
    </w:p>
    <w:p w14:paraId="15EF0CEC">
      <w:pPr>
        <w:widowControl/>
        <w:spacing w:line="360" w:lineRule="auto"/>
        <w:ind w:firstLine="480" w:firstLineChars="200"/>
        <w:rPr>
          <w:rFonts w:ascii="Times New Roman" w:hAnsi="Times New Roman" w:eastAsia="宋体" w:cs="Times New Roman"/>
          <w:bCs/>
          <w:color w:val="auto"/>
          <w:kern w:val="0"/>
          <w:sz w:val="24"/>
          <w:highlight w:val="none"/>
          <w:lang w:eastAsia="zh-CN"/>
        </w:rPr>
      </w:pPr>
      <w:r>
        <w:rPr>
          <w:rFonts w:hint="eastAsia" w:ascii="Times New Roman" w:hAnsi="Times New Roman" w:eastAsia="宋体" w:cs="Times New Roman"/>
          <w:bCs/>
          <w:color w:val="auto"/>
          <w:kern w:val="0"/>
          <w:sz w:val="24"/>
          <w:highlight w:val="none"/>
          <w:lang w:eastAsia="zh-CN"/>
        </w:rPr>
        <w:t>服务版本更新：支持模型版本热更新，服务切换模型版本时，服务不停止，不切换服务URL地址。</w:t>
      </w:r>
    </w:p>
    <w:p w14:paraId="471F945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Cs/>
          <w:color w:val="auto"/>
          <w:kern w:val="0"/>
          <w:sz w:val="24"/>
          <w:highlight w:val="none"/>
          <w:lang w:eastAsia="zh-CN"/>
        </w:rPr>
        <w:t>支持服务编排功能，支持表单视图和代码视图；至少支持3种编排组件，包括条件组件节点、循环组件节点、并行组件节点等，满足多种业务逻辑；内置服务编排模版，并支持编排案例和节点使用模版。</w:t>
      </w:r>
    </w:p>
    <w:p w14:paraId="7570E16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P</w:t>
      </w:r>
      <w:r>
        <w:rPr>
          <w:rFonts w:hint="eastAsia" w:ascii="Arial" w:hAnsi="Arial" w:eastAsia="黑体" w:cs="Times New Roman"/>
          <w:b/>
          <w:color w:val="auto"/>
          <w:sz w:val="28"/>
          <w:highlight w:val="none"/>
          <w:lang w:val="en-US" w:eastAsia="en-US" w:bidi="ar-SA"/>
        </w:rPr>
        <w:t>rompt工程</w:t>
      </w:r>
    </w:p>
    <w:p w14:paraId="5ADF9F46">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prompt工程模块应支持创建和管理prompt模板，支持以API调用prompt模板。</w:t>
      </w:r>
    </w:p>
    <w:p w14:paraId="688BF35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平台应提供Prompt模板管理功能，支持创建Prompt模板，可定义模板名称、标签、模板内容。</w:t>
      </w:r>
    </w:p>
    <w:p w14:paraId="19853D66">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基础管控</w:t>
      </w:r>
    </w:p>
    <w:p w14:paraId="4B54ECF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基础管控模块应涵盖干预机制、资源管理、用户管理、运维监控等。</w:t>
      </w:r>
    </w:p>
    <w:p w14:paraId="4E6C5B1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平台应具备语义干预机制，支持用户设置文本干预规则，配置文本干预规则后，当用户问题满足规则时，模型将按照规则中配置的答复方式进行答复。</w:t>
      </w:r>
    </w:p>
    <w:p w14:paraId="2465DB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通过资源池为平台组织&amp;项目分配计算资源。支持为资源池配置可用服务，支持设置资源池是否可排队属性。支持Pod管理，查询Pod执行状态、资源占用量/申请量等；支持通过配置相关参数（如CPU、内存、AI加速卡的总量、已使用量、剩余量）定义空闲、低利用率资源池，并对满足条件的空闲、低利用率资源池操作手动、自动回收。（产品</w:t>
      </w:r>
      <w:r>
        <w:rPr>
          <w:rFonts w:hint="eastAsia" w:ascii="Times New Roman" w:hAnsi="Times New Roman" w:eastAsia="宋体" w:cs="Times New Roman"/>
          <w:color w:val="auto"/>
          <w:kern w:val="0"/>
          <w:sz w:val="24"/>
          <w:highlight w:val="none"/>
          <w:lang w:val="en-US" w:eastAsia="zh-CN"/>
        </w:rPr>
        <w:t>功能</w:t>
      </w:r>
      <w:r>
        <w:rPr>
          <w:rFonts w:hint="eastAsia" w:ascii="Times New Roman" w:hAnsi="Times New Roman" w:eastAsia="宋体" w:cs="Times New Roman"/>
          <w:color w:val="auto"/>
          <w:kern w:val="0"/>
          <w:sz w:val="24"/>
          <w:highlight w:val="none"/>
          <w:lang w:eastAsia="zh-CN"/>
        </w:rPr>
        <w:t>截图）</w:t>
      </w:r>
    </w:p>
    <w:p w14:paraId="1147E92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通过不同来源存储纳管平台存储源，支持多种类型的存储源接入和使用，包括HDFS、NFS、GlusterFS、HDFSWithKerberos、S3、CIFS、BOS、PVC、OBS、OSS等类型。</w:t>
      </w:r>
    </w:p>
    <w:p w14:paraId="2971A16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大语言模型</w:t>
      </w:r>
    </w:p>
    <w:p w14:paraId="05F936A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生成式大模型是指集成了大规模参数和复杂神经网络结构的人工智能模型。这些模型通常基于深度学习技术，具备处理海量数据、学习复杂规律、语言理解、图像识别和数据分析等多种应用场景中展现出色性能的能力；能够处理复杂任务，提高准确性和泛化能力；能够从大量数据中学习并提取深层次的特征，提供更为精准和复杂的决策支持；能够支持多模态信息融合，更准确地理解和处理复杂信息；能够支持多样化应用场景。</w:t>
      </w:r>
    </w:p>
    <w:p w14:paraId="241D5F7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国内国外主流开源大模型以及厂商私有大模型的部署，包括不限于ChatGLM、Bloomz、Llama、Qwen、Baichuan等生成式AI模型（最新版）的部署。一键实现大模型的私有化部署，实现行业大模型的训练与推理应用，支持百亿参数大模型的部署与推理，支撑智能体的开发与应用。</w:t>
      </w:r>
    </w:p>
    <w:p w14:paraId="276174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供应商所提供的自研大模型需通过国家网信办算法备案，并提供公安部网络安全等级保护评估中心颁发的安全测评报告。</w:t>
      </w:r>
    </w:p>
    <w:p w14:paraId="6B968E24">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r>
        <w:rPr>
          <w:rFonts w:hint="eastAsia" w:ascii="Times New Roman" w:hAnsi="Times New Roman" w:eastAsia="黑体" w:cs="Times New Roman"/>
          <w:b/>
          <w:color w:val="auto"/>
          <w:sz w:val="30"/>
          <w:highlight w:val="none"/>
          <w:lang w:val="en-US" w:eastAsia="zh-CN" w:bidi="ar-SA"/>
        </w:rPr>
        <w:t xml:space="preserve"> </w:t>
      </w:r>
      <w:bookmarkStart w:id="1203" w:name="_Toc193093611"/>
      <w:bookmarkStart w:id="1204" w:name="_Toc45113023"/>
      <w:bookmarkStart w:id="1205" w:name="_Toc1068501216"/>
      <w:bookmarkStart w:id="1206" w:name="_Toc1433887036"/>
      <w:bookmarkStart w:id="1207" w:name="_Toc10769"/>
      <w:bookmarkStart w:id="1208" w:name="_Toc426738918"/>
      <w:bookmarkStart w:id="1209" w:name="_Toc1786"/>
      <w:bookmarkStart w:id="1210" w:name="_Toc18642"/>
      <w:bookmarkStart w:id="1211" w:name="_Toc26823"/>
      <w:r>
        <w:rPr>
          <w:rFonts w:hint="eastAsia" w:ascii="Times New Roman" w:hAnsi="Times New Roman" w:eastAsia="黑体" w:cs="Times New Roman"/>
          <w:b/>
          <w:color w:val="auto"/>
          <w:sz w:val="30"/>
          <w:highlight w:val="none"/>
          <w:lang w:val="en-US" w:eastAsia="zh-CN" w:bidi="ar-SA"/>
        </w:rPr>
        <w:t>大模型</w:t>
      </w:r>
      <w:r>
        <w:rPr>
          <w:rFonts w:hint="eastAsia" w:ascii="Times New Roman" w:hAnsi="Times New Roman" w:eastAsia="黑体" w:cs="Times New Roman"/>
          <w:b/>
          <w:color w:val="auto"/>
          <w:sz w:val="30"/>
          <w:highlight w:val="none"/>
          <w:lang w:val="en-US" w:eastAsia="en-US" w:bidi="ar-SA"/>
        </w:rPr>
        <w:t>应用开发平台</w:t>
      </w:r>
      <w:bookmarkEnd w:id="1203"/>
      <w:bookmarkEnd w:id="1204"/>
      <w:bookmarkEnd w:id="1205"/>
      <w:bookmarkEnd w:id="1206"/>
      <w:bookmarkEnd w:id="1207"/>
      <w:bookmarkEnd w:id="1208"/>
      <w:bookmarkEnd w:id="1209"/>
      <w:bookmarkEnd w:id="1210"/>
      <w:bookmarkEnd w:id="1211"/>
    </w:p>
    <w:p w14:paraId="1358C9F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大模型原生应用开发平台，为用户提供低门槛、高效开发出Agent应用的工具，加速AI技术的产业化落地应用。</w:t>
      </w:r>
    </w:p>
    <w:p w14:paraId="34C6018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平台架构</w:t>
      </w:r>
    </w:p>
    <w:p w14:paraId="51FDF468">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color w:val="auto"/>
          <w:kern w:val="0"/>
          <w:sz w:val="24"/>
          <w:highlight w:val="none"/>
          <w:lang w:eastAsia="en-US"/>
        </w:rPr>
        <w:t>组件库</w:t>
      </w:r>
    </w:p>
    <w:p w14:paraId="5F4A321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内置多种大模型组件以及可根据需求选用更多特色组件，并可自定义创建新的组件，将模型、知识、数据、API等各种资源进行编排组合，具备较强的可扩展性，为大模型处理复杂场景提供更多能力支持。</w:t>
      </w:r>
    </w:p>
    <w:p w14:paraId="4703E2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（2）应用开发</w:t>
      </w:r>
    </w:p>
    <w:p w14:paraId="7E4B343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无/低代码能力用户：提供丰富的应用示例，快速获得满足需求的常规应用、可视化的应用快速编辑器，可基于自然语言或GUI点选式交互快速完成专属应用搭建。</w:t>
      </w:r>
    </w:p>
    <w:p w14:paraId="266487D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专业开发者：提供一站式大模型原生应用开发资源，可以轻松获取大模型驱动的开发组件、语音识别、TTS、</w:t>
      </w:r>
      <w:r>
        <w:rPr>
          <w:rFonts w:hint="eastAsia" w:ascii="Times New Roman" w:hAnsi="Times New Roman" w:eastAsia="宋体" w:cs="Times New Roman"/>
          <w:color w:val="auto"/>
          <w:kern w:val="0"/>
          <w:sz w:val="24"/>
          <w:highlight w:val="none"/>
          <w:lang w:val="en-US" w:eastAsia="zh-CN"/>
        </w:rPr>
        <w:t>文档解析</w:t>
      </w:r>
      <w:r>
        <w:rPr>
          <w:rFonts w:hint="eastAsia" w:ascii="Times New Roman" w:hAnsi="Times New Roman" w:eastAsia="宋体" w:cs="Times New Roman"/>
          <w:color w:val="auto"/>
          <w:kern w:val="0"/>
          <w:sz w:val="24"/>
          <w:highlight w:val="none"/>
          <w:lang w:eastAsia="zh-CN"/>
        </w:rPr>
        <w:t>等AI能力组件，并提供API、SDK等多种调用形式，满足不同开发需求。</w:t>
      </w:r>
    </w:p>
    <w:p w14:paraId="37C1757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（3）发布集成：</w:t>
      </w:r>
    </w:p>
    <w:p w14:paraId="7039751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支持将编排好的应用发布至平台应用广场，用户可根据场景所需，直接使用应用，同时也可发布为API以及SDK的形式，快速集成至第三方业务系统，实现传统业务智能化升级。</w:t>
      </w:r>
    </w:p>
    <w:p w14:paraId="2BEFE8E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平台功能</w:t>
      </w:r>
    </w:p>
    <w:p w14:paraId="2DEF9EE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应用开发</w:t>
      </w:r>
    </w:p>
    <w:p w14:paraId="67CFD0BF">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（1）角色指令</w:t>
      </w:r>
    </w:p>
    <w:p w14:paraId="0C23AE7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设置角色指令(Instruction)，可精确设定Agent应用的特性及作用范围，包括将扮演的角色、所具备的能力、需调用的组件、输出结果的格式与风格、不得执行的操作等，用户可根据提供的模版格式进行逻辑扩充，同时支持基于大模型对角色指令进行自动优化。</w:t>
      </w:r>
    </w:p>
    <w:p w14:paraId="4852693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（2）推荐问</w:t>
      </w:r>
    </w:p>
    <w:p w14:paraId="7275645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配置推荐问题，作为首次使用应用的对话引导。支持模型和自定义两种模式，其中默认模式将根据用户最近的3轮对话，针对最后一轮回复内容自动提供相关的3个提问建议；自定义模式支持配置用于生成推荐问的参考对话轮数及Prompt。支持关闭推荐问题，同时也支持通过大模型自动生成推荐问题并再根据业务需求进行调整。</w:t>
      </w:r>
    </w:p>
    <w:p w14:paraId="20DDAD3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（3）主思考模型</w:t>
      </w:r>
    </w:p>
    <w:p w14:paraId="1B507ED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支持根据场景复杂度、大模型能力优势等选择合适的私有化的大模型作为主思考模型，也支持配置大模型的多样性等模型参数来使得大模型回答的内容更具有规范性或者创造性。</w:t>
      </w:r>
    </w:p>
    <w:p w14:paraId="463B489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（4）问答模型</w:t>
      </w:r>
    </w:p>
    <w:p w14:paraId="3065638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根据不同模型的能力，可选择使用合适的私有化部署的模型来作为应用的回答模型，用于总结回复生成结果。</w:t>
      </w:r>
    </w:p>
    <w:p w14:paraId="21A5214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（5）组件调用</w:t>
      </w:r>
    </w:p>
    <w:p w14:paraId="4DE44A6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支持将内置组件和自定义组件挂载至Agent应用中，主模型将根据角色指令自主调用（Function Call）组件能力来应对不同场景的业务诉求。</w:t>
      </w:r>
    </w:p>
    <w:p w14:paraId="30A06F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（6）知识库调用</w:t>
      </w:r>
    </w:p>
    <w:p w14:paraId="23C67B1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为应用挂载外部知识库，基于检索增强生成（RAG）框架，实现外部知识和记忆补充，提升应用效果，知识内容来源于知识库中已上传并向量化的文档库，可同时选择多个文档库作查询资源。在文档回答策略上，支持语义检索、全文检索以及混合检索模式，语义检索可根据语义理解召回相关切片，全文检索针对关键字检索召回知识切片，混合检索则两种检索方式一起使用，不同方式检索切片后，会将检索到切片按照匹配度结果重排序并给出最终输出切片内容。</w:t>
      </w:r>
    </w:p>
    <w:p w14:paraId="78181B7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（7）应用调试</w:t>
      </w:r>
    </w:p>
    <w:p w14:paraId="5220DFC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通过对话方式调试AI原生应用，以测试应用的性能和效果。对话过程中，可查看应用调用资源的具体情况，如针对问题所调用的组件以及组件的运行状态和反馈结果等、调用数据表的选表/生成SQL/计算结果/可视化等过程、调用文档内容数量和来源等信息，开发者可根据结果进一步调优，保障应用的可用性和准确性。</w:t>
      </w:r>
    </w:p>
    <w:p w14:paraId="5F0DD2A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（8）应用发布</w:t>
      </w:r>
    </w:p>
    <w:p w14:paraId="52950A6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支持将AI原生应用发布，并提供给第三方业务系统调用，可通过网页端进行发布，生成的链接地址可直接打开并使用应用，同时也支持生成API形式提供外部访问。</w:t>
      </w:r>
    </w:p>
    <w:p w14:paraId="54306B31">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组件管理</w:t>
      </w:r>
    </w:p>
    <w:p w14:paraId="1A1ADD78">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（1）</w:t>
      </w:r>
      <w:r>
        <w:rPr>
          <w:rFonts w:ascii="Times New Roman" w:hAnsi="Times New Roman" w:eastAsia="宋体" w:cs="Times New Roman"/>
          <w:color w:val="auto"/>
          <w:kern w:val="0"/>
          <w:sz w:val="24"/>
          <w:highlight w:val="none"/>
          <w:lang w:eastAsia="en-US"/>
        </w:rPr>
        <w:t>自定义组件创建</w:t>
      </w:r>
    </w:p>
    <w:p w14:paraId="3431810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支持基于可视化画布，将大模型、知识库、分支器等节点以拖拉拽的形式组装成工作流，以满足特定场景下的个性化业务需求。</w:t>
      </w:r>
    </w:p>
    <w:p w14:paraId="47CFE74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w:t>
      </w:r>
      <w:r>
        <w:rPr>
          <w:rFonts w:ascii="Times New Roman" w:hAnsi="Times New Roman" w:eastAsia="宋体" w:cs="Times New Roman"/>
          <w:color w:val="auto"/>
          <w:kern w:val="0"/>
          <w:sz w:val="24"/>
          <w:highlight w:val="none"/>
          <w:lang w:eastAsia="zh-CN"/>
        </w:rPr>
        <w:t>大模型节点</w:t>
      </w:r>
    </w:p>
    <w:p w14:paraId="20F0D2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创建大模型节点，并支持对该节点进行编辑，该节点支持调用大语言模型，根据输入参数和提示词生成回复，同时可调整大模型的多样性、大模型类型等参数，提升灵活性。</w:t>
      </w:r>
    </w:p>
    <w:p w14:paraId="0DF442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w:t>
      </w:r>
      <w:r>
        <w:rPr>
          <w:rFonts w:ascii="Times New Roman" w:hAnsi="Times New Roman" w:eastAsia="宋体" w:cs="Times New Roman"/>
          <w:color w:val="auto"/>
          <w:kern w:val="0"/>
          <w:sz w:val="24"/>
          <w:highlight w:val="none"/>
          <w:lang w:eastAsia="zh-CN"/>
        </w:rPr>
        <w:t>API节点</w:t>
      </w:r>
    </w:p>
    <w:p w14:paraId="0EAD0F3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创建</w:t>
      </w:r>
      <w:r>
        <w:rPr>
          <w:rFonts w:ascii="Times New Roman" w:hAnsi="Times New Roman" w:eastAsia="宋体" w:cs="Times New Roman"/>
          <w:color w:val="auto"/>
          <w:kern w:val="0"/>
          <w:sz w:val="24"/>
          <w:highlight w:val="none"/>
          <w:lang w:eastAsia="zh-CN"/>
        </w:rPr>
        <w:t>API调用节点，并支持对该节点进行编辑，该节点支持配置外部 API 服务，并调用该服务。</w:t>
      </w:r>
    </w:p>
    <w:p w14:paraId="66027BE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w:t>
      </w:r>
      <w:r>
        <w:rPr>
          <w:rFonts w:ascii="Times New Roman" w:hAnsi="Times New Roman" w:eastAsia="宋体" w:cs="Times New Roman"/>
          <w:color w:val="auto"/>
          <w:kern w:val="0"/>
          <w:sz w:val="24"/>
          <w:highlight w:val="none"/>
          <w:lang w:eastAsia="zh-CN"/>
        </w:rPr>
        <w:t>分支器节点</w:t>
      </w:r>
    </w:p>
    <w:p w14:paraId="5349F6A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创建分支器节点，并支持对该节点进行编辑，该节点支持连接两个下游分支节点。设定的条件成立则运行”如果</w:t>
      </w:r>
      <w:r>
        <w:rPr>
          <w:rFonts w:ascii="Times New Roman" w:hAnsi="Times New Roman" w:eastAsia="宋体" w:cs="Times New Roman"/>
          <w:color w:val="auto"/>
          <w:kern w:val="0"/>
          <w:sz w:val="24"/>
          <w:highlight w:val="none"/>
          <w:lang w:eastAsia="zh-CN"/>
        </w:rPr>
        <w:t>"分支，不成立则运行“否则"分支。</w:t>
      </w:r>
    </w:p>
    <w:p w14:paraId="77CC451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w:t>
      </w:r>
      <w:r>
        <w:rPr>
          <w:rFonts w:ascii="Times New Roman" w:hAnsi="Times New Roman" w:eastAsia="宋体" w:cs="Times New Roman"/>
          <w:color w:val="auto"/>
          <w:kern w:val="0"/>
          <w:sz w:val="24"/>
          <w:highlight w:val="none"/>
          <w:lang w:eastAsia="zh-CN"/>
        </w:rPr>
        <w:t>代码节点</w:t>
      </w:r>
    </w:p>
    <w:p w14:paraId="445F891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创建代码执行节点，并支持对该节点进行编辑，该节点支持通过注入</w:t>
      </w:r>
      <w:r>
        <w:rPr>
          <w:rFonts w:ascii="Times New Roman" w:hAnsi="Times New Roman" w:eastAsia="宋体" w:cs="Times New Roman"/>
          <w:color w:val="auto"/>
          <w:kern w:val="0"/>
          <w:sz w:val="24"/>
          <w:highlight w:val="none"/>
          <w:lang w:eastAsia="zh-CN"/>
        </w:rPr>
        <w:t>Python3的代码，处理输入输出变量来生成返回值</w:t>
      </w:r>
      <w:r>
        <w:rPr>
          <w:rFonts w:hint="eastAsia" w:ascii="Times New Roman" w:hAnsi="Times New Roman" w:eastAsia="宋体" w:cs="Times New Roman"/>
          <w:color w:val="auto"/>
          <w:kern w:val="0"/>
          <w:sz w:val="24"/>
          <w:highlight w:val="none"/>
          <w:lang w:eastAsia="zh-CN"/>
        </w:rPr>
        <w:t>。</w:t>
      </w:r>
    </w:p>
    <w:p w14:paraId="6EBE76F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w:t>
      </w:r>
      <w:r>
        <w:rPr>
          <w:rFonts w:ascii="Times New Roman" w:hAnsi="Times New Roman" w:eastAsia="宋体" w:cs="Times New Roman"/>
          <w:color w:val="auto"/>
          <w:kern w:val="0"/>
          <w:sz w:val="24"/>
          <w:highlight w:val="none"/>
          <w:lang w:eastAsia="zh-CN"/>
        </w:rPr>
        <w:t>自定义组件试运行</w:t>
      </w:r>
    </w:p>
    <w:p w14:paraId="100200B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支持对工作流进行合法性静态校验；支持工作流的试运行，试运行时可输入</w:t>
      </w:r>
      <w:r>
        <w:rPr>
          <w:rFonts w:ascii="Times New Roman" w:hAnsi="Times New Roman" w:eastAsia="宋体" w:cs="Times New Roman"/>
          <w:color w:val="auto"/>
          <w:kern w:val="0"/>
          <w:sz w:val="24"/>
          <w:highlight w:val="none"/>
          <w:lang w:eastAsia="zh-CN"/>
        </w:rPr>
        <w:t>query进行调试，以验证工作流的性能和效果</w:t>
      </w:r>
      <w:r>
        <w:rPr>
          <w:rFonts w:hint="eastAsia" w:ascii="Times New Roman" w:hAnsi="Times New Roman" w:eastAsia="宋体" w:cs="Times New Roman"/>
          <w:color w:val="auto"/>
          <w:kern w:val="0"/>
          <w:sz w:val="24"/>
          <w:highlight w:val="none"/>
          <w:lang w:eastAsia="zh-CN"/>
        </w:rPr>
        <w:t>。</w:t>
      </w:r>
    </w:p>
    <w:p w14:paraId="563C185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w:t>
      </w:r>
      <w:r>
        <w:rPr>
          <w:rFonts w:ascii="Times New Roman" w:hAnsi="Times New Roman" w:eastAsia="宋体" w:cs="Times New Roman"/>
          <w:color w:val="auto"/>
          <w:kern w:val="0"/>
          <w:sz w:val="24"/>
          <w:highlight w:val="none"/>
          <w:lang w:eastAsia="zh-CN"/>
        </w:rPr>
        <w:t>自定义组件发布</w:t>
      </w:r>
    </w:p>
    <w:p w14:paraId="5C92A5F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支持将试运行成功的工作流发布为可被大模型调用的自定义组件，发布后的节点也可作为组件节点被集成调用。</w:t>
      </w:r>
    </w:p>
    <w:p w14:paraId="66D8BEE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知识库管理</w:t>
      </w:r>
    </w:p>
    <w:p w14:paraId="05714EEA">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（1）</w:t>
      </w:r>
      <w:r>
        <w:rPr>
          <w:rFonts w:ascii="Times New Roman" w:hAnsi="Times New Roman" w:eastAsia="宋体" w:cs="Times New Roman"/>
          <w:color w:val="auto"/>
          <w:kern w:val="0"/>
          <w:sz w:val="24"/>
          <w:highlight w:val="none"/>
          <w:lang w:eastAsia="en-US"/>
        </w:rPr>
        <w:t>知识库列表</w:t>
      </w:r>
    </w:p>
    <w:p w14:paraId="0A5692A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支持按照业务流程、组织等形式进行分类管理创建的全部知识库，支持搜索、新建、查看，每个知识库可支持上传多篇文档作为大模型调用的资源。</w:t>
      </w:r>
    </w:p>
    <w:p w14:paraId="1916536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w:t>
      </w:r>
      <w:r>
        <w:rPr>
          <w:rFonts w:ascii="Times New Roman" w:hAnsi="Times New Roman" w:eastAsia="宋体" w:cs="Times New Roman"/>
          <w:color w:val="auto"/>
          <w:kern w:val="0"/>
          <w:sz w:val="24"/>
          <w:highlight w:val="none"/>
          <w:lang w:eastAsia="zh-CN"/>
        </w:rPr>
        <w:t>文档解析</w:t>
      </w:r>
    </w:p>
    <w:p w14:paraId="4964BEB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用户可通过本地上传文档内容，系统能自动识别和解析多种文档格式（如</w:t>
      </w:r>
      <w:r>
        <w:rPr>
          <w:rFonts w:ascii="Times New Roman" w:hAnsi="Times New Roman" w:eastAsia="宋体" w:cs="Times New Roman"/>
          <w:color w:val="auto"/>
          <w:kern w:val="0"/>
          <w:sz w:val="24"/>
          <w:highlight w:val="none"/>
          <w:lang w:eastAsia="zh-CN"/>
        </w:rPr>
        <w:t>PDF、Word、TXT等），并生成摘要，便于后续处理。</w:t>
      </w:r>
    </w:p>
    <w:p w14:paraId="2A2A13D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w:t>
      </w:r>
      <w:r>
        <w:rPr>
          <w:rFonts w:ascii="Times New Roman" w:hAnsi="Times New Roman" w:eastAsia="宋体" w:cs="Times New Roman"/>
          <w:color w:val="auto"/>
          <w:kern w:val="0"/>
          <w:sz w:val="24"/>
          <w:highlight w:val="none"/>
          <w:lang w:eastAsia="zh-CN"/>
        </w:rPr>
        <w:t>文档切分</w:t>
      </w:r>
    </w:p>
    <w:p w14:paraId="720FA51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支持自动化按照文档语义或结构进行分割，或者按照用户定义的切片标识符、长度等参数进行分割，满足不同文档和业务需求的精细化处理。</w:t>
      </w:r>
    </w:p>
    <w:p w14:paraId="63E8B9E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w:t>
      </w:r>
      <w:r>
        <w:rPr>
          <w:rFonts w:ascii="Times New Roman" w:hAnsi="Times New Roman" w:eastAsia="宋体" w:cs="Times New Roman"/>
          <w:color w:val="auto"/>
          <w:kern w:val="0"/>
          <w:sz w:val="24"/>
          <w:highlight w:val="none"/>
          <w:lang w:eastAsia="zh-CN"/>
        </w:rPr>
        <w:t>知识增强</w:t>
      </w:r>
    </w:p>
    <w:p w14:paraId="10DDBFE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从文本中高效抽取相关的问答对知识，自动生成高质量的相关问题，并支持对文本内容进行精准摘要</w:t>
      </w:r>
      <w:r>
        <w:rPr>
          <w:rFonts w:ascii="Times New Roman" w:hAnsi="Times New Roman" w:eastAsia="宋体" w:cs="Times New Roman"/>
          <w:color w:val="auto"/>
          <w:kern w:val="0"/>
          <w:sz w:val="24"/>
          <w:highlight w:val="none"/>
          <w:lang w:eastAsia="zh-CN"/>
        </w:rPr>
        <w:t>,提取核心知识点，增加切片召回率。可显著提升语言模型在RAG场景下的的问答、对话、写作等效果。</w:t>
      </w:r>
    </w:p>
    <w:p w14:paraId="324E3A80">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大模型能力组件及应用开发框架</w:t>
      </w:r>
    </w:p>
    <w:p w14:paraId="458F9CA2">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大模型能力组件</w:t>
      </w:r>
    </w:p>
    <w:p w14:paraId="6944A91D">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大模型能力组件是指集成了大规模参数和复杂神经网络结构的人工智能模型模块。这些模型通常基于深度学习技术，具备处理海量数据、学习复杂规律并在多种应用场景中展现出色性能的能力；能够处理复杂任务，提高准确性和泛化能力；能够支持多模态信息融合，更准确地理解和处理复杂信息；能够支持多样化应用场景。</w:t>
      </w:r>
    </w:p>
    <w:p w14:paraId="4EC0FE08">
      <w:pPr>
        <w:widowControl/>
        <w:spacing w:line="360" w:lineRule="auto"/>
        <w:ind w:firstLine="482" w:firstLineChars="200"/>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AI应用开发平台应具备的大模型关键能力</w:t>
      </w:r>
      <w:r>
        <w:rPr>
          <w:rFonts w:hint="eastAsia" w:ascii="宋体" w:hAnsi="宋体" w:eastAsia="宋体" w:cs="宋体"/>
          <w:b/>
          <w:bCs/>
          <w:color w:val="auto"/>
          <w:kern w:val="0"/>
          <w:sz w:val="24"/>
          <w:szCs w:val="24"/>
          <w:highlight w:val="none"/>
          <w:lang w:val="en-US" w:eastAsia="zh-CN"/>
        </w:rPr>
        <w:t>及</w:t>
      </w:r>
      <w:r>
        <w:rPr>
          <w:rFonts w:hint="eastAsia" w:ascii="宋体" w:hAnsi="宋体" w:eastAsia="宋体" w:cs="宋体"/>
          <w:b/>
          <w:bCs/>
          <w:color w:val="auto"/>
          <w:kern w:val="0"/>
          <w:sz w:val="24"/>
          <w:szCs w:val="24"/>
          <w:highlight w:val="none"/>
          <w:lang w:eastAsia="zh-CN"/>
        </w:rPr>
        <w:t>组件如下：</w:t>
      </w:r>
    </w:p>
    <w:tbl>
      <w:tblPr>
        <w:tblStyle w:val="20"/>
        <w:tblW w:w="0" w:type="auto"/>
        <w:jc w:val="center"/>
        <w:tblLayout w:type="fixed"/>
        <w:tblCellMar>
          <w:top w:w="0" w:type="dxa"/>
          <w:left w:w="108" w:type="dxa"/>
          <w:bottom w:w="0" w:type="dxa"/>
          <w:right w:w="108" w:type="dxa"/>
        </w:tblCellMar>
      </w:tblPr>
      <w:tblGrid>
        <w:gridCol w:w="1841"/>
        <w:gridCol w:w="6901"/>
      </w:tblGrid>
      <w:tr w14:paraId="6B325252">
        <w:tblPrEx>
          <w:tblCellMar>
            <w:top w:w="0" w:type="dxa"/>
            <w:left w:w="108" w:type="dxa"/>
            <w:bottom w:w="0" w:type="dxa"/>
            <w:right w:w="108" w:type="dxa"/>
          </w:tblCellMar>
        </w:tblPrEx>
        <w:trPr>
          <w:trHeight w:val="288" w:hRule="atLeast"/>
          <w:tblHeader/>
          <w:jc w:val="center"/>
        </w:trPr>
        <w:tc>
          <w:tcPr>
            <w:tcW w:w="1841"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0150E2AA">
            <w:pPr>
              <w:widowControl/>
              <w:spacing w:line="240" w:lineRule="auto"/>
              <w:ind w:firstLine="0" w:firstLineChars="0"/>
              <w:jc w:val="center"/>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组件名称</w:t>
            </w:r>
          </w:p>
        </w:tc>
        <w:tc>
          <w:tcPr>
            <w:tcW w:w="6901" w:type="dxa"/>
            <w:tcBorders>
              <w:top w:val="single" w:color="auto" w:sz="4" w:space="0"/>
              <w:left w:val="nil"/>
              <w:bottom w:val="single" w:color="auto" w:sz="4" w:space="0"/>
              <w:right w:val="single" w:color="auto" w:sz="4" w:space="0"/>
            </w:tcBorders>
            <w:shd w:val="clear" w:color="auto" w:fill="D8D8D8"/>
            <w:noWrap/>
            <w:vAlign w:val="center"/>
          </w:tcPr>
          <w:p w14:paraId="4958B8AD">
            <w:pPr>
              <w:widowControl/>
              <w:spacing w:line="240" w:lineRule="auto"/>
              <w:ind w:firstLine="0" w:firstLineChars="0"/>
              <w:jc w:val="center"/>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功能描述</w:t>
            </w:r>
          </w:p>
        </w:tc>
      </w:tr>
      <w:tr w14:paraId="2C11F277">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46418BF3">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相似问题生成</w:t>
            </w:r>
          </w:p>
        </w:tc>
        <w:tc>
          <w:tcPr>
            <w:tcW w:w="6901" w:type="dxa"/>
            <w:tcBorders>
              <w:top w:val="nil"/>
              <w:left w:val="nil"/>
              <w:bottom w:val="single" w:color="auto" w:sz="4" w:space="0"/>
              <w:right w:val="single" w:color="auto" w:sz="4" w:space="0"/>
            </w:tcBorders>
            <w:noWrap w:val="0"/>
            <w:vAlign w:val="center"/>
          </w:tcPr>
          <w:p w14:paraId="654BF4F6">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基于输入的问题，挖掘出与该问题相关的类似问题</w:t>
            </w:r>
          </w:p>
        </w:tc>
      </w:tr>
      <w:tr w14:paraId="6FF4A188">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5FFDFDE5">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对话总结</w:t>
            </w:r>
          </w:p>
        </w:tc>
        <w:tc>
          <w:tcPr>
            <w:tcW w:w="6901" w:type="dxa"/>
            <w:tcBorders>
              <w:top w:val="nil"/>
              <w:left w:val="nil"/>
              <w:bottom w:val="single" w:color="auto" w:sz="4" w:space="0"/>
              <w:right w:val="single" w:color="auto" w:sz="4" w:space="0"/>
            </w:tcBorders>
            <w:noWrap w:val="0"/>
            <w:vAlign w:val="center"/>
          </w:tcPr>
          <w:p w14:paraId="3C772076">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可以对一段用户与坐席的对话生成总结</w:t>
            </w:r>
          </w:p>
        </w:tc>
      </w:tr>
      <w:tr w14:paraId="7FF53782">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30C61715">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问题分解</w:t>
            </w:r>
          </w:p>
        </w:tc>
        <w:tc>
          <w:tcPr>
            <w:tcW w:w="6901" w:type="dxa"/>
            <w:tcBorders>
              <w:top w:val="nil"/>
              <w:left w:val="nil"/>
              <w:bottom w:val="single" w:color="auto" w:sz="4" w:space="0"/>
              <w:right w:val="single" w:color="auto" w:sz="4" w:space="0"/>
            </w:tcBorders>
            <w:noWrap w:val="0"/>
            <w:vAlign w:val="center"/>
          </w:tcPr>
          <w:p w14:paraId="28734B2D">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可以将复杂问题拆解为多个简单问题</w:t>
            </w:r>
          </w:p>
        </w:tc>
      </w:tr>
      <w:tr w14:paraId="5781815F">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04C41963">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问题判断</w:t>
            </w:r>
          </w:p>
        </w:tc>
        <w:tc>
          <w:tcPr>
            <w:tcW w:w="6901" w:type="dxa"/>
            <w:tcBorders>
              <w:top w:val="nil"/>
              <w:left w:val="nil"/>
              <w:bottom w:val="single" w:color="auto" w:sz="4" w:space="0"/>
              <w:right w:val="single" w:color="auto" w:sz="4" w:space="0"/>
            </w:tcBorders>
            <w:noWrap w:val="0"/>
            <w:vAlign w:val="center"/>
          </w:tcPr>
          <w:p w14:paraId="66689303">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可以根据输入的提问进行初步的分类，区分简单问题和复杂问题</w:t>
            </w:r>
          </w:p>
        </w:tc>
      </w:tr>
      <w:tr w14:paraId="37789591">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10148737">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FAQ挖掘</w:t>
            </w:r>
          </w:p>
        </w:tc>
        <w:tc>
          <w:tcPr>
            <w:tcW w:w="6901" w:type="dxa"/>
            <w:tcBorders>
              <w:top w:val="nil"/>
              <w:left w:val="nil"/>
              <w:bottom w:val="single" w:color="auto" w:sz="4" w:space="0"/>
              <w:right w:val="single" w:color="auto" w:sz="4" w:space="0"/>
            </w:tcBorders>
            <w:noWrap w:val="0"/>
            <w:vAlign w:val="center"/>
          </w:tcPr>
          <w:p w14:paraId="6311199F">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可以基于输入的文本内容，快速生成多个问题及对应答案</w:t>
            </w:r>
          </w:p>
        </w:tc>
      </w:tr>
      <w:tr w14:paraId="0A604ABC">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78E9D5E6">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生成问答</w:t>
            </w:r>
          </w:p>
        </w:tc>
        <w:tc>
          <w:tcPr>
            <w:tcW w:w="6901" w:type="dxa"/>
            <w:tcBorders>
              <w:top w:val="nil"/>
              <w:left w:val="nil"/>
              <w:bottom w:val="single" w:color="auto" w:sz="4" w:space="0"/>
              <w:right w:val="single" w:color="auto" w:sz="4" w:space="0"/>
            </w:tcBorders>
            <w:noWrap w:val="0"/>
            <w:vAlign w:val="center"/>
          </w:tcPr>
          <w:p w14:paraId="6B2E221B">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可以基于阅读理解回答用户提出的问题。</w:t>
            </w:r>
          </w:p>
        </w:tc>
      </w:tr>
      <w:tr w14:paraId="48C9735F">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616A5B09">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代码解释器</w:t>
            </w:r>
          </w:p>
        </w:tc>
        <w:tc>
          <w:tcPr>
            <w:tcW w:w="6901" w:type="dxa"/>
            <w:tcBorders>
              <w:top w:val="nil"/>
              <w:left w:val="nil"/>
              <w:bottom w:val="single" w:color="auto" w:sz="4" w:space="0"/>
              <w:right w:val="single" w:color="auto" w:sz="4" w:space="0"/>
            </w:tcBorders>
            <w:noWrap w:val="0"/>
            <w:vAlign w:val="center"/>
          </w:tcPr>
          <w:p w14:paraId="685A9C1E">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具备理解、生成、运行代码等能力</w:t>
            </w:r>
          </w:p>
        </w:tc>
      </w:tr>
      <w:tr w14:paraId="5937EB37">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435B7AC6">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语义匹配</w:t>
            </w:r>
          </w:p>
        </w:tc>
        <w:tc>
          <w:tcPr>
            <w:tcW w:w="6901" w:type="dxa"/>
            <w:tcBorders>
              <w:top w:val="nil"/>
              <w:left w:val="nil"/>
              <w:bottom w:val="single" w:color="auto" w:sz="4" w:space="0"/>
              <w:right w:val="single" w:color="auto" w:sz="4" w:space="0"/>
            </w:tcBorders>
            <w:noWrap w:val="0"/>
            <w:vAlign w:val="center"/>
          </w:tcPr>
          <w:p w14:paraId="5D41EB09">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可以计算用户查询与文本列表之间的相似度关系，并根据其进行排序</w:t>
            </w:r>
          </w:p>
        </w:tc>
      </w:tr>
      <w:tr w14:paraId="39420BC7">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1FDA06C8">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文本向量化</w:t>
            </w:r>
          </w:p>
        </w:tc>
        <w:tc>
          <w:tcPr>
            <w:tcW w:w="6901" w:type="dxa"/>
            <w:tcBorders>
              <w:top w:val="nil"/>
              <w:left w:val="nil"/>
              <w:bottom w:val="single" w:color="auto" w:sz="4" w:space="0"/>
              <w:right w:val="single" w:color="auto" w:sz="4" w:space="0"/>
            </w:tcBorders>
            <w:noWrap w:val="0"/>
            <w:vAlign w:val="center"/>
          </w:tcPr>
          <w:p w14:paraId="082095AC">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支持将文本转化为用数值表示的向量形式</w:t>
            </w:r>
          </w:p>
        </w:tc>
      </w:tr>
      <w:tr w14:paraId="255E2149">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42D6DA08">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文档切分</w:t>
            </w:r>
          </w:p>
        </w:tc>
        <w:tc>
          <w:tcPr>
            <w:tcW w:w="6901" w:type="dxa"/>
            <w:tcBorders>
              <w:top w:val="nil"/>
              <w:left w:val="nil"/>
              <w:bottom w:val="single" w:color="auto" w:sz="4" w:space="0"/>
              <w:right w:val="single" w:color="auto" w:sz="4" w:space="0"/>
            </w:tcBorders>
            <w:noWrap w:val="0"/>
            <w:vAlign w:val="center"/>
          </w:tcPr>
          <w:p w14:paraId="1681B770">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支持将文档划分为多个段落，便于后续处理和分析</w:t>
            </w:r>
          </w:p>
        </w:tc>
      </w:tr>
      <w:tr w14:paraId="7938A184">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3FEFE579">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表格抽取</w:t>
            </w:r>
          </w:p>
        </w:tc>
        <w:tc>
          <w:tcPr>
            <w:tcW w:w="6901" w:type="dxa"/>
            <w:tcBorders>
              <w:top w:val="nil"/>
              <w:left w:val="nil"/>
              <w:bottom w:val="single" w:color="auto" w:sz="4" w:space="0"/>
              <w:right w:val="single" w:color="auto" w:sz="4" w:space="0"/>
            </w:tcBorders>
            <w:noWrap w:val="0"/>
            <w:vAlign w:val="center"/>
          </w:tcPr>
          <w:p w14:paraId="11F6ABB6">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支持从文档中抽取表格</w:t>
            </w:r>
          </w:p>
        </w:tc>
      </w:tr>
      <w:tr w14:paraId="636AF885">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62B189F2">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val="en-US" w:eastAsia="zh-CN"/>
              </w:rPr>
              <w:t>标签</w:t>
            </w:r>
            <w:r>
              <w:rPr>
                <w:rFonts w:hint="eastAsia" w:ascii="宋体" w:hAnsi="宋体" w:eastAsia="宋体" w:cs="宋体"/>
                <w:b/>
                <w:bCs/>
                <w:color w:val="auto"/>
                <w:kern w:val="0"/>
                <w:sz w:val="24"/>
                <w:szCs w:val="24"/>
                <w:highlight w:val="none"/>
                <w:lang w:eastAsia="en-US"/>
              </w:rPr>
              <w:t>抽取</w:t>
            </w:r>
          </w:p>
        </w:tc>
        <w:tc>
          <w:tcPr>
            <w:tcW w:w="6901" w:type="dxa"/>
            <w:tcBorders>
              <w:top w:val="nil"/>
              <w:left w:val="nil"/>
              <w:bottom w:val="single" w:color="auto" w:sz="4" w:space="0"/>
              <w:right w:val="single" w:color="auto" w:sz="4" w:space="0"/>
            </w:tcBorders>
            <w:noWrap w:val="0"/>
            <w:vAlign w:val="center"/>
          </w:tcPr>
          <w:p w14:paraId="4FF80AC7">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支持从文本中提取关键标签</w:t>
            </w:r>
          </w:p>
        </w:tc>
      </w:tr>
      <w:tr w14:paraId="3DA5A8D2">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6C4DCF14">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多轮改写</w:t>
            </w:r>
          </w:p>
        </w:tc>
        <w:tc>
          <w:tcPr>
            <w:tcW w:w="6901" w:type="dxa"/>
            <w:tcBorders>
              <w:top w:val="nil"/>
              <w:left w:val="nil"/>
              <w:bottom w:val="single" w:color="auto" w:sz="4" w:space="0"/>
              <w:right w:val="single" w:color="auto" w:sz="4" w:space="0"/>
            </w:tcBorders>
            <w:noWrap w:val="0"/>
            <w:vAlign w:val="center"/>
          </w:tcPr>
          <w:p w14:paraId="7E4114E6">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用于理解和优化用户与机器人的交互过程，进行指代消解及省略补全</w:t>
            </w:r>
          </w:p>
        </w:tc>
      </w:tr>
      <w:tr w14:paraId="48C6A38C">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1FC62AC1">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文档解析</w:t>
            </w:r>
          </w:p>
        </w:tc>
        <w:tc>
          <w:tcPr>
            <w:tcW w:w="6901" w:type="dxa"/>
            <w:tcBorders>
              <w:top w:val="nil"/>
              <w:left w:val="nil"/>
              <w:bottom w:val="single" w:color="auto" w:sz="4" w:space="0"/>
              <w:right w:val="single" w:color="auto" w:sz="4" w:space="0"/>
            </w:tcBorders>
            <w:noWrap w:val="0"/>
            <w:vAlign w:val="center"/>
          </w:tcPr>
          <w:p w14:paraId="77E15144">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可以用于文档内容解析</w:t>
            </w:r>
          </w:p>
        </w:tc>
      </w:tr>
      <w:tr w14:paraId="56313E6F">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6E22175F">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对话式选表</w:t>
            </w:r>
          </w:p>
        </w:tc>
        <w:tc>
          <w:tcPr>
            <w:tcW w:w="6901" w:type="dxa"/>
            <w:tcBorders>
              <w:top w:val="nil"/>
              <w:left w:val="nil"/>
              <w:bottom w:val="single" w:color="auto" w:sz="4" w:space="0"/>
              <w:right w:val="single" w:color="auto" w:sz="4" w:space="0"/>
            </w:tcBorders>
            <w:noWrap w:val="0"/>
            <w:vAlign w:val="center"/>
          </w:tcPr>
          <w:p w14:paraId="39994E77">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通过用户问答选择一个或多个最合适的表来回答</w:t>
            </w:r>
          </w:p>
        </w:tc>
      </w:tr>
      <w:tr w14:paraId="08306845">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246D026A">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对话式问表</w:t>
            </w:r>
          </w:p>
        </w:tc>
        <w:tc>
          <w:tcPr>
            <w:tcW w:w="6901" w:type="dxa"/>
            <w:tcBorders>
              <w:top w:val="nil"/>
              <w:left w:val="nil"/>
              <w:bottom w:val="single" w:color="auto" w:sz="4" w:space="0"/>
              <w:right w:val="single" w:color="auto" w:sz="4" w:space="0"/>
            </w:tcBorders>
            <w:noWrap w:val="0"/>
            <w:vAlign w:val="center"/>
          </w:tcPr>
          <w:p w14:paraId="7180B517">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能够生成用户问题的SQL语句</w:t>
            </w:r>
          </w:p>
        </w:tc>
      </w:tr>
      <w:tr w14:paraId="60B542D6">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135542BD">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对话式图表呈现</w:t>
            </w:r>
          </w:p>
        </w:tc>
        <w:tc>
          <w:tcPr>
            <w:tcW w:w="6901" w:type="dxa"/>
            <w:tcBorders>
              <w:top w:val="nil"/>
              <w:left w:val="nil"/>
              <w:bottom w:val="single" w:color="auto" w:sz="4" w:space="0"/>
              <w:right w:val="single" w:color="auto" w:sz="4" w:space="0"/>
            </w:tcBorders>
            <w:noWrap w:val="0"/>
            <w:vAlign w:val="center"/>
          </w:tcPr>
          <w:p w14:paraId="27104EE7">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支持将SQL查询到的数据，采用柱状图、折线图等形式进行呈现</w:t>
            </w:r>
          </w:p>
        </w:tc>
      </w:tr>
      <w:tr w14:paraId="4609591D">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7FB9CBAF">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通用文字识别</w:t>
            </w:r>
          </w:p>
        </w:tc>
        <w:tc>
          <w:tcPr>
            <w:tcW w:w="6901" w:type="dxa"/>
            <w:tcBorders>
              <w:top w:val="nil"/>
              <w:left w:val="nil"/>
              <w:bottom w:val="single" w:color="auto" w:sz="4" w:space="0"/>
              <w:right w:val="single" w:color="auto" w:sz="4" w:space="0"/>
            </w:tcBorders>
            <w:noWrap w:val="0"/>
            <w:vAlign w:val="center"/>
          </w:tcPr>
          <w:p w14:paraId="43DC63E0">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支持多场景高精度文字识别，对图片/文件全部文字内容进行检测识别</w:t>
            </w:r>
          </w:p>
        </w:tc>
      </w:tr>
      <w:tr w14:paraId="48AA4A94">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5945712A">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语音识别</w:t>
            </w:r>
          </w:p>
        </w:tc>
        <w:tc>
          <w:tcPr>
            <w:tcW w:w="6901" w:type="dxa"/>
            <w:tcBorders>
              <w:top w:val="nil"/>
              <w:left w:val="nil"/>
              <w:bottom w:val="single" w:color="auto" w:sz="4" w:space="0"/>
              <w:right w:val="single" w:color="auto" w:sz="4" w:space="0"/>
            </w:tcBorders>
            <w:noWrap w:val="0"/>
            <w:vAlign w:val="center"/>
          </w:tcPr>
          <w:p w14:paraId="2640529D">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支持将音频流识别为文字</w:t>
            </w:r>
          </w:p>
        </w:tc>
      </w:tr>
      <w:tr w14:paraId="785CD20C">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64B55ADB">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语音合成</w:t>
            </w:r>
          </w:p>
        </w:tc>
        <w:tc>
          <w:tcPr>
            <w:tcW w:w="6901" w:type="dxa"/>
            <w:tcBorders>
              <w:top w:val="nil"/>
              <w:left w:val="nil"/>
              <w:bottom w:val="single" w:color="auto" w:sz="4" w:space="0"/>
              <w:right w:val="single" w:color="auto" w:sz="4" w:space="0"/>
            </w:tcBorders>
            <w:noWrap w:val="0"/>
            <w:vAlign w:val="center"/>
          </w:tcPr>
          <w:p w14:paraId="1C511162">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支持拟人、流畅的语音合成，将文本朗读出来</w:t>
            </w:r>
          </w:p>
        </w:tc>
      </w:tr>
      <w:tr w14:paraId="4DC75CD3">
        <w:tblPrEx>
          <w:tblCellMar>
            <w:top w:w="0" w:type="dxa"/>
            <w:left w:w="108" w:type="dxa"/>
            <w:bottom w:w="0" w:type="dxa"/>
            <w:right w:w="108" w:type="dxa"/>
          </w:tblCellMar>
        </w:tblPrEx>
        <w:trPr>
          <w:trHeight w:val="288" w:hRule="atLeast"/>
          <w:jc w:val="center"/>
        </w:trPr>
        <w:tc>
          <w:tcPr>
            <w:tcW w:w="1841" w:type="dxa"/>
            <w:tcBorders>
              <w:top w:val="nil"/>
              <w:left w:val="single" w:color="auto" w:sz="4" w:space="0"/>
              <w:bottom w:val="single" w:color="auto" w:sz="4" w:space="0"/>
              <w:right w:val="single" w:color="auto" w:sz="4" w:space="0"/>
            </w:tcBorders>
            <w:noWrap w:val="0"/>
            <w:vAlign w:val="center"/>
          </w:tcPr>
          <w:p w14:paraId="02C9026C">
            <w:pPr>
              <w:widowControl/>
              <w:spacing w:line="240" w:lineRule="auto"/>
              <w:ind w:firstLine="0" w:firstLineChars="0"/>
              <w:jc w:val="left"/>
              <w:rPr>
                <w:rFonts w:hint="eastAsia" w:ascii="宋体" w:hAnsi="宋体" w:eastAsia="宋体" w:cs="宋体"/>
                <w:b/>
                <w:bCs/>
                <w:color w:val="auto"/>
                <w:kern w:val="0"/>
                <w:sz w:val="24"/>
                <w:szCs w:val="24"/>
                <w:highlight w:val="none"/>
                <w:lang w:eastAsia="en-US"/>
              </w:rPr>
            </w:pPr>
            <w:r>
              <w:rPr>
                <w:rFonts w:hint="eastAsia" w:ascii="宋体" w:hAnsi="宋体" w:eastAsia="宋体" w:cs="宋体"/>
                <w:b/>
                <w:bCs/>
                <w:color w:val="auto"/>
                <w:kern w:val="0"/>
                <w:sz w:val="24"/>
                <w:szCs w:val="24"/>
                <w:highlight w:val="none"/>
                <w:lang w:eastAsia="en-US"/>
              </w:rPr>
              <w:t>长文档内容理解</w:t>
            </w:r>
          </w:p>
        </w:tc>
        <w:tc>
          <w:tcPr>
            <w:tcW w:w="6901" w:type="dxa"/>
            <w:tcBorders>
              <w:top w:val="nil"/>
              <w:left w:val="nil"/>
              <w:bottom w:val="single" w:color="auto" w:sz="4" w:space="0"/>
              <w:right w:val="single" w:color="auto" w:sz="4" w:space="0"/>
            </w:tcBorders>
            <w:noWrap w:val="0"/>
            <w:vAlign w:val="center"/>
          </w:tcPr>
          <w:p w14:paraId="60823FC8">
            <w:pPr>
              <w:widowControl/>
              <w:spacing w:line="240" w:lineRule="auto"/>
              <w:ind w:firstLine="0" w:firstLineChars="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能够对10万字以内的长文档进行解析，支持信息检索、摘要总结、文本分析等</w:t>
            </w:r>
          </w:p>
        </w:tc>
      </w:tr>
    </w:tbl>
    <w:p w14:paraId="15CA265C">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大</w:t>
      </w:r>
      <w:r>
        <w:rPr>
          <w:rFonts w:hint="eastAsia" w:ascii="Arial" w:hAnsi="Arial" w:eastAsia="黑体" w:cs="Times New Roman"/>
          <w:b/>
          <w:color w:val="auto"/>
          <w:sz w:val="28"/>
          <w:highlight w:val="none"/>
          <w:lang w:val="en-US" w:eastAsia="zh-CN" w:bidi="ar-SA"/>
        </w:rPr>
        <w:t>模型</w:t>
      </w:r>
      <w:r>
        <w:rPr>
          <w:rFonts w:ascii="Arial" w:hAnsi="Arial" w:eastAsia="黑体" w:cs="Times New Roman"/>
          <w:b/>
          <w:color w:val="auto"/>
          <w:sz w:val="28"/>
          <w:highlight w:val="none"/>
          <w:lang w:val="en-US" w:eastAsia="zh-CN" w:bidi="ar-SA"/>
        </w:rPr>
        <w:t>应用开发框架</w:t>
      </w:r>
    </w:p>
    <w:p w14:paraId="3C2597D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大模型应用开发框架是支持开发人工智能应用程序的一系列库、工具和规范的集合。这些框架为AI算法的实现、数据处理、模型训练和推理提供了便利性与高效性，是构建和开发人工智能应用的基石。大模型应用开发框架内应集成了多种经过验证和优化的算法模型，并且提供了预定义的接口、设计模式和工具，大大降低了AI应用的开发难度和复杂度，使得开发者可以更加专注于业务逻辑的实现。本次AI应用开发平台应包含RAG、生成式BI以及智能体三种大模型应用开发模块。</w:t>
      </w:r>
    </w:p>
    <w:p w14:paraId="624C480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（1）RAG（检索增强生成）模块</w:t>
      </w:r>
    </w:p>
    <w:p w14:paraId="78C2B45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RAG（检索增强生成）模块专为专业知识问答类应用设计，其核心功能在于高效地整合与利用企业专有领域内的丰富知识资源，通过智能检索与生成技术的结合，实现即时的专业问题解答服务。</w:t>
      </w:r>
    </w:p>
    <w:p w14:paraId="2FFDE11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高效知识检索：RAG模块内置了强大的检索机制，能够快速从海量的企业专有知识库（如文档、数据库、FAQs等）中检索出与用户问题高度相关的信息。这种检索能力不仅限于关键词匹配，结合语义理解、上下文分析等先进技术，确保检索结果的准确性和相关性。</w:t>
      </w:r>
    </w:p>
    <w:p w14:paraId="2F56F7B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智能内容生成：在检索到相关信息后，RAG框架利用深度学习等人工智能技术，对这些信息进行智能分析和理解，进而生成自然流畅的回答。这一过程可能涉及信息抽取、知识融合、文本生成等多个环节，确保生成的回答既准确又易于理解。</w:t>
      </w:r>
    </w:p>
    <w:p w14:paraId="2A74522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③大模型辅助：RAG框架充分利用了大型预训练语言模型（如BERT、GPT等）的强大能力，通过迁移学习和微调技术，使模型能够更好地适应特定领域的知识问答场景。大模型的引入不仅提升了回答的准确性和多样性，还增强了系统的泛化能力和鲁棒性。</w:t>
      </w:r>
    </w:p>
    <w:p w14:paraId="4411A24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④定制化开发：针对不同企业的特定需求，RAG框架支持定制化开发。这包括但不限于知识库的构建与维护、检索算法的调优、生成模型的训练与调整等。通过定制化开发，可以确保RAG框架能够精准地满足企业的实际需求，提升问答应用的实用性和用户体验。</w:t>
      </w:r>
    </w:p>
    <w:p w14:paraId="1C7F0E3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⑤持续学习与优化：RAG模块具备自我学习和优化的能力。随着用户问题的不断积累和新知识的不断加入，框架能够自动调整和优化其检索和生成策略，确保回答的质量和效率持续提升。这种持续学习与优化的能力使得RAG框架能够适应不断变化的问答需求和企业知识环境。</w:t>
      </w:r>
    </w:p>
    <w:p w14:paraId="02CD259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在水务行业，整个RAG模块可用于知识管理与检索、智能问答系统、决策支持、运维优化等多个业务场景。RAG框架可以帮助水务企业构建和维护一个全面的专业知识库，包括文档、报告、研究论文等；RAG框架可以开发智能问答系统，通过自然语言处理技术，理解用户的问题，并从知识库中检索相关信息，生成准确的回答。这不仅可以提高问题解答的效率，还可以提升用户体验；RAG框架可以结合大数据分析技术，对水务系统的运行数据进行深度挖掘和分析，预测未来的趋势；帮助快速定位设备故障的原因，并提供相应的维修指导和解决方案。</w:t>
      </w:r>
    </w:p>
    <w:p w14:paraId="071FC7A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（2）生成式BI模块</w:t>
      </w:r>
    </w:p>
    <w:p w14:paraId="110B5C0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en-US"/>
        </w:rPr>
        <w:t>生成式BI</w:t>
      </w:r>
      <w:r>
        <w:rPr>
          <w:rFonts w:hint="eastAsia" w:ascii="宋体" w:hAnsi="宋体" w:eastAsia="宋体" w:cs="宋体"/>
          <w:color w:val="auto"/>
          <w:kern w:val="0"/>
          <w:sz w:val="24"/>
          <w:highlight w:val="none"/>
          <w:lang w:eastAsia="zh-CN"/>
        </w:rPr>
        <w:t>模块</w:t>
      </w:r>
      <w:r>
        <w:rPr>
          <w:rFonts w:hint="eastAsia" w:ascii="宋体" w:hAnsi="宋体" w:eastAsia="宋体" w:cs="宋体"/>
          <w:color w:val="auto"/>
          <w:kern w:val="0"/>
          <w:sz w:val="24"/>
          <w:highlight w:val="none"/>
          <w:lang w:eastAsia="en-US"/>
        </w:rPr>
        <w:t>（Generative Business Intelligence）是一种先进的数据分析应用开发工具集，</w:t>
      </w:r>
      <w:r>
        <w:rPr>
          <w:rFonts w:hint="eastAsia" w:ascii="宋体" w:hAnsi="宋体" w:eastAsia="宋体" w:cs="宋体"/>
          <w:color w:val="auto"/>
          <w:kern w:val="0"/>
          <w:sz w:val="24"/>
          <w:highlight w:val="none"/>
          <w:lang w:eastAsia="zh-CN"/>
        </w:rPr>
        <w:t>实现</w:t>
      </w:r>
      <w:r>
        <w:rPr>
          <w:rFonts w:hint="eastAsia" w:ascii="宋体" w:hAnsi="宋体" w:eastAsia="宋体" w:cs="宋体"/>
          <w:color w:val="auto"/>
          <w:kern w:val="0"/>
          <w:sz w:val="24"/>
          <w:highlight w:val="none"/>
          <w:lang w:eastAsia="en-US"/>
        </w:rPr>
        <w:t>强大的自然语言交互能力，支持通过对话式交互实现数据查询与分析，同时支持多数据源接入，并能够</w:t>
      </w:r>
      <w:r>
        <w:rPr>
          <w:rFonts w:hint="eastAsia" w:ascii="宋体" w:hAnsi="宋体" w:eastAsia="宋体" w:cs="宋体"/>
          <w:color w:val="auto"/>
          <w:kern w:val="0"/>
          <w:sz w:val="24"/>
          <w:highlight w:val="none"/>
          <w:lang w:eastAsia="zh-CN"/>
        </w:rPr>
        <w:t>按</w:t>
      </w:r>
      <w:r>
        <w:rPr>
          <w:rFonts w:hint="eastAsia" w:ascii="宋体" w:hAnsi="宋体" w:eastAsia="宋体" w:cs="宋体"/>
          <w:color w:val="auto"/>
          <w:kern w:val="0"/>
          <w:sz w:val="24"/>
          <w:highlight w:val="none"/>
          <w:lang w:eastAsia="en-US"/>
        </w:rPr>
        <w:t>文本、图表等多种形式的数据洞察呈现。</w:t>
      </w:r>
      <w:r>
        <w:rPr>
          <w:rFonts w:hint="eastAsia" w:ascii="宋体" w:hAnsi="宋体" w:eastAsia="宋体" w:cs="宋体"/>
          <w:color w:val="auto"/>
          <w:kern w:val="0"/>
          <w:sz w:val="24"/>
          <w:highlight w:val="none"/>
          <w:lang w:eastAsia="zh-CN"/>
        </w:rPr>
        <w:t>模块支持注入专业知识，处理复杂的计算逻辑，满足更高级的分析需求。其多轮对话和对话澄清功能进一步简化了提问过程，提高了数据分析的效率和准确性。</w:t>
      </w:r>
    </w:p>
    <w:p w14:paraId="22606A4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自然语言交互：用户可以使用自然语言（如英语、中文等）来描述他们的数据分析需求，而无需编写复杂的查询语句或代码。支持非技术背景的业务用户也能轻松进行数据分析；并基于用户的查询历史和上下文信息，智能推荐相关的数据维度、度量或分析任务，支持用户更快地构建分析查询。同时，它还能自动补全用户输入，提高查询效率。</w:t>
      </w:r>
    </w:p>
    <w:p w14:paraId="7AA9094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数据可视化与仪表板：用户通过自然语言描述他们希望看到的数据可视化效果，模块支持自动选择合适的图表类型（如柱状图、折线图、饼图等）并生成可视化图表。这些图表能够直观地展示数据趋势、关联和异常等信息；并可根据自己的需求创建个性化的仪表板，将多个可视化图表、表格和指标组合在一起，形成一个完整的业务视图，实现快速了解业务状况并做出决策。</w:t>
      </w:r>
    </w:p>
    <w:p w14:paraId="1C69574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③数据洞察与发现：模块支持利用内置的算法和模型对海量数据进行智能分析，发现数据中的隐藏模式和趋势。这些洞察可以帮助用户更好地理解业务问题并找到解决方案；基于历史数据和算法模型，生成式BI框架能够进行预测分析，预测未来的业务趋势和变化。这有助于企业做出前瞻性的决策并优化资源配置。</w:t>
      </w:r>
    </w:p>
    <w:p w14:paraId="59A07B5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在水务行业，基于生成式BI框架所开发的生成式BI可应用在智能数据分析与决策支持、数据可视化与报表生成等需求场景。生成式BI能够实时收集和分析水务系统的各项数据，通过智能算法及时发现异常并预警；生成式BI能够预测未来的水量需求、水质变化趋势等，为水务企业的规划和决策提供科学依据；生成式BI能够根据用户需求自动生成各种可视化图表，如柱状图、折线图、饼图等，直观展示水务系统的运行状况和数据变化。便于管理人员快速了解业务情况并做出决策；用户可以根据自己的需求定制个性化的报表，包括报表内容、格式和展示方式等。这些满足实时更新，确保管理人员随时掌握最新数据。</w:t>
      </w:r>
    </w:p>
    <w:p w14:paraId="76DE0FB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（3）Agent框架</w:t>
      </w:r>
    </w:p>
    <w:p w14:paraId="643550B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智能体（Agent）框架的功能设计旨在模拟人类的决策与执行能力，以自动化、智能化的方式拆解复杂任务、规划执行路径，并协调各种资源或组件协同工作，最终实现任务的高效完成。同时，智能体框架还具备通过反馈机制不断优化自身性能的能力，以适应不断变化的环境和任务需求。</w:t>
      </w:r>
    </w:p>
    <w:p w14:paraId="57CF8D6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任务拆解与规划：智能体能够接收并理解复杂的任务指令，通过内置的分析机制将任务拆解成多个子任务或步骤，以便逐一执行；针对拆解后的任务，智能体能够基于当前环境、资源状态及目标要求，规划出最优或可行的执行路径，确保任务能够顺利推进。</w:t>
      </w:r>
    </w:p>
    <w:p w14:paraId="294550D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组件协同与调用：智能体能够识别并管理可用的资源组件，包括硬件设备、软件服务、数据资源等，确保能够在执行任务时得到合理调配和使用；通过定义明确的接口和协议，智能体能够协调多个组件或子系统协同工作，实现任务执行过程中的无缝衔接和高效配合。</w:t>
      </w:r>
    </w:p>
    <w:p w14:paraId="4481A6C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③自主决策与适应：智能体具备基于规则、模型或学习算法的自主决策能力，能够在面对不确定性和复杂环境时做出合理的判断和选择；通过感知环境变化、接收外部反馈以及内部状态的更新，智能体能够动态调整其决策和行为策略，以适应不断变化的任务需求和环境条件。</w:t>
      </w:r>
    </w:p>
    <w:p w14:paraId="73F801F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④反馈学习与优化：智能体在执行任务的过程中，能够收集来自环境、用户或其他组件的反馈信息，用于评估任务执行的效果和性能；基于收集到的反馈信息，智能体能够运用机器学习、强化学习等算法进行自我学习和优化，不断提升其决策能力、执行效率和适应性。</w:t>
      </w:r>
    </w:p>
    <w:p w14:paraId="4A04F6C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在水务行业，智能体框架可以应用在水质检测、管网检测、供水调度、设备运维等多个场景。基于智能体框架开发的智能体可以通过集成水质监测设备，实时收集和分析水质数据，利用内置的算法和模型判断水质状况，一旦发现水质异常立即发出预警；能够实时监测供水管网的压力、流量、漏损等关键参数，及时发现并处理潜在问题，预防爆管等事故；能够根据实时用水数据、历史数据以及天气、节假日等外部因素，预测未来的用水需求，并自动调整供水计划，实现供水系统的智能调度；能够实现对水务设施设备的远程监控、故障诊断和预防性维护。它可以根据设备的运行数据预测维护需求，减少设备故障和停机时间。</w:t>
      </w:r>
    </w:p>
    <w:p w14:paraId="77D1505A">
      <w:pPr>
        <w:widowControl/>
        <w:numPr>
          <w:ilvl w:val="0"/>
          <w:numId w:val="0"/>
        </w:num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（4）大模型应用平台开发能力</w:t>
      </w:r>
    </w:p>
    <w:p w14:paraId="4B8EFE8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①打造水务领域的专属应用助手</w:t>
      </w:r>
    </w:p>
    <w:p w14:paraId="6946575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针对工艺流程复杂、知识经验流失严重、数据根因分析难度大等问题，本平台基于大模型能力，提供工艺优化顾问、设备运维顾问等，大模型结合工艺数据、工艺流程、设备状态等信息，帮助企业识别出生产中的瓶颈和低效环节、高耗能环节等，并提供相应的改进建议，通过优化工艺流程，企业可以提高生产效率；同时，通过专家知识问答，可以针对生产过程中的异常情况，快速找到问题根因，并提供对应的解决方案，最后生成分析报告落到知识库，给后续的同类问题提供数据支撑。</w:t>
      </w:r>
    </w:p>
    <w:p w14:paraId="6A1D643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②提供LLM应用开发的端到端完备工具链</w:t>
      </w:r>
    </w:p>
    <w:p w14:paraId="3E995D6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面向LLM应用开发，内置应用所依赖的API、数据、知识文档等各类连接器，通过对数据语义化、文档向量化等治理后，为LLM应用开发所依赖的思维链编排、主题域设置、prompt配置和调优等提供数据支撑，实现端到端的业务场景闭环。</w:t>
      </w:r>
    </w:p>
    <w:p w14:paraId="1A306CE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③内置多款业务模版，支持快速复用</w:t>
      </w:r>
    </w:p>
    <w:p w14:paraId="5F11297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平台分业务场景预置多种水务场景专用prompt、思维链模板、切片策略等参数集合，用户可以基于模版，连接私域资源后，快速打造开箱即用工业LLM应用。</w:t>
      </w:r>
    </w:p>
    <w:p w14:paraId="758A8AD6">
      <w:pPr>
        <w:widowControl/>
        <w:numPr>
          <w:ilvl w:val="0"/>
          <w:numId w:val="0"/>
        </w:num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（5）大模型应用管理</w:t>
      </w:r>
    </w:p>
    <w:p w14:paraId="1525258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 xml:space="preserve"> ①主题域管理</w:t>
      </w:r>
    </w:p>
    <w:p w14:paraId="7361D7A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根据插件/应用所需场景进行主题域归类，对主题域下的API、文档、数据进行统一纳管，每个主题域均支持绑定一个或多个资源分类，每个资源分类下支持绑定一个或多个资源内容，在思维链编排时可通过资源节点快速获取专用的资源库能力，提升大模型应用的准确性。</w:t>
      </w:r>
    </w:p>
    <w:p w14:paraId="11804A5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②Prompt模版管理</w:t>
      </w:r>
    </w:p>
    <w:p w14:paraId="2A7DF79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为了确保大模型的稳定性，系统支持开展prompt配置和调试，根据智能助手的使用场景，配置prompt模版，设置模型相关参数后，根据样例数据进行结果比对。支持针对同一个版本的prompt模版，设置多个场景进行结果比对；同时，支持针对同一个prompt场景设置多个版本，灵活满足用户在不同场景选用不同模版的诉求。</w:t>
      </w:r>
    </w:p>
    <w:p w14:paraId="387C654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③思维链管理</w:t>
      </w:r>
    </w:p>
    <w:p w14:paraId="646D373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平台支持通过拖拉拽的思维链编排方式，将LLM大模型节点、prompt模版节点、主题域节点、目标链节点、自定义节点等7大类的关键节点进行数据配置，实现大模型应用所关联的多任务协同，从而快速构建出专业知识问答、复杂业务问数、API调用等场景的LLM应用。支持对编排好的思维链进行发布，即可进行应用调试和使用。系统内置了智能问答、智能问数、API调用和文档检索等四类基础模块，支持用户一键引用内置模版，只需配置基本信息即可快速生成专业的LLM应用。</w:t>
      </w:r>
    </w:p>
    <w:p w14:paraId="139D08C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对运行中的思维链任务，支持查看思维链编排情况、监控思维链使用情况；支持查看思维链在线提供的历史问答情况，收集用户反馈以及多版本管理。支持外部服务通过API的方式进行服务调用。同时，支持添加多组问答样例的方式进行知识干预，提供问答的准确性。</w:t>
      </w:r>
    </w:p>
    <w:p w14:paraId="449EFD7C">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212" w:name="_Toc12369"/>
      <w:bookmarkStart w:id="1213" w:name="_Toc152850170"/>
      <w:bookmarkStart w:id="1214" w:name="_Toc277927418"/>
      <w:bookmarkStart w:id="1215" w:name="_Toc14875"/>
      <w:bookmarkStart w:id="1216" w:name="_Toc1041681098"/>
      <w:bookmarkStart w:id="1217" w:name="_Toc193093612"/>
      <w:bookmarkStart w:id="1218" w:name="_Toc17326"/>
      <w:bookmarkStart w:id="1219" w:name="_Toc22149"/>
      <w:bookmarkStart w:id="1220" w:name="_Toc1753097493"/>
      <w:r>
        <w:rPr>
          <w:rFonts w:ascii="Times New Roman" w:hAnsi="Times New Roman" w:eastAsia="黑体" w:cs="Times New Roman"/>
          <w:b/>
          <w:color w:val="auto"/>
          <w:sz w:val="30"/>
          <w:highlight w:val="none"/>
          <w:lang w:val="en-US" w:eastAsia="zh-CN" w:bidi="ar-SA"/>
        </w:rPr>
        <w:t>AI</w:t>
      </w:r>
      <w:r>
        <w:rPr>
          <w:rFonts w:hint="eastAsia" w:ascii="Times New Roman" w:hAnsi="Times New Roman" w:eastAsia="黑体" w:cs="Times New Roman"/>
          <w:b/>
          <w:color w:val="auto"/>
          <w:sz w:val="30"/>
          <w:highlight w:val="none"/>
          <w:lang w:val="en-US" w:eastAsia="zh-CN" w:bidi="ar-SA"/>
        </w:rPr>
        <w:t>开发</w:t>
      </w:r>
      <w:r>
        <w:rPr>
          <w:rFonts w:ascii="Times New Roman" w:hAnsi="Times New Roman" w:eastAsia="黑体" w:cs="Times New Roman"/>
          <w:b/>
          <w:color w:val="auto"/>
          <w:sz w:val="30"/>
          <w:highlight w:val="none"/>
          <w:lang w:val="en-US" w:eastAsia="zh-CN" w:bidi="ar-SA"/>
        </w:rPr>
        <w:t>平台</w:t>
      </w:r>
      <w:bookmarkEnd w:id="1212"/>
      <w:bookmarkEnd w:id="1213"/>
      <w:bookmarkEnd w:id="1214"/>
      <w:bookmarkEnd w:id="1215"/>
      <w:bookmarkEnd w:id="1216"/>
      <w:bookmarkEnd w:id="1217"/>
      <w:bookmarkEnd w:id="1218"/>
      <w:bookmarkEnd w:id="1219"/>
      <w:bookmarkEnd w:id="1220"/>
    </w:p>
    <w:p w14:paraId="3BBBDDCD">
      <w:pPr>
        <w:widowControl/>
        <w:spacing w:line="360" w:lineRule="auto"/>
        <w:ind w:firstLine="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开发平台需要提供完整的图片、音频、时序数据等开发模块与功能，平台提供完整的数据管理模快，支持数据库、csv、图片、音频、视频等非结构化数据的管理与应用，提供完整的数据标注的功能，支持特征工程开发，满足整个开发流程的管理，支持常规的AI算法模型的调优，满足各类应用场景。支持TensorFlow、pyTorch、PaddlePaddle等主流开发框架，提供常见的算法图片、音频、视频、时间序列等的常规开发流程，满足无代码开发、低代码开发的要求， 提供常规的开发流程满足图片、视频、音频、时序数据等场景的开发，支持平台上完整的调优、测试、部署与应用对接。</w:t>
      </w:r>
    </w:p>
    <w:p w14:paraId="4321ACA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AI开发平台必须具有管控平台、智能数据、全功能开发平台、零代码开发平台、模型中心、预测服务、AI集市以及模型风险管理平台等功能模块。</w:t>
      </w:r>
    </w:p>
    <w:p w14:paraId="1E15B87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能数据：数据中心主要提供训练数据集管理功能。具体包括：数据导入及管理、数据清洗、数据标注等功能。通过对接已有的大数据平台、大数据库、各专业的业务系统等，收集相关数据形成文本数据样本库、图形图像数据样本库、音视频数据样本库、时间序列数据样本库等，同时支持可视化的展示界面。</w:t>
      </w:r>
    </w:p>
    <w:p w14:paraId="20D4344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开发中心：提供多种模型训练和建模方式，支持不同人员不同的建模使用需要，同时支持对模型进行效果测试、评估模型优劣等。</w:t>
      </w:r>
    </w:p>
    <w:p w14:paraId="2657DDC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模型中心：提供模型版本管理、模型测试、评估、转换、优化等一系列能力；支持与多个不同的开发平台对接，可以从开发平台发布自研模型到模型中心，也可以从外部导入模型到模型中心；模型中心的模型支持发布到共享中心进行共享交易，也支持发布到服务中心提供在线或端服务。</w:t>
      </w:r>
    </w:p>
    <w:p w14:paraId="65A50E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服务中心：面向服务管理人员提供应用服务开发、运行及管理相关的能力。提供模型预测服务的统一接入、统一控管，支持在线预测、离线预测、端预测等多种服务部署形态，提供资源分配、调度、边缘服务管理和服务监控等能力；提供服务编排能力，加速企业智能化应用实施，通过将基础AI能力封装为通用场景服务，不同业务系统可以实现快速集成。</w:t>
      </w:r>
    </w:p>
    <w:p w14:paraId="0BF8EF8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基础管控：提供AI开发平台解决方案中的产品所需的基本管控能力，包括但不限于账号权限、资源调度、存储、监控报警和审计等。</w:t>
      </w:r>
    </w:p>
    <w:p w14:paraId="7D4A0AC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AI集市：展示企业内部可共享的AI资产，促进内部共建共享。</w:t>
      </w:r>
    </w:p>
    <w:p w14:paraId="6CE2886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模型风险管理：支持查看模型资产相关信息，也可以帮助验证人员在线进行风险评分等。</w:t>
      </w:r>
    </w:p>
    <w:p w14:paraId="02CBBD0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数据管理</w:t>
      </w:r>
    </w:p>
    <w:p w14:paraId="3ACC2B9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实现平台的数据处理的各项业务，包括数据分析、数据标注、数据处理、数据回流等。支持图片、文本、音频、视频和表格基础数据的处理，与平台权限和项目管理机制协同，可合理高效的管理模型生产所需要的数据资源。</w:t>
      </w:r>
    </w:p>
    <w:p w14:paraId="3F9301C0">
      <w:pPr>
        <w:widowControl/>
        <w:spacing w:line="360" w:lineRule="auto"/>
        <w:ind w:firstLine="482"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b/>
          <w:bCs/>
          <w:color w:val="auto"/>
          <w:kern w:val="0"/>
          <w:sz w:val="24"/>
          <w:highlight w:val="none"/>
          <w:lang w:eastAsia="zh-Hans"/>
        </w:rPr>
        <w:t>数据分析</w:t>
      </w:r>
      <w:r>
        <w:rPr>
          <w:rFonts w:hint="eastAsia" w:ascii="Times New Roman" w:hAnsi="Times New Roman" w:eastAsia="宋体" w:cs="Times New Roman"/>
          <w:b/>
          <w:bCs/>
          <w:color w:val="auto"/>
          <w:kern w:val="0"/>
          <w:sz w:val="24"/>
          <w:highlight w:val="none"/>
          <w:lang w:eastAsia="zh-CN"/>
        </w:rPr>
        <w:t>：</w:t>
      </w:r>
      <w:r>
        <w:rPr>
          <w:rFonts w:hint="eastAsia" w:ascii="Times New Roman" w:hAnsi="Times New Roman" w:eastAsia="宋体" w:cs="Times New Roman"/>
          <w:color w:val="auto"/>
          <w:kern w:val="0"/>
          <w:sz w:val="24"/>
          <w:highlight w:val="none"/>
          <w:lang w:eastAsia="zh-Hans"/>
        </w:rPr>
        <w:t>模块支持分析数据集中数据的特征，查看数据特征之间的相关性，查看特征对类别的影响，帮助</w:t>
      </w:r>
      <w:r>
        <w:rPr>
          <w:rFonts w:hint="eastAsia" w:ascii="Times New Roman" w:hAnsi="Times New Roman" w:eastAsia="宋体" w:cs="Times New Roman"/>
          <w:color w:val="auto"/>
          <w:kern w:val="0"/>
          <w:sz w:val="24"/>
          <w:highlight w:val="none"/>
          <w:lang w:eastAsia="zh-CN"/>
        </w:rPr>
        <w:t>用户</w:t>
      </w:r>
      <w:r>
        <w:rPr>
          <w:rFonts w:hint="eastAsia" w:ascii="Times New Roman" w:hAnsi="Times New Roman" w:eastAsia="宋体" w:cs="Times New Roman"/>
          <w:color w:val="auto"/>
          <w:kern w:val="0"/>
          <w:sz w:val="24"/>
          <w:highlight w:val="none"/>
          <w:lang w:eastAsia="zh-Hans"/>
        </w:rPr>
        <w:t>更好地进行特征分析和特征选择。</w:t>
      </w:r>
    </w:p>
    <w:p w14:paraId="251B8F9C">
      <w:pPr>
        <w:widowControl/>
        <w:spacing w:line="360" w:lineRule="auto"/>
        <w:ind w:firstLine="482"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b/>
          <w:bCs/>
          <w:color w:val="auto"/>
          <w:kern w:val="0"/>
          <w:sz w:val="24"/>
          <w:highlight w:val="none"/>
          <w:lang w:eastAsia="zh-Hans"/>
        </w:rPr>
        <w:t>数据标注</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Hans"/>
        </w:rPr>
        <w:t>为算法训练和算法测试提供了基础支持，智能数据提供多种数据标注场景，供</w:t>
      </w:r>
      <w:r>
        <w:rPr>
          <w:rFonts w:hint="eastAsia" w:ascii="Times New Roman" w:hAnsi="Times New Roman" w:eastAsia="宋体" w:cs="Times New Roman"/>
          <w:color w:val="auto"/>
          <w:kern w:val="0"/>
          <w:sz w:val="24"/>
          <w:highlight w:val="none"/>
          <w:lang w:eastAsia="zh-CN"/>
        </w:rPr>
        <w:t>用户</w:t>
      </w:r>
      <w:r>
        <w:rPr>
          <w:rFonts w:hint="eastAsia" w:ascii="Times New Roman" w:hAnsi="Times New Roman" w:eastAsia="宋体" w:cs="Times New Roman"/>
          <w:color w:val="auto"/>
          <w:kern w:val="0"/>
          <w:sz w:val="24"/>
          <w:highlight w:val="none"/>
          <w:lang w:eastAsia="zh-Hans"/>
        </w:rPr>
        <w:t>选择自有数据进行标注，系统会根据数据集类型、选择的标注分类及模板，展示对应的标注操作框，数据类型、标注类型及模板关联关系。支持智能数据标注，使用智能标注功能可降低数据的标注成本。启动后，系统会从数据集所有图片中筛选出最关键的图片并提示需要优先标注。支持</w:t>
      </w:r>
      <w:r>
        <w:rPr>
          <w:rFonts w:hint="eastAsia" w:ascii="Times New Roman" w:hAnsi="Times New Roman" w:eastAsia="宋体" w:cs="Times New Roman"/>
          <w:color w:val="auto"/>
          <w:kern w:val="0"/>
          <w:sz w:val="24"/>
          <w:highlight w:val="none"/>
          <w:lang w:eastAsia="zh-CN"/>
        </w:rPr>
        <w:t>团队标注、</w:t>
      </w:r>
      <w:r>
        <w:rPr>
          <w:rFonts w:hint="eastAsia" w:ascii="Times New Roman" w:hAnsi="Times New Roman" w:eastAsia="宋体" w:cs="Times New Roman"/>
          <w:color w:val="auto"/>
          <w:kern w:val="0"/>
          <w:sz w:val="24"/>
          <w:highlight w:val="none"/>
          <w:lang w:eastAsia="zh-Hans"/>
        </w:rPr>
        <w:t>多人标注，以提高数据标注效率。多人标注任务发起后，系统会生成标注子任务派发给多人标注团队中的成员，并根据团队成员数自动分发任务量，标注成员提交任务后，管理员可以进行标注结果的验收</w:t>
      </w:r>
      <w:r>
        <w:rPr>
          <w:rFonts w:ascii="Times New Roman" w:hAnsi="Times New Roman" w:eastAsia="宋体" w:cs="Times New Roman"/>
          <w:color w:val="auto"/>
          <w:kern w:val="0"/>
          <w:sz w:val="24"/>
          <w:highlight w:val="none"/>
          <w:lang w:eastAsia="zh-Hans"/>
        </w:rPr>
        <w:t>。</w:t>
      </w:r>
    </w:p>
    <w:p w14:paraId="7ABAEB4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数据处理：</w:t>
      </w:r>
      <w:r>
        <w:rPr>
          <w:rFonts w:ascii="Times New Roman" w:hAnsi="Times New Roman" w:eastAsia="宋体" w:cs="Times New Roman"/>
          <w:color w:val="auto"/>
          <w:kern w:val="0"/>
          <w:sz w:val="24"/>
          <w:highlight w:val="none"/>
          <w:lang w:eastAsia="zh-CN"/>
        </w:rPr>
        <w:t xml:space="preserve">数据清洗提供数据清洗功能，支持对数据集中的图片进行去模糊、去近似、旋转、镜像等多种清洗，提升图片数据质量，方便进行下一步的图片数据标注等操作；同时，支持对数据集中的文本进行去除emoji、繁体转简体、去除url、转utf-8等多种清洗，提升数据质量，方便进行下一步的文本数据标注等操作。支持用户在平台进行各种预置清洗算子的设置，并设定不同的预置，达到清洗的目的。 </w:t>
      </w:r>
    </w:p>
    <w:p w14:paraId="39B58F49">
      <w:pPr>
        <w:widowControl/>
        <w:spacing w:line="360" w:lineRule="auto"/>
        <w:ind w:firstLine="482"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b/>
          <w:bCs/>
          <w:color w:val="auto"/>
          <w:kern w:val="0"/>
          <w:sz w:val="24"/>
          <w:highlight w:val="none"/>
          <w:lang w:eastAsia="zh-CN"/>
        </w:rPr>
        <w:t>数据增强</w:t>
      </w:r>
      <w:r>
        <w:rPr>
          <w:rFonts w:ascii="Times New Roman" w:hAnsi="Times New Roman" w:eastAsia="宋体" w:cs="Times New Roman"/>
          <w:color w:val="auto"/>
          <w:kern w:val="0"/>
          <w:sz w:val="24"/>
          <w:highlight w:val="none"/>
          <w:lang w:eastAsia="zh-CN"/>
        </w:rPr>
        <w:t>对数据进行扩充、提升样本丰富度的有效手段。当在实践中无法收集到数目庞大的高质量数据时，可以通过数据增强策略，对数据本身进行一定程度的扰动和扩充，从而产生"新"数据。在训练时会通过学习大量的"新"数据，提高模型的泛化能力。</w:t>
      </w:r>
    </w:p>
    <w:p w14:paraId="4A14AC75">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数据回流智能数据对接预测服务产品的前提下，数据回流支持将预测服务的结果保存至数据集，用于后续的训练等任务。用户会在智能标注平台获取到高质量的标注数据用于训练，并发布成服务，应用于场景。于此同时预测的数据，也可以返回到数据集，扩充训练的样本，进行数据迭代，形成 AI 中台整体功能的闭环。</w:t>
      </w:r>
    </w:p>
    <w:p w14:paraId="12FA8F1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模型开发中心</w:t>
      </w:r>
    </w:p>
    <w:p w14:paraId="2F55FF1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全功能</w:t>
      </w:r>
      <w:r>
        <w:rPr>
          <w:rFonts w:hint="eastAsia" w:ascii="Times New Roman" w:hAnsi="Times New Roman" w:eastAsia="宋体" w:cs="Times New Roman"/>
          <w:color w:val="auto"/>
          <w:kern w:val="0"/>
          <w:sz w:val="24"/>
          <w:highlight w:val="none"/>
          <w:lang w:eastAsia="zh-Hans"/>
        </w:rPr>
        <w:t>开发</w:t>
      </w:r>
      <w:r>
        <w:rPr>
          <w:rFonts w:hint="eastAsia" w:ascii="Times New Roman" w:hAnsi="Times New Roman" w:eastAsia="宋体" w:cs="Times New Roman"/>
          <w:color w:val="auto"/>
          <w:kern w:val="0"/>
          <w:sz w:val="24"/>
          <w:highlight w:val="none"/>
          <w:lang w:eastAsia="zh-CN"/>
        </w:rPr>
        <w:t>平台</w:t>
      </w:r>
      <w:r>
        <w:rPr>
          <w:rFonts w:hint="eastAsia" w:ascii="Times New Roman" w:hAnsi="Times New Roman" w:eastAsia="宋体" w:cs="Times New Roman"/>
          <w:color w:val="auto"/>
          <w:kern w:val="0"/>
          <w:sz w:val="24"/>
          <w:highlight w:val="none"/>
          <w:lang w:eastAsia="zh-Hans"/>
        </w:rPr>
        <w:t>提供Notebook建模、可视化建模、作业建模、自动化建模、产线建模等多种建模方式，支持主流机器学习和深度学习开发框架，支持以自制 Docker 镜像的形式来支持其他框架和第三方软件库，并且内置全面领先的NLP经典算子，多种调优后预训练模型。</w:t>
      </w:r>
      <w:r>
        <w:rPr>
          <w:rFonts w:hint="eastAsia" w:ascii="Times New Roman" w:hAnsi="Times New Roman" w:eastAsia="宋体" w:cs="Times New Roman"/>
          <w:color w:val="auto"/>
          <w:kern w:val="0"/>
          <w:sz w:val="24"/>
          <w:highlight w:val="none"/>
          <w:lang w:eastAsia="zh-CN"/>
        </w:rPr>
        <w:t>全功能</w:t>
      </w:r>
      <w:r>
        <w:rPr>
          <w:rFonts w:hint="eastAsia" w:ascii="Times New Roman" w:hAnsi="Times New Roman" w:eastAsia="宋体" w:cs="Times New Roman"/>
          <w:color w:val="auto"/>
          <w:kern w:val="0"/>
          <w:sz w:val="24"/>
          <w:highlight w:val="none"/>
          <w:lang w:eastAsia="zh-Hans"/>
        </w:rPr>
        <w:t>开发中心能帮助不同建模水平的人员提升建模效率，构建统一的AI基础设施，实现敏捷的产业智能应用开发，增强持续创新的核心竞争力</w:t>
      </w:r>
      <w:r>
        <w:rPr>
          <w:rFonts w:hint="eastAsia" w:ascii="Times New Roman" w:hAnsi="Times New Roman" w:eastAsia="宋体" w:cs="Times New Roman"/>
          <w:color w:val="auto"/>
          <w:kern w:val="0"/>
          <w:sz w:val="24"/>
          <w:highlight w:val="none"/>
          <w:lang w:eastAsia="zh-CN"/>
        </w:rPr>
        <w:t>。</w:t>
      </w:r>
    </w:p>
    <w:p w14:paraId="4515519B">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val="0"/>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ascii="Times New Roman" w:hAnsi="Times New Roman" w:eastAsia="黑体" w:cs="Times New Roman"/>
          <w:b/>
          <w:color w:val="auto"/>
          <w:sz w:val="28"/>
          <w:highlight w:val="none"/>
          <w:lang w:val="en-US" w:eastAsia="en-US" w:bidi="ar-SA"/>
        </w:rPr>
        <w:t>Notebook</w:t>
      </w:r>
      <w:r>
        <w:rPr>
          <w:rFonts w:hint="eastAsia" w:ascii="Times New Roman" w:hAnsi="Times New Roman" w:eastAsia="黑体" w:cs="Times New Roman"/>
          <w:b/>
          <w:color w:val="auto"/>
          <w:sz w:val="28"/>
          <w:highlight w:val="none"/>
          <w:lang w:val="en-US" w:eastAsia="en-US" w:bidi="ar-SA"/>
        </w:rPr>
        <w:t>建模</w:t>
      </w:r>
    </w:p>
    <w:p w14:paraId="3802CB5A">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CN"/>
        </w:rPr>
        <w:t>支</w:t>
      </w:r>
      <w:r>
        <w:rPr>
          <w:rFonts w:hint="eastAsia" w:ascii="Times New Roman" w:hAnsi="Times New Roman" w:eastAsia="宋体" w:cs="Times New Roman"/>
          <w:color w:val="auto"/>
          <w:kern w:val="0"/>
          <w:sz w:val="24"/>
          <w:highlight w:val="none"/>
          <w:lang w:eastAsia="zh-Hans"/>
        </w:rPr>
        <w:t>持完全托管的交互式编程环境，实现数据处理和代码调试。支持PaddlePaddle、TensorFlow、PyTorch、scikit-learn、XGBoost等开发框架。</w:t>
      </w:r>
    </w:p>
    <w:p w14:paraId="77803776">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Hans"/>
        </w:rPr>
        <w:t>平台根据用户配置如使用的机器学习框架、需要的资源等自动生成Notebook实例。</w:t>
      </w:r>
      <w:r>
        <w:rPr>
          <w:rFonts w:hint="eastAsia" w:ascii="Times New Roman" w:hAnsi="Times New Roman" w:eastAsia="宋体" w:cs="Times New Roman"/>
          <w:color w:val="auto"/>
          <w:kern w:val="0"/>
          <w:sz w:val="24"/>
          <w:highlight w:val="none"/>
          <w:lang w:eastAsia="zh-CN"/>
        </w:rPr>
        <w:t>可直接使用Notebook开发环境。支持停止和重启实例，节约资源。支持挂载数据集、挂载存储，以及通过命令行发布模型到仓库。</w:t>
      </w:r>
      <w:r>
        <w:rPr>
          <w:rFonts w:hint="eastAsia" w:ascii="Times New Roman" w:hAnsi="Times New Roman" w:eastAsia="宋体" w:cs="Times New Roman"/>
          <w:color w:val="auto"/>
          <w:kern w:val="0"/>
          <w:sz w:val="24"/>
          <w:highlight w:val="none"/>
          <w:lang w:eastAsia="en-US"/>
        </w:rPr>
        <w:t>支持集成</w:t>
      </w:r>
      <w:r>
        <w:rPr>
          <w:rFonts w:hint="eastAsia" w:ascii="Times New Roman" w:hAnsi="Times New Roman" w:eastAsia="宋体" w:cs="Times New Roman"/>
          <w:color w:val="auto"/>
          <w:kern w:val="0"/>
          <w:sz w:val="24"/>
          <w:highlight w:val="none"/>
          <w:lang w:eastAsia="zh-CN"/>
        </w:rPr>
        <w:t>TensorBoard等</w:t>
      </w:r>
      <w:r>
        <w:rPr>
          <w:rFonts w:hint="eastAsia" w:ascii="Times New Roman" w:hAnsi="Times New Roman" w:eastAsia="宋体" w:cs="Times New Roman"/>
          <w:color w:val="auto"/>
          <w:kern w:val="0"/>
          <w:sz w:val="24"/>
          <w:highlight w:val="none"/>
          <w:lang w:eastAsia="en-US"/>
        </w:rPr>
        <w:t>组件，提升模型训练效率和效果。</w:t>
      </w:r>
    </w:p>
    <w:p w14:paraId="2450F14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作业建模</w:t>
      </w:r>
    </w:p>
    <w:p w14:paraId="447CF175">
      <w:pPr>
        <w:widowControl/>
        <w:spacing w:line="360" w:lineRule="auto"/>
        <w:ind w:firstLine="480" w:firstLineChars="200"/>
        <w:rPr>
          <w:rFonts w:ascii="Times New Roman" w:hAnsi="Times New Roman" w:eastAsia="仿宋"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作业建模支持大规模训练任务提交建模，支持训练完成自动释放资源，提高资源利用率。支持TensorFlow、PyTorch、Keras等框架的多机多卡分布式训练。支持同一作业不同参数组合的多版本的批量提交、追踪和参数指标对比，帮助用户能更便捷地实现优选模型的决策。 </w:t>
      </w:r>
    </w:p>
    <w:p w14:paraId="00A3CE7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可视化建模</w:t>
      </w:r>
    </w:p>
    <w:p w14:paraId="53C8117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可视化建模通过拖拉拽和拼接组件的方式，形成建模流程</w:t>
      </w:r>
      <w:r>
        <w:rPr>
          <w:rFonts w:hint="eastAsia" w:ascii="Times New Roman" w:hAnsi="Times New Roman" w:eastAsia="宋体" w:cs="Times New Roman"/>
          <w:color w:val="auto"/>
          <w:kern w:val="0"/>
          <w:sz w:val="24"/>
          <w:highlight w:val="none"/>
          <w:lang w:eastAsia="zh-CN"/>
        </w:rPr>
        <w:t>。</w:t>
      </w:r>
    </w:p>
    <w:p w14:paraId="1B6F4B4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平台提供可视化的开发环境，</w:t>
      </w:r>
      <w:r>
        <w:rPr>
          <w:rFonts w:hint="eastAsia" w:ascii="Times New Roman" w:hAnsi="Times New Roman" w:eastAsia="宋体" w:cs="Times New Roman"/>
          <w:color w:val="auto"/>
          <w:kern w:val="0"/>
          <w:sz w:val="24"/>
          <w:highlight w:val="none"/>
          <w:lang w:eastAsia="zh-CN"/>
        </w:rPr>
        <w:t>支持</w:t>
      </w:r>
      <w:r>
        <w:rPr>
          <w:rFonts w:hint="eastAsia" w:ascii="Times New Roman" w:hAnsi="Times New Roman" w:eastAsia="宋体" w:cs="Times New Roman"/>
          <w:color w:val="auto"/>
          <w:kern w:val="0"/>
          <w:sz w:val="24"/>
          <w:highlight w:val="none"/>
          <w:lang w:eastAsia="zh-Hans"/>
        </w:rPr>
        <w:t>根据场景和业务需求能够在交互式画布上直观地连接数据处理、特征工程，算法，模型预测和模型评估等组件，基于无代码方式实现人工智能模型开发。内置数百个成熟的机器学习算法，支持多种算法框架，覆盖了机器学习和深度学习场景，提供自定义组件保持数据处理，保持建模的灵活性</w:t>
      </w:r>
      <w:r>
        <w:rPr>
          <w:rFonts w:hint="eastAsia" w:ascii="Times New Roman" w:hAnsi="Times New Roman" w:eastAsia="宋体" w:cs="Times New Roman"/>
          <w:color w:val="auto"/>
          <w:kern w:val="0"/>
          <w:sz w:val="24"/>
          <w:highlight w:val="none"/>
          <w:lang w:eastAsia="zh-CN"/>
        </w:rPr>
        <w:t>。</w:t>
      </w:r>
    </w:p>
    <w:p w14:paraId="3C5A5351">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Han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自动化</w:t>
      </w:r>
      <w:r>
        <w:rPr>
          <w:rFonts w:hint="eastAsia" w:ascii="Times New Roman" w:hAnsi="Times New Roman" w:eastAsia="黑体" w:cs="Times New Roman"/>
          <w:b/>
          <w:color w:val="auto"/>
          <w:sz w:val="28"/>
          <w:highlight w:val="none"/>
          <w:lang w:val="en-US" w:eastAsia="zh-Hans" w:bidi="ar-SA"/>
        </w:rPr>
        <w:t>建模</w:t>
      </w:r>
    </w:p>
    <w:p w14:paraId="3A0BF24E">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自动化建模是一款自动化程度比较高的建模工具。用户只需提交数据，平台自动进行特征工程、算法选择和参数调优，进而构建高精度模型，大大简化了算法建模和模型调参的繁琐过程，节省人力，降低机器学习门槛。</w:t>
      </w:r>
    </w:p>
    <w:p w14:paraId="16AA437C">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Hans"/>
        </w:rPr>
        <w:t>支持超参搜索算法包括TPE、随机搜索、退火算法、朴素进化算法、网格搜索算法、SMAC、MetisTuner、GPTuner、Hyperband和BOHB，支持的算法选择策略包括顺序、随机、bayesianucb、halmet、沿用超参搜索算法</w:t>
      </w:r>
      <w:r>
        <w:rPr>
          <w:rFonts w:hint="eastAsia" w:ascii="Times New Roman" w:hAnsi="Times New Roman" w:eastAsia="宋体" w:cs="Times New Roman"/>
          <w:color w:val="auto"/>
          <w:kern w:val="0"/>
          <w:sz w:val="24"/>
          <w:highlight w:val="none"/>
          <w:lang w:eastAsia="en-US"/>
        </w:rPr>
        <w:t>。</w:t>
      </w:r>
    </w:p>
    <w:p w14:paraId="3990961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产线建模</w:t>
      </w:r>
    </w:p>
    <w:p w14:paraId="6C9F0309">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Hans"/>
        </w:rPr>
        <w:t>产线建模内置预训练模型，仅需配置训练数据和少量参数，即可启动模型训练。训练完成后，可查看模型评估指标，并支持将满足要求的模型发送至模型中心</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lang w:eastAsia="en-US"/>
        </w:rPr>
        <w:t> </w:t>
      </w:r>
    </w:p>
    <w:p w14:paraId="0ACE58B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工作流</w:t>
      </w:r>
    </w:p>
    <w:p w14:paraId="2F55B9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工作流将业务流程抽象成组件，可以将多个互相依赖的组件整合成一个任务，单次或定期执行。各个组件之间通过共享调度参数和存储实现数据的传递。</w:t>
      </w:r>
    </w:p>
    <w:p w14:paraId="3BFAB45E">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实验管理</w:t>
      </w:r>
    </w:p>
    <w:p w14:paraId="7A43F0A5">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实验管理支持用户查看实验和训练任务的详细信息，跟踪每个训练任务的运行状态、指标和日志，提升模型开发质量。</w:t>
      </w:r>
    </w:p>
    <w:p w14:paraId="317E6B0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在实验管理，用户可对比同建模或跨建模方式下的实验效果；通过对比实验找到关键影响因素，方便复现和调优；并且实现全平台建模方式的全过程记录</w:t>
      </w:r>
      <w:r>
        <w:rPr>
          <w:rFonts w:hint="eastAsia" w:ascii="Times New Roman" w:hAnsi="Times New Roman" w:eastAsia="宋体" w:cs="Times New Roman"/>
          <w:color w:val="auto"/>
          <w:kern w:val="0"/>
          <w:sz w:val="24"/>
          <w:highlight w:val="none"/>
          <w:lang w:eastAsia="zh-CN"/>
        </w:rPr>
        <w:t>。</w:t>
      </w:r>
    </w:p>
    <w:p w14:paraId="62E994FB">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特征库</w:t>
      </w:r>
    </w:p>
    <w:p w14:paraId="69A49E4E">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特征库提供特征计算和存储的服务，实现特征的统一管理。</w:t>
      </w:r>
    </w:p>
    <w:p w14:paraId="05BB1AA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环境管理</w:t>
      </w:r>
    </w:p>
    <w:p w14:paraId="032551F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环境用于管理训练过程中所依赖的基础环境、Python包和软件设置（如环境变量等）。在机器学习开发过程中，建模任务由环境、训练代码和计算资源确定。</w:t>
      </w:r>
    </w:p>
    <w:p w14:paraId="3CEBA8F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零代码开发平台</w:t>
      </w:r>
    </w:p>
    <w:p w14:paraId="25E64988">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零代码开发平台，提供图像、文本、语音、视频、结构化数据等方向的AI开发能力，开发者通过可视化界面表单勾选的方式即可完成训练。同时，平台集成先进的训练范式及超大规模预训练模型，保证训练完毕模型效果可达到产业级应用要求。</w:t>
      </w:r>
    </w:p>
    <w:p w14:paraId="55B68FF1">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图像：支持图像分类，用于识别一张图中是否属于某类物体/状态/场景；支持物体检测，检测图中每个物体的位置和名称；支持实例分割，用多边形标注训练数据，模型可为像素级识别目标。</w:t>
      </w:r>
    </w:p>
    <w:p w14:paraId="4FE67163">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文本：支持对文本分类打标签；可以实现对两个文本进行相似度的比较计算；可以进行情感倾向分析，可实现文本按情感的正向（positive）和负向（negative）做自动分类；另外，可实现对文本进行内容抽取，并识别为自定义的实体类别等。</w:t>
      </w:r>
    </w:p>
    <w:p w14:paraId="0D2E8179">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语音：区分不同声音类别，适用于声音类型检测等应用场景。</w:t>
      </w:r>
    </w:p>
    <w:p w14:paraId="0E2CAB3D">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视频：对视频流中的特定运动对象检测识别，获取目标的运动参数，从而实现对后续视频帧该对象的运动预测（轨迹、速度等），实现对运动目标的行为理解。</w:t>
      </w:r>
    </w:p>
    <w:p w14:paraId="317DB751">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结构化数据：支持表格数据预测和时序预测，表格预测旨在帮助用户通过机器学习技术从表格化数据中发现潜在规律，从而创建机器学习模型，并基于机器学习模型处理新的数据，为业务应用生成预测结果。时序预测旨在帮助用户通过机器学习技术从历史数据中发现潜在规律，从而对未来的变化趋势进行预测。</w:t>
      </w:r>
    </w:p>
    <w:p w14:paraId="3A7E7396">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模型中心</w:t>
      </w:r>
    </w:p>
    <w:p w14:paraId="7AF88C2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支持纳管多来源、多类型、多框架模型，支持将模型部署至云端和边缘运行环境，并支持对模型的评估、加速等功能。</w:t>
      </w:r>
    </w:p>
    <w:p w14:paraId="5211F17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模型管理</w:t>
      </w:r>
    </w:p>
    <w:p w14:paraId="23A9D64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模型中心支持管理平台训练模型和第三方模型。根据不同的模型类型、框架和网络结构（或算法类型）提供不同的功能，包括评估、加速、部署，其中部署可分为云部署、边缘部署。训练模型可来源于Notebook建模、可视化建模、自动化建模及智能产线（智能视觉、智能文本）；第三方导入模型支持从本地上传或从存储选择模型文件，模型类型支持主流框架，包括Tensorflow、PaddlePaddle、PyTorch、Sklearn、XGBoost、ONNX、PMML等。支持管理单个模型的多个版本信息，每个版本包括模型名称、模型版本、模型来源、模型状态、模型类型、模型框架、模型网络结构（或算法类型）、模型标签、模型描述等信息。</w:t>
      </w:r>
    </w:p>
    <w:p w14:paraId="70306595">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en-U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en-US" w:bidi="ar-SA"/>
        </w:rPr>
        <w:t>部署包管理</w:t>
      </w:r>
    </w:p>
    <w:p w14:paraId="31215859">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CN"/>
        </w:rPr>
        <w:t>支持管理面向部署的模型镜像或SDK文件，以提升部署效率。</w:t>
      </w:r>
      <w:r>
        <w:rPr>
          <w:rFonts w:hint="eastAsia" w:ascii="Times New Roman" w:hAnsi="Times New Roman" w:eastAsia="宋体" w:cs="Times New Roman"/>
          <w:color w:val="auto"/>
          <w:kern w:val="0"/>
          <w:sz w:val="24"/>
          <w:highlight w:val="none"/>
          <w:lang w:eastAsia="en-US"/>
        </w:rPr>
        <w:t>支持基于模型文件、模型镜像或Helm Chart来构建部署包。</w:t>
      </w:r>
    </w:p>
    <w:p w14:paraId="7964A580">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模型评估</w:t>
      </w:r>
    </w:p>
    <w:p w14:paraId="2C15F14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支持对模型效果和性能进行全面评估，支持在云端和边缘环境下进行评估，支持最多5个模型的对比评估。</w:t>
      </w:r>
    </w:p>
    <w:p w14:paraId="265B1D53">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模型压缩</w:t>
      </w:r>
    </w:p>
    <w:p w14:paraId="57CD8C7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在不降低模型推理准确性或降低可承受准确性的情况下大幅压缩模型复杂度，提升模型性能，从而提升预测推理速度或降低资源消耗。支持量化压缩实现</w:t>
      </w:r>
      <w:r>
        <w:rPr>
          <w:rFonts w:ascii="Times New Roman" w:hAnsi="Times New Roman" w:eastAsia="宋体" w:cs="Times New Roman"/>
          <w:color w:val="auto"/>
          <w:kern w:val="0"/>
          <w:sz w:val="24"/>
          <w:highlight w:val="none"/>
          <w:lang w:eastAsia="zh-CN"/>
        </w:rPr>
        <w:t>浮点算法转换为定点</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提供第三方检测报告证明</w:t>
      </w:r>
      <w:r>
        <w:rPr>
          <w:rFonts w:hint="eastAsia" w:ascii="Times New Roman" w:hAnsi="Times New Roman" w:eastAsia="宋体" w:cs="Times New Roman"/>
          <w:color w:val="auto"/>
          <w:kern w:val="0"/>
          <w:sz w:val="24"/>
          <w:highlight w:val="none"/>
          <w:lang w:eastAsia="zh-CN"/>
        </w:rPr>
        <w:t>）</w:t>
      </w:r>
    </w:p>
    <w:p w14:paraId="1BD617C0">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模型部署</w:t>
      </w:r>
    </w:p>
    <w:p w14:paraId="5794900B">
      <w:pPr>
        <w:widowControl/>
        <w:spacing w:line="360" w:lineRule="auto"/>
        <w:ind w:firstLine="480" w:firstLineChars="200"/>
        <w:rPr>
          <w:rFonts w:ascii="Times New Roman" w:hAnsi="Times New Roman" w:eastAsia="仿宋"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支持模型的云部署（发布为预测服务）、边缘部署（下发至边缘设备）和应用平台部署。模型部署满足对边缘设备（包括边缘服务器、边缘盒子等设备）的综合管理。</w:t>
      </w:r>
    </w:p>
    <w:p w14:paraId="52D8B1FA">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模型加密</w:t>
      </w:r>
    </w:p>
    <w:p w14:paraId="696F400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支持在导出模型时对模型包进行加密，并提供解密工具，进而对模型文件进行保护。 </w:t>
      </w:r>
    </w:p>
    <w:p w14:paraId="56F73B6D">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模型共享</w:t>
      </w:r>
    </w:p>
    <w:p w14:paraId="6DF1EEBF">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CN"/>
        </w:rPr>
        <w:t>可将模型共享给平台的其他用户使用，共享范围支持当前组织或全平台。</w:t>
      </w:r>
      <w:r>
        <w:rPr>
          <w:rFonts w:hint="eastAsia" w:ascii="Times New Roman" w:hAnsi="Times New Roman" w:eastAsia="宋体" w:cs="Times New Roman"/>
          <w:color w:val="auto"/>
          <w:kern w:val="0"/>
          <w:sz w:val="24"/>
          <w:highlight w:val="none"/>
          <w:lang w:eastAsia="zh-Hans"/>
        </w:rPr>
        <w:t> </w:t>
      </w:r>
      <w:r>
        <w:rPr>
          <w:rFonts w:hint="eastAsia" w:ascii="Times New Roman" w:hAnsi="Times New Roman" w:eastAsia="宋体" w:cs="Times New Roman"/>
          <w:color w:val="auto"/>
          <w:kern w:val="0"/>
          <w:sz w:val="24"/>
          <w:highlight w:val="none"/>
          <w:lang w:eastAsia="zh-CN"/>
        </w:rPr>
        <w:t>实现不同租户间的模型共享。</w:t>
      </w:r>
      <w:r>
        <w:rPr>
          <w:rFonts w:hint="eastAsia" w:ascii="Times New Roman" w:hAnsi="Times New Roman" w:eastAsia="宋体" w:cs="Times New Roman"/>
          <w:color w:val="auto"/>
          <w:kern w:val="0"/>
          <w:sz w:val="24"/>
          <w:highlight w:val="none"/>
          <w:lang w:eastAsia="zh-Hans"/>
        </w:rPr>
        <w:t xml:space="preserve"> </w:t>
      </w:r>
    </w:p>
    <w:p w14:paraId="22426CD6">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Han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zh-Hans" w:bidi="ar-SA"/>
        </w:rPr>
        <w:t>服务中心</w:t>
      </w:r>
    </w:p>
    <w:p w14:paraId="763999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Hans"/>
        </w:rPr>
        <w:t>预测服务提供全面的在线服务管理功能，满足不同模型业务场景的需要。预测服务支持访问流量控制调度，支持在模型多版本之间的流量配置、切换，满足持续集成发布的需要。与平台权限和项目管理机制协同，为上层模型应用提供稳定和高效的预测服务</w:t>
      </w:r>
      <w:r>
        <w:rPr>
          <w:rFonts w:hint="eastAsia" w:ascii="Times New Roman" w:hAnsi="Times New Roman" w:eastAsia="宋体" w:cs="Times New Roman"/>
          <w:color w:val="auto"/>
          <w:kern w:val="0"/>
          <w:sz w:val="24"/>
          <w:highlight w:val="none"/>
          <w:lang w:eastAsia="zh-CN"/>
        </w:rPr>
        <w:t xml:space="preserve">。 </w:t>
      </w:r>
    </w:p>
    <w:p w14:paraId="79A07E65">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预置模型列表</w:t>
      </w:r>
    </w:p>
    <w:p w14:paraId="39D2447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预测服务为方便用户直接开启服务调用，特别接入内置成熟训练的、符合大多数市场需求的模型，选定需要开启服务的模型即可。</w:t>
      </w:r>
    </w:p>
    <w:p w14:paraId="427DD842">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预测服务运维</w:t>
      </w:r>
    </w:p>
    <w:p w14:paraId="0DA45300">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服务管理</w:t>
      </w:r>
    </w:p>
    <w:p w14:paraId="24F9605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包括平台托管服务、第三方服务以及预置服务。平台托管服务是使用模型中心的模型或服务编排的任务所创建的服务；第三方服务是外部接口在平台内注册后形成的服务；预置服务的模型部署包为平台内置，创建时可以直接选择发布为服务。</w:t>
      </w:r>
    </w:p>
    <w:p w14:paraId="1C5D7FDF">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弹性伸缩</w:t>
      </w:r>
    </w:p>
    <w:p w14:paraId="19E0C98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弹性伸缩为预测服务提供了自动扩缩容的能力支援。系统支持根据当前Pod资源的使用率（如CPU、磁盘、内存等），进行Pod副本的动态的扩容与缩容，以便减轻各个Pod副本的压力。当Pod副本负载达到一定的阈值后，会根据扩缩容的策略生成更多新的副本来分担压力，当副本的使用比较空闲时，在稳定空闲一段时间后，还会自动减少副本数量。 </w:t>
      </w:r>
    </w:p>
    <w:p w14:paraId="13F05DF0">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AB实验</w:t>
      </w:r>
    </w:p>
    <w:p w14:paraId="0F5FC31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AB实验是对预测服务进行AB Test的模块，可无缝对接平台纳管的AI服务，方便验证模型的线上效果。AB实验模块底层基于万亿流量转发引擎实现，可在超大用户压力、数次流量波峰下平稳运行。（</w:t>
      </w:r>
      <w:r>
        <w:rPr>
          <w:rFonts w:hint="eastAsia" w:ascii="Times New Roman" w:hAnsi="Times New Roman" w:eastAsia="宋体" w:cs="Times New Roman"/>
          <w:color w:val="auto"/>
          <w:kern w:val="0"/>
          <w:sz w:val="24"/>
          <w:highlight w:val="none"/>
          <w:lang w:val="en-US" w:eastAsia="zh-CN"/>
        </w:rPr>
        <w:t>提供第三方检测报告证明）</w:t>
      </w:r>
      <w:r>
        <w:rPr>
          <w:rFonts w:hint="eastAsia" w:ascii="Times New Roman" w:hAnsi="Times New Roman" w:eastAsia="宋体" w:cs="Times New Roman"/>
          <w:color w:val="auto"/>
          <w:kern w:val="0"/>
          <w:sz w:val="24"/>
          <w:highlight w:val="none"/>
          <w:lang w:eastAsia="zh-CN"/>
        </w:rPr>
        <w:t xml:space="preserve"> </w:t>
      </w:r>
    </w:p>
    <w:p w14:paraId="3CE0C166">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性能评估</w:t>
      </w:r>
    </w:p>
    <w:p w14:paraId="6C9D14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平台提供性能评估功能，可实现系统对模型性能的有效评价。</w:t>
      </w:r>
    </w:p>
    <w:p w14:paraId="31BAC027">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en-U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服务编排</w:t>
      </w:r>
    </w:p>
    <w:p w14:paraId="4FF529B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服务编排是AI能力可视化组合编排平台满足开发人员的需要。开发者通过图形化界面的操作方式自由组合引擎托管平台上的AI能力和自定义的应用服务，快速构建满足业务特定场景诉求的AI应用服务。 </w:t>
      </w:r>
    </w:p>
    <w:p w14:paraId="3A1AD097">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预测服务应用</w:t>
      </w:r>
    </w:p>
    <w:p w14:paraId="1D8B342A">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CN"/>
        </w:rPr>
        <w:t>面向应用开发者的预测服务统一接入模块。应用是多个预测服务的集合，实现将多个服务打包成一个AI应用分发给不同的应用开发者。</w:t>
      </w:r>
      <w:r>
        <w:rPr>
          <w:rFonts w:hint="eastAsia" w:ascii="Times New Roman" w:hAnsi="Times New Roman" w:eastAsia="宋体" w:cs="Times New Roman"/>
          <w:color w:val="auto"/>
          <w:kern w:val="0"/>
          <w:sz w:val="24"/>
          <w:highlight w:val="none"/>
          <w:lang w:eastAsia="en-US"/>
        </w:rPr>
        <w:t>每个应用会有独立的Access Key 和 Secret Key，以限制不同开发者的调用并方便后续的统计分析。</w:t>
      </w:r>
    </w:p>
    <w:p w14:paraId="5EBFA42C">
      <w:pPr>
        <w:keepNext/>
        <w:keepLines/>
        <w:numPr>
          <w:ilvl w:val="6"/>
          <w:numId w:val="1"/>
        </w:numPr>
        <w:spacing w:before="240" w:after="64" w:line="317" w:lineRule="auto"/>
        <w:ind w:firstLine="200" w:firstLineChars="0"/>
        <w:jc w:val="both"/>
        <w:outlineLvl w:val="6"/>
        <w:rPr>
          <w:rFonts w:ascii="Times New Roman" w:hAnsi="Times New Roman" w:eastAsia="宋体" w:cs="Times New Roman"/>
          <w:b/>
          <w:color w:val="auto"/>
          <w:sz w:val="24"/>
          <w:highlight w:val="none"/>
          <w:lang w:val="en-US" w:eastAsia="en-US" w:bidi="ar-SA"/>
        </w:rPr>
      </w:pPr>
      <w:r>
        <w:rPr>
          <w:rFonts w:hint="eastAsia" w:ascii="Times New Roman" w:hAnsi="Times New Roman" w:eastAsia="宋体" w:cs="Times New Roman"/>
          <w:b/>
          <w:color w:val="auto"/>
          <w:sz w:val="24"/>
          <w:highlight w:val="none"/>
          <w:lang w:val="en-US" w:eastAsia="zh-CN" w:bidi="ar-SA"/>
        </w:rPr>
        <w:t xml:space="preserve"> </w:t>
      </w:r>
      <w:r>
        <w:rPr>
          <w:rFonts w:hint="eastAsia" w:ascii="Times New Roman" w:hAnsi="Times New Roman" w:eastAsia="宋体" w:cs="Times New Roman"/>
          <w:b/>
          <w:color w:val="auto"/>
          <w:sz w:val="24"/>
          <w:highlight w:val="none"/>
          <w:lang w:val="en-US" w:eastAsia="en-US" w:bidi="ar-SA"/>
        </w:rPr>
        <w:t>服务监控</w:t>
      </w:r>
    </w:p>
    <w:p w14:paraId="1FB8858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调用监控：提供了监控总览和失败调用明细两个维度下的调用情况监控。可以在调用监控中查看每个应用内各个服务的调用情况，也可以查询每个服务在所有绑定的应用内的调用情况。</w:t>
      </w:r>
    </w:p>
    <w:p w14:paraId="295A69B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运行监控：主要是对AI服务运行状态、模型质量和数据漂移方面的监控。支持用户在监控页设置定制计算、查看评估指标，并设置监控参数，实时监测模型预测准确性。</w:t>
      </w:r>
    </w:p>
    <w:p w14:paraId="1162EB19">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Han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zh-Hans" w:bidi="ar-SA"/>
        </w:rPr>
        <w:t>AI集市</w:t>
      </w:r>
    </w:p>
    <w:p w14:paraId="433FAC6C">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AI集市</w:t>
      </w:r>
      <w:r>
        <w:rPr>
          <w:rFonts w:hint="eastAsia" w:ascii="Times New Roman" w:hAnsi="Times New Roman" w:eastAsia="宋体" w:cs="Times New Roman"/>
          <w:color w:val="auto"/>
          <w:kern w:val="0"/>
          <w:sz w:val="24"/>
          <w:highlight w:val="none"/>
          <w:lang w:eastAsia="zh-CN"/>
        </w:rPr>
        <w:t>支持</w:t>
      </w:r>
      <w:r>
        <w:rPr>
          <w:rFonts w:hint="eastAsia" w:ascii="Times New Roman" w:hAnsi="Times New Roman" w:eastAsia="宋体" w:cs="Times New Roman"/>
          <w:color w:val="auto"/>
          <w:kern w:val="0"/>
          <w:sz w:val="24"/>
          <w:highlight w:val="none"/>
          <w:lang w:eastAsia="zh-Hans"/>
        </w:rPr>
        <w:t>AI数字能力共享共建、成功展示、运营中心。</w:t>
      </w:r>
      <w:r>
        <w:rPr>
          <w:rFonts w:hint="eastAsia" w:ascii="Times New Roman" w:hAnsi="Times New Roman" w:eastAsia="宋体" w:cs="Times New Roman"/>
          <w:color w:val="auto"/>
          <w:kern w:val="0"/>
          <w:sz w:val="24"/>
          <w:highlight w:val="none"/>
          <w:lang w:eastAsia="zh-CN"/>
        </w:rPr>
        <w:t>支持</w:t>
      </w:r>
      <w:r>
        <w:rPr>
          <w:rFonts w:hint="eastAsia" w:ascii="Times New Roman" w:hAnsi="Times New Roman" w:eastAsia="宋体" w:cs="Times New Roman"/>
          <w:color w:val="auto"/>
          <w:kern w:val="0"/>
          <w:sz w:val="24"/>
          <w:highlight w:val="none"/>
          <w:lang w:eastAsia="zh-Hans"/>
        </w:rPr>
        <w:t>建立一个AI资源即插即用的仓储型共享平台，</w:t>
      </w:r>
      <w:r>
        <w:rPr>
          <w:rFonts w:hint="eastAsia" w:ascii="Times New Roman" w:hAnsi="Times New Roman" w:eastAsia="宋体" w:cs="Times New Roman"/>
          <w:color w:val="auto"/>
          <w:kern w:val="0"/>
          <w:sz w:val="24"/>
          <w:highlight w:val="none"/>
          <w:lang w:eastAsia="zh-CN"/>
        </w:rPr>
        <w:t>实现</w:t>
      </w:r>
      <w:r>
        <w:rPr>
          <w:rFonts w:hint="eastAsia" w:ascii="Times New Roman" w:hAnsi="Times New Roman" w:eastAsia="宋体" w:cs="Times New Roman"/>
          <w:color w:val="auto"/>
          <w:kern w:val="0"/>
          <w:sz w:val="24"/>
          <w:highlight w:val="none"/>
          <w:lang w:eastAsia="zh-Hans"/>
        </w:rPr>
        <w:t>以安全私密的方式对资源进行托管，旨在帮助企业进行资产沉淀，加速资产流转，提高企业内资源和能力的重复使用率，减少重复建设，促进企业内部紧密协作。</w:t>
      </w:r>
    </w:p>
    <w:p w14:paraId="0ACD448A">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配置权限：配置相关角色权限，便于用户在AI集市中发布、订阅或上架资产。</w:t>
      </w:r>
    </w:p>
    <w:p w14:paraId="16C732BE">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资产库：查看模型、数据集、服务资产等。</w:t>
      </w:r>
    </w:p>
    <w:p w14:paraId="59398B38">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发布资产：发布资产，供后续订阅和使用。</w:t>
      </w:r>
    </w:p>
    <w:p w14:paraId="5DDC6D9B">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订阅资产：用户订阅资产后，可以使用资产。</w:t>
      </w:r>
    </w:p>
    <w:p w14:paraId="1F2427EE">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资产审批：资产经过审批后，才能发布或订阅资产。</w:t>
      </w:r>
    </w:p>
    <w:p w14:paraId="573E081A">
      <w:pPr>
        <w:widowControl/>
        <w:numPr>
          <w:ilvl w:val="0"/>
          <w:numId w:val="20"/>
        </w:numPr>
        <w:spacing w:line="360" w:lineRule="auto"/>
        <w:ind w:left="0"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资产管理：执行资产上架和下架操作。</w:t>
      </w:r>
    </w:p>
    <w:p w14:paraId="25355E8E">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Han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zh-Hans" w:bidi="ar-SA"/>
        </w:rPr>
        <w:t>模型风险管理</w:t>
      </w:r>
    </w:p>
    <w:p w14:paraId="7B8D14A7">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模型风险管理平台，是对模型风险的管理</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Hans"/>
        </w:rPr>
        <w:t>覆盖模型的全生命周期，能够及时发现并处理模型风险，缩短模型风险管理的时间，降低人力成本。</w:t>
      </w:r>
    </w:p>
    <w:p w14:paraId="5E536994">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模型资产库</w:t>
      </w:r>
    </w:p>
    <w:p w14:paraId="5D84E5EC">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支持实时查看全局汇总的基础组件、基础模型、应用模型、特征版本，并根据各类型资产特征字段分类统计、排序以及生成统计图展示。支持查询基础组件资产、基础模型资产、应用模型资产、特征版本资产列表，查询资产详情，查询资产血缘图谱。</w:t>
      </w:r>
    </w:p>
    <w:p w14:paraId="0C481180">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模型审批</w:t>
      </w:r>
    </w:p>
    <w:p w14:paraId="02ECEDB2">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支持对模型全生命周期的各阶段，由不同权限的用户创建并提交申请，并实时获取审核进程和反馈，从而规范整个模型工作流程，在流程上把控模型风险。</w:t>
      </w:r>
    </w:p>
    <w:p w14:paraId="09E0376B">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审批配置</w:t>
      </w:r>
    </w:p>
    <w:p w14:paraId="070A0755">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包含表单管理和流程管理功能，可以支持自定义审批流程，灵活适配流程新增与变更需求；并可以自定义和流程节点关联的表单字段内容，灵活适配审批流程对于表单的变更要求。</w:t>
      </w:r>
    </w:p>
    <w:p w14:paraId="499978AE">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Hans" w:bidi="ar-SA"/>
        </w:rPr>
      </w:pPr>
      <w:r>
        <w:rPr>
          <w:rFonts w:hint="eastAsia" w:ascii="Times New Roman" w:hAnsi="Times New Roman"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zh-Hans" w:bidi="ar-SA"/>
        </w:rPr>
        <w:t>基础管控</w:t>
      </w:r>
    </w:p>
    <w:p w14:paraId="6D78136F">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资源管理</w:t>
      </w:r>
    </w:p>
    <w:p w14:paraId="399CBA4B">
      <w:pPr>
        <w:widowControl/>
        <w:spacing w:line="360" w:lineRule="auto"/>
        <w:ind w:firstLine="480" w:firstLineChars="200"/>
        <w:rPr>
          <w:rFonts w:hint="eastAsia"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资源管理功能够帮助客户更丰富灵活地使用计算资源和存储资源。</w:t>
      </w:r>
    </w:p>
    <w:p w14:paraId="15BA7154">
      <w:pPr>
        <w:widowControl/>
        <w:spacing w:line="360" w:lineRule="auto"/>
        <w:ind w:firstLine="480" w:firstLineChars="200"/>
        <w:rPr>
          <w:rFonts w:hint="eastAsia"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val="en-US" w:eastAsia="zh-CN"/>
        </w:rPr>
        <w:t>支持异构算力管理，</w:t>
      </w:r>
      <w:r>
        <w:rPr>
          <w:rFonts w:hint="eastAsia" w:ascii="宋体" w:hAnsi="宋体" w:eastAsia="宋体" w:cs="Times New Roman"/>
          <w:color w:val="auto"/>
          <w:kern w:val="0"/>
          <w:sz w:val="24"/>
          <w:szCs w:val="32"/>
          <w:highlight w:val="none"/>
          <w:lang w:eastAsia="en-US"/>
        </w:rPr>
        <w:t>平台支持</w:t>
      </w:r>
      <w:r>
        <w:rPr>
          <w:rFonts w:hint="eastAsia" w:ascii="宋体" w:hAnsi="宋体" w:eastAsia="宋体" w:cs="Times New Roman"/>
          <w:color w:val="auto"/>
          <w:kern w:val="0"/>
          <w:sz w:val="24"/>
          <w:szCs w:val="32"/>
          <w:highlight w:val="none"/>
          <w:lang w:val="en-US" w:eastAsia="zh-CN"/>
        </w:rPr>
        <w:t>三</w:t>
      </w:r>
      <w:r>
        <w:rPr>
          <w:rFonts w:hint="eastAsia" w:ascii="宋体" w:hAnsi="宋体" w:eastAsia="宋体" w:cs="Times New Roman"/>
          <w:color w:val="auto"/>
          <w:kern w:val="0"/>
          <w:sz w:val="24"/>
          <w:szCs w:val="32"/>
          <w:highlight w:val="none"/>
          <w:lang w:eastAsia="en-US"/>
        </w:rPr>
        <w:t>种</w:t>
      </w:r>
      <w:r>
        <w:rPr>
          <w:rFonts w:hint="eastAsia" w:ascii="宋体" w:hAnsi="宋体" w:eastAsia="宋体" w:cs="Times New Roman"/>
          <w:color w:val="auto"/>
          <w:kern w:val="0"/>
          <w:sz w:val="24"/>
          <w:szCs w:val="32"/>
          <w:highlight w:val="none"/>
          <w:lang w:val="en-US" w:eastAsia="zh-CN"/>
        </w:rPr>
        <w:t>品牌</w:t>
      </w:r>
      <w:r>
        <w:rPr>
          <w:rFonts w:hint="eastAsia" w:ascii="宋体" w:hAnsi="宋体" w:eastAsia="宋体" w:cs="Times New Roman"/>
          <w:color w:val="auto"/>
          <w:kern w:val="0"/>
          <w:sz w:val="24"/>
          <w:szCs w:val="32"/>
          <w:highlight w:val="none"/>
          <w:lang w:eastAsia="en-US"/>
        </w:rPr>
        <w:t>以上的芯片架构，包括但不限于CPU（X86/ARM）、GPU、NPU</w:t>
      </w:r>
      <w:r>
        <w:rPr>
          <w:rFonts w:hint="eastAsia" w:ascii="宋体" w:hAnsi="宋体" w:eastAsia="宋体" w:cs="Times New Roman"/>
          <w:color w:val="auto"/>
          <w:kern w:val="0"/>
          <w:sz w:val="24"/>
          <w:szCs w:val="32"/>
          <w:highlight w:val="none"/>
          <w:lang w:eastAsia="zh-CN"/>
        </w:rPr>
        <w:t>、</w:t>
      </w:r>
      <w:r>
        <w:rPr>
          <w:rFonts w:hint="eastAsia" w:ascii="宋体" w:hAnsi="宋体" w:eastAsia="宋体" w:cs="Times New Roman"/>
          <w:color w:val="auto"/>
          <w:kern w:val="0"/>
          <w:sz w:val="24"/>
          <w:szCs w:val="32"/>
          <w:highlight w:val="none"/>
          <w:lang w:val="en-US" w:eastAsia="zh-CN"/>
        </w:rPr>
        <w:t>DCU</w:t>
      </w:r>
      <w:r>
        <w:rPr>
          <w:rFonts w:hint="eastAsia" w:ascii="宋体" w:hAnsi="宋体" w:eastAsia="宋体" w:cs="Times New Roman"/>
          <w:color w:val="auto"/>
          <w:kern w:val="0"/>
          <w:sz w:val="24"/>
          <w:szCs w:val="32"/>
          <w:highlight w:val="none"/>
          <w:lang w:eastAsia="en-US"/>
        </w:rPr>
        <w:t>等</w:t>
      </w:r>
      <w:r>
        <w:rPr>
          <w:rFonts w:hint="eastAsia" w:ascii="宋体" w:hAnsi="宋体" w:eastAsia="宋体" w:cs="Times New Roman"/>
          <w:color w:val="auto"/>
          <w:kern w:val="0"/>
          <w:sz w:val="24"/>
          <w:szCs w:val="32"/>
          <w:highlight w:val="none"/>
          <w:lang w:eastAsia="zh-CN"/>
        </w:rPr>
        <w:t>。（</w:t>
      </w:r>
      <w:r>
        <w:rPr>
          <w:rFonts w:hint="eastAsia" w:ascii="宋体" w:hAnsi="宋体" w:eastAsia="宋体" w:cs="Times New Roman"/>
          <w:color w:val="auto"/>
          <w:kern w:val="0"/>
          <w:sz w:val="24"/>
          <w:szCs w:val="32"/>
          <w:highlight w:val="none"/>
          <w:lang w:val="en-US" w:eastAsia="zh-CN"/>
        </w:rPr>
        <w:t>提供第三方检验报告证明）</w:t>
      </w:r>
    </w:p>
    <w:p w14:paraId="7FAEBF7F">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运维管理</w:t>
      </w:r>
    </w:p>
    <w:p w14:paraId="7680DAD3">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运维模块提供了从底层Kubernetes到不同细分功能模块的多层面运维管理。运维模块基于Prometheus建立了完整的监控系统，实时监控各系统软硬件运行状况，并且提供迅速、准确、可靠的故障报警功能，以便相关人员及时发现问题，准确定位问题，快速解决问题, 可以大幅度提高系统的整体安全性，及早发现、排除安全隐患。</w:t>
      </w:r>
    </w:p>
    <w:p w14:paraId="11B1ECC9">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Hans"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Hans" w:bidi="ar-SA"/>
        </w:rPr>
        <w:t>基础资产</w:t>
      </w:r>
    </w:p>
    <w:p w14:paraId="1F42088C">
      <w:pPr>
        <w:widowControl/>
        <w:spacing w:line="360" w:lineRule="auto"/>
        <w:ind w:firstLine="480" w:firstLineChars="200"/>
        <w:rPr>
          <w:rFonts w:ascii="Times New Roman" w:hAnsi="Times New Roman" w:eastAsia="宋体" w:cs="Times New Roman"/>
          <w:color w:val="auto"/>
          <w:kern w:val="0"/>
          <w:sz w:val="24"/>
          <w:highlight w:val="none"/>
          <w:lang w:eastAsia="zh-Hans"/>
        </w:rPr>
      </w:pPr>
      <w:r>
        <w:rPr>
          <w:rFonts w:hint="eastAsia" w:ascii="Times New Roman" w:hAnsi="Times New Roman" w:eastAsia="宋体" w:cs="Times New Roman"/>
          <w:color w:val="auto"/>
          <w:kern w:val="0"/>
          <w:sz w:val="24"/>
          <w:highlight w:val="none"/>
          <w:lang w:eastAsia="zh-Hans"/>
        </w:rPr>
        <w:t>可用于进行资产配置；即时编写和管理函数代码，以在预测服务模块构建轻量级的函数服务等。</w:t>
      </w:r>
    </w:p>
    <w:p w14:paraId="36351908">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221" w:name="_Toc562365378"/>
      <w:bookmarkStart w:id="1222" w:name="_Toc349182101"/>
      <w:bookmarkStart w:id="1223" w:name="_Toc2521"/>
      <w:bookmarkStart w:id="1224" w:name="_Toc2352"/>
      <w:bookmarkStart w:id="1225" w:name="_Toc3700"/>
      <w:bookmarkStart w:id="1226" w:name="_Toc1247523742"/>
      <w:bookmarkStart w:id="1227" w:name="_Toc833928011"/>
      <w:bookmarkStart w:id="1228" w:name="_Toc9321"/>
      <w:bookmarkStart w:id="1229" w:name="_Toc193093613"/>
      <w:r>
        <w:rPr>
          <w:rFonts w:hint="eastAsia" w:ascii="Arial" w:hAnsi="Arial" w:eastAsia="黑体" w:cs="Times New Roman"/>
          <w:b/>
          <w:color w:val="auto"/>
          <w:sz w:val="32"/>
          <w:highlight w:val="none"/>
          <w:lang w:val="en-US" w:eastAsia="zh-CN" w:bidi="ar-SA"/>
        </w:rPr>
        <w:t>智慧生产控制模块</w:t>
      </w:r>
      <w:bookmarkEnd w:id="1221"/>
      <w:bookmarkEnd w:id="1222"/>
      <w:bookmarkEnd w:id="1223"/>
      <w:bookmarkEnd w:id="1224"/>
      <w:bookmarkEnd w:id="1225"/>
      <w:bookmarkEnd w:id="1226"/>
      <w:bookmarkEnd w:id="1227"/>
      <w:bookmarkEnd w:id="1228"/>
      <w:bookmarkEnd w:id="1229"/>
    </w:p>
    <w:p w14:paraId="7A91B0FC">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230" w:name="_Toc1248686133"/>
      <w:bookmarkStart w:id="1231" w:name="_Toc18405"/>
      <w:bookmarkStart w:id="1232" w:name="_Toc599377599"/>
      <w:bookmarkStart w:id="1233" w:name="_Toc193093614"/>
      <w:bookmarkStart w:id="1234" w:name="_Toc1349800555"/>
      <w:bookmarkStart w:id="1235" w:name="_Toc5701"/>
      <w:bookmarkStart w:id="1236" w:name="_Toc1778247903"/>
      <w:bookmarkStart w:id="1237" w:name="_Toc7342"/>
      <w:bookmarkStart w:id="1238" w:name="_Toc16917"/>
      <w:r>
        <w:rPr>
          <w:rFonts w:ascii="Times New Roman" w:hAnsi="Times New Roman" w:eastAsia="黑体" w:cs="Times New Roman"/>
          <w:b/>
          <w:color w:val="auto"/>
          <w:sz w:val="30"/>
          <w:highlight w:val="none"/>
          <w:lang w:val="en-US" w:eastAsia="zh-CN" w:bidi="ar-SA"/>
        </w:rPr>
        <w:t>概述</w:t>
      </w:r>
      <w:bookmarkEnd w:id="1230"/>
      <w:bookmarkEnd w:id="1231"/>
      <w:bookmarkEnd w:id="1232"/>
      <w:bookmarkEnd w:id="1233"/>
      <w:bookmarkEnd w:id="1234"/>
      <w:bookmarkEnd w:id="1235"/>
      <w:bookmarkEnd w:id="1236"/>
      <w:bookmarkEnd w:id="1237"/>
      <w:bookmarkEnd w:id="1238"/>
    </w:p>
    <w:p w14:paraId="2C2C74AF">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ascii="宋体" w:hAnsi="宋体" w:eastAsia="宋体" w:cs="仿宋_GB2312"/>
          <w:color w:val="auto"/>
          <w:kern w:val="0"/>
          <w:sz w:val="24"/>
          <w:szCs w:val="24"/>
          <w:highlight w:val="none"/>
          <w:lang w:eastAsia="zh-CN"/>
        </w:rPr>
        <w:t>本章节描述内容属于智慧水厂架构中的“智慧控制层”和“业务应用层-现场类应用”，处于水厂工控网段，主要应用于生产现场控制和监控，数据主要来源于水厂数据层。</w:t>
      </w:r>
    </w:p>
    <w:p w14:paraId="5E6FE89B">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239" w:name="_Toc1457638847"/>
      <w:bookmarkStart w:id="1240" w:name="_Toc28210"/>
      <w:bookmarkStart w:id="1241" w:name="_Toc80680977"/>
      <w:bookmarkStart w:id="1242" w:name="_Toc14599"/>
      <w:bookmarkStart w:id="1243" w:name="_Toc2041001963"/>
      <w:bookmarkStart w:id="1244" w:name="_Toc193093615"/>
      <w:bookmarkStart w:id="1245" w:name="_Toc482590422"/>
      <w:bookmarkStart w:id="1246" w:name="_Toc15753"/>
      <w:bookmarkStart w:id="1247" w:name="_Toc14360"/>
      <w:r>
        <w:rPr>
          <w:rFonts w:hint="eastAsia" w:ascii="Times New Roman" w:hAnsi="Times New Roman" w:eastAsia="黑体" w:cs="Times New Roman"/>
          <w:b/>
          <w:color w:val="auto"/>
          <w:sz w:val="30"/>
          <w:highlight w:val="none"/>
          <w:lang w:val="en-US" w:eastAsia="zh-CN" w:bidi="ar-SA"/>
        </w:rPr>
        <w:t>智慧控制AI算法需求</w:t>
      </w:r>
      <w:bookmarkEnd w:id="1239"/>
      <w:bookmarkEnd w:id="1240"/>
      <w:bookmarkEnd w:id="1241"/>
      <w:bookmarkEnd w:id="1242"/>
      <w:bookmarkEnd w:id="1243"/>
      <w:bookmarkEnd w:id="1244"/>
      <w:bookmarkEnd w:id="1245"/>
      <w:bookmarkEnd w:id="1246"/>
      <w:bookmarkEnd w:id="1247"/>
    </w:p>
    <w:p w14:paraId="586CB3CF">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ascii="宋体" w:hAnsi="宋体" w:eastAsia="宋体" w:cs="仿宋_GB2312"/>
          <w:color w:val="auto"/>
          <w:kern w:val="0"/>
          <w:sz w:val="24"/>
          <w:szCs w:val="24"/>
          <w:highlight w:val="none"/>
          <w:lang w:eastAsia="zh-CN"/>
        </w:rPr>
        <w:t>通过各场景中在线监拍装置、高清摄像机和各类传感器设备采集数据，基于视频、图像和结构化数据进行综合 AI 分析、推理和仿真，生成事件或控制结果，根据各</w:t>
      </w:r>
      <w:r>
        <w:rPr>
          <w:rFonts w:hint="eastAsia" w:ascii="宋体" w:hAnsi="宋体" w:eastAsia="宋体" w:cs="仿宋_GB2312"/>
          <w:color w:val="auto"/>
          <w:kern w:val="0"/>
          <w:sz w:val="24"/>
          <w:szCs w:val="24"/>
          <w:highlight w:val="none"/>
          <w:lang w:eastAsia="zh-CN"/>
        </w:rPr>
        <w:t>生产</w:t>
      </w:r>
      <w:r>
        <w:rPr>
          <w:rFonts w:ascii="宋体" w:hAnsi="宋体" w:eastAsia="宋体" w:cs="仿宋_GB2312"/>
          <w:color w:val="auto"/>
          <w:kern w:val="0"/>
          <w:sz w:val="24"/>
          <w:szCs w:val="24"/>
          <w:highlight w:val="none"/>
          <w:lang w:eastAsia="zh-CN"/>
        </w:rPr>
        <w:t>系统功能需要进行推送报警或控制执行，处理后的数据回流到样本库完成模型和AI技能迭代，将业务、数据和能力闭环，实现智能化少人值守和水厂各工艺智能自主生产。</w:t>
      </w:r>
    </w:p>
    <w:p w14:paraId="245699EB">
      <w:pPr>
        <w:widowControl/>
        <w:spacing w:line="360" w:lineRule="auto"/>
        <w:ind w:firstLine="480" w:firstLineChars="200"/>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rPr>
        <w:t>为确保北部水厂各生产系统可靠高效运行，本次智慧控制AI算法模型要求拟合度</w:t>
      </w:r>
      <w:r>
        <w:rPr>
          <w:rFonts w:hint="eastAsia" w:ascii="宋体" w:hAnsi="宋体" w:eastAsia="宋体" w:cs="仿宋_GB2312"/>
          <w:color w:val="auto"/>
          <w:kern w:val="0"/>
          <w:sz w:val="24"/>
          <w:szCs w:val="24"/>
          <w:highlight w:val="none"/>
          <w:lang w:eastAsia="zh-CN" w:bidi="ar"/>
        </w:rPr>
        <w:t>≥90%、响应时间≤1min，各算法模型具体功能需求及其主要应用场景情况如下</w:t>
      </w:r>
    </w:p>
    <w:p w14:paraId="17D5546A">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p>
    <w:tbl>
      <w:tblPr>
        <w:tblStyle w:val="2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985"/>
        <w:gridCol w:w="2977"/>
        <w:gridCol w:w="2205"/>
      </w:tblGrid>
      <w:tr w14:paraId="30BE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598FFFA">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b/>
                <w:color w:val="auto"/>
                <w:kern w:val="0"/>
                <w:sz w:val="22"/>
                <w:szCs w:val="24"/>
                <w:highlight w:val="none"/>
                <w:lang w:eastAsia="zh-CN"/>
              </w:rPr>
              <w:t>序号</w:t>
            </w:r>
          </w:p>
        </w:tc>
        <w:tc>
          <w:tcPr>
            <w:tcW w:w="1985" w:type="dxa"/>
            <w:noWrap w:val="0"/>
            <w:vAlign w:val="center"/>
          </w:tcPr>
          <w:p w14:paraId="5115EB1B">
            <w:pPr>
              <w:widowControl/>
              <w:spacing w:line="360" w:lineRule="auto"/>
              <w:ind w:firstLine="199" w:firstLineChars="9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b/>
                <w:color w:val="auto"/>
                <w:kern w:val="0"/>
                <w:sz w:val="22"/>
                <w:szCs w:val="24"/>
                <w:highlight w:val="none"/>
                <w:lang w:eastAsia="en-US"/>
              </w:rPr>
              <w:t>算法模型名称</w:t>
            </w:r>
          </w:p>
        </w:tc>
        <w:tc>
          <w:tcPr>
            <w:tcW w:w="2977" w:type="dxa"/>
            <w:noWrap w:val="0"/>
            <w:vAlign w:val="center"/>
          </w:tcPr>
          <w:p w14:paraId="7FB32CEE">
            <w:pPr>
              <w:widowControl/>
              <w:spacing w:line="360" w:lineRule="auto"/>
              <w:ind w:firstLine="442" w:firstLineChars="20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b/>
                <w:color w:val="auto"/>
                <w:kern w:val="0"/>
                <w:sz w:val="22"/>
                <w:szCs w:val="24"/>
                <w:highlight w:val="none"/>
                <w:lang w:eastAsia="zh-CN"/>
              </w:rPr>
              <w:t>功能描述</w:t>
            </w:r>
          </w:p>
        </w:tc>
        <w:tc>
          <w:tcPr>
            <w:tcW w:w="2205" w:type="dxa"/>
            <w:noWrap w:val="0"/>
            <w:vAlign w:val="center"/>
          </w:tcPr>
          <w:p w14:paraId="1E3FE794">
            <w:pPr>
              <w:widowControl/>
              <w:spacing w:line="360" w:lineRule="auto"/>
              <w:ind w:firstLine="20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b/>
                <w:color w:val="auto"/>
                <w:kern w:val="0"/>
                <w:sz w:val="22"/>
                <w:szCs w:val="24"/>
                <w:highlight w:val="none"/>
                <w:lang w:eastAsia="zh-CN"/>
              </w:rPr>
              <w:t>主要应用场景</w:t>
            </w:r>
          </w:p>
        </w:tc>
      </w:tr>
      <w:tr w14:paraId="5D2F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704E649">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w:t>
            </w:r>
          </w:p>
        </w:tc>
        <w:tc>
          <w:tcPr>
            <w:tcW w:w="1985" w:type="dxa"/>
            <w:noWrap w:val="0"/>
            <w:vAlign w:val="center"/>
          </w:tcPr>
          <w:p w14:paraId="36DF59B8">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highlight w:val="none"/>
                <w:lang w:eastAsia="zh-CN"/>
              </w:rPr>
              <w:t>传感器异常诊断检测</w:t>
            </w:r>
          </w:p>
        </w:tc>
        <w:tc>
          <w:tcPr>
            <w:tcW w:w="2977" w:type="dxa"/>
            <w:noWrap w:val="0"/>
            <w:vAlign w:val="center"/>
          </w:tcPr>
          <w:p w14:paraId="692D39BA">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识别传感器数据是否存在不更新、缺失和异跳等行为</w:t>
            </w:r>
          </w:p>
        </w:tc>
        <w:tc>
          <w:tcPr>
            <w:tcW w:w="2205" w:type="dxa"/>
            <w:noWrap w:val="0"/>
            <w:vAlign w:val="center"/>
          </w:tcPr>
          <w:p w14:paraId="3CBCF891">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各生产系统主要传感器</w:t>
            </w:r>
          </w:p>
        </w:tc>
      </w:tr>
      <w:tr w14:paraId="1BFF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7385BA86">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w:t>
            </w:r>
          </w:p>
        </w:tc>
        <w:tc>
          <w:tcPr>
            <w:tcW w:w="1985" w:type="dxa"/>
            <w:noWrap w:val="0"/>
            <w:vAlign w:val="center"/>
          </w:tcPr>
          <w:p w14:paraId="55D9C496">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区域入侵</w:t>
            </w:r>
            <w:r>
              <w:rPr>
                <w:rFonts w:hint="eastAsia" w:ascii="宋体" w:hAnsi="宋体" w:eastAsia="宋体" w:cs="Times New Roman"/>
                <w:color w:val="auto"/>
                <w:kern w:val="0"/>
                <w:sz w:val="22"/>
                <w:szCs w:val="24"/>
                <w:highlight w:val="none"/>
                <w:lang w:eastAsia="zh-CN"/>
              </w:rPr>
              <w:t>识别</w:t>
            </w:r>
          </w:p>
        </w:tc>
        <w:tc>
          <w:tcPr>
            <w:tcW w:w="2977" w:type="dxa"/>
            <w:noWrap w:val="0"/>
            <w:vAlign w:val="center"/>
          </w:tcPr>
          <w:p w14:paraId="44C3EAAF">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识别场景内目标区域是否有人员入侵情况</w:t>
            </w:r>
          </w:p>
        </w:tc>
        <w:tc>
          <w:tcPr>
            <w:tcW w:w="2205" w:type="dxa"/>
            <w:vMerge w:val="restart"/>
            <w:noWrap w:val="0"/>
            <w:vAlign w:val="center"/>
          </w:tcPr>
          <w:p w14:paraId="3FD33FFD">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r>
              <w:rPr>
                <w:rFonts w:hint="eastAsia" w:ascii="宋体" w:hAnsi="宋体" w:eastAsia="宋体" w:cs="Times New Roman"/>
                <w:color w:val="auto"/>
                <w:sz w:val="22"/>
                <w:szCs w:val="24"/>
                <w:highlight w:val="none"/>
                <w:lang w:val="en-US" w:eastAsia="zh-CN" w:bidi="ar-SA"/>
              </w:rPr>
              <w:t>各生产系统重要区域</w:t>
            </w:r>
          </w:p>
        </w:tc>
      </w:tr>
      <w:tr w14:paraId="52E7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65AC528">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3</w:t>
            </w:r>
          </w:p>
        </w:tc>
        <w:tc>
          <w:tcPr>
            <w:tcW w:w="1985" w:type="dxa"/>
            <w:noWrap w:val="0"/>
            <w:vAlign w:val="center"/>
          </w:tcPr>
          <w:p w14:paraId="64DDBDF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人员检测及分析</w:t>
            </w:r>
          </w:p>
        </w:tc>
        <w:tc>
          <w:tcPr>
            <w:tcW w:w="2977" w:type="dxa"/>
            <w:noWrap w:val="0"/>
            <w:vAlign w:val="center"/>
          </w:tcPr>
          <w:p w14:paraId="5E866BC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检测分析场景目标区域内人员数量和停留时间</w:t>
            </w:r>
          </w:p>
        </w:tc>
        <w:tc>
          <w:tcPr>
            <w:tcW w:w="2205" w:type="dxa"/>
            <w:vMerge w:val="continue"/>
            <w:noWrap w:val="0"/>
            <w:vAlign w:val="center"/>
          </w:tcPr>
          <w:p w14:paraId="2DE4D52C">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1EA9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1826377">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4</w:t>
            </w:r>
          </w:p>
        </w:tc>
        <w:tc>
          <w:tcPr>
            <w:tcW w:w="1985" w:type="dxa"/>
            <w:noWrap w:val="0"/>
            <w:vAlign w:val="center"/>
          </w:tcPr>
          <w:p w14:paraId="2F6586B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物品遗留检测</w:t>
            </w:r>
          </w:p>
        </w:tc>
        <w:tc>
          <w:tcPr>
            <w:tcW w:w="2977" w:type="dxa"/>
            <w:noWrap w:val="0"/>
            <w:vAlign w:val="center"/>
          </w:tcPr>
          <w:p w14:paraId="48B37A6F">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检测场景内目标区域是否存在遗留物（静止），最小识别遗留物目标分辨率为100*100像素，检测精度&gt;90%</w:t>
            </w:r>
          </w:p>
        </w:tc>
        <w:tc>
          <w:tcPr>
            <w:tcW w:w="2205" w:type="dxa"/>
            <w:vMerge w:val="continue"/>
            <w:noWrap w:val="0"/>
            <w:vAlign w:val="center"/>
          </w:tcPr>
          <w:p w14:paraId="7D232EAE">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036B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223FFD7">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5</w:t>
            </w:r>
          </w:p>
        </w:tc>
        <w:tc>
          <w:tcPr>
            <w:tcW w:w="1985" w:type="dxa"/>
            <w:noWrap w:val="0"/>
            <w:vAlign w:val="center"/>
          </w:tcPr>
          <w:p w14:paraId="7676522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火点检测</w:t>
            </w:r>
          </w:p>
        </w:tc>
        <w:tc>
          <w:tcPr>
            <w:tcW w:w="2977" w:type="dxa"/>
            <w:noWrap w:val="0"/>
            <w:vAlign w:val="center"/>
          </w:tcPr>
          <w:p w14:paraId="043CA60D">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识别场景主要区域里是否存在火点情况，最小识别火苗目标分辨率为50*100像素，检测精度&gt;90%</w:t>
            </w:r>
          </w:p>
        </w:tc>
        <w:tc>
          <w:tcPr>
            <w:tcW w:w="2205" w:type="dxa"/>
            <w:vMerge w:val="continue"/>
            <w:noWrap w:val="0"/>
            <w:vAlign w:val="center"/>
          </w:tcPr>
          <w:p w14:paraId="5201CB18">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35AF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4DD83BD">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6</w:t>
            </w:r>
          </w:p>
        </w:tc>
        <w:tc>
          <w:tcPr>
            <w:tcW w:w="1985" w:type="dxa"/>
            <w:noWrap w:val="0"/>
            <w:vAlign w:val="center"/>
          </w:tcPr>
          <w:p w14:paraId="168C1851">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en-US"/>
              </w:rPr>
              <w:t>烟雾检测</w:t>
            </w:r>
          </w:p>
        </w:tc>
        <w:tc>
          <w:tcPr>
            <w:tcW w:w="2977" w:type="dxa"/>
            <w:noWrap w:val="0"/>
            <w:vAlign w:val="center"/>
          </w:tcPr>
          <w:p w14:paraId="4E3A4C5E">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识别场景主要区域里是否存在烟雾情况，最小识别烟雾框像素不小于150*150，检测精度&gt;90%</w:t>
            </w:r>
          </w:p>
        </w:tc>
        <w:tc>
          <w:tcPr>
            <w:tcW w:w="2205" w:type="dxa"/>
            <w:vMerge w:val="continue"/>
            <w:noWrap w:val="0"/>
            <w:vAlign w:val="center"/>
          </w:tcPr>
          <w:p w14:paraId="6E149299">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62C0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2163342">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7</w:t>
            </w:r>
          </w:p>
        </w:tc>
        <w:tc>
          <w:tcPr>
            <w:tcW w:w="1985" w:type="dxa"/>
            <w:noWrap w:val="0"/>
            <w:vAlign w:val="center"/>
          </w:tcPr>
          <w:p w14:paraId="07BB7868">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en-US"/>
              </w:rPr>
              <w:t>小动物检测</w:t>
            </w:r>
          </w:p>
        </w:tc>
        <w:tc>
          <w:tcPr>
            <w:tcW w:w="2977" w:type="dxa"/>
            <w:noWrap w:val="0"/>
            <w:vAlign w:val="center"/>
          </w:tcPr>
          <w:p w14:paraId="5E0A34AE">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识别场景目标区域内是否有小动物闯入</w:t>
            </w:r>
          </w:p>
        </w:tc>
        <w:tc>
          <w:tcPr>
            <w:tcW w:w="2205" w:type="dxa"/>
            <w:vMerge w:val="continue"/>
            <w:noWrap w:val="0"/>
            <w:vAlign w:val="center"/>
          </w:tcPr>
          <w:p w14:paraId="22B234B2">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6834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0A3CCF3">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8</w:t>
            </w:r>
          </w:p>
        </w:tc>
        <w:tc>
          <w:tcPr>
            <w:tcW w:w="1985" w:type="dxa"/>
            <w:noWrap w:val="0"/>
            <w:vAlign w:val="center"/>
          </w:tcPr>
          <w:p w14:paraId="0353AC2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地面积水识别</w:t>
            </w:r>
          </w:p>
        </w:tc>
        <w:tc>
          <w:tcPr>
            <w:tcW w:w="2977" w:type="dxa"/>
            <w:noWrap w:val="0"/>
            <w:vAlign w:val="center"/>
          </w:tcPr>
          <w:p w14:paraId="6E2BEE7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识别场景目标区域里是否存在积水情况</w:t>
            </w:r>
          </w:p>
        </w:tc>
        <w:tc>
          <w:tcPr>
            <w:tcW w:w="2205" w:type="dxa"/>
            <w:vMerge w:val="continue"/>
            <w:noWrap w:val="0"/>
            <w:vAlign w:val="center"/>
          </w:tcPr>
          <w:p w14:paraId="12B7D817">
            <w:pPr>
              <w:spacing w:line="360" w:lineRule="auto"/>
              <w:ind w:left="0" w:firstLine="0" w:firstLineChars="0"/>
              <w:jc w:val="both"/>
              <w:rPr>
                <w:rFonts w:hint="eastAsia" w:ascii="宋体" w:hAnsi="宋体" w:eastAsia="宋体" w:cs="Times New Roman"/>
                <w:color w:val="auto"/>
                <w:sz w:val="24"/>
                <w:szCs w:val="24"/>
                <w:highlight w:val="none"/>
                <w:lang w:val="en-US" w:eastAsia="zh-CN" w:bidi="ar"/>
              </w:rPr>
            </w:pPr>
          </w:p>
        </w:tc>
      </w:tr>
      <w:tr w14:paraId="577D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80AD0A3">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9</w:t>
            </w:r>
          </w:p>
        </w:tc>
        <w:tc>
          <w:tcPr>
            <w:tcW w:w="1985" w:type="dxa"/>
            <w:noWrap w:val="0"/>
            <w:vAlign w:val="center"/>
          </w:tcPr>
          <w:p w14:paraId="7201C5A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水体颜色异常识别</w:t>
            </w:r>
          </w:p>
        </w:tc>
        <w:tc>
          <w:tcPr>
            <w:tcW w:w="2977" w:type="dxa"/>
            <w:noWrap w:val="0"/>
            <w:vAlign w:val="center"/>
          </w:tcPr>
          <w:p w14:paraId="4D1BA4E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识别池体目标区域水体颜色是否异常</w:t>
            </w:r>
          </w:p>
        </w:tc>
        <w:tc>
          <w:tcPr>
            <w:tcW w:w="2205" w:type="dxa"/>
            <w:noWrap w:val="0"/>
            <w:vAlign w:val="center"/>
          </w:tcPr>
          <w:p w14:paraId="5E5CDB6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前池、二期配水井、絮凝池、沉淀池、砂滤池</w:t>
            </w:r>
          </w:p>
        </w:tc>
      </w:tr>
      <w:tr w14:paraId="2850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FD8250B">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10</w:t>
            </w:r>
          </w:p>
        </w:tc>
        <w:tc>
          <w:tcPr>
            <w:tcW w:w="1985" w:type="dxa"/>
            <w:noWrap w:val="0"/>
            <w:vAlign w:val="center"/>
          </w:tcPr>
          <w:p w14:paraId="5E0C2AC7">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池面漂浮物</w:t>
            </w:r>
            <w:r>
              <w:rPr>
                <w:rFonts w:hint="eastAsia" w:ascii="宋体" w:hAnsi="宋体" w:eastAsia="宋体" w:cs="Times New Roman"/>
                <w:color w:val="auto"/>
                <w:kern w:val="0"/>
                <w:sz w:val="22"/>
                <w:szCs w:val="24"/>
                <w:highlight w:val="none"/>
                <w:lang w:eastAsia="zh-CN"/>
              </w:rPr>
              <w:t>识别</w:t>
            </w:r>
          </w:p>
        </w:tc>
        <w:tc>
          <w:tcPr>
            <w:tcW w:w="2977" w:type="dxa"/>
            <w:noWrap w:val="0"/>
            <w:vAlign w:val="center"/>
          </w:tcPr>
          <w:p w14:paraId="50FDBAA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识别池体目标区域液面是否有异常漂浮物</w:t>
            </w:r>
          </w:p>
        </w:tc>
        <w:tc>
          <w:tcPr>
            <w:tcW w:w="2205" w:type="dxa"/>
            <w:noWrap w:val="0"/>
            <w:vAlign w:val="center"/>
          </w:tcPr>
          <w:p w14:paraId="0BF28536">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前池、二期配水井、沉淀池、砂滤池</w:t>
            </w:r>
          </w:p>
        </w:tc>
      </w:tr>
      <w:tr w14:paraId="4808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94FEEBD">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11</w:t>
            </w:r>
          </w:p>
        </w:tc>
        <w:tc>
          <w:tcPr>
            <w:tcW w:w="1985" w:type="dxa"/>
            <w:noWrap w:val="0"/>
            <w:vAlign w:val="center"/>
          </w:tcPr>
          <w:p w14:paraId="53CC9DAD">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溢池识别</w:t>
            </w:r>
          </w:p>
        </w:tc>
        <w:tc>
          <w:tcPr>
            <w:tcW w:w="2977" w:type="dxa"/>
            <w:noWrap w:val="0"/>
            <w:vAlign w:val="center"/>
          </w:tcPr>
          <w:p w14:paraId="142374CB">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识别池体是否存在水位过高导致溢池的情况</w:t>
            </w:r>
          </w:p>
        </w:tc>
        <w:tc>
          <w:tcPr>
            <w:tcW w:w="2205" w:type="dxa"/>
            <w:noWrap w:val="0"/>
            <w:vAlign w:val="center"/>
          </w:tcPr>
          <w:p w14:paraId="4A102C7B">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前池、二期配水井、絮凝池、沉淀池、砂滤池</w:t>
            </w:r>
          </w:p>
        </w:tc>
      </w:tr>
      <w:tr w14:paraId="7ABA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17549ED">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12</w:t>
            </w:r>
          </w:p>
        </w:tc>
        <w:tc>
          <w:tcPr>
            <w:tcW w:w="1985" w:type="dxa"/>
            <w:noWrap w:val="0"/>
            <w:vAlign w:val="center"/>
          </w:tcPr>
          <w:p w14:paraId="544FD82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物品缺失检测</w:t>
            </w:r>
          </w:p>
        </w:tc>
        <w:tc>
          <w:tcPr>
            <w:tcW w:w="2977" w:type="dxa"/>
            <w:noWrap w:val="0"/>
            <w:vAlign w:val="center"/>
          </w:tcPr>
          <w:p w14:paraId="6895B806">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识别出场景内目标区域物品缺失情况，最小识别缺失物目标分辨率为100*100像素，检测精度&gt;90%</w:t>
            </w:r>
          </w:p>
        </w:tc>
        <w:tc>
          <w:tcPr>
            <w:tcW w:w="2205" w:type="dxa"/>
            <w:noWrap w:val="0"/>
            <w:vAlign w:val="center"/>
          </w:tcPr>
          <w:p w14:paraId="3F6DDBB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提升泵站、送水泵站</w:t>
            </w:r>
          </w:p>
        </w:tc>
      </w:tr>
      <w:tr w14:paraId="4291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21D50D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13</w:t>
            </w:r>
          </w:p>
        </w:tc>
        <w:tc>
          <w:tcPr>
            <w:tcW w:w="1985" w:type="dxa"/>
            <w:noWrap w:val="0"/>
            <w:vAlign w:val="center"/>
          </w:tcPr>
          <w:p w14:paraId="0FCE448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多区域异常升温</w:t>
            </w:r>
            <w:r>
              <w:rPr>
                <w:rFonts w:hint="eastAsia" w:ascii="宋体" w:hAnsi="宋体" w:eastAsia="宋体" w:cs="Times New Roman"/>
                <w:color w:val="auto"/>
                <w:kern w:val="0"/>
                <w:sz w:val="22"/>
                <w:szCs w:val="24"/>
                <w:highlight w:val="none"/>
                <w:lang w:eastAsia="zh-CN"/>
              </w:rPr>
              <w:t>识别</w:t>
            </w:r>
          </w:p>
        </w:tc>
        <w:tc>
          <w:tcPr>
            <w:tcW w:w="2977" w:type="dxa"/>
            <w:noWrap w:val="0"/>
            <w:vAlign w:val="center"/>
          </w:tcPr>
          <w:p w14:paraId="26F136E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识别出场景目标区域里多个不同的区域是否有异常升温的情况</w:t>
            </w:r>
          </w:p>
        </w:tc>
        <w:tc>
          <w:tcPr>
            <w:tcW w:w="2205" w:type="dxa"/>
            <w:noWrap w:val="0"/>
            <w:vAlign w:val="center"/>
          </w:tcPr>
          <w:p w14:paraId="3D5310F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提升泵站、送水泵站</w:t>
            </w:r>
          </w:p>
        </w:tc>
      </w:tr>
      <w:tr w14:paraId="4CA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E383EA7">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14</w:t>
            </w:r>
          </w:p>
        </w:tc>
        <w:tc>
          <w:tcPr>
            <w:tcW w:w="1985" w:type="dxa"/>
            <w:noWrap w:val="0"/>
            <w:vAlign w:val="center"/>
          </w:tcPr>
          <w:p w14:paraId="5838B32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移动热源跟踪</w:t>
            </w:r>
          </w:p>
        </w:tc>
        <w:tc>
          <w:tcPr>
            <w:tcW w:w="2977" w:type="dxa"/>
            <w:noWrap w:val="0"/>
            <w:vAlign w:val="center"/>
          </w:tcPr>
          <w:p w14:paraId="05B9DD5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对场景主要区域里移动热源进行温度识别和行迹跟踪</w:t>
            </w:r>
          </w:p>
        </w:tc>
        <w:tc>
          <w:tcPr>
            <w:tcW w:w="2205" w:type="dxa"/>
            <w:noWrap w:val="0"/>
            <w:vAlign w:val="center"/>
          </w:tcPr>
          <w:p w14:paraId="2ED3E2E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提升泵站、送水泵站</w:t>
            </w:r>
          </w:p>
        </w:tc>
      </w:tr>
      <w:tr w14:paraId="0863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49EDCC2">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15</w:t>
            </w:r>
          </w:p>
        </w:tc>
        <w:tc>
          <w:tcPr>
            <w:tcW w:w="1985" w:type="dxa"/>
            <w:noWrap w:val="0"/>
            <w:vAlign w:val="center"/>
          </w:tcPr>
          <w:p w14:paraId="52E97716">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挂网分析</w:t>
            </w:r>
          </w:p>
        </w:tc>
        <w:tc>
          <w:tcPr>
            <w:tcW w:w="2977" w:type="dxa"/>
            <w:noWrap w:val="0"/>
            <w:vAlign w:val="center"/>
          </w:tcPr>
          <w:p w14:paraId="73633E60">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highlight w:val="none"/>
                <w:lang w:eastAsia="zh-CN"/>
              </w:rPr>
              <w:t>识别出其挂网物件存在长期挂网无法被清理或物件过大存在损害设备的风险</w:t>
            </w:r>
          </w:p>
        </w:tc>
        <w:tc>
          <w:tcPr>
            <w:tcW w:w="2205" w:type="dxa"/>
            <w:noWrap w:val="0"/>
            <w:vAlign w:val="center"/>
          </w:tcPr>
          <w:p w14:paraId="16AF9045">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固液分离机</w:t>
            </w:r>
          </w:p>
        </w:tc>
      </w:tr>
      <w:tr w14:paraId="089C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93BA840">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16</w:t>
            </w:r>
          </w:p>
        </w:tc>
        <w:tc>
          <w:tcPr>
            <w:tcW w:w="1985" w:type="dxa"/>
            <w:noWrap w:val="0"/>
            <w:vAlign w:val="center"/>
          </w:tcPr>
          <w:p w14:paraId="29B2932A">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投加管道泄漏(堵塞)识别模型</w:t>
            </w:r>
          </w:p>
        </w:tc>
        <w:tc>
          <w:tcPr>
            <w:tcW w:w="2977" w:type="dxa"/>
            <w:noWrap w:val="0"/>
            <w:vAlign w:val="center"/>
          </w:tcPr>
          <w:p w14:paraId="44A3E32B">
            <w:pPr>
              <w:widowControl/>
              <w:spacing w:line="360" w:lineRule="auto"/>
              <w:ind w:firstLine="0" w:firstLineChars="0"/>
              <w:rPr>
                <w:rFonts w:hint="eastAsia" w:ascii="宋体" w:hAnsi="宋体" w:eastAsia="宋体" w:cs="Times New Roman"/>
                <w:color w:val="auto"/>
                <w:kern w:val="0"/>
                <w:sz w:val="22"/>
                <w:highlight w:val="none"/>
                <w:lang w:eastAsia="zh-CN"/>
              </w:rPr>
            </w:pPr>
            <w:r>
              <w:rPr>
                <w:rFonts w:hint="eastAsia" w:ascii="宋体" w:hAnsi="宋体" w:eastAsia="宋体" w:cs="Times New Roman"/>
                <w:color w:val="auto"/>
                <w:kern w:val="0"/>
                <w:sz w:val="22"/>
                <w:highlight w:val="none"/>
                <w:lang w:eastAsia="zh-CN"/>
              </w:rPr>
              <w:t>识别固定摄像头视野下投加管道是否有泄露情况，最小识别泄露水渍区域目标分辨率为100*100像素，最小识别泄露位置区域目标分辨率为50*100像素，检测精度&gt;90%</w:t>
            </w:r>
          </w:p>
        </w:tc>
        <w:tc>
          <w:tcPr>
            <w:tcW w:w="2205" w:type="dxa"/>
            <w:noWrap w:val="0"/>
            <w:vAlign w:val="center"/>
          </w:tcPr>
          <w:p w14:paraId="3A79CE61">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投矾投加室、次氯酸钠投加室</w:t>
            </w:r>
          </w:p>
        </w:tc>
      </w:tr>
      <w:tr w14:paraId="42F0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08FE787">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17</w:t>
            </w:r>
          </w:p>
        </w:tc>
        <w:tc>
          <w:tcPr>
            <w:tcW w:w="1985" w:type="dxa"/>
            <w:noWrap w:val="0"/>
            <w:vAlign w:val="center"/>
          </w:tcPr>
          <w:p w14:paraId="22CEB2AE">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en-US"/>
              </w:rPr>
              <w:t>储液</w:t>
            </w:r>
            <w:r>
              <w:rPr>
                <w:rFonts w:hint="eastAsia" w:ascii="宋体" w:hAnsi="宋体" w:eastAsia="宋体" w:cs="Times New Roman"/>
                <w:color w:val="auto"/>
                <w:kern w:val="0"/>
                <w:sz w:val="22"/>
                <w:szCs w:val="24"/>
                <w:highlight w:val="none"/>
                <w:lang w:eastAsia="zh-CN"/>
              </w:rPr>
              <w:t>池泄漏识别模型</w:t>
            </w:r>
          </w:p>
        </w:tc>
        <w:tc>
          <w:tcPr>
            <w:tcW w:w="2977" w:type="dxa"/>
            <w:noWrap w:val="0"/>
            <w:vAlign w:val="center"/>
          </w:tcPr>
          <w:p w14:paraId="5305EF00">
            <w:pPr>
              <w:widowControl/>
              <w:spacing w:line="360" w:lineRule="auto"/>
              <w:ind w:firstLine="0" w:firstLineChars="0"/>
              <w:rPr>
                <w:rFonts w:hint="eastAsia" w:ascii="宋体" w:hAnsi="宋体" w:eastAsia="宋体" w:cs="Times New Roman"/>
                <w:color w:val="auto"/>
                <w:kern w:val="0"/>
                <w:sz w:val="22"/>
                <w:highlight w:val="none"/>
                <w:lang w:eastAsia="zh-CN"/>
              </w:rPr>
            </w:pPr>
            <w:r>
              <w:rPr>
                <w:rFonts w:hint="eastAsia" w:ascii="宋体" w:hAnsi="宋体" w:eastAsia="宋体" w:cs="Times New Roman"/>
                <w:color w:val="auto"/>
                <w:kern w:val="0"/>
                <w:sz w:val="22"/>
                <w:highlight w:val="none"/>
                <w:lang w:eastAsia="zh-CN"/>
              </w:rPr>
              <w:t>识别固定摄像头视野下储液池是否有泄露情况，最小识别泄露水渍区域目标分辨率为100*100像素，最小识别泄露位置区域目标分辨率为50*100像素，检测精度&gt;90%</w:t>
            </w:r>
          </w:p>
        </w:tc>
        <w:tc>
          <w:tcPr>
            <w:tcW w:w="2205" w:type="dxa"/>
            <w:noWrap w:val="0"/>
            <w:vAlign w:val="center"/>
          </w:tcPr>
          <w:p w14:paraId="1267CA96">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投矾储液池</w:t>
            </w:r>
          </w:p>
        </w:tc>
      </w:tr>
      <w:tr w14:paraId="684F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E8B6344">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18</w:t>
            </w:r>
          </w:p>
        </w:tc>
        <w:tc>
          <w:tcPr>
            <w:tcW w:w="1985" w:type="dxa"/>
            <w:noWrap w:val="0"/>
            <w:vAlign w:val="center"/>
          </w:tcPr>
          <w:p w14:paraId="0C7BFCF3">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en-US"/>
              </w:rPr>
              <w:t>储液罐</w:t>
            </w:r>
            <w:r>
              <w:rPr>
                <w:rFonts w:hint="eastAsia" w:ascii="宋体" w:hAnsi="宋体" w:eastAsia="宋体" w:cs="Times New Roman"/>
                <w:color w:val="auto"/>
                <w:kern w:val="0"/>
                <w:sz w:val="22"/>
                <w:szCs w:val="24"/>
                <w:highlight w:val="none"/>
                <w:lang w:eastAsia="zh-CN"/>
              </w:rPr>
              <w:t>泄漏识别模型</w:t>
            </w:r>
          </w:p>
        </w:tc>
        <w:tc>
          <w:tcPr>
            <w:tcW w:w="2977" w:type="dxa"/>
            <w:noWrap w:val="0"/>
            <w:vAlign w:val="center"/>
          </w:tcPr>
          <w:p w14:paraId="206A0743">
            <w:pPr>
              <w:widowControl/>
              <w:spacing w:line="360" w:lineRule="auto"/>
              <w:ind w:firstLine="0" w:firstLineChars="0"/>
              <w:rPr>
                <w:rFonts w:hint="eastAsia" w:ascii="宋体" w:hAnsi="宋体" w:eastAsia="宋体" w:cs="Times New Roman"/>
                <w:color w:val="auto"/>
                <w:kern w:val="0"/>
                <w:sz w:val="22"/>
                <w:highlight w:val="none"/>
                <w:lang w:eastAsia="zh-CN"/>
              </w:rPr>
            </w:pPr>
            <w:r>
              <w:rPr>
                <w:rFonts w:hint="eastAsia" w:ascii="宋体" w:hAnsi="宋体" w:eastAsia="宋体" w:cs="Times New Roman"/>
                <w:color w:val="auto"/>
                <w:kern w:val="0"/>
                <w:sz w:val="22"/>
                <w:highlight w:val="none"/>
                <w:lang w:eastAsia="zh-CN"/>
              </w:rPr>
              <w:t>识别固定摄像头视野下储液罐是否有泄露情况，最小识别泄露水渍区域目标分辨率为100*100像素，最小识别泄露位置区域目标分辨率为50*100像素，检测精度&gt;90%</w:t>
            </w:r>
          </w:p>
        </w:tc>
        <w:tc>
          <w:tcPr>
            <w:tcW w:w="2205" w:type="dxa"/>
            <w:noWrap w:val="0"/>
            <w:vAlign w:val="center"/>
          </w:tcPr>
          <w:p w14:paraId="0A28DDCA">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次氯酸钠储液罐</w:t>
            </w:r>
          </w:p>
        </w:tc>
      </w:tr>
      <w:tr w14:paraId="5D32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4220E0C3">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19</w:t>
            </w:r>
          </w:p>
        </w:tc>
        <w:tc>
          <w:tcPr>
            <w:tcW w:w="1985" w:type="dxa"/>
            <w:noWrap w:val="0"/>
            <w:vAlign w:val="center"/>
          </w:tcPr>
          <w:p w14:paraId="0B9EE12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前池负荷能力评估模型</w:t>
            </w:r>
          </w:p>
        </w:tc>
        <w:tc>
          <w:tcPr>
            <w:tcW w:w="2977" w:type="dxa"/>
            <w:noWrap w:val="0"/>
            <w:vAlign w:val="center"/>
          </w:tcPr>
          <w:p w14:paraId="5720601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基于</w:t>
            </w:r>
            <w:r>
              <w:rPr>
                <w:rFonts w:hint="eastAsia" w:ascii="宋体" w:hAnsi="宋体" w:eastAsia="宋体" w:cs="Times New Roman"/>
                <w:color w:val="auto"/>
                <w:kern w:val="0"/>
                <w:sz w:val="22"/>
                <w:highlight w:val="none"/>
                <w:lang w:eastAsia="zh-CN"/>
              </w:rPr>
              <w:t>前池</w:t>
            </w:r>
            <w:r>
              <w:rPr>
                <w:rFonts w:ascii="宋体" w:hAnsi="宋体" w:eastAsia="宋体" w:cs="Times New Roman"/>
                <w:color w:val="auto"/>
                <w:kern w:val="0"/>
                <w:sz w:val="22"/>
                <w:highlight w:val="none"/>
                <w:lang w:eastAsia="zh-CN"/>
              </w:rPr>
              <w:t>设计负荷、当前完好情况、运行情况等，分析</w:t>
            </w:r>
            <w:r>
              <w:rPr>
                <w:rFonts w:hint="eastAsia" w:ascii="宋体" w:hAnsi="宋体" w:eastAsia="宋体" w:cs="Times New Roman"/>
                <w:color w:val="auto"/>
                <w:kern w:val="0"/>
                <w:sz w:val="22"/>
                <w:highlight w:val="none"/>
                <w:lang w:eastAsia="zh-CN"/>
              </w:rPr>
              <w:t>前池负荷</w:t>
            </w:r>
            <w:r>
              <w:rPr>
                <w:rFonts w:ascii="宋体" w:hAnsi="宋体" w:eastAsia="宋体" w:cs="Times New Roman"/>
                <w:color w:val="auto"/>
                <w:kern w:val="0"/>
                <w:sz w:val="22"/>
                <w:highlight w:val="none"/>
                <w:lang w:eastAsia="zh-CN"/>
              </w:rPr>
              <w:t>能力</w:t>
            </w:r>
          </w:p>
        </w:tc>
        <w:tc>
          <w:tcPr>
            <w:tcW w:w="2205" w:type="dxa"/>
            <w:noWrap w:val="0"/>
            <w:vAlign w:val="center"/>
          </w:tcPr>
          <w:p w14:paraId="0B28824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前池</w:t>
            </w:r>
          </w:p>
        </w:tc>
      </w:tr>
      <w:tr w14:paraId="2CD3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29D5482">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20</w:t>
            </w:r>
          </w:p>
        </w:tc>
        <w:tc>
          <w:tcPr>
            <w:tcW w:w="1985" w:type="dxa"/>
            <w:noWrap w:val="0"/>
            <w:vAlign w:val="center"/>
          </w:tcPr>
          <w:p w14:paraId="7A68874D">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提升泵站产能评估模型</w:t>
            </w:r>
          </w:p>
        </w:tc>
        <w:tc>
          <w:tcPr>
            <w:tcW w:w="2977" w:type="dxa"/>
            <w:noWrap w:val="0"/>
            <w:vAlign w:val="center"/>
          </w:tcPr>
          <w:p w14:paraId="7A3D655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对提升泵站主要设备生产能力和可用能力作出评估</w:t>
            </w:r>
          </w:p>
        </w:tc>
        <w:tc>
          <w:tcPr>
            <w:tcW w:w="2205" w:type="dxa"/>
            <w:noWrap w:val="0"/>
            <w:vAlign w:val="center"/>
          </w:tcPr>
          <w:p w14:paraId="46796690">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一期提升泵站</w:t>
            </w:r>
          </w:p>
        </w:tc>
      </w:tr>
      <w:tr w14:paraId="7CAA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5E84293">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21</w:t>
            </w:r>
          </w:p>
        </w:tc>
        <w:tc>
          <w:tcPr>
            <w:tcW w:w="1985" w:type="dxa"/>
            <w:noWrap w:val="0"/>
            <w:vAlign w:val="center"/>
          </w:tcPr>
          <w:p w14:paraId="4D59EB3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提升泵组健康度评估模型</w:t>
            </w:r>
          </w:p>
        </w:tc>
        <w:tc>
          <w:tcPr>
            <w:tcW w:w="2977" w:type="dxa"/>
            <w:noWrap w:val="0"/>
            <w:vAlign w:val="center"/>
          </w:tcPr>
          <w:p w14:paraId="44D49E6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基于电流、电压、振动、出口压力流量、泵组自身设计参数等评估因子，分析相关联的因子异常突变或趋势变化情况，对泵组健康度作出一个合理的评估</w:t>
            </w:r>
          </w:p>
        </w:tc>
        <w:tc>
          <w:tcPr>
            <w:tcW w:w="2205" w:type="dxa"/>
            <w:noWrap w:val="0"/>
            <w:vAlign w:val="center"/>
          </w:tcPr>
          <w:p w14:paraId="5A8BC25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一期提升泵组</w:t>
            </w:r>
          </w:p>
        </w:tc>
      </w:tr>
      <w:tr w14:paraId="45D2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70271021">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22</w:t>
            </w:r>
          </w:p>
        </w:tc>
        <w:tc>
          <w:tcPr>
            <w:tcW w:w="1985" w:type="dxa"/>
            <w:noWrap w:val="0"/>
            <w:vAlign w:val="center"/>
          </w:tcPr>
          <w:p w14:paraId="4A81A5BA">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提升泵站保障度评估模型</w:t>
            </w:r>
          </w:p>
        </w:tc>
        <w:tc>
          <w:tcPr>
            <w:tcW w:w="2977" w:type="dxa"/>
            <w:noWrap w:val="0"/>
            <w:vAlign w:val="center"/>
          </w:tcPr>
          <w:p w14:paraId="74495E8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以提升泵组健康度作为基础，结合机组备用能力、整体泵站效率和单位电耗等，对整个提升泵站进行综合分析，评估得出提升泵站保障度</w:t>
            </w:r>
          </w:p>
        </w:tc>
        <w:tc>
          <w:tcPr>
            <w:tcW w:w="2205" w:type="dxa"/>
            <w:noWrap w:val="0"/>
            <w:vAlign w:val="center"/>
          </w:tcPr>
          <w:p w14:paraId="24BBB0B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一期提升泵站</w:t>
            </w:r>
          </w:p>
        </w:tc>
      </w:tr>
      <w:tr w14:paraId="5529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458A2D3">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23</w:t>
            </w:r>
          </w:p>
        </w:tc>
        <w:tc>
          <w:tcPr>
            <w:tcW w:w="1985" w:type="dxa"/>
            <w:noWrap w:val="0"/>
            <w:vAlign w:val="center"/>
          </w:tcPr>
          <w:p w14:paraId="06C66AC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w:t>
            </w:r>
            <w:r>
              <w:rPr>
                <w:rFonts w:hint="eastAsia" w:ascii="宋体" w:hAnsi="宋体" w:eastAsia="宋体" w:cs="Times New Roman"/>
                <w:color w:val="auto"/>
                <w:kern w:val="0"/>
                <w:sz w:val="22"/>
                <w:szCs w:val="24"/>
                <w:highlight w:val="none"/>
                <w:lang w:eastAsia="en-US"/>
              </w:rPr>
              <w:t>智能搭配</w:t>
            </w:r>
            <w:r>
              <w:rPr>
                <w:rFonts w:hint="eastAsia" w:ascii="宋体" w:hAnsi="宋体" w:eastAsia="宋体" w:cs="Times New Roman"/>
                <w:color w:val="auto"/>
                <w:kern w:val="0"/>
                <w:sz w:val="22"/>
                <w:szCs w:val="24"/>
                <w:highlight w:val="none"/>
                <w:lang w:eastAsia="zh-CN"/>
              </w:rPr>
              <w:t>优化模型</w:t>
            </w:r>
          </w:p>
        </w:tc>
        <w:tc>
          <w:tcPr>
            <w:tcW w:w="2977" w:type="dxa"/>
            <w:noWrap w:val="0"/>
            <w:vAlign w:val="center"/>
          </w:tcPr>
          <w:p w14:paraId="74AA481A">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实现</w:t>
            </w:r>
            <w:r>
              <w:rPr>
                <w:rFonts w:hint="eastAsia" w:ascii="宋体" w:hAnsi="宋体" w:eastAsia="宋体" w:cs="Times New Roman"/>
                <w:color w:val="auto"/>
                <w:kern w:val="0"/>
                <w:sz w:val="22"/>
                <w:highlight w:val="none"/>
                <w:lang w:eastAsia="zh-CN"/>
              </w:rPr>
              <w:t>以泵站内单台泵或多台泵同时工作时运行效率最高/配水单位能耗最低为目标，优选泵启停台数</w:t>
            </w:r>
          </w:p>
        </w:tc>
        <w:tc>
          <w:tcPr>
            <w:tcW w:w="2205" w:type="dxa"/>
            <w:noWrap w:val="0"/>
            <w:vAlign w:val="center"/>
          </w:tcPr>
          <w:p w14:paraId="3D3C067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一期提升泵站</w:t>
            </w:r>
          </w:p>
        </w:tc>
      </w:tr>
      <w:tr w14:paraId="400A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5D85FA1">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24</w:t>
            </w:r>
          </w:p>
        </w:tc>
        <w:tc>
          <w:tcPr>
            <w:tcW w:w="1985" w:type="dxa"/>
            <w:noWrap w:val="0"/>
            <w:vAlign w:val="center"/>
          </w:tcPr>
          <w:p w14:paraId="5FDF7AD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提升泵站自动平滑切换模型</w:t>
            </w:r>
          </w:p>
        </w:tc>
        <w:tc>
          <w:tcPr>
            <w:tcW w:w="2977" w:type="dxa"/>
            <w:noWrap w:val="0"/>
            <w:vAlign w:val="center"/>
          </w:tcPr>
          <w:p w14:paraId="78FC2F2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实现提升泵组之间的无冲击平稳切换，最大限度减少切换过程对厂内一期配水管网压力和流量的波动影响</w:t>
            </w:r>
          </w:p>
        </w:tc>
        <w:tc>
          <w:tcPr>
            <w:tcW w:w="2205" w:type="dxa"/>
            <w:noWrap w:val="0"/>
            <w:vAlign w:val="center"/>
          </w:tcPr>
          <w:p w14:paraId="229A8AB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一期提升泵站</w:t>
            </w:r>
          </w:p>
        </w:tc>
      </w:tr>
      <w:tr w14:paraId="0D07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A94221C">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25</w:t>
            </w:r>
          </w:p>
        </w:tc>
        <w:tc>
          <w:tcPr>
            <w:tcW w:w="1985" w:type="dxa"/>
            <w:noWrap w:val="0"/>
            <w:vAlign w:val="center"/>
          </w:tcPr>
          <w:p w14:paraId="4AAF5779">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配水井负荷能力评估模型</w:t>
            </w:r>
          </w:p>
        </w:tc>
        <w:tc>
          <w:tcPr>
            <w:tcW w:w="2977" w:type="dxa"/>
            <w:noWrap w:val="0"/>
            <w:vAlign w:val="center"/>
          </w:tcPr>
          <w:p w14:paraId="78387F7D">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ascii="宋体" w:hAnsi="宋体" w:eastAsia="宋体" w:cs="Times New Roman"/>
                <w:color w:val="auto"/>
                <w:kern w:val="0"/>
                <w:sz w:val="22"/>
                <w:highlight w:val="none"/>
                <w:lang w:eastAsia="zh-CN"/>
              </w:rPr>
              <w:t>基于</w:t>
            </w:r>
            <w:r>
              <w:rPr>
                <w:rFonts w:hint="eastAsia" w:ascii="宋体" w:hAnsi="宋体" w:eastAsia="宋体" w:cs="Times New Roman"/>
                <w:color w:val="auto"/>
                <w:kern w:val="0"/>
                <w:sz w:val="22"/>
                <w:highlight w:val="none"/>
                <w:lang w:eastAsia="zh-CN"/>
              </w:rPr>
              <w:t>配水井</w:t>
            </w:r>
            <w:r>
              <w:rPr>
                <w:rFonts w:ascii="宋体" w:hAnsi="宋体" w:eastAsia="宋体" w:cs="Times New Roman"/>
                <w:color w:val="auto"/>
                <w:kern w:val="0"/>
                <w:sz w:val="22"/>
                <w:highlight w:val="none"/>
                <w:lang w:eastAsia="zh-CN"/>
              </w:rPr>
              <w:t>设计负荷、当前完好情况、运行情况等，分析</w:t>
            </w:r>
            <w:r>
              <w:rPr>
                <w:rFonts w:hint="eastAsia" w:ascii="宋体" w:hAnsi="宋体" w:eastAsia="宋体" w:cs="Times New Roman"/>
                <w:color w:val="auto"/>
                <w:kern w:val="0"/>
                <w:sz w:val="22"/>
                <w:highlight w:val="none"/>
                <w:lang w:eastAsia="zh-CN"/>
              </w:rPr>
              <w:t>前池负荷</w:t>
            </w:r>
            <w:r>
              <w:rPr>
                <w:rFonts w:ascii="宋体" w:hAnsi="宋体" w:eastAsia="宋体" w:cs="Times New Roman"/>
                <w:color w:val="auto"/>
                <w:kern w:val="0"/>
                <w:sz w:val="22"/>
                <w:highlight w:val="none"/>
                <w:lang w:eastAsia="zh-CN"/>
              </w:rPr>
              <w:t>能力</w:t>
            </w:r>
          </w:p>
        </w:tc>
        <w:tc>
          <w:tcPr>
            <w:tcW w:w="2205" w:type="dxa"/>
            <w:noWrap w:val="0"/>
            <w:vAlign w:val="center"/>
          </w:tcPr>
          <w:p w14:paraId="3BC15BD3">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二期配水井</w:t>
            </w:r>
          </w:p>
        </w:tc>
      </w:tr>
      <w:tr w14:paraId="1917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484A4CB9">
            <w:pPr>
              <w:widowControl/>
              <w:spacing w:line="360" w:lineRule="auto"/>
              <w:ind w:firstLine="0" w:firstLineChars="0"/>
              <w:rPr>
                <w:rFonts w:hint="eastAsia" w:ascii="宋体" w:hAnsi="宋体" w:eastAsia="宋体" w:cs="Times New Roman"/>
                <w:color w:val="auto"/>
                <w:kern w:val="0"/>
                <w:sz w:val="22"/>
                <w:szCs w:val="24"/>
                <w:highlight w:val="none"/>
                <w:lang w:eastAsia="zh-CN"/>
              </w:rPr>
            </w:pPr>
            <w:r>
              <w:rPr>
                <w:rFonts w:hint="eastAsia" w:ascii="宋体" w:hAnsi="宋体" w:eastAsia="宋体" w:cs="Times New Roman"/>
                <w:color w:val="auto"/>
                <w:kern w:val="0"/>
                <w:sz w:val="22"/>
                <w:szCs w:val="24"/>
                <w:highlight w:val="none"/>
                <w:lang w:eastAsia="zh-CN"/>
              </w:rPr>
              <w:t>26</w:t>
            </w:r>
          </w:p>
        </w:tc>
        <w:tc>
          <w:tcPr>
            <w:tcW w:w="1985" w:type="dxa"/>
            <w:noWrap w:val="0"/>
            <w:vAlign w:val="center"/>
          </w:tcPr>
          <w:p w14:paraId="799F9F6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投矾系统产能评估模型</w:t>
            </w:r>
          </w:p>
        </w:tc>
        <w:tc>
          <w:tcPr>
            <w:tcW w:w="2977" w:type="dxa"/>
            <w:noWrap w:val="0"/>
            <w:vAlign w:val="center"/>
          </w:tcPr>
          <w:p w14:paraId="3483518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对投矾系统设备设施生产能力和可用能力作出评估，同时能够药耗量进行预测</w:t>
            </w:r>
          </w:p>
        </w:tc>
        <w:tc>
          <w:tcPr>
            <w:tcW w:w="2205" w:type="dxa"/>
            <w:noWrap w:val="0"/>
            <w:vAlign w:val="center"/>
          </w:tcPr>
          <w:p w14:paraId="64A43A07">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投矾系统</w:t>
            </w:r>
          </w:p>
        </w:tc>
      </w:tr>
      <w:tr w14:paraId="74AD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9271773">
            <w:pPr>
              <w:widowControl/>
              <w:spacing w:line="360" w:lineRule="auto"/>
              <w:ind w:firstLine="0" w:firstLineChars="0"/>
              <w:rPr>
                <w:rFonts w:hint="eastAsia" w:ascii="宋体" w:hAnsi="宋体" w:eastAsia="宋体" w:cs="仿宋_GB2312"/>
                <w:color w:val="auto"/>
                <w:kern w:val="0"/>
                <w:sz w:val="28"/>
                <w:szCs w:val="28"/>
                <w:highlight w:val="none"/>
                <w:lang w:eastAsia="zh-CN"/>
              </w:rPr>
            </w:pPr>
            <w:r>
              <w:rPr>
                <w:rFonts w:hint="eastAsia" w:ascii="宋体" w:hAnsi="宋体" w:eastAsia="宋体" w:cs="Times New Roman"/>
                <w:color w:val="auto"/>
                <w:kern w:val="0"/>
                <w:sz w:val="22"/>
                <w:szCs w:val="24"/>
                <w:highlight w:val="none"/>
                <w:lang w:eastAsia="zh-CN"/>
              </w:rPr>
              <w:t>27</w:t>
            </w:r>
          </w:p>
        </w:tc>
        <w:tc>
          <w:tcPr>
            <w:tcW w:w="1985" w:type="dxa"/>
            <w:noWrap w:val="0"/>
            <w:vAlign w:val="center"/>
          </w:tcPr>
          <w:p w14:paraId="0DEE175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矾花识别模型</w:t>
            </w:r>
          </w:p>
        </w:tc>
        <w:tc>
          <w:tcPr>
            <w:tcW w:w="2977" w:type="dxa"/>
            <w:noWrap w:val="0"/>
            <w:vAlign w:val="center"/>
          </w:tcPr>
          <w:p w14:paraId="4452010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对絮凝池水样中絮体特征值进行量化和效果评价</w:t>
            </w:r>
          </w:p>
        </w:tc>
        <w:tc>
          <w:tcPr>
            <w:tcW w:w="2205" w:type="dxa"/>
            <w:noWrap w:val="0"/>
            <w:vAlign w:val="center"/>
          </w:tcPr>
          <w:p w14:paraId="3E3B337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投矾系统</w:t>
            </w:r>
          </w:p>
        </w:tc>
      </w:tr>
      <w:tr w14:paraId="6E33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775BBE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28</w:t>
            </w:r>
          </w:p>
        </w:tc>
        <w:tc>
          <w:tcPr>
            <w:tcW w:w="1985" w:type="dxa"/>
            <w:noWrap w:val="0"/>
            <w:vAlign w:val="center"/>
          </w:tcPr>
          <w:p w14:paraId="7FFD0DB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智能投矾算法模型</w:t>
            </w:r>
          </w:p>
        </w:tc>
        <w:tc>
          <w:tcPr>
            <w:tcW w:w="2977" w:type="dxa"/>
            <w:noWrap w:val="0"/>
            <w:vAlign w:val="center"/>
          </w:tcPr>
          <w:p w14:paraId="34973C5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szCs w:val="24"/>
                <w:highlight w:val="none"/>
                <w:lang w:eastAsia="zh-CN"/>
              </w:rPr>
              <w:t>实现对整个投矾系统各个投加泵自主根据当前工况计算出最优投加量</w:t>
            </w:r>
          </w:p>
        </w:tc>
        <w:tc>
          <w:tcPr>
            <w:tcW w:w="2205" w:type="dxa"/>
            <w:noWrap w:val="0"/>
            <w:vAlign w:val="center"/>
          </w:tcPr>
          <w:p w14:paraId="3261C2C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投矾系统</w:t>
            </w:r>
          </w:p>
        </w:tc>
      </w:tr>
      <w:tr w14:paraId="6F17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79DD9E7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29</w:t>
            </w:r>
          </w:p>
        </w:tc>
        <w:tc>
          <w:tcPr>
            <w:tcW w:w="1985" w:type="dxa"/>
            <w:noWrap w:val="0"/>
            <w:vAlign w:val="center"/>
          </w:tcPr>
          <w:p w14:paraId="3C19400F">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次氯酸钠投加系统产能评估模型</w:t>
            </w:r>
          </w:p>
        </w:tc>
        <w:tc>
          <w:tcPr>
            <w:tcW w:w="2977" w:type="dxa"/>
            <w:noWrap w:val="0"/>
            <w:vAlign w:val="center"/>
          </w:tcPr>
          <w:p w14:paraId="0103FC0D">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对次氯酸钠投加系统设备/设施生产能力和可用能力作出评估，同时能够对药耗量进行预测</w:t>
            </w:r>
          </w:p>
        </w:tc>
        <w:tc>
          <w:tcPr>
            <w:tcW w:w="2205" w:type="dxa"/>
            <w:noWrap w:val="0"/>
            <w:vAlign w:val="center"/>
          </w:tcPr>
          <w:p w14:paraId="5370A6B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次氯酸钠</w:t>
            </w:r>
            <w:r>
              <w:rPr>
                <w:rFonts w:hint="eastAsia" w:ascii="宋体" w:hAnsi="宋体" w:eastAsia="宋体" w:cs="Times New Roman"/>
                <w:color w:val="auto"/>
                <w:kern w:val="0"/>
                <w:sz w:val="22"/>
                <w:szCs w:val="24"/>
                <w:highlight w:val="none"/>
                <w:lang w:eastAsia="zh-CN"/>
              </w:rPr>
              <w:t>投加</w:t>
            </w:r>
            <w:r>
              <w:rPr>
                <w:rFonts w:hint="eastAsia" w:ascii="宋体" w:hAnsi="宋体" w:eastAsia="宋体" w:cs="Times New Roman"/>
                <w:color w:val="auto"/>
                <w:kern w:val="0"/>
                <w:sz w:val="22"/>
                <w:szCs w:val="24"/>
                <w:highlight w:val="none"/>
                <w:lang w:eastAsia="en-US"/>
              </w:rPr>
              <w:t>系统</w:t>
            </w:r>
          </w:p>
        </w:tc>
      </w:tr>
      <w:tr w14:paraId="406E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946BE7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30</w:t>
            </w:r>
          </w:p>
        </w:tc>
        <w:tc>
          <w:tcPr>
            <w:tcW w:w="1985" w:type="dxa"/>
            <w:noWrap w:val="0"/>
            <w:vAlign w:val="center"/>
          </w:tcPr>
          <w:p w14:paraId="38F7678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次氯酸钠智能投加算法模型</w:t>
            </w:r>
          </w:p>
        </w:tc>
        <w:tc>
          <w:tcPr>
            <w:tcW w:w="2977" w:type="dxa"/>
            <w:noWrap w:val="0"/>
            <w:vAlign w:val="center"/>
          </w:tcPr>
          <w:p w14:paraId="0F26ABD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szCs w:val="24"/>
                <w:highlight w:val="none"/>
                <w:lang w:eastAsia="zh-CN"/>
              </w:rPr>
              <w:t>实现对整个</w:t>
            </w:r>
            <w:r>
              <w:rPr>
                <w:rFonts w:hint="eastAsia" w:ascii="宋体" w:hAnsi="宋体" w:eastAsia="宋体" w:cs="Times New Roman"/>
                <w:color w:val="auto"/>
                <w:kern w:val="0"/>
                <w:sz w:val="22"/>
                <w:szCs w:val="24"/>
                <w:highlight w:val="none"/>
                <w:lang w:eastAsia="zh-CN"/>
              </w:rPr>
              <w:t>次氯酸钠投加</w:t>
            </w:r>
            <w:r>
              <w:rPr>
                <w:rFonts w:ascii="宋体" w:hAnsi="宋体" w:eastAsia="宋体" w:cs="Times New Roman"/>
                <w:color w:val="auto"/>
                <w:kern w:val="0"/>
                <w:sz w:val="22"/>
                <w:szCs w:val="24"/>
                <w:highlight w:val="none"/>
                <w:lang w:eastAsia="zh-CN"/>
              </w:rPr>
              <w:t>系统各个投加泵自主根据当前工况计算出最优投加量</w:t>
            </w:r>
          </w:p>
        </w:tc>
        <w:tc>
          <w:tcPr>
            <w:tcW w:w="2205" w:type="dxa"/>
            <w:noWrap w:val="0"/>
            <w:vAlign w:val="center"/>
          </w:tcPr>
          <w:p w14:paraId="4C6F0AF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en-US"/>
              </w:rPr>
              <w:t>次氯酸钠</w:t>
            </w:r>
            <w:r>
              <w:rPr>
                <w:rFonts w:hint="eastAsia" w:ascii="宋体" w:hAnsi="宋体" w:eastAsia="宋体" w:cs="Times New Roman"/>
                <w:color w:val="auto"/>
                <w:kern w:val="0"/>
                <w:sz w:val="22"/>
                <w:szCs w:val="24"/>
                <w:highlight w:val="none"/>
                <w:lang w:eastAsia="zh-CN"/>
              </w:rPr>
              <w:t>投加</w:t>
            </w:r>
            <w:r>
              <w:rPr>
                <w:rFonts w:hint="eastAsia" w:ascii="宋体" w:hAnsi="宋体" w:eastAsia="宋体" w:cs="Times New Roman"/>
                <w:color w:val="auto"/>
                <w:kern w:val="0"/>
                <w:sz w:val="22"/>
                <w:szCs w:val="24"/>
                <w:highlight w:val="none"/>
                <w:lang w:eastAsia="en-US"/>
              </w:rPr>
              <w:t>系统</w:t>
            </w:r>
          </w:p>
        </w:tc>
      </w:tr>
      <w:tr w14:paraId="0435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84918C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31</w:t>
            </w:r>
          </w:p>
        </w:tc>
        <w:tc>
          <w:tcPr>
            <w:tcW w:w="1985" w:type="dxa"/>
            <w:noWrap w:val="0"/>
            <w:vAlign w:val="center"/>
          </w:tcPr>
          <w:p w14:paraId="58583E0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絮凝沉淀池负荷评估模型</w:t>
            </w:r>
          </w:p>
        </w:tc>
        <w:tc>
          <w:tcPr>
            <w:tcW w:w="2977" w:type="dxa"/>
            <w:noWrap w:val="0"/>
            <w:vAlign w:val="center"/>
          </w:tcPr>
          <w:p w14:paraId="443A36A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基于</w:t>
            </w:r>
            <w:r>
              <w:rPr>
                <w:rFonts w:hint="eastAsia" w:ascii="宋体" w:hAnsi="宋体" w:eastAsia="宋体" w:cs="Times New Roman"/>
                <w:color w:val="auto"/>
                <w:kern w:val="0"/>
                <w:sz w:val="22"/>
                <w:highlight w:val="none"/>
                <w:lang w:eastAsia="zh-CN"/>
              </w:rPr>
              <w:t>絮凝沉淀池</w:t>
            </w:r>
            <w:r>
              <w:rPr>
                <w:rFonts w:ascii="宋体" w:hAnsi="宋体" w:eastAsia="宋体" w:cs="Times New Roman"/>
                <w:color w:val="auto"/>
                <w:kern w:val="0"/>
                <w:sz w:val="22"/>
                <w:highlight w:val="none"/>
                <w:lang w:eastAsia="zh-CN"/>
              </w:rPr>
              <w:t>设计负荷、当前完好情况、运行情况等，分析</w:t>
            </w:r>
            <w:r>
              <w:rPr>
                <w:rFonts w:hint="eastAsia" w:ascii="宋体" w:hAnsi="宋体" w:eastAsia="宋体" w:cs="Times New Roman"/>
                <w:color w:val="auto"/>
                <w:kern w:val="0"/>
                <w:sz w:val="22"/>
                <w:highlight w:val="none"/>
                <w:lang w:eastAsia="zh-CN"/>
              </w:rPr>
              <w:t>絮凝沉淀池负荷</w:t>
            </w:r>
            <w:r>
              <w:rPr>
                <w:rFonts w:ascii="宋体" w:hAnsi="宋体" w:eastAsia="宋体" w:cs="Times New Roman"/>
                <w:color w:val="auto"/>
                <w:kern w:val="0"/>
                <w:sz w:val="22"/>
                <w:highlight w:val="none"/>
                <w:lang w:eastAsia="zh-CN"/>
              </w:rPr>
              <w:t>能力</w:t>
            </w:r>
          </w:p>
        </w:tc>
        <w:tc>
          <w:tcPr>
            <w:tcW w:w="2205" w:type="dxa"/>
            <w:noWrap w:val="0"/>
            <w:vAlign w:val="center"/>
          </w:tcPr>
          <w:p w14:paraId="42FCDD6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絮凝沉淀池系统</w:t>
            </w:r>
          </w:p>
        </w:tc>
      </w:tr>
      <w:tr w14:paraId="1C2B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1930F6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32</w:t>
            </w:r>
          </w:p>
        </w:tc>
        <w:tc>
          <w:tcPr>
            <w:tcW w:w="1985" w:type="dxa"/>
            <w:noWrap w:val="0"/>
            <w:vAlign w:val="center"/>
          </w:tcPr>
          <w:p w14:paraId="59B4974A">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砂滤池负荷评估模型</w:t>
            </w:r>
          </w:p>
        </w:tc>
        <w:tc>
          <w:tcPr>
            <w:tcW w:w="2977" w:type="dxa"/>
            <w:noWrap w:val="0"/>
            <w:vAlign w:val="center"/>
          </w:tcPr>
          <w:p w14:paraId="1A9B078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基于</w:t>
            </w:r>
            <w:r>
              <w:rPr>
                <w:rFonts w:hint="eastAsia" w:ascii="宋体" w:hAnsi="宋体" w:eastAsia="宋体" w:cs="Times New Roman"/>
                <w:color w:val="auto"/>
                <w:kern w:val="0"/>
                <w:sz w:val="22"/>
                <w:highlight w:val="none"/>
                <w:lang w:eastAsia="zh-CN"/>
              </w:rPr>
              <w:t>砂滤池</w:t>
            </w:r>
            <w:r>
              <w:rPr>
                <w:rFonts w:ascii="宋体" w:hAnsi="宋体" w:eastAsia="宋体" w:cs="Times New Roman"/>
                <w:color w:val="auto"/>
                <w:kern w:val="0"/>
                <w:sz w:val="22"/>
                <w:highlight w:val="none"/>
                <w:lang w:eastAsia="zh-CN"/>
              </w:rPr>
              <w:t>设计负荷、当前完好情况、运行情况等，分析</w:t>
            </w:r>
            <w:r>
              <w:rPr>
                <w:rFonts w:hint="eastAsia" w:ascii="宋体" w:hAnsi="宋体" w:eastAsia="宋体" w:cs="Times New Roman"/>
                <w:color w:val="auto"/>
                <w:kern w:val="0"/>
                <w:sz w:val="22"/>
                <w:highlight w:val="none"/>
                <w:lang w:eastAsia="zh-CN"/>
              </w:rPr>
              <w:t>砂滤池</w:t>
            </w:r>
            <w:r>
              <w:rPr>
                <w:rFonts w:ascii="宋体" w:hAnsi="宋体" w:eastAsia="宋体" w:cs="Times New Roman"/>
                <w:color w:val="auto"/>
                <w:kern w:val="0"/>
                <w:sz w:val="22"/>
                <w:highlight w:val="none"/>
                <w:lang w:eastAsia="zh-CN"/>
              </w:rPr>
              <w:t>负荷能力</w:t>
            </w:r>
          </w:p>
        </w:tc>
        <w:tc>
          <w:tcPr>
            <w:tcW w:w="2205" w:type="dxa"/>
            <w:noWrap w:val="0"/>
            <w:vAlign w:val="center"/>
          </w:tcPr>
          <w:p w14:paraId="00FC759F">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233D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0B88DD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33</w:t>
            </w:r>
          </w:p>
        </w:tc>
        <w:tc>
          <w:tcPr>
            <w:tcW w:w="1985" w:type="dxa"/>
            <w:noWrap w:val="0"/>
            <w:vAlign w:val="center"/>
          </w:tcPr>
          <w:p w14:paraId="2799A80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反冲洗设备产能评估模型</w:t>
            </w:r>
          </w:p>
        </w:tc>
        <w:tc>
          <w:tcPr>
            <w:tcW w:w="2977" w:type="dxa"/>
            <w:noWrap w:val="0"/>
            <w:vAlign w:val="center"/>
          </w:tcPr>
          <w:p w14:paraId="311964B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对砂滤池反冲洗设备生产能力和可用能力作出评估</w:t>
            </w:r>
          </w:p>
        </w:tc>
        <w:tc>
          <w:tcPr>
            <w:tcW w:w="2205" w:type="dxa"/>
            <w:noWrap w:val="0"/>
            <w:vAlign w:val="center"/>
          </w:tcPr>
          <w:p w14:paraId="02C0FB56">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7D7F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39C9F9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34</w:t>
            </w:r>
          </w:p>
        </w:tc>
        <w:tc>
          <w:tcPr>
            <w:tcW w:w="1985" w:type="dxa"/>
            <w:noWrap w:val="0"/>
            <w:vAlign w:val="center"/>
          </w:tcPr>
          <w:p w14:paraId="5AC5F01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砂滤池反冲洗过程完整度识别模型</w:t>
            </w:r>
          </w:p>
        </w:tc>
        <w:tc>
          <w:tcPr>
            <w:tcW w:w="2977" w:type="dxa"/>
            <w:noWrap w:val="0"/>
            <w:vAlign w:val="center"/>
          </w:tcPr>
          <w:p w14:paraId="2B0E485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识别砂滤池反冲洗过程中</w:t>
            </w:r>
            <w:r>
              <w:rPr>
                <w:rFonts w:hint="eastAsia" w:ascii="宋体" w:hAnsi="宋体" w:eastAsia="宋体" w:cs="Times New Roman"/>
                <w:color w:val="auto"/>
                <w:kern w:val="0"/>
                <w:sz w:val="22"/>
                <w:highlight w:val="none"/>
                <w:lang w:eastAsia="zh-CN"/>
              </w:rPr>
              <w:t>是否完整进行了气冲洗、气水混洗、水冲洗（含表面扫洗）这三个过程，各过程中是否出现异常情况</w:t>
            </w:r>
          </w:p>
        </w:tc>
        <w:tc>
          <w:tcPr>
            <w:tcW w:w="2205" w:type="dxa"/>
            <w:noWrap w:val="0"/>
            <w:vAlign w:val="center"/>
          </w:tcPr>
          <w:p w14:paraId="1A316747">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7CE2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04F0EA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35</w:t>
            </w:r>
          </w:p>
        </w:tc>
        <w:tc>
          <w:tcPr>
            <w:tcW w:w="1985" w:type="dxa"/>
            <w:noWrap w:val="0"/>
            <w:vAlign w:val="center"/>
          </w:tcPr>
          <w:p w14:paraId="52AF573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单格砂滤池</w:t>
            </w:r>
            <w:r>
              <w:rPr>
                <w:rFonts w:hint="eastAsia" w:ascii="宋体" w:hAnsi="宋体" w:eastAsia="宋体" w:cs="Times New Roman"/>
                <w:color w:val="auto"/>
                <w:kern w:val="0"/>
                <w:sz w:val="22"/>
                <w:szCs w:val="24"/>
                <w:highlight w:val="none"/>
                <w:lang w:eastAsia="zh-CN"/>
              </w:rPr>
              <w:t>健康度评估模型</w:t>
            </w:r>
          </w:p>
        </w:tc>
        <w:tc>
          <w:tcPr>
            <w:tcW w:w="2977" w:type="dxa"/>
            <w:noWrap w:val="0"/>
            <w:vAlign w:val="center"/>
          </w:tcPr>
          <w:p w14:paraId="0FBEDE4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对滤池水头损失、液位、出水阀开关度、待滤水浊度、滤后水浊度、滤水时长、视觉识别事件分析等一系列与单个滤池运行状态相关的指标情况进行分析，形成单个滤池健康度评估算法模型</w:t>
            </w:r>
          </w:p>
        </w:tc>
        <w:tc>
          <w:tcPr>
            <w:tcW w:w="2205" w:type="dxa"/>
            <w:noWrap w:val="0"/>
            <w:vAlign w:val="center"/>
          </w:tcPr>
          <w:p w14:paraId="55AE016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1816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491D340">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36</w:t>
            </w:r>
          </w:p>
        </w:tc>
        <w:tc>
          <w:tcPr>
            <w:tcW w:w="1985" w:type="dxa"/>
            <w:noWrap w:val="0"/>
            <w:vAlign w:val="center"/>
          </w:tcPr>
          <w:p w14:paraId="2538F2E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砂滤池组</w:t>
            </w:r>
            <w:r>
              <w:rPr>
                <w:rFonts w:hint="eastAsia" w:ascii="宋体" w:hAnsi="宋体" w:eastAsia="宋体" w:cs="Times New Roman"/>
                <w:color w:val="auto"/>
                <w:kern w:val="0"/>
                <w:sz w:val="22"/>
                <w:szCs w:val="24"/>
                <w:highlight w:val="none"/>
                <w:lang w:eastAsia="zh-CN"/>
              </w:rPr>
              <w:t>保障度评估模型</w:t>
            </w:r>
          </w:p>
        </w:tc>
        <w:tc>
          <w:tcPr>
            <w:tcW w:w="2977" w:type="dxa"/>
            <w:noWrap w:val="0"/>
            <w:vAlign w:val="center"/>
          </w:tcPr>
          <w:p w14:paraId="415B610F">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以单个滤池健康度作为基础，对整个滤池组</w:t>
            </w:r>
            <w:r>
              <w:rPr>
                <w:rFonts w:hint="eastAsia" w:ascii="宋体" w:hAnsi="宋体" w:eastAsia="宋体" w:cs="Times New Roman"/>
                <w:color w:val="auto"/>
                <w:kern w:val="0"/>
                <w:sz w:val="22"/>
                <w:highlight w:val="none"/>
                <w:lang w:eastAsia="zh-CN"/>
              </w:rPr>
              <w:t>保障</w:t>
            </w:r>
            <w:r>
              <w:rPr>
                <w:rFonts w:ascii="宋体" w:hAnsi="宋体" w:eastAsia="宋体" w:cs="Times New Roman"/>
                <w:color w:val="auto"/>
                <w:kern w:val="0"/>
                <w:sz w:val="22"/>
                <w:highlight w:val="none"/>
                <w:lang w:eastAsia="zh-CN"/>
              </w:rPr>
              <w:t>度进行综合分析，结合总体出水水质等数据，形成砂滤池组</w:t>
            </w:r>
            <w:r>
              <w:rPr>
                <w:rFonts w:hint="eastAsia" w:ascii="宋体" w:hAnsi="宋体" w:eastAsia="宋体" w:cs="Times New Roman"/>
                <w:color w:val="auto"/>
                <w:kern w:val="0"/>
                <w:sz w:val="22"/>
                <w:szCs w:val="24"/>
                <w:highlight w:val="none"/>
                <w:lang w:eastAsia="zh-CN"/>
              </w:rPr>
              <w:t>保障</w:t>
            </w:r>
            <w:r>
              <w:rPr>
                <w:rFonts w:ascii="宋体" w:hAnsi="宋体" w:eastAsia="宋体" w:cs="Times New Roman"/>
                <w:color w:val="auto"/>
                <w:kern w:val="0"/>
                <w:sz w:val="22"/>
                <w:highlight w:val="none"/>
                <w:lang w:eastAsia="zh-CN"/>
              </w:rPr>
              <w:t>度评估算法模型</w:t>
            </w:r>
          </w:p>
        </w:tc>
        <w:tc>
          <w:tcPr>
            <w:tcW w:w="2205" w:type="dxa"/>
            <w:noWrap w:val="0"/>
            <w:vAlign w:val="center"/>
          </w:tcPr>
          <w:p w14:paraId="02E139C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244F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F646C9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37</w:t>
            </w:r>
          </w:p>
        </w:tc>
        <w:tc>
          <w:tcPr>
            <w:tcW w:w="1985" w:type="dxa"/>
            <w:noWrap w:val="0"/>
            <w:vAlign w:val="center"/>
          </w:tcPr>
          <w:p w14:paraId="6719658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砂滤池智能反冲洗模型</w:t>
            </w:r>
          </w:p>
        </w:tc>
        <w:tc>
          <w:tcPr>
            <w:tcW w:w="2977" w:type="dxa"/>
            <w:noWrap w:val="0"/>
            <w:vAlign w:val="center"/>
          </w:tcPr>
          <w:p w14:paraId="4300B7E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记录和评价单个滤池每次反冲洗参数与效果，结合实际工况，智能调节每个滤池的反冲洗强度和时长</w:t>
            </w:r>
          </w:p>
        </w:tc>
        <w:tc>
          <w:tcPr>
            <w:tcW w:w="2205" w:type="dxa"/>
            <w:noWrap w:val="0"/>
            <w:vAlign w:val="center"/>
          </w:tcPr>
          <w:p w14:paraId="57C81A87">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砂滤池系统</w:t>
            </w:r>
          </w:p>
        </w:tc>
      </w:tr>
      <w:tr w14:paraId="6731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8A03F80">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38</w:t>
            </w:r>
          </w:p>
        </w:tc>
        <w:tc>
          <w:tcPr>
            <w:tcW w:w="1985" w:type="dxa"/>
            <w:noWrap w:val="0"/>
            <w:vAlign w:val="center"/>
          </w:tcPr>
          <w:p w14:paraId="3F1594C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超滤膜进水提升系统负荷产能评估模型</w:t>
            </w:r>
          </w:p>
        </w:tc>
        <w:tc>
          <w:tcPr>
            <w:tcW w:w="2977" w:type="dxa"/>
            <w:noWrap w:val="0"/>
            <w:vAlign w:val="center"/>
          </w:tcPr>
          <w:p w14:paraId="063C0F3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对超滤膜进水提升系统中的主要设施/设备的负荷能力、生产能力和可用能力作出评估</w:t>
            </w:r>
          </w:p>
        </w:tc>
        <w:tc>
          <w:tcPr>
            <w:tcW w:w="2205" w:type="dxa"/>
            <w:noWrap w:val="0"/>
            <w:vAlign w:val="center"/>
          </w:tcPr>
          <w:p w14:paraId="144F76D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超滤膜进水提升系统</w:t>
            </w:r>
          </w:p>
        </w:tc>
      </w:tr>
      <w:tr w14:paraId="0B6C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EAE222A">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39</w:t>
            </w:r>
          </w:p>
        </w:tc>
        <w:tc>
          <w:tcPr>
            <w:tcW w:w="1985" w:type="dxa"/>
            <w:noWrap w:val="0"/>
            <w:vAlign w:val="center"/>
          </w:tcPr>
          <w:p w14:paraId="4DC80CB2">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超滤膜预处理系统产能评估模型</w:t>
            </w:r>
          </w:p>
        </w:tc>
        <w:tc>
          <w:tcPr>
            <w:tcW w:w="2977" w:type="dxa"/>
            <w:noWrap w:val="0"/>
            <w:vAlign w:val="center"/>
          </w:tcPr>
          <w:p w14:paraId="43FCE704">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对超滤膜预处理系统中的过滤器生产能力和可用能力作出评估</w:t>
            </w:r>
          </w:p>
        </w:tc>
        <w:tc>
          <w:tcPr>
            <w:tcW w:w="2205" w:type="dxa"/>
            <w:noWrap w:val="0"/>
            <w:vAlign w:val="center"/>
          </w:tcPr>
          <w:p w14:paraId="289B412A">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超滤膜预处理系统</w:t>
            </w:r>
          </w:p>
        </w:tc>
      </w:tr>
      <w:tr w14:paraId="69A1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5144DA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40</w:t>
            </w:r>
          </w:p>
        </w:tc>
        <w:tc>
          <w:tcPr>
            <w:tcW w:w="1985" w:type="dxa"/>
            <w:noWrap w:val="0"/>
            <w:vAlign w:val="center"/>
          </w:tcPr>
          <w:p w14:paraId="42DCD15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超滤膜反冲洗设备产能评估模型</w:t>
            </w:r>
          </w:p>
        </w:tc>
        <w:tc>
          <w:tcPr>
            <w:tcW w:w="2977" w:type="dxa"/>
            <w:noWrap w:val="0"/>
            <w:vAlign w:val="center"/>
          </w:tcPr>
          <w:p w14:paraId="50A0E71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对超滤膜反冲洗设备生产能力和可用能力作出评估</w:t>
            </w:r>
          </w:p>
        </w:tc>
        <w:tc>
          <w:tcPr>
            <w:tcW w:w="2205" w:type="dxa"/>
            <w:noWrap w:val="0"/>
            <w:vAlign w:val="center"/>
          </w:tcPr>
          <w:p w14:paraId="3A0F027F">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超滤膜反冲洗泵房</w:t>
            </w:r>
          </w:p>
        </w:tc>
      </w:tr>
      <w:tr w14:paraId="1CEC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4F716BE">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41</w:t>
            </w:r>
          </w:p>
        </w:tc>
        <w:tc>
          <w:tcPr>
            <w:tcW w:w="1985" w:type="dxa"/>
            <w:noWrap w:val="0"/>
            <w:vAlign w:val="center"/>
          </w:tcPr>
          <w:p w14:paraId="67898D2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超滤膜膜组负荷评估模型</w:t>
            </w:r>
          </w:p>
        </w:tc>
        <w:tc>
          <w:tcPr>
            <w:tcW w:w="2977" w:type="dxa"/>
            <w:noWrap w:val="0"/>
            <w:vAlign w:val="center"/>
          </w:tcPr>
          <w:p w14:paraId="48D168E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ascii="宋体" w:hAnsi="宋体" w:eastAsia="宋体" w:cs="Times New Roman"/>
                <w:color w:val="auto"/>
                <w:kern w:val="0"/>
                <w:sz w:val="22"/>
                <w:highlight w:val="none"/>
                <w:lang w:eastAsia="zh-CN"/>
              </w:rPr>
              <w:t>基于</w:t>
            </w:r>
            <w:r>
              <w:rPr>
                <w:rFonts w:hint="eastAsia" w:ascii="宋体" w:hAnsi="宋体" w:eastAsia="宋体" w:cs="Times New Roman"/>
                <w:color w:val="auto"/>
                <w:kern w:val="0"/>
                <w:sz w:val="22"/>
                <w:highlight w:val="none"/>
                <w:lang w:eastAsia="zh-CN"/>
              </w:rPr>
              <w:t>超滤膜膜组</w:t>
            </w:r>
            <w:r>
              <w:rPr>
                <w:rFonts w:ascii="宋体" w:hAnsi="宋体" w:eastAsia="宋体" w:cs="Times New Roman"/>
                <w:color w:val="auto"/>
                <w:kern w:val="0"/>
                <w:sz w:val="22"/>
                <w:highlight w:val="none"/>
                <w:lang w:eastAsia="zh-CN"/>
              </w:rPr>
              <w:t>设计负荷、当前完好情况、运行情况等，分析</w:t>
            </w:r>
            <w:r>
              <w:rPr>
                <w:rFonts w:hint="eastAsia" w:ascii="宋体" w:hAnsi="宋体" w:eastAsia="宋体" w:cs="Times New Roman"/>
                <w:color w:val="auto"/>
                <w:kern w:val="0"/>
                <w:sz w:val="22"/>
                <w:highlight w:val="none"/>
                <w:lang w:eastAsia="zh-CN"/>
              </w:rPr>
              <w:t>超滤膜膜组</w:t>
            </w:r>
            <w:r>
              <w:rPr>
                <w:rFonts w:ascii="宋体" w:hAnsi="宋体" w:eastAsia="宋体" w:cs="Times New Roman"/>
                <w:color w:val="auto"/>
                <w:kern w:val="0"/>
                <w:sz w:val="22"/>
                <w:highlight w:val="none"/>
                <w:lang w:eastAsia="zh-CN"/>
              </w:rPr>
              <w:t>负荷能力</w:t>
            </w:r>
          </w:p>
        </w:tc>
        <w:tc>
          <w:tcPr>
            <w:tcW w:w="2205" w:type="dxa"/>
            <w:noWrap w:val="0"/>
            <w:vAlign w:val="center"/>
          </w:tcPr>
          <w:p w14:paraId="533DB13B">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超滤膜装置主系统</w:t>
            </w:r>
          </w:p>
        </w:tc>
      </w:tr>
      <w:tr w14:paraId="5819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3F9D36C">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42</w:t>
            </w:r>
          </w:p>
        </w:tc>
        <w:tc>
          <w:tcPr>
            <w:tcW w:w="1985" w:type="dxa"/>
            <w:noWrap w:val="0"/>
            <w:vAlign w:val="center"/>
          </w:tcPr>
          <w:p w14:paraId="0EF9A4D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清水池负荷评估模型</w:t>
            </w:r>
          </w:p>
        </w:tc>
        <w:tc>
          <w:tcPr>
            <w:tcW w:w="2977" w:type="dxa"/>
            <w:noWrap w:val="0"/>
            <w:vAlign w:val="center"/>
          </w:tcPr>
          <w:p w14:paraId="7C6C3B80">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highlight w:val="none"/>
                <w:lang w:eastAsia="zh-CN"/>
              </w:rPr>
              <w:t>基于清水池设计负荷、当前完好情况、运行情况等，分析清水池负荷能力</w:t>
            </w:r>
          </w:p>
        </w:tc>
        <w:tc>
          <w:tcPr>
            <w:tcW w:w="2205" w:type="dxa"/>
            <w:noWrap w:val="0"/>
            <w:vAlign w:val="center"/>
          </w:tcPr>
          <w:p w14:paraId="2F8493D4">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2"/>
                <w:sz w:val="22"/>
                <w:szCs w:val="24"/>
                <w:highlight w:val="none"/>
                <w:lang w:eastAsia="zh-CN"/>
              </w:rPr>
              <w:t>清水池系统</w:t>
            </w:r>
          </w:p>
        </w:tc>
      </w:tr>
      <w:tr w14:paraId="2703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7557A3D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43</w:t>
            </w:r>
          </w:p>
        </w:tc>
        <w:tc>
          <w:tcPr>
            <w:tcW w:w="1985" w:type="dxa"/>
            <w:noWrap w:val="0"/>
            <w:vAlign w:val="center"/>
          </w:tcPr>
          <w:p w14:paraId="024FA3D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送水泵站泵组产能评估模型</w:t>
            </w:r>
          </w:p>
        </w:tc>
        <w:tc>
          <w:tcPr>
            <w:tcW w:w="2977" w:type="dxa"/>
            <w:noWrap w:val="0"/>
            <w:vAlign w:val="center"/>
          </w:tcPr>
          <w:p w14:paraId="53551D71">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对送水泵站主要设备生产能力和可用能力作出评估</w:t>
            </w:r>
          </w:p>
        </w:tc>
        <w:tc>
          <w:tcPr>
            <w:tcW w:w="2205" w:type="dxa"/>
            <w:noWrap w:val="0"/>
            <w:vAlign w:val="center"/>
          </w:tcPr>
          <w:p w14:paraId="6D4F3219">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送水泵站</w:t>
            </w:r>
          </w:p>
        </w:tc>
      </w:tr>
      <w:tr w14:paraId="19D6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CF02A84">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44</w:t>
            </w:r>
          </w:p>
        </w:tc>
        <w:tc>
          <w:tcPr>
            <w:tcW w:w="1985" w:type="dxa"/>
            <w:noWrap w:val="0"/>
            <w:vAlign w:val="center"/>
          </w:tcPr>
          <w:p w14:paraId="1F29D29D">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送水泵站泵组健康度评估模型</w:t>
            </w:r>
          </w:p>
        </w:tc>
        <w:tc>
          <w:tcPr>
            <w:tcW w:w="2977" w:type="dxa"/>
            <w:noWrap w:val="0"/>
            <w:vAlign w:val="center"/>
          </w:tcPr>
          <w:p w14:paraId="251C76AA">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基于电流、电压、振动、出口压力流量、泵组自身设计参数等评估因子，分析相关联的因子异常突变或趋势变化情况，对泵组健康度作出一个合理的评估</w:t>
            </w:r>
          </w:p>
        </w:tc>
        <w:tc>
          <w:tcPr>
            <w:tcW w:w="2205" w:type="dxa"/>
            <w:noWrap w:val="0"/>
            <w:vAlign w:val="center"/>
          </w:tcPr>
          <w:p w14:paraId="5169369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送水泵站</w:t>
            </w:r>
          </w:p>
        </w:tc>
      </w:tr>
      <w:tr w14:paraId="7381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408DC7A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45</w:t>
            </w:r>
          </w:p>
        </w:tc>
        <w:tc>
          <w:tcPr>
            <w:tcW w:w="1985" w:type="dxa"/>
            <w:noWrap w:val="0"/>
            <w:vAlign w:val="center"/>
          </w:tcPr>
          <w:p w14:paraId="44EC520F">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送水泵站保障度评估模型</w:t>
            </w:r>
          </w:p>
        </w:tc>
        <w:tc>
          <w:tcPr>
            <w:tcW w:w="2977" w:type="dxa"/>
            <w:noWrap w:val="0"/>
            <w:vAlign w:val="center"/>
          </w:tcPr>
          <w:p w14:paraId="3326B758">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highlight w:val="none"/>
                <w:lang w:eastAsia="zh-CN"/>
              </w:rPr>
              <w:t>以送水泵站健康度作为基础，结合机组备用能力、整体泵站效率和单位电耗等，对整个送水泵站进行综合分析，评估得出</w:t>
            </w:r>
            <w:r>
              <w:rPr>
                <w:rFonts w:hint="eastAsia" w:ascii="宋体" w:hAnsi="宋体" w:eastAsia="宋体" w:cs="Times New Roman"/>
                <w:color w:val="auto"/>
                <w:kern w:val="2"/>
                <w:sz w:val="22"/>
                <w:szCs w:val="24"/>
                <w:highlight w:val="none"/>
                <w:lang w:eastAsia="zh-CN"/>
              </w:rPr>
              <w:t>送水泵站</w:t>
            </w:r>
            <w:r>
              <w:rPr>
                <w:rFonts w:hint="eastAsia" w:ascii="宋体" w:hAnsi="宋体" w:eastAsia="宋体" w:cs="Times New Roman"/>
                <w:color w:val="auto"/>
                <w:kern w:val="0"/>
                <w:sz w:val="22"/>
                <w:highlight w:val="none"/>
                <w:lang w:eastAsia="zh-CN"/>
              </w:rPr>
              <w:t>保障度</w:t>
            </w:r>
          </w:p>
        </w:tc>
        <w:tc>
          <w:tcPr>
            <w:tcW w:w="2205" w:type="dxa"/>
            <w:noWrap w:val="0"/>
            <w:vAlign w:val="center"/>
          </w:tcPr>
          <w:p w14:paraId="2864FBD5">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送水泵站</w:t>
            </w:r>
          </w:p>
        </w:tc>
      </w:tr>
      <w:tr w14:paraId="650F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9DB0A86">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46</w:t>
            </w:r>
          </w:p>
        </w:tc>
        <w:tc>
          <w:tcPr>
            <w:tcW w:w="1985" w:type="dxa"/>
            <w:noWrap w:val="0"/>
            <w:vAlign w:val="center"/>
          </w:tcPr>
          <w:p w14:paraId="6F29F33D">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送水泵站</w:t>
            </w:r>
            <w:r>
              <w:rPr>
                <w:rFonts w:hint="eastAsia" w:ascii="宋体" w:hAnsi="宋体" w:eastAsia="宋体" w:cs="Times New Roman"/>
                <w:color w:val="auto"/>
                <w:kern w:val="0"/>
                <w:sz w:val="22"/>
                <w:szCs w:val="24"/>
                <w:highlight w:val="none"/>
                <w:lang w:eastAsia="en-US"/>
              </w:rPr>
              <w:t>智能搭配</w:t>
            </w:r>
            <w:r>
              <w:rPr>
                <w:rFonts w:hint="eastAsia" w:ascii="宋体" w:hAnsi="宋体" w:eastAsia="宋体" w:cs="Times New Roman"/>
                <w:color w:val="auto"/>
                <w:kern w:val="0"/>
                <w:sz w:val="22"/>
                <w:szCs w:val="24"/>
                <w:highlight w:val="none"/>
                <w:lang w:eastAsia="zh-CN"/>
              </w:rPr>
              <w:t>优化模型</w:t>
            </w:r>
          </w:p>
        </w:tc>
        <w:tc>
          <w:tcPr>
            <w:tcW w:w="2977" w:type="dxa"/>
            <w:noWrap w:val="0"/>
            <w:vAlign w:val="center"/>
          </w:tcPr>
          <w:p w14:paraId="1C5920F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实现</w:t>
            </w:r>
            <w:r>
              <w:rPr>
                <w:rFonts w:hint="eastAsia" w:ascii="宋体" w:hAnsi="宋体" w:eastAsia="宋体" w:cs="Times New Roman"/>
                <w:color w:val="auto"/>
                <w:kern w:val="0"/>
                <w:sz w:val="22"/>
                <w:highlight w:val="none"/>
                <w:lang w:eastAsia="zh-CN"/>
              </w:rPr>
              <w:t>以泵站内单台泵或多台泵同时工作时运行效率最高/配水单位能耗最低为目标，优选泵启停台数</w:t>
            </w:r>
          </w:p>
        </w:tc>
        <w:tc>
          <w:tcPr>
            <w:tcW w:w="2205" w:type="dxa"/>
            <w:noWrap w:val="0"/>
            <w:vAlign w:val="center"/>
          </w:tcPr>
          <w:p w14:paraId="0A07C9B3">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送水泵站</w:t>
            </w:r>
          </w:p>
        </w:tc>
      </w:tr>
      <w:tr w14:paraId="5C7B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13C68A7B">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47</w:t>
            </w:r>
          </w:p>
        </w:tc>
        <w:tc>
          <w:tcPr>
            <w:tcW w:w="1985" w:type="dxa"/>
            <w:noWrap w:val="0"/>
            <w:vAlign w:val="center"/>
          </w:tcPr>
          <w:p w14:paraId="29AFECD7">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送水泵站自动平滑切换模型</w:t>
            </w:r>
          </w:p>
        </w:tc>
        <w:tc>
          <w:tcPr>
            <w:tcW w:w="2977" w:type="dxa"/>
            <w:noWrap w:val="0"/>
            <w:vAlign w:val="center"/>
          </w:tcPr>
          <w:p w14:paraId="41D538DD">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0"/>
                <w:sz w:val="22"/>
                <w:szCs w:val="24"/>
                <w:highlight w:val="none"/>
                <w:lang w:eastAsia="zh-CN"/>
              </w:rPr>
              <w:t>实现送水泵组之间的无冲击平稳切换，最大限度减少切换过程对</w:t>
            </w:r>
            <w:r>
              <w:rPr>
                <w:rFonts w:hint="eastAsia" w:ascii="宋体" w:hAnsi="宋体" w:eastAsia="宋体" w:cs="Times New Roman"/>
                <w:color w:val="auto"/>
                <w:kern w:val="0"/>
                <w:sz w:val="22"/>
                <w:highlight w:val="none"/>
                <w:lang w:eastAsia="zh-CN"/>
              </w:rPr>
              <w:t>出厂水</w:t>
            </w:r>
            <w:r>
              <w:rPr>
                <w:rFonts w:hint="eastAsia" w:ascii="宋体" w:hAnsi="宋体" w:eastAsia="宋体" w:cs="Times New Roman"/>
                <w:color w:val="auto"/>
                <w:kern w:val="0"/>
                <w:sz w:val="22"/>
                <w:szCs w:val="24"/>
                <w:highlight w:val="none"/>
                <w:lang w:eastAsia="zh-CN"/>
              </w:rPr>
              <w:t>管网压力和流量的波动影响</w:t>
            </w:r>
          </w:p>
        </w:tc>
        <w:tc>
          <w:tcPr>
            <w:tcW w:w="2205" w:type="dxa"/>
            <w:noWrap w:val="0"/>
            <w:vAlign w:val="center"/>
          </w:tcPr>
          <w:p w14:paraId="7B37B5F2">
            <w:pPr>
              <w:widowControl/>
              <w:spacing w:line="360" w:lineRule="auto"/>
              <w:ind w:firstLine="0" w:firstLineChars="0"/>
              <w:rPr>
                <w:rFonts w:hint="eastAsia" w:ascii="宋体" w:hAnsi="宋体" w:eastAsia="宋体" w:cs="仿宋_GB2312"/>
                <w:color w:val="auto"/>
                <w:kern w:val="2"/>
                <w:sz w:val="28"/>
                <w:szCs w:val="28"/>
                <w:highlight w:val="none"/>
                <w:lang w:eastAsia="zh-CN"/>
              </w:rPr>
            </w:pPr>
            <w:r>
              <w:rPr>
                <w:rFonts w:hint="eastAsia" w:ascii="宋体" w:hAnsi="宋体" w:eastAsia="宋体" w:cs="Times New Roman"/>
                <w:color w:val="auto"/>
                <w:kern w:val="2"/>
                <w:sz w:val="22"/>
                <w:szCs w:val="24"/>
                <w:highlight w:val="none"/>
                <w:lang w:eastAsia="zh-CN"/>
              </w:rPr>
              <w:t>送水泵站</w:t>
            </w:r>
          </w:p>
        </w:tc>
      </w:tr>
      <w:tr w14:paraId="1607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4576E553">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4</w:t>
            </w:r>
            <w:r>
              <w:rPr>
                <w:rFonts w:hint="eastAsia" w:ascii="宋体" w:hAnsi="宋体" w:eastAsia="宋体" w:cs="Times New Roman"/>
                <w:color w:val="auto"/>
                <w:kern w:val="0"/>
                <w:sz w:val="22"/>
                <w:szCs w:val="24"/>
                <w:highlight w:val="none"/>
                <w:lang w:val="en-US" w:eastAsia="zh-CN"/>
              </w:rPr>
              <w:t>8</w:t>
            </w:r>
          </w:p>
        </w:tc>
        <w:tc>
          <w:tcPr>
            <w:tcW w:w="1985" w:type="dxa"/>
            <w:noWrap w:val="0"/>
            <w:vAlign w:val="center"/>
          </w:tcPr>
          <w:p w14:paraId="7C8448D1">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2"/>
                <w:sz w:val="22"/>
                <w:szCs w:val="24"/>
                <w:highlight w:val="none"/>
                <w:lang w:eastAsia="zh-CN"/>
              </w:rPr>
              <w:t>污泥</w:t>
            </w:r>
            <w:r>
              <w:rPr>
                <w:rFonts w:hint="eastAsia" w:ascii="宋体" w:hAnsi="宋体" w:eastAsia="宋体" w:cs="仿宋"/>
                <w:color w:val="auto"/>
                <w:kern w:val="2"/>
                <w:sz w:val="22"/>
                <w:szCs w:val="22"/>
                <w:highlight w:val="none"/>
                <w:lang w:eastAsia="zh-CN"/>
              </w:rPr>
              <w:t>处理</w:t>
            </w:r>
            <w:r>
              <w:rPr>
                <w:rFonts w:hint="eastAsia" w:ascii="宋体" w:hAnsi="宋体" w:eastAsia="宋体" w:cs="Times New Roman"/>
                <w:color w:val="auto"/>
                <w:kern w:val="2"/>
                <w:sz w:val="22"/>
                <w:szCs w:val="24"/>
                <w:highlight w:val="none"/>
                <w:lang w:eastAsia="zh-CN"/>
              </w:rPr>
              <w:t>系统产能评估模型</w:t>
            </w:r>
          </w:p>
        </w:tc>
        <w:tc>
          <w:tcPr>
            <w:tcW w:w="2977" w:type="dxa"/>
            <w:noWrap w:val="0"/>
            <w:vAlign w:val="center"/>
          </w:tcPr>
          <w:p w14:paraId="732FE393">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Times New Roman"/>
                <w:color w:val="auto"/>
                <w:kern w:val="0"/>
                <w:sz w:val="22"/>
                <w:szCs w:val="24"/>
                <w:highlight w:val="none"/>
                <w:lang w:eastAsia="zh-CN"/>
              </w:rPr>
              <w:t>对污泥处理系统设备/设施生产能力和可用能力作出评估，同时能够对产泥量进行预测</w:t>
            </w:r>
          </w:p>
        </w:tc>
        <w:tc>
          <w:tcPr>
            <w:tcW w:w="2205" w:type="dxa"/>
            <w:noWrap w:val="0"/>
            <w:vAlign w:val="center"/>
          </w:tcPr>
          <w:p w14:paraId="38C26348">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仿宋"/>
                <w:color w:val="auto"/>
                <w:kern w:val="2"/>
                <w:sz w:val="22"/>
                <w:szCs w:val="22"/>
                <w:highlight w:val="none"/>
                <w:lang w:eastAsia="zh-CN"/>
              </w:rPr>
              <w:t>污泥处理系统</w:t>
            </w:r>
          </w:p>
        </w:tc>
      </w:tr>
      <w:tr w14:paraId="49D6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61565311">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val="en-US" w:eastAsia="zh-CN"/>
              </w:rPr>
              <w:t>49</w:t>
            </w:r>
          </w:p>
        </w:tc>
        <w:tc>
          <w:tcPr>
            <w:tcW w:w="1985" w:type="dxa"/>
            <w:noWrap w:val="0"/>
            <w:vAlign w:val="center"/>
          </w:tcPr>
          <w:p w14:paraId="7727EB99">
            <w:pPr>
              <w:widowControl/>
              <w:spacing w:line="360" w:lineRule="auto"/>
              <w:ind w:firstLine="0" w:firstLineChars="0"/>
              <w:rPr>
                <w:rFonts w:hint="eastAsia" w:ascii="宋体" w:hAnsi="宋体" w:eastAsia="宋体" w:cs="Times New Roman"/>
                <w:color w:val="auto"/>
                <w:kern w:val="2"/>
                <w:sz w:val="28"/>
                <w:szCs w:val="24"/>
                <w:highlight w:val="none"/>
                <w:lang w:eastAsia="zh-CN"/>
              </w:rPr>
            </w:pPr>
            <w:r>
              <w:rPr>
                <w:rFonts w:hint="eastAsia" w:ascii="宋体" w:hAnsi="宋体" w:eastAsia="宋体" w:cs="Times New Roman"/>
                <w:color w:val="auto"/>
                <w:kern w:val="0"/>
                <w:sz w:val="22"/>
                <w:szCs w:val="24"/>
                <w:highlight w:val="none"/>
                <w:lang w:eastAsia="en-US"/>
              </w:rPr>
              <w:t>配水分析算法模型</w:t>
            </w:r>
          </w:p>
        </w:tc>
        <w:tc>
          <w:tcPr>
            <w:tcW w:w="2977" w:type="dxa"/>
            <w:noWrap w:val="0"/>
            <w:vAlign w:val="center"/>
          </w:tcPr>
          <w:p w14:paraId="022565FF">
            <w:pPr>
              <w:widowControl/>
              <w:spacing w:line="360" w:lineRule="auto"/>
              <w:ind w:firstLine="0" w:firstLineChars="0"/>
              <w:rPr>
                <w:rFonts w:hint="eastAsia" w:ascii="宋体" w:hAnsi="宋体" w:eastAsia="宋体" w:cs="Times New Roman"/>
                <w:color w:val="auto"/>
                <w:kern w:val="2"/>
                <w:sz w:val="28"/>
                <w:szCs w:val="24"/>
                <w:highlight w:val="none"/>
                <w:lang w:eastAsia="zh-CN"/>
              </w:rPr>
            </w:pPr>
            <w:r>
              <w:rPr>
                <w:rFonts w:hint="eastAsia" w:ascii="宋体" w:hAnsi="宋体" w:eastAsia="宋体" w:cs="仿宋"/>
                <w:color w:val="auto"/>
                <w:kern w:val="0"/>
                <w:sz w:val="22"/>
                <w:szCs w:val="22"/>
                <w:highlight w:val="none"/>
                <w:lang w:eastAsia="zh-CN"/>
              </w:rPr>
              <w:t>配水分析算法模型在已知出水量的基础上，利用清水池调蓄空间，计算各工艺段进水流量，从而实现不同的优化目标</w:t>
            </w:r>
          </w:p>
        </w:tc>
        <w:tc>
          <w:tcPr>
            <w:tcW w:w="2205" w:type="dxa"/>
            <w:noWrap w:val="0"/>
            <w:vAlign w:val="center"/>
          </w:tcPr>
          <w:p w14:paraId="71525612">
            <w:pPr>
              <w:widowControl/>
              <w:spacing w:line="360" w:lineRule="auto"/>
              <w:ind w:firstLine="0" w:firstLineChars="0"/>
              <w:rPr>
                <w:rFonts w:hint="eastAsia" w:ascii="宋体" w:hAnsi="宋体" w:eastAsia="宋体" w:cs="Times New Roman"/>
                <w:color w:val="auto"/>
                <w:kern w:val="2"/>
                <w:sz w:val="28"/>
                <w:szCs w:val="24"/>
                <w:highlight w:val="none"/>
                <w:lang w:eastAsia="zh-CN"/>
              </w:rPr>
            </w:pPr>
            <w:r>
              <w:rPr>
                <w:rFonts w:hint="eastAsia" w:ascii="宋体" w:hAnsi="宋体" w:eastAsia="宋体" w:cs="仿宋"/>
                <w:color w:val="auto"/>
                <w:kern w:val="2"/>
                <w:sz w:val="22"/>
                <w:szCs w:val="22"/>
                <w:highlight w:val="none"/>
                <w:lang w:eastAsia="zh-CN"/>
              </w:rPr>
              <w:t>水厂工艺联动</w:t>
            </w:r>
          </w:p>
        </w:tc>
      </w:tr>
      <w:tr w14:paraId="38E2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30A56AE4">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5</w:t>
            </w:r>
            <w:r>
              <w:rPr>
                <w:rFonts w:hint="eastAsia" w:ascii="宋体" w:hAnsi="宋体" w:eastAsia="宋体" w:cs="Times New Roman"/>
                <w:color w:val="auto"/>
                <w:kern w:val="0"/>
                <w:sz w:val="22"/>
                <w:szCs w:val="24"/>
                <w:highlight w:val="none"/>
                <w:lang w:val="en-US" w:eastAsia="zh-CN"/>
              </w:rPr>
              <w:t>0</w:t>
            </w:r>
          </w:p>
        </w:tc>
        <w:tc>
          <w:tcPr>
            <w:tcW w:w="1985" w:type="dxa"/>
            <w:noWrap w:val="0"/>
            <w:vAlign w:val="center"/>
          </w:tcPr>
          <w:p w14:paraId="06C68977">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en-US"/>
              </w:rPr>
              <w:t>产线水量分配模型</w:t>
            </w:r>
          </w:p>
        </w:tc>
        <w:tc>
          <w:tcPr>
            <w:tcW w:w="2977" w:type="dxa"/>
            <w:noWrap w:val="0"/>
            <w:vAlign w:val="center"/>
          </w:tcPr>
          <w:p w14:paraId="5EF2E931">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仿宋"/>
                <w:color w:val="auto"/>
                <w:kern w:val="0"/>
                <w:sz w:val="22"/>
                <w:szCs w:val="22"/>
                <w:highlight w:val="none"/>
                <w:lang w:eastAsia="zh-CN"/>
              </w:rPr>
              <w:t>产线水量分配模型基于配水算法模型所计算进水水量，并结合各产线的能力与负荷等情况，合理分配各产线水量</w:t>
            </w:r>
          </w:p>
        </w:tc>
        <w:tc>
          <w:tcPr>
            <w:tcW w:w="2205" w:type="dxa"/>
            <w:noWrap w:val="0"/>
            <w:vAlign w:val="center"/>
          </w:tcPr>
          <w:p w14:paraId="365F05FD">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仿宋"/>
                <w:color w:val="auto"/>
                <w:kern w:val="2"/>
                <w:sz w:val="22"/>
                <w:szCs w:val="22"/>
                <w:highlight w:val="none"/>
                <w:lang w:eastAsia="zh-CN"/>
              </w:rPr>
              <w:t>水厂工艺联动</w:t>
            </w:r>
          </w:p>
        </w:tc>
      </w:tr>
      <w:tr w14:paraId="14F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2CC47C3D">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5</w:t>
            </w:r>
            <w:r>
              <w:rPr>
                <w:rFonts w:hint="eastAsia" w:ascii="宋体" w:hAnsi="宋体" w:eastAsia="宋体" w:cs="Times New Roman"/>
                <w:color w:val="auto"/>
                <w:kern w:val="0"/>
                <w:sz w:val="22"/>
                <w:szCs w:val="24"/>
                <w:highlight w:val="none"/>
                <w:lang w:val="en-US" w:eastAsia="zh-CN"/>
              </w:rPr>
              <w:t>1</w:t>
            </w:r>
          </w:p>
        </w:tc>
        <w:tc>
          <w:tcPr>
            <w:tcW w:w="1985" w:type="dxa"/>
            <w:noWrap w:val="0"/>
            <w:vAlign w:val="center"/>
          </w:tcPr>
          <w:p w14:paraId="3606BFBE">
            <w:pPr>
              <w:widowControl/>
              <w:spacing w:line="360" w:lineRule="auto"/>
              <w:ind w:firstLine="0" w:firstLineChars="0"/>
              <w:rPr>
                <w:rFonts w:hint="eastAsia" w:ascii="宋体" w:hAnsi="宋体" w:eastAsia="宋体" w:cs="Times New Roman"/>
                <w:color w:val="auto"/>
                <w:kern w:val="2"/>
                <w:sz w:val="22"/>
                <w:szCs w:val="24"/>
                <w:highlight w:val="none"/>
                <w:lang w:eastAsia="zh-CN"/>
              </w:rPr>
            </w:pPr>
            <w:r>
              <w:rPr>
                <w:rFonts w:hint="eastAsia" w:ascii="宋体" w:hAnsi="宋体" w:eastAsia="宋体" w:cs="Times New Roman"/>
                <w:color w:val="auto"/>
                <w:kern w:val="0"/>
                <w:sz w:val="22"/>
                <w:szCs w:val="24"/>
                <w:highlight w:val="none"/>
                <w:lang w:eastAsia="zh-CN"/>
              </w:rPr>
              <w:t>水质评估预测模型</w:t>
            </w:r>
          </w:p>
        </w:tc>
        <w:tc>
          <w:tcPr>
            <w:tcW w:w="2977" w:type="dxa"/>
            <w:noWrap w:val="0"/>
            <w:vAlign w:val="center"/>
          </w:tcPr>
          <w:p w14:paraId="016C0231">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仿宋"/>
                <w:color w:val="auto"/>
                <w:kern w:val="0"/>
                <w:sz w:val="22"/>
                <w:szCs w:val="22"/>
                <w:highlight w:val="none"/>
                <w:lang w:eastAsia="zh-CN"/>
              </w:rPr>
              <w:t>通过分析水质在线监测设备、天气环境因素等数据，根据各生产工艺的特征和适用的法规标准，建立厂内水质评估预测模型，为关键水处理工艺环节提供水质处理目标</w:t>
            </w:r>
          </w:p>
        </w:tc>
        <w:tc>
          <w:tcPr>
            <w:tcW w:w="2205" w:type="dxa"/>
            <w:noWrap w:val="0"/>
            <w:vAlign w:val="center"/>
          </w:tcPr>
          <w:p w14:paraId="731ADADA">
            <w:pPr>
              <w:widowControl/>
              <w:spacing w:line="360" w:lineRule="auto"/>
              <w:ind w:firstLine="0" w:firstLineChars="0"/>
              <w:rPr>
                <w:rFonts w:hint="eastAsia" w:ascii="宋体" w:hAnsi="宋体" w:eastAsia="宋体" w:cs="仿宋"/>
                <w:color w:val="auto"/>
                <w:kern w:val="2"/>
                <w:sz w:val="22"/>
                <w:szCs w:val="22"/>
                <w:highlight w:val="none"/>
                <w:lang w:eastAsia="zh-CN"/>
              </w:rPr>
            </w:pPr>
            <w:r>
              <w:rPr>
                <w:rFonts w:hint="eastAsia" w:ascii="宋体" w:hAnsi="宋体" w:eastAsia="宋体" w:cs="仿宋"/>
                <w:color w:val="auto"/>
                <w:kern w:val="2"/>
                <w:sz w:val="22"/>
                <w:szCs w:val="22"/>
                <w:highlight w:val="none"/>
                <w:lang w:eastAsia="zh-CN"/>
              </w:rPr>
              <w:t>水厂工艺联动</w:t>
            </w:r>
          </w:p>
        </w:tc>
      </w:tr>
    </w:tbl>
    <w:p w14:paraId="1BAC7C2B">
      <w:pPr>
        <w:widowControl/>
        <w:spacing w:line="360" w:lineRule="auto"/>
        <w:ind w:firstLine="480" w:firstLineChars="200"/>
        <w:rPr>
          <w:rFonts w:ascii="Times New Roman" w:hAnsi="Times New Roman" w:eastAsia="宋体" w:cs="Times New Roman"/>
          <w:color w:val="auto"/>
          <w:kern w:val="0"/>
          <w:sz w:val="24"/>
          <w:highlight w:val="none"/>
          <w:lang w:eastAsia="zh-CN"/>
        </w:rPr>
      </w:pPr>
    </w:p>
    <w:p w14:paraId="6B9C63F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248" w:name="_Toc1363698610"/>
      <w:bookmarkStart w:id="1249" w:name="_Toc22879"/>
      <w:bookmarkStart w:id="1250" w:name="_Toc1998971482"/>
      <w:bookmarkStart w:id="1251" w:name="_Toc942999182"/>
      <w:bookmarkStart w:id="1252" w:name="_Toc2483"/>
      <w:bookmarkStart w:id="1253" w:name="_Toc42656553"/>
      <w:bookmarkStart w:id="1254" w:name="_Toc32045"/>
      <w:bookmarkStart w:id="1255" w:name="_Toc193093616"/>
      <w:bookmarkStart w:id="1256" w:name="_Toc22043"/>
      <w:r>
        <w:rPr>
          <w:rFonts w:hint="eastAsia" w:ascii="Times New Roman" w:hAnsi="Times New Roman" w:eastAsia="黑体" w:cs="Times New Roman"/>
          <w:b/>
          <w:color w:val="auto"/>
          <w:sz w:val="30"/>
          <w:highlight w:val="none"/>
          <w:lang w:val="en-US" w:eastAsia="zh-CN" w:bidi="ar-SA"/>
        </w:rPr>
        <w:t>智慧控制</w:t>
      </w:r>
      <w:bookmarkEnd w:id="1248"/>
      <w:bookmarkEnd w:id="1249"/>
      <w:bookmarkEnd w:id="1250"/>
      <w:bookmarkEnd w:id="1251"/>
      <w:bookmarkEnd w:id="1252"/>
      <w:bookmarkEnd w:id="1253"/>
      <w:bookmarkEnd w:id="1254"/>
      <w:bookmarkEnd w:id="1255"/>
      <w:bookmarkEnd w:id="1256"/>
    </w:p>
    <w:p w14:paraId="568306A9">
      <w:pPr>
        <w:widowControl w:val="0"/>
        <w:numPr>
          <w:ilvl w:val="0"/>
          <w:numId w:val="0"/>
        </w:numPr>
        <w:tabs>
          <w:tab w:val="left" w:pos="0"/>
          <w:tab w:val="left" w:pos="576"/>
          <w:tab w:val="left" w:pos="720"/>
          <w:tab w:val="left" w:pos="2304"/>
        </w:tabs>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针对不少于下列</w:t>
      </w:r>
      <w:r>
        <w:rPr>
          <w:rFonts w:hint="eastAsia" w:ascii="宋体" w:hAnsi="宋体" w:eastAsia="宋体" w:cs="仿宋_GB2312"/>
          <w:color w:val="auto"/>
          <w:kern w:val="0"/>
          <w:sz w:val="24"/>
          <w:szCs w:val="24"/>
          <w:highlight w:val="none"/>
          <w:lang w:val="en-US" w:eastAsia="zh-CN"/>
        </w:rPr>
        <w:t>10</w:t>
      </w:r>
      <w:r>
        <w:rPr>
          <w:rFonts w:hint="eastAsia" w:ascii="宋体" w:hAnsi="宋体" w:eastAsia="宋体" w:cs="仿宋_GB2312"/>
          <w:color w:val="auto"/>
          <w:kern w:val="0"/>
          <w:sz w:val="24"/>
          <w:szCs w:val="24"/>
          <w:highlight w:val="none"/>
          <w:lang w:eastAsia="zh-CN"/>
        </w:rPr>
        <w:t>个不同的工艺系统要求，利用先进、成熟的模型算法优化水处理过程，并为现场提供各类数据限值计算、异常诊断、产能评估和高级控制等功能，将生产情况和产能评估及时反馈至决策者，帮助决策制定和生产优化，减少资源和能源使用，提高效率，降低水质风险的目的。</w:t>
      </w:r>
    </w:p>
    <w:p w14:paraId="44585D50">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当工艺系统各类现状描述与实际建设结果不相符时，应以实际为准，同时中标人应采取提供离线数据回填、在线故障仿真数据发生等方法验证智慧控制功能，以利现场数据不具备验证条件时，进行对应功能实现和验收。</w:t>
      </w:r>
    </w:p>
    <w:p w14:paraId="614C3B72">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各生产系统智慧控制边缘模块可以人工输入参数等方式解耦运行且不相互影响运行，智慧控制边缘模块主要由智慧诊断模块、事件报警及处置模块、自主生产模块等子模块组成，各子模块主要功能需求如下：</w:t>
      </w:r>
    </w:p>
    <w:p w14:paraId="70F865DD">
      <w:pPr>
        <w:widowControl/>
        <w:tabs>
          <w:tab w:val="left" w:pos="1152"/>
        </w:tabs>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1、</w:t>
      </w:r>
      <w:r>
        <w:rPr>
          <w:rFonts w:ascii="宋体" w:hAnsi="宋体" w:eastAsia="宋体" w:cs="Times New Roman"/>
          <w:color w:val="auto"/>
          <w:kern w:val="0"/>
          <w:sz w:val="24"/>
          <w:szCs w:val="24"/>
          <w:highlight w:val="none"/>
          <w:lang w:eastAsia="zh-CN"/>
        </w:rPr>
        <w:t>智慧诊断</w:t>
      </w:r>
      <w:r>
        <w:rPr>
          <w:rFonts w:hint="eastAsia" w:ascii="宋体" w:hAnsi="宋体" w:eastAsia="宋体" w:cs="Times New Roman"/>
          <w:color w:val="auto"/>
          <w:kern w:val="0"/>
          <w:sz w:val="24"/>
          <w:szCs w:val="24"/>
          <w:highlight w:val="none"/>
          <w:lang w:eastAsia="zh-CN"/>
        </w:rPr>
        <w:t>模块</w:t>
      </w:r>
    </w:p>
    <w:p w14:paraId="00B3C4C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该模块通过AI推理运算和大数据分析等手段，实现对主要传感器、工艺关键设备和重要工艺过程等方面的异常情况诊断，并对主要设备设施进行健康度和保障度诊断，形成相关诊断结果事件，该事件可交由事件报警及处置模块进行分级推送报警等操作。</w:t>
      </w:r>
    </w:p>
    <w:p w14:paraId="3060473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①主要</w:t>
      </w:r>
      <w:r>
        <w:rPr>
          <w:rFonts w:ascii="Times New Roman" w:hAnsi="Times New Roman" w:eastAsia="宋体" w:cs="Times New Roman"/>
          <w:color w:val="auto"/>
          <w:kern w:val="0"/>
          <w:sz w:val="24"/>
          <w:highlight w:val="none"/>
          <w:lang w:eastAsia="zh-CN"/>
        </w:rPr>
        <w:t>传感器异常诊断：</w:t>
      </w:r>
      <w:r>
        <w:rPr>
          <w:rFonts w:hint="eastAsia" w:ascii="Times New Roman" w:hAnsi="Times New Roman" w:eastAsia="宋体" w:cs="Times New Roman"/>
          <w:color w:val="auto"/>
          <w:kern w:val="0"/>
          <w:sz w:val="24"/>
          <w:highlight w:val="none"/>
          <w:lang w:eastAsia="zh-CN"/>
        </w:rPr>
        <w:t>针对生产系统中使用到的关键传感器，</w:t>
      </w:r>
      <w:r>
        <w:rPr>
          <w:rFonts w:ascii="Times New Roman" w:hAnsi="Times New Roman" w:eastAsia="宋体" w:cs="Times New Roman"/>
          <w:color w:val="auto"/>
          <w:kern w:val="0"/>
          <w:sz w:val="24"/>
          <w:highlight w:val="none"/>
          <w:lang w:eastAsia="zh-CN"/>
        </w:rPr>
        <w:t>通过采集现场传统传感器、智能传感器和图像识别技术分析得出的实时数据和历史数据，根据数据质量规则从数据完整性、准确性、唯一性、一致性和及时性等多个维度对</w:t>
      </w:r>
      <w:r>
        <w:rPr>
          <w:rFonts w:hint="eastAsia" w:ascii="Times New Roman" w:hAnsi="Times New Roman" w:eastAsia="宋体" w:cs="Times New Roman"/>
          <w:color w:val="auto"/>
          <w:kern w:val="0"/>
          <w:sz w:val="24"/>
          <w:highlight w:val="none"/>
          <w:lang w:eastAsia="zh-CN"/>
        </w:rPr>
        <w:t>关键</w:t>
      </w:r>
      <w:r>
        <w:rPr>
          <w:rFonts w:ascii="Times New Roman" w:hAnsi="Times New Roman" w:eastAsia="宋体" w:cs="Times New Roman"/>
          <w:color w:val="auto"/>
          <w:kern w:val="0"/>
          <w:sz w:val="24"/>
          <w:highlight w:val="none"/>
          <w:lang w:eastAsia="zh-CN"/>
        </w:rPr>
        <w:t>传感器数据质量进行监测校验，</w:t>
      </w:r>
      <w:r>
        <w:rPr>
          <w:rFonts w:hint="eastAsia" w:ascii="Times New Roman" w:hAnsi="Times New Roman" w:eastAsia="宋体" w:cs="Times New Roman"/>
          <w:color w:val="auto"/>
          <w:kern w:val="0"/>
          <w:sz w:val="24"/>
          <w:highlight w:val="none"/>
          <w:lang w:eastAsia="zh-CN"/>
        </w:rPr>
        <w:t>构建传感器异常诊断检测模型，主要用于</w:t>
      </w:r>
      <w:r>
        <w:rPr>
          <w:rFonts w:ascii="Times New Roman" w:hAnsi="Times New Roman" w:eastAsia="宋体" w:cs="Times New Roman"/>
          <w:color w:val="auto"/>
          <w:kern w:val="0"/>
          <w:sz w:val="24"/>
          <w:highlight w:val="none"/>
          <w:lang w:eastAsia="zh-CN"/>
        </w:rPr>
        <w:t>识别传感器数据的</w:t>
      </w:r>
      <w:r>
        <w:rPr>
          <w:rFonts w:hint="eastAsia" w:ascii="Times New Roman" w:hAnsi="Times New Roman" w:eastAsia="宋体" w:cs="Times New Roman"/>
          <w:color w:val="auto"/>
          <w:kern w:val="0"/>
          <w:sz w:val="24"/>
          <w:highlight w:val="none"/>
          <w:lang w:eastAsia="zh-CN"/>
        </w:rPr>
        <w:t>不更新、</w:t>
      </w:r>
      <w:r>
        <w:rPr>
          <w:rFonts w:ascii="Times New Roman" w:hAnsi="Times New Roman" w:eastAsia="宋体" w:cs="Times New Roman"/>
          <w:color w:val="auto"/>
          <w:kern w:val="0"/>
          <w:sz w:val="24"/>
          <w:highlight w:val="none"/>
          <w:lang w:eastAsia="zh-CN"/>
        </w:rPr>
        <w:t>缺失</w:t>
      </w:r>
      <w:r>
        <w:rPr>
          <w:rFonts w:hint="eastAsia" w:ascii="Times New Roman" w:hAnsi="Times New Roman" w:eastAsia="宋体" w:cs="Times New Roman"/>
          <w:color w:val="auto"/>
          <w:kern w:val="0"/>
          <w:sz w:val="24"/>
          <w:highlight w:val="none"/>
          <w:lang w:eastAsia="zh-CN"/>
        </w:rPr>
        <w:t>和</w:t>
      </w:r>
      <w:r>
        <w:rPr>
          <w:rFonts w:ascii="Times New Roman" w:hAnsi="Times New Roman" w:eastAsia="宋体" w:cs="Times New Roman"/>
          <w:color w:val="auto"/>
          <w:kern w:val="0"/>
          <w:sz w:val="24"/>
          <w:highlight w:val="none"/>
          <w:lang w:eastAsia="zh-CN"/>
        </w:rPr>
        <w:t>异跳</w:t>
      </w:r>
      <w:r>
        <w:rPr>
          <w:rFonts w:hint="eastAsia" w:ascii="Times New Roman" w:hAnsi="Times New Roman" w:eastAsia="宋体" w:cs="Times New Roman"/>
          <w:color w:val="auto"/>
          <w:kern w:val="0"/>
          <w:sz w:val="24"/>
          <w:highlight w:val="none"/>
          <w:lang w:eastAsia="zh-CN"/>
        </w:rPr>
        <w:t>，并</w:t>
      </w:r>
      <w:r>
        <w:rPr>
          <w:rFonts w:ascii="Times New Roman" w:hAnsi="Times New Roman" w:eastAsia="宋体" w:cs="Times New Roman"/>
          <w:color w:val="auto"/>
          <w:kern w:val="0"/>
          <w:sz w:val="24"/>
          <w:highlight w:val="none"/>
          <w:lang w:eastAsia="zh-CN"/>
        </w:rPr>
        <w:t>主动推送警告，</w:t>
      </w:r>
      <w:r>
        <w:rPr>
          <w:rFonts w:hint="eastAsia" w:ascii="Times New Roman" w:hAnsi="Times New Roman" w:eastAsia="宋体" w:cs="Times New Roman"/>
          <w:color w:val="auto"/>
          <w:kern w:val="0"/>
          <w:sz w:val="24"/>
          <w:highlight w:val="none"/>
          <w:lang w:eastAsia="zh-CN"/>
        </w:rPr>
        <w:t>值班人员能够及时根据警告对传感器作出检查，识别数量应不少于本章节中罗列的各类传感器，以保证主要传感器数据实时可靠。</w:t>
      </w:r>
    </w:p>
    <w:p w14:paraId="4B249E4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②工艺关键设备状态异常诊断：基于各工艺系统中的监拍装置和各类传感器等数据，利用大数据分析和设备自检建议等方式，诊断工艺中关键设备的各类异常和趋势变化状态，对设备异常状态进行精细化监测，为各类应急事件处置提供数据来源。</w:t>
      </w:r>
    </w:p>
    <w:p w14:paraId="7C4E0C3A">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a.离心泵组（含离心水泵、电机和进出口阀门）：来自PLC的初步异常判断；当泵组处于一步化开停机过程中，可对电机、阀门等设备开/停时长异常进行识别；当泵组处于正常运行状态下，压力流量是否有不正常波动，识别阀门是否处于开启状态、电机水泵等关键设备工作是否正常等；当泵组处于停用状态时，持续监测出水阀和电机的开关状态，避免发生倒流和开停机异常等停机后不稳定情况，保证现场人员和站内设备的安全；通过物品遗留检测模型，识别出泵组联轴器周边是否有影响旋转设备运行的物件存在；通过物品缺失检测模型，识别出设备标识牌是否齐全；利用红外监测装置（如有），通过多区域异常升温识别模型，识别出泵组是否存在异常升温情况；综合设备运行参数、供配电参数、各类传感器与智能检测设备，对运行中流量压力异常、偏离理论工况、局部异常温度变化等情况进行诊断。</w:t>
      </w:r>
    </w:p>
    <w:p w14:paraId="11331920">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b.主要阀门：来自PLC的初步异常判断；当阀门在人工标志不允许开启的情况下，识别其是否有异常开启动作；阀门的开/关尽行程信号是否正常，是否存在开/关尽过扭矩的情况；阀门的开/停时长是否异常；设备配备的热继电器是否有保护动作信号；对于长期没有动作的阀门，提出自检测试的建议等。</w:t>
      </w:r>
    </w:p>
    <w:p w14:paraId="3187B056">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c.固液分离机：当固液分离机处于正常工作状态下，通过挂网分析模型，识别出其挂网物件存在长期挂网无法被清理或物件过大存在损害设备的风险；当固液分离机处于自动运行状态下，通过人员检测模型和区域入侵识别模型，识别出固液分离机周边是否出现人员存在等不允许设备运行的场景；固液分离机是否根据预设规则正常工作；设备配备的热继电器是否有保护动作信号等。</w:t>
      </w:r>
    </w:p>
    <w:p w14:paraId="0B4BEA3F">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d.投加泵：来自投加泵自带的故障检测信号；投加量是否超出合理范围；投加泵输出流量与流量计反馈值是否匹配；通过物品缺失检测模型，识别出设备标识牌是否齐全；设备配备的热继电器是否有保护动作信号；综合设备运行参数、供配电参数、各类传感器与智能检测设备，对运行中流量压力异常、偏离理论工况、局部异常温度变化等情况进行诊断。</w:t>
      </w:r>
    </w:p>
    <w:p w14:paraId="289816B0">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e.变频器：当配套电机出现堵转或者负载突然增大时，应判别为电机过载故障；监测变频器三相输入电压/电流是否存在过流、过压、欠压、缺相或不平衡等情况，超出限定阈值时应停止运行以保护内部电路；持续监测变频器与PLC通讯是否正常工作；变频器完成上电时间是否过长；当变频器处于工作状态时，其配套冷却风机是否正常运行；变频器设定频率与输出频率是否匹配；变频器输出频率是否在合理输出范围；利用红外监测装置，通过多区域异常升温识别模型，结合变频器自带的温度监测装置，识别出变频器是否存在异常温升情况等。</w:t>
      </w:r>
    </w:p>
    <w:p w14:paraId="57FA057F">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f.反冲洗风机组（含罗茨鼓风机和出口阀门）：来自PLC的初步异常判断；当风机组处于一步化开停机过程中，可对风机、出口阀门等设备开/停时长异常进行识别；当风机组处于正常运行状态下，压力流量是否有不正常波动，识别阀门是否处于开启状态；当风机组处于停用状态时，持续监测风机、出口阀门的开关状态，避免发生倒流和开停机异常等停机后不稳定情况，保证现场人员和设备的安全；</w:t>
      </w:r>
      <w:r>
        <w:rPr>
          <w:rFonts w:hint="eastAsia" w:ascii="宋体" w:hAnsi="宋体" w:eastAsia="宋体" w:cs="Times New Roman"/>
          <w:color w:val="auto"/>
          <w:kern w:val="0"/>
          <w:sz w:val="24"/>
          <w:szCs w:val="24"/>
          <w:highlight w:val="none"/>
          <w:lang w:eastAsia="zh-CN"/>
        </w:rPr>
        <w:t>通过人员检测模型和区域入侵识别模型，识别出风机组周边是否出现人员存在等不允许设备运行的场景；</w:t>
      </w:r>
      <w:r>
        <w:rPr>
          <w:rFonts w:hint="eastAsia" w:ascii="宋体" w:hAnsi="宋体" w:eastAsia="宋体" w:cs="仿宋_GB2312"/>
          <w:color w:val="auto"/>
          <w:kern w:val="0"/>
          <w:sz w:val="24"/>
          <w:szCs w:val="24"/>
          <w:highlight w:val="none"/>
          <w:lang w:eastAsia="zh-CN"/>
        </w:rPr>
        <w:t>利用红外监测装置（如有），通过多区域异常升温识别模型，识别出风机组是否存在异常温升 情况；综合设备运行参数、供配电参数、各类传感器与智能检测设备，对运行中流量压力异常、偏离理论工况、局部异常温度变化等情况进行诊断。</w:t>
      </w:r>
    </w:p>
    <w:p w14:paraId="1FD1101F">
      <w:pPr>
        <w:widowControl w:val="0"/>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③重要工艺运行过程异常诊断：利用已训练好的算法模型进行分析与推理，综合各类运算结果，全天候监测运行过程状态，识别同一工艺或产线的设备、流程工艺单体、生产全过程整体在不同运行模式下的相应事件和异常状态。</w:t>
      </w:r>
    </w:p>
    <w:p w14:paraId="63B28818">
      <w:pPr>
        <w:widowControl w:val="0"/>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④主要设备设施健康度和保障度诊断评估：</w:t>
      </w:r>
    </w:p>
    <w:p w14:paraId="257506AE">
      <w:pPr>
        <w:widowControl/>
        <w:spacing w:line="360" w:lineRule="auto"/>
        <w:ind w:firstLine="480" w:firstLineChars="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a.提升泵组健康度评估模型：基于电流、电压、振动、出口压力流量、泵组自身设计参数等评估因子，分析相关联的因子异常突变或趋势变化情况，对单个提升泵组健康度作出一个合理的评估。</w:t>
      </w:r>
    </w:p>
    <w:p w14:paraId="41AEC33C">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b.提升泵站保障度评估模型：以提升泵组健康度作为基础，利用提升泵站整体出口压力、流量等因子参数，对整个提升泵站进行综合分析，评估得出提升泵站保障度，为提升泵站维修必要性提供科学依据，同时</w:t>
      </w:r>
      <w:r>
        <w:rPr>
          <w:rFonts w:ascii="宋体" w:hAnsi="宋体" w:eastAsia="宋体" w:cs="仿宋_GB2312"/>
          <w:color w:val="auto"/>
          <w:kern w:val="0"/>
          <w:sz w:val="24"/>
          <w:szCs w:val="24"/>
          <w:highlight w:val="none"/>
          <w:lang w:eastAsia="zh-CN"/>
        </w:rPr>
        <w:t>提高设备的可靠性和稳定性</w:t>
      </w:r>
      <w:r>
        <w:rPr>
          <w:rFonts w:hint="eastAsia" w:ascii="宋体" w:hAnsi="宋体" w:eastAsia="宋体" w:cs="仿宋_GB2312"/>
          <w:color w:val="auto"/>
          <w:kern w:val="0"/>
          <w:sz w:val="24"/>
          <w:szCs w:val="24"/>
          <w:highlight w:val="none"/>
          <w:lang w:eastAsia="zh-CN"/>
        </w:rPr>
        <w:t>。</w:t>
      </w:r>
    </w:p>
    <w:p w14:paraId="7DFFA1FA">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c.单格砂滤池健康度评估模型：对滤池水头损失、液位、出水阀开关度、待滤水浊度、滤后水浊度、滤水时长、视觉识别事件分析等一系列与单个滤池运行状态相关的指标情况进行分析，形成单个滤池健康度评估算法模型，作为反冲洗触发条件的重要依据之一。</w:t>
      </w:r>
    </w:p>
    <w:p w14:paraId="36EBB174">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d.砂滤池组保障度评估模型：以单格滤池健康度作为基础，对整个滤池组健康度进行综合分析，结合总体出水水质等数据，形成砂滤池组健康度评估算法模型，对砂滤池工艺运行状态全方位把控，为后续决策执行提供支持。</w:t>
      </w:r>
    </w:p>
    <w:p w14:paraId="32FC2A7C">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e.送水泵组健康度评估模型：基于电流、电压、电机温度、轴承温度、振动、液压阀补压次数、出口压力流量、双光谱热成像动态分析结果等评估因子，分析相关联的因子异常突变或趋势变化情况，对单个送水泵组健康度作出一个合理的评估。</w:t>
      </w:r>
    </w:p>
    <w:p w14:paraId="0ED209DC">
      <w:pPr>
        <w:widowControl/>
        <w:numPr>
          <w:ilvl w:val="0"/>
          <w:numId w:val="0"/>
        </w:numPr>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f.送水泵站保障度评估模型：以送水泵组健康度作为基础，对整个送水泵站健康度进行综合分析，结合出厂水压力、流量等数据，评估送水泵站系统在其使用寿命周期内各因素对系统运行状态的影响，为后续维护保养和系统的优化提供依据。</w:t>
      </w:r>
    </w:p>
    <w:p w14:paraId="3258CD2B">
      <w:pPr>
        <w:widowControl/>
        <w:tabs>
          <w:tab w:val="left" w:pos="1152"/>
        </w:tabs>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2、事件报警及处置模块</w:t>
      </w:r>
    </w:p>
    <w:p w14:paraId="3F7ADA1A">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该模块能接受各模块推送的事件，用户可根据各类事件的分类和重要级别的不同进行自定义配置，如报警事件，通常可分为重大报警、一般报警、预警和无级别报警。</w:t>
      </w:r>
    </w:p>
    <w:p w14:paraId="2CDFF7A7">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事件触发并经由模块分类分级配置完成后，可依据配置情况以不同的方式推送至相应的用户，此外，部分异常事件可交由自主生产模块寻优控制策略，采取不同的控制执行策略以应对异常事件。</w:t>
      </w:r>
    </w:p>
    <w:p w14:paraId="435720D6">
      <w:pPr>
        <w:widowControl/>
        <w:tabs>
          <w:tab w:val="left" w:pos="1152"/>
        </w:tabs>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3、自主生产模块</w:t>
      </w:r>
    </w:p>
    <w:p w14:paraId="2C3FB296">
      <w:pPr>
        <w:widowControl w:val="0"/>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①工艺产能评估</w:t>
      </w:r>
      <w:r>
        <w:rPr>
          <w:rFonts w:ascii="宋体" w:hAnsi="宋体" w:eastAsia="宋体" w:cs="仿宋_GB2312"/>
          <w:color w:val="auto"/>
          <w:kern w:val="0"/>
          <w:sz w:val="24"/>
          <w:szCs w:val="24"/>
          <w:highlight w:val="none"/>
          <w:lang w:eastAsia="zh-CN"/>
        </w:rPr>
        <w:t>：基于</w:t>
      </w:r>
      <w:r>
        <w:rPr>
          <w:rFonts w:hint="eastAsia" w:ascii="宋体" w:hAnsi="宋体" w:eastAsia="宋体" w:cs="仿宋_GB2312"/>
          <w:color w:val="auto"/>
          <w:kern w:val="0"/>
          <w:sz w:val="24"/>
          <w:szCs w:val="24"/>
          <w:highlight w:val="none"/>
          <w:lang w:eastAsia="zh-CN"/>
        </w:rPr>
        <w:t>工艺设计参数</w:t>
      </w:r>
      <w:r>
        <w:rPr>
          <w:rFonts w:ascii="宋体" w:hAnsi="宋体" w:eastAsia="宋体" w:cs="仿宋_GB2312"/>
          <w:color w:val="auto"/>
          <w:kern w:val="0"/>
          <w:sz w:val="24"/>
          <w:szCs w:val="24"/>
          <w:highlight w:val="none"/>
          <w:lang w:eastAsia="zh-CN"/>
        </w:rPr>
        <w:t>，计算出</w:t>
      </w:r>
      <w:r>
        <w:rPr>
          <w:rFonts w:hint="eastAsia" w:ascii="宋体" w:hAnsi="宋体" w:eastAsia="宋体" w:cs="仿宋_GB2312"/>
          <w:color w:val="auto"/>
          <w:kern w:val="0"/>
          <w:sz w:val="24"/>
          <w:szCs w:val="24"/>
          <w:highlight w:val="none"/>
          <w:lang w:eastAsia="zh-CN"/>
        </w:rPr>
        <w:t>各工艺构筑物等设施</w:t>
      </w:r>
      <w:r>
        <w:rPr>
          <w:rFonts w:ascii="宋体" w:hAnsi="宋体" w:eastAsia="宋体" w:cs="仿宋_GB2312"/>
          <w:color w:val="auto"/>
          <w:kern w:val="0"/>
          <w:sz w:val="24"/>
          <w:szCs w:val="24"/>
          <w:highlight w:val="none"/>
          <w:lang w:eastAsia="zh-CN"/>
        </w:rPr>
        <w:t>最大负荷能力和泵组</w:t>
      </w:r>
      <w:r>
        <w:rPr>
          <w:rFonts w:hint="eastAsia" w:ascii="宋体" w:hAnsi="宋体" w:eastAsia="宋体" w:cs="仿宋_GB2312"/>
          <w:color w:val="auto"/>
          <w:kern w:val="0"/>
          <w:sz w:val="24"/>
          <w:szCs w:val="24"/>
          <w:highlight w:val="none"/>
          <w:lang w:eastAsia="zh-CN"/>
        </w:rPr>
        <w:t>、风机等重要设备</w:t>
      </w:r>
      <w:r>
        <w:rPr>
          <w:rFonts w:ascii="宋体" w:hAnsi="宋体" w:eastAsia="宋体" w:cs="仿宋_GB2312"/>
          <w:color w:val="auto"/>
          <w:kern w:val="0"/>
          <w:sz w:val="24"/>
          <w:szCs w:val="24"/>
          <w:highlight w:val="none"/>
          <w:lang w:eastAsia="zh-CN"/>
        </w:rPr>
        <w:t>最大产能情况，并</w:t>
      </w:r>
      <w:r>
        <w:rPr>
          <w:rFonts w:hint="eastAsia" w:ascii="宋体" w:hAnsi="宋体" w:eastAsia="宋体" w:cs="仿宋_GB2312"/>
          <w:color w:val="auto"/>
          <w:kern w:val="0"/>
          <w:sz w:val="24"/>
          <w:szCs w:val="24"/>
          <w:highlight w:val="none"/>
          <w:lang w:eastAsia="zh-CN"/>
        </w:rPr>
        <w:t>接入传感器实时数据，结合各类算法模型智能分析结果</w:t>
      </w:r>
      <w:r>
        <w:rPr>
          <w:rFonts w:ascii="宋体" w:hAnsi="宋体" w:eastAsia="宋体" w:cs="仿宋_GB2312"/>
          <w:color w:val="auto"/>
          <w:kern w:val="0"/>
          <w:sz w:val="24"/>
          <w:szCs w:val="24"/>
          <w:highlight w:val="none"/>
          <w:lang w:eastAsia="zh-CN"/>
        </w:rPr>
        <w:t>，分别</w:t>
      </w:r>
      <w:r>
        <w:rPr>
          <w:rFonts w:hint="eastAsia" w:ascii="宋体" w:hAnsi="宋体" w:eastAsia="宋体" w:cs="仿宋_GB2312"/>
          <w:color w:val="auto"/>
          <w:kern w:val="0"/>
          <w:sz w:val="24"/>
          <w:szCs w:val="24"/>
          <w:highlight w:val="none"/>
          <w:lang w:eastAsia="zh-CN"/>
        </w:rPr>
        <w:t>对实时和未来的负荷</w:t>
      </w:r>
      <w:r>
        <w:rPr>
          <w:rFonts w:ascii="宋体" w:hAnsi="宋体" w:eastAsia="宋体" w:cs="仿宋_GB2312"/>
          <w:color w:val="auto"/>
          <w:kern w:val="0"/>
          <w:sz w:val="24"/>
          <w:szCs w:val="24"/>
          <w:highlight w:val="none"/>
          <w:lang w:eastAsia="zh-CN"/>
        </w:rPr>
        <w:t>产能情况进行分析与评估，为后续控制策略分析和决策提供数据支撑。</w:t>
      </w:r>
    </w:p>
    <w:p w14:paraId="7E7892AD">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ascii="宋体" w:hAnsi="宋体" w:eastAsia="宋体" w:cs="仿宋_GB2312"/>
          <w:color w:val="auto"/>
          <w:kern w:val="0"/>
          <w:sz w:val="24"/>
          <w:szCs w:val="24"/>
          <w:highlight w:val="none"/>
          <w:lang w:eastAsia="zh-CN"/>
        </w:rPr>
        <w:t>另外，当控制边缘计算目标值与</w:t>
      </w:r>
      <w:r>
        <w:rPr>
          <w:rFonts w:hint="eastAsia" w:ascii="宋体" w:hAnsi="宋体" w:eastAsia="宋体" w:cs="仿宋_GB2312"/>
          <w:color w:val="auto"/>
          <w:kern w:val="0"/>
          <w:sz w:val="24"/>
          <w:szCs w:val="24"/>
          <w:highlight w:val="none"/>
          <w:lang w:eastAsia="zh-CN"/>
        </w:rPr>
        <w:t>模块</w:t>
      </w:r>
      <w:r>
        <w:rPr>
          <w:rFonts w:ascii="宋体" w:hAnsi="宋体" w:eastAsia="宋体" w:cs="仿宋_GB2312"/>
          <w:color w:val="auto"/>
          <w:kern w:val="0"/>
          <w:sz w:val="24"/>
          <w:szCs w:val="24"/>
          <w:highlight w:val="none"/>
          <w:lang w:eastAsia="zh-CN"/>
        </w:rPr>
        <w:t>产能评估值不匹配时，需及时将结果反馈至现场控制边缘进行计算目标值的调整，同时推送上报，以水厂各生产工艺联调联控的方式对整体产能进行及时响应优化调度决策。</w:t>
      </w:r>
    </w:p>
    <w:p w14:paraId="46356B69">
      <w:pPr>
        <w:widowControl w:val="0"/>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②自主控制</w:t>
      </w:r>
      <w:r>
        <w:rPr>
          <w:rFonts w:ascii="宋体" w:hAnsi="宋体" w:eastAsia="宋体" w:cs="仿宋_GB2312"/>
          <w:color w:val="auto"/>
          <w:kern w:val="0"/>
          <w:sz w:val="24"/>
          <w:szCs w:val="24"/>
          <w:highlight w:val="none"/>
          <w:lang w:eastAsia="zh-CN"/>
        </w:rPr>
        <w:t>：</w:t>
      </w:r>
      <w:r>
        <w:rPr>
          <w:rFonts w:hint="eastAsia" w:ascii="宋体" w:hAnsi="宋体" w:eastAsia="宋体" w:cs="仿宋_GB2312"/>
          <w:color w:val="auto"/>
          <w:kern w:val="0"/>
          <w:sz w:val="24"/>
          <w:szCs w:val="24"/>
          <w:highlight w:val="none"/>
          <w:lang w:eastAsia="zh-CN"/>
        </w:rPr>
        <w:t>基于现场PLC提供的现场设备控制、运行状态切换、初步异常判定等预设好的标准数据接口，结合各类分析评估结果，快速响应不同的工艺参数设定和场景化设定，对不同的生产需求和生产计划作出及时的自动调整，实现复杂控制目标下的生产工艺控制系统自主控制。</w:t>
      </w:r>
    </w:p>
    <w:p w14:paraId="264752B5">
      <w:pPr>
        <w:widowControl w:val="0"/>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③应急事件处理</w:t>
      </w:r>
      <w:r>
        <w:rPr>
          <w:rFonts w:ascii="宋体" w:hAnsi="宋体" w:eastAsia="宋体" w:cs="仿宋_GB2312"/>
          <w:color w:val="auto"/>
          <w:kern w:val="0"/>
          <w:sz w:val="24"/>
          <w:szCs w:val="24"/>
          <w:highlight w:val="none"/>
          <w:lang w:eastAsia="zh-CN"/>
        </w:rPr>
        <w:t>：</w:t>
      </w:r>
      <w:r>
        <w:rPr>
          <w:rFonts w:hint="eastAsia" w:ascii="宋体" w:hAnsi="宋体" w:eastAsia="宋体" w:cs="仿宋_GB2312"/>
          <w:color w:val="auto"/>
          <w:kern w:val="0"/>
          <w:sz w:val="24"/>
          <w:szCs w:val="24"/>
          <w:highlight w:val="none"/>
          <w:lang w:eastAsia="zh-CN"/>
        </w:rPr>
        <w:t>针对各类主要异常事件，采取不同的控制策略以应对处理应急事件，提高水厂应对异常处理能力。</w:t>
      </w:r>
    </w:p>
    <w:p w14:paraId="717DE4F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仿宋_GB2312"/>
          <w:color w:val="auto"/>
          <w:kern w:val="0"/>
          <w:sz w:val="24"/>
          <w:szCs w:val="24"/>
          <w:highlight w:val="none"/>
          <w:lang w:eastAsia="zh-CN"/>
        </w:rPr>
        <w:t>各生产系统具体功能需求如下：</w:t>
      </w:r>
    </w:p>
    <w:p w14:paraId="05093C36">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57" w:name="_Toc14171"/>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一期原水配水系统</w:t>
      </w:r>
      <w:bookmarkEnd w:id="1257"/>
    </w:p>
    <w:p w14:paraId="1549D70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1）工艺设计要求</w:t>
      </w:r>
    </w:p>
    <w:p w14:paraId="5DFB421A">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en-US"/>
        </w:rPr>
        <w:t>①原水前池</w:t>
      </w:r>
    </w:p>
    <w:p w14:paraId="5FBB60C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原水前池能够将西江原水来水均匀地分配给各压力水管，确保提升水泵吸水时水流平稳，避免因水流不均造成的水力冲击，同时当水泵引用流量迅速变化时，调节池的容积可以起到一定的调节作用，补充或蓄存多余的水量，减少对水泵系统的冲击。</w:t>
      </w:r>
    </w:p>
    <w:p w14:paraId="46DC04F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北部水厂一期原水前池设1座，分为独立2格，设计流量60万m³/d时停留时间约15分钟，校核规模105万m³/d时有效停留时间约9min。</w:t>
      </w:r>
    </w:p>
    <w:p w14:paraId="3B27B71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前池内设置10台旋转式固液分离机，用于清除原水中的垃圾等杂物；设置4台潜水搅拌机，用于防止泥沙沉积在前池内。</w:t>
      </w:r>
    </w:p>
    <w:p w14:paraId="20F0F63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②提升泵房</w:t>
      </w:r>
    </w:p>
    <w:p w14:paraId="5B0C83E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北部一期原水提升泵房利用前池作为吸水井</w:t>
      </w:r>
      <w:r>
        <w:rPr>
          <w:rFonts w:ascii="Times New Roman" w:hAnsi="Times New Roman" w:eastAsia="宋体" w:cs="Times New Roman"/>
          <w:color w:val="auto"/>
          <w:kern w:val="0"/>
          <w:sz w:val="24"/>
          <w:highlight w:val="none"/>
          <w:lang w:eastAsia="zh-CN"/>
        </w:rPr>
        <w:t>，泵房采用半地下式结构</w:t>
      </w:r>
      <w:r>
        <w:rPr>
          <w:rFonts w:hint="eastAsia" w:ascii="Times New Roman" w:hAnsi="Times New Roman" w:eastAsia="宋体" w:cs="Times New Roman"/>
          <w:color w:val="auto"/>
          <w:kern w:val="0"/>
          <w:sz w:val="24"/>
          <w:highlight w:val="none"/>
          <w:lang w:eastAsia="zh-CN"/>
        </w:rPr>
        <w:t>，通过提升泵房将原水前池中水提升至沉清叠合池，以满足絮凝沉淀池水头要求。</w:t>
      </w:r>
    </w:p>
    <w:p w14:paraId="75820DB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提升泵房设1座，提升规模按一期60万m³/d(提升水量按 66万m³/d)，远期校核规模105万m³/d设计。提升泵房内共设6台泵组安装位置，4大2小（4台大泵单泵流量11000m³/h，扬程约10.12m；2台小泵单泵流量5500m³/h，扬程约10.12m），水泵采用自灌进水。</w:t>
      </w:r>
    </w:p>
    <w:p w14:paraId="3A865F47">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2）PLC设备现状</w:t>
      </w:r>
    </w:p>
    <w:p w14:paraId="21A249F4">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主要包括原水前池控制站5PLC1（位于原水前池）、原水提升泵房总控站16tPLC0（位于综合泵房低压室）以及6台原水提升泵组控制站16tPLC1~6（分别安装于各机组机旁箱内），无冗余配置。</w:t>
      </w:r>
    </w:p>
    <w:p w14:paraId="62B3278E">
      <w:pPr>
        <w:widowControl/>
        <w:spacing w:line="360" w:lineRule="auto"/>
        <w:ind w:left="420" w:leftChars="200" w:firstLine="0" w:firstLineChars="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3）数据模型设计要求</w:t>
      </w:r>
    </w:p>
    <w:p w14:paraId="15FA7527">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建立主要设备（泵、电机、阀门等）、设施运行数据模型，数据模型主要参数包括有水泵组编号、出厂测试原性能扬程～流量（H～Q），效率～流量（η～Q），功率～流量（P～Q）、电机型号额定参数、水泵标准性能参数、实时运行连续累计时间、进出水压力、出水流量瞬时和累计值、用电量、运行振动值、电机温度、泵站温湿度、吸水井高度、故障信号、前池液位等。</w:t>
      </w:r>
    </w:p>
    <w:p w14:paraId="456C958A">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对实时数据进行数据清洗预处理，如：关健计量仪表数据缺失和跳变等异常、主要设备与实际工况偏差较大时进行剔除或纠正等操作，将清洗后数据存储至数据模型中，并且按照机组组合、水量、压力、温度等维度进行分类和聚类处理，形成数据标准规则库。</w:t>
      </w:r>
    </w:p>
    <w:p w14:paraId="391217AC">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支持对数据进行标注，如：突然遇到泵站停电跳闸、附近供水主管道突然爆漏降压时、公司调度因取水管网水量调配需要临时直接控制开停机等突发情况。</w:t>
      </w:r>
    </w:p>
    <w:p w14:paraId="149189F8">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后续算法研究过程中，可以根据要求形成相应数据训练集，对控制模型进行训练。</w:t>
      </w:r>
    </w:p>
    <w:p w14:paraId="3FA74169">
      <w:pPr>
        <w:widowControl/>
        <w:numPr>
          <w:ilvl w:val="0"/>
          <w:numId w:val="0"/>
        </w:numPr>
        <w:spacing w:line="360" w:lineRule="auto"/>
        <w:ind w:left="420" w:leftChars="200"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4）主要算法设计要求</w:t>
      </w:r>
    </w:p>
    <w:p w14:paraId="18DA3C49">
      <w:pPr>
        <w:widowControl/>
        <w:numPr>
          <w:ilvl w:val="0"/>
          <w:numId w:val="0"/>
        </w:numPr>
        <w:spacing w:line="360" w:lineRule="auto"/>
        <w:ind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①机理模型</w:t>
      </w:r>
    </w:p>
    <w:p w14:paraId="023F20D6">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bidi="ar"/>
        </w:rPr>
        <w:t>通过校核单泵高效区特性曲线</w:t>
      </w:r>
      <w:r>
        <w:rPr>
          <w:rFonts w:hint="eastAsia" w:ascii="宋体" w:hAnsi="宋体" w:eastAsia="宋体" w:cs="宋体"/>
          <w:color w:val="auto"/>
          <w:kern w:val="0"/>
          <w:sz w:val="24"/>
          <w:szCs w:val="24"/>
          <w:highlight w:val="none"/>
          <w:lang w:eastAsia="zh-CN"/>
        </w:rPr>
        <w:t>，结合原性能曲线及现场曲线，参考不同泵组合特性、管阻、能效等参数进行分析，建立相应的机理模型，计算出最</w:t>
      </w:r>
      <w:r>
        <w:rPr>
          <w:rFonts w:hint="eastAsia" w:ascii="Times New Roman" w:hAnsi="Times New Roman" w:eastAsia="宋体" w:cs="Times New Roman"/>
          <w:color w:val="auto"/>
          <w:kern w:val="0"/>
          <w:sz w:val="24"/>
          <w:highlight w:val="none"/>
          <w:lang w:eastAsia="zh-CN"/>
        </w:rPr>
        <w:t>优泵组组合</w:t>
      </w:r>
      <w:r>
        <w:rPr>
          <w:rFonts w:ascii="Times New Roman" w:hAnsi="Times New Roman" w:eastAsia="宋体" w:cs="Times New Roman"/>
          <w:color w:val="auto"/>
          <w:kern w:val="0"/>
          <w:sz w:val="24"/>
          <w:highlight w:val="none"/>
          <w:lang w:eastAsia="zh-CN"/>
        </w:rPr>
        <w:t>。</w:t>
      </w:r>
    </w:p>
    <w:p w14:paraId="6D15F24D">
      <w:pPr>
        <w:widowControl/>
        <w:spacing w:line="360" w:lineRule="auto"/>
        <w:ind w:firstLine="480" w:firstLineChars="0"/>
        <w:jc w:val="left"/>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②数理模型</w:t>
      </w:r>
    </w:p>
    <w:p w14:paraId="5DE8CA46">
      <w:pPr>
        <w:widowControl/>
        <w:spacing w:line="360" w:lineRule="auto"/>
        <w:ind w:firstLine="480" w:firstLineChars="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szCs w:val="24"/>
          <w:highlight w:val="none"/>
          <w:lang w:eastAsia="zh-CN"/>
        </w:rPr>
        <w:t>主要采用大数据分析的方法，基于北部水厂运行历史和实时数据，建立提升</w:t>
      </w:r>
      <w:r>
        <w:rPr>
          <w:rFonts w:ascii="Times New Roman" w:hAnsi="Times New Roman" w:eastAsia="宋体" w:cs="Times New Roman"/>
          <w:color w:val="auto"/>
          <w:kern w:val="0"/>
          <w:sz w:val="24"/>
          <w:highlight w:val="none"/>
          <w:lang w:eastAsia="zh-CN"/>
        </w:rPr>
        <w:t>泵组运行能效</w:t>
      </w:r>
      <w:r>
        <w:rPr>
          <w:rFonts w:hint="eastAsia" w:ascii="Times New Roman" w:hAnsi="Times New Roman" w:eastAsia="宋体" w:cs="Times New Roman"/>
          <w:color w:val="auto"/>
          <w:kern w:val="0"/>
          <w:sz w:val="24"/>
          <w:highlight w:val="none"/>
          <w:lang w:eastAsia="zh-CN"/>
        </w:rPr>
        <w:t>专家</w:t>
      </w:r>
      <w:r>
        <w:rPr>
          <w:rFonts w:ascii="Times New Roman" w:hAnsi="Times New Roman" w:eastAsia="宋体" w:cs="Times New Roman"/>
          <w:color w:val="auto"/>
          <w:kern w:val="0"/>
          <w:sz w:val="24"/>
          <w:highlight w:val="none"/>
          <w:lang w:eastAsia="zh-CN"/>
        </w:rPr>
        <w:t>库</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lang w:eastAsia="zh-CN"/>
        </w:rPr>
        <w:t>以</w:t>
      </w:r>
      <w:r>
        <w:rPr>
          <w:rFonts w:hint="eastAsia" w:ascii="Times New Roman" w:hAnsi="Times New Roman" w:eastAsia="宋体" w:cs="Times New Roman"/>
          <w:color w:val="auto"/>
          <w:kern w:val="0"/>
          <w:sz w:val="24"/>
          <w:highlight w:val="none"/>
          <w:lang w:eastAsia="zh-CN"/>
        </w:rPr>
        <w:t>提升</w:t>
      </w:r>
      <w:r>
        <w:rPr>
          <w:rFonts w:ascii="Times New Roman" w:hAnsi="Times New Roman" w:eastAsia="宋体" w:cs="Times New Roman"/>
          <w:color w:val="auto"/>
          <w:kern w:val="0"/>
          <w:sz w:val="24"/>
          <w:highlight w:val="none"/>
          <w:lang w:eastAsia="zh-CN"/>
        </w:rPr>
        <w:t>泵运行能效专家库数据为依据，优选泵启停台数，实现对机泵的控制，确保</w:t>
      </w:r>
      <w:r>
        <w:rPr>
          <w:rFonts w:hint="eastAsia" w:ascii="Times New Roman" w:hAnsi="Times New Roman" w:eastAsia="宋体" w:cs="Times New Roman"/>
          <w:color w:val="auto"/>
          <w:kern w:val="0"/>
          <w:sz w:val="24"/>
          <w:highlight w:val="none"/>
          <w:lang w:eastAsia="zh-CN"/>
        </w:rPr>
        <w:t>北部水</w:t>
      </w:r>
      <w:r>
        <w:rPr>
          <w:rFonts w:ascii="Times New Roman" w:hAnsi="Times New Roman" w:eastAsia="宋体" w:cs="Times New Roman"/>
          <w:color w:val="auto"/>
          <w:kern w:val="0"/>
          <w:sz w:val="24"/>
          <w:highlight w:val="none"/>
          <w:lang w:eastAsia="zh-CN"/>
        </w:rPr>
        <w:t>厂</w:t>
      </w:r>
      <w:r>
        <w:rPr>
          <w:rFonts w:hint="eastAsia" w:ascii="Times New Roman" w:hAnsi="Times New Roman" w:eastAsia="宋体" w:cs="Times New Roman"/>
          <w:color w:val="auto"/>
          <w:kern w:val="0"/>
          <w:sz w:val="24"/>
          <w:highlight w:val="none"/>
          <w:lang w:eastAsia="zh-CN"/>
        </w:rPr>
        <w:t>提升</w:t>
      </w:r>
      <w:r>
        <w:rPr>
          <w:rFonts w:ascii="Times New Roman" w:hAnsi="Times New Roman" w:eastAsia="宋体" w:cs="Times New Roman"/>
          <w:color w:val="auto"/>
          <w:kern w:val="0"/>
          <w:sz w:val="24"/>
          <w:highlight w:val="none"/>
          <w:lang w:eastAsia="zh-CN"/>
        </w:rPr>
        <w:t>泵组高效、优化、自动运行</w:t>
      </w:r>
      <w:r>
        <w:rPr>
          <w:rFonts w:hint="eastAsia" w:ascii="Times New Roman" w:hAnsi="Times New Roman" w:eastAsia="宋体" w:cs="Times New Roman"/>
          <w:color w:val="auto"/>
          <w:kern w:val="0"/>
          <w:sz w:val="24"/>
          <w:highlight w:val="none"/>
          <w:lang w:eastAsia="zh-CN"/>
        </w:rPr>
        <w:t>。</w:t>
      </w:r>
    </w:p>
    <w:p w14:paraId="08F23A2F">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以上述机理及数理模型作为基础，构建提升泵站产能评估模型、提升泵站泵组健康度评估模型、提升泵站保障度评估模型、提升泵站智能搭配优化模型、提升泵站自动平滑切换模型等算法模型，保证提升泵站系统可靠高效运行。</w:t>
      </w:r>
    </w:p>
    <w:p w14:paraId="253BFF8A">
      <w:pPr>
        <w:widowControl/>
        <w:spacing w:line="360" w:lineRule="auto"/>
        <w:ind w:left="420" w:leftChars="200" w:firstLine="0" w:firstLineChars="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5）智慧诊断</w:t>
      </w:r>
    </w:p>
    <w:p w14:paraId="6931193E">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对以下主要传感器、主要关键设备和主要工艺运行过程开展诊断和分析，并采取对应的处置手段：</w:t>
      </w:r>
    </w:p>
    <w:p w14:paraId="21D99B43">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bookmarkStart w:id="1258" w:name="_Toc23499"/>
      <w:r>
        <w:rPr>
          <w:rFonts w:hint="eastAsia" w:ascii="宋体" w:hAnsi="宋体" w:eastAsia="宋体" w:cs="Times New Roman"/>
          <w:color w:val="auto"/>
          <w:kern w:val="0"/>
          <w:sz w:val="24"/>
          <w:szCs w:val="24"/>
          <w:highlight w:val="none"/>
          <w:lang w:eastAsia="zh-CN"/>
        </w:rPr>
        <w:t>主要传感器包括：原</w:t>
      </w:r>
      <w:r>
        <w:rPr>
          <w:rFonts w:hint="eastAsia" w:ascii="宋体" w:hAnsi="宋体" w:eastAsia="宋体" w:cs="仿宋_GB2312"/>
          <w:color w:val="auto"/>
          <w:kern w:val="0"/>
          <w:sz w:val="24"/>
          <w:szCs w:val="24"/>
          <w:highlight w:val="none"/>
          <w:lang w:eastAsia="zh-CN"/>
        </w:rPr>
        <w:t>水前池出水管流量计</w:t>
      </w:r>
      <w:bookmarkEnd w:id="1258"/>
    </w:p>
    <w:p w14:paraId="507E563E">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主要关键设备包括：主要阀门、固液分离机、提升泵组</w:t>
      </w:r>
    </w:p>
    <w:p w14:paraId="29E4666E">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主要工艺运行过程异常包括但不仅限于：</w:t>
      </w:r>
    </w:p>
    <w:p w14:paraId="2AA922F3">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利用进出区域检测模型，分析出前池和提升泵站主要进出通道是否有物品占道或人员异常闯入的情况；利用区域入侵识别模型，识别出系统中自定义区域是否有人员异常入侵的情况；利用人员检测及分析模型，分析出提升泵站重要区域内逗留人员的数量和时长；利用地面积水识别模型，识别提升泵站内重要区域是否有异常积水情况；利用火点检测模型，识别前池和提升泵站站内重要区域内是否有火点存在；利用烟雾检测模型，识别前池和提升泵站重要区域内是否有异常烟雾存在；利用小动物检测模型，识别场景主要区域里是否有小动物异常闯入等。</w:t>
      </w:r>
    </w:p>
    <w:p w14:paraId="30BF7BE9">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利用水体颜色异常识别模型，判别池面目标区域水体是否有异常突变情况；利用池面漂浮物识别模型，识别池面目标区域是否有异常漂浮物；利用溢池识别模型，识别池体水位是否有溢出现象；</w:t>
      </w:r>
      <w:r>
        <w:rPr>
          <w:rFonts w:ascii="宋体" w:hAnsi="宋体" w:eastAsia="宋体" w:cs="Times New Roman"/>
          <w:color w:val="auto"/>
          <w:kern w:val="0"/>
          <w:sz w:val="24"/>
          <w:szCs w:val="24"/>
          <w:highlight w:val="none"/>
          <w:lang w:eastAsia="zh-CN"/>
        </w:rPr>
        <w:t>前池液位下降变化</w:t>
      </w:r>
      <w:r>
        <w:rPr>
          <w:rFonts w:hint="eastAsia" w:ascii="宋体" w:hAnsi="宋体" w:eastAsia="宋体" w:cs="Times New Roman"/>
          <w:color w:val="auto"/>
          <w:kern w:val="0"/>
          <w:sz w:val="24"/>
          <w:szCs w:val="24"/>
          <w:highlight w:val="none"/>
          <w:lang w:eastAsia="zh-CN"/>
        </w:rPr>
        <w:t>率</w:t>
      </w:r>
      <w:r>
        <w:rPr>
          <w:rFonts w:ascii="宋体" w:hAnsi="宋体" w:eastAsia="宋体" w:cs="Times New Roman"/>
          <w:color w:val="auto"/>
          <w:kern w:val="0"/>
          <w:sz w:val="24"/>
          <w:szCs w:val="24"/>
          <w:highlight w:val="none"/>
          <w:lang w:eastAsia="zh-CN"/>
        </w:rPr>
        <w:t>与实际</w:t>
      </w:r>
      <w:r>
        <w:rPr>
          <w:rFonts w:hint="eastAsia" w:ascii="宋体" w:hAnsi="宋体" w:eastAsia="宋体" w:cs="Times New Roman"/>
          <w:color w:val="auto"/>
          <w:kern w:val="0"/>
          <w:sz w:val="24"/>
          <w:szCs w:val="24"/>
          <w:highlight w:val="none"/>
          <w:lang w:eastAsia="zh-CN"/>
        </w:rPr>
        <w:t>进出水量</w:t>
      </w:r>
      <w:r>
        <w:rPr>
          <w:rFonts w:ascii="宋体" w:hAnsi="宋体" w:eastAsia="宋体" w:cs="Times New Roman"/>
          <w:color w:val="auto"/>
          <w:kern w:val="0"/>
          <w:sz w:val="24"/>
          <w:szCs w:val="24"/>
          <w:highlight w:val="none"/>
          <w:lang w:eastAsia="zh-CN"/>
        </w:rPr>
        <w:t>差异较大，</w:t>
      </w:r>
      <w:r>
        <w:rPr>
          <w:rFonts w:hint="eastAsia" w:ascii="宋体" w:hAnsi="宋体" w:eastAsia="宋体" w:cs="Times New Roman"/>
          <w:color w:val="auto"/>
          <w:kern w:val="0"/>
          <w:sz w:val="24"/>
          <w:szCs w:val="24"/>
          <w:highlight w:val="none"/>
          <w:lang w:eastAsia="zh-CN"/>
        </w:rPr>
        <w:t>可进行异常漏损判别</w:t>
      </w:r>
      <w:r>
        <w:rPr>
          <w:rFonts w:ascii="宋体" w:hAnsi="宋体" w:eastAsia="宋体" w:cs="Times New Roman"/>
          <w:color w:val="auto"/>
          <w:kern w:val="0"/>
          <w:sz w:val="24"/>
          <w:szCs w:val="24"/>
          <w:highlight w:val="none"/>
          <w:lang w:eastAsia="zh-CN"/>
        </w:rPr>
        <w:t>；前池正常运行时，检测推流器是否正常工作等。</w:t>
      </w:r>
    </w:p>
    <w:p w14:paraId="590D7968">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通过综合分析现场传感器采集的数据和产能评估模型的计算结果，计算出提升泵站的实际运行产能情况与理论计算值的差距；识别出单台提升泵组运行电力参数和提升泵站整体运行电力参数是否存在异常差值；提升泵站恒</w:t>
      </w:r>
      <w:r>
        <w:rPr>
          <w:rFonts w:hint="eastAsia" w:ascii="宋体" w:hAnsi="宋体" w:eastAsia="宋体" w:cs="仿宋_GB2312"/>
          <w:color w:val="auto"/>
          <w:kern w:val="0"/>
          <w:sz w:val="24"/>
          <w:szCs w:val="24"/>
          <w:highlight w:val="none"/>
          <w:lang w:eastAsia="zh-CN"/>
        </w:rPr>
        <w:t>流量/恒压力</w:t>
      </w:r>
      <w:r>
        <w:rPr>
          <w:rFonts w:hint="eastAsia" w:ascii="宋体" w:hAnsi="宋体" w:eastAsia="宋体" w:cs="Times New Roman"/>
          <w:color w:val="auto"/>
          <w:kern w:val="0"/>
          <w:sz w:val="24"/>
          <w:szCs w:val="24"/>
          <w:highlight w:val="none"/>
          <w:lang w:eastAsia="zh-CN"/>
        </w:rPr>
        <w:t>运行时，控制目标值与实际运行情况是否在合理误差范围内等。</w:t>
      </w:r>
    </w:p>
    <w:p w14:paraId="7792CC87">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根据上述各类异常事件严重程度的不同，能够依据自定义的报警分级规则及时自动推送报警至值班人员进行相应的操作处理。</w:t>
      </w:r>
    </w:p>
    <w:p w14:paraId="551141D6">
      <w:pPr>
        <w:widowControl/>
        <w:spacing w:line="360" w:lineRule="auto"/>
        <w:ind w:left="420" w:leftChars="200" w:firstLine="0" w:firstLineChars="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6）自主生产</w:t>
      </w:r>
    </w:p>
    <w:p w14:paraId="2117F180">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①产能评估</w:t>
      </w:r>
    </w:p>
    <w:p w14:paraId="4106D0C5">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通过前池负荷能力评估模型和提升泵站产能评估模型，根据生产系统内构筑物/设备设计情况、故障情况及运行情况，对当前一期原水配水系统生产能力、负荷率和可调能力进行评估，为配水量分析、产线水量分析等联动调度决策提供支撑。</w:t>
      </w:r>
    </w:p>
    <w:p w14:paraId="4DE02945">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②自主控制</w:t>
      </w:r>
    </w:p>
    <w:p w14:paraId="472077C8">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基于配水分析算法模型的计算进水流量，根据前池液位等数据的实时变化，并结合水泵特性曲线和系统特性曲线，针对北部水厂提升泵站里不同大小的水泵，优选出一套最高效、最合理的水泵组合和启停方式，从而让水厂在满足生产和调度管理需求的前提下，进一步的挖</w:t>
      </w:r>
      <w:r>
        <w:rPr>
          <w:rFonts w:hint="eastAsia" w:ascii="宋体" w:hAnsi="宋体" w:eastAsia="宋体" w:cs="仿宋_GB2312"/>
          <w:color w:val="auto"/>
          <w:kern w:val="0"/>
          <w:sz w:val="24"/>
          <w:szCs w:val="24"/>
          <w:highlight w:val="none"/>
          <w:lang w:eastAsia="zh-CN"/>
        </w:rPr>
        <w:t>掘水泵的效率运行空间，达到节能降耗的目的。</w:t>
      </w:r>
    </w:p>
    <w:p w14:paraId="1107D66C">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基于PLC提供的数据接口，对单台提升泵组实现各类运行模式切换、一步化开/停机、基于不同目标参数的精准控制等功能。</w:t>
      </w:r>
    </w:p>
    <w:p w14:paraId="1F68E98B">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对多台提升泵组，根据提升泵站智能搭配优化模</w:t>
      </w:r>
      <w:r>
        <w:rPr>
          <w:rFonts w:hint="eastAsia" w:ascii="宋体" w:hAnsi="宋体" w:eastAsia="宋体" w:cs="Times New Roman"/>
          <w:color w:val="auto"/>
          <w:kern w:val="0"/>
          <w:sz w:val="24"/>
          <w:szCs w:val="24"/>
          <w:highlight w:val="none"/>
          <w:lang w:eastAsia="zh-CN"/>
        </w:rPr>
        <w:t>型和提升泵站自动平滑切换模型的计算结果实现对提升泵站内的泵组智能联调联控功能。</w:t>
      </w:r>
    </w:p>
    <w:p w14:paraId="36EC0062">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对以上控制功能要求达到但不限于以下指标和目的：</w:t>
      </w:r>
    </w:p>
    <w:p w14:paraId="6F5D2362">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1.提升泵组运行模式切换功能包括停用模式、就地模式、远程模式等；</w:t>
      </w:r>
    </w:p>
    <w:p w14:paraId="224AFB07">
      <w:pPr>
        <w:widowControl/>
        <w:spacing w:line="360" w:lineRule="auto"/>
        <w:ind w:firstLine="480" w:firstLineChars="200"/>
        <w:rPr>
          <w:rFonts w:hint="eastAsia" w:ascii="宋体" w:hAnsi="宋体" w:eastAsia="宋体" w:cs="仿宋_GB2312"/>
          <w:color w:val="auto"/>
          <w:kern w:val="0"/>
          <w:sz w:val="24"/>
          <w:szCs w:val="24"/>
          <w:highlight w:val="none"/>
          <w:lang w:eastAsia="zh-CN"/>
        </w:rPr>
      </w:pPr>
      <w:bookmarkStart w:id="1259" w:name="_Toc30800"/>
      <w:r>
        <w:rPr>
          <w:rFonts w:hint="eastAsia" w:ascii="宋体" w:hAnsi="宋体" w:eastAsia="宋体" w:cs="仿宋_GB2312"/>
          <w:color w:val="auto"/>
          <w:kern w:val="0"/>
          <w:sz w:val="24"/>
          <w:szCs w:val="24"/>
          <w:highlight w:val="none"/>
          <w:lang w:eastAsia="zh-CN"/>
        </w:rPr>
        <w:t>2.精准控制模式包括压力优先、流量优先等；</w:t>
      </w:r>
      <w:bookmarkEnd w:id="1259"/>
    </w:p>
    <w:p w14:paraId="2782B1E4">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3.恒压力控制误差绝对值≤0.02MPa，实现时间≤3min；</w:t>
      </w:r>
    </w:p>
    <w:p w14:paraId="5AB40F19">
      <w:pPr>
        <w:widowControl/>
        <w:spacing w:line="360" w:lineRule="auto"/>
        <w:ind w:firstLine="480" w:firstLineChars="200"/>
        <w:rPr>
          <w:rFonts w:hint="eastAsia" w:ascii="宋体" w:hAnsi="宋体" w:eastAsia="宋体" w:cs="仿宋_GB2312"/>
          <w:color w:val="auto"/>
          <w:kern w:val="0"/>
          <w:sz w:val="24"/>
          <w:szCs w:val="24"/>
          <w:highlight w:val="none"/>
          <w:lang w:eastAsia="zh-CN"/>
        </w:rPr>
      </w:pPr>
      <w:bookmarkStart w:id="1260" w:name="_Toc9838"/>
      <w:r>
        <w:rPr>
          <w:rFonts w:hint="eastAsia" w:ascii="宋体" w:hAnsi="宋体" w:eastAsia="宋体" w:cs="仿宋_GB2312"/>
          <w:color w:val="auto"/>
          <w:kern w:val="0"/>
          <w:sz w:val="24"/>
          <w:szCs w:val="24"/>
          <w:highlight w:val="none"/>
          <w:lang w:eastAsia="zh-CN"/>
        </w:rPr>
        <w:t>4.恒流量控制误差绝对值≤5%，实现时间≤5min；</w:t>
      </w:r>
      <w:bookmarkEnd w:id="1260"/>
    </w:p>
    <w:p w14:paraId="30586F1E">
      <w:pPr>
        <w:widowControl/>
        <w:numPr>
          <w:ilvl w:val="0"/>
          <w:numId w:val="0"/>
        </w:numPr>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5.提升泵站智能搭配优化：以泵组最优效率为导向，</w:t>
      </w:r>
      <w:r>
        <w:rPr>
          <w:rFonts w:hint="eastAsia" w:ascii="宋体" w:hAnsi="宋体" w:eastAsia="宋体" w:cs="仿宋_GB2312"/>
          <w:color w:val="auto"/>
          <w:kern w:val="2"/>
          <w:sz w:val="24"/>
          <w:szCs w:val="24"/>
          <w:highlight w:val="none"/>
          <w:lang w:eastAsia="zh-CN" w:bidi="ar"/>
        </w:rPr>
        <w:t>结合配水量</w:t>
      </w:r>
      <w:r>
        <w:rPr>
          <w:rFonts w:hint="eastAsia" w:ascii="宋体" w:hAnsi="宋体" w:eastAsia="宋体" w:cs="仿宋_GB2312"/>
          <w:color w:val="auto"/>
          <w:kern w:val="0"/>
          <w:sz w:val="24"/>
          <w:szCs w:val="24"/>
          <w:highlight w:val="none"/>
          <w:lang w:eastAsia="zh-CN" w:bidi="ar"/>
        </w:rPr>
        <w:t>分析结果，并考虑前池的调蓄能力，</w:t>
      </w:r>
      <w:r>
        <w:rPr>
          <w:rFonts w:hint="eastAsia" w:ascii="宋体" w:hAnsi="宋体" w:eastAsia="宋体" w:cs="仿宋_GB2312"/>
          <w:color w:val="auto"/>
          <w:kern w:val="0"/>
          <w:sz w:val="24"/>
          <w:szCs w:val="24"/>
          <w:highlight w:val="none"/>
          <w:lang w:eastAsia="zh-CN"/>
        </w:rPr>
        <w:t>基于多目标优化对泵组搭配方案进行求解，充分考虑开机时长、泵组健康度、泵组频繁切换等场景约束，推算出满足目标要求的泵组组合和变频泵频率，同时</w:t>
      </w:r>
      <w:r>
        <w:rPr>
          <w:rFonts w:hint="eastAsia" w:ascii="宋体" w:hAnsi="宋体" w:eastAsia="宋体" w:cs="仿宋_GB2312"/>
          <w:color w:val="auto"/>
          <w:kern w:val="0"/>
          <w:sz w:val="24"/>
          <w:szCs w:val="24"/>
          <w:highlight w:val="none"/>
          <w:lang w:eastAsia="zh-CN" w:bidi="ar"/>
        </w:rPr>
        <w:t>避免泵组的频繁切换；</w:t>
      </w:r>
    </w:p>
    <w:p w14:paraId="531DCAA5">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6.提升泵站自动平滑切换：根据提升泵站智能搭配优化给出的泵</w:t>
      </w:r>
      <w:r>
        <w:rPr>
          <w:rFonts w:hint="eastAsia" w:ascii="宋体" w:hAnsi="宋体" w:eastAsia="宋体" w:cs="Times New Roman"/>
          <w:color w:val="auto"/>
          <w:kern w:val="0"/>
          <w:sz w:val="24"/>
          <w:szCs w:val="24"/>
          <w:highlight w:val="none"/>
          <w:lang w:eastAsia="zh-CN"/>
        </w:rPr>
        <w:t>组启停要求，对泵组安全工况、配水管网特性需求等约束综合分析考虑，求解满足切换需求且各项指标最优化的切换控制策略，将求解得到的最优切换控制策略转化为对各泵组的精细启停时序和开度变化曲线的控制指令，通过控制系统执行实现平滑切换。</w:t>
      </w:r>
    </w:p>
    <w:p w14:paraId="69F4A5CA">
      <w:pPr>
        <w:widowControl/>
        <w:spacing w:line="360" w:lineRule="auto"/>
        <w:ind w:firstLine="480" w:firstLineChars="200"/>
        <w:rPr>
          <w:rFonts w:hint="eastAsia" w:ascii="宋体" w:hAnsi="宋体" w:eastAsia="宋体" w:cs="仿宋_GB2312"/>
          <w:color w:val="auto"/>
          <w:kern w:val="0"/>
          <w:sz w:val="24"/>
          <w:szCs w:val="24"/>
          <w:highlight w:val="none"/>
          <w:lang w:eastAsia="zh-CN"/>
        </w:rPr>
      </w:pPr>
      <w:bookmarkStart w:id="1261" w:name="_Toc28032"/>
      <w:r>
        <w:rPr>
          <w:rFonts w:hint="eastAsia" w:ascii="宋体" w:hAnsi="宋体" w:eastAsia="宋体" w:cs="仿宋_GB2312"/>
          <w:color w:val="auto"/>
          <w:kern w:val="0"/>
          <w:sz w:val="24"/>
          <w:szCs w:val="24"/>
          <w:highlight w:val="none"/>
          <w:lang w:eastAsia="zh-CN"/>
        </w:rPr>
        <w:t>③应急事件处理</w:t>
      </w:r>
      <w:bookmarkEnd w:id="1261"/>
    </w:p>
    <w:p w14:paraId="48239793">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rPr>
        <w:t>主要应急事件处理包括：当出现边缘计算设备故障或关键参数获取异常等重大异常时，应及时自动退出智慧控制模式，发出报警并切换至PLC控制模式；当鸦岗取水泵站或提升泵站无法通过泵组开停调节水量时，可通过控制前池的阀门开度，保证前池的蓄水量稳定，作为水量辅助调节；当产线冗余来水管道出现单边爆漏时，需自动执行对应的来水阀门紧急关停；当单个提升泵组出现紧急故障需要切除时，需要对故障泵组进行一步化联动停用和备用设备自动投入，实现提升泵站安全生产；当前池液位过低时，提升泵站能自主调整泵组开停情况等。</w:t>
      </w:r>
    </w:p>
    <w:p w14:paraId="5D19CB9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62" w:name="_Toc20153"/>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二期原水配水系统</w:t>
      </w:r>
      <w:bookmarkEnd w:id="1262"/>
    </w:p>
    <w:p w14:paraId="0AD098B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w:t>
      </w:r>
      <w:r>
        <w:rPr>
          <w:rFonts w:hint="eastAsia" w:ascii="宋体" w:hAnsi="宋体" w:eastAsia="宋体" w:cs="宋体"/>
          <w:color w:val="auto"/>
          <w:kern w:val="0"/>
          <w:sz w:val="24"/>
          <w:highlight w:val="none"/>
          <w:lang w:eastAsia="en-US"/>
        </w:rPr>
        <w:t>工艺设计要求</w:t>
      </w:r>
    </w:p>
    <w:p w14:paraId="7E297508">
      <w:pPr>
        <w:widowControl/>
        <w:spacing w:line="360" w:lineRule="auto"/>
        <w:ind w:firstLine="480" w:firstLineChars="200"/>
        <w:rPr>
          <w:rFonts w:hint="eastAsia" w:ascii="宋体" w:hAnsi="宋体" w:eastAsia="宋体" w:cs="宋体"/>
          <w:color w:val="auto"/>
          <w:kern w:val="0"/>
          <w:sz w:val="24"/>
          <w:highlight w:val="none"/>
          <w:lang w:eastAsia="en-US"/>
        </w:rPr>
      </w:pPr>
      <w:bookmarkStart w:id="1263" w:name="_Toc18352"/>
      <w:r>
        <w:rPr>
          <w:rFonts w:hint="eastAsia" w:ascii="宋体" w:hAnsi="宋体" w:eastAsia="宋体" w:cs="宋体"/>
          <w:color w:val="auto"/>
          <w:kern w:val="0"/>
          <w:sz w:val="24"/>
          <w:highlight w:val="none"/>
          <w:lang w:eastAsia="zh-CN"/>
        </w:rPr>
        <w:t>①</w:t>
      </w:r>
      <w:r>
        <w:rPr>
          <w:rFonts w:hint="eastAsia" w:ascii="宋体" w:hAnsi="宋体" w:eastAsia="宋体" w:cs="宋体"/>
          <w:color w:val="auto"/>
          <w:kern w:val="0"/>
          <w:sz w:val="24"/>
          <w:highlight w:val="none"/>
          <w:lang w:eastAsia="en-US"/>
        </w:rPr>
        <w:t>配水井</w:t>
      </w:r>
      <w:bookmarkEnd w:id="1263"/>
    </w:p>
    <w:p w14:paraId="698E28EB">
      <w:pPr>
        <w:widowControl/>
        <w:spacing w:line="360" w:lineRule="auto"/>
        <w:ind w:firstLine="480" w:firstLineChars="20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zh-CN"/>
        </w:rPr>
        <w:t>配水井主要用于分配原水。</w:t>
      </w:r>
    </w:p>
    <w:p w14:paraId="6C0FF53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北部二期配水井设计流量90万m3/d，自用水系数1.1。</w:t>
      </w:r>
    </w:p>
    <w:p w14:paraId="509EA0C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土建设计按90万m3/d规模考虑，设备分阶段安装，一阶段设备安装规模60万m3/d。</w:t>
      </w:r>
    </w:p>
    <w:p w14:paraId="70EC983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配水井内配置4台旋转式固液分离机，以便去除水中漂浮物和大颗粒杂质。</w:t>
      </w:r>
    </w:p>
    <w:p w14:paraId="2199581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2FAF49E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配水井远程IO站2RIO06/07以及5#沉清池控制站2LCU，2LCU为冗余配置。</w:t>
      </w:r>
    </w:p>
    <w:p w14:paraId="449CDC7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24D2473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建立主要设施运行数据模型，数据模型主要参数包括有配水井液位、进水流量、原水进水浊度、配套设备故障信号等。</w:t>
      </w:r>
    </w:p>
    <w:p w14:paraId="5FD89F2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对实时数据进行数据清洗预处理，如：关健计量仪表数据缺失和跳变等异常、主要设备与实际工况偏差较大时进行剔除或纠正等操作，将清洗后数据存储至数据模型中，形成数据标准规则库。</w:t>
      </w:r>
    </w:p>
    <w:p w14:paraId="7E146DF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可以根据要求形成相应数据训练集，对场景所需算法模型（如：配水井负荷能力评估模型等）进行训练。</w:t>
      </w:r>
    </w:p>
    <w:p w14:paraId="1F8329D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4）智慧诊断</w:t>
      </w:r>
    </w:p>
    <w:p w14:paraId="640B598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2EA49DDD">
      <w:pPr>
        <w:widowControl/>
        <w:spacing w:line="360" w:lineRule="auto"/>
        <w:ind w:firstLine="480" w:firstLineChars="200"/>
        <w:rPr>
          <w:rFonts w:hint="eastAsia" w:ascii="宋体" w:hAnsi="宋体" w:eastAsia="宋体" w:cs="宋体"/>
          <w:color w:val="auto"/>
          <w:kern w:val="0"/>
          <w:sz w:val="24"/>
          <w:highlight w:val="none"/>
          <w:lang w:eastAsia="zh-CN"/>
        </w:rPr>
      </w:pPr>
      <w:bookmarkStart w:id="1264" w:name="_Toc1814"/>
      <w:r>
        <w:rPr>
          <w:rFonts w:hint="eastAsia" w:ascii="宋体" w:hAnsi="宋体" w:eastAsia="宋体" w:cs="宋体"/>
          <w:color w:val="auto"/>
          <w:kern w:val="0"/>
          <w:sz w:val="24"/>
          <w:highlight w:val="none"/>
          <w:lang w:eastAsia="zh-CN"/>
        </w:rPr>
        <w:t>主要传感器包括：二期原水管至配水井流量计</w:t>
      </w:r>
      <w:bookmarkEnd w:id="1264"/>
    </w:p>
    <w:p w14:paraId="1BE4EB9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主要关键设备包括：主要阀门、固液分离机</w:t>
      </w:r>
    </w:p>
    <w:p w14:paraId="690F745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4A174ED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配水井主要进出通道是否有物品占道或人员异常闯入的情况；利用区域入侵识别模型，识别出系统中自定义区域是否有人员异常入侵的情况；利用人员检测及分析模型，分析出配水井重要区域逗留人员的数量和时长；利用火点检测模型，识别配水井重要区域内是否有火点存在；利用烟雾检测模型，识别提配水井重要区域内是否有异常烟雾存在；利用小动物检测模型，识别场景主要区域里是否有小动物异常闯入等。</w:t>
      </w:r>
    </w:p>
    <w:p w14:paraId="0BE86B8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水体颜色异常识别模型，判别池面目标区域水体是否有异常突变情况；利用池面漂浮物识别模型，识别池面目标区域是否有异常漂浮物；利用溢池识别模型，识别池体水位是否有溢出现象；配水井液位下降变化率与实际进出水量差异较大，可进行异常漏损判别等。</w:t>
      </w:r>
    </w:p>
    <w:p w14:paraId="7FF98CC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79DBAEB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5）自主生产</w:t>
      </w:r>
    </w:p>
    <w:p w14:paraId="5DCCF31D">
      <w:pPr>
        <w:widowControl/>
        <w:spacing w:line="360" w:lineRule="auto"/>
        <w:ind w:firstLine="480" w:firstLineChars="200"/>
        <w:rPr>
          <w:rFonts w:hint="eastAsia" w:ascii="宋体" w:hAnsi="宋体" w:eastAsia="宋体" w:cs="宋体"/>
          <w:color w:val="auto"/>
          <w:kern w:val="0"/>
          <w:sz w:val="24"/>
          <w:highlight w:val="none"/>
          <w:lang w:eastAsia="zh-CN"/>
        </w:rPr>
      </w:pPr>
      <w:bookmarkStart w:id="1265" w:name="_Toc2425"/>
      <w:r>
        <w:rPr>
          <w:rFonts w:hint="eastAsia" w:ascii="宋体" w:hAnsi="宋体" w:eastAsia="宋体" w:cs="宋体"/>
          <w:color w:val="auto"/>
          <w:kern w:val="0"/>
          <w:sz w:val="24"/>
          <w:highlight w:val="none"/>
          <w:lang w:eastAsia="zh-CN"/>
        </w:rPr>
        <w:t>①产能评估</w:t>
      </w:r>
      <w:bookmarkEnd w:id="1265"/>
    </w:p>
    <w:p w14:paraId="28B87B0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通过配水井负荷能力评估模型，根据生产系统内配水井设计情况、故障情况及运行情况，对当前二期原水配水系统生产能力、负荷率和可调能力进行评估，为配水量分析、产线水量分析等联动调度决策提供支撑。</w:t>
      </w:r>
    </w:p>
    <w:p w14:paraId="21FAF6A5">
      <w:pPr>
        <w:widowControl/>
        <w:spacing w:line="360" w:lineRule="auto"/>
        <w:ind w:firstLine="480" w:firstLineChars="200"/>
        <w:rPr>
          <w:rFonts w:hint="eastAsia" w:ascii="宋体" w:hAnsi="宋体" w:eastAsia="宋体" w:cs="宋体"/>
          <w:color w:val="auto"/>
          <w:kern w:val="0"/>
          <w:sz w:val="24"/>
          <w:highlight w:val="none"/>
          <w:lang w:eastAsia="zh-CN"/>
        </w:rPr>
      </w:pPr>
      <w:bookmarkStart w:id="1266" w:name="_Toc16962"/>
      <w:r>
        <w:rPr>
          <w:rFonts w:hint="eastAsia" w:ascii="宋体" w:hAnsi="宋体" w:eastAsia="宋体" w:cs="宋体"/>
          <w:color w:val="auto"/>
          <w:kern w:val="0"/>
          <w:sz w:val="24"/>
          <w:highlight w:val="none"/>
          <w:lang w:eastAsia="zh-CN"/>
        </w:rPr>
        <w:t>②自主控制</w:t>
      </w:r>
      <w:bookmarkEnd w:id="1266"/>
    </w:p>
    <w:p w14:paraId="40EDADB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利用配水井所具有的调蓄能力，必要时可通过控制配水井进出水阀门以配合实现厂区联动调节功能。</w:t>
      </w:r>
    </w:p>
    <w:p w14:paraId="4E1C0BB1">
      <w:pPr>
        <w:widowControl/>
        <w:spacing w:line="360" w:lineRule="auto"/>
        <w:ind w:firstLine="480" w:firstLineChars="200"/>
        <w:rPr>
          <w:rFonts w:hint="eastAsia" w:ascii="宋体" w:hAnsi="宋体" w:eastAsia="宋体" w:cs="宋体"/>
          <w:color w:val="auto"/>
          <w:kern w:val="0"/>
          <w:sz w:val="24"/>
          <w:highlight w:val="none"/>
          <w:lang w:eastAsia="zh-CN"/>
        </w:rPr>
      </w:pPr>
      <w:bookmarkStart w:id="1267" w:name="_Toc4865"/>
      <w:r>
        <w:rPr>
          <w:rFonts w:hint="eastAsia" w:ascii="宋体" w:hAnsi="宋体" w:eastAsia="宋体" w:cs="宋体"/>
          <w:color w:val="auto"/>
          <w:kern w:val="0"/>
          <w:sz w:val="24"/>
          <w:highlight w:val="none"/>
          <w:lang w:eastAsia="zh-CN"/>
        </w:rPr>
        <w:t>③应急事件处理</w:t>
      </w:r>
      <w:bookmarkEnd w:id="1267"/>
    </w:p>
    <w:p w14:paraId="01B7C67B">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当鸦岗取水泵站无法通过泵组开停调节水量时，可通过控制配水井的阀门开度，保证配水井的蓄水量稳定，作为水量辅助调节；当产线冗余来水管道出现单边爆漏时，需自动执行对应的来水阀门紧急关停等。</w:t>
      </w:r>
    </w:p>
    <w:p w14:paraId="6A37614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68" w:name="_Toc16038"/>
      <w:r>
        <w:rPr>
          <w:rFonts w:hint="eastAsia" w:ascii="Arial" w:hAnsi="Arial" w:eastAsia="黑体" w:cs="Times New Roman"/>
          <w:b/>
          <w:color w:val="auto"/>
          <w:sz w:val="28"/>
          <w:highlight w:val="none"/>
          <w:lang w:val="en-US" w:eastAsia="zh-CN" w:bidi="ar-SA"/>
        </w:rPr>
        <w:t xml:space="preserve"> 投矾</w:t>
      </w:r>
      <w:r>
        <w:rPr>
          <w:rFonts w:ascii="Arial" w:hAnsi="Arial" w:eastAsia="黑体" w:cs="Times New Roman"/>
          <w:b/>
          <w:color w:val="auto"/>
          <w:sz w:val="28"/>
          <w:highlight w:val="none"/>
          <w:lang w:val="en-US" w:eastAsia="zh-CN" w:bidi="ar-SA"/>
        </w:rPr>
        <w:t>系统</w:t>
      </w:r>
      <w:bookmarkEnd w:id="1268"/>
    </w:p>
    <w:p w14:paraId="6F2CBA1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7108D7A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投加絮凝剂以促进水中悬浮物质的凝聚和沉淀。</w:t>
      </w:r>
    </w:p>
    <w:p w14:paraId="3EEC9C5F">
      <w:pPr>
        <w:widowControl/>
        <w:spacing w:line="360" w:lineRule="auto"/>
        <w:ind w:firstLine="480" w:firstLineChars="200"/>
        <w:rPr>
          <w:rFonts w:hint="eastAsia" w:ascii="宋体" w:hAnsi="宋体" w:eastAsia="宋体" w:cs="宋体"/>
          <w:color w:val="auto"/>
          <w:kern w:val="0"/>
          <w:sz w:val="24"/>
          <w:highlight w:val="none"/>
          <w:lang w:eastAsia="zh-CN"/>
        </w:rPr>
      </w:pPr>
      <w:bookmarkStart w:id="1269" w:name="_Toc29825"/>
      <w:r>
        <w:rPr>
          <w:rFonts w:hint="eastAsia" w:ascii="宋体" w:hAnsi="宋体" w:eastAsia="宋体" w:cs="宋体"/>
          <w:color w:val="auto"/>
          <w:kern w:val="0"/>
          <w:sz w:val="24"/>
          <w:highlight w:val="none"/>
          <w:lang w:eastAsia="zh-CN"/>
        </w:rPr>
        <w:t>①矾液原材料</w:t>
      </w:r>
      <w:bookmarkEnd w:id="1269"/>
    </w:p>
    <w:p w14:paraId="7B38B07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采用Al2O3有效含量为10%的商品原液投加。</w:t>
      </w:r>
    </w:p>
    <w:p w14:paraId="03EB5132">
      <w:pPr>
        <w:widowControl/>
        <w:spacing w:line="360" w:lineRule="auto"/>
        <w:ind w:firstLine="480" w:firstLineChars="200"/>
        <w:rPr>
          <w:rFonts w:hint="eastAsia" w:ascii="宋体" w:hAnsi="宋体" w:eastAsia="宋体" w:cs="宋体"/>
          <w:color w:val="auto"/>
          <w:kern w:val="0"/>
          <w:sz w:val="24"/>
          <w:highlight w:val="none"/>
          <w:lang w:eastAsia="zh-CN"/>
        </w:rPr>
      </w:pPr>
      <w:bookmarkStart w:id="1270" w:name="_Toc12607"/>
      <w:r>
        <w:rPr>
          <w:rFonts w:hint="eastAsia" w:ascii="宋体" w:hAnsi="宋体" w:eastAsia="宋体" w:cs="宋体"/>
          <w:color w:val="auto"/>
          <w:kern w:val="0"/>
          <w:sz w:val="24"/>
          <w:highlight w:val="none"/>
          <w:lang w:eastAsia="zh-CN"/>
        </w:rPr>
        <w:t>②矾液储液池</w:t>
      </w:r>
      <w:bookmarkEnd w:id="1270"/>
    </w:p>
    <w:p w14:paraId="4EB75C5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矾液储液池为地上式，1座分3格，总有效容积按远期规模最大投加量7天储存量计，共约600 m3，单格200 m3，有效水深3m，每格设有进料口和出液口。</w:t>
      </w:r>
    </w:p>
    <w:p w14:paraId="67BEBD47">
      <w:pPr>
        <w:widowControl/>
        <w:spacing w:line="360" w:lineRule="auto"/>
        <w:ind w:firstLine="480" w:firstLineChars="200"/>
        <w:rPr>
          <w:rFonts w:hint="eastAsia" w:ascii="宋体" w:hAnsi="宋体" w:eastAsia="宋体" w:cs="宋体"/>
          <w:color w:val="auto"/>
          <w:kern w:val="0"/>
          <w:sz w:val="24"/>
          <w:highlight w:val="none"/>
          <w:lang w:eastAsia="zh-CN"/>
        </w:rPr>
      </w:pPr>
      <w:bookmarkStart w:id="1271" w:name="_Toc1538"/>
      <w:r>
        <w:rPr>
          <w:rFonts w:hint="eastAsia" w:ascii="宋体" w:hAnsi="宋体" w:eastAsia="宋体" w:cs="宋体"/>
          <w:color w:val="auto"/>
          <w:kern w:val="0"/>
          <w:sz w:val="24"/>
          <w:highlight w:val="none"/>
          <w:lang w:eastAsia="zh-CN"/>
        </w:rPr>
        <w:t>③一期投矾泵</w:t>
      </w:r>
      <w:bookmarkEnd w:id="1271"/>
    </w:p>
    <w:p w14:paraId="1D4B5BC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一期配置5台数字计量泵，4小用1大备。小泵单泵流量180L/h，大泵单泵流量1020L/h。机械混合池内，共计8处投加点，平均投加量20mg/L，最大投加量60mg/L,极端时投加量100mg/L。</w:t>
      </w:r>
    </w:p>
    <w:p w14:paraId="521F1BDE">
      <w:pPr>
        <w:widowControl/>
        <w:spacing w:line="360" w:lineRule="auto"/>
        <w:ind w:firstLine="480" w:firstLineChars="200"/>
        <w:rPr>
          <w:rFonts w:hint="eastAsia" w:ascii="宋体" w:hAnsi="宋体" w:eastAsia="宋体" w:cs="宋体"/>
          <w:color w:val="auto"/>
          <w:kern w:val="0"/>
          <w:sz w:val="24"/>
          <w:highlight w:val="none"/>
          <w:lang w:eastAsia="zh-CN"/>
        </w:rPr>
      </w:pPr>
      <w:bookmarkStart w:id="1272" w:name="_Toc13551"/>
      <w:r>
        <w:rPr>
          <w:rFonts w:hint="eastAsia" w:ascii="宋体" w:hAnsi="宋体" w:eastAsia="宋体" w:cs="宋体"/>
          <w:color w:val="auto"/>
          <w:kern w:val="0"/>
          <w:sz w:val="24"/>
          <w:highlight w:val="none"/>
          <w:lang w:eastAsia="zh-CN"/>
        </w:rPr>
        <w:t>④二期投矾泵</w:t>
      </w:r>
      <w:bookmarkEnd w:id="1272"/>
    </w:p>
    <w:p w14:paraId="73AB109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二期配置8台数字计量泵，6用2备。单泵流量350L/h，每台投加泵对应1个投加点。配水井出水渠或沉清叠合池进水管处，共计6处投加点，平均投加量20mg/L，最大投加量60mg/L。</w:t>
      </w:r>
    </w:p>
    <w:p w14:paraId="60D9EF6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3D76217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主要包括投矾控制站10LCU（位于综合加药间），10LCU为冗余配置；</w:t>
      </w:r>
    </w:p>
    <w:p w14:paraId="7BC8A85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298CC59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备（投加泵、阀门等）和相关设施运行数据模型，数据模型主要参数包括有投加泵组编号、投加泵额定参数、实时运行连续累计时间、投加流量、投加量瞬时值、投加泵设定值、投加泵反馈值、阀门开关信号、故障信号、储液容器液位信号、进水浊度、进水PH、进水温度、出水浊度、矾花图像识别、水质迟滞时间、药耗情况等。</w:t>
      </w:r>
    </w:p>
    <w:p w14:paraId="5E1388E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投加泵组合、投加量、水量、浊度、温度等维度进行分类和聚类处理，形成数据标准规则库。</w:t>
      </w:r>
    </w:p>
    <w:p w14:paraId="7D5B5C3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支持对数据进行标注，如：突然遇到投加室原材料泄漏、原水水质突变、投加泵出现突发故障、投加管道堵塞、投加室停电跳闸等突发情况。</w:t>
      </w:r>
    </w:p>
    <w:p w14:paraId="74DDE10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后续算法研究过程中，可以根据要求形成相应数据训练集，对控制模型进行训练。</w:t>
      </w:r>
    </w:p>
    <w:p w14:paraId="4252E81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4）主要算法设计要求</w:t>
      </w:r>
    </w:p>
    <w:p w14:paraId="41FACCB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通过分析水质参数与絮凝剂投加量之间的关系，得出相关水质参数与投加量之间的关系，建立智能投矾算法模型。以各种水质参数（如:流量、浊度、温度、PH等）、工艺参数（如：水量、水质迟滞时间、投加泵运行信号、主要设备故障信号等）作为模型输入，输出相应的絮凝剂投加量，控制加药泵频率，以实现混凝剂投加环节的自动闭环控制。同时，模型还包括校正自学习功能，以沉后浊度作为评估指标，分析本次投加是否需要校正以及作为新样本输入至模型样本数据库中训练模型。</w:t>
      </w:r>
    </w:p>
    <w:p w14:paraId="5B2361F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5）智慧诊断</w:t>
      </w:r>
    </w:p>
    <w:p w14:paraId="042FB82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26666E0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一期原水总管浊度分析仪、二期原水进水总管浊度分析仪、二期配水井出水渠浊度分析仪、一期沉淀池絮凝区浊度分析仪、二期沉淀池沉前区浊度分析仪、二期沉淀池出水管浊度分析仪、矾花识别装置、投加泵流量计、一期投加点流量计</w:t>
      </w:r>
    </w:p>
    <w:p w14:paraId="07313E83">
      <w:pPr>
        <w:widowControl/>
        <w:spacing w:line="360" w:lineRule="auto"/>
        <w:ind w:firstLine="480" w:firstLineChars="200"/>
        <w:rPr>
          <w:rFonts w:hint="eastAsia" w:ascii="宋体" w:hAnsi="宋体" w:eastAsia="宋体" w:cs="宋体"/>
          <w:color w:val="auto"/>
          <w:kern w:val="0"/>
          <w:sz w:val="24"/>
          <w:highlight w:val="none"/>
          <w:lang w:eastAsia="zh-CN"/>
        </w:rPr>
      </w:pPr>
      <w:bookmarkStart w:id="1273" w:name="_Toc30197"/>
      <w:r>
        <w:rPr>
          <w:rFonts w:hint="eastAsia" w:ascii="宋体" w:hAnsi="宋体" w:eastAsia="宋体" w:cs="宋体"/>
          <w:color w:val="auto"/>
          <w:kern w:val="0"/>
          <w:sz w:val="24"/>
          <w:highlight w:val="none"/>
          <w:lang w:eastAsia="zh-CN"/>
        </w:rPr>
        <w:t>主要关键设备包括：投加泵、投加系统主要阀门</w:t>
      </w:r>
      <w:bookmarkEnd w:id="1273"/>
    </w:p>
    <w:p w14:paraId="5CE9603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0309FC5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投加室主要进出通道是否有物品占道或人员异常闯入的情况；利用区域入侵识别模型，识别出系统中自定义区域是否有人员异常入侵的情况；利用人员检测及分析模型，分析出投加室内重要区域逗留人员的数量和时长；利用地面积水识别模型，识别投加室内重要区域是否有异常积水情况；利用火点检测模型，识别投加室内重要区域是否有火点存在；利用烟雾检测模型，识别投加室内重要区域是否有异常烟雾存在；利用小动物检测模型，识别场景主要区域里是否有小动物异常闯入等。</w:t>
      </w:r>
    </w:p>
    <w:p w14:paraId="67FE312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管道泄漏识别模型，结合投加泵输出流量和流量计数据，综合分析判别投加管道是否发生泄漏情况；利用储液池泄漏识别模型，结合液位下降变化和流量计数据，综合分析判别储液池是否发生泄漏情况；当投加泵正在运行，流量计反馈值与投加量是否匹配；当投加泵停止运行，其配套阀门是否处于关闭状态，流量计反馈值是否正常等。</w:t>
      </w:r>
    </w:p>
    <w:p w14:paraId="7D69247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3197D07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6）自主生产</w:t>
      </w:r>
    </w:p>
    <w:p w14:paraId="6DD4A7AE">
      <w:pPr>
        <w:widowControl/>
        <w:spacing w:line="360" w:lineRule="auto"/>
        <w:ind w:firstLine="480" w:firstLineChars="200"/>
        <w:rPr>
          <w:rFonts w:hint="eastAsia" w:ascii="宋体" w:hAnsi="宋体" w:eastAsia="宋体" w:cs="宋体"/>
          <w:color w:val="auto"/>
          <w:kern w:val="0"/>
          <w:sz w:val="24"/>
          <w:highlight w:val="none"/>
          <w:lang w:eastAsia="zh-CN"/>
        </w:rPr>
      </w:pPr>
      <w:bookmarkStart w:id="1274" w:name="_Toc2351"/>
      <w:r>
        <w:rPr>
          <w:rFonts w:hint="eastAsia" w:ascii="宋体" w:hAnsi="宋体" w:eastAsia="宋体" w:cs="宋体"/>
          <w:color w:val="auto"/>
          <w:kern w:val="0"/>
          <w:sz w:val="24"/>
          <w:highlight w:val="none"/>
          <w:lang w:eastAsia="zh-CN"/>
        </w:rPr>
        <w:t>①产能评估</w:t>
      </w:r>
      <w:bookmarkEnd w:id="1274"/>
    </w:p>
    <w:p w14:paraId="352D1D7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投矾系统产能评估模型，根据系统内储液池和设备设计情况、故障情况及运行情况，对当前投矾系统生产能力、负荷率和可调能力进行评估，为配水量分析、产线水量分析等联动调度决策提供支撑。同时，能够根据历史投加量情况和储液罐储液变化量情况，预测原材料消耗量，推测原材料存储量是否满足生产需要。</w:t>
      </w:r>
    </w:p>
    <w:p w14:paraId="4E6C1D45">
      <w:pPr>
        <w:widowControl/>
        <w:spacing w:line="360" w:lineRule="auto"/>
        <w:ind w:firstLine="480" w:firstLineChars="200"/>
        <w:rPr>
          <w:rFonts w:hint="eastAsia" w:ascii="宋体" w:hAnsi="宋体" w:eastAsia="宋体" w:cs="宋体"/>
          <w:color w:val="auto"/>
          <w:kern w:val="0"/>
          <w:sz w:val="24"/>
          <w:highlight w:val="none"/>
          <w:lang w:eastAsia="zh-CN"/>
        </w:rPr>
      </w:pPr>
      <w:bookmarkStart w:id="1275" w:name="_Toc19854"/>
      <w:r>
        <w:rPr>
          <w:rFonts w:hint="eastAsia" w:ascii="宋体" w:hAnsi="宋体" w:eastAsia="宋体" w:cs="宋体"/>
          <w:color w:val="auto"/>
          <w:kern w:val="0"/>
          <w:sz w:val="24"/>
          <w:highlight w:val="none"/>
          <w:lang w:eastAsia="zh-CN"/>
        </w:rPr>
        <w:t>②自主控制</w:t>
      </w:r>
      <w:bookmarkEnd w:id="1275"/>
    </w:p>
    <w:p w14:paraId="690E040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利用现场PLC提供的投加泵运行控制、运行模式切换、初步异常判定等预设好的标准数据接口，结合各类分析评估结果，分别对矾液池和投加泵实现不同的功能，实现混凝剂加药的精细化和稳定出水水质。</w:t>
      </w:r>
    </w:p>
    <w:p w14:paraId="72D7350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当矾液工作池液位低于下限预警液位时，发出空池报警信号，即可先关闭该池的出矾阀，再打开另一组备用池的出矾阀，以保证矾液的连续供应。</w:t>
      </w:r>
    </w:p>
    <w:p w14:paraId="2ACADB7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根据设定参数，对投加泵实现各类控制模式切换、投加模式切换等功能。</w:t>
      </w:r>
    </w:p>
    <w:p w14:paraId="52711BB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对以上控制功能要求达到但不限于以下指标和目的：</w:t>
      </w:r>
    </w:p>
    <w:p w14:paraId="2D35871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1.矾池自动停止并切换到备用溶液池，切换的过程无干扰自动完成，对其他进程无影响；</w:t>
      </w:r>
    </w:p>
    <w:p w14:paraId="1910127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2.投加泵控制模式切换功能包括停用模式、就地模式、远程模式等；</w:t>
      </w:r>
    </w:p>
    <w:p w14:paraId="05565EE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3.远程投加模式切换功能包括基于现场软手动（HMI）控制层的手动设定投加量、基于主控PLC的手动设定投加量和流量比控制、基于智慧生产系统的自动投加控制等；</w:t>
      </w:r>
    </w:p>
    <w:p w14:paraId="35C2E6F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自动投加：基于智能投矾模型计算结果实现该功能，以矾花识别、水质评估预测、投矾系统产能评估、配水分析等模型计算分析出的结果作为特征参数，结合原水流量、原水浊度、原水PH等关键参数，实现对整个投矾系统各个投加泵自主根据当前工况计算出最优投加量并进行投加控制；</w:t>
      </w:r>
    </w:p>
    <w:p w14:paraId="1112B39E">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5.自动投矾实际结果值与控制目标值误差绝对值≤0.2NTU；单位矾耗与同水源水厂相比减少10%。</w:t>
      </w:r>
    </w:p>
    <w:p w14:paraId="5307C06A">
      <w:pPr>
        <w:widowControl/>
        <w:spacing w:line="360" w:lineRule="auto"/>
        <w:ind w:firstLine="480" w:firstLineChars="200"/>
        <w:rPr>
          <w:rFonts w:hint="eastAsia" w:ascii="宋体" w:hAnsi="宋体" w:eastAsia="宋体" w:cs="宋体"/>
          <w:color w:val="auto"/>
          <w:kern w:val="0"/>
          <w:sz w:val="24"/>
          <w:highlight w:val="none"/>
          <w:lang w:eastAsia="zh-CN"/>
        </w:rPr>
      </w:pPr>
      <w:bookmarkStart w:id="1276" w:name="_Toc17273"/>
      <w:r>
        <w:rPr>
          <w:rFonts w:hint="eastAsia" w:ascii="宋体" w:hAnsi="宋体" w:eastAsia="宋体" w:cs="宋体"/>
          <w:color w:val="auto"/>
          <w:kern w:val="0"/>
          <w:sz w:val="24"/>
          <w:highlight w:val="none"/>
          <w:lang w:eastAsia="zh-CN"/>
        </w:rPr>
        <w:t>③应急事件处理</w:t>
      </w:r>
      <w:bookmarkEnd w:id="1276"/>
    </w:p>
    <w:p w14:paraId="5FA53095">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投加量超出合理范围时，将投加量校正到合理范围内，如无法校正应及时切换至人工控制模式；投加泵等设备出现故障时，能够对故障设备进行自动切除和备用设备投入运行，保证投加系统的稳定运作；厂区停电时，如果仍有原水来水，应能通过后备电源保持继续投加等。</w:t>
      </w:r>
    </w:p>
    <w:p w14:paraId="4DE4FAE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77" w:name="_Toc8468"/>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次氯酸钠投加系统</w:t>
      </w:r>
      <w:bookmarkEnd w:id="1277"/>
    </w:p>
    <w:p w14:paraId="7F42FCB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14340DA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投加次氯酸钠用于消毒和杀菌。</w:t>
      </w:r>
    </w:p>
    <w:p w14:paraId="1EE20DC9">
      <w:pPr>
        <w:widowControl/>
        <w:spacing w:line="360" w:lineRule="auto"/>
        <w:ind w:firstLine="480" w:firstLineChars="200"/>
        <w:rPr>
          <w:rFonts w:hint="eastAsia" w:ascii="宋体" w:hAnsi="宋体" w:eastAsia="宋体" w:cs="宋体"/>
          <w:color w:val="auto"/>
          <w:kern w:val="0"/>
          <w:sz w:val="24"/>
          <w:highlight w:val="none"/>
          <w:lang w:eastAsia="zh-CN"/>
        </w:rPr>
      </w:pPr>
      <w:bookmarkStart w:id="1278" w:name="_Toc28901"/>
      <w:r>
        <w:rPr>
          <w:rFonts w:hint="eastAsia" w:ascii="宋体" w:hAnsi="宋体" w:eastAsia="宋体" w:cs="宋体"/>
          <w:color w:val="auto"/>
          <w:kern w:val="0"/>
          <w:sz w:val="24"/>
          <w:highlight w:val="none"/>
          <w:lang w:eastAsia="zh-CN"/>
        </w:rPr>
        <w:t>①次氯酸钠原材料</w:t>
      </w:r>
      <w:bookmarkEnd w:id="1278"/>
    </w:p>
    <w:p w14:paraId="77774FA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采用有效氯含量10%的次氯酸钠成品原液，经软水稀释为有效含量为5%的商品原液后进行投加。</w:t>
      </w:r>
    </w:p>
    <w:p w14:paraId="33524631">
      <w:pPr>
        <w:widowControl/>
        <w:spacing w:line="360" w:lineRule="auto"/>
        <w:ind w:firstLine="480" w:firstLineChars="200"/>
        <w:rPr>
          <w:rFonts w:hint="eastAsia" w:ascii="宋体" w:hAnsi="宋体" w:eastAsia="宋体" w:cs="宋体"/>
          <w:color w:val="auto"/>
          <w:kern w:val="0"/>
          <w:sz w:val="24"/>
          <w:highlight w:val="none"/>
          <w:lang w:eastAsia="zh-CN"/>
        </w:rPr>
      </w:pPr>
      <w:bookmarkStart w:id="1279" w:name="_Toc4986"/>
      <w:r>
        <w:rPr>
          <w:rFonts w:hint="eastAsia" w:ascii="宋体" w:hAnsi="宋体" w:eastAsia="宋体" w:cs="宋体"/>
          <w:color w:val="auto"/>
          <w:kern w:val="0"/>
          <w:sz w:val="24"/>
          <w:highlight w:val="none"/>
          <w:lang w:eastAsia="zh-CN"/>
        </w:rPr>
        <w:t>②次氯酸钠储液罐</w:t>
      </w:r>
      <w:bookmarkEnd w:id="1279"/>
    </w:p>
    <w:p w14:paraId="0F0FD7A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次氯酸钠储液采用成品储液罐，V=40m³，配爬梯、护栏、液位计等，共设储液罐16个，其中一期7个，二期9个。</w:t>
      </w:r>
    </w:p>
    <w:p w14:paraId="4E5A0D48">
      <w:pPr>
        <w:widowControl/>
        <w:spacing w:line="360" w:lineRule="auto"/>
        <w:ind w:firstLine="480" w:firstLineChars="200"/>
        <w:rPr>
          <w:rFonts w:hint="eastAsia" w:ascii="宋体" w:hAnsi="宋体" w:eastAsia="宋体" w:cs="宋体"/>
          <w:color w:val="auto"/>
          <w:kern w:val="0"/>
          <w:sz w:val="24"/>
          <w:highlight w:val="none"/>
          <w:lang w:eastAsia="zh-CN"/>
        </w:rPr>
      </w:pPr>
      <w:bookmarkStart w:id="1280" w:name="_Toc20943"/>
      <w:r>
        <w:rPr>
          <w:rFonts w:hint="eastAsia" w:ascii="宋体" w:hAnsi="宋体" w:eastAsia="宋体" w:cs="宋体"/>
          <w:color w:val="auto"/>
          <w:kern w:val="0"/>
          <w:sz w:val="24"/>
          <w:highlight w:val="none"/>
          <w:lang w:eastAsia="zh-CN"/>
        </w:rPr>
        <w:t>③一期次氯酸钠投加泵</w:t>
      </w:r>
      <w:bookmarkEnd w:id="1280"/>
    </w:p>
    <w:p w14:paraId="7A18AA7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一期配置14台数字计量泵，11用3备，1#泵单泵流量1000L/h，2#泵单泵流量7000L/h，3#泵单泵流量360L/h，4#泵单泵流量80L/h。</w:t>
      </w:r>
    </w:p>
    <w:p w14:paraId="43E9369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投加点：沉淀池进水管处投加点4个，投加量为0.5-3mg/L；前池进水管处投加点1个，投加量为0.5-1mg/L；排水池回收水管投加点1个，投加量为 0.5-1mg/L；清水池进水管投加点2个，投加量为0.5-3mg/L；砂滤池反冲洗水管投加点3个，最大投加量30mg/L，仅用于浸池时；送水泵房吸水井进水管投加点2个，投加量0.5-1mg/L；炭滤膜反冲洗水管处1个，投加量30mg/L，仅用于浸池时（预留）。</w:t>
      </w:r>
    </w:p>
    <w:p w14:paraId="172F46DE">
      <w:pPr>
        <w:widowControl/>
        <w:spacing w:line="360" w:lineRule="auto"/>
        <w:ind w:firstLine="480" w:firstLineChars="200"/>
        <w:rPr>
          <w:rFonts w:hint="eastAsia" w:ascii="宋体" w:hAnsi="宋体" w:eastAsia="宋体" w:cs="宋体"/>
          <w:color w:val="auto"/>
          <w:kern w:val="0"/>
          <w:sz w:val="24"/>
          <w:highlight w:val="none"/>
          <w:lang w:eastAsia="zh-CN"/>
        </w:rPr>
      </w:pPr>
      <w:bookmarkStart w:id="1281" w:name="_Toc20483"/>
      <w:r>
        <w:rPr>
          <w:rFonts w:hint="eastAsia" w:ascii="宋体" w:hAnsi="宋体" w:eastAsia="宋体" w:cs="宋体"/>
          <w:color w:val="auto"/>
          <w:kern w:val="0"/>
          <w:sz w:val="24"/>
          <w:highlight w:val="none"/>
          <w:lang w:eastAsia="zh-CN"/>
        </w:rPr>
        <w:t>④二期次氯酸钠投加泵</w:t>
      </w:r>
      <w:bookmarkEnd w:id="1281"/>
    </w:p>
    <w:p w14:paraId="21CD7C9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二期配置15台数字计量泵，11用4备，1#泵（1用）单泵流量1000L/h，2#泵（3用1备）单泵流量700L/h，3#泵（6用2备）单泵流量360L/h，4#泵（1用1备）单泵流量80L/h。</w:t>
      </w:r>
    </w:p>
    <w:p w14:paraId="0EB8A6D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投加点：沉淀池进水管投加点6个，投加量为0.5-3mg/L；清水池进水管投加点3个，投加量为0.5-3mg/L；排水池回收水管投加点1个，投加量为0.5-1mg/L；砂滤池反冲洗水管投加点3个，投加量30mg/L，仅用于浸池时；炭滤池反冲洗水管投加点1个，投加量30mg/L，仅用于浸池时（预留）。</w:t>
      </w:r>
    </w:p>
    <w:p w14:paraId="7A55675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43BF2B9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主要包括投氯控制站9LCU（位于综合加药间），9LCU为冗余配置。</w:t>
      </w:r>
    </w:p>
    <w:p w14:paraId="132640C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64C3144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备（投加泵、阀门等）和相关设施运行数据模型，数据模型主要参数包括有投加泵组编号、投加泵额定参数、实时运行连续累计时间、投加流量、投加量瞬时值、投加泵设定值、投加泵反馈值、阀门开关信号、故障信号、储液容器液位信号、余氯、PH、温度等。</w:t>
      </w:r>
    </w:p>
    <w:p w14:paraId="5A73356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投加泵组合、投加量、水量、余氯、温度等维度进行分类和聚类处理，形成数据标准规则库。</w:t>
      </w:r>
    </w:p>
    <w:p w14:paraId="14795D5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支持对数据进行标注，如：突然遇到投加室原材料泄漏、原水水质突变、投加泵出现突发故障、投加管道堵塞、投加室停电跳闸等突发情况。</w:t>
      </w:r>
    </w:p>
    <w:p w14:paraId="001779C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后续算法研究过程中，可以根据要求形成相应数据训练集，对控制模型进行训练。</w:t>
      </w:r>
    </w:p>
    <w:p w14:paraId="3264D99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4）主要算法设计要求</w:t>
      </w:r>
    </w:p>
    <w:p w14:paraId="4179D11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分析水质参数与次氯酸钠投加量之间的关系，得出相关水质参数与次氯酸钠投加量之间的关系，对从次氯酸钠投加到余氯衰减的主体过程建立次氯酸钠智能投加算法模型，同时考虑进水端次氯酸钠投加、次氯酸钠后补投加对清水池主体消毒过程的影响，以各水质参数如流量、浊度、温度、PH、余氯等作为模型输入，输出相应的次氯酸钠投加量，以实现次氯酸钠投加环节的自动闭环控制。同时，模型还包括校正自学习功能，以余氯反馈值作为评估指标，分析本次投加是否需要校正以及作为新样本输入至模型样本数据库中训练模型。</w:t>
      </w:r>
    </w:p>
    <w:p w14:paraId="56A154B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5）智慧诊断</w:t>
      </w:r>
    </w:p>
    <w:p w14:paraId="3C5A51C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1278A28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一期沉淀池出水管余氯分析仪、一期清水池进水管余氯分析仪、一期出厂水余氯分析仪、二期沉淀池出水管游离氯分析仪、二期清水池进水管游离氯分析仪、二期滤池出水总管游离氯分析仪、二期出厂水游离氯分析仪、投加泵流量计</w:t>
      </w:r>
    </w:p>
    <w:p w14:paraId="7FE3BA59">
      <w:pPr>
        <w:widowControl/>
        <w:spacing w:line="360" w:lineRule="auto"/>
        <w:ind w:firstLine="480" w:firstLineChars="200"/>
        <w:rPr>
          <w:rFonts w:hint="eastAsia" w:ascii="宋体" w:hAnsi="宋体" w:eastAsia="宋体" w:cs="宋体"/>
          <w:color w:val="auto"/>
          <w:kern w:val="0"/>
          <w:sz w:val="24"/>
          <w:highlight w:val="none"/>
          <w:lang w:eastAsia="zh-CN"/>
        </w:rPr>
      </w:pPr>
      <w:bookmarkStart w:id="1282" w:name="_Toc26494"/>
      <w:r>
        <w:rPr>
          <w:rFonts w:hint="eastAsia" w:ascii="宋体" w:hAnsi="宋体" w:eastAsia="宋体" w:cs="宋体"/>
          <w:color w:val="auto"/>
          <w:kern w:val="0"/>
          <w:sz w:val="24"/>
          <w:highlight w:val="none"/>
          <w:lang w:eastAsia="zh-CN"/>
        </w:rPr>
        <w:t>主要关键设备包括：投加泵、投加系统主要阀门</w:t>
      </w:r>
      <w:bookmarkEnd w:id="1282"/>
    </w:p>
    <w:p w14:paraId="36A771C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1326FDE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投加室主要进出通道是否有物品占道或人员异常闯入的情况；利用区域入侵识别模型，识别出系统中自定义区域是否有人员异常入侵的情况；利用人员检测及分析模型，分析出投加室重要区域内逗留人员的数量和时长；利用地面积水识别模型，识别投加室重要区域内是否有异常积水情况；利用火点检测模型，识别投加室重要区域内是否有火点存在；利用烟雾检测模型，识别投加室重要区域内是否有异常烟雾存在；利用小动物检测模型，识别场景主要区域里是否有小动物异常闯入等。</w:t>
      </w:r>
    </w:p>
    <w:p w14:paraId="5575D9C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管道泄漏识别模型，结合投加泵输出流量和流量计数据，综合分析判别投加管道是否发生泄漏情况；利用储液罐泄漏识别模型，结合液位下降变化和流量计数据，综合分析判别储液罐是否发生泄漏情况；当投加泵正在运行，流量计反馈值与投加量是否匹配；当投加泵停止运行，其配套阀门是否处于关闭状态，流量计反馈值是否正常等。</w:t>
      </w:r>
    </w:p>
    <w:p w14:paraId="12B6513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6679140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6）自主生产</w:t>
      </w:r>
    </w:p>
    <w:p w14:paraId="3EBCA330">
      <w:pPr>
        <w:widowControl/>
        <w:spacing w:line="360" w:lineRule="auto"/>
        <w:ind w:firstLine="480" w:firstLineChars="200"/>
        <w:rPr>
          <w:rFonts w:hint="eastAsia" w:ascii="宋体" w:hAnsi="宋体" w:eastAsia="宋体" w:cs="宋体"/>
          <w:color w:val="auto"/>
          <w:kern w:val="0"/>
          <w:sz w:val="24"/>
          <w:highlight w:val="none"/>
          <w:lang w:eastAsia="zh-CN"/>
        </w:rPr>
      </w:pPr>
      <w:bookmarkStart w:id="1283" w:name="_Toc29117"/>
      <w:r>
        <w:rPr>
          <w:rFonts w:hint="eastAsia" w:ascii="宋体" w:hAnsi="宋体" w:eastAsia="宋体" w:cs="宋体"/>
          <w:color w:val="auto"/>
          <w:kern w:val="0"/>
          <w:sz w:val="24"/>
          <w:highlight w:val="none"/>
          <w:lang w:eastAsia="zh-CN"/>
        </w:rPr>
        <w:t>①产能评估</w:t>
      </w:r>
      <w:bookmarkEnd w:id="1283"/>
    </w:p>
    <w:p w14:paraId="60849EE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次氯酸钠投加系统产能评估模型，根据系统内储液罐和投加设备设计情况、故障情况及运行情况，对当前次氯酸钠投加系统生产能力、负荷率和可调能力进行评估，为配水量分析、产线水量分析等联动调度决策提供支撑。同时，能够根据历史投加量情况和储液罐储液变化量情况，预测原材料消耗量，推测原材料存储量是否满足生产需要。</w:t>
      </w:r>
    </w:p>
    <w:p w14:paraId="60248C34">
      <w:pPr>
        <w:widowControl/>
        <w:spacing w:line="360" w:lineRule="auto"/>
        <w:ind w:firstLine="480" w:firstLineChars="200"/>
        <w:rPr>
          <w:rFonts w:hint="eastAsia" w:ascii="宋体" w:hAnsi="宋体" w:eastAsia="宋体" w:cs="宋体"/>
          <w:color w:val="auto"/>
          <w:kern w:val="0"/>
          <w:sz w:val="24"/>
          <w:highlight w:val="none"/>
          <w:lang w:eastAsia="zh-CN"/>
        </w:rPr>
      </w:pPr>
      <w:bookmarkStart w:id="1284" w:name="_Toc3102"/>
      <w:r>
        <w:rPr>
          <w:rFonts w:hint="eastAsia" w:ascii="宋体" w:hAnsi="宋体" w:eastAsia="宋体" w:cs="宋体"/>
          <w:color w:val="auto"/>
          <w:kern w:val="0"/>
          <w:sz w:val="24"/>
          <w:highlight w:val="none"/>
          <w:lang w:eastAsia="zh-CN"/>
        </w:rPr>
        <w:t>②自主控制</w:t>
      </w:r>
      <w:bookmarkEnd w:id="1284"/>
    </w:p>
    <w:p w14:paraId="62EF7D0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现场PLC提供的投加泵运行控制、运行模式切换、初步异常判定等预设好的标准数据接口，结合各类分析评估结果，分别对次氯酸钠储液罐和投加泵实现不同的功能，保障出厂水水质稳定，同时最大限度降低次氯酸钠投加量。</w:t>
      </w:r>
    </w:p>
    <w:p w14:paraId="10E5EF4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当次氯酸钠储液罐液位低于下限预警液位时，发出报警信号，即可先关闭该池的出液阀，再打开另一组备用罐的出液阀，以保证矾液的连续供应。</w:t>
      </w:r>
    </w:p>
    <w:p w14:paraId="254805C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根据设定参数，对投加泵实现各类控制模式切换、投加模式切换等功能。</w:t>
      </w:r>
    </w:p>
    <w:p w14:paraId="35FD45F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对以上控制功能要求达到但不限于以下指标和目的：</w:t>
      </w:r>
    </w:p>
    <w:p w14:paraId="664C673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1.次氯酸钠储液罐自动停止并切换到备用溶液罐，切换的过程无干扰自动完成，对其他进程无影响；</w:t>
      </w:r>
    </w:p>
    <w:p w14:paraId="0FAA042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2.投加泵控制模式切换功能包括停用模式、就地模式、远程模式等；</w:t>
      </w:r>
    </w:p>
    <w:p w14:paraId="7001165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3.远程投加模式切换功能包括基于现场软手动（HMI）控制层的手动设定投加量、基于主控PLC的手动设定投加量和流量比控制、基于智慧生产系统的自动投加控制等；</w:t>
      </w:r>
    </w:p>
    <w:p w14:paraId="0E11058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自动投加：基于次氯酸钠智能投加算法模型计算结果实现该功能，以水质评估预测、次滤酸钠投加系统产能评估、配水分析等模型计算分析出的结果作为特征参数，结合原水流量、原水浊度、原水PH、待滤水余氯、滤后水余氯等关键参数，实现对整个次滤酸钠投加系统各个投加泵自主根据当前工况计算出最优投加量并进行投加控制；</w:t>
      </w:r>
    </w:p>
    <w:p w14:paraId="4CE25D4D">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5.自动投次氯实际结果值与控制目标值误差绝对值≤0.1mg/L；单位氯耗与同水源水厂相比减少10%</w:t>
      </w:r>
    </w:p>
    <w:p w14:paraId="5F31F9DA">
      <w:pPr>
        <w:widowControl/>
        <w:spacing w:line="360" w:lineRule="auto"/>
        <w:ind w:firstLine="480" w:firstLineChars="200"/>
        <w:rPr>
          <w:rFonts w:hint="eastAsia" w:ascii="宋体" w:hAnsi="宋体" w:eastAsia="宋体" w:cs="宋体"/>
          <w:color w:val="auto"/>
          <w:kern w:val="0"/>
          <w:sz w:val="24"/>
          <w:highlight w:val="none"/>
          <w:lang w:eastAsia="zh-CN"/>
        </w:rPr>
      </w:pPr>
      <w:bookmarkStart w:id="1285" w:name="_Toc20499"/>
      <w:r>
        <w:rPr>
          <w:rFonts w:hint="eastAsia" w:ascii="宋体" w:hAnsi="宋体" w:eastAsia="宋体" w:cs="宋体"/>
          <w:color w:val="auto"/>
          <w:kern w:val="0"/>
          <w:sz w:val="24"/>
          <w:highlight w:val="none"/>
          <w:lang w:eastAsia="zh-CN"/>
        </w:rPr>
        <w:t>③应急事件处理</w:t>
      </w:r>
      <w:bookmarkEnd w:id="1285"/>
    </w:p>
    <w:p w14:paraId="72935E71">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投加量超出合理范围时，将投加量校正到合理范围内，如无法校正应及时切换至人工控制模式；投加泵等设备出现故障时，能够对故障设备进行自动切除和备用设备投入运行，保证投加系统的稳定运作；厂区停电时，如果仍有原水来水，应能通过后备电源保持继续投加等。</w:t>
      </w:r>
    </w:p>
    <w:p w14:paraId="719490B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86" w:name="_Toc9031"/>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絮凝沉淀池系统</w:t>
      </w:r>
      <w:bookmarkEnd w:id="1286"/>
    </w:p>
    <w:p w14:paraId="2E40ED3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556C202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絮凝沉淀池主要用于混凝剂充分絮凝混合和去除悬浮物、颗粒物。</w:t>
      </w:r>
    </w:p>
    <w:p w14:paraId="0C29195D">
      <w:pPr>
        <w:widowControl/>
        <w:spacing w:line="360" w:lineRule="auto"/>
        <w:ind w:firstLine="480" w:firstLineChars="200"/>
        <w:rPr>
          <w:rFonts w:hint="eastAsia" w:ascii="宋体" w:hAnsi="宋体" w:eastAsia="宋体" w:cs="宋体"/>
          <w:color w:val="auto"/>
          <w:kern w:val="0"/>
          <w:sz w:val="24"/>
          <w:highlight w:val="none"/>
          <w:lang w:eastAsia="zh-CN"/>
        </w:rPr>
      </w:pPr>
      <w:bookmarkStart w:id="1287" w:name="_Toc15036"/>
      <w:r>
        <w:rPr>
          <w:rFonts w:hint="eastAsia" w:ascii="宋体" w:hAnsi="宋体" w:eastAsia="宋体" w:cs="宋体"/>
          <w:color w:val="auto"/>
          <w:kern w:val="0"/>
          <w:sz w:val="24"/>
          <w:highlight w:val="none"/>
          <w:lang w:eastAsia="zh-CN"/>
        </w:rPr>
        <w:t>①一期絮凝沉淀池</w:t>
      </w:r>
      <w:bookmarkEnd w:id="1287"/>
    </w:p>
    <w:p w14:paraId="6E39501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一期絮凝沉淀池共2座，单座规模30万m³/d，位于沉清叠合池上部，包括机械混合池、网格絮凝池和平流沉淀池。</w:t>
      </w:r>
    </w:p>
    <w:p w14:paraId="5D0D6B2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每座设4格混合池，每格混合池前均设3mm的固液分离机。考虑到混合工艺的重要性及尽量减少设备故障时的检修时间和检修量，故采用2台搅拌机串联的形式，每台搅拌机配套的混合时间为19s。</w:t>
      </w:r>
    </w:p>
    <w:p w14:paraId="1E7A096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每座设8格絮凝池，絮凝采用网格反应形式，絮凝时间约16.36min，有效水深3.90～3.60m。</w:t>
      </w:r>
    </w:p>
    <w:p w14:paraId="20B8890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每座设2格沉淀池，沉淀时间2.05h，水平流速17.44mm/s。沉淀池有效水深为3.6m。</w:t>
      </w:r>
    </w:p>
    <w:p w14:paraId="311F028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采用穿孔排泥管+排泥阀排泥，每列沉淀池设置22套穿孔排泥管和22套液动排泥阀。每格沉淀池设1台排泥车，采用泵吸式桁架排泥，一泵一吸口。每格沉淀池设1台排泥车，采用泵吸式桁架排泥，一泵一吸口。</w:t>
      </w:r>
    </w:p>
    <w:p w14:paraId="6F1E3E2A">
      <w:pPr>
        <w:widowControl/>
        <w:spacing w:line="360" w:lineRule="auto"/>
        <w:ind w:firstLine="480" w:firstLineChars="200"/>
        <w:rPr>
          <w:rFonts w:hint="eastAsia" w:ascii="宋体" w:hAnsi="宋体" w:eastAsia="宋体" w:cs="宋体"/>
          <w:color w:val="auto"/>
          <w:kern w:val="0"/>
          <w:sz w:val="24"/>
          <w:highlight w:val="none"/>
          <w:lang w:eastAsia="zh-CN"/>
        </w:rPr>
      </w:pPr>
      <w:bookmarkStart w:id="1288" w:name="_Toc25955"/>
      <w:r>
        <w:rPr>
          <w:rFonts w:hint="eastAsia" w:ascii="宋体" w:hAnsi="宋体" w:eastAsia="宋体" w:cs="宋体"/>
          <w:color w:val="auto"/>
          <w:kern w:val="0"/>
          <w:sz w:val="24"/>
          <w:highlight w:val="none"/>
          <w:lang w:eastAsia="zh-CN"/>
        </w:rPr>
        <w:t>②二期絮凝沉淀池</w:t>
      </w:r>
      <w:bookmarkEnd w:id="1288"/>
    </w:p>
    <w:p w14:paraId="30A93DD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二期絮凝沉淀池在本阶段设置2座，单座规模30万m³/d，位于沉清叠合池上部，包括机械混合池、网格絮凝池和平流沉淀池。</w:t>
      </w:r>
    </w:p>
    <w:p w14:paraId="6AA3359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每座设4格混合池，采用1台搅拌机，电机功率11kW。</w:t>
      </w:r>
    </w:p>
    <w:p w14:paraId="4B52C86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每座设8格絮凝池，絮凝采用网格反应形式，絮凝时间约17.63min，有效水深3.90～3.60m。</w:t>
      </w:r>
    </w:p>
    <w:p w14:paraId="0B5937D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网格絮凝池排泥采用穿孔排泥管配套液动排泥阀的方式，排泥阀压力水接自厂区自用水管网。</w:t>
      </w:r>
    </w:p>
    <w:p w14:paraId="515FE81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每座设2格沉淀池，沉淀时间2.01h，水平流速17.86mm/s。沉淀池有效水深为3.6m。每格沉淀池设1台排泥车，采用泵吸式桁架排泥，一泵一吸口。</w:t>
      </w:r>
    </w:p>
    <w:p w14:paraId="405CCDF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15AFDEE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en-US"/>
        </w:rPr>
        <w:t>主要包括一期1#沉清池控制站7PLC1,2#沉清池控制站7PLC2；二期3/4#沉清池控制站、5#沉清池控制站1LCU、2LCU，沉清池远程IO站1RIO01~07/2RIO01~05；以及各沉淀池面排泥车设备配套的PLC控制单元，二期沉清池控制站1LCU、2LCU为冗余配置，一期沉清池控制站无冗余；</w:t>
      </w:r>
    </w:p>
    <w:p w14:paraId="40C3927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70613EF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备（排泥车、变频器、阀门等）运行数据模型，数据模型主要参数包括有行车速率、排泥时长、排泥强度、排泥周期、投矾投加量、水量、原水浊度、滤后水浊度、排泥池中段浊度、温度、故障信号等。</w:t>
      </w:r>
    </w:p>
    <w:p w14:paraId="270CA1D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排泥周期、浊度、水量、投加量等维度进行分类和聚类处理，形成数据标准规则库。</w:t>
      </w:r>
    </w:p>
    <w:p w14:paraId="5051CC2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支持对数据进行标注，如：突然遇到原水水质突变、来水管线发生爆漏、排泥车运行故障等突发情况。</w:t>
      </w:r>
    </w:p>
    <w:p w14:paraId="79F372C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可以根据要求形成相应数据训练集，对场景所需算法模型（如：絮凝沉淀池负荷评估模型等）进行训练。</w:t>
      </w:r>
    </w:p>
    <w:p w14:paraId="646D48C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4）智慧诊断</w:t>
      </w:r>
    </w:p>
    <w:p w14:paraId="55DBCD0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6971D555">
      <w:pPr>
        <w:widowControl/>
        <w:spacing w:line="360" w:lineRule="auto"/>
        <w:ind w:firstLine="480" w:firstLineChars="200"/>
        <w:rPr>
          <w:rFonts w:hint="eastAsia" w:ascii="宋体" w:hAnsi="宋体" w:eastAsia="宋体" w:cs="宋体"/>
          <w:color w:val="auto"/>
          <w:kern w:val="0"/>
          <w:sz w:val="24"/>
          <w:highlight w:val="none"/>
          <w:lang w:eastAsia="zh-CN"/>
        </w:rPr>
      </w:pPr>
      <w:bookmarkStart w:id="1289" w:name="_Toc27536"/>
      <w:r>
        <w:rPr>
          <w:rFonts w:hint="eastAsia" w:ascii="宋体" w:hAnsi="宋体" w:eastAsia="宋体" w:cs="宋体"/>
          <w:color w:val="auto"/>
          <w:kern w:val="0"/>
          <w:sz w:val="24"/>
          <w:highlight w:val="none"/>
          <w:lang w:eastAsia="zh-CN"/>
        </w:rPr>
        <w:t>主要传感器包括：配水井至沉淀池流量计</w:t>
      </w:r>
      <w:bookmarkEnd w:id="1289"/>
    </w:p>
    <w:p w14:paraId="0E8D122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主要关键设备包括：系统主要阀门、固液分离机</w:t>
      </w:r>
    </w:p>
    <w:p w14:paraId="0153555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6FA330C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絮凝沉淀池主要进出通道是否有物品占道或人员异常闯入的情况；利用区域入侵识别模型，识别出系统中自定义区域是否有人员异常入侵的情况；利用人员检测及分析模型，分析出絮凝沉淀池重要区域逗留人员的数量和时长；利用地面积水识别模型，识别絮凝沉淀池重要区域是否有异常积水情况；利用火点检测模型，识别絮凝沉淀池重要区域内是否有火点存在；利用烟雾检测模型，识别絮凝沉淀池重要区域内是否有异常烟雾存在；利用小动物检测模型，识别场景主要区域里是否有小动物异常闯入等。</w:t>
      </w:r>
    </w:p>
    <w:p w14:paraId="646F044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水体颜色异常识别模型，判别池面目标区域水体是否有异常突变情况；利用池面漂浮物识别模型，识别池面目标区域是否有异常漂浮物；利用溢池识别模型，识别池体水位是否有溢出现象；沉淀池液位下降变化率与实际进出水量差异较大，可进行异常漏损判别等。</w:t>
      </w:r>
    </w:p>
    <w:p w14:paraId="3E657E8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2692294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5）自主生产</w:t>
      </w:r>
    </w:p>
    <w:p w14:paraId="496AB201">
      <w:pPr>
        <w:widowControl/>
        <w:spacing w:line="360" w:lineRule="auto"/>
        <w:ind w:firstLine="480" w:firstLineChars="200"/>
        <w:rPr>
          <w:rFonts w:hint="eastAsia" w:ascii="宋体" w:hAnsi="宋体" w:eastAsia="宋体" w:cs="宋体"/>
          <w:color w:val="auto"/>
          <w:kern w:val="0"/>
          <w:sz w:val="24"/>
          <w:highlight w:val="none"/>
          <w:lang w:eastAsia="zh-CN"/>
        </w:rPr>
      </w:pPr>
      <w:bookmarkStart w:id="1290" w:name="_Toc31505"/>
      <w:r>
        <w:rPr>
          <w:rFonts w:hint="eastAsia" w:ascii="宋体" w:hAnsi="宋体" w:eastAsia="宋体" w:cs="宋体"/>
          <w:color w:val="auto"/>
          <w:kern w:val="0"/>
          <w:sz w:val="24"/>
          <w:highlight w:val="none"/>
          <w:lang w:eastAsia="zh-CN"/>
        </w:rPr>
        <w:t>①产能评估</w:t>
      </w:r>
      <w:bookmarkEnd w:id="1290"/>
    </w:p>
    <w:p w14:paraId="23D0513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通过絮凝沉淀池负荷能力评估模型，根据设计情况、故障情况及运行情况，对当前絮凝沉淀池生产能力、负荷率和可调能力进行评估，为配水量分析、产线水量分析等联动调度决策提供支撑。</w:t>
      </w:r>
    </w:p>
    <w:p w14:paraId="31292859">
      <w:pPr>
        <w:widowControl/>
        <w:spacing w:line="360" w:lineRule="auto"/>
        <w:ind w:firstLine="480" w:firstLineChars="200"/>
        <w:rPr>
          <w:rFonts w:hint="eastAsia" w:ascii="宋体" w:hAnsi="宋体" w:eastAsia="宋体" w:cs="宋体"/>
          <w:color w:val="auto"/>
          <w:kern w:val="0"/>
          <w:sz w:val="24"/>
          <w:highlight w:val="none"/>
          <w:lang w:eastAsia="zh-CN"/>
        </w:rPr>
      </w:pPr>
      <w:bookmarkStart w:id="1291" w:name="_Toc2338"/>
      <w:r>
        <w:rPr>
          <w:rFonts w:hint="eastAsia" w:ascii="宋体" w:hAnsi="宋体" w:eastAsia="宋体" w:cs="宋体"/>
          <w:color w:val="auto"/>
          <w:kern w:val="0"/>
          <w:sz w:val="24"/>
          <w:highlight w:val="none"/>
          <w:lang w:eastAsia="zh-CN"/>
        </w:rPr>
        <w:t>②自主控制</w:t>
      </w:r>
      <w:bookmarkEnd w:id="1291"/>
    </w:p>
    <w:p w14:paraId="4174AC5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现场PLC提供的排泥车一步化运行控制、排泥车运行状态切换、初步异常判定等预设好的标准数据接口，结合各类分析评估结果，实现沉淀池自动排泥周期和强度优化的功能，保证沉淀池池科学合理运营和待滤水水质安全可靠。</w:t>
      </w:r>
    </w:p>
    <w:p w14:paraId="46C6FCE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对沉淀池自动排泥优化要求达到但不限于以下指标和目的：</w:t>
      </w:r>
    </w:p>
    <w:p w14:paraId="354A97C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1.排泥车运行模式切换功能包括自动排泥、人工排泥、退出运行等；</w:t>
      </w:r>
    </w:p>
    <w:p w14:paraId="00A2383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2.排泥周期优化：通过一定的计算实现自主调节沉淀池排泥周期，达到排泥周期优化的目的；</w:t>
      </w:r>
    </w:p>
    <w:p w14:paraId="4FF67CB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3.排泥强度优化：在行车过程中根据仪表反馈结果，自动在排泥车排泥行车过程中动态调整排泥强度。</w:t>
      </w:r>
    </w:p>
    <w:p w14:paraId="50DA7A58">
      <w:pPr>
        <w:widowControl/>
        <w:spacing w:line="360" w:lineRule="auto"/>
        <w:ind w:firstLine="480" w:firstLineChars="200"/>
        <w:rPr>
          <w:rFonts w:hint="eastAsia" w:ascii="宋体" w:hAnsi="宋体" w:eastAsia="宋体" w:cs="宋体"/>
          <w:color w:val="auto"/>
          <w:kern w:val="0"/>
          <w:sz w:val="24"/>
          <w:highlight w:val="none"/>
          <w:lang w:eastAsia="zh-CN"/>
        </w:rPr>
      </w:pPr>
      <w:bookmarkStart w:id="1292" w:name="_Toc287"/>
      <w:r>
        <w:rPr>
          <w:rFonts w:hint="eastAsia" w:ascii="宋体" w:hAnsi="宋体" w:eastAsia="宋体" w:cs="宋体"/>
          <w:color w:val="auto"/>
          <w:kern w:val="0"/>
          <w:sz w:val="24"/>
          <w:highlight w:val="none"/>
          <w:lang w:eastAsia="zh-CN"/>
        </w:rPr>
        <w:t>③应急事件处理</w:t>
      </w:r>
      <w:bookmarkEnd w:id="1292"/>
    </w:p>
    <w:p w14:paraId="352F9561">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宋体"/>
          <w:color w:val="auto"/>
          <w:kern w:val="0"/>
          <w:sz w:val="24"/>
          <w:highlight w:val="none"/>
          <w:lang w:eastAsia="zh-CN"/>
        </w:rPr>
        <w:t>当出现边缘计算设备故障或关键参数获取异常等重大异常时，应及时自动退出智慧控制模式，发出报警并切换至PLC控制模式；当识别到排泥车行车或排泥出现异常时，应紧急停止排泥车工作运行；当产线冗余来水管道出现单边爆漏时，需自动执行对应的来水阀门紧急关停等。</w:t>
      </w:r>
    </w:p>
    <w:p w14:paraId="1CDBE77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293" w:name="_Toc27337"/>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砂滤池系统</w:t>
      </w:r>
      <w:bookmarkEnd w:id="1293"/>
    </w:p>
    <w:p w14:paraId="09F8EDC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35A0F90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砂滤池主要用于去除水中的浊度。</w:t>
      </w:r>
    </w:p>
    <w:p w14:paraId="79779B9C">
      <w:pPr>
        <w:widowControl/>
        <w:spacing w:line="360" w:lineRule="auto"/>
        <w:ind w:firstLine="480" w:firstLineChars="200"/>
        <w:rPr>
          <w:rFonts w:hint="eastAsia" w:ascii="宋体" w:hAnsi="宋体" w:eastAsia="宋体" w:cs="宋体"/>
          <w:color w:val="auto"/>
          <w:kern w:val="0"/>
          <w:sz w:val="24"/>
          <w:highlight w:val="none"/>
          <w:lang w:eastAsia="zh-CN"/>
        </w:rPr>
      </w:pPr>
      <w:bookmarkStart w:id="1294" w:name="_Toc20573"/>
      <w:r>
        <w:rPr>
          <w:rFonts w:hint="eastAsia" w:ascii="宋体" w:hAnsi="宋体" w:eastAsia="宋体" w:cs="宋体"/>
          <w:color w:val="auto"/>
          <w:kern w:val="0"/>
          <w:sz w:val="24"/>
          <w:highlight w:val="none"/>
          <w:lang w:eastAsia="zh-CN"/>
        </w:rPr>
        <w:t>①一期砂滤池系统</w:t>
      </w:r>
      <w:bookmarkEnd w:id="1294"/>
    </w:p>
    <w:p w14:paraId="3CBF497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一期砂滤池共2座，单座规模30万m³/d。</w:t>
      </w:r>
    </w:p>
    <w:p w14:paraId="66B3741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砂滤池采用V型滤池，正常滤速8.39m/h，强制滤速为9.44m/h，单座滤池共18格，单格面积91m2，双排对称布置。滤层上水深1.2m；滤料采用均质石英砂滤料，d10＝0.9mm，不均匀系数1.4，厚度1.2m；支承层d＝2.0～4.0mm，厚度0.1m。</w:t>
      </w:r>
    </w:p>
    <w:p w14:paraId="611CFCF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滤池采用气水反冲洗，气水冲洗强度为：</w:t>
      </w:r>
    </w:p>
    <w:p w14:paraId="130B9A1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单气反冲：13-15L/(㎡*s)；</w:t>
      </w:r>
    </w:p>
    <w:p w14:paraId="6D82CAB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气水同冲：气冲强度13-15L/(㎡*s)，水冲强度2.5-3L/(㎡*s)；</w:t>
      </w:r>
    </w:p>
    <w:p w14:paraId="3AC00BE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单独水冲：5-6L/(㎡*s)</w:t>
      </w:r>
    </w:p>
    <w:p w14:paraId="5503DD4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集水及气水分配系统由气水分配槽、滤板和长柄滤头组成。滤池中间为管廊，管廊内布置清水渠、反冲洗水管及反冲洗气管和一些阀门，并设有起吊设施。</w:t>
      </w:r>
    </w:p>
    <w:p w14:paraId="7B8E3BA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滤池进水、反冲废水、气冲管阀门采用气动执行机构。滤池出水接入提升泵房吸水井，同时设置超越管直接接入超滤膜车间或清水池，实现超越臭氧活性炭或膜处理系统的运行工况。为此，砂滤池设初滤水排放管，初滤水与砂滤池反冲洗废水一同进入排水池进行回用。</w:t>
      </w:r>
    </w:p>
    <w:p w14:paraId="31D2A4E3">
      <w:pPr>
        <w:widowControl/>
        <w:spacing w:line="360" w:lineRule="auto"/>
        <w:ind w:firstLine="480" w:firstLineChars="200"/>
        <w:rPr>
          <w:rFonts w:hint="eastAsia" w:ascii="宋体" w:hAnsi="宋体" w:eastAsia="宋体" w:cs="宋体"/>
          <w:color w:val="auto"/>
          <w:kern w:val="0"/>
          <w:sz w:val="24"/>
          <w:highlight w:val="none"/>
          <w:lang w:eastAsia="zh-CN"/>
        </w:rPr>
      </w:pPr>
      <w:bookmarkStart w:id="1295" w:name="_Toc12697"/>
      <w:r>
        <w:rPr>
          <w:rFonts w:hint="eastAsia" w:ascii="宋体" w:hAnsi="宋体" w:eastAsia="宋体" w:cs="宋体"/>
          <w:color w:val="auto"/>
          <w:kern w:val="0"/>
          <w:sz w:val="24"/>
          <w:highlight w:val="none"/>
          <w:lang w:eastAsia="zh-CN"/>
        </w:rPr>
        <w:t>②二期砂滤池系统</w:t>
      </w:r>
      <w:bookmarkEnd w:id="1295"/>
    </w:p>
    <w:p w14:paraId="523C59D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二期砂滤池本阶段设置2座，单座规模30万m³/d。</w:t>
      </w:r>
    </w:p>
    <w:p w14:paraId="1DF9F60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砂滤池采用V型滤池，设计滤速9.01m/h,强制滤速9.62m/h，单座滤池共16格，单格面积91m2，双排对称布置。滤层上水深1.2m；滤料采用均质石英砂滤料，d10＝0.90~1.20mm，均匀系数K60＜1.6，厚度1.2m；支承层d＝2.0～4.0mm，厚度0.08m。</w:t>
      </w:r>
    </w:p>
    <w:p w14:paraId="35FED60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滤池采用气水反冲洗，气水冲洗强度为：</w:t>
      </w:r>
    </w:p>
    <w:p w14:paraId="37296449">
      <w:pPr>
        <w:widowControl/>
        <w:spacing w:line="360" w:lineRule="auto"/>
        <w:ind w:firstLine="480" w:firstLineChars="20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en-US"/>
        </w:rPr>
        <w:t>单气反冲：13</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eastAsia="en-US"/>
        </w:rPr>
        <w:t>15L/(㎡*s)；</w:t>
      </w:r>
    </w:p>
    <w:p w14:paraId="48EA097B">
      <w:pPr>
        <w:widowControl/>
        <w:spacing w:line="360" w:lineRule="auto"/>
        <w:ind w:firstLine="480" w:firstLineChars="20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en-US"/>
        </w:rPr>
        <w:t>气水同冲：气冲强度13</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eastAsia="en-US"/>
        </w:rPr>
        <w:t>15L/(㎡*s)，水冲强度2.5</w:t>
      </w:r>
      <w:r>
        <w:rPr>
          <w:rFonts w:hint="eastAsia" w:ascii="宋体" w:hAnsi="宋体" w:eastAsia="宋体" w:cs="宋体"/>
          <w:color w:val="auto"/>
          <w:kern w:val="0"/>
          <w:sz w:val="24"/>
          <w:highlight w:val="none"/>
          <w:lang w:eastAsia="zh-CN"/>
        </w:rPr>
        <w:t>-3</w:t>
      </w:r>
      <w:r>
        <w:rPr>
          <w:rFonts w:hint="eastAsia" w:ascii="宋体" w:hAnsi="宋体" w:eastAsia="宋体" w:cs="宋体"/>
          <w:color w:val="auto"/>
          <w:kern w:val="0"/>
          <w:sz w:val="24"/>
          <w:highlight w:val="none"/>
          <w:lang w:eastAsia="en-US"/>
        </w:rPr>
        <w:t>L/(㎡*s)；</w:t>
      </w:r>
    </w:p>
    <w:p w14:paraId="57515B18">
      <w:pPr>
        <w:widowControl/>
        <w:spacing w:line="360" w:lineRule="auto"/>
        <w:ind w:firstLine="480" w:firstLineChars="200"/>
        <w:rPr>
          <w:rFonts w:hint="eastAsia" w:ascii="宋体" w:hAnsi="宋体" w:eastAsia="宋体" w:cs="宋体"/>
          <w:color w:val="auto"/>
          <w:kern w:val="0"/>
          <w:sz w:val="24"/>
          <w:highlight w:val="none"/>
          <w:lang w:eastAsia="en-US"/>
        </w:rPr>
      </w:pPr>
      <w:bookmarkStart w:id="1296" w:name="_Toc10987"/>
      <w:r>
        <w:rPr>
          <w:rFonts w:hint="eastAsia" w:ascii="宋体" w:hAnsi="宋体" w:eastAsia="宋体" w:cs="宋体"/>
          <w:color w:val="auto"/>
          <w:kern w:val="0"/>
          <w:sz w:val="24"/>
          <w:highlight w:val="none"/>
          <w:lang w:eastAsia="en-US"/>
        </w:rPr>
        <w:t>单独水冲：5</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eastAsia="en-US"/>
        </w:rPr>
        <w:t>6L/(㎡*s)</w:t>
      </w:r>
      <w:bookmarkEnd w:id="1296"/>
    </w:p>
    <w:p w14:paraId="6D3784A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集水及气水分配系统由气水分配槽、滤板和长柄滤头组成。滤池中间为管廊，管廊内布置清水渠、反冲洗水管及反冲洗气管和一些阀门，并设有起吊设施。</w:t>
      </w:r>
    </w:p>
    <w:p w14:paraId="162C528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滤池进水、反冲废水、气冲管阀门采用气动执行机构。滤池出水接入提升泵房吸水井，同时设置超越管直接接入超滤膜车间或清水池，实现超越臭氧活性炭或膜处理系统的运行工况。为此，砂滤池设初滤水排放管，初滤水与砂滤池反冲洗废水一同进入排水池进行回用。</w:t>
      </w:r>
    </w:p>
    <w:p w14:paraId="139B53C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69B55E5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包括一期1#/2#砂滤池控制主8PLC1/8PLC2以及单格滤池(共18x2=36格)子站8DIO1~8DIO36；二期3~5#砂滤池控制主站3LCU~5LCU以及单格滤池(共16x3=48格)从站3SCU01~16、4SCU01~16、5SCU01~16；其中二期砂滤池主控制站3LCU~5LCU为冗余配置，一期主控制站无冗余配置；1#反冲洗泵房控制站9PLC1,2#反冲洗泵房控制站7LCU，7LCU为冗余配置。</w:t>
      </w:r>
    </w:p>
    <w:p w14:paraId="32ADC26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7F4DF95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滤池和反冲洗设备等运行数据模型，数据模型主要参数包括有滤池设计参数、滤池组编号、滤池组运行时间～出水浊度数据组、运行时间～出水阀门开度数据组、运行时间～水头损失数据组、进水浊度～流量数据组、运行时间～滤池液位数据组、阀门故障信号、反冲洗设备设计参数、反冲洗设备故障、反冲洗周期、反冲洗强度等。</w:t>
      </w:r>
    </w:p>
    <w:p w14:paraId="1D5FE21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滤池运行组合、水量、浊度、出水阀门开度等维度进行分类和聚类处理，形成数据标准规则库。</w:t>
      </w:r>
    </w:p>
    <w:p w14:paraId="1DD42B3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支持对数据进行标注，如：原水水质突变、滤池液位过高、出水阀门开度调节故障、反冲洗设备运行故障等突发情况。</w:t>
      </w:r>
    </w:p>
    <w:p w14:paraId="594215D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后续算法研究过程中，可以根据要求形成相应数据训练集，对控制模型进行训练。</w:t>
      </w:r>
    </w:p>
    <w:p w14:paraId="539A271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4）主要算法设计要求</w:t>
      </w:r>
    </w:p>
    <w:p w14:paraId="7815114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主要采用大数据分析的方法，基于北部水厂运行历史和实时数据，砂滤池负荷评估模型、反冲洗设备产能评估模型、单格砂滤池健康度评估模型、砂滤池组保障度评估模型、砂滤池智能反冲洗模型。</w:t>
      </w:r>
    </w:p>
    <w:p w14:paraId="6AA0BDC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5）智慧诊断</w:t>
      </w:r>
    </w:p>
    <w:p w14:paraId="3D814B7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3442742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主要传感器包括：二期砂滤池至超滤膜流量计、二期砂滤池至清水池流量计</w:t>
      </w:r>
    </w:p>
    <w:p w14:paraId="0F9001A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主要关键设备包括：变频器、反冲泵组、反冲洗风机组</w:t>
      </w:r>
    </w:p>
    <w:p w14:paraId="2FA8911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67D1FB6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砂滤池和反冲洗泵房主要进出通道是否有物品占道或人员异常闯入的情况；利用区域入侵识别模型，识别出系统中自定义区域是否有人员异常入侵的情况；利用人员检测及分析模型，分析出砂滤池和反冲洗泵房重要区域逗留人员的数量和时长；利用地面积水识别模型，识别反冲洗泵房内重要区域是否有异常积水情况；利用火点检测模型，识别反冲洗泵房内重要区域内是否有火点存在；利用烟雾检测模型，识别反冲洗泵房内重要区域内是否有异常烟雾存在；利用小动物检测模型，识别场景主要区域里是否有小动物异常闯入等。</w:t>
      </w:r>
    </w:p>
    <w:p w14:paraId="4FCFCDA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水体颜色异常识别模型，判别池面目标区域水体是否有异常突变情况；利用池面漂浮物识别模型，识别池面目标区域是否有异常漂浮物；利用溢池识别模型，识别池体水位是否有溢出现象；砂滤池液位下降变化率与实际进出水量差异较大，可进行异常漏损判别；对液位计数据准确度进行比对评估，保障滤池运行安全；当滤池处于滤水状态下可对池面异物、待滤/滤后水水质情况、V型槽、池壁和排污槽洁净程度、砂面平整度以及滤池液位进行识别；在反冲洗状态下，是否完整进行了气冲洗、气水混洗、水冲洗（含表面扫洗）这三个过程，在反冲洗过程中，在线监测反冲洗的效果，判断相关阀门是否动作、配水配气是否均匀、是否有漏砂和跑砂现象、在水冲洗尾段即表面扫洗阶段冲洗水维持洁净时间是否过长、反冲洗吸水井液位是否过低、排水池液位是否过高等；在人工洗池或施工作业时，为了保证工作人员的安全性需确保停池状态，持续监测池体液位和阀门开关状态，确保工作人员安全等。</w:t>
      </w:r>
    </w:p>
    <w:p w14:paraId="680FE9C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识别计算出反冲洗设备的实际运行产能情况与理论计算值的差距是否合理；识别出单台反冲水泵组/风机组运行电力参数和反冲洗泵房整体运行电力参数是否存在异常差值；反冲洗设备运行时，控制目标值与实际运行情况是否在合理误差范围内。</w:t>
      </w:r>
    </w:p>
    <w:p w14:paraId="1E1769C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753A1BE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6）自主生产</w:t>
      </w:r>
    </w:p>
    <w:p w14:paraId="668115E6">
      <w:pPr>
        <w:widowControl/>
        <w:spacing w:line="360" w:lineRule="auto"/>
        <w:ind w:firstLine="480" w:firstLineChars="200"/>
        <w:rPr>
          <w:rFonts w:hint="eastAsia" w:ascii="宋体" w:hAnsi="宋体" w:eastAsia="宋体" w:cs="宋体"/>
          <w:color w:val="auto"/>
          <w:kern w:val="0"/>
          <w:sz w:val="24"/>
          <w:highlight w:val="none"/>
          <w:lang w:eastAsia="zh-CN"/>
        </w:rPr>
      </w:pPr>
      <w:bookmarkStart w:id="1297" w:name="_Toc12045"/>
      <w:r>
        <w:rPr>
          <w:rFonts w:hint="eastAsia" w:ascii="宋体" w:hAnsi="宋体" w:eastAsia="宋体" w:cs="宋体"/>
          <w:color w:val="auto"/>
          <w:kern w:val="0"/>
          <w:sz w:val="24"/>
          <w:highlight w:val="none"/>
          <w:lang w:eastAsia="zh-CN"/>
        </w:rPr>
        <w:t>①产能评估</w:t>
      </w:r>
      <w:bookmarkEnd w:id="1297"/>
    </w:p>
    <w:p w14:paraId="404170D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砂滤池负荷能力评估模型和反冲洗设备产能评估模型，根据生产系统内构筑物/设备设计情况、故障情况及运行情况，对砂滤池系统生产能力、负荷率和可调能力进行评估，为配水量分析、产线水量分析等联动调度决策提供支撑。</w:t>
      </w:r>
    </w:p>
    <w:p w14:paraId="65EE40EE">
      <w:pPr>
        <w:widowControl/>
        <w:spacing w:line="360" w:lineRule="auto"/>
        <w:ind w:firstLine="480" w:firstLineChars="200"/>
        <w:rPr>
          <w:rFonts w:hint="eastAsia" w:ascii="宋体" w:hAnsi="宋体" w:eastAsia="宋体" w:cs="宋体"/>
          <w:color w:val="auto"/>
          <w:kern w:val="0"/>
          <w:sz w:val="24"/>
          <w:highlight w:val="none"/>
          <w:lang w:eastAsia="zh-CN"/>
        </w:rPr>
      </w:pPr>
      <w:bookmarkStart w:id="1298" w:name="_Toc15568"/>
      <w:r>
        <w:rPr>
          <w:rFonts w:hint="eastAsia" w:ascii="宋体" w:hAnsi="宋体" w:eastAsia="宋体" w:cs="宋体"/>
          <w:color w:val="auto"/>
          <w:kern w:val="0"/>
          <w:sz w:val="24"/>
          <w:highlight w:val="none"/>
          <w:lang w:eastAsia="zh-CN"/>
        </w:rPr>
        <w:t>②自主控制</w:t>
      </w:r>
      <w:bookmarkEnd w:id="1298"/>
    </w:p>
    <w:p w14:paraId="5BE8CF8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现场PLC提供的滤池一步化运行控制、滤池运行状态切换、初步异常判定等预设好的标准数据接口，结合各类分析评估结果，分别对单组和多组滤池实现不同的功能，保证滤池科学合理运营和滤后水水质安全可靠。</w:t>
      </w:r>
    </w:p>
    <w:p w14:paraId="0ABF776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根据设定参数，对单个滤池实现各类运行模式切换、自动滤水恒液位控制、洗池需求提出等功能。</w:t>
      </w:r>
    </w:p>
    <w:p w14:paraId="3C9010A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基于单格砂滤池健康度评估、砂滤池组保障度评估、配水量分析、水质评估预测等模型分析结果，对滤池组进行联调联控，自主分配滤池产能、协调洗池队列、切换反冲洗触发条件、智能调节反冲洗强度和时长、调配反冲洗设备、高效运行空压机系统等。</w:t>
      </w:r>
    </w:p>
    <w:p w14:paraId="572D28C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对以上控制功能要求达到但不限于以下指标和目的：</w:t>
      </w:r>
    </w:p>
    <w:p w14:paraId="29F4111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1.滤池运行模式切换功能包括自动滤水（精准模式）、自动滤水（节气模式）、洗池排队、自动反冲洗、人工洗池、退出运行、带病运行等；</w:t>
      </w:r>
    </w:p>
    <w:p w14:paraId="4066497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2.自动滤水恒液位控制（精准模式）误差绝对值≤0.03m，实现时间≤5min；</w:t>
      </w:r>
    </w:p>
    <w:p w14:paraId="054780C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3.自动滤水恒液位控制（节气模式）误差绝对值≤0.05m，实现时间≤10min，用气量为精准模式的一半以下；</w:t>
      </w:r>
    </w:p>
    <w:p w14:paraId="6B0447F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4.协调洗池队列功能包括正常自动反冲洗、部分反冲洗、插队反冲洗等功能，并实现在特殊状态下批量快洗等特定功能；</w:t>
      </w:r>
    </w:p>
    <w:p w14:paraId="449B885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5.切换反冲洗触发条件功能包括滤池健康度、液位、水头损失、运行时间、出水阀开度、滤池洁净度、出水浊度等；</w:t>
      </w:r>
    </w:p>
    <w:p w14:paraId="283DFF7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6.智能调节反冲洗强度和时长：记录和评价单个滤池每次反冲洗参数与效果，结合实际工况，智能调节每个滤池的反冲洗强度和时长。</w:t>
      </w:r>
    </w:p>
    <w:p w14:paraId="057B1603">
      <w:pPr>
        <w:widowControl/>
        <w:spacing w:line="360" w:lineRule="auto"/>
        <w:ind w:firstLine="480" w:firstLineChars="200"/>
        <w:rPr>
          <w:rFonts w:hint="eastAsia" w:ascii="宋体" w:hAnsi="宋体" w:eastAsia="宋体" w:cs="宋体"/>
          <w:color w:val="auto"/>
          <w:kern w:val="0"/>
          <w:sz w:val="24"/>
          <w:highlight w:val="none"/>
          <w:lang w:eastAsia="zh-CN"/>
        </w:rPr>
      </w:pPr>
      <w:bookmarkStart w:id="1299" w:name="_Toc17853"/>
      <w:r>
        <w:rPr>
          <w:rFonts w:hint="eastAsia" w:ascii="宋体" w:hAnsi="宋体" w:eastAsia="宋体" w:cs="宋体"/>
          <w:color w:val="auto"/>
          <w:kern w:val="0"/>
          <w:sz w:val="24"/>
          <w:highlight w:val="none"/>
          <w:lang w:eastAsia="zh-CN"/>
        </w:rPr>
        <w:t>③应急事件处理</w:t>
      </w:r>
      <w:bookmarkEnd w:id="1299"/>
    </w:p>
    <w:p w14:paraId="4D2FC0D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当反冲洗风机、离心泵组或空压机出现故障时，能够对故障设备进行自动切除和备用设备投入运行，保证反冲洗流程的稳定执行；当单个滤池出现设备故障需要停用检修时，按需将停用滤池的产能合理分配到其他在用滤池；当清水总渠液位过高时，能够自动停运滤池；停电时，综合分析UPS电量和储气罐压力对滤池的支持能力等。</w:t>
      </w:r>
    </w:p>
    <w:p w14:paraId="4C528E14">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00" w:name="_Toc21058"/>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超滤膜系统</w:t>
      </w:r>
      <w:bookmarkEnd w:id="1300"/>
    </w:p>
    <w:p w14:paraId="5E0122A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307A414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超滤膜系统能有效地去除水中的悬浮物、细菌、病毒、胶体和部分有机物等，从而实现水质的净化；超滤膜的过滤精度可达0.1～0.001微米，不添加任何化学物质，依靠超滤膜表面密布的微孔进行筛分，从而截留有害物质，保持产水pH值不变，同时保留水中人体所需微量矿物质和微量溶解氧 。</w:t>
      </w:r>
    </w:p>
    <w:p w14:paraId="0E6A973D">
      <w:pPr>
        <w:widowControl/>
        <w:spacing w:line="360" w:lineRule="auto"/>
        <w:ind w:firstLine="480" w:firstLineChars="200"/>
        <w:rPr>
          <w:rFonts w:hint="eastAsia" w:ascii="宋体" w:hAnsi="宋体" w:eastAsia="宋体" w:cs="宋体"/>
          <w:color w:val="auto"/>
          <w:kern w:val="0"/>
          <w:sz w:val="24"/>
          <w:highlight w:val="none"/>
          <w:lang w:eastAsia="zh-CN"/>
        </w:rPr>
      </w:pPr>
      <w:bookmarkStart w:id="1301" w:name="_Toc15616"/>
      <w:r>
        <w:rPr>
          <w:rFonts w:hint="eastAsia" w:ascii="宋体" w:hAnsi="宋体" w:eastAsia="宋体" w:cs="宋体"/>
          <w:color w:val="auto"/>
          <w:kern w:val="0"/>
          <w:sz w:val="24"/>
          <w:highlight w:val="none"/>
          <w:lang w:eastAsia="zh-CN"/>
        </w:rPr>
        <w:t>①一期超滤膜系统</w:t>
      </w:r>
      <w:bookmarkEnd w:id="1301"/>
    </w:p>
    <w:p w14:paraId="55A7E64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一期超滤膜车间共1座，规模60万m³/d，由进水提升系统、预处理系统、超滤装置主系统等组成。</w:t>
      </w:r>
    </w:p>
    <w:p w14:paraId="778CF478">
      <w:pPr>
        <w:widowControl/>
        <w:spacing w:line="360" w:lineRule="auto"/>
        <w:ind w:firstLine="480" w:firstLineChars="200"/>
        <w:rPr>
          <w:rFonts w:hint="eastAsia" w:ascii="宋体" w:hAnsi="宋体" w:eastAsia="宋体" w:cs="宋体"/>
          <w:color w:val="auto"/>
          <w:kern w:val="0"/>
          <w:sz w:val="24"/>
          <w:highlight w:val="none"/>
          <w:lang w:eastAsia="zh-CN"/>
        </w:rPr>
      </w:pPr>
      <w:bookmarkStart w:id="1302" w:name="_Toc31058"/>
      <w:r>
        <w:rPr>
          <w:rFonts w:hint="eastAsia" w:ascii="宋体" w:hAnsi="宋体" w:eastAsia="宋体" w:cs="宋体"/>
          <w:color w:val="auto"/>
          <w:kern w:val="0"/>
          <w:sz w:val="24"/>
          <w:highlight w:val="none"/>
          <w:lang w:eastAsia="zh-CN"/>
        </w:rPr>
        <w:t>1.一期超滤膜进水提升系统</w:t>
      </w:r>
      <w:bookmarkEnd w:id="1302"/>
    </w:p>
    <w:p w14:paraId="5A55BE4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一期超滤膜进水提升系统配置2个膜车间吸水池进行取水，1座泵房进行提升，为一期超滤装置主系统提供足够的进水压力。</w:t>
      </w:r>
    </w:p>
    <w:p w14:paraId="6EE6697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膜车间吸水池分两格，停留时间为18min，有效水深为6.3m，总容积约为3800m³。</w:t>
      </w:r>
    </w:p>
    <w:p w14:paraId="0547814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一期超滤膜进水提升泵房配置变频泵12台，8用4备，单泵流量3500m³/h，扬程20米。</w:t>
      </w:r>
    </w:p>
    <w:p w14:paraId="0CA6D070">
      <w:pPr>
        <w:widowControl/>
        <w:spacing w:line="360" w:lineRule="auto"/>
        <w:ind w:firstLine="480" w:firstLineChars="200"/>
        <w:rPr>
          <w:rFonts w:hint="eastAsia" w:ascii="宋体" w:hAnsi="宋体" w:eastAsia="宋体" w:cs="宋体"/>
          <w:color w:val="auto"/>
          <w:kern w:val="0"/>
          <w:sz w:val="24"/>
          <w:highlight w:val="none"/>
          <w:lang w:eastAsia="zh-CN"/>
        </w:rPr>
      </w:pPr>
      <w:bookmarkStart w:id="1303" w:name="_Toc1645"/>
      <w:r>
        <w:rPr>
          <w:rFonts w:hint="eastAsia" w:ascii="宋体" w:hAnsi="宋体" w:eastAsia="宋体" w:cs="宋体"/>
          <w:color w:val="auto"/>
          <w:kern w:val="0"/>
          <w:sz w:val="24"/>
          <w:highlight w:val="none"/>
          <w:lang w:eastAsia="zh-CN"/>
        </w:rPr>
        <w:t>2.一期超滤膜预处理系统</w:t>
      </w:r>
      <w:bookmarkEnd w:id="1303"/>
    </w:p>
    <w:p w14:paraId="791B304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一期超滤膜预处理系统设置过滤器作为超滤膜前预处理，有效拦截原水中大颗粒物，保护膜丝。</w:t>
      </w:r>
    </w:p>
    <w:p w14:paraId="7827781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过滤器共28台，20用8备，单台过滤器流量1800m³/h，滤网精度200</w:t>
      </w:r>
      <w:r>
        <w:rPr>
          <w:rFonts w:hint="eastAsia" w:ascii="宋体" w:hAnsi="宋体" w:eastAsia="宋体" w:cs="宋体"/>
          <w:color w:val="auto"/>
          <w:kern w:val="0"/>
          <w:sz w:val="24"/>
          <w:highlight w:val="none"/>
          <w:lang w:eastAsia="en-US"/>
        </w:rPr>
        <w:t>μ</w:t>
      </w:r>
      <w:r>
        <w:rPr>
          <w:rFonts w:hint="eastAsia" w:ascii="宋体" w:hAnsi="宋体" w:eastAsia="宋体" w:cs="宋体"/>
          <w:color w:val="auto"/>
          <w:kern w:val="0"/>
          <w:sz w:val="24"/>
          <w:highlight w:val="none"/>
          <w:lang w:eastAsia="zh-CN"/>
        </w:rPr>
        <w:t>m。</w:t>
      </w:r>
    </w:p>
    <w:p w14:paraId="10BF5BDF">
      <w:pPr>
        <w:widowControl/>
        <w:spacing w:line="360" w:lineRule="auto"/>
        <w:ind w:firstLine="480" w:firstLineChars="200"/>
        <w:rPr>
          <w:rFonts w:hint="eastAsia" w:ascii="宋体" w:hAnsi="宋体" w:eastAsia="宋体" w:cs="宋体"/>
          <w:color w:val="auto"/>
          <w:kern w:val="0"/>
          <w:sz w:val="24"/>
          <w:highlight w:val="none"/>
          <w:lang w:eastAsia="zh-CN"/>
        </w:rPr>
      </w:pPr>
      <w:bookmarkStart w:id="1304" w:name="_Toc12758"/>
      <w:r>
        <w:rPr>
          <w:rFonts w:hint="eastAsia" w:ascii="宋体" w:hAnsi="宋体" w:eastAsia="宋体" w:cs="宋体"/>
          <w:color w:val="auto"/>
          <w:kern w:val="0"/>
          <w:sz w:val="24"/>
          <w:highlight w:val="none"/>
          <w:lang w:eastAsia="zh-CN"/>
        </w:rPr>
        <w:t>3.一期超滤装置主系统</w:t>
      </w:r>
      <w:bookmarkEnd w:id="1304"/>
    </w:p>
    <w:p w14:paraId="4CF0853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一期超滤装置主系统设置1座，分4组，每组10个膜堆。</w:t>
      </w:r>
    </w:p>
    <w:p w14:paraId="29B5979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超滤膜孔径≤0.05</w:t>
      </w:r>
      <w:r>
        <w:rPr>
          <w:rFonts w:hint="eastAsia" w:ascii="宋体" w:hAnsi="宋体" w:eastAsia="宋体" w:cs="宋体"/>
          <w:color w:val="auto"/>
          <w:kern w:val="0"/>
          <w:sz w:val="24"/>
          <w:highlight w:val="none"/>
          <w:lang w:eastAsia="en-US"/>
        </w:rPr>
        <w:t>μ</w:t>
      </w:r>
      <w:r>
        <w:rPr>
          <w:rFonts w:hint="eastAsia" w:ascii="宋体" w:hAnsi="宋体" w:eastAsia="宋体" w:cs="宋体"/>
          <w:color w:val="auto"/>
          <w:kern w:val="0"/>
          <w:sz w:val="24"/>
          <w:highlight w:val="none"/>
          <w:lang w:eastAsia="zh-CN"/>
        </w:rPr>
        <w:t>m，膜材质为聚偏氟乙烯PVDF膜，采用压力式死端过滤形式。详细超滤膜设计参数如下所示：</w:t>
      </w:r>
    </w:p>
    <w:p w14:paraId="5AF69E3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设计产水量：60万m³/d</w:t>
      </w:r>
    </w:p>
    <w:p w14:paraId="546484E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设计超滤膜操作系统：2个</w:t>
      </w:r>
    </w:p>
    <w:p w14:paraId="78C0957B">
      <w:pPr>
        <w:widowControl/>
        <w:spacing w:line="360" w:lineRule="auto"/>
        <w:ind w:firstLine="480" w:firstLineChars="200"/>
        <w:rPr>
          <w:rFonts w:hint="eastAsia" w:ascii="宋体" w:hAnsi="宋体" w:eastAsia="宋体" w:cs="宋体"/>
          <w:color w:val="auto"/>
          <w:kern w:val="0"/>
          <w:sz w:val="24"/>
          <w:highlight w:val="none"/>
          <w:lang w:eastAsia="zh-CN"/>
        </w:rPr>
      </w:pPr>
      <w:bookmarkStart w:id="1305" w:name="_Toc11417"/>
      <w:r>
        <w:rPr>
          <w:rFonts w:hint="eastAsia" w:ascii="宋体" w:hAnsi="宋体" w:eastAsia="宋体" w:cs="宋体"/>
          <w:color w:val="auto"/>
          <w:kern w:val="0"/>
          <w:sz w:val="24"/>
          <w:highlight w:val="none"/>
          <w:lang w:eastAsia="zh-CN"/>
        </w:rPr>
        <w:t>单系列系统设计净产水量：Q=30万m³/d</w:t>
      </w:r>
      <w:bookmarkEnd w:id="1305"/>
    </w:p>
    <w:p w14:paraId="1A47CE2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单个主机设计净产水量：Q=625m³/(h·个）</w:t>
      </w:r>
    </w:p>
    <w:p w14:paraId="041EB36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运行通量≤63.6L/m2.h</w:t>
      </w:r>
    </w:p>
    <w:p w14:paraId="61A1E56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回收率：≥95%</w:t>
      </w:r>
    </w:p>
    <w:p w14:paraId="61DDF11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膜元件型式：外压式中空纤维超滤膜</w:t>
      </w:r>
    </w:p>
    <w:p w14:paraId="582FA7B3">
      <w:pPr>
        <w:widowControl/>
        <w:spacing w:line="360" w:lineRule="auto"/>
        <w:ind w:firstLine="480" w:firstLineChars="200"/>
        <w:rPr>
          <w:rFonts w:hint="eastAsia" w:ascii="宋体" w:hAnsi="宋体" w:eastAsia="宋体" w:cs="宋体"/>
          <w:color w:val="auto"/>
          <w:kern w:val="0"/>
          <w:sz w:val="24"/>
          <w:highlight w:val="none"/>
          <w:lang w:eastAsia="zh-CN"/>
        </w:rPr>
      </w:pPr>
      <w:bookmarkStart w:id="1306" w:name="_Toc9674"/>
      <w:r>
        <w:rPr>
          <w:rFonts w:hint="eastAsia" w:ascii="宋体" w:hAnsi="宋体" w:eastAsia="宋体" w:cs="宋体"/>
          <w:color w:val="auto"/>
          <w:kern w:val="0"/>
          <w:sz w:val="24"/>
          <w:highlight w:val="none"/>
          <w:lang w:eastAsia="zh-CN"/>
        </w:rPr>
        <w:t>2）PLC设备现状</w:t>
      </w:r>
      <w:bookmarkEnd w:id="1306"/>
    </w:p>
    <w:p w14:paraId="4EF48E0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①一期超滤膜车间PLC设备主要包括：</w:t>
      </w:r>
    </w:p>
    <w:p w14:paraId="01DB714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进水提升泵控制站LCU201A~F、LCU202A~F共12套；</w:t>
      </w:r>
    </w:p>
    <w:p w14:paraId="40A3752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膜车间加药控制站LCU701~705共5套（每种药剂一套）；化学清洗控制站LCU801~804；中和池控制站LCU901；公用设备控制站PLC01；</w:t>
      </w:r>
    </w:p>
    <w:p w14:paraId="519249A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膜堆主控制站MCU-A~D（每堆一套），膜堆分控制站LCUA1~5、LCUB1~5、LCUC1~5、LCUD1~5；</w:t>
      </w:r>
    </w:p>
    <w:p w14:paraId="777EB97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反洗控制站LCU301~304，气洗风机控制站LCU501~504（分别对每台反冲洗风机水泵控制）。</w:t>
      </w:r>
    </w:p>
    <w:p w14:paraId="09A9F840">
      <w:pPr>
        <w:widowControl/>
        <w:spacing w:line="360" w:lineRule="auto"/>
        <w:ind w:firstLine="480" w:firstLineChars="200"/>
        <w:rPr>
          <w:rFonts w:hint="eastAsia" w:ascii="宋体" w:hAnsi="宋体" w:eastAsia="宋体" w:cs="宋体"/>
          <w:color w:val="auto"/>
          <w:kern w:val="0"/>
          <w:sz w:val="24"/>
          <w:highlight w:val="none"/>
          <w:lang w:eastAsia="zh-CN"/>
        </w:rPr>
      </w:pPr>
      <w:bookmarkStart w:id="1307" w:name="_Toc7295"/>
      <w:r>
        <w:rPr>
          <w:rFonts w:hint="eastAsia" w:ascii="宋体" w:hAnsi="宋体" w:eastAsia="宋体" w:cs="宋体"/>
          <w:color w:val="auto"/>
          <w:kern w:val="0"/>
          <w:sz w:val="24"/>
          <w:highlight w:val="none"/>
          <w:lang w:eastAsia="zh-CN"/>
        </w:rPr>
        <w:t>3）数据模型设计要求</w:t>
      </w:r>
    </w:p>
    <w:p w14:paraId="39B2B90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超滤膜和超滤膜反冲洗设备等运行数据模型，数据模型主要参数包括有超滤膜设计参数、膜组编号、超滤膜堆运行时间～出水浊度数据组、运行时间～进水阀门数据组、运行时间～跨膜压差损失数据组、进水浊度～流量数据组、流量～电量数据组、阀门故障信号、膜组故障信号、反冲洗设备设计参数、反冲洗设备故障、反冲洗周期、反冲洗强度等。</w:t>
      </w:r>
    </w:p>
    <w:p w14:paraId="5838C73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膜组运行组合、水量、浊度、出水阀门开度等维度进行分类和聚类处理，形成数据标准规则库。</w:t>
      </w:r>
    </w:p>
    <w:p w14:paraId="512AE72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支持对数据进行标注，如：原水水质突变、空压机管道压力不足、反冲洗设备故障等突发情况。</w:t>
      </w:r>
    </w:p>
    <w:p w14:paraId="385052B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后续算法研究过程中，可以根据要求形成相应数据训练集，对场景所需的算法模型（如：超滤膜进水提升系统负荷产能评估模型、超滤膜预处理系统产能评估模型、超滤膜反冲洗设备产能评估模型、超滤膜膜组负荷评估模型等）进行训练。</w:t>
      </w:r>
    </w:p>
    <w:p w14:paraId="2E45423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4）智慧诊断</w:t>
      </w:r>
      <w:bookmarkEnd w:id="1307"/>
    </w:p>
    <w:p w14:paraId="474A7A5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608A60B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主要传感器包括：一期超滤膜车间进水流量计、一期沉后进超滤进水管流量计</w:t>
      </w:r>
    </w:p>
    <w:p w14:paraId="457907F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主要关键设备包括：变频器、超滤膜进水提升泵组、超滤膜反冲洗泵组、超滤膜反冲洗风机组</w:t>
      </w:r>
    </w:p>
    <w:p w14:paraId="382CD85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7918A0D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超滤膜系统主要进出通道是否有物品占道或人员异常闯入的情况；利用区域入侵识别模型，识别出系统中自定义区域是否有人员异常入侵的情况；利用人员检测及分析模型，分析出超滤膜系统重要区域逗留人员的数量和时长；利用地面积水识别模型，识别超滤膜系统重要区域是否有异常积水情况；利用火点检测模型，识别超滤膜系统重要区域是否有火点存在；利用烟雾检测模型，识别滤膜系统关键位置是否有异常烟雾存在；利用小动物检测模型，识别场景主要区域里是否有小动物异常闯入等。</w:t>
      </w:r>
    </w:p>
    <w:p w14:paraId="194A1AC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计算等手段识别出超滤膜进水提升泵站的实际运行产能情况与理论计算值的差距是否有异常；识别出单台超滤膜进水提升泵组运行电力参数和超滤膜进水提升泵站整体运行电力参数是否存在异常差值；超滤膜进水提升泵站恒流量/恒压力运行时，控制目标值与实际运行情况是否在合理误差范围内；识别计算出反冲洗设备的实际运行产能情况与理论计算值的差距是否合理；识别出单台反冲洗水泵组/风机组运行电力参数和反冲洗泵房整体运行电力参数是否存在异常差值；反冲洗设备运行时，控制目标值与实际运行情况是否在合理误差范围内。</w:t>
      </w:r>
    </w:p>
    <w:p w14:paraId="6995788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770DA14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08" w:name="_Toc30071"/>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清水池系统</w:t>
      </w:r>
      <w:bookmarkEnd w:id="1308"/>
    </w:p>
    <w:p w14:paraId="1FF40F96">
      <w:pPr>
        <w:widowControl/>
        <w:spacing w:line="360" w:lineRule="auto"/>
        <w:ind w:firstLine="480" w:firstLineChars="200"/>
        <w:rPr>
          <w:rFonts w:hint="eastAsia" w:ascii="宋体" w:hAnsi="宋体" w:eastAsia="宋体" w:cs="宋体"/>
          <w:color w:val="auto"/>
          <w:kern w:val="0"/>
          <w:sz w:val="24"/>
          <w:highlight w:val="none"/>
          <w:lang w:eastAsia="zh-CN"/>
        </w:rPr>
      </w:pPr>
      <w:bookmarkStart w:id="1309" w:name="_Toc18296"/>
      <w:r>
        <w:rPr>
          <w:rFonts w:hint="eastAsia" w:ascii="宋体" w:hAnsi="宋体" w:eastAsia="宋体" w:cs="宋体"/>
          <w:color w:val="auto"/>
          <w:kern w:val="0"/>
          <w:sz w:val="24"/>
          <w:highlight w:val="none"/>
          <w:lang w:eastAsia="zh-CN"/>
        </w:rPr>
        <w:t>1）工艺设计要求</w:t>
      </w:r>
      <w:bookmarkEnd w:id="1309"/>
    </w:p>
    <w:p w14:paraId="2A11F30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清水池能够调节水厂制水量与供水量之间的差额，确保供水系统的稳定运行。它可以在用水量波动时，通过贮存多余的水或补充不足的水，来平衡供水系统的供需关系。</w:t>
      </w:r>
    </w:p>
    <w:p w14:paraId="6C699529">
      <w:pPr>
        <w:widowControl/>
        <w:spacing w:line="360" w:lineRule="auto"/>
        <w:ind w:firstLine="480" w:firstLineChars="200"/>
        <w:rPr>
          <w:rFonts w:hint="eastAsia" w:ascii="宋体" w:hAnsi="宋体" w:eastAsia="宋体" w:cs="宋体"/>
          <w:color w:val="auto"/>
          <w:kern w:val="0"/>
          <w:sz w:val="24"/>
          <w:highlight w:val="none"/>
          <w:lang w:eastAsia="zh-CN"/>
        </w:rPr>
      </w:pPr>
      <w:bookmarkStart w:id="1310" w:name="_Toc15912"/>
      <w:r>
        <w:rPr>
          <w:rFonts w:hint="eastAsia" w:ascii="宋体" w:hAnsi="宋体" w:eastAsia="宋体" w:cs="宋体"/>
          <w:color w:val="auto"/>
          <w:kern w:val="0"/>
          <w:sz w:val="24"/>
          <w:highlight w:val="none"/>
          <w:lang w:eastAsia="zh-CN"/>
        </w:rPr>
        <w:t>①一期清水池</w:t>
      </w:r>
      <w:bookmarkEnd w:id="1310"/>
    </w:p>
    <w:p w14:paraId="71E6572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一期清水池设计规模60万m3/d，共设置两座。</w:t>
      </w:r>
    </w:p>
    <w:p w14:paraId="1E2C03F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单座清水池分为独立3格，有效水深4.3m，单座有效容积约36000m³。两座清水池总有效容积约72000m³，清水池进水管上设流量计及管道混合器。清水池内设清洗压力水管和排空抽升设备。</w:t>
      </w:r>
    </w:p>
    <w:p w14:paraId="27EA7348">
      <w:pPr>
        <w:widowControl/>
        <w:spacing w:line="360" w:lineRule="auto"/>
        <w:ind w:firstLine="480" w:firstLineChars="200"/>
        <w:rPr>
          <w:rFonts w:hint="eastAsia" w:ascii="宋体" w:hAnsi="宋体" w:eastAsia="宋体" w:cs="宋体"/>
          <w:color w:val="auto"/>
          <w:kern w:val="0"/>
          <w:sz w:val="24"/>
          <w:highlight w:val="none"/>
          <w:lang w:eastAsia="zh-CN"/>
        </w:rPr>
      </w:pPr>
      <w:bookmarkStart w:id="1311" w:name="_Toc18865"/>
      <w:r>
        <w:rPr>
          <w:rFonts w:hint="eastAsia" w:ascii="宋体" w:hAnsi="宋体" w:eastAsia="宋体" w:cs="宋体"/>
          <w:color w:val="auto"/>
          <w:kern w:val="0"/>
          <w:sz w:val="24"/>
          <w:highlight w:val="none"/>
          <w:lang w:eastAsia="zh-CN"/>
        </w:rPr>
        <w:t>②二期清水池</w:t>
      </w:r>
      <w:bookmarkEnd w:id="1311"/>
    </w:p>
    <w:p w14:paraId="34A521C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二期清水池设计规模90万m3/d，共设置三座。</w:t>
      </w:r>
    </w:p>
    <w:p w14:paraId="5049A89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单座清水池分为独立3格，有效水深4.3m，单座有效容积约36000m³。三座清水池总有效容积约108000m³，清水池进水管上设流量计及管道混合器。清水池内设清洗压力水管和排空抽升设备。</w:t>
      </w:r>
    </w:p>
    <w:p w14:paraId="1D8A6A7B">
      <w:pPr>
        <w:widowControl/>
        <w:spacing w:line="360" w:lineRule="auto"/>
        <w:ind w:firstLine="480" w:firstLineChars="200"/>
        <w:rPr>
          <w:rFonts w:hint="eastAsia" w:ascii="宋体" w:hAnsi="宋体" w:eastAsia="宋体" w:cs="宋体"/>
          <w:color w:val="auto"/>
          <w:kern w:val="0"/>
          <w:sz w:val="24"/>
          <w:highlight w:val="none"/>
          <w:lang w:eastAsia="zh-CN"/>
        </w:rPr>
      </w:pPr>
      <w:bookmarkStart w:id="1312" w:name="_Toc30518"/>
      <w:r>
        <w:rPr>
          <w:rFonts w:hint="eastAsia" w:ascii="宋体" w:hAnsi="宋体" w:eastAsia="宋体" w:cs="宋体"/>
          <w:color w:val="auto"/>
          <w:kern w:val="0"/>
          <w:sz w:val="24"/>
          <w:highlight w:val="none"/>
          <w:lang w:eastAsia="zh-CN"/>
        </w:rPr>
        <w:t>2）PLC设备现状</w:t>
      </w:r>
      <w:bookmarkEnd w:id="1312"/>
    </w:p>
    <w:p w14:paraId="4C4AC06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en-US"/>
        </w:rPr>
        <w:t>主要包括一期1#沉清池控制站7PLC1,2#沉清池控制站7PLC2；二期3/4#沉清池控制站、5#沉清池控制站1LCU、2LCU，</w:t>
      </w:r>
      <w:r>
        <w:rPr>
          <w:rFonts w:hint="eastAsia" w:ascii="宋体" w:hAnsi="宋体" w:eastAsia="宋体" w:cs="宋体"/>
          <w:color w:val="auto"/>
          <w:kern w:val="0"/>
          <w:sz w:val="24"/>
          <w:highlight w:val="none"/>
          <w:lang w:eastAsia="zh-CN"/>
        </w:rPr>
        <w:t>二期</w:t>
      </w:r>
      <w:r>
        <w:rPr>
          <w:rFonts w:hint="eastAsia" w:ascii="宋体" w:hAnsi="宋体" w:eastAsia="宋体" w:cs="宋体"/>
          <w:color w:val="auto"/>
          <w:kern w:val="0"/>
          <w:sz w:val="24"/>
          <w:highlight w:val="none"/>
          <w:lang w:eastAsia="en-US"/>
        </w:rPr>
        <w:t>沉清池远程IO站1RIO01~07/2RIO01~05；</w:t>
      </w:r>
    </w:p>
    <w:p w14:paraId="1B1BED42">
      <w:pPr>
        <w:widowControl/>
        <w:spacing w:line="360" w:lineRule="auto"/>
        <w:ind w:firstLine="480" w:firstLineChars="200"/>
        <w:rPr>
          <w:rFonts w:hint="eastAsia" w:ascii="宋体" w:hAnsi="宋体" w:eastAsia="宋体" w:cs="宋体"/>
          <w:color w:val="auto"/>
          <w:kern w:val="0"/>
          <w:sz w:val="24"/>
          <w:highlight w:val="none"/>
          <w:lang w:eastAsia="zh-CN"/>
        </w:rPr>
      </w:pPr>
      <w:bookmarkStart w:id="1313" w:name="_Toc24953"/>
      <w:r>
        <w:rPr>
          <w:rFonts w:hint="eastAsia" w:ascii="宋体" w:hAnsi="宋体" w:eastAsia="宋体" w:cs="宋体"/>
          <w:color w:val="auto"/>
          <w:kern w:val="0"/>
          <w:sz w:val="24"/>
          <w:highlight w:val="none"/>
          <w:lang w:eastAsia="zh-CN"/>
        </w:rPr>
        <w:t>3）数据模型设计要求</w:t>
      </w:r>
    </w:p>
    <w:p w14:paraId="721D91C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建立主要设施运行数据模型，数据模型主要参数包括有清水池液位、配套阀门开度、配套设备故障信号等。</w:t>
      </w:r>
    </w:p>
    <w:p w14:paraId="1C169C1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对实时数据进行数据清洗预处理，如：关健计量仪表数据缺失和跳变等异常、主要设备与实际工况偏差较大时进行剔除或纠正等操作，将清洗后数据存储至数据模型中，形成数据标准规则库。</w:t>
      </w:r>
    </w:p>
    <w:p w14:paraId="3067C1F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可以根据要求形成相应数据训练集，对场景所需算法模型（如：清水池负荷评估模型等）进行训练。</w:t>
      </w:r>
    </w:p>
    <w:p w14:paraId="07E4B0F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4）智慧诊断</w:t>
      </w:r>
      <w:bookmarkEnd w:id="1313"/>
    </w:p>
    <w:p w14:paraId="3B28FBF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335E064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主要传感器包括：一期AB清水池进水管流量计、二期砂滤池至清水池流量计、清水池液位计</w:t>
      </w:r>
    </w:p>
    <w:p w14:paraId="6613E0B8">
      <w:pPr>
        <w:widowControl/>
        <w:spacing w:line="360" w:lineRule="auto"/>
        <w:ind w:firstLine="480" w:firstLineChars="200"/>
        <w:rPr>
          <w:rFonts w:hint="eastAsia" w:ascii="宋体" w:hAnsi="宋体" w:eastAsia="宋体" w:cs="宋体"/>
          <w:color w:val="auto"/>
          <w:kern w:val="0"/>
          <w:sz w:val="24"/>
          <w:highlight w:val="none"/>
          <w:lang w:eastAsia="zh-CN"/>
        </w:rPr>
      </w:pPr>
      <w:bookmarkStart w:id="1314" w:name="_Toc24745"/>
      <w:r>
        <w:rPr>
          <w:rFonts w:hint="eastAsia" w:ascii="宋体" w:hAnsi="宋体" w:eastAsia="宋体" w:cs="宋体"/>
          <w:color w:val="auto"/>
          <w:kern w:val="0"/>
          <w:sz w:val="24"/>
          <w:highlight w:val="none"/>
          <w:lang w:eastAsia="zh-CN"/>
        </w:rPr>
        <w:t>主要关键设备包括：主要进出水口阀门</w:t>
      </w:r>
      <w:bookmarkEnd w:id="1314"/>
    </w:p>
    <w:p w14:paraId="315BB61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50125EA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清水池主要进出通道是否有物品占道或人员异常闯入的情况；清水池液位下降变化率与实际进出水量差异较大，可进行异常漏损判别；通过液位上升变化率和实时值判断清水池是否存在溢池趋势或水位溢出现象等。</w:t>
      </w:r>
    </w:p>
    <w:p w14:paraId="0C1E69A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5415A567">
      <w:pPr>
        <w:widowControl/>
        <w:spacing w:line="360" w:lineRule="auto"/>
        <w:ind w:firstLine="480" w:firstLineChars="200"/>
        <w:rPr>
          <w:rFonts w:hint="eastAsia" w:ascii="宋体" w:hAnsi="宋体" w:eastAsia="宋体" w:cs="宋体"/>
          <w:color w:val="auto"/>
          <w:kern w:val="0"/>
          <w:sz w:val="24"/>
          <w:highlight w:val="none"/>
          <w:lang w:eastAsia="zh-CN"/>
        </w:rPr>
      </w:pPr>
      <w:bookmarkStart w:id="1315" w:name="_Toc9698"/>
      <w:r>
        <w:rPr>
          <w:rFonts w:hint="eastAsia" w:ascii="宋体" w:hAnsi="宋体" w:eastAsia="宋体" w:cs="宋体"/>
          <w:color w:val="auto"/>
          <w:kern w:val="0"/>
          <w:sz w:val="24"/>
          <w:highlight w:val="none"/>
          <w:lang w:eastAsia="zh-CN"/>
        </w:rPr>
        <w:t>5）自主生产</w:t>
      </w:r>
      <w:bookmarkEnd w:id="1315"/>
    </w:p>
    <w:p w14:paraId="3499441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①产能评估</w:t>
      </w:r>
    </w:p>
    <w:p w14:paraId="387558B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通过清水池负荷能力评估模型，根据生产系统内构筑物设计情况、故障情况及运行情况，对当前清水池系统的生产能力、负荷率和可调能力进行评估，为配水量分析、产线水量分析等联动调度决策提供支撑。</w:t>
      </w:r>
    </w:p>
    <w:p w14:paraId="7113B6A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②自主控制</w:t>
      </w:r>
    </w:p>
    <w:p w14:paraId="1C493B4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基于配水分析水量计算结果，当无法通过泵组开停调节水量时，可通过控制清水池的阀门开度，保证清水池的蓄水量稳定，作为水量辅助调节。</w:t>
      </w:r>
    </w:p>
    <w:p w14:paraId="6B28FDC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③应急事件处理</w:t>
      </w:r>
    </w:p>
    <w:p w14:paraId="59ADD4D9">
      <w:pPr>
        <w:widowControl/>
        <w:spacing w:line="360" w:lineRule="auto"/>
        <w:ind w:firstLine="480" w:firstLineChars="200"/>
        <w:rPr>
          <w:rFonts w:hint="eastAsia" w:ascii="宋体" w:hAnsi="宋体" w:eastAsia="宋体" w:cs="仿宋_GB2312"/>
          <w:color w:val="auto"/>
          <w:kern w:val="0"/>
          <w:sz w:val="24"/>
          <w:szCs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当产线冗余来水管道出现单边爆漏时，需自动执行对应的来水阀门紧急关停等。</w:t>
      </w:r>
    </w:p>
    <w:p w14:paraId="21395FE9">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16" w:name="_Toc22474"/>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送水泵站系统</w:t>
      </w:r>
      <w:bookmarkEnd w:id="1316"/>
    </w:p>
    <w:p w14:paraId="3D1C0AB0">
      <w:pPr>
        <w:widowControl/>
        <w:spacing w:line="360" w:lineRule="auto"/>
        <w:ind w:firstLine="480" w:firstLineChars="200"/>
        <w:rPr>
          <w:rFonts w:hint="eastAsia" w:ascii="宋体" w:hAnsi="宋体" w:eastAsia="宋体" w:cs="宋体"/>
          <w:color w:val="auto"/>
          <w:kern w:val="0"/>
          <w:sz w:val="24"/>
          <w:highlight w:val="none"/>
          <w:lang w:eastAsia="zh-CN"/>
        </w:rPr>
      </w:pPr>
      <w:bookmarkStart w:id="1317" w:name="_Toc8073"/>
      <w:r>
        <w:rPr>
          <w:rFonts w:hint="eastAsia" w:ascii="宋体" w:hAnsi="宋体" w:eastAsia="宋体" w:cs="宋体"/>
          <w:color w:val="auto"/>
          <w:kern w:val="0"/>
          <w:sz w:val="24"/>
          <w:highlight w:val="none"/>
          <w:lang w:eastAsia="zh-CN"/>
        </w:rPr>
        <w:t>1）工艺设计要求</w:t>
      </w:r>
      <w:bookmarkEnd w:id="1317"/>
    </w:p>
    <w:p w14:paraId="1071540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送水泵站主要用于将水厂产水输送至各用水终端，维护管网系统运行的稳定性，调节水压、水量，确保用户需求得到满足。</w:t>
      </w:r>
    </w:p>
    <w:p w14:paraId="3695B01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北部水厂送水泵房共1座，土建规模150万m³/d，一期已完成土建施工。</w:t>
      </w:r>
    </w:p>
    <w:p w14:paraId="1D75010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吸水井为地下式，1座分2格，单格设3根DN2000进水管，接收来自于清水池的清水，最高水位8.0m，最低水位4.0m。</w:t>
      </w:r>
    </w:p>
    <w:p w14:paraId="012B86A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送水泵房采用半地下式结构，泵房西侧为配电间、控制室等。泵房内共设11台泵位，9大2小，泵组基础、进出水管道在一期工程中已全部安装完成，并预留二期安装位置。</w:t>
      </w:r>
    </w:p>
    <w:p w14:paraId="15751083">
      <w:pPr>
        <w:widowControl/>
        <w:spacing w:line="360" w:lineRule="auto"/>
        <w:ind w:firstLine="480" w:firstLineChars="200"/>
        <w:rPr>
          <w:rFonts w:hint="eastAsia" w:ascii="宋体" w:hAnsi="宋体" w:eastAsia="宋体" w:cs="宋体"/>
          <w:color w:val="auto"/>
          <w:kern w:val="0"/>
          <w:sz w:val="24"/>
          <w:highlight w:val="none"/>
          <w:lang w:eastAsia="zh-CN"/>
        </w:rPr>
      </w:pPr>
      <w:bookmarkStart w:id="1318" w:name="_Toc18774"/>
      <w:r>
        <w:rPr>
          <w:rFonts w:hint="eastAsia" w:ascii="宋体" w:hAnsi="宋体" w:eastAsia="宋体" w:cs="宋体"/>
          <w:color w:val="auto"/>
          <w:kern w:val="0"/>
          <w:sz w:val="24"/>
          <w:highlight w:val="none"/>
          <w:lang w:eastAsia="zh-CN"/>
        </w:rPr>
        <w:t>①一期送水泵站</w:t>
      </w:r>
      <w:bookmarkEnd w:id="1318"/>
    </w:p>
    <w:p w14:paraId="71B32DE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工程已安装4台大泵，2台小泵，满足60万m³/d供水和灵活调节供水量需求。一期4台大泵3用1备，单泵流量9200m³/h，扬程约60m，功率约1800kW；2台小泵单泵流量4600m³/h，扬程约60m，功率约1000kW，水泵采用自灌进水。</w:t>
      </w:r>
    </w:p>
    <w:p w14:paraId="694C25AB">
      <w:pPr>
        <w:widowControl/>
        <w:spacing w:line="360" w:lineRule="auto"/>
        <w:ind w:firstLine="480" w:firstLineChars="200"/>
        <w:rPr>
          <w:rFonts w:hint="eastAsia" w:ascii="宋体" w:hAnsi="宋体" w:eastAsia="宋体" w:cs="宋体"/>
          <w:color w:val="auto"/>
          <w:kern w:val="0"/>
          <w:sz w:val="24"/>
          <w:highlight w:val="none"/>
          <w:lang w:eastAsia="zh-CN"/>
        </w:rPr>
      </w:pPr>
      <w:bookmarkStart w:id="1319" w:name="_Toc15490"/>
      <w:r>
        <w:rPr>
          <w:rFonts w:hint="eastAsia" w:ascii="宋体" w:hAnsi="宋体" w:eastAsia="宋体" w:cs="宋体"/>
          <w:color w:val="auto"/>
          <w:kern w:val="0"/>
          <w:sz w:val="24"/>
          <w:highlight w:val="none"/>
          <w:lang w:eastAsia="zh-CN"/>
        </w:rPr>
        <w:t>②二期送水泵站</w:t>
      </w:r>
      <w:bookmarkEnd w:id="1319"/>
    </w:p>
    <w:p w14:paraId="6B34361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二期工程在本次建设中计划在原有基础上安装3台大泵，满足供水和灵活调节供水量需求。3台大泵，单泵流量9200m³/h，扬程约60m，功率约1800kw，其中两台采用变频调速，水泵采用自灌进水。</w:t>
      </w:r>
    </w:p>
    <w:p w14:paraId="2689B4B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7713033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主要包括送水泵主控制站16sPLC0，送水泵组控制站16sPLC1~11，均无冗余配置。</w:t>
      </w:r>
    </w:p>
    <w:p w14:paraId="61A6927F">
      <w:pPr>
        <w:widowControl/>
        <w:spacing w:line="360" w:lineRule="auto"/>
        <w:ind w:firstLine="480" w:firstLineChars="200"/>
        <w:rPr>
          <w:rFonts w:hint="eastAsia" w:ascii="宋体" w:hAnsi="宋体" w:eastAsia="宋体" w:cs="宋体"/>
          <w:color w:val="auto"/>
          <w:kern w:val="0"/>
          <w:sz w:val="24"/>
          <w:highlight w:val="none"/>
          <w:lang w:eastAsia="zh-CN"/>
        </w:rPr>
      </w:pPr>
      <w:bookmarkStart w:id="1320" w:name="_Toc30259"/>
      <w:r>
        <w:rPr>
          <w:rFonts w:hint="eastAsia" w:ascii="宋体" w:hAnsi="宋体" w:eastAsia="宋体" w:cs="宋体"/>
          <w:color w:val="auto"/>
          <w:kern w:val="0"/>
          <w:sz w:val="24"/>
          <w:highlight w:val="none"/>
          <w:lang w:eastAsia="zh-CN"/>
        </w:rPr>
        <w:t>3）数据模型设计要求</w:t>
      </w:r>
    </w:p>
    <w:p w14:paraId="258B1DD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备（泵、电机、阀门等）运行数据模型，数据模型主要参数包括有水泵组编号、出厂测试原性能扬程～流量（H～Q），效率～流量（η～Q），功率～流量（P～Q）、电机型号额定参数、水泵标准性能参数、实时运行连续累计时间、进出水压力、出水流量瞬时和累计值、用电量、运行振动值、电机温度、泵站温湿度、吸水井高度、故障信号等。</w:t>
      </w:r>
    </w:p>
    <w:p w14:paraId="0AF2D3A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机组组合、水量、压力、温度等维度进行分类和聚类处理，形成数据标准规则库。</w:t>
      </w:r>
    </w:p>
    <w:p w14:paraId="010B58A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支持对数据进行标注，如：突然遇到泵站停电跳闸、附近供水主管道突然爆漏降压时、公司调度因供水管网系统需要临时直接控制开停机等突发情况。</w:t>
      </w:r>
    </w:p>
    <w:p w14:paraId="4330102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后续算法研究过程中，可以根据要求形成相应数据训练集，对控制模型进行训练。</w:t>
      </w:r>
    </w:p>
    <w:p w14:paraId="18494A8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4）主要算法设计要求</w:t>
      </w:r>
    </w:p>
    <w:p w14:paraId="67FE9AD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①机理模型</w:t>
      </w:r>
    </w:p>
    <w:p w14:paraId="366B7B5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通过校核单泵高效区特性曲线，结合原性能曲线及现场曲线，参考不同泵组合特性、管阻、能效等参数进行分析，建立相应的机理模型，计算出最优泵组组合和变频泵频率。</w:t>
      </w:r>
    </w:p>
    <w:p w14:paraId="6DE3A7E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②数理模型</w:t>
      </w:r>
    </w:p>
    <w:p w14:paraId="3013BEE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采用大数据分析的方法，基于北部水厂运行历史和实时数据，建立泵组运行能效专家库，以泵运行能效专家库数据为依据，优选泵启停台数和工作频率(变频泵)，实现对机泵的控制，确保北部水厂送水泵组高效、优化、自动运行。</w:t>
      </w:r>
    </w:p>
    <w:p w14:paraId="760C7BE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以上述机理及数理模型作为基础，构建送水泵站泵组产能评估模型、送水泵站泵组健康度评估模型、送水泵站保障度评估模型、送水泵站智能搭配优化模型、送水泵站自动平滑切换模型等算法模型，保证送水泵站系统可靠高效运行。</w:t>
      </w:r>
    </w:p>
    <w:p w14:paraId="7D8EBFD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5）智慧诊断</w:t>
      </w:r>
      <w:bookmarkEnd w:id="1320"/>
    </w:p>
    <w:p w14:paraId="292960B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536EA3B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主要传感器包括：送水泵出水管流量计、送水泵出水管压力变送器、出厂水管流量计、出厂水管压力变送器、吸水井液位计</w:t>
      </w:r>
    </w:p>
    <w:p w14:paraId="12E75DB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主要关键设备包括：送水泵组、变频器、出厂水总管和分管主要配套阀门</w:t>
      </w:r>
    </w:p>
    <w:p w14:paraId="60B739C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58D8E27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送水泵站主要进出通道是否有物品占道或人员异常闯入的情况；利用区域入侵识别模型，识别出系统中自定义区域是否有人员异常入侵的情况；利用人员检测及分析模型，分析出送水泵站重要区域内逗留人员的数量和时长；利用地面积水识别模型，识别送水泵站重要区域内是否有异常积水情况；利用火点检测模型，识别送水泵站站重要区域内环境及其关键设备等是否有火点存在；利用烟雾检测模型，识别送水泵站站内重要区域环境及其关键设备等是否有异常烟雾存在；利用小动物检测模型，识别场景主要区域里是否有小动物异常闯入等。</w:t>
      </w:r>
    </w:p>
    <w:p w14:paraId="02FB40F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综合分析现场传感器采集的数据和产能评估模型的计算结果，计算出送水泵站的实际运行产能情况与理论计算值的差距；识别出单台送水泵组运行电力参数和送水泵站整体运行电力参数是否存在异常差值；送水泵站恒流量/恒压力运行时，控制目标值与实际运行情况是否在合理误差范围内等。</w:t>
      </w:r>
    </w:p>
    <w:p w14:paraId="16CDBEF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0087B9D0">
      <w:pPr>
        <w:widowControl/>
        <w:spacing w:line="360" w:lineRule="auto"/>
        <w:ind w:firstLine="480" w:firstLineChars="200"/>
        <w:rPr>
          <w:rFonts w:hint="eastAsia" w:ascii="宋体" w:hAnsi="宋体" w:eastAsia="宋体" w:cs="宋体"/>
          <w:color w:val="auto"/>
          <w:kern w:val="0"/>
          <w:sz w:val="24"/>
          <w:highlight w:val="none"/>
          <w:lang w:eastAsia="zh-CN"/>
        </w:rPr>
      </w:pPr>
      <w:bookmarkStart w:id="1321" w:name="_Toc8376"/>
      <w:r>
        <w:rPr>
          <w:rFonts w:hint="eastAsia" w:ascii="宋体" w:hAnsi="宋体" w:eastAsia="宋体" w:cs="宋体"/>
          <w:color w:val="auto"/>
          <w:kern w:val="0"/>
          <w:sz w:val="24"/>
          <w:highlight w:val="none"/>
          <w:lang w:eastAsia="zh-CN"/>
        </w:rPr>
        <w:t>6）自主生产</w:t>
      </w:r>
      <w:bookmarkEnd w:id="1321"/>
    </w:p>
    <w:p w14:paraId="74CAB85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①产能评估</w:t>
      </w:r>
    </w:p>
    <w:p w14:paraId="281E614E">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通过送水泵站产能评估模型，根据生产系统内设备设计情况、故障情况及运行情况，对当前送水泵站系统生产能力、负荷率和可调能力进行评估，为配水量分析、产线水量分析等联动调度决策提供支撑。</w:t>
      </w:r>
    </w:p>
    <w:p w14:paraId="3D2460E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②自主控制</w:t>
      </w:r>
    </w:p>
    <w:p w14:paraId="3695611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基于配水分析算法模型的计算进水流量，根据清水液位、吸水井液位等数据的实时变化，并结合水泵特性曲线和系统特性曲线，针对北部水厂送水泵站里不同大小的水泵，以及工频、变频泵混搭的情况，优选出一套最高效、最合理的水泵组合和启停方式，从而让水厂在满足生产和调度管理需求的前提下，进一步的挖掘水泵的效率运行空间，达到节能降耗的目的。</w:t>
      </w:r>
    </w:p>
    <w:p w14:paraId="1B7B210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基于PLC提供的数据接口，对单台送水泵组实现各类运行模式切换、一步化开/停机、基于不同目标参数的精准控制等功能。</w:t>
      </w:r>
    </w:p>
    <w:p w14:paraId="69C5911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对多台送水泵组，根据送水泵站智能搭配优化模型和送水泵站自动平滑切换模型的计算结果实现对送水泵站内的泵组智能联调联控功能。</w:t>
      </w:r>
    </w:p>
    <w:p w14:paraId="684BEDD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对以上控制功能要求达到但不限于以下指标和目的：</w:t>
      </w:r>
    </w:p>
    <w:p w14:paraId="2816618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1.送水泵组运行模式切换功能包括停用模式、就地模式、远程模式等；</w:t>
      </w:r>
    </w:p>
    <w:p w14:paraId="6EE988C8">
      <w:pPr>
        <w:widowControl/>
        <w:spacing w:line="360" w:lineRule="auto"/>
        <w:ind w:firstLine="480" w:firstLineChars="200"/>
        <w:rPr>
          <w:rFonts w:hint="eastAsia" w:ascii="宋体" w:hAnsi="宋体" w:eastAsia="宋体" w:cs="宋体"/>
          <w:color w:val="auto"/>
          <w:kern w:val="0"/>
          <w:sz w:val="24"/>
          <w:highlight w:val="none"/>
          <w:lang w:eastAsia="zh-CN"/>
        </w:rPr>
      </w:pPr>
      <w:bookmarkStart w:id="1322" w:name="_Toc9935"/>
      <w:r>
        <w:rPr>
          <w:rFonts w:hint="eastAsia" w:ascii="宋体" w:hAnsi="宋体" w:eastAsia="宋体" w:cs="宋体"/>
          <w:color w:val="auto"/>
          <w:kern w:val="0"/>
          <w:sz w:val="24"/>
          <w:highlight w:val="none"/>
          <w:lang w:eastAsia="zh-CN"/>
        </w:rPr>
        <w:t>2.精准控制模式包括压力优先、流量优先等；</w:t>
      </w:r>
      <w:bookmarkEnd w:id="1322"/>
    </w:p>
    <w:p w14:paraId="46AC36C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3.恒压力控制误差绝对值≤0.02MPa，实现时间≤3min；</w:t>
      </w:r>
    </w:p>
    <w:p w14:paraId="5E62AC4F">
      <w:pPr>
        <w:widowControl/>
        <w:spacing w:line="360" w:lineRule="auto"/>
        <w:ind w:firstLine="480" w:firstLineChars="200"/>
        <w:rPr>
          <w:rFonts w:hint="eastAsia" w:ascii="宋体" w:hAnsi="宋体" w:eastAsia="宋体" w:cs="宋体"/>
          <w:color w:val="auto"/>
          <w:kern w:val="0"/>
          <w:sz w:val="24"/>
          <w:highlight w:val="none"/>
          <w:lang w:eastAsia="zh-CN"/>
        </w:rPr>
      </w:pPr>
      <w:bookmarkStart w:id="1323" w:name="_Toc7751"/>
      <w:r>
        <w:rPr>
          <w:rFonts w:hint="eastAsia" w:ascii="宋体" w:hAnsi="宋体" w:eastAsia="宋体" w:cs="宋体"/>
          <w:color w:val="auto"/>
          <w:kern w:val="0"/>
          <w:sz w:val="24"/>
          <w:highlight w:val="none"/>
          <w:lang w:eastAsia="zh-CN"/>
        </w:rPr>
        <w:t>4.恒流量控制误差绝对值≤5%，实现时间≤5min；</w:t>
      </w:r>
      <w:bookmarkEnd w:id="1323"/>
    </w:p>
    <w:p w14:paraId="7B1B923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送水泵站智能搭配优化：以泵组最优效率为导向，结合配水量分析结果，并考虑清水池的调蓄能力，基于多目标优化对泵组搭配方案进行求解，充分考虑开机时长、泵组健康度、泵组频繁切换等场景约束，推算出满足目标要求的泵组组合和变频泵频率，同时避免泵组的频繁切换；</w:t>
      </w:r>
    </w:p>
    <w:p w14:paraId="6C4F99A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送水泵站自动平滑切换：根据送水泵站智能搭配优化给出的泵组启停要求，对泵组安全工况、出厂水管网特性需求等约束综合分析考虑，求解满足切换需求且各项指标最优化的切换控制策略，将求解得到的最优切换控制策略转化为对各泵组的精细启停时序和开度变化曲线的控制指令，通过控制系统执行实现平滑切换。</w:t>
      </w:r>
    </w:p>
    <w:p w14:paraId="58D1AFA2">
      <w:pPr>
        <w:widowControl/>
        <w:spacing w:line="360" w:lineRule="auto"/>
        <w:ind w:firstLine="480" w:firstLineChars="200"/>
        <w:rPr>
          <w:rFonts w:hint="eastAsia" w:ascii="宋体" w:hAnsi="宋体" w:eastAsia="宋体" w:cs="宋体"/>
          <w:color w:val="auto"/>
          <w:kern w:val="0"/>
          <w:sz w:val="24"/>
          <w:highlight w:val="none"/>
          <w:lang w:eastAsia="zh-CN"/>
        </w:rPr>
      </w:pPr>
      <w:bookmarkStart w:id="1324" w:name="_Toc2717"/>
      <w:r>
        <w:rPr>
          <w:rFonts w:hint="eastAsia" w:ascii="宋体" w:hAnsi="宋体" w:eastAsia="宋体" w:cs="宋体"/>
          <w:color w:val="auto"/>
          <w:kern w:val="0"/>
          <w:sz w:val="24"/>
          <w:highlight w:val="none"/>
          <w:lang w:eastAsia="zh-CN"/>
        </w:rPr>
        <w:t>③应急事件处理</w:t>
      </w:r>
      <w:bookmarkEnd w:id="1324"/>
    </w:p>
    <w:p w14:paraId="2AE58A9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当泵组处于运行状态，识别到泵组出水液压阀发生阀门位置异常时，能够自动执行液压阀补压功能，保证出口压力流量稳定；当泵组处于停机状态，识别到泵组出水液压阀未关尽时，能够自动执行关阀操作，保障设备和生产安全；当单个泵组出现紧急故障需要切除时，需要对故障泵组进行一步化联动停用和备用设备自动投入，实现泵站安全生产；当出厂水压力流量发生异常波动时，根据预设规则识别管网爆漏级别，如发生重大爆漏时可紧急停机，避免水量的不必要损失和管网爆漏的影响扩散；当自动控制出现失调等情况时，能够及时启用人工干预机制，进行人工手动控制泵组运行情况等。</w:t>
      </w:r>
    </w:p>
    <w:p w14:paraId="7F0C6FE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25" w:name="_Toc26758"/>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污泥处理系统</w:t>
      </w:r>
      <w:bookmarkEnd w:id="1325"/>
    </w:p>
    <w:p w14:paraId="7F70153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1）工艺设计要求</w:t>
      </w:r>
    </w:p>
    <w:p w14:paraId="062E125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利用该系统特性，对水处理过程中产生的泥水进行浓缩、脱水等处理，得到含固率大于30%/40%的可外运泥饼，以减少环境污染和提高水利用率。</w:t>
      </w:r>
    </w:p>
    <w:p w14:paraId="5B929DC3">
      <w:pPr>
        <w:widowControl/>
        <w:spacing w:line="360" w:lineRule="auto"/>
        <w:ind w:firstLine="480" w:firstLineChars="200"/>
        <w:rPr>
          <w:rFonts w:hint="eastAsia" w:ascii="宋体" w:hAnsi="宋体" w:eastAsia="宋体" w:cs="宋体"/>
          <w:color w:val="auto"/>
          <w:kern w:val="0"/>
          <w:sz w:val="24"/>
          <w:highlight w:val="none"/>
          <w:lang w:eastAsia="zh-CN"/>
        </w:rPr>
      </w:pPr>
      <w:bookmarkStart w:id="1326" w:name="_Toc20901"/>
      <w:r>
        <w:rPr>
          <w:rFonts w:hint="eastAsia" w:ascii="宋体" w:hAnsi="宋体" w:eastAsia="宋体" w:cs="宋体"/>
          <w:color w:val="auto"/>
          <w:kern w:val="0"/>
          <w:sz w:val="24"/>
          <w:highlight w:val="none"/>
          <w:lang w:eastAsia="zh-CN"/>
        </w:rPr>
        <w:t>①一期脱水车间</w:t>
      </w:r>
      <w:bookmarkEnd w:id="1326"/>
    </w:p>
    <w:p w14:paraId="74B1BBB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现状一期工程已建脱水机房共1座，水厂一期干泥量处理规模为22.63t/d；脱水机房内共设6台脱水机位，双排布置，一期安装3台，2用1备，可全开，单台处理量25~30m³/h，每天工作16h。</w:t>
      </w:r>
    </w:p>
    <w:p w14:paraId="7437962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脱水机房内设4套PAM投加系统安装位置，一期安装2套，该系统同时满足污泥脱水离心机和净水处理投加PAM助凝剂的需求。进泥助凝剂PAM投加量按4kg/t干泥，投加浓度为0.2%，投加点位于离心机进泥口，共3个；净水助凝剂PAM最大投加量0.3mg/L，投加浓度0.02%，投加点位于混合池进水口，共8个；浓缩池PAM最大投加量1.5mg/L，投加浓度0.02%，投加点位于浓缩池混合池，共4个。PAM投加系统采用一体化专用装置，包括溶解桶、溶液桶、投加泵、在线稀释装置等。单套PAM投加系统投加能力10kg/h。</w:t>
      </w:r>
    </w:p>
    <w:p w14:paraId="35EA48D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污泥堆棚按脱水后泥饼含固率30%计，污泥堆高1.20m，按储存设计泥量1天计，堆棚面积约220m2。</w:t>
      </w:r>
    </w:p>
    <w:p w14:paraId="2BDE9720">
      <w:pPr>
        <w:widowControl/>
        <w:spacing w:line="360" w:lineRule="auto"/>
        <w:ind w:firstLine="480" w:firstLineChars="200"/>
        <w:rPr>
          <w:rFonts w:hint="eastAsia" w:ascii="宋体" w:hAnsi="宋体" w:eastAsia="宋体" w:cs="宋体"/>
          <w:color w:val="auto"/>
          <w:kern w:val="0"/>
          <w:sz w:val="24"/>
          <w:highlight w:val="none"/>
          <w:lang w:eastAsia="zh-CN"/>
        </w:rPr>
      </w:pPr>
      <w:bookmarkStart w:id="1327" w:name="_Toc1230"/>
      <w:r>
        <w:rPr>
          <w:rFonts w:hint="eastAsia" w:ascii="宋体" w:hAnsi="宋体" w:eastAsia="宋体" w:cs="宋体"/>
          <w:color w:val="auto"/>
          <w:kern w:val="0"/>
          <w:sz w:val="24"/>
          <w:highlight w:val="none"/>
          <w:lang w:eastAsia="zh-CN"/>
        </w:rPr>
        <w:t>②二期脱水车间</w:t>
      </w:r>
      <w:bookmarkEnd w:id="1327"/>
    </w:p>
    <w:p w14:paraId="6909FBE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脱水机房（含污泥平衡池及进料泵房）共1座，本次建设干泥量处理规模57.04t /d。</w:t>
      </w:r>
    </w:p>
    <w:p w14:paraId="752A7DF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设置滤布行走式板框压滤机安装6套，滤板尺寸1500X1500，进料压力为0.8MPa，压榨压力为1.6MPa，单台功率N=15kW+5.5KW，脱水机每天运行时间12h，进泥含水率（浓缩后污泥）97%，出泥含固率大于40%，板框压滤机滤液收集后接入市政污水管，板框压滤机清洗水接入暂存池，上清液接入市政污水管，底泥通过离心泵抽至平衡池。</w:t>
      </w:r>
    </w:p>
    <w:p w14:paraId="20737AE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设置板框高压进料渣浆泵6台，Q=120m³/h，P=0.8MPa，N=55kW，变频调速。</w:t>
      </w:r>
    </w:p>
    <w:p w14:paraId="00720EC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设置污泥转输转子泵4台，Q=120m³/h，H=30m，N=30kW，变频调速。</w:t>
      </w:r>
    </w:p>
    <w:p w14:paraId="680A900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另外脱水机房内设置2套PAM投加系统安装位置，同时满足滤布行走式板框压滤机和净水处理投加PAM助凝剂的需求。PAM投加系统采用一体化专用装置，包括溶解桶、溶液桶、投加泵、在线稀释装置等，且PAM投加系统配套反冲洗措施。</w:t>
      </w:r>
    </w:p>
    <w:p w14:paraId="3F4967A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2）PLC设备现状</w:t>
      </w:r>
    </w:p>
    <w:p w14:paraId="5D18E49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一期脱水车间主要包括脱水机组控制站21PLC1~2，暂存池远程IO站21DIO1~2，排水池远程IO站17DIO1、排泥池远程IO站18DIO1，1~2#浓缩池远程IO站19DIO1~2；</w:t>
      </w:r>
    </w:p>
    <w:p w14:paraId="261EACF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二期脱水车间主要包括脱水车间主控制站8LCU（冗余配置），排水池远程IO站8RIO1，排泥池远程IO站8RIO2，3~5#浓缩池远程IO站8RIO3~5。</w:t>
      </w:r>
    </w:p>
    <w:p w14:paraId="10FAF5EB">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3）数据模型设计要求</w:t>
      </w:r>
    </w:p>
    <w:p w14:paraId="133DDB9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立主要设备（脱水机组、中心刮泥机等）及设施（排泥池、排水池、浓缩池等）运行数据模型，数据模型主要参数包括有设备设施编号、池体液位、池体设计参数、阀门开闭状态、脱水设备额定参数、脱水设备运行频率、聚丙投加量、设备运行时间等、设备运行故障信号等。</w:t>
      </w:r>
    </w:p>
    <w:p w14:paraId="37A843B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实时数据进行数据清洗预处理，如：关健计量仪表数据缺失和跳变等异常、主要设备与实际工况偏差较大时进行剔除或纠正等操作，将清洗后数据存储至数据模型中，并且按照处理泥量、泥水浓度、产泥量等维度进行分类和聚类处理，形成数据标准规则库。</w:t>
      </w:r>
    </w:p>
    <w:p w14:paraId="1EF58FA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支持对数据进行标注，如：母线失压故障、断路器异常跳闸、SF6气体浓度异常等突发情况。</w:t>
      </w:r>
    </w:p>
    <w:p w14:paraId="77D717E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可以根据要求形成相应数据训练集，对场景所需算法模型（如：污泥处理系统产能评估模型等）进行训练。</w:t>
      </w:r>
    </w:p>
    <w:p w14:paraId="4B7E921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4）智慧诊断</w:t>
      </w:r>
    </w:p>
    <w:p w14:paraId="2D007D1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对以下主要传感器、主要关键设备和主要工艺运行过程开展诊断和分析，并采取对应的处置手段：</w:t>
      </w:r>
    </w:p>
    <w:p w14:paraId="1B5255E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传感器包括：一期斜管浓缩池进水管流量计、一期脱水机房加药管流量计、一期脱水机房进泥管流量计、一期排水池回流管流量计、二期排水池至配水井流量计、二期浓缩池进泥管流量计、二期浓缩池出泥管流量计</w:t>
      </w:r>
    </w:p>
    <w:p w14:paraId="7D961FC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主要关键设备包括：脱水机组、板框压滤机、变频器、投加泵</w:t>
      </w:r>
    </w:p>
    <w:p w14:paraId="258324C0">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①脱水机组：包括但不仅限于主机故障报警；振动超高报警；异常温升报警等；</w:t>
      </w:r>
    </w:p>
    <w:p w14:paraId="3800647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②板框压滤机：包括但不仅限于合板超时报警；压紧超时报警；进料阀门超时报警；进气阀打开超时等。</w:t>
      </w:r>
    </w:p>
    <w:p w14:paraId="7D5D304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主要工艺运行过程异常包括但不仅限于：</w:t>
      </w:r>
    </w:p>
    <w:p w14:paraId="6C0431A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进出区域检测模型，分析出污泥系统主要进出通道是否有物品占道或人员异常闯入的情况；利用区域入侵识别模型，识别出系统中自定义区域是否有人员异常入侵的情况；利用人员检测及分析模型，分析出污泥系统重要区域内逗留人员的数量和时长；利用地面积水识别模型，识别污泥系统重要区域内是否有异常积水情况；利用火点检测模型，识别污泥系统重要区域内环境及其重要设备等是否有火点存在；利用烟雾检测模型，识别污泥系统重要区域内环境及其重要设备等是否有异常烟雾存在；利用小动物检测模型，识别场景主要区域里是否有小动物异常闯入等。</w:t>
      </w:r>
    </w:p>
    <w:p w14:paraId="4B30F38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水体颜色异常识别模型，判别水质是否有异常突变情况；利用池面漂浮物识别模型，识别池面是否有异常漂浮物；利用溢池识别模型，识别池体水位是否有溢出现象；池体液位下降变化率与实际进出水量差异较大，可进行异常漏损判别等。</w:t>
      </w:r>
    </w:p>
    <w:p w14:paraId="1FD0709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综合分析现场传感器采集的数据和产能评估模型的计算结果，计算出污泥处理系统的实际运行产能情况与理论计算值的差距；识别出单台脱水机组运行电力参数和多台脱水机组整体运行电力参数是否存在异常差值；监测加药流量是否存在异常波动，根据预设规则判断是否因助凝剂投加不当或管网问题导致的污泥脱水效果不佳；识别阀门工作状态是否与当前系统运行工况匹配；脱水机运行状态、温升等是否正常；在设备停机期间，持续监控阀门与电机的开关状态，预防倒流现象，确保停机阶段系统稳定，保护现场安全与设备的完好等。</w:t>
      </w:r>
    </w:p>
    <w:p w14:paraId="610ADEF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根据上述各类异常事件严重程度的不同，能够依据自定义的报警分级规则及时自动推送报警至值班人员进行相应的操作处理。</w:t>
      </w:r>
    </w:p>
    <w:p w14:paraId="59C5292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5）自主生产</w:t>
      </w:r>
    </w:p>
    <w:p w14:paraId="57FC78F1">
      <w:pPr>
        <w:widowControl/>
        <w:spacing w:line="360" w:lineRule="auto"/>
        <w:ind w:firstLine="480" w:firstLineChars="200"/>
        <w:rPr>
          <w:rFonts w:hint="eastAsia" w:ascii="宋体" w:hAnsi="宋体" w:eastAsia="宋体" w:cs="宋体"/>
          <w:color w:val="auto"/>
          <w:kern w:val="0"/>
          <w:sz w:val="24"/>
          <w:highlight w:val="none"/>
          <w:lang w:eastAsia="zh-CN"/>
        </w:rPr>
      </w:pPr>
      <w:bookmarkStart w:id="1328" w:name="_Toc6257"/>
      <w:r>
        <w:rPr>
          <w:rFonts w:hint="eastAsia" w:ascii="宋体" w:hAnsi="宋体" w:eastAsia="宋体" w:cs="宋体"/>
          <w:color w:val="auto"/>
          <w:kern w:val="0"/>
          <w:sz w:val="24"/>
          <w:highlight w:val="none"/>
          <w:lang w:eastAsia="zh-CN"/>
        </w:rPr>
        <w:t>①产能评估</w:t>
      </w:r>
      <w:bookmarkEnd w:id="1328"/>
    </w:p>
    <w:p w14:paraId="3FBE0E7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通过污泥处理系统产能评估模型，根据生产系统内设施/设备设计情况、故障情况及运行情况，对当前污泥处理系统生产能力、负荷率和可调能力进行评估，为配水量分析、产线水量分析等联动调度决策提供支撑。同时，能够根据历史污泥处理情况和产泥变化量情况，预测产泥量情况，用于指导污泥脱水处理台班计划优化。</w:t>
      </w:r>
    </w:p>
    <w:p w14:paraId="7523C68B">
      <w:pPr>
        <w:widowControl/>
        <w:spacing w:line="360" w:lineRule="auto"/>
        <w:ind w:firstLine="480" w:firstLineChars="200"/>
        <w:rPr>
          <w:rFonts w:hint="eastAsia" w:ascii="宋体" w:hAnsi="宋体" w:eastAsia="宋体" w:cs="宋体"/>
          <w:color w:val="auto"/>
          <w:kern w:val="0"/>
          <w:sz w:val="24"/>
          <w:highlight w:val="none"/>
          <w:lang w:eastAsia="zh-CN"/>
        </w:rPr>
      </w:pPr>
      <w:bookmarkStart w:id="1329" w:name="_Toc11299"/>
      <w:r>
        <w:rPr>
          <w:rFonts w:hint="eastAsia" w:ascii="宋体" w:hAnsi="宋体" w:eastAsia="宋体" w:cs="宋体"/>
          <w:color w:val="auto"/>
          <w:kern w:val="0"/>
          <w:sz w:val="24"/>
          <w:highlight w:val="none"/>
          <w:lang w:eastAsia="zh-CN"/>
        </w:rPr>
        <w:t>②自主控制</w:t>
      </w:r>
      <w:bookmarkEnd w:id="1329"/>
    </w:p>
    <w:p w14:paraId="7026A9C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利用现场PLC提供的控制接入点和初步异常判定等预设好的标准数据接口，结合各类分析评估结果，实现污泥处理系统自动运行的功能，并且能够与絮凝沉淀池系统进行联动，保证污泥处理系统的可靠性。</w:t>
      </w:r>
    </w:p>
    <w:p w14:paraId="7EB49A88">
      <w:pPr>
        <w:widowControl/>
        <w:spacing w:line="360" w:lineRule="auto"/>
        <w:ind w:firstLine="480" w:firstLineChars="200"/>
        <w:rPr>
          <w:rFonts w:hint="eastAsia" w:ascii="宋体" w:hAnsi="宋体" w:eastAsia="宋体" w:cs="宋体"/>
          <w:color w:val="auto"/>
          <w:kern w:val="0"/>
          <w:sz w:val="24"/>
          <w:highlight w:val="none"/>
          <w:lang w:eastAsia="zh-CN"/>
        </w:rPr>
      </w:pPr>
      <w:bookmarkStart w:id="1330" w:name="_Toc17262"/>
      <w:r>
        <w:rPr>
          <w:rFonts w:hint="eastAsia" w:ascii="宋体" w:hAnsi="宋体" w:eastAsia="宋体" w:cs="宋体"/>
          <w:color w:val="auto"/>
          <w:kern w:val="0"/>
          <w:sz w:val="24"/>
          <w:highlight w:val="none"/>
          <w:lang w:eastAsia="zh-CN"/>
        </w:rPr>
        <w:t>③应急事件处理</w:t>
      </w:r>
      <w:bookmarkEnd w:id="1330"/>
    </w:p>
    <w:p w14:paraId="4DB45B1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应急事件处理包括：当出现边缘计算设备故障或关键参数获取异常等重大异常时，应及时自动退出智慧控制模式，发出报警并切换至PLC控制模式；当检测到助凝剂投加系统异常（如投加量不符合设定比例或设备故障），系统自动调节至备份投加方案（如切换备用设备），同时发送警报通知操作员进行检查与干预，确保污泥脱水效果不受影响；若脱水机、泵、阀门、搅拌器等关键设备发生紧急故障，系统应根据设备使用状况，自动切换至备用设备运行，确保污泥处理流程不中断等。</w:t>
      </w:r>
    </w:p>
    <w:p w14:paraId="7D13059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31" w:name="_Toc3030"/>
      <w:r>
        <w:rPr>
          <w:rFonts w:hint="eastAsia" w:ascii="Arial" w:hAnsi="Arial" w:eastAsia="黑体" w:cs="Times New Roman"/>
          <w:b/>
          <w:color w:val="auto"/>
          <w:sz w:val="28"/>
          <w:highlight w:val="none"/>
          <w:lang w:val="en-US" w:eastAsia="zh-CN" w:bidi="ar-SA"/>
        </w:rPr>
        <w:t xml:space="preserve"> </w:t>
      </w:r>
      <w:r>
        <w:rPr>
          <w:rFonts w:ascii="Arial" w:hAnsi="Arial" w:eastAsia="黑体" w:cs="Times New Roman"/>
          <w:b/>
          <w:color w:val="auto"/>
          <w:sz w:val="28"/>
          <w:highlight w:val="none"/>
          <w:lang w:val="en-US" w:eastAsia="zh-CN" w:bidi="ar-SA"/>
        </w:rPr>
        <w:t>水厂工艺智慧联动</w:t>
      </w:r>
      <w:r>
        <w:rPr>
          <w:rFonts w:hint="eastAsia" w:ascii="Arial" w:hAnsi="Arial" w:eastAsia="黑体" w:cs="Times New Roman"/>
          <w:b/>
          <w:color w:val="auto"/>
          <w:sz w:val="28"/>
          <w:highlight w:val="none"/>
          <w:lang w:val="en-US" w:eastAsia="zh-CN" w:bidi="ar-SA"/>
        </w:rPr>
        <w:t>系统</w:t>
      </w:r>
      <w:bookmarkEnd w:id="1331"/>
    </w:p>
    <w:p w14:paraId="5BE76303">
      <w:pPr>
        <w:widowControl w:val="0"/>
        <w:spacing w:line="360" w:lineRule="auto"/>
        <w:ind w:firstLine="480" w:firstLineChars="200"/>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基于北部水厂运行现状和建设计划，以其精益运行和数字化转型发展需求为导向，以水厂历史运行工艺数据、设备数据等为底层驱动，结合各工艺系统产能分析评估结果，采用流体力学、机器学习、规则学习等建立各类算法模型，实时对调度水量和</w:t>
      </w:r>
      <w:r>
        <w:rPr>
          <w:rFonts w:hint="eastAsia" w:ascii="宋体" w:hAnsi="宋体" w:eastAsia="宋体" w:cs="仿宋_GB2312"/>
          <w:bCs/>
          <w:color w:val="auto"/>
          <w:spacing w:val="6"/>
          <w:kern w:val="0"/>
          <w:sz w:val="24"/>
          <w:szCs w:val="24"/>
          <w:highlight w:val="none"/>
          <w:lang w:eastAsia="zh-CN"/>
        </w:rPr>
        <w:t>水质情况</w:t>
      </w:r>
      <w:r>
        <w:rPr>
          <w:rFonts w:hint="eastAsia" w:ascii="宋体" w:hAnsi="宋体" w:eastAsia="宋体" w:cs="仿宋_GB2312"/>
          <w:color w:val="auto"/>
          <w:kern w:val="0"/>
          <w:sz w:val="24"/>
          <w:szCs w:val="24"/>
          <w:highlight w:val="none"/>
          <w:lang w:eastAsia="zh-CN" w:bidi="ar"/>
        </w:rPr>
        <w:t>进行预测分析，实现供水-制水-原水之间的水量平衡调度，同时制定每个环节的水质评估目标，通过水量和水质目标对关键工艺系统进行建模与调参优化，为厂区生产工艺各流程控制决策提供科学依据，系统具备功能情况如下：</w:t>
      </w:r>
    </w:p>
    <w:p w14:paraId="4E8AA043">
      <w:pPr>
        <w:widowControl/>
        <w:spacing w:line="360" w:lineRule="auto"/>
        <w:ind w:firstLine="480" w:firstLineChars="200"/>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水厂工艺智慧联动数据模型：</w:t>
      </w:r>
      <w:r>
        <w:rPr>
          <w:rFonts w:hint="eastAsia" w:ascii="宋体" w:hAnsi="宋体" w:eastAsia="宋体" w:cs="仿宋_GB2312"/>
          <w:color w:val="auto"/>
          <w:kern w:val="0"/>
          <w:sz w:val="24"/>
          <w:szCs w:val="24"/>
          <w:highlight w:val="none"/>
          <w:lang w:eastAsia="zh-CN"/>
        </w:rPr>
        <w:t>建立水质、水量和各工艺总体运行情况数据模型，数据模型主要参数包括有主要来水流量/水质、过程水流量/水质、出厂水流量/水质、温度、各工艺设计产能、各工艺实际产能负荷情况、调度供水量情况等。支持对数据进行标注，如：原水水质异常、管网突发性爆漏等突发情况。可以根据要求形成相应数据训练集，对本系统场景所需算法模型进行训练。</w:t>
      </w:r>
    </w:p>
    <w:p w14:paraId="581DB8DC">
      <w:pPr>
        <w:widowControl w:val="0"/>
        <w:spacing w:line="360" w:lineRule="auto"/>
        <w:ind w:firstLine="480" w:firstLineChars="200"/>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原水输送时滞分析：由于下陈泵站、鸦岗泵站与北部水厂之间存在一定的距离，导致原水通过管网进行输送时存在一定的时间差，通过对取水量和出水量的数值分析，将其转换为管网流速，根据流速判断管网滞后时间，为后续水量平衡分析预测提供数据支持。</w:t>
      </w:r>
    </w:p>
    <w:p w14:paraId="05BD787A">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多厂共源配水量预测分析：多厂共源模式下，鸦岗泵站与江村水厂、西村水厂、石门水厂等水厂配水内部关联复杂、约束条件多，导致泵站无法协调取配水量，运行效率低，实现鸦岗泵站与各个水厂之间的配水量预测，能够帮助北部水厂提前规划蓄水量，确保取水情况与供水情况匹配，满足生产需要。</w:t>
      </w:r>
    </w:p>
    <w:p w14:paraId="0CE3C12A">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供水量分析：通过分析水厂出水量与出水管压力、厂网联动系统提供的计算结果之间的关系等数据对供水量进行分析，利用此分析计算当前调度目标压力下水厂出水量，并提供未来全天出厂水的预测水量作为参考。</w:t>
      </w:r>
    </w:p>
    <w:p w14:paraId="2B01F9FA">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水厂产线生产能力与负荷评估模型：根据各生产系统的构筑物和设备产能负荷评估模型计算结果，对水厂各产线的能力与负荷进行计算，从而为配水分析模型和产线水量分配模型提供计算依据。</w:t>
      </w:r>
    </w:p>
    <w:p w14:paraId="2B492A81">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配水分析算法模型：配水分析算法模型在已知出水量的基础上，利用清水池调蓄空间，计算各工艺段进水流量，从而实现不同的优化目标。</w:t>
      </w:r>
    </w:p>
    <w:p w14:paraId="38022C24">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rPr>
      </w:pPr>
      <w:r>
        <w:rPr>
          <w:rFonts w:hint="eastAsia" w:ascii="宋体" w:hAnsi="宋体" w:eastAsia="宋体" w:cs="仿宋_GB2312"/>
          <w:color w:val="auto"/>
          <w:kern w:val="0"/>
          <w:sz w:val="24"/>
          <w:szCs w:val="24"/>
          <w:highlight w:val="none"/>
          <w:lang w:eastAsia="zh-CN" w:bidi="ar"/>
        </w:rPr>
        <w:t>产线水量分配模型：产线水量分配模型基于配水算法模型所计算进水水量，并结合各产线的能力与负荷等情况，合理分配各产线水量</w:t>
      </w:r>
      <w:r>
        <w:rPr>
          <w:rFonts w:hint="eastAsia" w:ascii="宋体" w:hAnsi="宋体" w:eastAsia="宋体" w:cs="仿宋_GB2312"/>
          <w:color w:val="auto"/>
          <w:kern w:val="0"/>
          <w:sz w:val="24"/>
          <w:szCs w:val="24"/>
          <w:highlight w:val="none"/>
          <w:lang w:eastAsia="zh-CN"/>
        </w:rPr>
        <w:t>。</w:t>
      </w:r>
    </w:p>
    <w:p w14:paraId="7FDFFF74">
      <w:pPr>
        <w:widowControl/>
        <w:spacing w:line="360" w:lineRule="auto"/>
        <w:ind w:firstLine="480" w:firstLineChars="200"/>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水质评估预测模型：通过分析水质在线监测设备、天气环境因素等数据，根据各生产工艺的特征和适用的标准，建立厂内水质评估预测模型，为关键水处理工艺环节提供水质处理目标，动态监测各水处理环节的水质危害状况和风险表征，提高水厂系统性抗风险能力。</w:t>
      </w:r>
    </w:p>
    <w:p w14:paraId="3F0ADA73">
      <w:pPr>
        <w:widowControl/>
        <w:spacing w:line="360" w:lineRule="auto"/>
        <w:ind w:firstLine="480" w:firstLineChars="200"/>
        <w:rPr>
          <w:rFonts w:hint="eastAsia" w:ascii="宋体" w:hAnsi="宋体" w:eastAsia="宋体" w:cs="仿宋_GB2312"/>
          <w:color w:val="auto"/>
          <w:kern w:val="0"/>
          <w:sz w:val="24"/>
          <w:szCs w:val="24"/>
          <w:highlight w:val="none"/>
          <w:lang w:eastAsia="zh-CN"/>
        </w:rPr>
      </w:pPr>
      <w:bookmarkStart w:id="1332" w:name="_Toc14198"/>
      <w:r>
        <w:rPr>
          <w:rFonts w:hint="eastAsia" w:ascii="宋体" w:hAnsi="宋体" w:eastAsia="宋体" w:cs="仿宋_GB2312"/>
          <w:color w:val="auto"/>
          <w:kern w:val="0"/>
          <w:sz w:val="24"/>
          <w:szCs w:val="24"/>
          <w:highlight w:val="none"/>
          <w:lang w:eastAsia="zh-CN"/>
        </w:rPr>
        <w:t>对系统功能要求达到但不限于以下指标和目的：</w:t>
      </w:r>
      <w:bookmarkEnd w:id="1332"/>
    </w:p>
    <w:p w14:paraId="09D7A77F">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1.程控率≥98%；</w:t>
      </w:r>
    </w:p>
    <w:p w14:paraId="3391D81B">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2.程控连续运转率≥98%；</w:t>
      </w:r>
    </w:p>
    <w:p w14:paraId="698A8FA8">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3.针对出厂管调度压力指令事件进行生产线优化运行的仿真计算。计算结果包括总制水量、各产线的分配流量、各产线及各工艺段水量连接关系表达等；</w:t>
      </w:r>
    </w:p>
    <w:p w14:paraId="7C33CCF1">
      <w:pPr>
        <w:widowControl w:val="0"/>
        <w:spacing w:line="360" w:lineRule="auto"/>
        <w:ind w:firstLine="480" w:firstLineChars="200"/>
        <w:jc w:val="left"/>
        <w:rPr>
          <w:rFonts w:hint="eastAsia" w:ascii="宋体" w:hAnsi="宋体" w:eastAsia="宋体" w:cs="仿宋_GB2312"/>
          <w:color w:val="auto"/>
          <w:kern w:val="0"/>
          <w:sz w:val="24"/>
          <w:szCs w:val="24"/>
          <w:highlight w:val="none"/>
          <w:lang w:eastAsia="zh-CN" w:bidi="ar"/>
        </w:rPr>
      </w:pPr>
      <w:r>
        <w:rPr>
          <w:rFonts w:hint="eastAsia" w:ascii="宋体" w:hAnsi="宋体" w:eastAsia="宋体" w:cs="仿宋_GB2312"/>
          <w:color w:val="auto"/>
          <w:kern w:val="0"/>
          <w:sz w:val="24"/>
          <w:szCs w:val="24"/>
          <w:highlight w:val="none"/>
          <w:lang w:eastAsia="zh-CN" w:bidi="ar"/>
        </w:rPr>
        <w:t>4.当厂区出现生产性试验和各类突发应急事件时，可采用人工干预机制，手动设定包括但不仅限于供水量、各工艺段配水量、产线配水量和各工艺是否启用等，模型可根据人工自定义参数，重新推演出计算结果，并由人工决策是否执行；</w:t>
      </w:r>
    </w:p>
    <w:p w14:paraId="16FB36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仿宋_GB2312"/>
          <w:color w:val="auto"/>
          <w:kern w:val="0"/>
          <w:sz w:val="24"/>
          <w:szCs w:val="24"/>
          <w:highlight w:val="none"/>
          <w:lang w:eastAsia="zh-CN" w:bidi="ar"/>
        </w:rPr>
        <w:t>5.延时回滞保护机制：针对水量的变化特性，采取相应策略对其变化周期和范围进行智能自主识别，避免当水量发生短时间阶跃跳变或测量正常误差等情况时，导致不必要的水量计算结果频繁调整，保证各工艺段生产稳定性。</w:t>
      </w:r>
    </w:p>
    <w:p w14:paraId="23713E5B">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333" w:name="_Toc557937014"/>
      <w:bookmarkStart w:id="1334" w:name="_Toc1816631820"/>
      <w:bookmarkStart w:id="1335" w:name="_Toc32283"/>
      <w:bookmarkStart w:id="1336" w:name="_Toc1479524306"/>
      <w:bookmarkStart w:id="1337" w:name="_Toc193093617"/>
      <w:r>
        <w:rPr>
          <w:rFonts w:hint="eastAsia" w:ascii="Times New Roman" w:hAnsi="Times New Roman" w:eastAsia="黑体" w:cs="Times New Roman"/>
          <w:b/>
          <w:color w:val="auto"/>
          <w:sz w:val="30"/>
          <w:highlight w:val="none"/>
          <w:lang w:val="en-US" w:eastAsia="zh-CN" w:bidi="ar-SA"/>
        </w:rPr>
        <w:t>生产交互控制系统</w:t>
      </w:r>
      <w:bookmarkEnd w:id="1333"/>
      <w:bookmarkEnd w:id="1334"/>
      <w:bookmarkEnd w:id="1335"/>
      <w:bookmarkEnd w:id="1336"/>
      <w:bookmarkEnd w:id="1337"/>
    </w:p>
    <w:p w14:paraId="06E515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构建生产交互控制系统。实现对北部水厂各类生产相关数据进行远程集中化的水厂运行综合管理。各级管理人员应能通过系统能够及时、准确、全面、直观的了解和掌握生产状况。</w:t>
      </w:r>
    </w:p>
    <w:p w14:paraId="732814F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本系统应可实现如下基本功能，但不限于如下功能：</w:t>
      </w:r>
    </w:p>
    <w:p w14:paraId="0C1A55A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1、实时运行画面显示</w:t>
      </w:r>
    </w:p>
    <w:p w14:paraId="6CBFB4D5">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ascii="宋体" w:hAnsi="宋体" w:eastAsia="宋体" w:cs="宋体"/>
          <w:color w:val="auto"/>
          <w:kern w:val="0"/>
          <w:sz w:val="24"/>
          <w:szCs w:val="24"/>
          <w:highlight w:val="none"/>
          <w:lang w:eastAsia="zh-CN"/>
        </w:rPr>
        <w:t>本系统能够显示整个水厂的画面，也包括水厂的部分细节画面。动态图形及实时数据显示可根据用户需要，利用其图形工具，对工艺图、动态曲线、历史趋势图、棒图及表格进行动态或静态显示。</w:t>
      </w:r>
    </w:p>
    <w:p w14:paraId="1C81324B">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ascii="宋体" w:hAnsi="宋体" w:eastAsia="宋体" w:cs="宋体"/>
          <w:color w:val="auto"/>
          <w:kern w:val="0"/>
          <w:sz w:val="24"/>
          <w:szCs w:val="24"/>
          <w:highlight w:val="none"/>
          <w:lang w:eastAsia="zh-CN"/>
        </w:rPr>
        <w:t>这些图像包括但不限于以下内容：全厂总体画面显示、全厂网络监视图、各工艺单体显示、配电系统画面显示、报警显示、趋势图等。</w:t>
      </w:r>
    </w:p>
    <w:p w14:paraId="1204248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宋体" w:hAnsi="宋体" w:eastAsia="宋体" w:cs="宋体"/>
          <w:color w:val="auto"/>
          <w:kern w:val="0"/>
          <w:sz w:val="24"/>
          <w:szCs w:val="24"/>
          <w:highlight w:val="none"/>
          <w:lang w:eastAsia="zh-CN"/>
        </w:rPr>
        <w:t>操作界面主要以流程图方式表示，从总体流程图直到每个单体的局部流程图。在流程图上显示的设备均可以点击进入，以了解该设备的进一步细节数据或对其进行控制。工艺过程、运行参数和设备状态均以图形方式直观表示。运行参数和目标控制参数可以点击进入，了解其属性或进行设定修改</w:t>
      </w:r>
      <w:r>
        <w:rPr>
          <w:rFonts w:hint="eastAsia" w:ascii="宋体" w:hAnsi="宋体" w:eastAsia="宋体" w:cs="宋体"/>
          <w:color w:val="auto"/>
          <w:kern w:val="0"/>
          <w:sz w:val="24"/>
          <w:szCs w:val="24"/>
          <w:highlight w:val="none"/>
          <w:lang w:eastAsia="zh-CN"/>
        </w:rPr>
        <w:t>。</w:t>
      </w:r>
      <w:r>
        <w:rPr>
          <w:rFonts w:ascii="宋体" w:hAnsi="宋体" w:eastAsia="宋体" w:cs="宋体"/>
          <w:color w:val="auto"/>
          <w:kern w:val="0"/>
          <w:sz w:val="24"/>
          <w:szCs w:val="24"/>
          <w:highlight w:val="none"/>
          <w:lang w:eastAsia="zh-CN"/>
        </w:rPr>
        <w:t>还应具有友好的汉化人机接口界面，采用图形、图标方式，使管理人员方便地使用鼠标及键盘对系统进行管理、控制，通过监控画面的切换，进行数据查询、状态查询、数据存贮、控制管理</w:t>
      </w:r>
      <w:r>
        <w:rPr>
          <w:rFonts w:hint="eastAsia" w:ascii="宋体" w:hAnsi="宋体" w:eastAsia="宋体" w:cs="宋体"/>
          <w:color w:val="auto"/>
          <w:kern w:val="0"/>
          <w:sz w:val="24"/>
          <w:szCs w:val="24"/>
          <w:highlight w:val="none"/>
          <w:lang w:eastAsia="zh-CN"/>
        </w:rPr>
        <w:t>、关键区域视频监控、自定义轮询监控</w:t>
      </w:r>
      <w:r>
        <w:rPr>
          <w:rFonts w:ascii="宋体" w:hAnsi="宋体" w:eastAsia="宋体" w:cs="宋体"/>
          <w:color w:val="auto"/>
          <w:kern w:val="0"/>
          <w:sz w:val="24"/>
          <w:szCs w:val="24"/>
          <w:highlight w:val="none"/>
          <w:lang w:eastAsia="zh-CN"/>
        </w:rPr>
        <w:t>等各种操作。</w:t>
      </w:r>
    </w:p>
    <w:p w14:paraId="60B89CB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2、数据在线分析</w:t>
      </w:r>
    </w:p>
    <w:p w14:paraId="20D5C64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应支持对采集的厂区生产系统实时运行数据进行监控，以树状结构展示各监测数据之间的拓扑关系，以数据曲线形式展示包括但不仅限于原水、出水流量、加药量、过程水的 PH、温度、余氯、浊度、水池或药剂储池液位、药剂投加量、低压进线柜电流主要水泵运行电流、鼓风机、提升泵以及污泥泵运行三相电流等数据及趋势变化，相关数据展示内容支持用户自定义配置，可直观反应全厂状态，便于操作管理人员的工作。所有曲线满足管理部门要求。</w:t>
      </w:r>
    </w:p>
    <w:p w14:paraId="728772D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3、事件管理</w:t>
      </w:r>
    </w:p>
    <w:p w14:paraId="699744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各类事件可由系统周期性读取，支持事件规则设置、事件模型建立、事件延时设置、事件合并设置等功能，并按优先等级触发对应的处置策略，所有事件信息，均需要将其代表的中文意思和事件变量的内部名称同时清晰、明白地表达出来。具备独立的事件处置界面，能够方便直观显示全厂事件触发位置及级别，能够直接链接到相应的故障点界面，并显示相应的处理结果反馈或指引。</w:t>
      </w:r>
    </w:p>
    <w:p w14:paraId="64611D4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中控室操作人员可通过以下方式得知事件状态：事件状态显示、事件目录、事件信息展示等。</w:t>
      </w:r>
    </w:p>
    <w:p w14:paraId="3519DE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这些信息以可见和可听的方式提醒操作人员，如某一生产设备出现故障，系统中相应监控画面中的显示部分会变色和闪烁，并伴有音响和事件信息提示操作员注意，同时将事件信息存储及展示。系统具有不同的事件类型和事件等级可自定义配置，以帮助操作人员能以最快的速度确认最重要的事件信息。</w:t>
      </w:r>
    </w:p>
    <w:p w14:paraId="03C4175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4、日志功能</w:t>
      </w:r>
    </w:p>
    <w:p w14:paraId="2BCF2AFF">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ascii="宋体" w:hAnsi="宋体" w:eastAsia="宋体" w:cs="宋体"/>
          <w:color w:val="auto"/>
          <w:kern w:val="0"/>
          <w:sz w:val="24"/>
          <w:szCs w:val="24"/>
          <w:highlight w:val="none"/>
          <w:lang w:eastAsia="zh-CN"/>
        </w:rPr>
        <w:t>系统具有日志功能。对每天操作人员的各种操作进行日志登记工作，以便将来进行事故或故障的分析</w:t>
      </w:r>
      <w:r>
        <w:rPr>
          <w:rFonts w:hint="eastAsia" w:ascii="宋体" w:hAnsi="宋体" w:eastAsia="宋体" w:cs="宋体"/>
          <w:color w:val="auto"/>
          <w:kern w:val="0"/>
          <w:sz w:val="24"/>
          <w:szCs w:val="24"/>
          <w:highlight w:val="none"/>
          <w:lang w:eastAsia="zh-CN"/>
        </w:rPr>
        <w:t>和重大事项的记录</w:t>
      </w:r>
      <w:r>
        <w:rPr>
          <w:rFonts w:ascii="宋体" w:hAnsi="宋体" w:eastAsia="宋体" w:cs="宋体"/>
          <w:color w:val="auto"/>
          <w:kern w:val="0"/>
          <w:sz w:val="24"/>
          <w:szCs w:val="24"/>
          <w:highlight w:val="none"/>
          <w:lang w:eastAsia="zh-CN"/>
        </w:rPr>
        <w:t>。</w:t>
      </w:r>
    </w:p>
    <w:p w14:paraId="05B23F7E">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5、场景化运行功能</w:t>
      </w:r>
    </w:p>
    <w:p w14:paraId="57B7DEF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szCs w:val="24"/>
          <w:highlight w:val="none"/>
          <w:lang w:eastAsia="zh-CN"/>
        </w:rPr>
        <w:t>系统具备自定义场景化运行模式功能，可一键切换至相应运行模式，如：无人值守模式、节能降耗模式、专家模式等。</w:t>
      </w:r>
    </w:p>
    <w:p w14:paraId="1EA98221">
      <w:pPr>
        <w:widowControl/>
        <w:spacing w:line="360" w:lineRule="auto"/>
        <w:ind w:left="420" w:leftChars="20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6、管理和维护功能</w:t>
      </w:r>
    </w:p>
    <w:p w14:paraId="3F2275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宋体" w:hAnsi="宋体" w:eastAsia="宋体" w:cs="宋体"/>
          <w:color w:val="auto"/>
          <w:kern w:val="0"/>
          <w:sz w:val="24"/>
          <w:szCs w:val="24"/>
          <w:highlight w:val="none"/>
          <w:lang w:eastAsia="zh-CN"/>
        </w:rPr>
        <w:t>采用分级操作与维护的工作方式。所有人员进入系统操作必须首先进行登录，登录包括用户名称和口令，系统根据登录人的级别开放相应的功能；对于一般操作员只能进行简单的、系统正常情况下的操作；而对于系统的维护则应由系统管理员来完成。</w:t>
      </w:r>
    </w:p>
    <w:p w14:paraId="56459F71">
      <w:pPr>
        <w:widowControl/>
        <w:spacing w:line="360" w:lineRule="auto"/>
        <w:ind w:left="420" w:leftChars="20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7、权限设置</w:t>
      </w:r>
    </w:p>
    <w:p w14:paraId="51D1274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对运行程序进行权限设置，可分为四级：1 级，参观人权限，无法进行参数设置。2 级，中控运行人员权限可进行运行参数的设置和系统恢复。3级，工程师权限，具有部分开发权限，如更改通道、系统画面修改，允许用户运行系统的上传与下载。4 级最高权限，允许用户对运行程序进行修改和对本章节业务功能作统一的管理，如：界面管理、成员管理、模型配置、数据配置等，不同级别使用不同用户名及密码进行保护，以确保程序的安全。</w:t>
      </w:r>
    </w:p>
    <w:p w14:paraId="491EFC6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8、系统数据备份的功能</w:t>
      </w:r>
    </w:p>
    <w:p w14:paraId="26AEB0C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由于系统的数据库是以日、月、年的方式分类存储的，就为数据备份提供了很大的方便。系统可以通过对数据库处理，将数据打包，以月、年为单位，将数据造成压缩包保存，以方便用户使用光盘等存储方式另外保存。</w:t>
      </w:r>
    </w:p>
    <w:p w14:paraId="20161D1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数据库应具有实时备份功能，一份数据同时存储于多个数据库中，若其中一个数据库无法读写数据，能自动切换到其它数据库。</w:t>
      </w:r>
    </w:p>
    <w:p w14:paraId="1742B6B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关键数据采用在线和离线方式进行日常的备份，设置不同的备份策略，至少保留三个全备版本。</w:t>
      </w:r>
    </w:p>
    <w:p w14:paraId="395A7A3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9、视频画面</w:t>
      </w:r>
    </w:p>
    <w:p w14:paraId="3D198B13">
      <w:pPr>
        <w:widowControl/>
        <w:tabs>
          <w:tab w:val="left" w:pos="420"/>
        </w:tabs>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能查看现场的实时视频监控和视频抓拍画面。实时视频监控方便管理和运维人员远程掌握现场实时情况。方便远程查看实时监控视频掌握现场运行情况，了解报警发生时设备现场画面。调取实时视频画面进行查看，支持多路视频同时查看。根据设定抓拍时间周期，调取摄像头进行画面的抓拍。</w:t>
      </w:r>
    </w:p>
    <w:p w14:paraId="0C03AE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10、管理驾驶舱页面</w:t>
      </w:r>
    </w:p>
    <w:p w14:paraId="435D0FD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管理驾驶舱按角色为各级生产运营管理层人员提供统一的各功能模块管理入口，在门户首页上通过对全厂绩效及各项指标数据进行图形化显示，为管理层对全厂运营绩效评估、辅助决策提供科学有效的数据依据。首页内容可以根据实际情况进行界面调整。</w:t>
      </w:r>
    </w:p>
    <w:p w14:paraId="71DFD38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管理驾驶舱需采用大数据可视化技术、人机交互技术，实现多种可交互的智能图表。通过生产驾驶舱与数据驾驶舱，一张图宏观展现各类统计数据与关注指标。支持跨维度，多角度关联分析水厂的运营管理数据指标，为管理层决策提供有力、深度的数据支撑，包括但不限于：</w:t>
      </w:r>
    </w:p>
    <w:p w14:paraId="7FC97F6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1）低代码可视化配置不同主题，驾驶舱所展现内容包括但不限于水量、水质、水力、电耗、药耗、污泥、碳排放等实时数据和统计数据，以及人员、工单、告警、设备等生产运行情况统计。</w:t>
      </w:r>
    </w:p>
    <w:p w14:paraId="3DB073C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2）图表展示需支持逐级下钻、图表间联动等功能。</w:t>
      </w:r>
    </w:p>
    <w:p w14:paraId="276C8A6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3）可满足不同分辨率的大屏展示。</w:t>
      </w:r>
    </w:p>
    <w:p w14:paraId="2072624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drawing>
          <wp:anchor distT="0" distB="0" distL="0" distR="0" simplePos="0" relativeHeight="251668480" behindDoc="0" locked="0" layoutInCell="1" allowOverlap="1">
            <wp:simplePos x="0" y="0"/>
            <wp:positionH relativeFrom="column">
              <wp:posOffset>-201295</wp:posOffset>
            </wp:positionH>
            <wp:positionV relativeFrom="paragraph">
              <wp:posOffset>207645</wp:posOffset>
            </wp:positionV>
            <wp:extent cx="5274310" cy="2366645"/>
            <wp:effectExtent l="0" t="0" r="2540" b="14605"/>
            <wp:wrapSquare wrapText="bothSides"/>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33"/>
                    <a:stretch>
                      <a:fillRect/>
                    </a:stretch>
                  </pic:blipFill>
                  <pic:spPr>
                    <a:xfrm>
                      <a:off x="0" y="0"/>
                      <a:ext cx="5274310" cy="2366645"/>
                    </a:xfrm>
                    <a:prstGeom prst="rect">
                      <a:avLst/>
                    </a:prstGeom>
                    <a:noFill/>
                    <a:ln>
                      <a:noFill/>
                    </a:ln>
                  </pic:spPr>
                </pic:pic>
              </a:graphicData>
            </a:graphic>
          </wp:anchor>
        </w:drawing>
      </w:r>
    </w:p>
    <w:p w14:paraId="20542A17">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338" w:name="_Toc651862329"/>
      <w:bookmarkStart w:id="1339" w:name="_Toc1258358761"/>
      <w:bookmarkStart w:id="1340" w:name="_Toc3293"/>
      <w:bookmarkStart w:id="1341" w:name="_Toc193093627"/>
      <w:bookmarkStart w:id="1342" w:name="_Toc26666"/>
      <w:bookmarkStart w:id="1343" w:name="_Toc1355989341"/>
      <w:bookmarkStart w:id="1344" w:name="_Toc30245"/>
      <w:bookmarkStart w:id="1345" w:name="_Toc29593"/>
      <w:bookmarkStart w:id="1346" w:name="_Toc1333791496"/>
      <w:r>
        <w:rPr>
          <w:rFonts w:hint="eastAsia" w:ascii="Arial" w:hAnsi="Arial" w:eastAsia="黑体" w:cs="Times New Roman"/>
          <w:b/>
          <w:color w:val="auto"/>
          <w:sz w:val="32"/>
          <w:highlight w:val="none"/>
          <w:lang w:val="en-US" w:eastAsia="zh-CN" w:bidi="ar-SA"/>
        </w:rPr>
        <w:t>智慧运营</w:t>
      </w:r>
      <w:r>
        <w:rPr>
          <w:rFonts w:ascii="Arial" w:hAnsi="Arial" w:eastAsia="黑体" w:cs="Times New Roman"/>
          <w:b/>
          <w:color w:val="auto"/>
          <w:sz w:val="32"/>
          <w:highlight w:val="none"/>
          <w:lang w:val="en-US" w:eastAsia="zh-CN" w:bidi="ar-SA"/>
        </w:rPr>
        <w:t>模块</w:t>
      </w:r>
      <w:bookmarkEnd w:id="1338"/>
      <w:bookmarkEnd w:id="1339"/>
      <w:bookmarkEnd w:id="1340"/>
      <w:bookmarkEnd w:id="1341"/>
      <w:bookmarkEnd w:id="1342"/>
      <w:bookmarkEnd w:id="1343"/>
      <w:bookmarkEnd w:id="1344"/>
      <w:bookmarkEnd w:id="1345"/>
      <w:bookmarkEnd w:id="1346"/>
    </w:p>
    <w:p w14:paraId="21783E5D">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347" w:name="_Toc30041"/>
      <w:bookmarkStart w:id="1348" w:name="_Toc30883"/>
      <w:bookmarkStart w:id="1349" w:name="_Toc1536080156"/>
      <w:bookmarkStart w:id="1350" w:name="_Toc1016392223"/>
      <w:bookmarkStart w:id="1351" w:name="_Toc13158"/>
      <w:bookmarkStart w:id="1352" w:name="_Toc193093628"/>
      <w:bookmarkStart w:id="1353" w:name="_Toc17718"/>
      <w:bookmarkStart w:id="1354" w:name="_Toc816740471"/>
      <w:bookmarkStart w:id="1355" w:name="_Toc1599365886"/>
      <w:r>
        <w:rPr>
          <w:rFonts w:hint="eastAsia" w:ascii="Times New Roman" w:hAnsi="Times New Roman" w:eastAsia="黑体" w:cs="Times New Roman"/>
          <w:b/>
          <w:color w:val="auto"/>
          <w:sz w:val="30"/>
          <w:highlight w:val="none"/>
          <w:lang w:val="en-US" w:eastAsia="zh-CN" w:bidi="ar-SA"/>
        </w:rPr>
        <w:t>概述</w:t>
      </w:r>
      <w:bookmarkEnd w:id="1347"/>
      <w:bookmarkEnd w:id="1348"/>
      <w:bookmarkEnd w:id="1349"/>
      <w:bookmarkEnd w:id="1350"/>
      <w:bookmarkEnd w:id="1351"/>
      <w:bookmarkEnd w:id="1352"/>
      <w:bookmarkEnd w:id="1353"/>
      <w:bookmarkEnd w:id="1354"/>
      <w:bookmarkEnd w:id="1355"/>
    </w:p>
    <w:p w14:paraId="57337BB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本章节描述内容属于智慧水厂架构中的“业务支持层”和“运营决策层”，处于水厂管理网段，不用于生产现场操作，主要应用在水厂运营监控和管理，数据主要来源于物联网平台和公司数据中心。</w:t>
      </w:r>
    </w:p>
    <w:p w14:paraId="01D60F7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运营模块，融合智慧供水云平台上关于水厂“运、管、控”全方位、全流程软件服务，结合智慧水厂的管理和运行的场景，分管理主题对软件功能进行编排和组织，分不同应用场合，可二次封装为“系统”，以业务门户的方式，以用户登录的方式，提供临时授权，使用系统功能，以方便的人机交互方式，满足智慧水厂管理的常用需求。例如封装“水厂监控系统”通过系统登录，以临时授权方式，实现值班/非值班状态下的权限管理，满足交接班管理需求。</w:t>
      </w:r>
    </w:p>
    <w:p w14:paraId="757FEE7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356" w:name="_Toc95"/>
      <w:bookmarkStart w:id="1357" w:name="_Toc1998261305"/>
      <w:bookmarkStart w:id="1358" w:name="_Toc1419163723"/>
      <w:bookmarkStart w:id="1359" w:name="_Toc241624473"/>
      <w:bookmarkStart w:id="1360" w:name="_Toc489636503"/>
      <w:bookmarkStart w:id="1361" w:name="_Toc15318"/>
      <w:bookmarkStart w:id="1362" w:name="_Toc19023"/>
      <w:bookmarkStart w:id="1363" w:name="_Toc193093629"/>
      <w:bookmarkStart w:id="1364" w:name="_Toc30440"/>
      <w:r>
        <w:rPr>
          <w:rFonts w:ascii="Times New Roman" w:hAnsi="Times New Roman" w:eastAsia="黑体" w:cs="Times New Roman"/>
          <w:b/>
          <w:color w:val="auto"/>
          <w:sz w:val="30"/>
          <w:highlight w:val="none"/>
          <w:lang w:val="en-US" w:eastAsia="zh-CN" w:bidi="ar-SA"/>
        </w:rPr>
        <w:t>模块功能和数据管理概述</w:t>
      </w:r>
      <w:bookmarkEnd w:id="1356"/>
      <w:bookmarkEnd w:id="1357"/>
      <w:bookmarkEnd w:id="1358"/>
      <w:bookmarkEnd w:id="1359"/>
      <w:bookmarkEnd w:id="1360"/>
      <w:bookmarkEnd w:id="1361"/>
      <w:bookmarkEnd w:id="1362"/>
      <w:bookmarkEnd w:id="1363"/>
      <w:bookmarkEnd w:id="1364"/>
    </w:p>
    <w:p w14:paraId="24C3D59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主要包含融合包括工业物联网数据采集、生产实时监管、生产运行监控管理、设备运维管理、生产管理、数据质量管理、移动应用等应用服务，开发方法和数据管理请参考“项目总体设计”章节。</w:t>
      </w:r>
    </w:p>
    <w:p w14:paraId="35885A3F">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365" w:name="_Toc1931308879"/>
      <w:bookmarkStart w:id="1366" w:name="_Toc280997702"/>
      <w:bookmarkStart w:id="1367" w:name="_Toc28396"/>
      <w:bookmarkStart w:id="1368" w:name="_Toc28415"/>
      <w:bookmarkStart w:id="1369" w:name="_Toc193093630"/>
      <w:bookmarkStart w:id="1370" w:name="_Toc13099"/>
      <w:bookmarkStart w:id="1371" w:name="_Toc3695"/>
      <w:bookmarkStart w:id="1372" w:name="_Toc163370617"/>
      <w:bookmarkStart w:id="1373" w:name="_Toc90941234"/>
      <w:r>
        <w:rPr>
          <w:rFonts w:ascii="Times New Roman" w:hAnsi="Times New Roman" w:eastAsia="黑体" w:cs="Times New Roman"/>
          <w:b/>
          <w:color w:val="auto"/>
          <w:sz w:val="30"/>
          <w:highlight w:val="none"/>
          <w:lang w:val="en-US" w:eastAsia="zh-CN" w:bidi="ar-SA"/>
        </w:rPr>
        <w:t>生产运行监控管理</w:t>
      </w:r>
      <w:bookmarkEnd w:id="1365"/>
      <w:bookmarkEnd w:id="1366"/>
      <w:bookmarkEnd w:id="1367"/>
      <w:bookmarkEnd w:id="1368"/>
      <w:bookmarkEnd w:id="1369"/>
      <w:bookmarkEnd w:id="1370"/>
      <w:bookmarkEnd w:id="1371"/>
      <w:bookmarkEnd w:id="1372"/>
      <w:bookmarkEnd w:id="1373"/>
    </w:p>
    <w:p w14:paraId="56ADF20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生产运行监控服务实现对水厂数据进行远程集中化的水厂运行综合管理。各级管理人员可通过系统能够及时、准确、全面、直观的了解和掌握生产状况。该模块主要涉及对水厂生产过程的数据采集、清洗、存储、分析和输出展现。</w:t>
      </w:r>
    </w:p>
    <w:p w14:paraId="5B2C38D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数据分析</w:t>
      </w:r>
    </w:p>
    <w:p w14:paraId="68A4AA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利用大数据平台工具，分析智慧水厂关键指标，包含资产分析、电力能耗分析、药耗分析、水质分析四个分析主题，包括但不限于：</w:t>
      </w:r>
    </w:p>
    <w:p w14:paraId="70DF28A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1、支持多维度多数据对比查询与对比。</w:t>
      </w:r>
    </w:p>
    <w:p w14:paraId="2C95F66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2、分析方式包括但不限于指标图表分析、列表分析、多指标影响因素分析。</w:t>
      </w:r>
    </w:p>
    <w:p w14:paraId="12161B41">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highlight w:val="none"/>
          <w:lang w:eastAsia="zh-CN"/>
        </w:rPr>
        <w:t>3、影响因素分析需涵盖至少50项水厂指标影响说明，包含影响要素名词解释、计算原则及数据源。</w:t>
      </w:r>
    </w:p>
    <w:p w14:paraId="3C863E26">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运行监控</w:t>
      </w:r>
    </w:p>
    <w:p w14:paraId="37DA218B">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运行监控中心可对智慧水厂的所有重点设备设施，工艺段运行过程中的各个环节节点进行集中监视，真实反映运行情况。可通过系统对各个重要运行环节的集中监视，包括视频监视，让各级管理人员能够及时、准确、全面、直观的了解和掌握设备设施的运行状况。</w:t>
      </w:r>
    </w:p>
    <w:p w14:paraId="6785757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视频监控</w:t>
      </w:r>
    </w:p>
    <w:p w14:paraId="7208B25B">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视频监控中心使用户远程实时浏览、远程存储、远程回放等，可实现对整个系统权限、设备、报警、带宽、预览、录像的全面和专业的管理。</w:t>
      </w:r>
    </w:p>
    <w:p w14:paraId="51810BCE">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在平台上可依据水厂工艺段进行分类实时视频浏览。比如用户可在软件上选取查看取水泵房所对用的所有相关视频。</w:t>
      </w:r>
    </w:p>
    <w:p w14:paraId="1C3D283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事件报警及处置</w:t>
      </w:r>
    </w:p>
    <w:p w14:paraId="395A7360">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用户可根据各类事件的分类和重要级别的不同进行自定义配置，如报警事件，通常可分为重大报警、一般报警、预警和无级别报警。</w:t>
      </w:r>
    </w:p>
    <w:p w14:paraId="4ED0A27C">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当事件触发并经由分类分级配置完成后，可依据配置情况以不同的方式推送至用户及相关人员及时处置，对各类事件从触发-推送-处置实现闭环全流程管理。</w:t>
      </w:r>
    </w:p>
    <w:p w14:paraId="78793FD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业务报表</w:t>
      </w:r>
    </w:p>
    <w:p w14:paraId="6E923F49">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highlight w:val="none"/>
          <w:lang w:eastAsia="zh-CN"/>
        </w:rPr>
        <w:t>按照“数据利用通则”的要求，</w:t>
      </w:r>
      <w:r>
        <w:rPr>
          <w:rFonts w:hint="eastAsia" w:ascii="宋体" w:hAnsi="宋体" w:eastAsia="宋体" w:cs="Times New Roman"/>
          <w:color w:val="auto"/>
          <w:kern w:val="0"/>
          <w:sz w:val="24"/>
          <w:szCs w:val="24"/>
          <w:highlight w:val="none"/>
          <w:lang w:eastAsia="zh-CN"/>
        </w:rPr>
        <w:t>按报表格式完成报表，按公司报表上报流程，完成报表上报过程。按现代管理的特点，减少业务报表的数量和表现形式，业务报表主要完成关键数据的记录和回溯的作用，其他数据分析功能，可采用主题看板，数据查询，数据多维分析、智能报表等方式提供丰富的分析和决策依据。</w:t>
      </w:r>
    </w:p>
    <w:p w14:paraId="346E97E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满足用户各类报表导出需求。系统根据不同用户的业务需求，对采集数据进行统计、计算、汇总，生成日报表、月报表、年报表等多种报表，每类报表根据工艺段进行细分，根据不同用户需求展示不同的报表。报表支持在线查询浏览及全部下载和自定义下载功能。可以根据不同业务环境实现数据的保存、录入或导入功能。</w:t>
      </w:r>
    </w:p>
    <w:p w14:paraId="61AFFF1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全厂KPI管理</w:t>
      </w:r>
    </w:p>
    <w:p w14:paraId="318BDF1E">
      <w:pPr>
        <w:widowControl/>
        <w:spacing w:line="360" w:lineRule="auto"/>
        <w:ind w:firstLine="480" w:firstLineChars="200"/>
        <w:contextualSpacing/>
        <w:rPr>
          <w:rFonts w:hint="eastAsia" w:ascii="宋体" w:hAnsi="宋体" w:eastAsia="宋体" w:cs="宋体"/>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按照“数据利用通则”的要求，结合</w:t>
      </w:r>
      <w:r>
        <w:rPr>
          <w:rFonts w:hint="eastAsia" w:ascii="宋体" w:hAnsi="宋体" w:eastAsia="宋体" w:cs="Times New Roman"/>
          <w:color w:val="auto"/>
          <w:kern w:val="0"/>
          <w:sz w:val="24"/>
          <w:szCs w:val="24"/>
          <w:highlight w:val="none"/>
          <w:lang w:eastAsia="zh-CN"/>
        </w:rPr>
        <w:t>智慧水厂管理要求，形成全厂关键指标库</w:t>
      </w:r>
      <w:r>
        <w:rPr>
          <w:rFonts w:ascii="宋体" w:hAnsi="宋体" w:eastAsia="宋体" w:cs="宋体"/>
          <w:color w:val="auto"/>
          <w:kern w:val="0"/>
          <w:sz w:val="24"/>
          <w:highlight w:val="none"/>
          <w:lang w:eastAsia="zh-CN"/>
        </w:rPr>
        <w:t>，如水质指标、生产指标、成本指标、能耗指标等。</w:t>
      </w:r>
    </w:p>
    <w:p w14:paraId="3C4A0938">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1、核心指标</w:t>
      </w:r>
    </w:p>
    <w:p w14:paraId="654290EC">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水厂综合水质统计（包含综合化验水质合格率，采样点实时水质数据）、供水统计（包含实时生产负荷，设计日供水量，总累计供水，总累计供水，累计原水，出厂水压力）、成本统计（包含千吨水成本，千吨水电成本，千吨水水成本）、实时待办任务（待办工单数量，待处理报警数量，进行中考试数量）。</w:t>
      </w:r>
    </w:p>
    <w:p w14:paraId="65F3CF2D">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2、生产指标</w:t>
      </w:r>
    </w:p>
    <w:p w14:paraId="42371A73">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展示水厂千吨水电耗，药剂单耗，人员交接班及时率TOP5，工单处理及时率TOP5，工单接单及时率TOP5等数据。支持以月维度和年维度进行查询。</w:t>
      </w:r>
    </w:p>
    <w:p w14:paraId="4A9FEFE5">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3、水质指标</w:t>
      </w:r>
    </w:p>
    <w:p w14:paraId="02B1FD21">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展示各采样点水质合格率及采样点下各指标的水质同环比趋势。支持以月维度和年维度进行查询。</w:t>
      </w:r>
    </w:p>
    <w:p w14:paraId="4134A5FB">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4、成本指标</w:t>
      </w:r>
    </w:p>
    <w:p w14:paraId="7F7686B4">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展示总成本、水成本、电成本、药成本、维修成本、其他成本的成本同环比分析。支持以月维度和年维度进行查询。</w:t>
      </w:r>
    </w:p>
    <w:p w14:paraId="6AFED9E4">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5、设备指标</w:t>
      </w:r>
    </w:p>
    <w:p w14:paraId="2FEA3B37">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展示设备总数、安装设备总数、在线设备总数、程控率的数据，以环形百分比图形式展示设备完好率与设备在线率。</w:t>
      </w:r>
    </w:p>
    <w:p w14:paraId="68BA95B5">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6、工单指标</w:t>
      </w:r>
    </w:p>
    <w:p w14:paraId="10DF4783">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展示工单总数、在线完成率、工单超时率、接单等待时长的数据，以环形百分比图与饼图形式展示工单分布及超时工单分布，同时支持以图表形式查看以上数据。支持以月维度和年维度进行查询。</w:t>
      </w:r>
    </w:p>
    <w:p w14:paraId="4477A8ED">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7、安全指标</w:t>
      </w:r>
    </w:p>
    <w:p w14:paraId="3A44D85D">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报警：展示报警总数、报警处理率、报警最多构筑物、触发最多报警、报警最多设备、报警最多类型，以图表形式展示报警的构筑物分布、报警等级分布、报警类型分布，支持以月维度和年维度进行查询。</w:t>
      </w:r>
    </w:p>
    <w:p w14:paraId="5F24D1DD">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应急：展示历史总响应数量、历史总演练数量、演练与响应的平均响应率、达成率。支持以图表形式展示事故的类型分布、响应等级分布、事故构筑物分布。</w:t>
      </w:r>
    </w:p>
    <w:p w14:paraId="5FFE659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后台权限配置</w:t>
      </w:r>
    </w:p>
    <w:p w14:paraId="4456B1CD">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需要为“生产运行监控管理”的内容、权限单独编制系统管理配置功能，系统具备多级授权（超级管理员/部门管理员/水厂管理员/用户），赋予用户系统管理员根据管理的需要，对用户所属系统进行配置、控制、和管理。系统采用各类型组织级的安全机制，在保证系统安全的条件下提供数据的灵活应用。在数据库、客户端视窗、及信息展示多个层面，系统可实现对各使用者进行分级和权限管理，对使用者进行角色的设定及授权。系统管理包括：</w:t>
      </w:r>
    </w:p>
    <w:p w14:paraId="768B1119">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1、用户登录管理</w:t>
      </w:r>
    </w:p>
    <w:p w14:paraId="14A3F1D8">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设备信息管理系统具有严格的安全登录认证措施，确保平台的安全性。当用户完成操作，应及时退出登录，以保证用户资料和平台数据的安全。</w:t>
      </w:r>
    </w:p>
    <w:p w14:paraId="5D5F6AF2">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2、权限控制管理</w:t>
      </w:r>
    </w:p>
    <w:p w14:paraId="67F1D8B8">
      <w:pPr>
        <w:widowControl/>
        <w:spacing w:line="360" w:lineRule="auto"/>
        <w:ind w:firstLine="480" w:firstLineChars="200"/>
        <w:contextualSpacing/>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设备信息管理系统采用严格的应用层权限控制管理，用户可按照各组织的管理职能分配权限，方便用户系统管理员对所属系统的安全维护。</w:t>
      </w:r>
    </w:p>
    <w:p w14:paraId="47F30CDE">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交接班管理</w:t>
      </w:r>
    </w:p>
    <w:p w14:paraId="5DBA66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Times New Roman"/>
          <w:color w:val="auto"/>
          <w:kern w:val="0"/>
          <w:sz w:val="24"/>
          <w:highlight w:val="none"/>
          <w:lang w:eastAsia="zh-CN"/>
        </w:rPr>
        <w:t>交接班管理可以通过信息化手段，规范值班管理流程。具备人员信息和班组信息管理，编制值班计划、记录交班情况，以及审批换班申请等功能。将排班管理工作系统化，有系统自发记录和统计排班工作内容。记录交班时间、班组、人员、内容，保障白班夜班顺利交接，工作连续可追溯。可按照日历进行自动排班与一键打印，支持评分管理，可按招标人要求自动生成生产简报。系统提供换班管理，可以进行换班的申请、审批、记录等，并在值班计划中同步变更，保证值班计划有效落实。</w:t>
      </w:r>
    </w:p>
    <w:p w14:paraId="2B952FDE">
      <w:pPr>
        <w:keepNext/>
        <w:keepLines/>
        <w:numPr>
          <w:ilvl w:val="2"/>
          <w:numId w:val="1"/>
        </w:numPr>
        <w:spacing w:line="360" w:lineRule="auto"/>
        <w:ind w:left="720" w:firstLine="200" w:firstLineChars="0"/>
        <w:jc w:val="both"/>
        <w:outlineLvl w:val="2"/>
        <w:rPr>
          <w:rFonts w:ascii="Arial" w:hAnsi="Arial" w:eastAsia="黑体" w:cs="Times New Roman"/>
          <w:b/>
          <w:color w:val="auto"/>
          <w:sz w:val="30"/>
          <w:highlight w:val="none"/>
          <w:lang w:val="en-US" w:eastAsia="zh-CN" w:bidi="ar-SA"/>
        </w:rPr>
      </w:pPr>
      <w:bookmarkStart w:id="1374" w:name="_Toc23796"/>
      <w:bookmarkStart w:id="1375" w:name="_Toc11220"/>
      <w:bookmarkStart w:id="1376" w:name="_Toc27310"/>
      <w:bookmarkStart w:id="1377" w:name="_Toc10153"/>
      <w:r>
        <w:rPr>
          <w:rFonts w:hint="eastAsia" w:ascii="Times New Roman" w:hAnsi="Times New Roman" w:eastAsia="黑体" w:cs="Times New Roman"/>
          <w:b/>
          <w:color w:val="auto"/>
          <w:sz w:val="30"/>
          <w:highlight w:val="none"/>
          <w:lang w:val="en-US" w:eastAsia="zh-CN" w:bidi="ar-SA"/>
        </w:rPr>
        <w:t xml:space="preserve"> </w:t>
      </w:r>
      <w:bookmarkStart w:id="1378" w:name="_Toc293004948"/>
      <w:bookmarkStart w:id="1379" w:name="_Toc25361"/>
      <w:bookmarkStart w:id="1380" w:name="_Toc193093631"/>
      <w:bookmarkStart w:id="1381" w:name="_Toc411837761"/>
      <w:bookmarkStart w:id="1382" w:name="_Toc8484"/>
      <w:bookmarkStart w:id="1383" w:name="_Toc1285859053"/>
      <w:r>
        <w:rPr>
          <w:rFonts w:hint="eastAsia" w:ascii="Arial" w:hAnsi="Arial" w:eastAsia="黑体" w:cs="Times New Roman"/>
          <w:b/>
          <w:color w:val="auto"/>
          <w:sz w:val="30"/>
          <w:highlight w:val="none"/>
          <w:lang w:val="en-US" w:eastAsia="zh-CN" w:bidi="ar-SA"/>
        </w:rPr>
        <w:t>综合运营管理</w:t>
      </w:r>
      <w:bookmarkEnd w:id="1378"/>
      <w:bookmarkEnd w:id="1379"/>
      <w:bookmarkEnd w:id="1380"/>
      <w:bookmarkEnd w:id="1381"/>
      <w:bookmarkEnd w:id="1382"/>
      <w:bookmarkEnd w:id="1383"/>
    </w:p>
    <w:p w14:paraId="4D5250D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伴随本项目建设，会带来新的水厂生产控制和管理方式，水厂的组织架构和流程会发生变化。需对现有的管理流程进行增加、优化，根据新的管理模式，形成新的数据分析主题，在功能上支撑新一代智慧水厂生产控制和运营管理，快速适应智慧水厂变革形成新的管理模式。</w:t>
      </w:r>
    </w:p>
    <w:p w14:paraId="5853BD6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根据要求对水厂现有流程内容包括但不限于人力</w:t>
      </w:r>
      <w:r>
        <w:rPr>
          <w:rFonts w:hint="eastAsia" w:ascii="Times New Roman" w:hAnsi="Times New Roman" w:eastAsia="宋体" w:cs="Times New Roman"/>
          <w:color w:val="auto"/>
          <w:kern w:val="0"/>
          <w:sz w:val="24"/>
          <w:highlight w:val="none"/>
          <w:lang w:val="en-US" w:eastAsia="zh-CN"/>
        </w:rPr>
        <w:t>综合</w:t>
      </w:r>
      <w:r>
        <w:rPr>
          <w:rFonts w:hint="eastAsia" w:ascii="Times New Roman" w:hAnsi="Times New Roman" w:eastAsia="宋体" w:cs="Times New Roman"/>
          <w:color w:val="auto"/>
          <w:kern w:val="0"/>
          <w:sz w:val="24"/>
          <w:highlight w:val="none"/>
          <w:lang w:eastAsia="zh-CN"/>
        </w:rPr>
        <w:t>管理、财务经营管理、</w:t>
      </w:r>
      <w:r>
        <w:rPr>
          <w:rFonts w:hint="eastAsia" w:ascii="Times New Roman" w:hAnsi="Times New Roman" w:eastAsia="宋体" w:cs="Times New Roman"/>
          <w:color w:val="auto"/>
          <w:kern w:val="0"/>
          <w:sz w:val="24"/>
          <w:highlight w:val="none"/>
          <w:lang w:val="en-US" w:eastAsia="zh-CN"/>
        </w:rPr>
        <w:t>生产计划管理、水厂</w:t>
      </w:r>
      <w:r>
        <w:rPr>
          <w:rFonts w:hint="eastAsia" w:ascii="Times New Roman" w:hAnsi="Times New Roman" w:eastAsia="宋体" w:cs="Times New Roman"/>
          <w:color w:val="auto"/>
          <w:kern w:val="0"/>
          <w:sz w:val="24"/>
          <w:highlight w:val="none"/>
          <w:lang w:eastAsia="zh-CN"/>
        </w:rPr>
        <w:t>安全管理等方面的管理内容，进行流程间调用、串并联等编排，形成权限配置、联查、督办、提醒、预警等功能，并能分类进行统计分析。</w:t>
      </w:r>
    </w:p>
    <w:p w14:paraId="5C21286B">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bookmarkStart w:id="1384" w:name="_Toc8368"/>
      <w:r>
        <w:rPr>
          <w:rFonts w:hint="eastAsia" w:ascii="Times New Roman" w:hAnsi="Arial" w:eastAsia="黑体" w:cs="Times New Roman"/>
          <w:b/>
          <w:color w:val="auto"/>
          <w:sz w:val="28"/>
          <w:highlight w:val="none"/>
          <w:lang w:val="en-US" w:eastAsia="zh-CN" w:bidi="ar-SA"/>
        </w:rPr>
        <w:t xml:space="preserve"> 人力综合管理</w:t>
      </w:r>
      <w:bookmarkEnd w:id="1384"/>
    </w:p>
    <w:p w14:paraId="2925F3F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2"/>
          <w:sz w:val="24"/>
          <w:highlight w:val="none"/>
          <w:lang w:eastAsia="zh-CN"/>
        </w:rPr>
        <w:t>针对厂区人力资源业务场景需求，对现有人力资源管理模式与能力升级，主要升级功能包括有</w:t>
      </w:r>
      <w:r>
        <w:rPr>
          <w:rFonts w:hint="eastAsia" w:ascii="Times New Roman" w:hAnsi="Times New Roman" w:eastAsia="宋体" w:cs="Times New Roman"/>
          <w:color w:val="auto"/>
          <w:kern w:val="2"/>
          <w:sz w:val="24"/>
          <w:highlight w:val="none"/>
          <w:lang w:val="en-US" w:eastAsia="zh-CN"/>
        </w:rPr>
        <w:t>人员</w:t>
      </w:r>
      <w:r>
        <w:rPr>
          <w:rFonts w:hint="eastAsia" w:ascii="Times New Roman" w:hAnsi="Times New Roman" w:eastAsia="宋体" w:cs="Times New Roman"/>
          <w:color w:val="auto"/>
          <w:kern w:val="2"/>
          <w:sz w:val="24"/>
          <w:highlight w:val="none"/>
          <w:lang w:eastAsia="zh-CN"/>
        </w:rPr>
        <w:t>周期考核、</w:t>
      </w:r>
      <w:r>
        <w:rPr>
          <w:rFonts w:hint="eastAsia" w:ascii="Times New Roman" w:hAnsi="Times New Roman" w:eastAsia="宋体" w:cs="Times New Roman"/>
          <w:color w:val="auto"/>
          <w:kern w:val="2"/>
          <w:sz w:val="24"/>
          <w:highlight w:val="none"/>
          <w:lang w:val="en-US" w:eastAsia="zh-CN"/>
        </w:rPr>
        <w:t>职业卫生管理、</w:t>
      </w:r>
      <w:r>
        <w:rPr>
          <w:rFonts w:hint="eastAsia" w:ascii="Times New Roman" w:hAnsi="Times New Roman" w:eastAsia="宋体" w:cs="Times New Roman"/>
          <w:color w:val="auto"/>
          <w:kern w:val="2"/>
          <w:sz w:val="24"/>
          <w:highlight w:val="none"/>
          <w:lang w:eastAsia="zh-CN"/>
        </w:rPr>
        <w:t>职工培训计划、劳保用品管理、厂级内部讲师</w:t>
      </w:r>
      <w:r>
        <w:rPr>
          <w:rFonts w:hint="eastAsia" w:ascii="Times New Roman" w:hAnsi="Times New Roman" w:eastAsia="宋体" w:cs="Times New Roman"/>
          <w:color w:val="auto"/>
          <w:kern w:val="2"/>
          <w:sz w:val="24"/>
          <w:highlight w:val="none"/>
          <w:lang w:val="en-US" w:eastAsia="zh-CN"/>
        </w:rPr>
        <w:t>管理、劳动竞赛规划、厂内排班替班管理</w:t>
      </w:r>
      <w:r>
        <w:rPr>
          <w:rFonts w:hint="eastAsia" w:ascii="Times New Roman" w:hAnsi="Times New Roman" w:eastAsia="宋体" w:cs="Times New Roman"/>
          <w:color w:val="auto"/>
          <w:kern w:val="2"/>
          <w:sz w:val="24"/>
          <w:highlight w:val="none"/>
          <w:lang w:eastAsia="zh-CN"/>
        </w:rPr>
        <w:t>等。</w:t>
      </w:r>
    </w:p>
    <w:p w14:paraId="44BE39D5">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r>
        <w:rPr>
          <w:rFonts w:hint="eastAsia" w:ascii="Times New Roman" w:hAnsi="Arial" w:eastAsia="黑体" w:cs="Times New Roman"/>
          <w:b/>
          <w:color w:val="auto"/>
          <w:sz w:val="28"/>
          <w:highlight w:val="none"/>
          <w:lang w:val="en-US" w:eastAsia="zh-CN" w:bidi="ar-SA"/>
        </w:rPr>
        <w:t xml:space="preserve"> 财务经营管理</w:t>
      </w:r>
    </w:p>
    <w:p w14:paraId="447342F2">
      <w:pPr>
        <w:widowControl/>
        <w:overflowPunct w:val="0"/>
        <w:spacing w:line="360" w:lineRule="auto"/>
        <w:ind w:firstLine="480" w:firstLineChars="200"/>
        <w:rPr>
          <w:rFonts w:ascii="Times New Roman" w:hAnsi="Times New Roman" w:eastAsia="宋体" w:cs="宋体"/>
          <w:color w:val="auto"/>
          <w:kern w:val="0"/>
          <w:sz w:val="24"/>
          <w:szCs w:val="21"/>
          <w:highlight w:val="none"/>
          <w:lang w:eastAsia="zh-CN"/>
        </w:rPr>
      </w:pPr>
      <w:r>
        <w:rPr>
          <w:rFonts w:hint="eastAsia" w:ascii="Times New Roman" w:hAnsi="Times New Roman" w:eastAsia="宋体" w:cs="宋体"/>
          <w:color w:val="auto"/>
          <w:kern w:val="0"/>
          <w:sz w:val="24"/>
          <w:szCs w:val="21"/>
          <w:highlight w:val="none"/>
          <w:lang w:eastAsia="zh-CN"/>
        </w:rPr>
        <w:t>立足于水厂实际运营情况，提高财务资金管理信息化水平，增强对业务决策的支持能力。通过加强财务经营管理数字化赋能，完善预算-核算-分析-考核的闭环，提升核算的精细化和准确性，深化财务经营分析。</w:t>
      </w:r>
    </w:p>
    <w:p w14:paraId="6AE8F326">
      <w:pPr>
        <w:widowControl/>
        <w:overflowPunct w:val="0"/>
        <w:spacing w:line="360" w:lineRule="auto"/>
        <w:ind w:firstLine="480" w:firstLineChars="200"/>
        <w:rPr>
          <w:rFonts w:hint="eastAsia" w:ascii="Times New Roman" w:hAnsi="Times New Roman" w:eastAsia="宋体" w:cs="宋体"/>
          <w:color w:val="auto"/>
          <w:kern w:val="0"/>
          <w:sz w:val="24"/>
          <w:szCs w:val="21"/>
          <w:highlight w:val="none"/>
          <w:lang w:eastAsia="zh-CN"/>
        </w:rPr>
      </w:pPr>
      <w:r>
        <w:rPr>
          <w:rFonts w:hint="eastAsia" w:ascii="Times New Roman" w:hAnsi="Times New Roman" w:eastAsia="宋体" w:cs="宋体"/>
          <w:color w:val="auto"/>
          <w:kern w:val="0"/>
          <w:sz w:val="24"/>
          <w:szCs w:val="21"/>
          <w:highlight w:val="none"/>
          <w:lang w:eastAsia="zh-CN"/>
        </w:rPr>
        <w:t>财务经营管理需包含：两金指标分析、厂内生产费用管理、</w:t>
      </w:r>
      <w:r>
        <w:rPr>
          <w:rFonts w:hint="eastAsia" w:ascii="Times New Roman" w:hAnsi="Times New Roman" w:eastAsia="宋体" w:cs="宋体"/>
          <w:color w:val="auto"/>
          <w:kern w:val="0"/>
          <w:sz w:val="24"/>
          <w:szCs w:val="21"/>
          <w:highlight w:val="none"/>
          <w:lang w:val="en-US" w:eastAsia="zh-CN"/>
        </w:rPr>
        <w:t>厂内生产管理、</w:t>
      </w:r>
      <w:r>
        <w:rPr>
          <w:rFonts w:hint="eastAsia" w:ascii="Times New Roman" w:hAnsi="Times New Roman" w:eastAsia="宋体" w:cs="宋体"/>
          <w:color w:val="auto"/>
          <w:kern w:val="0"/>
          <w:sz w:val="24"/>
          <w:szCs w:val="21"/>
          <w:highlight w:val="none"/>
          <w:lang w:eastAsia="zh-CN"/>
        </w:rPr>
        <w:t>项目投资计划进度跟踪等功能。</w:t>
      </w:r>
    </w:p>
    <w:p w14:paraId="44D69FBF">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r>
        <w:rPr>
          <w:rFonts w:hint="eastAsia" w:ascii="Times New Roman" w:hAnsi="Arial" w:eastAsia="黑体" w:cs="Times New Roman"/>
          <w:b/>
          <w:color w:val="auto"/>
          <w:sz w:val="28"/>
          <w:highlight w:val="none"/>
          <w:lang w:val="en-US" w:eastAsia="zh-CN" w:bidi="ar-SA"/>
        </w:rPr>
        <w:t xml:space="preserve"> 生产计划管理</w:t>
      </w:r>
    </w:p>
    <w:p w14:paraId="571C94FC">
      <w:pPr>
        <w:widowControl/>
        <w:overflowPunct/>
        <w:spacing w:line="360" w:lineRule="auto"/>
        <w:ind w:firstLine="480" w:firstLineChars="200"/>
        <w:jc w:val="left"/>
        <w:rPr>
          <w:rFonts w:hint="default"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水厂生产计划管理主要涉及生产水量、水质整理、核算、总结和与生产有直接相关性材料（如净水原材料、生产余泥等）的运输、处置、规划、校核和结算等相关事项，便于</w:t>
      </w:r>
      <w:r>
        <w:rPr>
          <w:rFonts w:hint="eastAsia" w:ascii="Times New Roman" w:hAnsi="Times New Roman" w:eastAsia="宋体" w:cs="宋体"/>
          <w:color w:val="auto"/>
          <w:kern w:val="0"/>
          <w:sz w:val="24"/>
          <w:szCs w:val="21"/>
          <w:highlight w:val="none"/>
          <w:lang w:eastAsia="zh-CN"/>
        </w:rPr>
        <w:t>合理编制生产计划，</w:t>
      </w:r>
      <w:r>
        <w:rPr>
          <w:rFonts w:hint="eastAsia" w:ascii="Times New Roman" w:hAnsi="Times New Roman" w:eastAsia="宋体" w:cs="宋体"/>
          <w:color w:val="auto"/>
          <w:kern w:val="0"/>
          <w:sz w:val="24"/>
          <w:szCs w:val="21"/>
          <w:highlight w:val="none"/>
          <w:lang w:val="en-US" w:eastAsia="zh-CN"/>
        </w:rPr>
        <w:t>形成</w:t>
      </w:r>
      <w:r>
        <w:rPr>
          <w:rFonts w:hint="eastAsia" w:ascii="Times New Roman" w:hAnsi="Times New Roman" w:eastAsia="宋体" w:cs="宋体"/>
          <w:color w:val="auto"/>
          <w:kern w:val="0"/>
          <w:sz w:val="24"/>
          <w:szCs w:val="21"/>
          <w:highlight w:val="none"/>
          <w:lang w:eastAsia="zh-CN"/>
        </w:rPr>
        <w:t>每日的</w:t>
      </w:r>
      <w:r>
        <w:rPr>
          <w:rFonts w:hint="eastAsia" w:ascii="Times New Roman" w:hAnsi="Times New Roman" w:eastAsia="宋体" w:cs="宋体"/>
          <w:color w:val="auto"/>
          <w:kern w:val="0"/>
          <w:sz w:val="24"/>
          <w:szCs w:val="21"/>
          <w:highlight w:val="none"/>
          <w:lang w:val="en-US" w:eastAsia="zh-CN"/>
        </w:rPr>
        <w:t>取、送</w:t>
      </w:r>
      <w:r>
        <w:rPr>
          <w:rFonts w:hint="eastAsia" w:ascii="Times New Roman" w:hAnsi="Times New Roman" w:eastAsia="宋体" w:cs="宋体"/>
          <w:color w:val="auto"/>
          <w:kern w:val="0"/>
          <w:sz w:val="24"/>
          <w:szCs w:val="21"/>
          <w:highlight w:val="none"/>
          <w:lang w:eastAsia="zh-CN"/>
        </w:rPr>
        <w:t>水量</w:t>
      </w:r>
      <w:r>
        <w:rPr>
          <w:rFonts w:hint="eastAsia" w:ascii="Times New Roman" w:hAnsi="Times New Roman" w:eastAsia="宋体" w:cs="宋体"/>
          <w:color w:val="auto"/>
          <w:kern w:val="0"/>
          <w:sz w:val="24"/>
          <w:szCs w:val="21"/>
          <w:highlight w:val="none"/>
          <w:lang w:val="en-US" w:eastAsia="zh-CN"/>
        </w:rPr>
        <w:t>统计</w:t>
      </w:r>
      <w:r>
        <w:rPr>
          <w:rFonts w:hint="eastAsia" w:ascii="Times New Roman" w:hAnsi="Times New Roman" w:eastAsia="宋体" w:cs="宋体"/>
          <w:color w:val="auto"/>
          <w:kern w:val="0"/>
          <w:sz w:val="24"/>
          <w:szCs w:val="21"/>
          <w:highlight w:val="none"/>
          <w:lang w:eastAsia="zh-CN"/>
        </w:rPr>
        <w:t>，</w:t>
      </w:r>
      <w:r>
        <w:rPr>
          <w:rFonts w:hint="eastAsia" w:ascii="Times New Roman" w:hAnsi="Times New Roman" w:eastAsia="宋体" w:cs="宋体"/>
          <w:color w:val="auto"/>
          <w:kern w:val="0"/>
          <w:sz w:val="24"/>
          <w:szCs w:val="21"/>
          <w:highlight w:val="none"/>
          <w:lang w:val="en-US" w:eastAsia="zh-CN"/>
        </w:rPr>
        <w:t>分析评估水质情况，科学</w:t>
      </w:r>
      <w:r>
        <w:rPr>
          <w:rFonts w:hint="eastAsia" w:ascii="Times New Roman" w:hAnsi="Times New Roman" w:eastAsia="宋体" w:cs="宋体"/>
          <w:color w:val="auto"/>
          <w:kern w:val="0"/>
          <w:sz w:val="24"/>
          <w:szCs w:val="21"/>
          <w:highlight w:val="none"/>
          <w:lang w:eastAsia="zh-CN"/>
        </w:rPr>
        <w:t>控制</w:t>
      </w:r>
      <w:r>
        <w:rPr>
          <w:rFonts w:hint="eastAsia" w:ascii="Times New Roman" w:hAnsi="Times New Roman" w:eastAsia="宋体" w:cs="宋体"/>
          <w:color w:val="auto"/>
          <w:kern w:val="0"/>
          <w:sz w:val="24"/>
          <w:szCs w:val="21"/>
          <w:highlight w:val="none"/>
          <w:lang w:val="en-US" w:eastAsia="zh-CN"/>
        </w:rPr>
        <w:t>原</w:t>
      </w:r>
      <w:r>
        <w:rPr>
          <w:rFonts w:hint="eastAsia" w:ascii="Times New Roman" w:hAnsi="Times New Roman" w:eastAsia="宋体" w:cs="宋体"/>
          <w:color w:val="auto"/>
          <w:kern w:val="0"/>
          <w:sz w:val="24"/>
          <w:szCs w:val="21"/>
          <w:highlight w:val="none"/>
          <w:lang w:eastAsia="zh-CN"/>
        </w:rPr>
        <w:t>材料的采购、库存和使用，确保供水的稳定性和及时性，避免出现供水不足或</w:t>
      </w:r>
      <w:r>
        <w:rPr>
          <w:rFonts w:hint="eastAsia" w:ascii="Times New Roman" w:hAnsi="Times New Roman" w:eastAsia="宋体" w:cs="宋体"/>
          <w:color w:val="auto"/>
          <w:kern w:val="0"/>
          <w:sz w:val="24"/>
          <w:szCs w:val="21"/>
          <w:highlight w:val="none"/>
          <w:lang w:val="en-US" w:eastAsia="zh-CN"/>
        </w:rPr>
        <w:t>资源浪费等</w:t>
      </w:r>
      <w:r>
        <w:rPr>
          <w:rFonts w:hint="eastAsia" w:ascii="Times New Roman" w:hAnsi="Times New Roman" w:eastAsia="宋体" w:cs="宋体"/>
          <w:color w:val="auto"/>
          <w:kern w:val="0"/>
          <w:sz w:val="24"/>
          <w:szCs w:val="21"/>
          <w:highlight w:val="none"/>
          <w:lang w:eastAsia="zh-CN"/>
        </w:rPr>
        <w:t>情况，提高利用率，从而实现</w:t>
      </w:r>
      <w:r>
        <w:rPr>
          <w:rFonts w:hint="eastAsia" w:ascii="Times New Roman" w:hAnsi="Times New Roman" w:eastAsia="宋体" w:cs="宋体"/>
          <w:color w:val="auto"/>
          <w:kern w:val="0"/>
          <w:sz w:val="24"/>
          <w:szCs w:val="21"/>
          <w:highlight w:val="none"/>
          <w:lang w:val="en-US" w:eastAsia="zh-CN"/>
        </w:rPr>
        <w:t>智慧水厂科学运营</w:t>
      </w:r>
      <w:r>
        <w:rPr>
          <w:rFonts w:hint="eastAsia" w:ascii="Times New Roman" w:hAnsi="Times New Roman" w:eastAsia="宋体" w:cs="宋体"/>
          <w:color w:val="auto"/>
          <w:kern w:val="0"/>
          <w:sz w:val="24"/>
          <w:szCs w:val="21"/>
          <w:highlight w:val="none"/>
          <w:lang w:eastAsia="zh-CN"/>
        </w:rPr>
        <w:t>的有效</w:t>
      </w:r>
      <w:r>
        <w:rPr>
          <w:rFonts w:hint="eastAsia" w:ascii="Times New Roman" w:hAnsi="Times New Roman" w:eastAsia="宋体" w:cs="宋体"/>
          <w:color w:val="auto"/>
          <w:kern w:val="0"/>
          <w:sz w:val="24"/>
          <w:szCs w:val="21"/>
          <w:highlight w:val="none"/>
          <w:lang w:val="en-US" w:eastAsia="zh-CN"/>
        </w:rPr>
        <w:t>提升</w:t>
      </w:r>
      <w:r>
        <w:rPr>
          <w:rFonts w:hint="eastAsia" w:ascii="Times New Roman" w:hAnsi="Times New Roman" w:eastAsia="宋体" w:cs="宋体"/>
          <w:color w:val="auto"/>
          <w:kern w:val="0"/>
          <w:sz w:val="24"/>
          <w:szCs w:val="21"/>
          <w:highlight w:val="none"/>
          <w:lang w:eastAsia="zh-CN"/>
        </w:rPr>
        <w:t>。</w:t>
      </w:r>
    </w:p>
    <w:p w14:paraId="28E3C50F">
      <w:pPr>
        <w:widowControl/>
        <w:overflowPunct w:val="0"/>
        <w:spacing w:line="360" w:lineRule="auto"/>
        <w:ind w:firstLine="480" w:firstLineChars="200"/>
        <w:rPr>
          <w:rFonts w:hint="default" w:ascii="Times New Roman" w:hAnsi="Times New Roman" w:eastAsia="宋体" w:cs="宋体"/>
          <w:color w:val="auto"/>
          <w:kern w:val="0"/>
          <w:sz w:val="24"/>
          <w:szCs w:val="21"/>
          <w:highlight w:val="none"/>
          <w:lang w:val="en-US" w:eastAsia="zh-CN"/>
        </w:rPr>
      </w:pPr>
      <w:r>
        <w:rPr>
          <w:rFonts w:hint="eastAsia" w:ascii="Times New Roman" w:hAnsi="Times New Roman" w:eastAsia="宋体" w:cs="宋体"/>
          <w:color w:val="auto"/>
          <w:kern w:val="0"/>
          <w:sz w:val="24"/>
          <w:szCs w:val="21"/>
          <w:highlight w:val="none"/>
          <w:lang w:val="en-US" w:eastAsia="zh-CN"/>
        </w:rPr>
        <w:t>生产计划管理主要包括：取、送水量统计管理、水质情况管理、重点净水</w:t>
      </w:r>
      <w:r>
        <w:rPr>
          <w:rFonts w:hint="eastAsia" w:ascii="Times New Roman" w:hAnsi="Times New Roman" w:eastAsia="宋体" w:cs="宋体"/>
          <w:color w:val="auto"/>
          <w:kern w:val="0"/>
          <w:sz w:val="24"/>
          <w:szCs w:val="21"/>
          <w:highlight w:val="none"/>
          <w:lang w:eastAsia="zh-CN"/>
        </w:rPr>
        <w:t>原材料</w:t>
      </w:r>
      <w:r>
        <w:rPr>
          <w:rFonts w:hint="eastAsia" w:ascii="Times New Roman" w:hAnsi="Times New Roman" w:eastAsia="宋体" w:cs="宋体"/>
          <w:color w:val="auto"/>
          <w:kern w:val="0"/>
          <w:sz w:val="24"/>
          <w:szCs w:val="21"/>
          <w:highlight w:val="none"/>
          <w:lang w:val="en-US" w:eastAsia="zh-CN"/>
        </w:rPr>
        <w:t>入库全流程管理、重点净水原材料补仓计划生成、余泥外运处置流程管理等。</w:t>
      </w:r>
    </w:p>
    <w:p w14:paraId="41264EE3">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水厂安全管理</w:t>
      </w:r>
    </w:p>
    <w:p w14:paraId="72E2BFD0">
      <w:pPr>
        <w:widowControl/>
        <w:overflowPunct w:val="0"/>
        <w:spacing w:line="360" w:lineRule="auto"/>
        <w:ind w:firstLine="480" w:firstLineChars="200"/>
        <w:rPr>
          <w:rFonts w:ascii="Times New Roman" w:hAnsi="Times New Roman" w:eastAsia="宋体" w:cs="宋体"/>
          <w:color w:val="auto"/>
          <w:kern w:val="0"/>
          <w:sz w:val="24"/>
          <w:szCs w:val="21"/>
          <w:highlight w:val="none"/>
          <w:lang w:eastAsia="zh-CN"/>
        </w:rPr>
      </w:pPr>
      <w:r>
        <w:rPr>
          <w:rFonts w:hint="eastAsia" w:ascii="Times New Roman" w:hAnsi="Times New Roman" w:eastAsia="宋体" w:cs="宋体"/>
          <w:color w:val="auto"/>
          <w:kern w:val="0"/>
          <w:sz w:val="24"/>
          <w:szCs w:val="21"/>
          <w:highlight w:val="none"/>
          <w:lang w:eastAsia="zh-CN"/>
        </w:rPr>
        <w:t>安全管理是水厂生产管理的重要组成部分，是一门综合性的系统科学。安全管理的对象是生产中一切人、物、环境的状态动态管理与控制，是保证生产处于最佳安全状态的根本环节。</w:t>
      </w:r>
    </w:p>
    <w:p w14:paraId="6C8BA5D8">
      <w:pPr>
        <w:widowControl/>
        <w:overflowPunct w:val="0"/>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宋体"/>
          <w:color w:val="auto"/>
          <w:kern w:val="0"/>
          <w:sz w:val="24"/>
          <w:szCs w:val="21"/>
          <w:highlight w:val="none"/>
          <w:lang w:eastAsia="zh-CN"/>
        </w:rPr>
        <w:t>安全管理主要包含：安全检查、安全施工、隐患整改、安全巡查、应急预案管理、</w:t>
      </w:r>
      <w:r>
        <w:rPr>
          <w:rFonts w:hint="eastAsia" w:ascii="Times New Roman" w:hAnsi="Times New Roman" w:eastAsia="宋体" w:cs="宋体"/>
          <w:color w:val="auto"/>
          <w:kern w:val="0"/>
          <w:sz w:val="24"/>
          <w:szCs w:val="21"/>
          <w:highlight w:val="none"/>
          <w:lang w:val="en-US" w:eastAsia="zh-CN"/>
        </w:rPr>
        <w:t>特种作业</w:t>
      </w:r>
      <w:r>
        <w:rPr>
          <w:rFonts w:hint="eastAsia" w:ascii="Times New Roman" w:hAnsi="Times New Roman" w:eastAsia="宋体" w:cs="宋体"/>
          <w:color w:val="auto"/>
          <w:kern w:val="0"/>
          <w:sz w:val="24"/>
          <w:szCs w:val="21"/>
          <w:highlight w:val="none"/>
          <w:lang w:eastAsia="zh-CN"/>
        </w:rPr>
        <w:t>证件管理、特种设备、安全培训、安全报表等功能。</w:t>
      </w:r>
    </w:p>
    <w:p w14:paraId="0E32EB2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385" w:name="_Toc25352"/>
      <w:bookmarkStart w:id="1386" w:name="_Toc15001"/>
      <w:bookmarkStart w:id="1387" w:name="_Toc532"/>
      <w:bookmarkStart w:id="1388" w:name="_Toc11637"/>
      <w:r>
        <w:rPr>
          <w:rFonts w:hint="eastAsia" w:ascii="Times New Roman" w:hAnsi="Times New Roman" w:eastAsia="黑体" w:cs="Times New Roman"/>
          <w:b/>
          <w:color w:val="auto"/>
          <w:sz w:val="30"/>
          <w:highlight w:val="none"/>
          <w:lang w:val="en-US" w:eastAsia="zh-CN" w:bidi="ar-SA"/>
        </w:rPr>
        <w:t xml:space="preserve"> </w:t>
      </w:r>
      <w:bookmarkStart w:id="1389" w:name="_Toc354158465"/>
      <w:bookmarkStart w:id="1390" w:name="_Toc1305164010"/>
      <w:bookmarkStart w:id="1391" w:name="_Toc1588446821"/>
      <w:bookmarkStart w:id="1392" w:name="_Toc417454846"/>
      <w:bookmarkStart w:id="1393" w:name="_Toc28385"/>
      <w:bookmarkStart w:id="1394" w:name="_Toc26657"/>
      <w:bookmarkStart w:id="1395" w:name="_Toc193093632"/>
      <w:bookmarkStart w:id="1396" w:name="_Toc14845"/>
      <w:bookmarkStart w:id="1397" w:name="_Toc27715"/>
      <w:r>
        <w:rPr>
          <w:rFonts w:hint="eastAsia" w:ascii="Times New Roman" w:hAnsi="Times New Roman" w:eastAsia="黑体" w:cs="Times New Roman"/>
          <w:b/>
          <w:color w:val="auto"/>
          <w:sz w:val="30"/>
          <w:highlight w:val="none"/>
          <w:lang w:val="en-US" w:eastAsia="zh-CN" w:bidi="ar-SA"/>
        </w:rPr>
        <w:t>设备智慧管理</w:t>
      </w:r>
      <w:bookmarkEnd w:id="1374"/>
      <w:bookmarkEnd w:id="1375"/>
      <w:bookmarkEnd w:id="1376"/>
      <w:bookmarkEnd w:id="1377"/>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75D87096">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本期工程将</w:t>
      </w:r>
      <w:r>
        <w:rPr>
          <w:rFonts w:ascii="Times New Roman" w:hAnsi="Times New Roman" w:eastAsia="宋体" w:cs="Times New Roman"/>
          <w:color w:val="auto"/>
          <w:kern w:val="0"/>
          <w:sz w:val="24"/>
          <w:highlight w:val="none"/>
          <w:lang w:eastAsia="zh-CN"/>
        </w:rPr>
        <w:t>升级迭代</w:t>
      </w:r>
      <w:r>
        <w:rPr>
          <w:rFonts w:hint="eastAsia" w:ascii="Times New Roman" w:hAnsi="Times New Roman" w:eastAsia="宋体" w:cs="Times New Roman"/>
          <w:color w:val="auto"/>
          <w:kern w:val="0"/>
          <w:sz w:val="24"/>
          <w:highlight w:val="none"/>
          <w:lang w:eastAsia="zh-CN"/>
        </w:rPr>
        <w:t>智慧云平台中设备全生命周期管理体系与水厂设备管理有关联的部分，更好为水厂智慧管理服务，通过对数据中心数据挖掘，多维展示设备生命周期中发生的故障、维修、保养、备件物料消耗、人员工时消耗等的信息，并按需求形成相应的报表、主题看板、智能报告、地图展示等利用方式，为水公司这种资产密集型企业运行和决策的重要工具和依靠。</w:t>
      </w:r>
    </w:p>
    <w:p w14:paraId="4F51B5E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设备智慧管理</w:t>
      </w:r>
      <w:r>
        <w:rPr>
          <w:rFonts w:hint="eastAsia" w:ascii="Times New Roman" w:hAnsi="Times New Roman" w:eastAsia="宋体" w:cs="Times New Roman"/>
          <w:color w:val="auto"/>
          <w:kern w:val="0"/>
          <w:sz w:val="24"/>
          <w:highlight w:val="none"/>
          <w:lang w:eastAsia="zh-CN"/>
        </w:rPr>
        <w:t>数据</w:t>
      </w:r>
      <w:r>
        <w:rPr>
          <w:rFonts w:hint="eastAsia" w:ascii="Times New Roman" w:hAnsi="Times New Roman" w:eastAsia="宋体" w:cs="Times New Roman"/>
          <w:color w:val="auto"/>
          <w:kern w:val="0"/>
          <w:sz w:val="24"/>
          <w:highlight w:val="none"/>
          <w:lang w:val="en-US" w:eastAsia="zh-CN"/>
        </w:rPr>
        <w:t>应</w:t>
      </w:r>
      <w:r>
        <w:rPr>
          <w:rFonts w:hint="eastAsia" w:ascii="Times New Roman" w:hAnsi="Times New Roman" w:eastAsia="宋体" w:cs="Times New Roman"/>
          <w:color w:val="auto"/>
          <w:kern w:val="0"/>
          <w:sz w:val="24"/>
          <w:highlight w:val="none"/>
          <w:lang w:eastAsia="zh-CN"/>
        </w:rPr>
        <w:t>与</w:t>
      </w:r>
      <w:r>
        <w:rPr>
          <w:rFonts w:hint="eastAsia" w:ascii="Times New Roman" w:hAnsi="Times New Roman" w:eastAsia="宋体" w:cs="Times New Roman"/>
          <w:color w:val="auto"/>
          <w:kern w:val="0"/>
          <w:sz w:val="24"/>
          <w:highlight w:val="none"/>
          <w:lang w:val="en-US" w:eastAsia="zh-CN"/>
        </w:rPr>
        <w:t>现有公司云平台相关域（如固定资产等）、</w:t>
      </w:r>
      <w:r>
        <w:rPr>
          <w:rFonts w:hint="eastAsia" w:ascii="Times New Roman" w:hAnsi="Times New Roman" w:eastAsia="宋体" w:cs="Times New Roman"/>
          <w:color w:val="auto"/>
          <w:kern w:val="0"/>
          <w:sz w:val="24"/>
          <w:highlight w:val="none"/>
          <w:lang w:eastAsia="zh-CN"/>
        </w:rPr>
        <w:t>智能巡检</w:t>
      </w:r>
      <w:r>
        <w:rPr>
          <w:rFonts w:hint="eastAsia" w:ascii="Times New Roman" w:hAnsi="Times New Roman" w:eastAsia="宋体" w:cs="Times New Roman"/>
          <w:color w:val="auto"/>
          <w:kern w:val="0"/>
          <w:sz w:val="24"/>
          <w:highlight w:val="none"/>
          <w:lang w:val="en-US" w:eastAsia="zh-CN"/>
        </w:rPr>
        <w:t>模块</w:t>
      </w:r>
      <w:r>
        <w:rPr>
          <w:rFonts w:hint="eastAsia" w:ascii="Times New Roman" w:hAnsi="Times New Roman" w:eastAsia="宋体" w:cs="Times New Roman"/>
          <w:color w:val="auto"/>
          <w:kern w:val="0"/>
          <w:sz w:val="24"/>
          <w:highlight w:val="none"/>
          <w:lang w:eastAsia="zh-CN"/>
        </w:rPr>
        <w:t>进行数据融合和共享，实现对</w:t>
      </w:r>
      <w:r>
        <w:rPr>
          <w:rFonts w:hint="eastAsia" w:ascii="Times New Roman" w:hAnsi="Times New Roman" w:eastAsia="宋体" w:cs="Times New Roman"/>
          <w:color w:val="auto"/>
          <w:kern w:val="0"/>
          <w:sz w:val="24"/>
          <w:highlight w:val="none"/>
          <w:lang w:val="en-US" w:eastAsia="zh-CN"/>
        </w:rPr>
        <w:t>设备</w:t>
      </w:r>
      <w:r>
        <w:rPr>
          <w:rFonts w:hint="eastAsia" w:ascii="Times New Roman" w:hAnsi="Times New Roman" w:eastAsia="宋体" w:cs="Times New Roman"/>
          <w:color w:val="auto"/>
          <w:kern w:val="0"/>
          <w:sz w:val="24"/>
          <w:highlight w:val="none"/>
          <w:lang w:eastAsia="zh-CN"/>
        </w:rPr>
        <w:t>资产的全方位管理。例如，将资产的采购成本、折旧情况等数据与智能巡检中的</w:t>
      </w:r>
      <w:r>
        <w:rPr>
          <w:rFonts w:hint="eastAsia" w:ascii="Times New Roman" w:hAnsi="Times New Roman" w:eastAsia="宋体" w:cs="Times New Roman"/>
          <w:color w:val="auto"/>
          <w:kern w:val="0"/>
          <w:sz w:val="24"/>
          <w:highlight w:val="none"/>
          <w:lang w:val="en-US" w:eastAsia="zh-CN"/>
        </w:rPr>
        <w:t>巡检记录、运行分析</w:t>
      </w:r>
      <w:r>
        <w:rPr>
          <w:rFonts w:hint="eastAsia" w:ascii="Times New Roman" w:hAnsi="Times New Roman" w:eastAsia="宋体" w:cs="Times New Roman"/>
          <w:color w:val="auto"/>
          <w:kern w:val="0"/>
          <w:sz w:val="24"/>
          <w:highlight w:val="none"/>
          <w:lang w:eastAsia="zh-CN"/>
        </w:rPr>
        <w:t>数据相结合，可以全面评估资产的经济效益和运行效率，为</w:t>
      </w:r>
      <w:r>
        <w:rPr>
          <w:rFonts w:hint="eastAsia" w:ascii="Times New Roman" w:hAnsi="Times New Roman" w:eastAsia="宋体" w:cs="Times New Roman"/>
          <w:color w:val="auto"/>
          <w:kern w:val="0"/>
          <w:sz w:val="24"/>
          <w:highlight w:val="none"/>
          <w:lang w:val="en-US" w:eastAsia="zh-CN"/>
        </w:rPr>
        <w:t>水厂</w:t>
      </w:r>
      <w:r>
        <w:rPr>
          <w:rFonts w:hint="eastAsia" w:ascii="Times New Roman" w:hAnsi="Times New Roman" w:eastAsia="宋体" w:cs="Times New Roman"/>
          <w:color w:val="auto"/>
          <w:kern w:val="0"/>
          <w:sz w:val="24"/>
          <w:highlight w:val="none"/>
          <w:lang w:eastAsia="zh-CN"/>
        </w:rPr>
        <w:t>的</w:t>
      </w:r>
      <w:r>
        <w:rPr>
          <w:rFonts w:hint="eastAsia" w:ascii="Times New Roman" w:hAnsi="Times New Roman" w:eastAsia="宋体" w:cs="Times New Roman"/>
          <w:color w:val="auto"/>
          <w:kern w:val="0"/>
          <w:sz w:val="24"/>
          <w:highlight w:val="none"/>
          <w:lang w:val="en-US" w:eastAsia="zh-CN"/>
        </w:rPr>
        <w:t>设备</w:t>
      </w:r>
      <w:r>
        <w:rPr>
          <w:rFonts w:hint="eastAsia" w:ascii="Times New Roman" w:hAnsi="Times New Roman" w:eastAsia="宋体" w:cs="Times New Roman"/>
          <w:color w:val="auto"/>
          <w:kern w:val="0"/>
          <w:sz w:val="24"/>
          <w:highlight w:val="none"/>
          <w:lang w:eastAsia="zh-CN"/>
        </w:rPr>
        <w:t>资产管理提供更全面、准确的信息支持。</w:t>
      </w:r>
    </w:p>
    <w:p w14:paraId="1FB86BD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具体需实现内容包括并不限于以下内容：</w:t>
      </w:r>
    </w:p>
    <w:p w14:paraId="3F00752F">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智慧设备管理前端展示</w:t>
      </w:r>
    </w:p>
    <w:p w14:paraId="439620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按照智慧水厂设备管理场景，将有关的设备后端服务功能进行编排和组织“智慧设备管理”功能模块，以新颖的人机交互方式，满足智慧水厂的设备管理需求，“智慧设备管理”需有相应的移动终端功能。</w:t>
      </w:r>
    </w:p>
    <w:p w14:paraId="2EDAD12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设备基本信息管理</w:t>
      </w:r>
    </w:p>
    <w:p w14:paraId="39AA59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完善</w:t>
      </w:r>
      <w:r>
        <w:rPr>
          <w:rFonts w:hint="eastAsia" w:ascii="Times New Roman" w:hAnsi="Times New Roman" w:eastAsia="宋体" w:cs="Times New Roman"/>
          <w:color w:val="auto"/>
          <w:kern w:val="0"/>
          <w:sz w:val="24"/>
          <w:highlight w:val="none"/>
          <w:lang w:val="en-US" w:eastAsia="zh-CN"/>
        </w:rPr>
        <w:t>智慧云平台中</w:t>
      </w:r>
      <w:r>
        <w:rPr>
          <w:rFonts w:hint="eastAsia" w:ascii="Times New Roman" w:hAnsi="Times New Roman" w:eastAsia="宋体" w:cs="Times New Roman"/>
          <w:color w:val="auto"/>
          <w:kern w:val="0"/>
          <w:sz w:val="24"/>
          <w:highlight w:val="none"/>
          <w:lang w:eastAsia="zh-CN"/>
        </w:rPr>
        <w:t>设备资产管理</w:t>
      </w:r>
      <w:r>
        <w:rPr>
          <w:rFonts w:hint="eastAsia" w:ascii="Times New Roman" w:hAnsi="Times New Roman" w:eastAsia="宋体" w:cs="Times New Roman"/>
          <w:color w:val="auto"/>
          <w:kern w:val="0"/>
          <w:sz w:val="24"/>
          <w:highlight w:val="none"/>
          <w:lang w:val="en-US" w:eastAsia="zh-CN"/>
        </w:rPr>
        <w:t>相关部分</w:t>
      </w:r>
      <w:r>
        <w:rPr>
          <w:rFonts w:hint="eastAsia" w:ascii="Times New Roman" w:hAnsi="Times New Roman" w:eastAsia="宋体" w:cs="Times New Roman"/>
          <w:color w:val="auto"/>
          <w:kern w:val="0"/>
          <w:sz w:val="24"/>
          <w:highlight w:val="none"/>
          <w:lang w:eastAsia="zh-CN"/>
        </w:rPr>
        <w:t>，全面拓展设备</w:t>
      </w:r>
      <w:r>
        <w:rPr>
          <w:rFonts w:hint="eastAsia" w:ascii="Times New Roman" w:hAnsi="Times New Roman" w:eastAsia="宋体" w:cs="Times New Roman"/>
          <w:color w:val="auto"/>
          <w:kern w:val="0"/>
          <w:sz w:val="24"/>
          <w:highlight w:val="none"/>
          <w:lang w:val="en-US" w:eastAsia="zh-CN"/>
        </w:rPr>
        <w:t>数据</w:t>
      </w:r>
      <w:r>
        <w:rPr>
          <w:rFonts w:hint="eastAsia" w:ascii="Times New Roman" w:hAnsi="Times New Roman" w:eastAsia="宋体" w:cs="Times New Roman"/>
          <w:color w:val="auto"/>
          <w:kern w:val="0"/>
          <w:sz w:val="24"/>
          <w:highlight w:val="none"/>
          <w:lang w:eastAsia="zh-CN"/>
        </w:rPr>
        <w:t>展示维度。通过集成多元数据，为运行、维修及管理人员精准呈现多维度设备</w:t>
      </w:r>
      <w:r>
        <w:rPr>
          <w:rFonts w:hint="eastAsia" w:ascii="Times New Roman" w:hAnsi="Times New Roman" w:eastAsia="宋体" w:cs="Times New Roman"/>
          <w:color w:val="auto"/>
          <w:kern w:val="0"/>
          <w:sz w:val="24"/>
          <w:highlight w:val="none"/>
          <w:lang w:val="en-US" w:eastAsia="zh-CN"/>
        </w:rPr>
        <w:t>信息</w:t>
      </w:r>
      <w:r>
        <w:rPr>
          <w:rFonts w:hint="eastAsia" w:ascii="Times New Roman" w:hAnsi="Times New Roman" w:eastAsia="宋体" w:cs="Times New Roman"/>
          <w:color w:val="auto"/>
          <w:kern w:val="0"/>
          <w:sz w:val="24"/>
          <w:highlight w:val="none"/>
          <w:lang w:eastAsia="zh-CN"/>
        </w:rPr>
        <w:t>。系统支持的设备信息包括设备台帐信息、设备参数、设备备件信息、和设备相关的周期任务记录、设备参与计算的KPI、设备安装地点、设备定位信息、供应商信息、相关资料、设备图文、备件信息、维修养护工单记录等关联内容。</w:t>
      </w:r>
    </w:p>
    <w:p w14:paraId="3C3AECC8">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设备管理内容</w:t>
      </w:r>
    </w:p>
    <w:p w14:paraId="0BC6BDB8">
      <w:pPr>
        <w:widowControl/>
        <w:numPr>
          <w:ilvl w:val="0"/>
          <w:numId w:val="21"/>
        </w:numPr>
        <w:spacing w:line="360" w:lineRule="auto"/>
        <w:ind w:left="420" w:hanging="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可一键生成设备基于时间轴展现设备生命周期过程中各类事件。</w:t>
      </w:r>
    </w:p>
    <w:p w14:paraId="792FC49A">
      <w:pPr>
        <w:widowControl/>
        <w:numPr>
          <w:ilvl w:val="0"/>
          <w:numId w:val="21"/>
        </w:numPr>
        <w:spacing w:line="360" w:lineRule="auto"/>
        <w:ind w:left="420" w:hanging="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可对设备进行分组，可针对组以及单个设备配置不同的权重值，配置多种设备完好率计算方式。</w:t>
      </w:r>
    </w:p>
    <w:p w14:paraId="7E073D90">
      <w:pPr>
        <w:widowControl/>
        <w:numPr>
          <w:ilvl w:val="0"/>
          <w:numId w:val="21"/>
        </w:numPr>
        <w:spacing w:line="360" w:lineRule="auto"/>
        <w:ind w:left="420" w:hanging="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并按需求形成相应的报表、主题看板、智能报告</w:t>
      </w:r>
    </w:p>
    <w:p w14:paraId="0F1B1BD7">
      <w:pPr>
        <w:widowControl/>
        <w:numPr>
          <w:ilvl w:val="0"/>
          <w:numId w:val="21"/>
        </w:numPr>
        <w:spacing w:line="360" w:lineRule="auto"/>
        <w:ind w:left="420" w:hanging="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利用GIS或公用地图作为底版，展示设备、设备组的相应信息</w:t>
      </w:r>
    </w:p>
    <w:p w14:paraId="4B1B7CB7">
      <w:pPr>
        <w:widowControl/>
        <w:numPr>
          <w:ilvl w:val="0"/>
          <w:numId w:val="21"/>
        </w:numPr>
        <w:spacing w:line="360" w:lineRule="auto"/>
        <w:ind w:left="420" w:hanging="42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结合工单维修记录和备件采购、领出、使用等业务流程，对设备易损件和故障发生频次作记录和展示</w:t>
      </w:r>
    </w:p>
    <w:p w14:paraId="193AB699">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移动端应用</w:t>
      </w:r>
    </w:p>
    <w:p w14:paraId="77E876CB">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设备LBS场景应用</w:t>
      </w:r>
    </w:p>
    <w:p w14:paraId="3D99274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支持采用NFC、二维码、蓝牙等作为位置标记，与设备（含信息点）绑定，作为位置定位标识，完成相应的LBS服务，LBS是基于位置服务（Location Based Services）的简称，不同使用场景，通过扫码可以获取不同信息：有权限人员</w:t>
      </w:r>
      <w:r>
        <w:rPr>
          <w:rFonts w:ascii="Times New Roman" w:hAnsi="Times New Roman" w:eastAsia="宋体" w:cs="Times New Roman"/>
          <w:color w:val="auto"/>
          <w:kern w:val="0"/>
          <w:sz w:val="24"/>
          <w:highlight w:val="none"/>
          <w:lang w:eastAsia="zh-CN"/>
        </w:rPr>
        <w:t>扫描后可查看设施编号、地址、维护单位、维护责任人等</w:t>
      </w:r>
      <w:r>
        <w:rPr>
          <w:rFonts w:hint="eastAsia" w:ascii="Times New Roman" w:hAnsi="Times New Roman" w:eastAsia="宋体" w:cs="Times New Roman"/>
          <w:color w:val="auto"/>
          <w:kern w:val="0"/>
          <w:sz w:val="24"/>
          <w:highlight w:val="none"/>
          <w:lang w:eastAsia="zh-CN"/>
        </w:rPr>
        <w:t>不同深度的设备卡</w:t>
      </w:r>
      <w:r>
        <w:rPr>
          <w:rFonts w:ascii="Times New Roman" w:hAnsi="Times New Roman" w:eastAsia="宋体" w:cs="Times New Roman"/>
          <w:color w:val="auto"/>
          <w:kern w:val="0"/>
          <w:sz w:val="24"/>
          <w:highlight w:val="none"/>
          <w:lang w:eastAsia="zh-CN"/>
        </w:rPr>
        <w:t>信息；巡查维护人员扫描后可作为打卡记录，并可填写相应的巡查维护表单，查看设施</w:t>
      </w:r>
      <w:r>
        <w:rPr>
          <w:rFonts w:hint="eastAsia" w:ascii="Times New Roman" w:hAnsi="Times New Roman" w:eastAsia="宋体" w:cs="Times New Roman"/>
          <w:color w:val="auto"/>
          <w:kern w:val="0"/>
          <w:sz w:val="24"/>
          <w:highlight w:val="none"/>
          <w:lang w:eastAsia="zh-CN"/>
        </w:rPr>
        <w:t>巡查、维修等相关</w:t>
      </w:r>
      <w:r>
        <w:rPr>
          <w:rFonts w:ascii="Times New Roman" w:hAnsi="Times New Roman" w:eastAsia="宋体" w:cs="Times New Roman"/>
          <w:color w:val="auto"/>
          <w:kern w:val="0"/>
          <w:sz w:val="24"/>
          <w:highlight w:val="none"/>
          <w:lang w:eastAsia="zh-CN"/>
        </w:rPr>
        <w:t>信息</w:t>
      </w:r>
      <w:r>
        <w:rPr>
          <w:rFonts w:hint="eastAsia" w:ascii="Times New Roman" w:hAnsi="Times New Roman" w:eastAsia="宋体" w:cs="Times New Roman"/>
          <w:color w:val="auto"/>
          <w:kern w:val="0"/>
          <w:sz w:val="24"/>
          <w:highlight w:val="none"/>
          <w:lang w:eastAsia="zh-CN"/>
        </w:rPr>
        <w:t>；填写工单时，可</w:t>
      </w:r>
      <w:r>
        <w:rPr>
          <w:rFonts w:ascii="Times New Roman" w:hAnsi="Times New Roman" w:eastAsia="宋体" w:cs="Times New Roman"/>
          <w:color w:val="auto"/>
          <w:kern w:val="0"/>
          <w:sz w:val="24"/>
          <w:highlight w:val="none"/>
          <w:lang w:eastAsia="zh-CN"/>
        </w:rPr>
        <w:t>自动填写</w:t>
      </w:r>
      <w:r>
        <w:rPr>
          <w:rFonts w:hint="eastAsia" w:ascii="Times New Roman" w:hAnsi="Times New Roman" w:eastAsia="宋体" w:cs="Times New Roman"/>
          <w:color w:val="auto"/>
          <w:kern w:val="0"/>
          <w:sz w:val="24"/>
          <w:highlight w:val="none"/>
          <w:lang w:eastAsia="zh-CN"/>
        </w:rPr>
        <w:t>基础信息等。</w:t>
      </w:r>
    </w:p>
    <w:p w14:paraId="3B343A7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设备管理功能移动办理</w:t>
      </w:r>
    </w:p>
    <w:p w14:paraId="2AAE696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按使用者不同权限获取基础信息的不同内容，全链条各种事件展现，巡检填报、工单填报查询、获取主题看板、智能报告等内容，完成设备管理功能工作。</w:t>
      </w:r>
    </w:p>
    <w:p w14:paraId="10CFC068">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bookmarkStart w:id="1398" w:name="_Toc25518"/>
      <w:bookmarkStart w:id="1399" w:name="_Toc26648"/>
      <w:bookmarkStart w:id="1400" w:name="_Toc14944"/>
      <w:bookmarkStart w:id="1401" w:name="_Toc15298"/>
      <w:bookmarkStart w:id="1402" w:name="_Toc13670"/>
      <w:bookmarkStart w:id="1403" w:name="_Toc19979"/>
      <w:r>
        <w:rPr>
          <w:rFonts w:hint="eastAsia" w:ascii="Arial" w:hAnsi="Arial" w:eastAsia="黑体" w:cs="Times New Roman"/>
          <w:b/>
          <w:color w:val="auto"/>
          <w:sz w:val="28"/>
          <w:highlight w:val="none"/>
          <w:lang w:val="en-US" w:eastAsia="zh-CN" w:bidi="ar-SA"/>
        </w:rPr>
        <w:t xml:space="preserve"> </w:t>
      </w:r>
      <w:r>
        <w:rPr>
          <w:rFonts w:hint="eastAsia" w:ascii="Times New Roman" w:hAnsi="Times New Roman" w:eastAsia="黑体" w:cs="Times New Roman"/>
          <w:b/>
          <w:color w:val="auto"/>
          <w:sz w:val="28"/>
          <w:highlight w:val="none"/>
          <w:lang w:val="en-US" w:eastAsia="zh-CN" w:bidi="ar-SA"/>
        </w:rPr>
        <w:t>一码管理</w:t>
      </w:r>
    </w:p>
    <w:p w14:paraId="153452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通过现场的二维码、Rfid等信息与AR等智能终端设备进行交互，能现实出相应的设备信息、图纸资料、维护手册、维修记录、巡检内容等内容，并能填写工单，或标注内容。</w:t>
      </w:r>
    </w:p>
    <w:p w14:paraId="1342B12E">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404" w:name="_Toc334521973"/>
      <w:bookmarkStart w:id="1405" w:name="_Toc193093633"/>
      <w:bookmarkStart w:id="1406" w:name="_Toc10267"/>
      <w:bookmarkStart w:id="1407" w:name="_Toc1664135418"/>
      <w:bookmarkStart w:id="1408" w:name="_Toc1493545612"/>
      <w:bookmarkStart w:id="1409" w:name="_Toc4954"/>
      <w:r>
        <w:rPr>
          <w:rFonts w:hint="eastAsia" w:ascii="Times New Roman" w:hAnsi="Times New Roman" w:eastAsia="黑体" w:cs="Times New Roman"/>
          <w:b/>
          <w:color w:val="auto"/>
          <w:sz w:val="30"/>
          <w:highlight w:val="none"/>
          <w:lang w:val="en-US" w:eastAsia="zh-CN" w:bidi="ar-SA"/>
        </w:rPr>
        <w:t>智能巡检管理</w:t>
      </w:r>
      <w:bookmarkEnd w:id="1404"/>
      <w:bookmarkEnd w:id="1405"/>
      <w:bookmarkEnd w:id="1406"/>
      <w:bookmarkEnd w:id="1407"/>
      <w:bookmarkEnd w:id="1408"/>
      <w:bookmarkEnd w:id="1409"/>
    </w:p>
    <w:p w14:paraId="48432DF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bookmarkStart w:id="1410" w:name="_Toc27679"/>
      <w:bookmarkStart w:id="1411" w:name="_Toc1656504690"/>
      <w:bookmarkStart w:id="1412" w:name="_Toc32181"/>
      <w:r>
        <w:rPr>
          <w:rFonts w:hint="eastAsia" w:ascii="Arial" w:hAnsi="Arial" w:eastAsia="黑体" w:cs="Times New Roman"/>
          <w:b/>
          <w:color w:val="auto"/>
          <w:sz w:val="28"/>
          <w:highlight w:val="none"/>
          <w:lang w:val="en-US" w:eastAsia="zh-CN" w:bidi="ar-SA"/>
        </w:rPr>
        <w:t>机器巡检</w:t>
      </w:r>
      <w:bookmarkEnd w:id="1410"/>
      <w:bookmarkEnd w:id="1411"/>
      <w:bookmarkEnd w:id="1412"/>
      <w:r>
        <w:rPr>
          <w:rFonts w:hint="eastAsia" w:ascii="Arial" w:hAnsi="Arial" w:eastAsia="黑体" w:cs="Times New Roman"/>
          <w:b/>
          <w:color w:val="auto"/>
          <w:sz w:val="28"/>
          <w:highlight w:val="none"/>
          <w:lang w:val="en-US" w:eastAsia="zh-CN" w:bidi="ar-SA"/>
        </w:rPr>
        <w:t>管理</w:t>
      </w:r>
    </w:p>
    <w:p w14:paraId="026E8E54">
      <w:pPr>
        <w:widowControl w:val="0"/>
        <w:numPr>
          <w:ilvl w:val="0"/>
          <w:numId w:val="0"/>
        </w:numPr>
        <w:tabs>
          <w:tab w:val="left" w:pos="0"/>
          <w:tab w:val="left" w:pos="576"/>
          <w:tab w:val="left" w:pos="720"/>
          <w:tab w:val="left" w:pos="2304"/>
        </w:tabs>
        <w:spacing w:line="360" w:lineRule="auto"/>
        <w:ind w:right="102"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通过现场感知监测点和高清视频监控设备、智能巡检设备等技术进行机器巡检，综合利用物联网、视觉识别、人工智能等技术，自动对各生产场所关键区域及重要设备进行轮询，采用现场设备细节图像与测点数据相结合的方式，准确的判断运行情况，减少原有的定期人工现场巡检，不仅提升了人员效率，而且巡检数据也更加精确，设备故障能够得到有效预防。</w:t>
      </w:r>
    </w:p>
    <w:p w14:paraId="482CE12A">
      <w:pPr>
        <w:widowControl w:val="0"/>
        <w:numPr>
          <w:ilvl w:val="0"/>
          <w:numId w:val="0"/>
        </w:numPr>
        <w:tabs>
          <w:tab w:val="left" w:pos="0"/>
          <w:tab w:val="left" w:pos="576"/>
          <w:tab w:val="left" w:pos="720"/>
          <w:tab w:val="left" w:pos="2304"/>
        </w:tabs>
        <w:spacing w:line="360" w:lineRule="auto"/>
        <w:ind w:right="102"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机器巡检应用场景应根据传感器和视频监控设备布置情况，识别重要工艺设备是否运行正常，如送水泵组明显漏水、运行温度过高、振动异常等情况；判断生产工艺流程是否满足要求，如滤池反冲洗过程是否按照控制要求执行、滤水过程中是否有液位过高、水体颜色异常等情况；排查厂内安全隐患，如分析人员的活动区域和行为状态，是否站立于指定安全区域、按规范戴好安全帽等。</w:t>
      </w:r>
    </w:p>
    <w:p w14:paraId="70658A94">
      <w:pPr>
        <w:widowControl w:val="0"/>
        <w:numPr>
          <w:ilvl w:val="0"/>
          <w:numId w:val="0"/>
        </w:numPr>
        <w:tabs>
          <w:tab w:val="left" w:pos="0"/>
          <w:tab w:val="left" w:pos="576"/>
          <w:tab w:val="left" w:pos="720"/>
          <w:tab w:val="left" w:pos="2304"/>
        </w:tabs>
        <w:spacing w:line="360" w:lineRule="auto"/>
        <w:ind w:right="102"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机器</w:t>
      </w:r>
      <w:r>
        <w:rPr>
          <w:rFonts w:hint="eastAsia" w:ascii="Times New Roman" w:hAnsi="Times New Roman" w:eastAsia="宋体" w:cs="Times New Roman"/>
          <w:color w:val="auto"/>
          <w:kern w:val="0"/>
          <w:sz w:val="24"/>
          <w:highlight w:val="none"/>
          <w:lang w:eastAsia="zh-CN"/>
        </w:rPr>
        <w:t>巡检管理功能包括</w:t>
      </w:r>
      <w:r>
        <w:rPr>
          <w:rFonts w:hint="eastAsia" w:ascii="Times New Roman" w:hAnsi="Times New Roman" w:eastAsia="宋体" w:cs="Times New Roman"/>
          <w:color w:val="auto"/>
          <w:kern w:val="0"/>
          <w:sz w:val="24"/>
          <w:highlight w:val="none"/>
          <w:lang w:val="en-US" w:eastAsia="zh-CN"/>
        </w:rPr>
        <w:t>但不仅限于</w:t>
      </w:r>
      <w:r>
        <w:rPr>
          <w:rFonts w:hint="eastAsia" w:ascii="Times New Roman" w:hAnsi="Times New Roman" w:eastAsia="宋体" w:cs="Times New Roman"/>
          <w:color w:val="auto"/>
          <w:kern w:val="0"/>
          <w:sz w:val="24"/>
          <w:highlight w:val="none"/>
          <w:lang w:eastAsia="zh-CN"/>
        </w:rPr>
        <w:t>巡检计划管理、巡检任务管理、任务执行流转、巡检记录统计分析等。</w:t>
      </w:r>
    </w:p>
    <w:p w14:paraId="732D635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巡检计划管理</w:t>
      </w:r>
    </w:p>
    <w:p w14:paraId="3C3C9F42">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智能计划定制</w:t>
      </w:r>
      <w:r>
        <w:rPr>
          <w:rFonts w:hint="eastAsia" w:ascii="Times New Roman" w:hAnsi="Times New Roman" w:eastAsia="宋体" w:cs="Times New Roman"/>
          <w:color w:val="auto"/>
          <w:kern w:val="0"/>
          <w:sz w:val="24"/>
          <w:highlight w:val="none"/>
          <w:lang w:eastAsia="zh-CN"/>
        </w:rPr>
        <w:t>：支持配置巡检周期、巡检区域、巡检点、巡检内容、巡检时间。利用</w:t>
      </w:r>
      <w:r>
        <w:rPr>
          <w:rFonts w:hint="eastAsia" w:ascii="Times New Roman" w:hAnsi="Times New Roman" w:eastAsia="宋体" w:cs="Times New Roman"/>
          <w:color w:val="auto"/>
          <w:kern w:val="0"/>
          <w:sz w:val="24"/>
          <w:highlight w:val="none"/>
          <w:lang w:val="en-US" w:eastAsia="zh-CN"/>
        </w:rPr>
        <w:t>视频</w:t>
      </w:r>
      <w:r>
        <w:rPr>
          <w:rFonts w:hint="eastAsia" w:ascii="Times New Roman" w:hAnsi="Times New Roman" w:eastAsia="宋体" w:cs="Times New Roman"/>
          <w:color w:val="auto"/>
          <w:kern w:val="0"/>
          <w:sz w:val="24"/>
          <w:highlight w:val="none"/>
          <w:lang w:eastAsia="zh-CN"/>
        </w:rPr>
        <w:t>智能平台的多模态大模型</w:t>
      </w:r>
      <w:r>
        <w:rPr>
          <w:rFonts w:hint="eastAsia" w:ascii="Times New Roman" w:hAnsi="Times New Roman" w:eastAsia="宋体" w:cs="Times New Roman"/>
          <w:color w:val="auto"/>
          <w:kern w:val="0"/>
          <w:sz w:val="24"/>
          <w:highlight w:val="none"/>
          <w:lang w:val="en-US" w:eastAsia="zh-CN"/>
        </w:rPr>
        <w:t>和工艺系统</w:t>
      </w:r>
      <w:r>
        <w:rPr>
          <w:rFonts w:hint="eastAsia" w:ascii="Times New Roman" w:hAnsi="Times New Roman" w:eastAsia="宋体" w:cs="Times New Roman"/>
          <w:color w:val="auto"/>
          <w:kern w:val="0"/>
          <w:sz w:val="24"/>
          <w:highlight w:val="none"/>
          <w:lang w:eastAsia="zh-CN"/>
        </w:rPr>
        <w:t>模型基于视频摄像机的数据进行分析，配置为巡检计划的巡检点，代替人工现场巡检。系统可按照巡检需求配置生成科学合理的巡检计划，例如，对于易损且关键的水泵设备，根据其运行时长、负载变化等数据，制定高频次、重点监测的巡检计划；对于相对稳定的管道系统，则安排常规巡检。同时，支持用户根据实际需求，灵活调整巡检周期、巡检区域和巡检内容。</w:t>
      </w:r>
    </w:p>
    <w:p w14:paraId="7ECDE944">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动态计划优化</w:t>
      </w:r>
      <w:r>
        <w:rPr>
          <w:rFonts w:hint="eastAsia" w:ascii="Times New Roman" w:hAnsi="Times New Roman" w:eastAsia="宋体" w:cs="Times New Roman"/>
          <w:color w:val="auto"/>
          <w:kern w:val="0"/>
          <w:sz w:val="24"/>
          <w:highlight w:val="none"/>
          <w:lang w:eastAsia="zh-CN"/>
        </w:rPr>
        <w:t>：借助视觉 AI 实时感知水厂生产环境的变化，如设备突发异常、临时施工等情况，巡检系统发出提醒，帮助用户能够及时调整巡检路线、增加或减少巡检点位，确保巡检资源合理分配，提高巡检效率。</w:t>
      </w:r>
    </w:p>
    <w:p w14:paraId="67570D08">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多维度计划展示</w:t>
      </w:r>
      <w:r>
        <w:rPr>
          <w:rFonts w:hint="eastAsia" w:ascii="Times New Roman" w:hAnsi="Times New Roman" w:eastAsia="宋体" w:cs="Times New Roman"/>
          <w:color w:val="auto"/>
          <w:kern w:val="0"/>
          <w:sz w:val="24"/>
          <w:highlight w:val="none"/>
          <w:lang w:eastAsia="zh-CN"/>
        </w:rPr>
        <w:t>：以直观的图表和界面展示巡检计划，包括巡检时间、巡检区域、巡检设备、</w:t>
      </w:r>
      <w:r>
        <w:rPr>
          <w:rFonts w:hint="eastAsia" w:ascii="Times New Roman" w:hAnsi="Times New Roman" w:eastAsia="宋体" w:cs="Times New Roman"/>
          <w:color w:val="auto"/>
          <w:kern w:val="0"/>
          <w:sz w:val="24"/>
          <w:highlight w:val="none"/>
          <w:lang w:val="en-US" w:eastAsia="zh-CN"/>
        </w:rPr>
        <w:t>巡检负责人</w:t>
      </w:r>
      <w:r>
        <w:rPr>
          <w:rFonts w:hint="eastAsia" w:ascii="Times New Roman" w:hAnsi="Times New Roman" w:eastAsia="宋体" w:cs="Times New Roman"/>
          <w:color w:val="auto"/>
          <w:kern w:val="0"/>
          <w:sz w:val="24"/>
          <w:highlight w:val="none"/>
          <w:lang w:eastAsia="zh-CN"/>
        </w:rPr>
        <w:t>等信息。支持按时间、设备类型、</w:t>
      </w:r>
      <w:r>
        <w:rPr>
          <w:rFonts w:hint="eastAsia" w:ascii="Times New Roman" w:hAnsi="Times New Roman" w:eastAsia="宋体" w:cs="Times New Roman"/>
          <w:color w:val="auto"/>
          <w:kern w:val="0"/>
          <w:sz w:val="24"/>
          <w:highlight w:val="none"/>
          <w:lang w:val="en-US" w:eastAsia="zh-CN"/>
        </w:rPr>
        <w:t>巡检负责人</w:t>
      </w:r>
      <w:r>
        <w:rPr>
          <w:rFonts w:hint="eastAsia" w:ascii="Times New Roman" w:hAnsi="Times New Roman" w:eastAsia="宋体" w:cs="Times New Roman"/>
          <w:color w:val="auto"/>
          <w:kern w:val="0"/>
          <w:sz w:val="24"/>
          <w:highlight w:val="none"/>
          <w:lang w:eastAsia="zh-CN"/>
        </w:rPr>
        <w:t>等多维度进行查询和筛选，方便管理人员全面了解巡检计划安排。</w:t>
      </w:r>
    </w:p>
    <w:p w14:paraId="7795488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巡检任务管理</w:t>
      </w:r>
    </w:p>
    <w:p w14:paraId="0F1C0631">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任务详情可视化</w:t>
      </w:r>
      <w:r>
        <w:rPr>
          <w:rFonts w:hint="eastAsia" w:ascii="Times New Roman" w:hAnsi="Times New Roman" w:eastAsia="宋体" w:cs="Times New Roman"/>
          <w:color w:val="auto"/>
          <w:kern w:val="0"/>
          <w:sz w:val="24"/>
          <w:highlight w:val="none"/>
          <w:lang w:eastAsia="zh-CN"/>
        </w:rPr>
        <w:t>：为巡检人员提供详细的任务信息，包括巡检设备的图像示例、巡检标准、重点关注部位等。</w:t>
      </w:r>
    </w:p>
    <w:p w14:paraId="42D65F9B">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任务优先级设定</w:t>
      </w:r>
      <w:r>
        <w:rPr>
          <w:rFonts w:hint="eastAsia" w:ascii="Times New Roman" w:hAnsi="Times New Roman" w:eastAsia="宋体" w:cs="Times New Roman"/>
          <w:color w:val="auto"/>
          <w:kern w:val="0"/>
          <w:sz w:val="24"/>
          <w:highlight w:val="none"/>
          <w:lang w:eastAsia="zh-CN"/>
        </w:rPr>
        <w:t>：依据设备的重要性、故障风险等因素，为巡检任务设定不同的优先级。视觉 AI 技术可实时监测关键设备的运行状态，辅助用户动态调整任务优先级，确保关键设备得到及时巡检。</w:t>
      </w:r>
    </w:p>
    <w:p w14:paraId="4D4D6F9B">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任务执行流转</w:t>
      </w:r>
    </w:p>
    <w:p w14:paraId="313D1724">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AI 辅助巡检执行</w:t>
      </w:r>
      <w:r>
        <w:rPr>
          <w:rFonts w:hint="eastAsia" w:ascii="Times New Roman" w:hAnsi="Times New Roman" w:eastAsia="宋体" w:cs="Times New Roman"/>
          <w:color w:val="auto"/>
          <w:kern w:val="0"/>
          <w:sz w:val="24"/>
          <w:highlight w:val="none"/>
          <w:lang w:eastAsia="zh-CN"/>
        </w:rPr>
        <w:t>：基于</w:t>
      </w:r>
      <w:r>
        <w:rPr>
          <w:rFonts w:hint="eastAsia" w:ascii="Times New Roman" w:hAnsi="Times New Roman" w:eastAsia="宋体" w:cs="Times New Roman"/>
          <w:color w:val="auto"/>
          <w:kern w:val="0"/>
          <w:sz w:val="24"/>
          <w:highlight w:val="none"/>
          <w:lang w:val="en-US" w:eastAsia="zh-CN"/>
        </w:rPr>
        <w:t>视频</w:t>
      </w:r>
      <w:r>
        <w:rPr>
          <w:rFonts w:hint="eastAsia" w:ascii="Times New Roman" w:hAnsi="Times New Roman" w:eastAsia="宋体" w:cs="Times New Roman"/>
          <w:color w:val="auto"/>
          <w:kern w:val="0"/>
          <w:sz w:val="24"/>
          <w:highlight w:val="none"/>
          <w:lang w:eastAsia="zh-CN"/>
        </w:rPr>
        <w:t>智能平台，支持通过实时视频分析、视频抽帧分析、图片分析完成巡检任务，按照巡检计划和巡检任务对设备外观、运行状态等进行实时采集和分析，巡检人员无需去现场，仅需对视频AI分析结果进行复核。视觉 AI 技术能够识别设备的异常特征，如设备泄漏、部件损坏等，并及时提醒巡检人员。</w:t>
      </w:r>
    </w:p>
    <w:p w14:paraId="1E1F5C72">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异常实时上报与处理</w:t>
      </w:r>
      <w:r>
        <w:rPr>
          <w:rFonts w:hint="eastAsia" w:ascii="Times New Roman" w:hAnsi="Times New Roman" w:eastAsia="宋体" w:cs="Times New Roman"/>
          <w:color w:val="auto"/>
          <w:kern w:val="0"/>
          <w:sz w:val="24"/>
          <w:highlight w:val="none"/>
          <w:lang w:eastAsia="zh-CN"/>
        </w:rPr>
        <w:t>：当视觉智能平台检测到异常情况时，立即将异常信息（包括异常图像、摄像机点位信息、AI分析结果等）上传至智能巡检系统。系统触发报警机制，通知负责的巡检人员，记录异常处理的全过程，形成闭环管理。</w:t>
      </w:r>
    </w:p>
    <w:p w14:paraId="10E383E0">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任务进度跟踪</w:t>
      </w:r>
      <w:r>
        <w:rPr>
          <w:rFonts w:hint="eastAsia" w:ascii="Times New Roman" w:hAnsi="Times New Roman" w:eastAsia="宋体" w:cs="Times New Roman"/>
          <w:color w:val="auto"/>
          <w:kern w:val="0"/>
          <w:sz w:val="24"/>
          <w:highlight w:val="none"/>
          <w:lang w:eastAsia="zh-CN"/>
        </w:rPr>
        <w:t>：管理人员可以通过系统实时跟踪巡检任务的执行进度，了解巡检人员的位置、已完成的巡检点位和未完成的任务。</w:t>
      </w:r>
    </w:p>
    <w:p w14:paraId="5753A478">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巡检记录统计分析</w:t>
      </w:r>
    </w:p>
    <w:p w14:paraId="75B502B3">
      <w:pPr>
        <w:widowControl w:val="0"/>
        <w:numPr>
          <w:ilvl w:val="0"/>
          <w:numId w:val="0"/>
        </w:numPr>
        <w:tabs>
          <w:tab w:val="left" w:pos="0"/>
          <w:tab w:val="left" w:pos="576"/>
          <w:tab w:val="left" w:pos="720"/>
          <w:tab w:val="left" w:pos="2304"/>
        </w:tabs>
        <w:spacing w:line="360" w:lineRule="auto"/>
        <w:ind w:right="102"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shd w:val="clear" w:color="auto" w:fill="FDFDFE"/>
          <w:lang w:eastAsia="zh-CN"/>
        </w:rPr>
        <w:t>全面数据记录</w:t>
      </w:r>
      <w:r>
        <w:rPr>
          <w:rFonts w:hint="eastAsia" w:ascii="Times New Roman" w:hAnsi="Times New Roman" w:eastAsia="宋体" w:cs="Times New Roman"/>
          <w:color w:val="auto"/>
          <w:kern w:val="0"/>
          <w:sz w:val="24"/>
          <w:highlight w:val="none"/>
          <w:lang w:eastAsia="zh-CN"/>
        </w:rPr>
        <w:t>：系统自动记录每次巡检的详细信息，包括巡检时间、巡检人员、巡检结果、异常情况等，同时保存巡检过程中拍摄的图像和视频资料。为后续统计分析提供丰富的数据基础。</w:t>
      </w:r>
    </w:p>
    <w:p w14:paraId="60EA044D">
      <w:pPr>
        <w:widowControl w:val="0"/>
        <w:numPr>
          <w:ilvl w:val="0"/>
          <w:numId w:val="0"/>
        </w:numPr>
        <w:tabs>
          <w:tab w:val="left" w:pos="0"/>
          <w:tab w:val="left" w:pos="576"/>
          <w:tab w:val="left" w:pos="720"/>
          <w:tab w:val="left" w:pos="2304"/>
        </w:tabs>
        <w:spacing w:line="360" w:lineRule="auto"/>
        <w:ind w:right="102"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智能统计分析：基于历史巡检数据和视觉 AI 分析结果，系统能够统计设备的故障发生率、故障类型分布、巡检任务的完成率等，生成各类统计报表和可视化图表。</w:t>
      </w:r>
    </w:p>
    <w:bookmarkEnd w:id="1398"/>
    <w:bookmarkEnd w:id="1399"/>
    <w:bookmarkEnd w:id="1400"/>
    <w:bookmarkEnd w:id="1401"/>
    <w:bookmarkEnd w:id="1402"/>
    <w:bookmarkEnd w:id="1403"/>
    <w:p w14:paraId="2C4FAE5C">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人工巡检管理</w:t>
      </w:r>
    </w:p>
    <w:p w14:paraId="7CCEBBD2">
      <w:pPr>
        <w:widowControl/>
        <w:numPr>
          <w:ilvl w:val="0"/>
          <w:numId w:val="0"/>
        </w:numPr>
        <w:spacing w:line="360" w:lineRule="auto"/>
        <w:ind w:left="0" w:leftChars="0" w:firstLine="480" w:firstLineChars="200"/>
        <w:outlineLvl w:val="9"/>
        <w:rPr>
          <w:rFonts w:hint="eastAsia" w:ascii="Times New Roman" w:hAnsi="Times New Roman" w:eastAsia="宋体" w:cs="Times New Roman"/>
          <w:b w:val="0"/>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管理中，用AI视觉算法和数据分析算法代替了人工巡检的部分内容，并把算法结果融入到生产控制中，但必要的人工巡检还是需要保留，巡检的内容可作简化和标准化处理，巡检周期可根据需要进行调整。巡检管理模块基于智慧云平台模块迭代升级，巡检管理也是设备管理的工作内容之一，具体要求要兼顾上一节“设备智慧管理”要求。</w:t>
      </w:r>
    </w:p>
    <w:p w14:paraId="4CA4C61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巡检计划制定</w:t>
      </w:r>
    </w:p>
    <w:p w14:paraId="438A4774">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支持水厂侧的运行巡检计划要素进行创建及维护管理，</w:t>
      </w:r>
      <w:r>
        <w:rPr>
          <w:rFonts w:hint="eastAsia" w:ascii="Times New Roman" w:hAnsi="Times New Roman" w:eastAsia="宋体" w:cs="Times New Roman"/>
          <w:color w:val="auto"/>
          <w:kern w:val="0"/>
          <w:sz w:val="24"/>
          <w:highlight w:val="none"/>
          <w:lang w:val="en-US" w:eastAsia="zh-CN"/>
        </w:rPr>
        <w:t>巡检目标对象应依据</w:t>
      </w:r>
      <w:r>
        <w:rPr>
          <w:rFonts w:hint="eastAsia" w:ascii="Times New Roman" w:hAnsi="Times New Roman" w:eastAsia="宋体" w:cs="Times New Roman"/>
          <w:b w:val="0"/>
          <w:color w:val="auto"/>
          <w:kern w:val="0"/>
          <w:sz w:val="24"/>
          <w:highlight w:val="none"/>
          <w:lang w:val="en-US" w:eastAsia="zh-CN"/>
        </w:rPr>
        <w:t>生产工艺重要程度、现场设备配置、</w:t>
      </w:r>
      <w:r>
        <w:rPr>
          <w:rFonts w:hint="eastAsia" w:ascii="Times New Roman" w:hAnsi="Times New Roman" w:eastAsia="宋体" w:cs="Times New Roman"/>
          <w:color w:val="auto"/>
          <w:kern w:val="0"/>
          <w:sz w:val="24"/>
          <w:highlight w:val="none"/>
          <w:lang w:eastAsia="zh-CN"/>
        </w:rPr>
        <w:t>资产的分类、价值评估排序等信息</w:t>
      </w:r>
      <w:r>
        <w:rPr>
          <w:rFonts w:hint="eastAsia" w:ascii="Times New Roman" w:hAnsi="Times New Roman" w:eastAsia="宋体" w:cs="Times New Roman"/>
          <w:b w:val="0"/>
          <w:color w:val="auto"/>
          <w:kern w:val="0"/>
          <w:sz w:val="24"/>
          <w:highlight w:val="none"/>
          <w:lang w:val="en-US" w:eastAsia="zh-CN"/>
        </w:rPr>
        <w:t>进行设置与管理</w:t>
      </w:r>
      <w:r>
        <w:rPr>
          <w:rFonts w:hint="eastAsia" w:ascii="Times New Roman" w:hAnsi="Times New Roman" w:eastAsia="宋体" w:cs="Times New Roman"/>
          <w:color w:val="auto"/>
          <w:kern w:val="0"/>
          <w:sz w:val="24"/>
          <w:highlight w:val="none"/>
          <w:lang w:eastAsia="zh-CN"/>
        </w:rPr>
        <w:t>。巡检计划管理主要内容包括巡检计划、巡检点、巡检工单、巡检人等信息，巡检人可与班组管理结合，自动派工到人（组）。巡检计划最后以工单组的方式体现，具体巡检记录以巡检工单的方式完成全过程任务。</w:t>
      </w:r>
    </w:p>
    <w:p w14:paraId="5A9ADF9E">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巡检工单</w:t>
      </w:r>
    </w:p>
    <w:p w14:paraId="649E3A8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以智慧供水云平台工作流平台实现，并遵循水公司工单管理的相关规定规范，完成巡检任务的查询、督办、提醒和分析等功能，巡检工单宜以巡检对象进行分类，标准化填报内容，减少现场填报量及工单的模版数量。巡检过程中发现异常可联动发起维修等工单，并作关联进行联查。</w:t>
      </w:r>
    </w:p>
    <w:p w14:paraId="0C2EB17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巡检工单需包含：工单编号、巡检模式、设施编号、任务开始时间、巡检创建人、创建时间、任务状态、工单类型、工时时长、执行班组、执行人等内容，并可按照以上字段设置查询条件，筛选列表展现项。</w:t>
      </w:r>
    </w:p>
    <w:p w14:paraId="5381F07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巡检工单支持移动端或者系统自动等多种生成方式，需记录巡检工作日志，包括填报时间和填报时定位。</w:t>
      </w:r>
    </w:p>
    <w:p w14:paraId="775A34E4">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巡检记录统计分析</w:t>
      </w:r>
    </w:p>
    <w:p w14:paraId="54CAD38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可查询巡检记录、跟踪巡检轨迹，工作时间等，并作相应分析，提升巡检管理规范化程度和工作效率。同时配置支持巡视点二维码、NFC、蓝牙等设备绑定、解绑功能，支持根据厂内图纸标注巡检点。</w:t>
      </w:r>
    </w:p>
    <w:p w14:paraId="06637031">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移动端应用</w:t>
      </w:r>
    </w:p>
    <w:p w14:paraId="4423953F">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设备LBS场景应用</w:t>
      </w:r>
    </w:p>
    <w:p w14:paraId="195C23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与“设备智慧管理”中描述一样，采用相同服务调用，支持采用NFC、二维码、蓝牙等全面应用。</w:t>
      </w:r>
    </w:p>
    <w:p w14:paraId="2BBB2F3B">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巡检功能移动办理</w:t>
      </w:r>
    </w:p>
    <w:p w14:paraId="177CD1A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上述功能点要求内容，可满足移动端巡检要求，记录巡检轨迹、日志、填报记录等信息，能权限获取基础信息的不同内容，关联事件查询、巡检填报、工单填报查询、获取主题看板、智能报告等内容，可获取个人绩效、待办等。</w:t>
      </w:r>
    </w:p>
    <w:p w14:paraId="35C7E85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413" w:name="_Toc21242"/>
      <w:bookmarkStart w:id="1414" w:name="_Toc6928"/>
      <w:bookmarkStart w:id="1415" w:name="_Toc17815"/>
      <w:bookmarkStart w:id="1416" w:name="_Toc22524"/>
      <w:bookmarkStart w:id="1417" w:name="_Toc26750"/>
      <w:bookmarkStart w:id="1418" w:name="_Toc5815"/>
      <w:r>
        <w:rPr>
          <w:rFonts w:hint="eastAsia" w:ascii="Times New Roman" w:hAnsi="Times New Roman" w:eastAsia="黑体" w:cs="Times New Roman"/>
          <w:b/>
          <w:color w:val="auto"/>
          <w:sz w:val="30"/>
          <w:highlight w:val="none"/>
          <w:lang w:val="en-US" w:eastAsia="zh-CN" w:bidi="ar-SA"/>
        </w:rPr>
        <w:t xml:space="preserve"> </w:t>
      </w:r>
      <w:bookmarkStart w:id="1419" w:name="_Toc6368"/>
      <w:bookmarkStart w:id="1420" w:name="_Toc84751101"/>
      <w:bookmarkStart w:id="1421" w:name="_Toc11371"/>
      <w:bookmarkStart w:id="1422" w:name="_Toc296951798"/>
      <w:bookmarkStart w:id="1423" w:name="_Toc3627"/>
      <w:bookmarkStart w:id="1424" w:name="_Toc10809650"/>
      <w:bookmarkStart w:id="1425" w:name="_Toc193093635"/>
      <w:bookmarkStart w:id="1426" w:name="_Toc198612365"/>
      <w:bookmarkStart w:id="1427" w:name="_Toc28505"/>
      <w:r>
        <w:rPr>
          <w:rFonts w:hint="eastAsia" w:ascii="Times New Roman" w:hAnsi="Times New Roman" w:eastAsia="黑体" w:cs="Times New Roman"/>
          <w:b/>
          <w:color w:val="auto"/>
          <w:sz w:val="30"/>
          <w:highlight w:val="none"/>
          <w:lang w:val="en-US" w:eastAsia="zh-CN" w:bidi="ar-SA"/>
        </w:rPr>
        <w:t>化验室管理</w:t>
      </w:r>
      <w:bookmarkEnd w:id="1413"/>
      <w:bookmarkEnd w:id="1414"/>
      <w:bookmarkEnd w:id="1415"/>
      <w:bookmarkEnd w:id="1416"/>
      <w:bookmarkEnd w:id="1419"/>
      <w:bookmarkEnd w:id="1420"/>
      <w:bookmarkEnd w:id="1421"/>
      <w:bookmarkEnd w:id="1422"/>
      <w:bookmarkEnd w:id="1423"/>
      <w:bookmarkEnd w:id="1424"/>
      <w:bookmarkEnd w:id="1425"/>
      <w:bookmarkEnd w:id="1426"/>
      <w:bookmarkEnd w:id="1427"/>
    </w:p>
    <w:p w14:paraId="4BB239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化验室</w:t>
      </w:r>
      <w:r>
        <w:rPr>
          <w:rFonts w:hint="eastAsia" w:ascii="Times New Roman" w:hAnsi="Times New Roman" w:eastAsia="宋体" w:cs="Times New Roman"/>
          <w:color w:val="auto"/>
          <w:kern w:val="0"/>
          <w:sz w:val="24"/>
          <w:highlight w:val="none"/>
          <w:lang w:eastAsia="zh-CN"/>
        </w:rPr>
        <w:t>管理是水厂工艺运行的重要参考，根据每个工艺段的工艺参数和水质指标控制标准，以水质化验数据为基础，结合</w:t>
      </w:r>
      <w:r>
        <w:rPr>
          <w:rFonts w:hint="eastAsia" w:ascii="宋体" w:hAnsi="宋体" w:eastAsia="宋体" w:cs="宋体"/>
          <w:color w:val="auto"/>
          <w:kern w:val="0"/>
          <w:sz w:val="24"/>
          <w:szCs w:val="24"/>
          <w:highlight w:val="none"/>
          <w:lang w:eastAsia="zh-CN"/>
        </w:rPr>
        <w:t>相关现行水质规范标准和</w:t>
      </w:r>
      <w:r>
        <w:rPr>
          <w:rFonts w:ascii="宋体" w:hAnsi="宋体" w:eastAsia="宋体" w:cs="宋体"/>
          <w:color w:val="auto"/>
          <w:kern w:val="0"/>
          <w:sz w:val="24"/>
          <w:szCs w:val="24"/>
          <w:highlight w:val="none"/>
          <w:lang w:eastAsia="zh-CN"/>
        </w:rPr>
        <w:t>公司水质监测体系</w:t>
      </w:r>
      <w:r>
        <w:rPr>
          <w:rFonts w:hint="eastAsia" w:ascii="宋体" w:hAnsi="宋体" w:eastAsia="宋体" w:cs="宋体"/>
          <w:color w:val="auto"/>
          <w:kern w:val="0"/>
          <w:sz w:val="24"/>
          <w:szCs w:val="24"/>
          <w:highlight w:val="none"/>
          <w:lang w:eastAsia="zh-CN"/>
        </w:rPr>
        <w:t>，</w:t>
      </w:r>
      <w:r>
        <w:rPr>
          <w:rFonts w:hint="eastAsia" w:ascii="Times New Roman" w:hAnsi="Times New Roman" w:eastAsia="宋体" w:cs="Times New Roman"/>
          <w:color w:val="auto"/>
          <w:kern w:val="0"/>
          <w:sz w:val="24"/>
          <w:highlight w:val="none"/>
          <w:lang w:eastAsia="zh-CN"/>
        </w:rPr>
        <w:t>建立</w:t>
      </w:r>
      <w:r>
        <w:rPr>
          <w:rFonts w:hint="eastAsia" w:ascii="Times New Roman" w:hAnsi="Times New Roman" w:eastAsia="宋体" w:cs="Times New Roman"/>
          <w:color w:val="auto"/>
          <w:kern w:val="0"/>
          <w:sz w:val="24"/>
          <w:highlight w:val="none"/>
          <w:lang w:val="en-US" w:eastAsia="zh-CN"/>
        </w:rPr>
        <w:t>化验室管理</w:t>
      </w:r>
      <w:r>
        <w:rPr>
          <w:rFonts w:hint="eastAsia" w:ascii="Times New Roman" w:hAnsi="Times New Roman" w:eastAsia="宋体" w:cs="Times New Roman"/>
          <w:color w:val="auto"/>
          <w:kern w:val="0"/>
          <w:sz w:val="24"/>
          <w:highlight w:val="none"/>
          <w:lang w:eastAsia="zh-CN"/>
        </w:rPr>
        <w:t>模块，将各工艺段水质数据转换为自动化和数字化的处理，以此提高厂区水质管理水平和指导工艺生产。</w:t>
      </w:r>
    </w:p>
    <w:p w14:paraId="485FD33E">
      <w:pPr>
        <w:keepNext/>
        <w:keepLines/>
        <w:numPr>
          <w:ilvl w:val="3"/>
          <w:numId w:val="1"/>
        </w:numPr>
        <w:spacing w:line="360" w:lineRule="auto"/>
        <w:ind w:left="420" w:leftChars="200" w:firstLine="0" w:firstLineChars="0"/>
        <w:jc w:val="both"/>
        <w:outlineLvl w:val="3"/>
        <w:rPr>
          <w:rFonts w:hint="eastAsia"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化验检测管理</w:t>
      </w:r>
    </w:p>
    <w:p w14:paraId="32DC87B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现有化验系统进行升级，针对化验室场景特征，通过二维码或RFID等技术对化验样品的取样、存储、化验、结果录入、打印归档进行线上闭环管理，能够按需生成和展示趋势图。除外，通过关联人工化验结果与其对应水质仪表测量值，实现比对校正和报警，作为辅助仪表校正手段之一。</w:t>
      </w:r>
    </w:p>
    <w:p w14:paraId="3A6ECC9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1、化验计划管理</w:t>
      </w:r>
    </w:p>
    <w:p w14:paraId="3A920C3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制订合理的化验计划，并及时分配化验任务，使化验工作条理更加明晰，更加规范，避免工作任务的拖延或遗漏，提高工作效率。</w:t>
      </w:r>
    </w:p>
    <w:p w14:paraId="2CF11FE2">
      <w:pPr>
        <w:widowControl/>
        <w:numPr>
          <w:ilvl w:val="0"/>
          <w:numId w:val="22"/>
        </w:numPr>
        <w:tabs>
          <w:tab w:val="left" w:pos="420"/>
        </w:tabs>
        <w:spacing w:before="0" w:after="0"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化验信息管理</w:t>
      </w:r>
    </w:p>
    <w:p w14:paraId="05252CA4">
      <w:pPr>
        <w:widowControl/>
        <w:numPr>
          <w:ilvl w:val="0"/>
          <w:numId w:val="0"/>
        </w:numPr>
        <w:tabs>
          <w:tab w:val="left" w:pos="420"/>
        </w:tabs>
        <w:spacing w:before="0" w:after="0"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（1）化验类目管理</w:t>
      </w:r>
    </w:p>
    <w:p w14:paraId="17C0980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通过对化验类目信息的详实、准确管理，避免数据混乱情况的发生，保障后续化验工作顺利进行。 </w:t>
      </w:r>
    </w:p>
    <w:p w14:paraId="1B4F1FC4">
      <w:pPr>
        <w:widowControl/>
        <w:numPr>
          <w:ilvl w:val="5"/>
          <w:numId w:val="0"/>
        </w:numPr>
        <w:tabs>
          <w:tab w:val="left" w:pos="420"/>
        </w:tabs>
        <w:spacing w:before="60" w:after="60"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（2）样品管理</w:t>
      </w:r>
    </w:p>
    <w:p w14:paraId="0D05E0B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实现样品编号、名称的管理，并实现与该样品与检测类目的关联，为后续化验工作提供数据基础。</w:t>
      </w:r>
    </w:p>
    <w:p w14:paraId="663AA892">
      <w:pPr>
        <w:widowControl/>
        <w:numPr>
          <w:ilvl w:val="5"/>
          <w:numId w:val="0"/>
        </w:numPr>
        <w:tabs>
          <w:tab w:val="left" w:pos="420"/>
        </w:tabs>
        <w:spacing w:before="60" w:after="60"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（3）化验</w:t>
      </w:r>
      <w:r>
        <w:rPr>
          <w:rFonts w:hint="eastAsia" w:ascii="Times New Roman" w:hAnsi="Times New Roman" w:eastAsia="宋体" w:cs="Times New Roman"/>
          <w:color w:val="auto"/>
          <w:kern w:val="0"/>
          <w:sz w:val="24"/>
          <w:highlight w:val="none"/>
          <w:lang w:val="en-US" w:eastAsia="zh-CN"/>
        </w:rPr>
        <w:t>过程</w:t>
      </w:r>
      <w:r>
        <w:rPr>
          <w:rFonts w:hint="eastAsia" w:ascii="Times New Roman" w:hAnsi="Times New Roman" w:eastAsia="宋体" w:cs="Times New Roman"/>
          <w:color w:val="auto"/>
          <w:kern w:val="0"/>
          <w:sz w:val="24"/>
          <w:highlight w:val="none"/>
          <w:lang w:eastAsia="zh-CN"/>
        </w:rPr>
        <w:t>管理</w:t>
      </w:r>
    </w:p>
    <w:p w14:paraId="33D10C9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化验</w:t>
      </w:r>
      <w:r>
        <w:rPr>
          <w:rFonts w:hint="eastAsia" w:ascii="Times New Roman" w:hAnsi="Times New Roman" w:eastAsia="宋体" w:cs="Times New Roman"/>
          <w:color w:val="auto"/>
          <w:kern w:val="0"/>
          <w:sz w:val="24"/>
          <w:highlight w:val="none"/>
          <w:lang w:val="en-US" w:eastAsia="zh-CN"/>
        </w:rPr>
        <w:t>过程</w:t>
      </w:r>
      <w:r>
        <w:rPr>
          <w:rFonts w:hint="eastAsia" w:ascii="Times New Roman" w:hAnsi="Times New Roman" w:eastAsia="宋体" w:cs="Times New Roman"/>
          <w:color w:val="auto"/>
          <w:kern w:val="0"/>
          <w:sz w:val="24"/>
          <w:highlight w:val="none"/>
          <w:lang w:eastAsia="zh-CN"/>
        </w:rPr>
        <w:t>管理是化验室数据的产生过程，是关键指标的来源，数据的准确性、及时性非常重要。引入规范的化验流程，并监督该流程的执行过程，在保证检测效率的前提下，提高和保持数据的可信度。</w:t>
      </w:r>
    </w:p>
    <w:p w14:paraId="2079C8EA">
      <w:pPr>
        <w:widowControl/>
        <w:numPr>
          <w:ilvl w:val="5"/>
          <w:numId w:val="0"/>
        </w:numPr>
        <w:tabs>
          <w:tab w:val="left" w:pos="420"/>
        </w:tabs>
        <w:spacing w:before="60" w:after="60"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（4）检验报告</w:t>
      </w:r>
    </w:p>
    <w:p w14:paraId="151DD9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根据模板生成月检报告，支持报告的打印、导出等操作。并生成上报报表。</w:t>
      </w:r>
    </w:p>
    <w:p w14:paraId="543C175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w:t>
      </w:r>
      <w:r>
        <w:rPr>
          <w:rFonts w:ascii="Times New Roman" w:hAnsi="Times New Roman" w:eastAsia="宋体" w:cs="Times New Roman"/>
          <w:color w:val="auto"/>
          <w:kern w:val="0"/>
          <w:sz w:val="24"/>
          <w:highlight w:val="none"/>
          <w:lang w:eastAsia="zh-CN"/>
        </w:rPr>
        <w:t>化验耗材管理</w:t>
      </w:r>
    </w:p>
    <w:p w14:paraId="0F66079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通过对化验易耗品（化验器材、药品）的保存、领用、消耗情况的规范管理，将化验室的各类易耗品进行规范管理，降低化验成本。支持对耗材类型的基础设置，耗材信息的管理。实现耗材类型与基础信息的关联。支持耗材的批量入库以及批量出库，并支持库存信息的查看等。</w:t>
      </w:r>
    </w:p>
    <w:p w14:paraId="51AAE3E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w:t>
      </w:r>
      <w:r>
        <w:rPr>
          <w:rFonts w:ascii="Times New Roman" w:hAnsi="Times New Roman" w:eastAsia="宋体" w:cs="Times New Roman"/>
          <w:color w:val="auto"/>
          <w:kern w:val="0"/>
          <w:sz w:val="24"/>
          <w:highlight w:val="none"/>
          <w:lang w:eastAsia="zh-CN"/>
        </w:rPr>
        <w:t>化验设备管理</w:t>
      </w:r>
    </w:p>
    <w:p w14:paraId="3F7A3D37">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实现设备基础信息的管理，包括设备类型、设备名称、设备编码、采购日期等的管理。并可记录设备的使用情况，为后续设备的维养提供数据参考。并可实现设备校准计划以及维养计划的设置。</w:t>
      </w:r>
    </w:p>
    <w:p w14:paraId="1E1F72CF">
      <w:pPr>
        <w:keepNext/>
        <w:keepLines/>
        <w:numPr>
          <w:ilvl w:val="3"/>
          <w:numId w:val="1"/>
        </w:numPr>
        <w:spacing w:line="360" w:lineRule="auto"/>
        <w:ind w:left="420" w:leftChars="200" w:firstLine="0" w:firstLineChars="0"/>
        <w:jc w:val="both"/>
        <w:outlineLvl w:val="3"/>
        <w:rPr>
          <w:rFonts w:hint="eastAsia"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水质管理</w:t>
      </w:r>
    </w:p>
    <w:p w14:paraId="6F2C34D1">
      <w:pPr>
        <w:widowControl/>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主要功能如下：</w:t>
      </w:r>
    </w:p>
    <w:p w14:paraId="167D7B4B">
      <w:pPr>
        <w:widowControl/>
        <w:numPr>
          <w:ilvl w:val="0"/>
          <w:numId w:val="23"/>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支持在线水质仪表设备台账管理（包括设备主要设定功能参数、设备空间分布和检测能力、清洁维护记录、检修日志、仪表周期性送检记录等）</w:t>
      </w:r>
    </w:p>
    <w:p w14:paraId="646DB651">
      <w:pPr>
        <w:widowControl/>
        <w:numPr>
          <w:ilvl w:val="0"/>
          <w:numId w:val="23"/>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净水构筑物管理</w:t>
      </w:r>
    </w:p>
    <w:p w14:paraId="46FA0DCF">
      <w:pPr>
        <w:widowControl/>
        <w:numPr>
          <w:ilvl w:val="0"/>
          <w:numId w:val="23"/>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水质监测任务跟踪</w:t>
      </w:r>
    </w:p>
    <w:p w14:paraId="5E0CFCFC">
      <w:pPr>
        <w:widowControl/>
        <w:numPr>
          <w:ilvl w:val="0"/>
          <w:numId w:val="23"/>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在线仪表和人工水质检验批次、检验人、日期、检验结果和混凝实验等数据浏览与查询</w:t>
      </w:r>
    </w:p>
    <w:p w14:paraId="02B243A6">
      <w:pPr>
        <w:widowControl/>
        <w:numPr>
          <w:ilvl w:val="0"/>
          <w:numId w:val="23"/>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于水质化验报表，具备统计分析每批次水质化验结果的功能，水厂相关人员还可根据某段时间内的报表数据，对某段时间内对水质处理效果进行查询，并可将其与相关标准进行类比分析，对于达到或接近预警值和控制值的数据进行单独标注等。</w:t>
      </w:r>
    </w:p>
    <w:bookmarkEnd w:id="1417"/>
    <w:p w14:paraId="478EAB8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428" w:name="_Toc11860"/>
      <w:bookmarkStart w:id="1429" w:name="_Toc32596"/>
      <w:bookmarkStart w:id="1430" w:name="_Toc10411"/>
      <w:bookmarkStart w:id="1431" w:name="_Toc6091"/>
      <w:bookmarkStart w:id="1432" w:name="_Toc22462"/>
      <w:r>
        <w:rPr>
          <w:rFonts w:hint="eastAsia" w:ascii="Times New Roman" w:hAnsi="Times New Roman" w:eastAsia="黑体" w:cs="Times New Roman"/>
          <w:b/>
          <w:color w:val="auto"/>
          <w:sz w:val="30"/>
          <w:highlight w:val="none"/>
          <w:lang w:val="en-US" w:eastAsia="zh-CN" w:bidi="ar-SA"/>
        </w:rPr>
        <w:t xml:space="preserve"> </w:t>
      </w:r>
      <w:bookmarkStart w:id="1433" w:name="_Toc6633"/>
      <w:bookmarkStart w:id="1434" w:name="_Toc1289161202"/>
      <w:bookmarkStart w:id="1435" w:name="_Toc888431117"/>
      <w:bookmarkStart w:id="1436" w:name="_Toc28969"/>
      <w:bookmarkStart w:id="1437" w:name="_Toc28146"/>
      <w:bookmarkStart w:id="1438" w:name="_Toc630096546"/>
      <w:bookmarkStart w:id="1439" w:name="_Toc26026"/>
      <w:bookmarkStart w:id="1440" w:name="_Toc193093636"/>
      <w:bookmarkStart w:id="1441" w:name="_Toc116873358"/>
      <w:r>
        <w:rPr>
          <w:rFonts w:hint="eastAsia" w:ascii="Times New Roman" w:hAnsi="Times New Roman" w:eastAsia="黑体" w:cs="Times New Roman"/>
          <w:b/>
          <w:color w:val="auto"/>
          <w:sz w:val="30"/>
          <w:highlight w:val="none"/>
          <w:lang w:val="en-US" w:eastAsia="zh-CN" w:bidi="ar-SA"/>
        </w:rPr>
        <w:t>应急事件管理</w:t>
      </w:r>
      <w:bookmarkEnd w:id="1418"/>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4AD593A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的应急事件管理应针对厂内危化品泄露、进水水质严重异常、重大设备故障、电气安全事故、自然灾害、公共卫生事件等六类常见应急事件，涵盖从事件预警、发生、响应到恢复的全流程，确保对各类突发情况的高效应对。包括但不仅限于以下内容：</w:t>
      </w:r>
    </w:p>
    <w:p w14:paraId="5CE33555">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预警机制</w:t>
      </w:r>
    </w:p>
    <w:p w14:paraId="46532B3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通过厂区各关键位置的传感器</w:t>
      </w:r>
      <w:r>
        <w:rPr>
          <w:rFonts w:hint="eastAsia" w:ascii="Times New Roman" w:hAnsi="Times New Roman" w:eastAsia="宋体" w:cs="Times New Roman"/>
          <w:color w:val="auto"/>
          <w:kern w:val="0"/>
          <w:sz w:val="24"/>
          <w:highlight w:val="none"/>
          <w:lang w:eastAsia="zh-CN"/>
        </w:rPr>
        <w:t>和视频监控设备</w:t>
      </w:r>
      <w:r>
        <w:rPr>
          <w:rFonts w:ascii="Times New Roman" w:hAnsi="Times New Roman" w:eastAsia="宋体" w:cs="Times New Roman"/>
          <w:color w:val="auto"/>
          <w:kern w:val="0"/>
          <w:sz w:val="24"/>
          <w:highlight w:val="none"/>
          <w:lang w:eastAsia="zh-CN"/>
        </w:rPr>
        <w:t>，实时监测水质、设备运行状态、</w:t>
      </w:r>
      <w:r>
        <w:rPr>
          <w:rFonts w:hint="eastAsia" w:ascii="Times New Roman" w:hAnsi="Times New Roman" w:eastAsia="宋体" w:cs="Times New Roman"/>
          <w:color w:val="auto"/>
          <w:kern w:val="0"/>
          <w:sz w:val="24"/>
          <w:highlight w:val="none"/>
          <w:lang w:eastAsia="zh-CN"/>
        </w:rPr>
        <w:t>电气</w:t>
      </w:r>
      <w:r>
        <w:rPr>
          <w:rFonts w:ascii="Times New Roman" w:hAnsi="Times New Roman" w:eastAsia="宋体" w:cs="Times New Roman"/>
          <w:color w:val="auto"/>
          <w:kern w:val="0"/>
          <w:sz w:val="24"/>
          <w:highlight w:val="none"/>
          <w:lang w:eastAsia="zh-CN"/>
        </w:rPr>
        <w:t>系统</w:t>
      </w:r>
      <w:r>
        <w:rPr>
          <w:rFonts w:hint="eastAsia" w:ascii="Times New Roman" w:hAnsi="Times New Roman" w:eastAsia="宋体" w:cs="Times New Roman"/>
          <w:color w:val="auto"/>
          <w:kern w:val="0"/>
          <w:sz w:val="24"/>
          <w:highlight w:val="none"/>
          <w:lang w:eastAsia="zh-CN"/>
        </w:rPr>
        <w:t>运行情况</w:t>
      </w:r>
      <w:r>
        <w:rPr>
          <w:rFonts w:ascii="Times New Roman" w:hAnsi="Times New Roman" w:eastAsia="宋体" w:cs="Times New Roman"/>
          <w:color w:val="auto"/>
          <w:kern w:val="0"/>
          <w:sz w:val="24"/>
          <w:highlight w:val="none"/>
          <w:lang w:eastAsia="zh-CN"/>
        </w:rPr>
        <w:t>等关键指标</w:t>
      </w:r>
      <w:r>
        <w:rPr>
          <w:rFonts w:hint="eastAsia" w:ascii="Times New Roman" w:hAnsi="Times New Roman" w:eastAsia="宋体" w:cs="Times New Roman"/>
          <w:color w:val="auto"/>
          <w:kern w:val="0"/>
          <w:sz w:val="24"/>
          <w:highlight w:val="none"/>
          <w:lang w:eastAsia="zh-CN"/>
        </w:rPr>
        <w:t>，当指标数据</w:t>
      </w:r>
      <w:r>
        <w:rPr>
          <w:rFonts w:ascii="Times New Roman" w:hAnsi="Times New Roman" w:eastAsia="宋体" w:cs="Times New Roman"/>
          <w:color w:val="auto"/>
          <w:kern w:val="0"/>
          <w:sz w:val="24"/>
          <w:highlight w:val="none"/>
          <w:lang w:eastAsia="zh-CN"/>
        </w:rPr>
        <w:t>出现异常，如进水水质指标超出设定阈值、设备运行参数异常波动等，</w:t>
      </w:r>
      <w:r>
        <w:rPr>
          <w:rFonts w:hint="eastAsia" w:ascii="Times New Roman" w:hAnsi="Times New Roman" w:eastAsia="宋体" w:cs="Times New Roman"/>
          <w:color w:val="auto"/>
          <w:kern w:val="0"/>
          <w:sz w:val="24"/>
          <w:highlight w:val="none"/>
          <w:lang w:eastAsia="zh-CN"/>
        </w:rPr>
        <w:t>应将信息推送至相关人员，确保响应及时性。</w:t>
      </w:r>
    </w:p>
    <w:p w14:paraId="3CEA4C2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应急预案库</w:t>
      </w:r>
    </w:p>
    <w:p w14:paraId="78225DA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将各类应急预案数字化，存储在事件管理数据库中，实现预案的快速查询、调用和更新。预案应包含事件类型、严重程度分级、人员分工、应急流程、资源调配、现场处置措施等内容，并以流程图、表格等形式直观展示。</w:t>
      </w:r>
    </w:p>
    <w:p w14:paraId="2FF3FC9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应急响应处置</w:t>
      </w:r>
    </w:p>
    <w:p w14:paraId="4930A6D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系统能够根据实时数据和预案内容，自动推荐最优的应急响应方案，</w:t>
      </w:r>
      <w:r>
        <w:rPr>
          <w:rFonts w:hint="eastAsia" w:ascii="Times New Roman" w:hAnsi="Times New Roman" w:eastAsia="宋体" w:cs="Times New Roman"/>
          <w:color w:val="auto"/>
          <w:kern w:val="0"/>
          <w:sz w:val="24"/>
          <w:highlight w:val="none"/>
          <w:lang w:eastAsia="zh-CN"/>
        </w:rPr>
        <w:t>为值班人员提供决策建议，并实现自动化和半自动化操作。例如，在进水水质严重异常事件中，根据实时水质监测数据、水处理工艺参数、原材料库存、设备可用度和备用水源情况，结合应急预案库内容，推荐水处理工艺调度操作方案，同时提出原材料补充、启动备用水源等最佳时机和建议方案。</w:t>
      </w:r>
    </w:p>
    <w:p w14:paraId="0A2A047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总结与记录</w:t>
      </w:r>
    </w:p>
    <w:p w14:paraId="1D4F7FD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智慧水厂的应急事件管理是一个持续优化的过程，</w:t>
      </w:r>
      <w:r>
        <w:rPr>
          <w:rFonts w:ascii="Times New Roman" w:hAnsi="Times New Roman" w:eastAsia="宋体" w:cs="Times New Roman"/>
          <w:color w:val="auto"/>
          <w:kern w:val="0"/>
          <w:sz w:val="24"/>
          <w:highlight w:val="none"/>
          <w:lang w:eastAsia="zh-CN"/>
        </w:rPr>
        <w:t>系统</w:t>
      </w:r>
      <w:r>
        <w:rPr>
          <w:rFonts w:hint="eastAsia" w:ascii="Times New Roman" w:hAnsi="Times New Roman" w:eastAsia="宋体" w:cs="Times New Roman"/>
          <w:color w:val="auto"/>
          <w:kern w:val="0"/>
          <w:sz w:val="24"/>
          <w:highlight w:val="none"/>
          <w:lang w:eastAsia="zh-CN"/>
        </w:rPr>
        <w:t>应在应急</w:t>
      </w:r>
      <w:r>
        <w:rPr>
          <w:rFonts w:ascii="Times New Roman" w:hAnsi="Times New Roman" w:eastAsia="宋体" w:cs="Times New Roman"/>
          <w:color w:val="auto"/>
          <w:kern w:val="0"/>
          <w:sz w:val="24"/>
          <w:highlight w:val="none"/>
          <w:lang w:eastAsia="zh-CN"/>
        </w:rPr>
        <w:t>事件处理结束后</w:t>
      </w:r>
      <w:r>
        <w:rPr>
          <w:rFonts w:hint="eastAsia" w:ascii="Times New Roman" w:hAnsi="Times New Roman" w:eastAsia="宋体" w:cs="Times New Roman"/>
          <w:color w:val="auto"/>
          <w:kern w:val="0"/>
          <w:sz w:val="24"/>
          <w:highlight w:val="none"/>
          <w:lang w:val="en-US" w:eastAsia="zh-CN"/>
        </w:rPr>
        <w:t>根据应急事件处理报告模板</w:t>
      </w:r>
      <w:r>
        <w:rPr>
          <w:rFonts w:ascii="Times New Roman" w:hAnsi="Times New Roman" w:eastAsia="宋体" w:cs="Times New Roman"/>
          <w:color w:val="auto"/>
          <w:kern w:val="0"/>
          <w:sz w:val="24"/>
          <w:highlight w:val="none"/>
          <w:lang w:eastAsia="zh-CN"/>
        </w:rPr>
        <w:t>生成详细的事件总结报告，</w:t>
      </w:r>
      <w:r>
        <w:rPr>
          <w:rFonts w:hint="eastAsia" w:ascii="Times New Roman" w:hAnsi="Times New Roman" w:eastAsia="宋体" w:cs="Times New Roman"/>
          <w:color w:val="auto"/>
          <w:kern w:val="0"/>
          <w:sz w:val="24"/>
          <w:highlight w:val="none"/>
          <w:lang w:eastAsia="zh-CN"/>
        </w:rPr>
        <w:t>报告</w:t>
      </w:r>
      <w:r>
        <w:rPr>
          <w:rFonts w:ascii="Times New Roman" w:hAnsi="Times New Roman" w:eastAsia="宋体" w:cs="Times New Roman"/>
          <w:color w:val="auto"/>
          <w:kern w:val="0"/>
          <w:sz w:val="24"/>
          <w:highlight w:val="none"/>
          <w:lang w:eastAsia="zh-CN"/>
        </w:rPr>
        <w:t>包括事件原因、</w:t>
      </w:r>
      <w:r>
        <w:rPr>
          <w:rFonts w:hint="eastAsia" w:ascii="Times New Roman" w:hAnsi="Times New Roman" w:eastAsia="宋体" w:cs="Times New Roman"/>
          <w:color w:val="auto"/>
          <w:kern w:val="0"/>
          <w:sz w:val="24"/>
          <w:highlight w:val="none"/>
          <w:lang w:eastAsia="zh-CN"/>
        </w:rPr>
        <w:t>持续时间、</w:t>
      </w:r>
      <w:r>
        <w:rPr>
          <w:rFonts w:ascii="Times New Roman" w:hAnsi="Times New Roman" w:eastAsia="宋体" w:cs="Times New Roman"/>
          <w:color w:val="auto"/>
          <w:kern w:val="0"/>
          <w:sz w:val="24"/>
          <w:highlight w:val="none"/>
          <w:lang w:eastAsia="zh-CN"/>
        </w:rPr>
        <w:t>处理过程、资源消耗、</w:t>
      </w:r>
      <w:r>
        <w:rPr>
          <w:rFonts w:hint="eastAsia" w:ascii="Times New Roman" w:hAnsi="Times New Roman" w:eastAsia="宋体" w:cs="Times New Roman"/>
          <w:color w:val="auto"/>
          <w:kern w:val="0"/>
          <w:sz w:val="24"/>
          <w:highlight w:val="none"/>
          <w:lang w:eastAsia="zh-CN"/>
        </w:rPr>
        <w:t>影响程度</w:t>
      </w:r>
      <w:r>
        <w:rPr>
          <w:rFonts w:ascii="Times New Roman" w:hAnsi="Times New Roman" w:eastAsia="宋体" w:cs="Times New Roman"/>
          <w:color w:val="auto"/>
          <w:kern w:val="0"/>
          <w:sz w:val="24"/>
          <w:highlight w:val="none"/>
          <w:lang w:eastAsia="zh-CN"/>
        </w:rPr>
        <w:t>等</w:t>
      </w:r>
      <w:r>
        <w:rPr>
          <w:rFonts w:hint="eastAsia" w:ascii="Times New Roman" w:hAnsi="Times New Roman" w:eastAsia="宋体" w:cs="Times New Roman"/>
          <w:color w:val="auto"/>
          <w:kern w:val="0"/>
          <w:sz w:val="24"/>
          <w:highlight w:val="none"/>
          <w:lang w:eastAsia="zh-CN"/>
        </w:rPr>
        <w:t>内容</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建立应急事件数据库，对校核后的</w:t>
      </w:r>
      <w:r>
        <w:rPr>
          <w:rFonts w:ascii="Times New Roman" w:hAnsi="Times New Roman" w:eastAsia="宋体" w:cs="Times New Roman"/>
          <w:color w:val="auto"/>
          <w:kern w:val="0"/>
          <w:sz w:val="24"/>
          <w:highlight w:val="none"/>
          <w:lang w:eastAsia="zh-CN"/>
        </w:rPr>
        <w:t>相关数据和处理经验进行存储和管理</w:t>
      </w:r>
      <w:r>
        <w:rPr>
          <w:rFonts w:hint="eastAsia" w:ascii="Times New Roman" w:hAnsi="Times New Roman" w:eastAsia="宋体" w:cs="Times New Roman"/>
          <w:color w:val="auto"/>
          <w:kern w:val="0"/>
          <w:sz w:val="24"/>
          <w:highlight w:val="none"/>
          <w:lang w:eastAsia="zh-CN"/>
        </w:rPr>
        <w:t>，通过对数据的挖掘和分析，总结应急事件的规律和特点，对应急处置过程进行评估，同时为应急预案的优化与制定提供科学依据。</w:t>
      </w:r>
    </w:p>
    <w:p w14:paraId="01FCDEA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应急事件演练</w:t>
      </w:r>
    </w:p>
    <w:p w14:paraId="6D36DAF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调用应急事件数据库数据，进行应急处理培训，通过模拟推演应急态势及应急处置过程，让相关人员、部门在虚拟环境中熟悉应急处置流程，提高应对突发事件的能力和协同作战能力，提高应急响应效率。</w:t>
      </w:r>
    </w:p>
    <w:p w14:paraId="1389C3EE">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442" w:name="_Toc15107"/>
      <w:bookmarkStart w:id="1443" w:name="_Toc22709"/>
      <w:bookmarkStart w:id="1444" w:name="_Toc17430"/>
      <w:bookmarkStart w:id="1445" w:name="_Toc2357"/>
      <w:bookmarkStart w:id="1446" w:name="_Toc32180"/>
      <w:bookmarkStart w:id="1447" w:name="_Toc30699"/>
      <w:r>
        <w:rPr>
          <w:rFonts w:hint="eastAsia" w:ascii="Times New Roman" w:hAnsi="Times New Roman" w:eastAsia="黑体" w:cs="Times New Roman"/>
          <w:b/>
          <w:color w:val="auto"/>
          <w:sz w:val="30"/>
          <w:highlight w:val="none"/>
          <w:lang w:val="en-US" w:eastAsia="zh-CN" w:bidi="ar-SA"/>
        </w:rPr>
        <w:t xml:space="preserve"> </w:t>
      </w:r>
      <w:bookmarkStart w:id="1448" w:name="_Toc790785265"/>
      <w:bookmarkStart w:id="1449" w:name="_Toc8909"/>
      <w:bookmarkStart w:id="1450" w:name="_Toc25267"/>
      <w:bookmarkStart w:id="1451" w:name="_Toc1490474548"/>
      <w:bookmarkStart w:id="1452" w:name="_Toc407985828"/>
      <w:bookmarkStart w:id="1453" w:name="_Toc27165"/>
      <w:bookmarkStart w:id="1454" w:name="_Toc193093637"/>
      <w:bookmarkStart w:id="1455" w:name="_Toc969807431"/>
      <w:bookmarkStart w:id="1456" w:name="_Toc3689"/>
      <w:r>
        <w:rPr>
          <w:rFonts w:hint="eastAsia" w:ascii="Times New Roman" w:hAnsi="Times New Roman" w:eastAsia="黑体" w:cs="Times New Roman"/>
          <w:b/>
          <w:color w:val="auto"/>
          <w:sz w:val="30"/>
          <w:highlight w:val="none"/>
          <w:lang w:val="en-US" w:eastAsia="zh-CN" w:bidi="ar-SA"/>
        </w:rPr>
        <w:t>水厂仿真和预测分析</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1AFB3F0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水厂仿真和预测分析工具软件</w:t>
      </w:r>
    </w:p>
    <w:p w14:paraId="5BC1F804">
      <w:pPr>
        <w:widowControl/>
        <w:spacing w:line="360" w:lineRule="auto"/>
        <w:ind w:firstLine="480" w:firstLineChars="200"/>
        <w:rPr>
          <w:rFonts w:ascii="Times New Roman" w:hAnsi="Times New Roman" w:eastAsia="宋体" w:cs="Times New Roman"/>
          <w:color w:val="auto"/>
          <w:kern w:val="0"/>
          <w:sz w:val="24"/>
          <w:highlight w:val="none"/>
          <w:lang w:eastAsia="zh-CN" w:bidi="zh-CN"/>
        </w:rPr>
      </w:pPr>
      <w:r>
        <w:rPr>
          <w:rFonts w:hint="eastAsia" w:ascii="Times New Roman" w:hAnsi="Times New Roman" w:eastAsia="宋体" w:cs="Times New Roman"/>
          <w:color w:val="auto"/>
          <w:kern w:val="0"/>
          <w:sz w:val="24"/>
          <w:highlight w:val="none"/>
          <w:lang w:eastAsia="zh-CN"/>
        </w:rPr>
        <w:t>须提供</w:t>
      </w:r>
      <w:r>
        <w:rPr>
          <w:rFonts w:hint="eastAsia" w:ascii="Times New Roman" w:hAnsi="Times New Roman" w:eastAsia="宋体" w:cs="Times New Roman"/>
          <w:color w:val="auto"/>
          <w:kern w:val="0"/>
          <w:sz w:val="24"/>
          <w:highlight w:val="none"/>
          <w:lang w:val="zh-CN" w:eastAsia="zh-CN" w:bidi="zh-CN"/>
        </w:rPr>
        <w:t>水</w:t>
      </w:r>
      <w:r>
        <w:rPr>
          <w:rFonts w:hint="eastAsia" w:ascii="Times New Roman" w:hAnsi="Times New Roman" w:eastAsia="宋体" w:cs="Times New Roman"/>
          <w:color w:val="auto"/>
          <w:kern w:val="0"/>
          <w:sz w:val="24"/>
          <w:highlight w:val="none"/>
          <w:lang w:eastAsia="zh-CN"/>
        </w:rPr>
        <w:t>仿真和预测分析工具软件，工具软件须具备水质仿真模拟</w:t>
      </w:r>
      <w:r>
        <w:rPr>
          <w:rFonts w:hint="eastAsia" w:ascii="Times New Roman" w:hAnsi="Times New Roman" w:eastAsia="宋体" w:cs="Times New Roman"/>
          <w:color w:val="auto"/>
          <w:kern w:val="0"/>
          <w:sz w:val="24"/>
          <w:highlight w:val="none"/>
          <w:lang w:val="zh-CN" w:eastAsia="zh-CN" w:bidi="zh-CN"/>
        </w:rPr>
        <w:t>等</w:t>
      </w:r>
      <w:r>
        <w:rPr>
          <w:rFonts w:hint="eastAsia" w:ascii="Times New Roman" w:hAnsi="Times New Roman" w:eastAsia="宋体" w:cs="Times New Roman"/>
          <w:color w:val="auto"/>
          <w:kern w:val="0"/>
          <w:sz w:val="24"/>
          <w:highlight w:val="none"/>
          <w:lang w:eastAsia="zh-CN"/>
        </w:rPr>
        <w:t>模型应用等</w:t>
      </w:r>
      <w:r>
        <w:rPr>
          <w:rFonts w:hint="eastAsia" w:ascii="Times New Roman" w:hAnsi="Times New Roman" w:eastAsia="宋体" w:cs="Times New Roman"/>
          <w:color w:val="auto"/>
          <w:kern w:val="0"/>
          <w:sz w:val="24"/>
          <w:highlight w:val="none"/>
          <w:lang w:eastAsia="zh-CN" w:bidi="zh-CN"/>
        </w:rPr>
        <w:t>运用</w:t>
      </w:r>
      <w:r>
        <w:rPr>
          <w:rFonts w:hint="eastAsia" w:ascii="Times New Roman" w:hAnsi="Times New Roman" w:eastAsia="宋体" w:cs="Times New Roman"/>
          <w:color w:val="auto"/>
          <w:kern w:val="0"/>
          <w:sz w:val="24"/>
          <w:highlight w:val="none"/>
          <w:lang w:val="zh-CN" w:eastAsia="zh-CN" w:bidi="zh-CN"/>
        </w:rPr>
        <w:t>，为供水系统的实际运行提供辅助决策支持。</w:t>
      </w:r>
      <w:r>
        <w:rPr>
          <w:rFonts w:hint="eastAsia" w:ascii="Times New Roman" w:hAnsi="Times New Roman" w:eastAsia="宋体" w:cs="Times New Roman"/>
          <w:color w:val="auto"/>
          <w:kern w:val="0"/>
          <w:sz w:val="24"/>
          <w:highlight w:val="none"/>
          <w:lang w:eastAsia="zh-CN" w:bidi="zh-CN"/>
        </w:rPr>
        <w:t>由于此类软件比较专业， 允许作为异构系统进行部署，但要求能用虚拟化资源或作容器化部署。</w:t>
      </w:r>
    </w:p>
    <w:p w14:paraId="63726F67">
      <w:pPr>
        <w:widowControl/>
        <w:spacing w:line="360" w:lineRule="auto"/>
        <w:ind w:firstLine="0" w:firstLineChars="0"/>
        <w:rPr>
          <w:rFonts w:ascii="Times New Roman" w:hAnsi="Times New Roman" w:eastAsia="宋体" w:cs="Times New Roman"/>
          <w:color w:val="auto"/>
          <w:kern w:val="0"/>
          <w:sz w:val="24"/>
          <w:highlight w:val="none"/>
          <w:lang w:eastAsia="en-US" w:bidi="zh-CN"/>
        </w:rPr>
      </w:pPr>
      <w:r>
        <w:rPr>
          <w:rFonts w:hint="eastAsia" w:ascii="Times New Roman" w:hAnsi="Times New Roman" w:eastAsia="宋体" w:cs="Times New Roman"/>
          <w:color w:val="auto"/>
          <w:kern w:val="0"/>
          <w:sz w:val="24"/>
          <w:highlight w:val="none"/>
          <w:lang w:eastAsia="en-US" w:bidi="zh-CN"/>
        </w:rPr>
        <w:t>软件具备以下功能：</w:t>
      </w:r>
    </w:p>
    <w:p w14:paraId="72EC35EF">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具有流量分配模块和不同工艺水质分析模块等建模基本能力；</w:t>
      </w:r>
    </w:p>
    <w:p w14:paraId="0FB151A4">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能提供取水、配水、絮凝、沉淀、过滤、膜处理、消毒、送水等模块的模拟应用功能；</w:t>
      </w:r>
    </w:p>
    <w:p w14:paraId="5CDF14B4">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val="zh-CN" w:eastAsia="zh-CN" w:bidi="zh-CN"/>
        </w:rPr>
      </w:pPr>
      <w:r>
        <w:rPr>
          <w:rFonts w:hint="eastAsia" w:ascii="Times New Roman" w:hAnsi="Times New Roman" w:eastAsia="宋体" w:cs="Times New Roman"/>
          <w:color w:val="auto"/>
          <w:kern w:val="0"/>
          <w:sz w:val="24"/>
          <w:highlight w:val="none"/>
          <w:lang w:eastAsia="zh-CN" w:bidi="zh-CN"/>
        </w:rPr>
        <w:t>能链接MIKE或sumo或swmm国外国内水厂仿真软件有关模块</w:t>
      </w:r>
    </w:p>
    <w:p w14:paraId="0CF129A1">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val="zh-CN" w:eastAsia="en-US"/>
        </w:rPr>
      </w:pPr>
      <w:r>
        <w:rPr>
          <w:rFonts w:hint="eastAsia" w:ascii="Times New Roman" w:hAnsi="Times New Roman" w:eastAsia="宋体" w:cs="Times New Roman"/>
          <w:color w:val="auto"/>
          <w:kern w:val="0"/>
          <w:sz w:val="24"/>
          <w:highlight w:val="none"/>
          <w:lang w:eastAsia="en-US" w:bidi="zh-CN"/>
        </w:rPr>
        <w:t>具备辅助建模工具</w:t>
      </w:r>
    </w:p>
    <w:p w14:paraId="4BA42340">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val="zh-CN" w:eastAsia="en-US"/>
        </w:rPr>
      </w:pPr>
      <w:r>
        <w:rPr>
          <w:rFonts w:hint="eastAsia" w:ascii="Times New Roman" w:hAnsi="Times New Roman" w:eastAsia="宋体" w:cs="Times New Roman"/>
          <w:color w:val="auto"/>
          <w:kern w:val="0"/>
          <w:sz w:val="24"/>
          <w:highlight w:val="none"/>
          <w:lang w:eastAsia="en-US" w:bidi="zh-CN"/>
        </w:rPr>
        <w:t>能自定义功能</w:t>
      </w:r>
    </w:p>
    <w:p w14:paraId="1EF95EF9">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val="zh-CN" w:eastAsia="en-US" w:bidi="zh-CN"/>
        </w:rPr>
      </w:pPr>
      <w:r>
        <w:rPr>
          <w:rFonts w:hint="eastAsia" w:ascii="Times New Roman" w:hAnsi="Times New Roman" w:eastAsia="宋体" w:cs="Times New Roman"/>
          <w:color w:val="auto"/>
          <w:kern w:val="0"/>
          <w:sz w:val="24"/>
          <w:highlight w:val="none"/>
          <w:lang w:eastAsia="en-US" w:bidi="zh-CN"/>
        </w:rPr>
        <w:t>能进行多方案管理</w:t>
      </w:r>
    </w:p>
    <w:p w14:paraId="71B8630F">
      <w:pPr>
        <w:widowControl/>
        <w:numPr>
          <w:ilvl w:val="0"/>
          <w:numId w:val="24"/>
        </w:numPr>
        <w:spacing w:line="360" w:lineRule="auto"/>
        <w:ind w:left="0" w:firstLine="480" w:firstLineChars="200"/>
        <w:rPr>
          <w:rFonts w:ascii="Times New Roman" w:hAnsi="Times New Roman" w:eastAsia="宋体" w:cs="Times New Roman"/>
          <w:color w:val="auto"/>
          <w:kern w:val="0"/>
          <w:sz w:val="24"/>
          <w:highlight w:val="none"/>
          <w:lang w:val="zh-CN" w:eastAsia="zh-CN" w:bidi="zh-CN"/>
        </w:rPr>
      </w:pPr>
      <w:r>
        <w:rPr>
          <w:rFonts w:hint="eastAsia" w:ascii="Times New Roman" w:hAnsi="Times New Roman" w:eastAsia="宋体" w:cs="Times New Roman"/>
          <w:color w:val="auto"/>
          <w:kern w:val="0"/>
          <w:sz w:val="24"/>
          <w:highlight w:val="none"/>
          <w:lang w:eastAsia="zh-CN" w:bidi="zh-CN"/>
        </w:rPr>
        <w:t>能提供对外的输出/输出接口</w:t>
      </w:r>
    </w:p>
    <w:p w14:paraId="67A10D8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构建水厂仿真预测B/S系统，主要依据水厂运行管理的具体业务流程，提供在线分析、生产回放、方案模拟、负荷评估等模块，大部分功能实现“一键式”操作，使用简单，适合普通技术人员使用。</w:t>
      </w:r>
    </w:p>
    <w:p w14:paraId="747E834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同时，不同时刻的模型可以导出通用的.inp文件，方便专业的人员在水动力模型软件中进行水动力模型的结构调整、参数的调整和扩展设计等功能。</w:t>
      </w:r>
    </w:p>
    <w:p w14:paraId="599F161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水动力模型软件采用开源软件，支持水厂水动力模型的构建并提供丰富的模拟分析功能，使用广泛，通用性强，适合水厂设计和运行管理的专业人员进行深度的水厂工艺和运行分析。</w:t>
      </w:r>
    </w:p>
    <w:p w14:paraId="088532F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灵活性：软件可以对水厂各构筑物进行建模和分析，包括絮凝沉淀池、滤池、清水池、送水泵房、管线阀门等设施。</w:t>
      </w:r>
    </w:p>
    <w:p w14:paraId="37CAA71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交互性：软件提供友好的用户界面，可以让用户方便地输入数据、修改参数，并进行结果分析。</w:t>
      </w:r>
    </w:p>
    <w:p w14:paraId="45EB791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准确性：软件使用先进的数学模型和算法，可以精确地模拟制水生产的流动和工况变化。</w:t>
      </w:r>
    </w:p>
    <w:p w14:paraId="0DB3AC68">
      <w:pPr>
        <w:widowControl/>
        <w:spacing w:line="360" w:lineRule="auto"/>
        <w:ind w:firstLine="480" w:firstLineChars="200"/>
        <w:rPr>
          <w:rFonts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eastAsia="zh-CN"/>
        </w:rPr>
        <w:t>可视化：软件提供各种图表和地图显示功能，可以让用户直观地了解蓄水和流动情况，以及水厂的运行状况。</w:t>
      </w:r>
    </w:p>
    <w:p w14:paraId="4141F553">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北部水厂仿真和预测分析内容</w:t>
      </w:r>
    </w:p>
    <w:p w14:paraId="3C9D4DE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内容主要包括建立北部水厂水力仿真模型，按照北部水厂</w:t>
      </w:r>
      <w:r>
        <w:rPr>
          <w:rFonts w:ascii="Times New Roman" w:hAnsi="Times New Roman" w:eastAsia="宋体" w:cs="Times New Roman"/>
          <w:color w:val="auto"/>
          <w:kern w:val="0"/>
          <w:sz w:val="24"/>
          <w:highlight w:val="none"/>
          <w:lang w:eastAsia="zh-CN"/>
        </w:rPr>
        <w:t>数字</w:t>
      </w:r>
      <w:r>
        <w:rPr>
          <w:rFonts w:hint="eastAsia" w:ascii="Times New Roman" w:hAnsi="Times New Roman" w:eastAsia="宋体" w:cs="Times New Roman"/>
          <w:color w:val="auto"/>
          <w:kern w:val="0"/>
          <w:sz w:val="24"/>
          <w:highlight w:val="none"/>
          <w:lang w:eastAsia="zh-CN"/>
        </w:rPr>
        <w:t>模型，记录和存储</w:t>
      </w:r>
      <w:r>
        <w:rPr>
          <w:rFonts w:ascii="Times New Roman" w:hAnsi="Times New Roman" w:eastAsia="宋体" w:cs="Times New Roman"/>
          <w:color w:val="auto"/>
          <w:kern w:val="0"/>
          <w:sz w:val="24"/>
          <w:highlight w:val="none"/>
          <w:lang w:eastAsia="zh-CN"/>
        </w:rPr>
        <w:t>历史数据，通过数据仓库进行加工，建立多维多层模型，每一时刻的多维信息都会自动留存快照，</w:t>
      </w:r>
      <w:r>
        <w:rPr>
          <w:rFonts w:hint="eastAsia" w:ascii="Times New Roman" w:hAnsi="Times New Roman" w:eastAsia="宋体" w:cs="Times New Roman"/>
          <w:color w:val="auto"/>
          <w:kern w:val="0"/>
          <w:sz w:val="24"/>
          <w:highlight w:val="none"/>
          <w:lang w:eastAsia="zh-CN"/>
        </w:rPr>
        <w:t>能存储仿真预测数据，形成对应预案数据集。在此基础上演化出生产回放、生产预测、虚拟生产、应急指挥预演等模式。</w:t>
      </w:r>
    </w:p>
    <w:p w14:paraId="2A26E1D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水力仿真模型（虚拟水厂）</w:t>
      </w:r>
    </w:p>
    <w:p w14:paraId="761A4BE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利用设计与运行数据，通过二次开发，形成北部水厂</w:t>
      </w:r>
      <w:r>
        <w:rPr>
          <w:rFonts w:hint="eastAsia" w:ascii="Times New Roman" w:hAnsi="Times New Roman" w:eastAsia="宋体" w:cs="Times New Roman"/>
          <w:color w:val="auto"/>
          <w:kern w:val="0"/>
          <w:sz w:val="24"/>
          <w:highlight w:val="none"/>
          <w:lang w:val="zh-CN" w:eastAsia="zh-CN"/>
        </w:rPr>
        <w:t>水力模拟仿真，建立从原水进水到水厂出水整个水处理过程的水动力模型，</w:t>
      </w:r>
      <w:r>
        <w:rPr>
          <w:rFonts w:hint="eastAsia" w:ascii="Times New Roman" w:hAnsi="Times New Roman" w:eastAsia="宋体" w:cs="Times New Roman"/>
          <w:color w:val="auto"/>
          <w:kern w:val="0"/>
          <w:sz w:val="24"/>
          <w:highlight w:val="none"/>
          <w:lang w:eastAsia="zh-CN"/>
        </w:rPr>
        <w:t>形成虚拟水厂，虚拟水厂具备前瞻性推演作用，发现问题、优化方案，保障决策的安全性、科学性、有效性。</w:t>
      </w:r>
    </w:p>
    <w:p w14:paraId="1E4C7C1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虚拟水厂通过数据接口（人机交互），确定初始工况，</w:t>
      </w:r>
      <w:r>
        <w:rPr>
          <w:rFonts w:hint="eastAsia" w:ascii="Times New Roman" w:hAnsi="Times New Roman" w:eastAsia="宋体" w:cs="Times New Roman"/>
          <w:color w:val="auto"/>
          <w:kern w:val="0"/>
          <w:sz w:val="24"/>
          <w:highlight w:val="none"/>
          <w:lang w:val="zh-CN" w:eastAsia="zh-CN"/>
        </w:rPr>
        <w:t>模拟预测未来一段时间各构筑物和厂内管线上的流量、压力、流速等水力参数随时间的变化情况，</w:t>
      </w:r>
      <w:r>
        <w:rPr>
          <w:rFonts w:hint="eastAsia" w:ascii="Times New Roman" w:hAnsi="Times New Roman" w:eastAsia="宋体" w:cs="Times New Roman"/>
          <w:color w:val="auto"/>
          <w:kern w:val="0"/>
          <w:sz w:val="24"/>
          <w:highlight w:val="none"/>
          <w:lang w:eastAsia="zh-CN"/>
        </w:rPr>
        <w:t>模拟结果可根据时间轴进行灵活选取。建立虚拟水厂对智慧水厂的自主生产、生产预判、工艺推演、决策指挥、员工培训等方面都发挥出巨大作用。</w:t>
      </w:r>
    </w:p>
    <w:p w14:paraId="41135694">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生产预测模式</w:t>
      </w:r>
    </w:p>
    <w:p w14:paraId="62EE8892">
      <w:pPr>
        <w:widowControl/>
        <w:spacing w:line="360" w:lineRule="auto"/>
        <w:ind w:firstLine="480" w:firstLineChars="200"/>
        <w:rPr>
          <w:rFonts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eastAsia="zh-CN"/>
        </w:rPr>
        <w:t>在北部水厂水力仿真模型上，接入北部水厂现场实施数据</w:t>
      </w:r>
      <w:r>
        <w:rPr>
          <w:rFonts w:hint="eastAsia" w:ascii="Times New Roman" w:hAnsi="Times New Roman" w:eastAsia="宋体" w:cs="Times New Roman"/>
          <w:color w:val="auto"/>
          <w:kern w:val="0"/>
          <w:sz w:val="24"/>
          <w:highlight w:val="none"/>
          <w:lang w:val="zh-CN" w:eastAsia="zh-CN"/>
        </w:rPr>
        <w:t>，预测未来一段时间各构筑物和厂内管线上的流量、压力、流速、</w:t>
      </w:r>
      <w:r>
        <w:rPr>
          <w:rFonts w:hint="eastAsia" w:ascii="Times New Roman" w:hAnsi="Times New Roman" w:eastAsia="宋体" w:cs="Times New Roman"/>
          <w:color w:val="auto"/>
          <w:kern w:val="0"/>
          <w:sz w:val="24"/>
          <w:highlight w:val="none"/>
          <w:lang w:eastAsia="zh-CN"/>
        </w:rPr>
        <w:t>水位</w:t>
      </w:r>
      <w:r>
        <w:rPr>
          <w:rFonts w:hint="eastAsia" w:ascii="Times New Roman" w:hAnsi="Times New Roman" w:eastAsia="宋体" w:cs="Times New Roman"/>
          <w:color w:val="auto"/>
          <w:kern w:val="0"/>
          <w:sz w:val="24"/>
          <w:highlight w:val="none"/>
          <w:lang w:val="zh-CN" w:eastAsia="zh-CN"/>
        </w:rPr>
        <w:t>等</w:t>
      </w:r>
      <w:r>
        <w:rPr>
          <w:rFonts w:hint="eastAsia" w:ascii="Times New Roman" w:hAnsi="Times New Roman" w:eastAsia="宋体" w:cs="Times New Roman"/>
          <w:color w:val="auto"/>
          <w:kern w:val="0"/>
          <w:sz w:val="24"/>
          <w:highlight w:val="none"/>
          <w:lang w:eastAsia="zh-CN"/>
        </w:rPr>
        <w:t>工艺参数</w:t>
      </w:r>
      <w:r>
        <w:rPr>
          <w:rFonts w:hint="eastAsia" w:ascii="Times New Roman" w:hAnsi="Times New Roman" w:eastAsia="宋体" w:cs="Times New Roman"/>
          <w:color w:val="auto"/>
          <w:kern w:val="0"/>
          <w:sz w:val="24"/>
          <w:highlight w:val="none"/>
          <w:lang w:val="zh-CN" w:eastAsia="zh-CN"/>
        </w:rPr>
        <w:t>，</w:t>
      </w:r>
      <w:r>
        <w:rPr>
          <w:rFonts w:hint="eastAsia" w:ascii="Times New Roman" w:hAnsi="Times New Roman" w:eastAsia="宋体" w:cs="Times New Roman"/>
          <w:color w:val="auto"/>
          <w:kern w:val="0"/>
          <w:sz w:val="24"/>
          <w:highlight w:val="none"/>
          <w:lang w:eastAsia="zh-CN"/>
        </w:rPr>
        <w:t>可用于生产处置方案预判和运行现状的前瞻分析和诊断，必要时能通过曲线或报警的形式提醒现场管理者</w:t>
      </w:r>
      <w:r>
        <w:rPr>
          <w:rFonts w:hint="eastAsia" w:ascii="Times New Roman" w:hAnsi="Times New Roman" w:eastAsia="宋体" w:cs="Times New Roman"/>
          <w:color w:val="auto"/>
          <w:kern w:val="0"/>
          <w:sz w:val="24"/>
          <w:highlight w:val="none"/>
          <w:lang w:val="zh-CN" w:eastAsia="zh-CN"/>
        </w:rPr>
        <w:t>。</w:t>
      </w:r>
    </w:p>
    <w:p w14:paraId="3D1424CB">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生产回放模式</w:t>
      </w:r>
    </w:p>
    <w:p w14:paraId="2F84686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可选择在历史库、预案等数据集调取数据，选择相应的时间轴载入数据，用水力仿真模型进行数据回放，进行生产过程分析、模拟生产、应急演练等操作，达到分析、决策、演练、培训等目的。</w:t>
      </w:r>
    </w:p>
    <w:p w14:paraId="28738483">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虚拟生产推演</w:t>
      </w:r>
    </w:p>
    <w:p w14:paraId="7266F2C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可选择在历史库、预案数据集调取数据，或设置不同关键工艺数据，用水力仿真模型进行推理，模拟推演水厂生产过程的各种变化。系统记录推演数据变化过程，形成新的数据集和模拟预案。该功能主要用于：</w:t>
      </w:r>
    </w:p>
    <w:p w14:paraId="5BA2FDE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1、在生产工艺调整决策时，进行模拟推理，辅助形成工作方案。</w:t>
      </w:r>
    </w:p>
    <w:p w14:paraId="557E00A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2、在模拟水厂假设各种生产场景，将模拟过程中的典型场景，以模拟预案方式形成生产和应急处理教程。</w:t>
      </w:r>
    </w:p>
    <w:p w14:paraId="5A43885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3、培训员工时，可以展示不同的生产情况和正确处理过程，并允许进行模拟操作，虚拟水厂的工艺变化过程，用虚拟实操方式提升员工的工作水平。</w:t>
      </w:r>
    </w:p>
    <w:p w14:paraId="05709F00">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应急处理演练</w:t>
      </w:r>
    </w:p>
    <w:p w14:paraId="630ABF3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调用“应急事件管理”中的预案数据，进行应急处理培训，用虚拟水厂进行应急事件处理演练，并记录数据，用回放功能进行应急过程复盘。对数据集进行专题管理，形成应急处理演练档案。</w:t>
      </w:r>
    </w:p>
    <w:p w14:paraId="144EBE77">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对北部水厂仿真和预测的成果要求</w:t>
      </w:r>
    </w:p>
    <w:p w14:paraId="47BFBD6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数据要求</w:t>
      </w:r>
    </w:p>
    <w:p w14:paraId="53F1967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利用北部水厂数据模型，以及数据管理工具，完成数据快照、数据加载、数据回放、数据交换、数据共享等目标。</w:t>
      </w:r>
    </w:p>
    <w:p w14:paraId="795B05D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功能要求</w:t>
      </w:r>
    </w:p>
    <w:p w14:paraId="70135A6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仿真和预测的主要功能和运算以服务形成提供对外服务，软件服务须按照智慧云平台的规范，功能性服务可嵌入到第三方软件中，第三方软件可以利用服务接口，完成不同数据集加载，仿真结果获取等操作。</w:t>
      </w:r>
    </w:p>
    <w:p w14:paraId="342983CC">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457" w:name="_Toc28788"/>
      <w:bookmarkStart w:id="1458" w:name="_Toc18660"/>
      <w:bookmarkStart w:id="1459" w:name="_Toc31647"/>
      <w:bookmarkStart w:id="1460" w:name="_Toc20660"/>
      <w:bookmarkStart w:id="1461" w:name="_Toc12324"/>
      <w:bookmarkStart w:id="1462" w:name="_Toc22748"/>
      <w:r>
        <w:rPr>
          <w:rFonts w:hint="eastAsia" w:ascii="Times New Roman" w:hAnsi="Times New Roman" w:eastAsia="黑体" w:cs="Times New Roman"/>
          <w:b/>
          <w:color w:val="auto"/>
          <w:sz w:val="30"/>
          <w:highlight w:val="none"/>
          <w:lang w:val="en-US" w:eastAsia="zh-CN" w:bidi="ar-SA"/>
        </w:rPr>
        <w:t xml:space="preserve"> </w:t>
      </w:r>
      <w:bookmarkStart w:id="1463" w:name="_Toc2099141219"/>
      <w:bookmarkStart w:id="1464" w:name="_Toc193093639"/>
      <w:bookmarkStart w:id="1465" w:name="_Toc16181"/>
      <w:bookmarkStart w:id="1466" w:name="_Toc703527377"/>
      <w:bookmarkStart w:id="1467" w:name="_Toc4820"/>
      <w:bookmarkStart w:id="1468" w:name="_Toc5778"/>
      <w:bookmarkStart w:id="1469" w:name="_Toc855871691"/>
      <w:bookmarkStart w:id="1470" w:name="_Toc2236"/>
      <w:bookmarkStart w:id="1471" w:name="_Toc102526325"/>
      <w:r>
        <w:rPr>
          <w:rFonts w:hint="eastAsia" w:ascii="Times New Roman" w:hAnsi="Times New Roman" w:eastAsia="黑体" w:cs="Times New Roman"/>
          <w:b/>
          <w:color w:val="auto"/>
          <w:sz w:val="30"/>
          <w:highlight w:val="none"/>
          <w:lang w:val="en-US" w:eastAsia="zh-CN" w:bidi="ar-SA"/>
        </w:rPr>
        <w:t>碳管理主题分析</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0968144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包含了碳排放、碳减排、碳足迹、碳管理以及重点设备管理等。实时反映整体工艺和重点设备的运行状态、表征碳排放和碳减排水平以及梳理碳排放足迹。</w:t>
      </w:r>
    </w:p>
    <w:p w14:paraId="78E878A2">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数据采集需求</w:t>
      </w:r>
    </w:p>
    <w:p w14:paraId="3A741D9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识别碳排放源，梳理碳排放清单，应覆盖全流程主要类别的碳排放点位，确定自控数据采集范围、频率和操作逻辑。</w:t>
      </w:r>
    </w:p>
    <w:p w14:paraId="7F96EA87">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碳素实时量化核算</w:t>
      </w:r>
    </w:p>
    <w:p w14:paraId="5FAB07F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应搭载碳核算和评估算法，根据碳排放</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碳减排的类别和特征，按照核算标准结合自控数据范围分类差异化核算，根据水厂工艺特征引入评估水平、转化系数和修正因子等进行率定和校核，进一步提高核算体系的准确度和可靠性。</w:t>
      </w:r>
    </w:p>
    <w:p w14:paraId="0B392E6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碳管理管理</w:t>
      </w:r>
    </w:p>
    <w:p w14:paraId="77670C4D">
      <w:pPr>
        <w:keepLines/>
        <w:widowControl/>
        <w:spacing w:line="360" w:lineRule="auto"/>
        <w:ind w:right="220" w:firstLine="480" w:firstLineChars="200"/>
        <w:contextualSpacing/>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提供各项碳排放和碳减排的管理模块，对特征和量级分类识别管理；提供排放评估服务，可实时评估排放水平、重点排放单元等。</w:t>
      </w:r>
    </w:p>
    <w:p w14:paraId="0C8A095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472" w:name="_Toc1747"/>
      <w:bookmarkStart w:id="1473" w:name="_Toc30668"/>
      <w:bookmarkStart w:id="1474" w:name="_Toc8230"/>
      <w:bookmarkStart w:id="1475" w:name="_Toc30926"/>
      <w:bookmarkStart w:id="1476" w:name="_Toc9082"/>
      <w:bookmarkStart w:id="1477" w:name="_Toc12727"/>
      <w:r>
        <w:rPr>
          <w:rFonts w:hint="eastAsia" w:ascii="Times New Roman" w:hAnsi="Times New Roman" w:eastAsia="黑体" w:cs="Times New Roman"/>
          <w:b/>
          <w:color w:val="auto"/>
          <w:sz w:val="30"/>
          <w:highlight w:val="none"/>
          <w:lang w:val="en-US" w:eastAsia="zh-CN" w:bidi="ar-SA"/>
        </w:rPr>
        <w:t xml:space="preserve"> </w:t>
      </w:r>
      <w:bookmarkStart w:id="1478" w:name="_Toc21105"/>
      <w:bookmarkStart w:id="1479" w:name="_Toc193093640"/>
      <w:bookmarkStart w:id="1480" w:name="_Toc1405114817"/>
      <w:bookmarkStart w:id="1481" w:name="_Toc790043031"/>
      <w:bookmarkStart w:id="1482" w:name="_Toc139664857"/>
      <w:bookmarkStart w:id="1483" w:name="_Toc878059381"/>
      <w:bookmarkStart w:id="1484" w:name="_Toc29702"/>
      <w:bookmarkStart w:id="1485" w:name="_Toc22630"/>
      <w:bookmarkStart w:id="1486" w:name="_Toc6076"/>
      <w:r>
        <w:rPr>
          <w:rFonts w:hint="eastAsia" w:ascii="Times New Roman" w:hAnsi="Times New Roman" w:eastAsia="黑体" w:cs="Times New Roman"/>
          <w:b/>
          <w:color w:val="auto"/>
          <w:sz w:val="30"/>
          <w:highlight w:val="none"/>
          <w:lang w:val="en-US" w:eastAsia="zh-CN" w:bidi="ar-SA"/>
        </w:rPr>
        <w:t>生产成本管理主题分析</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5FDB9E4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调用智慧供水云平台数据，</w:t>
      </w:r>
      <w:r>
        <w:rPr>
          <w:rFonts w:ascii="宋体" w:hAnsi="宋体" w:eastAsia="宋体" w:cs="宋体"/>
          <w:color w:val="auto"/>
          <w:kern w:val="0"/>
          <w:sz w:val="24"/>
          <w:highlight w:val="none"/>
          <w:lang w:eastAsia="zh-CN"/>
        </w:rPr>
        <w:t>展示水厂整体和详细的成本/能耗情况，</w:t>
      </w:r>
      <w:r>
        <w:rPr>
          <w:rFonts w:hint="eastAsia" w:ascii="宋体" w:hAnsi="宋体" w:eastAsia="宋体" w:cs="宋体"/>
          <w:color w:val="auto"/>
          <w:kern w:val="0"/>
          <w:sz w:val="24"/>
          <w:highlight w:val="none"/>
          <w:lang w:val="en-US" w:eastAsia="zh-CN"/>
        </w:rPr>
        <w:t>同时可下钻到各具体工艺单元的运行参数情况，</w:t>
      </w:r>
      <w:r>
        <w:rPr>
          <w:rFonts w:ascii="宋体" w:hAnsi="宋体" w:eastAsia="宋体" w:cs="宋体"/>
          <w:color w:val="auto"/>
          <w:kern w:val="0"/>
          <w:sz w:val="24"/>
          <w:highlight w:val="none"/>
          <w:lang w:eastAsia="zh-CN"/>
        </w:rPr>
        <w:t>实现对水厂</w:t>
      </w:r>
      <w:r>
        <w:rPr>
          <w:rFonts w:hint="eastAsia" w:ascii="宋体" w:hAnsi="宋体" w:eastAsia="宋体" w:cs="宋体"/>
          <w:color w:val="auto"/>
          <w:kern w:val="0"/>
          <w:sz w:val="24"/>
          <w:highlight w:val="none"/>
          <w:lang w:val="en-US" w:eastAsia="zh-CN"/>
        </w:rPr>
        <w:t>综合</w:t>
      </w:r>
      <w:r>
        <w:rPr>
          <w:rFonts w:ascii="宋体" w:hAnsi="宋体" w:eastAsia="宋体" w:cs="宋体"/>
          <w:color w:val="auto"/>
          <w:kern w:val="0"/>
          <w:sz w:val="24"/>
          <w:highlight w:val="none"/>
          <w:lang w:eastAsia="zh-CN"/>
        </w:rPr>
        <w:t>运营成本/能耗的多维度统计分析，实现成本可视化、管理精细化，可以直观的查看整体的生产经营数据，了解水厂的真实情况</w:t>
      </w:r>
      <w:r>
        <w:rPr>
          <w:rFonts w:hint="eastAsia" w:ascii="宋体" w:hAnsi="宋体" w:eastAsia="宋体" w:cs="宋体"/>
          <w:color w:val="auto"/>
          <w:kern w:val="0"/>
          <w:sz w:val="24"/>
          <w:highlight w:val="none"/>
          <w:lang w:eastAsia="zh-CN"/>
        </w:rPr>
        <w:t>，</w:t>
      </w:r>
      <w:r>
        <w:rPr>
          <w:rFonts w:ascii="宋体" w:hAnsi="宋体" w:eastAsia="宋体" w:cs="宋体"/>
          <w:color w:val="auto"/>
          <w:kern w:val="0"/>
          <w:sz w:val="24"/>
          <w:highlight w:val="none"/>
          <w:lang w:eastAsia="zh-CN"/>
        </w:rPr>
        <w:t>进一步的实现节能降耗的目标。</w:t>
      </w:r>
    </w:p>
    <w:p w14:paraId="41163446">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对生产全流程水成本、电成本、药成本实时数据统计分析，提供各个维度的关键成本展示、能耗趋势、成本趋势同环比分析图、千方水单耗分析、千方水成本分析等，展示水厂整体能效情况，实现节能减排、安全用电、科学用药的目的，</w:t>
      </w:r>
      <w:r>
        <w:rPr>
          <w:rFonts w:hint="eastAsia" w:ascii="宋体" w:hAnsi="宋体" w:eastAsia="宋体" w:cs="宋体"/>
          <w:color w:val="auto"/>
          <w:kern w:val="0"/>
          <w:sz w:val="24"/>
          <w:highlight w:val="none"/>
          <w:lang w:val="en-US" w:eastAsia="zh-CN"/>
        </w:rPr>
        <w:t>评估各工艺单元智能控制质量，</w:t>
      </w:r>
      <w:r>
        <w:rPr>
          <w:rFonts w:ascii="宋体" w:hAnsi="宋体" w:eastAsia="宋体" w:cs="宋体"/>
          <w:color w:val="auto"/>
          <w:kern w:val="0"/>
          <w:sz w:val="24"/>
          <w:highlight w:val="none"/>
          <w:lang w:eastAsia="zh-CN"/>
        </w:rPr>
        <w:t>为决策者提供优化方案的依据</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从而调整采取更有效的生产成本控制措施</w:t>
      </w:r>
      <w:r>
        <w:rPr>
          <w:rFonts w:ascii="宋体" w:hAnsi="宋体" w:eastAsia="宋体" w:cs="宋体"/>
          <w:color w:val="auto"/>
          <w:kern w:val="0"/>
          <w:sz w:val="24"/>
          <w:highlight w:val="none"/>
          <w:lang w:eastAsia="zh-CN"/>
        </w:rPr>
        <w:t>。</w:t>
      </w:r>
    </w:p>
    <w:p w14:paraId="537CA2D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宋体" w:hAnsi="宋体" w:eastAsia="宋体" w:cs="宋体"/>
          <w:color w:val="auto"/>
          <w:kern w:val="0"/>
          <w:sz w:val="24"/>
          <w:highlight w:val="none"/>
          <w:lang w:eastAsia="zh-CN"/>
        </w:rPr>
        <w:t>以水厂维度，提供水厂成本/能耗详细数据展示，最小颗粒度到天，可查看/对比每日、每月、每年的详细数据和汇总数据（仅限成本），严控水厂成本，达到精细化监控与管理的目的。</w:t>
      </w:r>
    </w:p>
    <w:p w14:paraId="3A17B289">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487" w:name="_Toc4647"/>
      <w:bookmarkStart w:id="1488" w:name="_Toc20739"/>
      <w:bookmarkStart w:id="1489" w:name="_Toc23527"/>
      <w:bookmarkStart w:id="1490" w:name="_Toc8924"/>
      <w:bookmarkStart w:id="1491" w:name="_Toc17536"/>
      <w:bookmarkStart w:id="1492" w:name="_Toc24195"/>
      <w:r>
        <w:rPr>
          <w:rFonts w:hint="eastAsia" w:ascii="Arial" w:hAnsi="Arial" w:eastAsia="黑体" w:cs="Times New Roman"/>
          <w:b/>
          <w:color w:val="auto"/>
          <w:sz w:val="32"/>
          <w:highlight w:val="none"/>
          <w:lang w:val="en-US" w:eastAsia="zh-CN" w:bidi="ar-SA"/>
        </w:rPr>
        <w:t xml:space="preserve"> </w:t>
      </w:r>
      <w:bookmarkStart w:id="1493" w:name="_Toc23214"/>
      <w:bookmarkStart w:id="1494" w:name="_Toc2034546907"/>
      <w:bookmarkStart w:id="1495" w:name="_Toc25987"/>
      <w:bookmarkStart w:id="1496" w:name="_Toc6723"/>
      <w:bookmarkStart w:id="1497" w:name="_Toc2118912717"/>
      <w:bookmarkStart w:id="1498" w:name="_Toc193093641"/>
      <w:bookmarkStart w:id="1499" w:name="_Toc36394283"/>
      <w:bookmarkStart w:id="1500" w:name="_Toc147625428"/>
      <w:bookmarkStart w:id="1501" w:name="_Toc10773"/>
      <w:r>
        <w:rPr>
          <w:rFonts w:ascii="Arial" w:hAnsi="Arial" w:eastAsia="黑体" w:cs="Times New Roman"/>
          <w:b/>
          <w:color w:val="auto"/>
          <w:sz w:val="32"/>
          <w:highlight w:val="none"/>
          <w:lang w:val="en-US" w:eastAsia="zh-CN" w:bidi="ar-SA"/>
        </w:rPr>
        <w:t>智慧决策模块</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76F502C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502" w:name="_Toc20242"/>
      <w:bookmarkStart w:id="1503" w:name="_Toc247754768"/>
      <w:bookmarkStart w:id="1504" w:name="_Toc1793358633"/>
      <w:bookmarkStart w:id="1505" w:name="_Toc796956111"/>
      <w:bookmarkStart w:id="1506" w:name="_Toc193093642"/>
      <w:bookmarkStart w:id="1507" w:name="_Toc17824"/>
      <w:bookmarkStart w:id="1508" w:name="_Toc28963"/>
      <w:r>
        <w:rPr>
          <w:rFonts w:hint="eastAsia" w:ascii="Times New Roman" w:hAnsi="Times New Roman" w:eastAsia="黑体" w:cs="Times New Roman"/>
          <w:b/>
          <w:color w:val="auto"/>
          <w:sz w:val="30"/>
          <w:highlight w:val="none"/>
          <w:lang w:val="en-US" w:eastAsia="zh-CN" w:bidi="ar-SA"/>
        </w:rPr>
        <w:t>概述</w:t>
      </w:r>
      <w:bookmarkEnd w:id="1502"/>
      <w:bookmarkEnd w:id="1503"/>
      <w:bookmarkEnd w:id="1504"/>
      <w:bookmarkEnd w:id="1505"/>
      <w:bookmarkEnd w:id="1506"/>
      <w:bookmarkEnd w:id="1507"/>
      <w:bookmarkEnd w:id="1508"/>
    </w:p>
    <w:p w14:paraId="2D537AA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要求融合智慧供水云平台和本项目实施过程中形成信息化基础设施、开发工具和支撑引擎、数据资源和业务应用服务等信息化资源，完善北部水厂数据模型，统一数据管理，保证北部水厂的各类数据与实际生产工艺响应的同步和一致性，提升水厂仿真、人工智能算法、生产和运营处理逻辑等方面的运用精准度，提升智慧决策水平。</w:t>
      </w:r>
    </w:p>
    <w:p w14:paraId="650505A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从不同层级管理者的需求出发，综合利用相应的工具和引擎，开发、组织、封装相应的功能，应用不同数据集，结合用户权限管理，对水厂进行描述、诊断、预测、决策形成智慧决策模块。</w:t>
      </w:r>
    </w:p>
    <w:p w14:paraId="1C4148D2">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509" w:name="_Toc1836"/>
      <w:bookmarkStart w:id="1510" w:name="_Toc6852"/>
      <w:bookmarkStart w:id="1511" w:name="_Toc7582"/>
      <w:bookmarkStart w:id="1512" w:name="_Toc22721"/>
      <w:bookmarkStart w:id="1513" w:name="_Toc18107"/>
      <w:bookmarkStart w:id="1514" w:name="_Toc22221"/>
      <w:r>
        <w:rPr>
          <w:rFonts w:hint="eastAsia" w:ascii="Times New Roman" w:hAnsi="Times New Roman" w:eastAsia="黑体" w:cs="Times New Roman"/>
          <w:b/>
          <w:color w:val="auto"/>
          <w:sz w:val="30"/>
          <w:highlight w:val="none"/>
          <w:lang w:val="en-US" w:eastAsia="zh-CN" w:bidi="ar-SA"/>
        </w:rPr>
        <w:t xml:space="preserve"> </w:t>
      </w:r>
      <w:bookmarkStart w:id="1515" w:name="_Toc30286"/>
      <w:bookmarkStart w:id="1516" w:name="_Toc43594243"/>
      <w:bookmarkStart w:id="1517" w:name="_Toc27672"/>
      <w:bookmarkStart w:id="1518" w:name="_Toc27056"/>
      <w:bookmarkStart w:id="1519" w:name="_Toc31885"/>
      <w:bookmarkStart w:id="1520" w:name="_Toc134447009"/>
      <w:bookmarkStart w:id="1521" w:name="_Toc193093643"/>
      <w:bookmarkStart w:id="1522" w:name="_Toc1045559186"/>
      <w:bookmarkStart w:id="1523" w:name="_Toc585851238"/>
      <w:r>
        <w:rPr>
          <w:rFonts w:hint="eastAsia" w:ascii="Times New Roman" w:hAnsi="Times New Roman" w:eastAsia="黑体" w:cs="Times New Roman"/>
          <w:b/>
          <w:color w:val="auto"/>
          <w:sz w:val="30"/>
          <w:highlight w:val="none"/>
          <w:lang w:val="en-US" w:eastAsia="zh-CN" w:bidi="ar-SA"/>
        </w:rPr>
        <w:t>数字孪生</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63E8196E">
      <w:pPr>
        <w:pStyle w:val="35"/>
        <w:widowControl/>
        <w:spacing w:line="360" w:lineRule="auto"/>
        <w:ind w:firstLine="480"/>
        <w:rPr>
          <w:rFonts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val="en-US" w:eastAsia="zh-CN"/>
        </w:rPr>
        <w:t>数字孪生</w:t>
      </w:r>
      <w:r>
        <w:rPr>
          <w:rFonts w:hint="eastAsia" w:ascii="Times New Roman" w:hAnsi="Times New Roman" w:eastAsia="宋体" w:cs="Times New Roman"/>
          <w:color w:val="auto"/>
          <w:kern w:val="0"/>
          <w:sz w:val="24"/>
          <w:highlight w:val="none"/>
          <w:lang w:val="zh-CN" w:eastAsia="zh-CN"/>
        </w:rPr>
        <w:t>模块可以调用不同</w:t>
      </w:r>
      <w:r>
        <w:rPr>
          <w:rFonts w:hint="eastAsia" w:ascii="Times New Roman" w:hAnsi="Times New Roman" w:eastAsia="宋体" w:cs="Times New Roman"/>
          <w:color w:val="auto"/>
          <w:kern w:val="0"/>
          <w:sz w:val="24"/>
          <w:highlight w:val="none"/>
          <w:lang w:val="en-US" w:eastAsia="zh-CN"/>
        </w:rPr>
        <w:t>图形服务</w:t>
      </w:r>
      <w:r>
        <w:rPr>
          <w:rFonts w:hint="eastAsia" w:ascii="Times New Roman" w:hAnsi="Times New Roman" w:eastAsia="宋体" w:cs="Times New Roman"/>
          <w:color w:val="auto"/>
          <w:kern w:val="0"/>
          <w:sz w:val="24"/>
          <w:highlight w:val="none"/>
          <w:lang w:val="zh-CN" w:eastAsia="zh-CN"/>
        </w:rPr>
        <w:t>引擎，切换工艺流程图/二维平面/三维等空间展示模式，采用相同</w:t>
      </w:r>
      <w:r>
        <w:rPr>
          <w:rFonts w:hint="eastAsia" w:ascii="Times New Roman" w:hAnsi="Times New Roman" w:eastAsia="宋体" w:cs="Times New Roman"/>
          <w:color w:val="auto"/>
          <w:kern w:val="0"/>
          <w:sz w:val="24"/>
          <w:highlight w:val="none"/>
          <w:lang w:val="en-US" w:eastAsia="zh-CN"/>
        </w:rPr>
        <w:t>的</w:t>
      </w:r>
      <w:r>
        <w:rPr>
          <w:rFonts w:hint="eastAsia" w:ascii="Times New Roman" w:hAnsi="Times New Roman" w:eastAsia="宋体" w:cs="Times New Roman"/>
          <w:color w:val="auto"/>
          <w:kern w:val="0"/>
          <w:sz w:val="24"/>
          <w:highlight w:val="none"/>
          <w:lang w:val="zh-CN" w:eastAsia="zh-CN"/>
        </w:rPr>
        <w:t>数据模型、多层数据仓库等数据源，支撑北部水厂数据的多维全景式数据展示。</w:t>
      </w:r>
      <w:r>
        <w:rPr>
          <w:rFonts w:hint="eastAsia" w:ascii="Times New Roman" w:hAnsi="Times New Roman" w:eastAsia="宋体" w:cs="Times New Roman"/>
          <w:color w:val="auto"/>
          <w:kern w:val="0"/>
          <w:sz w:val="24"/>
          <w:highlight w:val="none"/>
          <w:lang w:val="en-US" w:eastAsia="zh-CN"/>
        </w:rPr>
        <w:t>数字孪生模块以直观友好的交互体验，以虚实结合的二三维展示方式，为用户做出综合性、</w:t>
      </w:r>
      <w:r>
        <w:rPr>
          <w:rFonts w:hint="eastAsia" w:ascii="Times New Roman" w:hAnsi="Times New Roman" w:eastAsia="宋体" w:cs="Times New Roman"/>
          <w:color w:val="auto"/>
          <w:kern w:val="0"/>
          <w:sz w:val="24"/>
          <w:highlight w:val="none"/>
          <w:lang w:val="zh-CN" w:eastAsia="zh-CN"/>
        </w:rPr>
        <w:t>前瞻性</w:t>
      </w:r>
      <w:r>
        <w:rPr>
          <w:rFonts w:hint="eastAsia" w:ascii="Times New Roman" w:hAnsi="Times New Roman" w:eastAsia="宋体" w:cs="Times New Roman"/>
          <w:color w:val="auto"/>
          <w:kern w:val="0"/>
          <w:sz w:val="24"/>
          <w:highlight w:val="none"/>
          <w:lang w:val="en-US" w:eastAsia="zh-CN"/>
        </w:rPr>
        <w:t>法的</w:t>
      </w:r>
      <w:r>
        <w:rPr>
          <w:rFonts w:hint="eastAsia" w:ascii="Times New Roman" w:hAnsi="Times New Roman" w:eastAsia="宋体" w:cs="Times New Roman"/>
          <w:color w:val="auto"/>
          <w:kern w:val="0"/>
          <w:sz w:val="24"/>
          <w:highlight w:val="none"/>
          <w:lang w:val="zh-CN" w:eastAsia="zh-CN"/>
        </w:rPr>
        <w:t>预演</w:t>
      </w:r>
      <w:r>
        <w:rPr>
          <w:rFonts w:hint="eastAsia" w:ascii="Times New Roman" w:hAnsi="Times New Roman" w:eastAsia="宋体" w:cs="Times New Roman"/>
          <w:color w:val="auto"/>
          <w:kern w:val="0"/>
          <w:sz w:val="24"/>
          <w:highlight w:val="none"/>
          <w:lang w:val="en-US" w:eastAsia="zh-CN"/>
        </w:rPr>
        <w:t>和展示</w:t>
      </w:r>
      <w:r>
        <w:rPr>
          <w:rFonts w:hint="eastAsia" w:ascii="Times New Roman" w:hAnsi="Times New Roman" w:eastAsia="宋体" w:cs="Times New Roman"/>
          <w:color w:val="auto"/>
          <w:kern w:val="0"/>
          <w:sz w:val="24"/>
          <w:highlight w:val="none"/>
          <w:lang w:val="zh-CN" w:eastAsia="zh-CN"/>
        </w:rPr>
        <w:t>，</w:t>
      </w:r>
      <w:r>
        <w:rPr>
          <w:rFonts w:hint="eastAsia" w:ascii="Times New Roman" w:hAnsi="Times New Roman" w:eastAsia="宋体" w:cs="Times New Roman"/>
          <w:color w:val="auto"/>
          <w:kern w:val="0"/>
          <w:sz w:val="24"/>
          <w:highlight w:val="none"/>
          <w:lang w:val="en-US" w:eastAsia="zh-CN"/>
        </w:rPr>
        <w:t>从中</w:t>
      </w:r>
      <w:r>
        <w:rPr>
          <w:rFonts w:hint="eastAsia" w:ascii="Times New Roman" w:hAnsi="Times New Roman" w:eastAsia="宋体" w:cs="Times New Roman"/>
          <w:color w:val="auto"/>
          <w:kern w:val="0"/>
          <w:sz w:val="24"/>
          <w:highlight w:val="none"/>
          <w:lang w:val="zh-CN" w:eastAsia="zh-CN"/>
        </w:rPr>
        <w:t>发现问题、优化方案，保障决策的安全性、科学性、有效性。</w:t>
      </w:r>
      <w:r>
        <w:rPr>
          <w:rFonts w:hint="eastAsia" w:ascii="Times New Roman" w:hAnsi="Times New Roman" w:eastAsia="宋体" w:cs="Times New Roman"/>
          <w:color w:val="auto"/>
          <w:kern w:val="0"/>
          <w:sz w:val="24"/>
          <w:highlight w:val="none"/>
          <w:lang w:val="en-US" w:eastAsia="zh-CN"/>
        </w:rPr>
        <w:t>通过</w:t>
      </w:r>
      <w:r>
        <w:rPr>
          <w:rFonts w:hint="eastAsia" w:ascii="Times New Roman" w:hAnsi="Times New Roman" w:eastAsia="宋体" w:cs="Times New Roman"/>
          <w:color w:val="auto"/>
          <w:kern w:val="0"/>
          <w:sz w:val="24"/>
          <w:highlight w:val="none"/>
          <w:lang w:val="zh-CN" w:eastAsia="zh-CN"/>
        </w:rPr>
        <w:t>加载不同数据源，</w:t>
      </w:r>
      <w:r>
        <w:rPr>
          <w:rFonts w:hint="eastAsia" w:ascii="Times New Roman" w:hAnsi="Times New Roman" w:eastAsia="宋体" w:cs="Times New Roman"/>
          <w:color w:val="auto"/>
          <w:kern w:val="0"/>
          <w:sz w:val="24"/>
          <w:highlight w:val="none"/>
          <w:lang w:val="en-US" w:eastAsia="zh-CN"/>
        </w:rPr>
        <w:t>编排</w:t>
      </w:r>
      <w:r>
        <w:rPr>
          <w:rFonts w:hint="eastAsia" w:ascii="Times New Roman" w:hAnsi="Times New Roman" w:eastAsia="宋体" w:cs="Times New Roman"/>
          <w:color w:val="auto"/>
          <w:kern w:val="0"/>
          <w:sz w:val="24"/>
          <w:highlight w:val="none"/>
          <w:lang w:val="zh-CN" w:eastAsia="zh-CN"/>
        </w:rPr>
        <w:t>功能服务等方式，形成生产展示、沙盘推演、培训模式、参观展示、智慧安防等不同场景应用，服务于智慧水厂全面管理。</w:t>
      </w:r>
    </w:p>
    <w:p w14:paraId="3DAD2FCB">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构筑数字孪生一体化平台</w:t>
      </w:r>
    </w:p>
    <w:p w14:paraId="456D89F3">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一体化平台包括空间数据管理中心、场景编辑平台、数字孪生引擎、三维可视化平台，可以提供三维模型开发、空间分析、拓扑处理、网络分析等功能服务，支持多种数据源混合叠加综合展示，满足三维模型的渲染呈现；支持三维模型与BIM无缝切换、二三维联动展示，支持后台水务数据与前端展示界面联动。</w:t>
      </w:r>
    </w:p>
    <w:p w14:paraId="6C80143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数字孪生一体化平台能支撑多源数据整合，能</w:t>
      </w:r>
      <w:r>
        <w:rPr>
          <w:rFonts w:ascii="Times New Roman" w:hAnsi="Times New Roman" w:eastAsia="宋体" w:cs="Times New Roman"/>
          <w:color w:val="auto"/>
          <w:kern w:val="0"/>
          <w:sz w:val="24"/>
          <w:highlight w:val="none"/>
          <w:lang w:eastAsia="zh-CN"/>
        </w:rPr>
        <w:t>提供多维多时空尺度数据汇聚、清洗、转换、共享展示、计算、更新等服务能力，</w:t>
      </w:r>
      <w:r>
        <w:rPr>
          <w:rFonts w:hint="eastAsia" w:ascii="Times New Roman" w:hAnsi="Times New Roman" w:eastAsia="宋体" w:cs="Times New Roman"/>
          <w:color w:val="auto"/>
          <w:kern w:val="0"/>
          <w:sz w:val="24"/>
          <w:highlight w:val="none"/>
          <w:lang w:eastAsia="zh-CN"/>
        </w:rPr>
        <w:t>构筑多类型多层次数据仓库；实现数据清洗、标准化治理、数据服务、应用服务。</w:t>
      </w:r>
    </w:p>
    <w:p w14:paraId="314C19A1">
      <w:pPr>
        <w:spacing w:line="360" w:lineRule="auto"/>
        <w:ind w:firstLine="480" w:firstLineChars="200"/>
        <w:jc w:val="left"/>
        <w:rPr>
          <w:rFonts w:ascii="Times New Roman" w:hAnsi="Times New Roman" w:eastAsia="宋体" w:cs="Times New Roman"/>
          <w:color w:val="auto"/>
          <w:sz w:val="24"/>
          <w:highlight w:val="none"/>
          <w:lang w:val="en-US" w:eastAsia="zh-CN" w:bidi="ar-SA"/>
        </w:rPr>
      </w:pPr>
      <w:r>
        <w:rPr>
          <w:rFonts w:hint="eastAsia" w:ascii="Times New Roman" w:hAnsi="Times New Roman" w:eastAsia="宋体" w:cs="Times New Roman"/>
          <w:color w:val="auto"/>
          <w:sz w:val="24"/>
          <w:highlight w:val="none"/>
          <w:lang w:val="en-US" w:eastAsia="zh-CN" w:bidi="ar-SA"/>
        </w:rPr>
        <w:t>提供模型轻量化引擎，支持多种模型格式（支持DEM、TIFF等主流DEM数据格式，0SGB、0BJ、FBX、STL、3DS等主流倾斜摄影数据格式，PCD、PLY、TXT、LAS、STL等主流激光点云数据格式，DWG、DXF、DWF、DGN、PLN、RVT、STEP等主流BIM数据格式），提供格式转换及文件上传、处理选项选择和结果下载的功能。可以优化模型并在多个平台上运行，能够更好地应用于广泛的场景。</w:t>
      </w:r>
    </w:p>
    <w:p w14:paraId="61ABC0D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数字孪生一体化平台采用B</w:t>
      </w:r>
      <w:r>
        <w:rPr>
          <w:rFonts w:ascii="Times New Roman" w:hAnsi="Times New Roman" w:eastAsia="宋体" w:cs="Times New Roman"/>
          <w:color w:val="auto"/>
          <w:kern w:val="0"/>
          <w:sz w:val="24"/>
          <w:highlight w:val="none"/>
          <w:lang w:eastAsia="zh-CN"/>
        </w:rPr>
        <w:t>/S</w:t>
      </w:r>
      <w:r>
        <w:rPr>
          <w:rFonts w:hint="eastAsia" w:ascii="Times New Roman" w:hAnsi="Times New Roman" w:eastAsia="宋体" w:cs="Times New Roman"/>
          <w:color w:val="auto"/>
          <w:kern w:val="0"/>
          <w:sz w:val="24"/>
          <w:highlight w:val="none"/>
          <w:lang w:eastAsia="zh-CN"/>
        </w:rPr>
        <w:t>架构提供Web软件应用服务，需要提供数据加载、场景管理、仿真建模、空间分析、仿真计算调用、三维渲染、特效处理、模型轻量化等服务能力，实现水厂生产过程高度仿真模拟，在自主生产、生产预判、工艺推演、决策指挥、员工培训等方面发挥作用。</w:t>
      </w:r>
    </w:p>
    <w:p w14:paraId="67B178D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空间数据管理中心可支撑多源数据整合，提供多维多时空尺度数据汇聚、清洗、转换、共享展示、计算、更新等服务，构筑多类型多层次数据仓库，实现数据治理与应用服务，其模型轻量化引擎支持多种主流模型格式，具备格式转换、文件上传、处理选项选择、结果下载功能，能优化模型以适配多平台广泛应用场景。</w:t>
      </w:r>
    </w:p>
    <w:p w14:paraId="355D66CC">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场景编辑平台能支持参数建模，允许用户通过调整诸如尺寸、角度、位置、颜色、材质属性、</w:t>
      </w:r>
      <w:r>
        <w:rPr>
          <w:rFonts w:hint="eastAsia" w:ascii="Times New Roman" w:hAnsi="Times New Roman" w:eastAsia="宋体" w:cs="Times New Roman"/>
          <w:color w:val="auto"/>
          <w:kern w:val="0"/>
          <w:sz w:val="24"/>
          <w:highlight w:val="none"/>
          <w:lang w:val="en-US" w:eastAsia="zh-CN"/>
        </w:rPr>
        <w:t>光照</w:t>
      </w:r>
      <w:r>
        <w:rPr>
          <w:rFonts w:hint="eastAsia" w:ascii="Times New Roman" w:hAnsi="Times New Roman" w:eastAsia="宋体" w:cs="Times New Roman"/>
          <w:color w:val="auto"/>
          <w:kern w:val="0"/>
          <w:sz w:val="24"/>
          <w:highlight w:val="none"/>
          <w:lang w:eastAsia="zh-CN"/>
        </w:rPr>
        <w:t>等一系列预定义参数，来创建和修改几何形状或系统，模型的关键特征由这些数值参数控制，用户借此可快速迭代设计，而无需重新构建模型；模型编辑则支持在维持模型整体结构不变的前提下，对特定区域或部分进行修改、细化，或创建新的几何细节，例如在水网局部改造中可单独编辑或替换模型组件，如更换水泵样式，且不影响整个模型。</w:t>
      </w:r>
    </w:p>
    <w:p w14:paraId="0E7FC2F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引擎采用B/S架构云端像素流渲染技术，支持WebStreaming云渲染等主流模型运行，渲染流支持常用视频编码类型，兼容目前主流的浏览器版本，支持跨平台访问，包括PC、平板电脑及中控大屏，能够自适应不同尺寸和比例的终端设备，支持自定义分辨率和自适应码率。</w:t>
      </w:r>
    </w:p>
    <w:p w14:paraId="5C637AE5">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应采用微服务、分布式、负载均衡等技术保证平台的扩展性、稳定性和高效性，应采用先进而成熟的技术方案以提高运行性能。平均访问响应时间不超过3秒，批量操作响应时间不超过8秒</w:t>
      </w:r>
      <w:r>
        <w:rPr>
          <w:rFonts w:ascii="Times New Roman" w:hAnsi="Times New Roman" w:eastAsia="宋体" w:cs="Times New Roman"/>
          <w:color w:val="auto"/>
          <w:kern w:val="0"/>
          <w:sz w:val="24"/>
          <w:highlight w:val="none"/>
          <w:lang w:eastAsia="zh-CN"/>
        </w:rPr>
        <w:t>。支持</w:t>
      </w:r>
      <w:r>
        <w:rPr>
          <w:rFonts w:hint="eastAsia" w:ascii="Times New Roman" w:hAnsi="Times New Roman" w:eastAsia="宋体" w:cs="Times New Roman"/>
          <w:color w:val="auto"/>
          <w:kern w:val="0"/>
          <w:sz w:val="24"/>
          <w:highlight w:val="none"/>
          <w:lang w:eastAsia="zh-CN"/>
        </w:rPr>
        <w:t>国产</w:t>
      </w:r>
      <w:r>
        <w:rPr>
          <w:rFonts w:ascii="Times New Roman" w:hAnsi="Times New Roman" w:eastAsia="宋体" w:cs="Times New Roman"/>
          <w:color w:val="auto"/>
          <w:kern w:val="0"/>
          <w:sz w:val="24"/>
          <w:highlight w:val="none"/>
          <w:lang w:eastAsia="zh-CN"/>
        </w:rPr>
        <w:t>主流数据库</w:t>
      </w:r>
      <w:r>
        <w:rPr>
          <w:rFonts w:hint="eastAsia" w:ascii="Times New Roman" w:hAnsi="Times New Roman" w:eastAsia="宋体" w:cs="Times New Roman"/>
          <w:color w:val="auto"/>
          <w:kern w:val="0"/>
          <w:sz w:val="24"/>
          <w:highlight w:val="none"/>
          <w:lang w:eastAsia="zh-CN"/>
        </w:rPr>
        <w:t>软件，</w:t>
      </w:r>
      <w:r>
        <w:rPr>
          <w:rFonts w:ascii="Times New Roman" w:hAnsi="Times New Roman" w:eastAsia="宋体" w:cs="Times New Roman"/>
          <w:color w:val="auto"/>
          <w:kern w:val="0"/>
          <w:sz w:val="24"/>
          <w:highlight w:val="none"/>
          <w:lang w:eastAsia="zh-CN"/>
        </w:rPr>
        <w:t>无需安装任何插件</w:t>
      </w:r>
      <w:r>
        <w:rPr>
          <w:rFonts w:hint="eastAsia" w:ascii="Times New Roman" w:hAnsi="Times New Roman" w:eastAsia="宋体" w:cs="Times New Roman"/>
          <w:color w:val="auto"/>
          <w:kern w:val="0"/>
          <w:sz w:val="24"/>
          <w:highlight w:val="none"/>
          <w:lang w:eastAsia="zh-CN"/>
        </w:rPr>
        <w:t>即可</w:t>
      </w:r>
      <w:r>
        <w:rPr>
          <w:rFonts w:ascii="Times New Roman" w:hAnsi="Times New Roman" w:eastAsia="宋体" w:cs="Times New Roman"/>
          <w:color w:val="auto"/>
          <w:kern w:val="0"/>
          <w:sz w:val="24"/>
          <w:highlight w:val="none"/>
          <w:lang w:eastAsia="zh-CN"/>
        </w:rPr>
        <w:t>在浏览器端</w:t>
      </w:r>
      <w:r>
        <w:rPr>
          <w:rFonts w:hint="eastAsia" w:ascii="Times New Roman" w:hAnsi="Times New Roman" w:eastAsia="宋体" w:cs="Times New Roman"/>
          <w:color w:val="auto"/>
          <w:kern w:val="0"/>
          <w:sz w:val="24"/>
          <w:highlight w:val="none"/>
          <w:lang w:eastAsia="zh-CN"/>
        </w:rPr>
        <w:t>打开。</w:t>
      </w:r>
    </w:p>
    <w:p w14:paraId="0725BE5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空间数据管理中心</w:t>
      </w:r>
    </w:p>
    <w:p w14:paraId="3C17DAA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能支撑多源数据整合，能</w:t>
      </w:r>
      <w:r>
        <w:rPr>
          <w:rFonts w:ascii="Times New Roman" w:hAnsi="Times New Roman" w:eastAsia="宋体" w:cs="Times New Roman"/>
          <w:color w:val="auto"/>
          <w:kern w:val="0"/>
          <w:sz w:val="24"/>
          <w:highlight w:val="none"/>
          <w:lang w:eastAsia="zh-CN"/>
        </w:rPr>
        <w:t>提供多维多时空尺度数据汇聚、清洗、转换、共享展示、计算、更新等服务能力，</w:t>
      </w:r>
      <w:r>
        <w:rPr>
          <w:rFonts w:hint="eastAsia" w:ascii="Times New Roman" w:hAnsi="Times New Roman" w:eastAsia="宋体" w:cs="Times New Roman"/>
          <w:color w:val="auto"/>
          <w:kern w:val="0"/>
          <w:sz w:val="24"/>
          <w:highlight w:val="none"/>
          <w:lang w:eastAsia="zh-CN"/>
        </w:rPr>
        <w:t>构筑多类型多层次数据仓库；实现数据清洗、标准化治理、数据服务、应用服务。</w:t>
      </w:r>
    </w:p>
    <w:p w14:paraId="5A313C9F">
      <w:pPr>
        <w:spacing w:line="360" w:lineRule="auto"/>
        <w:ind w:firstLine="480" w:firstLineChars="200"/>
        <w:jc w:val="left"/>
        <w:rPr>
          <w:rFonts w:hint="eastAsia" w:ascii="Times New Roman" w:hAnsi="Times New Roman" w:eastAsia="宋体" w:cs="Times New Roman"/>
          <w:color w:val="auto"/>
          <w:sz w:val="24"/>
          <w:highlight w:val="none"/>
          <w:lang w:val="en-US" w:eastAsia="zh-CN" w:bidi="ar-SA"/>
        </w:rPr>
      </w:pPr>
      <w:r>
        <w:rPr>
          <w:rFonts w:hint="eastAsia" w:ascii="Times New Roman" w:hAnsi="Times New Roman" w:eastAsia="宋体" w:cs="Times New Roman"/>
          <w:color w:val="auto"/>
          <w:sz w:val="24"/>
          <w:highlight w:val="none"/>
          <w:lang w:val="en-US" w:eastAsia="zh-CN" w:bidi="ar-SA"/>
        </w:rPr>
        <w:t>提供模型轻量化引擎，支持多种模型格式（支持DEM、TIFF等主流DEM数据格式，0SGB、0BJ、FBX、STL、3DS等主流倾斜摄影数据格式，TXT、LAS、STL等主流激光点云数据格式，DWG、DXF、DWF、DGN、RVT、STEP等主流BIM数据格式），提供格式转换及文件上传、处理选项选择和结果下载的功能。可以优化模型并在多个平台上运行，能够更好地应用于广泛的场景。</w:t>
      </w:r>
    </w:p>
    <w:p w14:paraId="238802E9">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场景编辑平台</w:t>
      </w:r>
    </w:p>
    <w:p w14:paraId="2A80BC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1）参数建模：允许用户通过调整一系列预定义的参数来创建和修改几何形状或系统，模型的关键特征由数值参数控制，这些参数可以是尺寸、角度、位置、颜色、材质属性、</w:t>
      </w:r>
      <w:r>
        <w:rPr>
          <w:rFonts w:hint="eastAsia" w:ascii="Times New Roman" w:hAnsi="Times New Roman" w:eastAsia="宋体" w:cs="Times New Roman"/>
          <w:color w:val="auto"/>
          <w:kern w:val="0"/>
          <w:sz w:val="24"/>
          <w:highlight w:val="none"/>
          <w:lang w:val="en-US" w:eastAsia="zh-CN"/>
        </w:rPr>
        <w:t>光照</w:t>
      </w:r>
      <w:r>
        <w:rPr>
          <w:rFonts w:hint="eastAsia" w:ascii="Times New Roman" w:hAnsi="Times New Roman" w:eastAsia="宋体" w:cs="Times New Roman"/>
          <w:color w:val="auto"/>
          <w:kern w:val="0"/>
          <w:sz w:val="24"/>
          <w:highlight w:val="none"/>
          <w:lang w:eastAsia="zh-CN"/>
        </w:rPr>
        <w:t>等。用户可以通过修改这些参数来快速迭代设计，而无需从头开始重建模型。（提供产品功能截图）</w:t>
      </w:r>
    </w:p>
    <w:p w14:paraId="71F4696C">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模型编辑：支持在保持模型整体结构不变的情况下，对模型的某个特定区域或部分进行修改、细化或创建新的几何细节。可以单独编辑或替换模型的组件，如水网局部改造，更换水泵等样式调整，而不影响整个模型。（提供产品功能截图）</w:t>
      </w:r>
    </w:p>
    <w:p w14:paraId="1696362D">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数字孪生引擎</w:t>
      </w:r>
    </w:p>
    <w:p w14:paraId="44BCCEE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中标人须提供数字孪生引擎，与其他智慧供水云平台资源，共同构成智慧供水数字一体化平台。</w:t>
      </w:r>
    </w:p>
    <w:p w14:paraId="67CC049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引擎采用分布式容器化运行服务架构，可在多台服务器部署，支撑对云渲染服务进行容器化部署和容器化管理。允许在资源隔离的过程中，运行应用程序和其依赖项的轻量的操作系统级别的虚拟化技术，运行应用程序所需的所有必要组件可打包为单个镜像，镜像可重复使用。当镜像运行于独立的环境中，不和其他的应用共享主机操作系统的内存，CPU或磁盘，以保证容器内的进程不受容器外的进程影响。</w:t>
      </w:r>
    </w:p>
    <w:p w14:paraId="0BD1BFC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引擎应基于行业主流的编码器和网络协议实现云渲染推流，通过容器化管理的方式，对通用的算力集群资源进行动态分配和动态扩容；通过云渲染引擎服务的方式，对外提供多用户/多镜头的场景访问；通过API的方式，对云渲染引擎的光照系统、粒子系统、仿真模拟、天气系统、漫游导航、数学计算库，机理仿真等若干模块进行功能调用与二次开发；通过建立浏览器之间点对点的连接，实现视频流、音频流或者其他任意数据的传输。</w:t>
      </w:r>
    </w:p>
    <w:p w14:paraId="1C34402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数字孪生引擎需提供丰富的API接口或开发工具包，满足智慧水务的业务进行组装和应用，主要功能</w:t>
      </w:r>
      <w:r>
        <w:rPr>
          <w:rFonts w:ascii="Times New Roman" w:hAnsi="Times New Roman" w:eastAsia="宋体" w:cs="Times New Roman"/>
          <w:color w:val="auto"/>
          <w:kern w:val="0"/>
          <w:sz w:val="24"/>
          <w:highlight w:val="none"/>
          <w:lang w:eastAsia="zh-CN"/>
        </w:rPr>
        <w:t>指标</w:t>
      </w:r>
      <w:r>
        <w:rPr>
          <w:rFonts w:hint="eastAsia" w:ascii="Times New Roman" w:hAnsi="Times New Roman" w:eastAsia="宋体" w:cs="Times New Roman"/>
          <w:color w:val="auto"/>
          <w:kern w:val="0"/>
          <w:sz w:val="24"/>
          <w:highlight w:val="none"/>
          <w:lang w:eastAsia="zh-CN"/>
        </w:rPr>
        <w:t>包括但不限于下列清单：</w:t>
      </w:r>
    </w:p>
    <w:p w14:paraId="7690B48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1）支持单卡多容器多场景并发；</w:t>
      </w:r>
    </w:p>
    <w:p w14:paraId="137CC37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2）支持单场景多镜头并发；</w:t>
      </w:r>
    </w:p>
    <w:p w14:paraId="4668163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3）支持提供2k/4k高清画面不小于30帧推流；</w:t>
      </w:r>
    </w:p>
    <w:p w14:paraId="2E2D0D1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4）支持跨平台多终端多分辨率实时推流；</w:t>
      </w:r>
    </w:p>
    <w:p w14:paraId="72110A9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5）应支持国产化系统（如：麒麟、</w:t>
      </w:r>
      <w:r>
        <w:rPr>
          <w:rFonts w:ascii="Times New Roman" w:hAnsi="Times New Roman" w:eastAsia="宋体" w:cs="Times New Roman"/>
          <w:color w:val="auto"/>
          <w:kern w:val="0"/>
          <w:sz w:val="24"/>
          <w:highlight w:val="none"/>
          <w:lang w:eastAsia="zh-CN"/>
        </w:rPr>
        <w:t>统信</w:t>
      </w:r>
      <w:r>
        <w:rPr>
          <w:rFonts w:hint="eastAsia" w:ascii="Times New Roman" w:hAnsi="Times New Roman" w:eastAsia="宋体" w:cs="Times New Roman"/>
          <w:color w:val="auto"/>
          <w:kern w:val="0"/>
          <w:sz w:val="24"/>
          <w:highlight w:val="none"/>
          <w:lang w:eastAsia="zh-CN"/>
        </w:rPr>
        <w:t>、OpenEuler等操作系统）；</w:t>
      </w:r>
    </w:p>
    <w:p w14:paraId="7A68CB7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6）支持场景</w:t>
      </w:r>
      <w:r>
        <w:rPr>
          <w:rFonts w:ascii="Times New Roman" w:hAnsi="Times New Roman" w:eastAsia="宋体" w:cs="Times New Roman"/>
          <w:color w:val="auto"/>
          <w:kern w:val="0"/>
          <w:sz w:val="24"/>
          <w:highlight w:val="none"/>
          <w:lang w:eastAsia="zh-CN"/>
        </w:rPr>
        <w:t>GIS</w:t>
      </w:r>
      <w:r>
        <w:rPr>
          <w:rFonts w:hint="eastAsia" w:ascii="Times New Roman" w:hAnsi="Times New Roman" w:eastAsia="宋体" w:cs="Times New Roman"/>
          <w:color w:val="auto"/>
          <w:kern w:val="0"/>
          <w:sz w:val="24"/>
          <w:highlight w:val="none"/>
          <w:lang w:eastAsia="zh-CN"/>
        </w:rPr>
        <w:t>数据服务，场景内支持3dtiles瓦片服务渐进式加载；</w:t>
      </w:r>
    </w:p>
    <w:p w14:paraId="1F2044E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7）支持调用数字孪生引擎接口进行平台功能二次开发；</w:t>
      </w:r>
    </w:p>
    <w:p w14:paraId="5E118F7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8）支持将各类设备、标识、光照、工具、自定义的折线和多边形等要素添加到三维场景内，支持将添加的要素从场景中移除；</w:t>
      </w:r>
    </w:p>
    <w:p w14:paraId="12726EA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9）支持通过ID查询/名称查询/标签查询获取三维场景内的设备模型（或要素）对象，并控制设备（要素）对象显隐、强调显示、外观及形态改变、设备内置关节动画播放；</w:t>
      </w:r>
    </w:p>
    <w:p w14:paraId="657E75E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10</w:t>
      </w:r>
      <w:r>
        <w:rPr>
          <w:rFonts w:hint="eastAsia" w:ascii="Times New Roman" w:hAnsi="Times New Roman" w:eastAsia="宋体" w:cs="Times New Roman"/>
          <w:color w:val="auto"/>
          <w:kern w:val="0"/>
          <w:sz w:val="24"/>
          <w:highlight w:val="none"/>
          <w:lang w:eastAsia="zh-CN"/>
        </w:rPr>
        <w:t>）支持在场景内设置移动要素，支持设置要素的移动路径；</w:t>
      </w:r>
    </w:p>
    <w:p w14:paraId="2ECC4B2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w:t>
      </w:r>
      <w:r>
        <w:rPr>
          <w:rFonts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color w:val="auto"/>
          <w:kern w:val="0"/>
          <w:sz w:val="24"/>
          <w:highlight w:val="none"/>
          <w:lang w:eastAsia="zh-CN"/>
        </w:rPr>
        <w:t>）支持设置场景内要素的变换和变换动画；</w:t>
      </w:r>
    </w:p>
    <w:p w14:paraId="02B3C21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w:t>
      </w:r>
      <w:r>
        <w:rPr>
          <w:rFonts w:ascii="Times New Roman" w:hAnsi="Times New Roman" w:eastAsia="宋体" w:cs="Times New Roman"/>
          <w:color w:val="auto"/>
          <w:kern w:val="0"/>
          <w:sz w:val="24"/>
          <w:highlight w:val="none"/>
          <w:lang w:eastAsia="zh-CN"/>
        </w:rPr>
        <w:t>2</w:t>
      </w:r>
      <w:r>
        <w:rPr>
          <w:rFonts w:hint="eastAsia" w:ascii="Times New Roman" w:hAnsi="Times New Roman" w:eastAsia="宋体" w:cs="Times New Roman"/>
          <w:color w:val="auto"/>
          <w:kern w:val="0"/>
          <w:sz w:val="24"/>
          <w:highlight w:val="none"/>
          <w:lang w:eastAsia="zh-CN"/>
        </w:rPr>
        <w:t>）引擎渲染器支持设置自定义参数，参数包括：渲染清晰度、渲染画面填充类型、渲染场景帧率、渲染风格、场景颜色后处理；</w:t>
      </w:r>
    </w:p>
    <w:p w14:paraId="289234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13</w:t>
      </w:r>
      <w:r>
        <w:rPr>
          <w:rFonts w:hint="eastAsia" w:ascii="Times New Roman" w:hAnsi="Times New Roman" w:eastAsia="宋体" w:cs="Times New Roman"/>
          <w:color w:val="auto"/>
          <w:kern w:val="0"/>
          <w:sz w:val="24"/>
          <w:highlight w:val="none"/>
          <w:lang w:eastAsia="zh-CN"/>
        </w:rPr>
        <w:t>）支持通过API调用在场景中实现镜头移动、聚焦、控制朝向、位置重置、漫游及自定义漫游、持续旋转等操作，支持设置镜头控制，支持通过控制绕坐标点旋转的方式限制镜头移动范围；</w:t>
      </w:r>
    </w:p>
    <w:p w14:paraId="37CD23D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14</w:t>
      </w:r>
      <w:r>
        <w:rPr>
          <w:rFonts w:hint="eastAsia" w:ascii="Times New Roman" w:hAnsi="Times New Roman" w:eastAsia="宋体" w:cs="Times New Roman"/>
          <w:color w:val="auto"/>
          <w:kern w:val="0"/>
          <w:sz w:val="24"/>
          <w:highlight w:val="none"/>
          <w:lang w:eastAsia="zh-CN"/>
        </w:rPr>
        <w:t>）支持场景对场景内关卡进行管理和使用，包括获取、加载、移除和移除全部、隐藏和隐藏全部、显示、替换、要素爆炸（展开）、剖切；</w:t>
      </w:r>
    </w:p>
    <w:p w14:paraId="0987A0C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color w:val="auto"/>
          <w:kern w:val="0"/>
          <w:sz w:val="24"/>
          <w:highlight w:val="none"/>
          <w:lang w:eastAsia="zh-CN"/>
        </w:rPr>
        <w:t>5）坐标转换功能：支持将局部转换到同一个世界坐标功能，以确保不通模型能够正确地相互定位和交互；</w:t>
      </w:r>
    </w:p>
    <w:p w14:paraId="1B2DA23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color w:val="auto"/>
          <w:kern w:val="0"/>
          <w:sz w:val="24"/>
          <w:highlight w:val="none"/>
          <w:lang w:eastAsia="zh-CN"/>
        </w:rPr>
        <w:t>6）支持管理场景内多段线要素，可在场景中任意位置放置多段线要素，管理维度包含名称、顶点数组、材质、双面网格、线段宽度（米）、管道形态、平滑度、平面线朝向（水平/垂直）；</w:t>
      </w:r>
    </w:p>
    <w:p w14:paraId="021ECF6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17</w:t>
      </w:r>
      <w:r>
        <w:rPr>
          <w:rFonts w:hint="eastAsia" w:ascii="Times New Roman" w:hAnsi="Times New Roman" w:eastAsia="宋体" w:cs="Times New Roman"/>
          <w:color w:val="auto"/>
          <w:kern w:val="0"/>
          <w:sz w:val="24"/>
          <w:highlight w:val="none"/>
          <w:lang w:eastAsia="zh-CN"/>
        </w:rPr>
        <w:t>）支持管理场景内粒子要素，可在场景中任意位置放置粒子要素（如火焰、烟雾、水流、电流等），管理维度包括名称、样式类型、配置（包含曲线顶点、颜色、不透明度、亮度、密度、速度、宽度）；</w:t>
      </w:r>
    </w:p>
    <w:p w14:paraId="39566614">
      <w:pPr>
        <w:spacing w:line="360" w:lineRule="auto"/>
        <w:ind w:firstLine="480" w:firstLineChars="200"/>
        <w:jc w:val="left"/>
        <w:rPr>
          <w:rFonts w:ascii="Times New Roman" w:hAnsi="Times New Roman" w:eastAsia="宋体" w:cs="Times New Roman"/>
          <w:color w:val="auto"/>
          <w:sz w:val="24"/>
          <w:highlight w:val="none"/>
          <w:lang w:val="en-US" w:eastAsia="zh-CN" w:bidi="ar-SA"/>
        </w:rPr>
      </w:pPr>
      <w:r>
        <w:rPr>
          <w:rFonts w:ascii="Times New Roman" w:hAnsi="Times New Roman" w:eastAsia="宋体" w:cs="Times New Roman"/>
          <w:color w:val="auto"/>
          <w:sz w:val="24"/>
          <w:highlight w:val="none"/>
          <w:lang w:val="en-US" w:eastAsia="zh-CN" w:bidi="ar-SA"/>
        </w:rPr>
        <w:t>18</w:t>
      </w:r>
      <w:r>
        <w:rPr>
          <w:rFonts w:hint="eastAsia" w:ascii="Times New Roman" w:hAnsi="Times New Roman" w:eastAsia="宋体" w:cs="Times New Roman"/>
          <w:color w:val="auto"/>
          <w:sz w:val="24"/>
          <w:highlight w:val="none"/>
          <w:lang w:val="en-US" w:eastAsia="zh-CN" w:bidi="ar-SA"/>
        </w:rPr>
        <w:t>）模型族库建设：包含分类管理、多格式兼容、模型增删改查功能、模型上传与下载；</w:t>
      </w:r>
    </w:p>
    <w:p w14:paraId="5C72FF2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19</w:t>
      </w:r>
      <w:r>
        <w:rPr>
          <w:rFonts w:hint="eastAsia" w:ascii="Times New Roman" w:hAnsi="Times New Roman" w:eastAsia="宋体" w:cs="Times New Roman"/>
          <w:color w:val="auto"/>
          <w:kern w:val="0"/>
          <w:sz w:val="24"/>
          <w:highlight w:val="none"/>
          <w:lang w:eastAsia="zh-CN"/>
        </w:rPr>
        <w:t>）支持在场景内配置数据图要素，如数据驱动的流向图，数据图可配置属性包括名称、图类型、数据底图实例唯一标识（ID）、顶点、配置；</w:t>
      </w:r>
    </w:p>
    <w:p w14:paraId="582495D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20</w:t>
      </w:r>
      <w:r>
        <w:rPr>
          <w:rFonts w:hint="eastAsia" w:ascii="Times New Roman" w:hAnsi="Times New Roman" w:eastAsia="宋体" w:cs="Times New Roman"/>
          <w:color w:val="auto"/>
          <w:kern w:val="0"/>
          <w:sz w:val="24"/>
          <w:highlight w:val="none"/>
          <w:lang w:eastAsia="zh-CN"/>
        </w:rPr>
        <w:t>）支持加载孪生体要素，孪生体要素是一种集成了行为，数据驱动，机理模型，网格模型的高级要素类型；</w:t>
      </w:r>
    </w:p>
    <w:p w14:paraId="2CD226F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21</w:t>
      </w:r>
      <w:r>
        <w:rPr>
          <w:rFonts w:hint="eastAsia" w:ascii="Times New Roman" w:hAnsi="Times New Roman" w:eastAsia="宋体" w:cs="Times New Roman"/>
          <w:color w:val="auto"/>
          <w:kern w:val="0"/>
          <w:sz w:val="24"/>
          <w:highlight w:val="none"/>
          <w:lang w:eastAsia="zh-CN"/>
        </w:rPr>
        <w:t>）支持在场景内设置图标标识要素，用于装载标签，标识要素属性包含名称、坐标位置、类型、配置样式、可视距离（允许一直可视）、维度、吸附；</w:t>
      </w:r>
    </w:p>
    <w:p w14:paraId="29EC31E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22）支持设置场景内的光照，光照类型包括环境光、点光、矩形光；</w:t>
      </w:r>
    </w:p>
    <w:p w14:paraId="29F87B4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23）支持为三维场景配置工具，工具包含可视化测距工具、面积测量工具、可视化变换工具（控制物体移动）、场景后处理辅助调试工具、物体显示 层级设置工具、数据底图数据点击提取工具；</w:t>
      </w:r>
    </w:p>
    <w:p w14:paraId="0D5DEAD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24）智慧水厂数字孪生引擎的渲染API框架应进行通用化封装，包括对渲染引擎的通信桥接、数学计算库、相机、光照系统、粒子系统、天气系统、漫游系统、场景资源装载等模块的封装，实现打包发布，通过WebRTC协议实现对渲染引擎的信息通讯与交互，应用层通过vue2/vue3等框架初始化和调用渲染API，实现业务组装和应用。同时，智慧水厂数字孪生引擎的渲染API应具备完整体系化的说明使用文档，API文档内容应提供完整清晰的截图。</w:t>
      </w:r>
    </w:p>
    <w:p w14:paraId="0B2AD0A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孪生数据</w:t>
      </w:r>
    </w:p>
    <w:p w14:paraId="50540E6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按照数字孪生体要素，结合北部水厂数据模型，构建出与现实世界同步的数据描述。支持模型与数据中台或者物联网平台数据绑定；并且可以</w:t>
      </w:r>
      <w:r>
        <w:rPr>
          <w:rFonts w:hint="eastAsia" w:ascii="Times New Roman" w:hAnsi="Times New Roman" w:eastAsia="宋体" w:cs="Times New Roman"/>
          <w:color w:val="auto"/>
          <w:kern w:val="0"/>
          <w:sz w:val="24"/>
          <w:highlight w:val="none"/>
          <w:lang w:eastAsia="zh-CN" w:bidi="ar"/>
        </w:rPr>
        <w:t>实时地更改模型绑定的数据或属性。</w:t>
      </w:r>
      <w:r>
        <w:rPr>
          <w:rFonts w:hint="eastAsia" w:ascii="Times New Roman" w:hAnsi="Times New Roman" w:eastAsia="宋体" w:cs="Times New Roman"/>
          <w:color w:val="auto"/>
          <w:kern w:val="0"/>
          <w:sz w:val="24"/>
          <w:highlight w:val="none"/>
          <w:lang w:eastAsia="zh-CN"/>
        </w:rPr>
        <w:t>可参考“构建北部水厂数据中心”章节。</w:t>
      </w:r>
    </w:p>
    <w:p w14:paraId="099DDB84">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虚拟水厂三维模型场景技术要求</w:t>
      </w:r>
    </w:p>
    <w:p w14:paraId="67502B3C">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三维模型建模及深化技术要求</w:t>
      </w:r>
    </w:p>
    <w:p w14:paraId="01A1FE7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智慧供水数字孪生一体化平台，可接收BIM模型数据，并对</w:t>
      </w:r>
      <w:r>
        <w:rPr>
          <w:rFonts w:ascii="宋体" w:hAnsi="宋体" w:eastAsia="宋体" w:cs="宋体"/>
          <w:color w:val="auto"/>
          <w:kern w:val="0"/>
          <w:sz w:val="24"/>
          <w:highlight w:val="none"/>
          <w:lang w:eastAsia="zh-CN"/>
        </w:rPr>
        <w:t>项目</w:t>
      </w:r>
      <w:r>
        <w:rPr>
          <w:rFonts w:hint="eastAsia" w:ascii="宋体" w:hAnsi="宋体" w:eastAsia="宋体" w:cs="宋体"/>
          <w:color w:val="auto"/>
          <w:kern w:val="0"/>
          <w:sz w:val="24"/>
          <w:highlight w:val="none"/>
          <w:lang w:eastAsia="zh-CN"/>
        </w:rPr>
        <w:t>前期</w:t>
      </w:r>
      <w:r>
        <w:rPr>
          <w:rFonts w:ascii="宋体" w:hAnsi="宋体" w:eastAsia="宋体" w:cs="宋体"/>
          <w:color w:val="auto"/>
          <w:kern w:val="0"/>
          <w:sz w:val="24"/>
          <w:highlight w:val="none"/>
          <w:lang w:eastAsia="zh-CN"/>
        </w:rPr>
        <w:t>完成的</w:t>
      </w:r>
      <w:r>
        <w:rPr>
          <w:rFonts w:hint="eastAsia" w:ascii="宋体" w:hAnsi="宋体" w:eastAsia="宋体" w:cs="宋体"/>
          <w:color w:val="auto"/>
          <w:kern w:val="0"/>
          <w:sz w:val="24"/>
          <w:highlight w:val="none"/>
          <w:lang w:eastAsia="zh-CN"/>
        </w:rPr>
        <w:t>竣工模型分专业</w:t>
      </w:r>
      <w:r>
        <w:rPr>
          <w:rFonts w:ascii="宋体" w:hAnsi="宋体" w:eastAsia="宋体" w:cs="宋体"/>
          <w:color w:val="auto"/>
          <w:kern w:val="0"/>
          <w:sz w:val="24"/>
          <w:highlight w:val="none"/>
          <w:lang w:eastAsia="zh-CN"/>
        </w:rPr>
        <w:t>、分单体进行</w:t>
      </w:r>
      <w:r>
        <w:rPr>
          <w:rFonts w:hint="eastAsia" w:ascii="宋体" w:hAnsi="宋体" w:eastAsia="宋体" w:cs="宋体"/>
          <w:color w:val="auto"/>
          <w:kern w:val="0"/>
          <w:sz w:val="24"/>
          <w:highlight w:val="none"/>
          <w:lang w:eastAsia="zh-CN"/>
        </w:rPr>
        <w:t>轻量化处理，并结合GIS数据、图纸数据，结合其他数据采集手段，形成北部水厂三维高仿真模型，模型</w:t>
      </w:r>
      <w:r>
        <w:rPr>
          <w:rFonts w:ascii="宋体" w:hAnsi="宋体" w:eastAsia="宋体" w:cs="宋体"/>
          <w:color w:val="auto"/>
          <w:kern w:val="0"/>
          <w:sz w:val="24"/>
          <w:highlight w:val="none"/>
          <w:lang w:eastAsia="zh-CN"/>
        </w:rPr>
        <w:t>应包含</w:t>
      </w:r>
      <w:r>
        <w:rPr>
          <w:rFonts w:hint="eastAsia" w:ascii="宋体" w:hAnsi="宋体" w:eastAsia="宋体" w:cs="宋体"/>
          <w:color w:val="auto"/>
          <w:kern w:val="0"/>
          <w:sz w:val="24"/>
          <w:highlight w:val="none"/>
          <w:lang w:eastAsia="zh-CN"/>
        </w:rPr>
        <w:t>北部水厂一期</w:t>
      </w:r>
      <w:r>
        <w:rPr>
          <w:rFonts w:ascii="宋体" w:hAnsi="宋体" w:eastAsia="宋体" w:cs="宋体"/>
          <w:color w:val="auto"/>
          <w:kern w:val="0"/>
          <w:sz w:val="24"/>
          <w:highlight w:val="none"/>
          <w:lang w:eastAsia="zh-CN"/>
        </w:rPr>
        <w:t>及二期的所有建设范围，</w:t>
      </w:r>
      <w:r>
        <w:rPr>
          <w:rFonts w:hint="eastAsia" w:ascii="宋体" w:hAnsi="宋体" w:eastAsia="宋体" w:cs="宋体"/>
          <w:color w:val="auto"/>
          <w:kern w:val="0"/>
          <w:sz w:val="24"/>
          <w:highlight w:val="none"/>
          <w:lang w:eastAsia="zh-CN"/>
        </w:rPr>
        <w:t>设施BIM建模覆盖率应当达到100%，精度</w:t>
      </w:r>
      <w:r>
        <w:rPr>
          <w:rFonts w:hint="eastAsia" w:ascii="宋体" w:hAnsi="宋体" w:eastAsia="宋体" w:cs="宋体"/>
          <w:color w:val="auto"/>
          <w:kern w:val="0"/>
          <w:sz w:val="24"/>
          <w:highlight w:val="none"/>
          <w:lang w:eastAsia="zh-CN" w:bidi="ar"/>
        </w:rPr>
        <w:t>要求不低于LOD400的精细度。</w:t>
      </w:r>
    </w:p>
    <w:p w14:paraId="342EC6C1">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交付</w:t>
      </w:r>
      <w:r>
        <w:rPr>
          <w:rFonts w:hint="eastAsia" w:ascii="宋体" w:hAnsi="宋体" w:eastAsia="宋体" w:cs="宋体"/>
          <w:color w:val="auto"/>
          <w:kern w:val="0"/>
          <w:sz w:val="24"/>
          <w:highlight w:val="none"/>
          <w:lang w:eastAsia="zh-CN"/>
        </w:rPr>
        <w:t>的模型精度</w:t>
      </w:r>
      <w:r>
        <w:rPr>
          <w:rFonts w:ascii="宋体" w:hAnsi="宋体" w:eastAsia="宋体" w:cs="宋体"/>
          <w:color w:val="auto"/>
          <w:kern w:val="0"/>
          <w:sz w:val="24"/>
          <w:highlight w:val="none"/>
          <w:lang w:eastAsia="zh-CN"/>
        </w:rPr>
        <w:t>和信息深度</w:t>
      </w:r>
      <w:r>
        <w:rPr>
          <w:rFonts w:hint="eastAsia" w:ascii="宋体" w:hAnsi="宋体" w:eastAsia="宋体" w:cs="宋体"/>
          <w:color w:val="auto"/>
          <w:kern w:val="0"/>
          <w:sz w:val="24"/>
          <w:highlight w:val="none"/>
          <w:lang w:eastAsia="zh-CN"/>
        </w:rPr>
        <w:t>等级</w:t>
      </w:r>
      <w:r>
        <w:rPr>
          <w:rFonts w:ascii="宋体" w:hAnsi="宋体" w:eastAsia="宋体" w:cs="宋体"/>
          <w:color w:val="auto"/>
          <w:kern w:val="0"/>
          <w:sz w:val="24"/>
          <w:highlight w:val="none"/>
          <w:lang w:eastAsia="zh-CN"/>
        </w:rPr>
        <w:t>应当满足</w:t>
      </w:r>
      <w:r>
        <w:rPr>
          <w:rFonts w:hint="eastAsia" w:ascii="宋体" w:hAnsi="宋体" w:eastAsia="宋体" w:cs="宋体"/>
          <w:color w:val="auto"/>
          <w:kern w:val="0"/>
          <w:sz w:val="24"/>
          <w:highlight w:val="none"/>
          <w:lang w:eastAsia="zh-CN"/>
        </w:rPr>
        <w:t>以下</w:t>
      </w:r>
      <w:r>
        <w:rPr>
          <w:rFonts w:ascii="宋体" w:hAnsi="宋体" w:eastAsia="宋体" w:cs="宋体"/>
          <w:color w:val="auto"/>
          <w:kern w:val="0"/>
          <w:sz w:val="24"/>
          <w:highlight w:val="none"/>
          <w:lang w:eastAsia="zh-CN"/>
        </w:rPr>
        <w:t>标准：</w:t>
      </w:r>
    </w:p>
    <w:p w14:paraId="0593D527">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《建筑信息模型应用统一标准》GB/T 51212</w:t>
      </w:r>
    </w:p>
    <w:p w14:paraId="6A3F59A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《建筑信息模型分类和编码标准》GB/T51269</w:t>
      </w:r>
    </w:p>
    <w:p w14:paraId="6A89C5D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 xml:space="preserve">《广东省建筑信息模型应用统一标准》DBJT15-142 </w:t>
      </w:r>
    </w:p>
    <w:p w14:paraId="51235955">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高仿真虚拟水厂场景制作技术要求</w:t>
      </w:r>
    </w:p>
    <w:p w14:paraId="27B9C6B3">
      <w:pPr>
        <w:widowControl/>
        <w:adjustRightInd w:val="0"/>
        <w:snapToGrid w:val="0"/>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智慧水厂数字孪生引擎软件，能</w:t>
      </w:r>
      <w:r>
        <w:rPr>
          <w:rFonts w:ascii="Times New Roman" w:hAnsi="Times New Roman" w:eastAsia="宋体" w:cs="Times New Roman"/>
          <w:color w:val="auto"/>
          <w:kern w:val="0"/>
          <w:sz w:val="24"/>
          <w:highlight w:val="none"/>
          <w:lang w:eastAsia="zh-CN"/>
        </w:rPr>
        <w:t>充分</w:t>
      </w:r>
      <w:r>
        <w:rPr>
          <w:rFonts w:hint="eastAsia" w:ascii="Times New Roman" w:hAnsi="Times New Roman" w:eastAsia="宋体" w:cs="Times New Roman"/>
          <w:color w:val="auto"/>
          <w:kern w:val="0"/>
          <w:sz w:val="24"/>
          <w:highlight w:val="none"/>
          <w:lang w:eastAsia="zh-CN"/>
        </w:rPr>
        <w:t>利用</w:t>
      </w:r>
      <w:r>
        <w:rPr>
          <w:rFonts w:ascii="Times New Roman" w:hAnsi="Times New Roman" w:eastAsia="宋体" w:cs="Times New Roman"/>
          <w:color w:val="auto"/>
          <w:kern w:val="0"/>
          <w:sz w:val="24"/>
          <w:highlight w:val="none"/>
          <w:lang w:eastAsia="zh-CN"/>
        </w:rPr>
        <w:t>BIM模型，</w:t>
      </w:r>
      <w:r>
        <w:rPr>
          <w:rFonts w:hint="eastAsia" w:ascii="宋体" w:hAnsi="宋体" w:eastAsia="宋体" w:cs="宋体"/>
          <w:color w:val="auto"/>
          <w:kern w:val="0"/>
          <w:sz w:val="24"/>
          <w:highlight w:val="none"/>
          <w:lang w:eastAsia="zh-CN"/>
        </w:rPr>
        <w:t>构建实体三维模型并进行纹理贴图，同时对环境取景拍摄并进行模拟，添加光源、粒子特效等环境效果。</w:t>
      </w:r>
      <w:r>
        <w:rPr>
          <w:rFonts w:hint="eastAsia" w:ascii="宋体" w:hAnsi="宋体" w:eastAsia="宋体" w:cs="宋体"/>
          <w:bCs/>
          <w:color w:val="auto"/>
          <w:kern w:val="0"/>
          <w:sz w:val="24"/>
          <w:highlight w:val="none"/>
          <w:lang w:eastAsia="zh-CN"/>
        </w:rPr>
        <w:t>通过现场采集真实场景数据、贴图，在虚拟空间中进行完整还原，对各类设备的材质、光照、表面细节，对现场环境的动态效果、互动效果等。人员能够进入的区域人眼所能看到的场景与重要设备资产，都属于真实场景建模范围；</w:t>
      </w:r>
      <w:r>
        <w:rPr>
          <w:rFonts w:ascii="Times New Roman" w:hAnsi="Times New Roman" w:eastAsia="宋体" w:cs="Times New Roman"/>
          <w:color w:val="auto"/>
          <w:kern w:val="0"/>
          <w:sz w:val="24"/>
          <w:highlight w:val="none"/>
          <w:lang w:eastAsia="zh-CN"/>
        </w:rPr>
        <w:t>满足仿真模拟和综合展示等需要</w:t>
      </w:r>
      <w:r>
        <w:rPr>
          <w:rFonts w:hint="eastAsia" w:ascii="宋体" w:hAnsi="宋体" w:eastAsia="宋体" w:cs="宋体"/>
          <w:bCs/>
          <w:color w:val="auto"/>
          <w:kern w:val="0"/>
          <w:sz w:val="24"/>
          <w:highlight w:val="none"/>
          <w:lang w:eastAsia="zh-CN"/>
        </w:rPr>
        <w:t>不可见部分应利用工程设计图纸等进行三维模型补全，实现完整展示。</w:t>
      </w:r>
    </w:p>
    <w:p w14:paraId="4E308C3A">
      <w:pPr>
        <w:widowControl/>
        <w:adjustRightInd w:val="0"/>
        <w:snapToGrid w:val="0"/>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真实</w:t>
      </w:r>
      <w:r>
        <w:rPr>
          <w:rFonts w:ascii="宋体" w:hAnsi="宋体" w:eastAsia="宋体" w:cs="宋体"/>
          <w:bCs/>
          <w:color w:val="auto"/>
          <w:kern w:val="0"/>
          <w:sz w:val="24"/>
          <w:highlight w:val="none"/>
          <w:lang w:eastAsia="zh-CN"/>
        </w:rPr>
        <w:t>三维场景的主要参数指标：</w:t>
      </w:r>
    </w:p>
    <w:p w14:paraId="7FD952E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1、三维模型文件的重影不超过2cm；</w:t>
      </w:r>
    </w:p>
    <w:p w14:paraId="68A3243A">
      <w:pPr>
        <w:widowControl/>
        <w:spacing w:line="360" w:lineRule="auto"/>
        <w:ind w:firstLine="480" w:firstLineChars="20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zh-CN"/>
        </w:rPr>
        <w:t>2、</w:t>
      </w:r>
      <w:r>
        <w:rPr>
          <w:rFonts w:hint="eastAsia" w:ascii="宋体" w:hAnsi="宋体" w:eastAsia="宋体" w:cs="宋体"/>
          <w:color w:val="auto"/>
          <w:kern w:val="0"/>
          <w:sz w:val="24"/>
          <w:highlight w:val="none"/>
          <w:lang w:eastAsia="en-US"/>
        </w:rPr>
        <w:t>模型网格精度平均精度10mm；</w:t>
      </w:r>
    </w:p>
    <w:p w14:paraId="10690C8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3、三维模型具有精确空间坐标，与项目GIS地理</w:t>
      </w:r>
      <w:r>
        <w:rPr>
          <w:rFonts w:ascii="宋体" w:hAnsi="宋体" w:eastAsia="宋体" w:cs="宋体"/>
          <w:color w:val="auto"/>
          <w:kern w:val="0"/>
          <w:sz w:val="24"/>
          <w:highlight w:val="none"/>
          <w:lang w:eastAsia="zh-CN"/>
        </w:rPr>
        <w:t>坐标</w:t>
      </w:r>
      <w:r>
        <w:rPr>
          <w:rFonts w:hint="eastAsia" w:ascii="宋体" w:hAnsi="宋体" w:eastAsia="宋体" w:cs="宋体"/>
          <w:color w:val="auto"/>
          <w:kern w:val="0"/>
          <w:sz w:val="24"/>
          <w:highlight w:val="none"/>
          <w:lang w:eastAsia="zh-CN"/>
        </w:rPr>
        <w:t>完全</w:t>
      </w:r>
      <w:r>
        <w:rPr>
          <w:rFonts w:ascii="宋体" w:hAnsi="宋体" w:eastAsia="宋体" w:cs="宋体"/>
          <w:color w:val="auto"/>
          <w:kern w:val="0"/>
          <w:sz w:val="24"/>
          <w:highlight w:val="none"/>
          <w:lang w:eastAsia="zh-CN"/>
        </w:rPr>
        <w:t>匹配</w:t>
      </w:r>
      <w:r>
        <w:rPr>
          <w:rFonts w:hint="eastAsia" w:ascii="宋体" w:hAnsi="宋体" w:eastAsia="宋体" w:cs="宋体"/>
          <w:color w:val="auto"/>
          <w:kern w:val="0"/>
          <w:sz w:val="24"/>
          <w:highlight w:val="none"/>
          <w:lang w:eastAsia="zh-CN"/>
        </w:rPr>
        <w:t>，以支持空间定位、导航等扩展应用；</w:t>
      </w:r>
    </w:p>
    <w:p w14:paraId="12D4E8C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4、三维模型加载速度：单个设备模型≤1秒、多个设备模型组合≤3.5秒；</w:t>
      </w:r>
    </w:p>
    <w:p w14:paraId="5B49BA0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5、三维模型信息更新：单个模型数据更新时间≤500毫秒；</w:t>
      </w:r>
    </w:p>
    <w:p w14:paraId="16C5E1D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6、三维模型网格数量：单个小设备模型≤500，单个大设备模型≤5000，网格距离：面与面之间≥20毫米（mm）；</w:t>
      </w:r>
    </w:p>
    <w:p w14:paraId="1FF21802">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7、三维模型交互部件动画效果，能够单独定位、高亮以及闪烁等操作；</w:t>
      </w:r>
    </w:p>
    <w:p w14:paraId="68E0923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8、三维模型光影真实，美观，纹理清晰、无眩光、遮挡，循环贴图；</w:t>
      </w:r>
    </w:p>
    <w:p w14:paraId="05DD0ABE">
      <w:pPr>
        <w:widowControl/>
        <w:adjustRightInd w:val="0"/>
        <w:snapToGrid w:val="0"/>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color w:val="auto"/>
          <w:kern w:val="0"/>
          <w:sz w:val="24"/>
          <w:highlight w:val="none"/>
          <w:lang w:eastAsia="zh-CN"/>
        </w:rPr>
        <w:t>9、三维静态模型无闪烁、漏面、锯齿、比例失调，模型无关联复制和镜像</w:t>
      </w:r>
      <w:r>
        <w:rPr>
          <w:rFonts w:hint="eastAsia" w:ascii="宋体" w:hAnsi="宋体" w:eastAsia="宋体" w:cs="宋体"/>
          <w:bCs/>
          <w:color w:val="auto"/>
          <w:kern w:val="0"/>
          <w:sz w:val="24"/>
          <w:highlight w:val="none"/>
          <w:lang w:eastAsia="zh-CN"/>
        </w:rPr>
        <w:t>。</w:t>
      </w:r>
    </w:p>
    <w:p w14:paraId="53221E0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核心设备爆炸图</w:t>
      </w:r>
    </w:p>
    <w:p w14:paraId="665D5D9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支持将</w:t>
      </w:r>
      <w:r>
        <w:rPr>
          <w:rFonts w:hint="eastAsia" w:ascii="Times New Roman" w:hAnsi="Times New Roman" w:eastAsia="宋体" w:cs="Times New Roman"/>
          <w:color w:val="auto"/>
          <w:kern w:val="0"/>
          <w:sz w:val="24"/>
          <w:highlight w:val="none"/>
          <w:lang w:eastAsia="zh-CN"/>
        </w:rPr>
        <w:t>核心</w:t>
      </w:r>
      <w:r>
        <w:rPr>
          <w:rFonts w:ascii="Times New Roman" w:hAnsi="Times New Roman" w:eastAsia="宋体" w:cs="Times New Roman"/>
          <w:color w:val="auto"/>
          <w:kern w:val="0"/>
          <w:sz w:val="24"/>
          <w:highlight w:val="none"/>
          <w:lang w:eastAsia="zh-CN"/>
        </w:rPr>
        <w:t>设备的内部结构进行拆分与组装，以此认识各部件的内部结构，提高设备故障时的问题定位能力。</w:t>
      </w:r>
      <w:r>
        <w:rPr>
          <w:rFonts w:hint="eastAsia" w:ascii="Times New Roman" w:hAnsi="Times New Roman" w:eastAsia="宋体" w:cs="Times New Roman"/>
          <w:color w:val="auto"/>
          <w:kern w:val="0"/>
          <w:sz w:val="24"/>
          <w:highlight w:val="none"/>
          <w:lang w:eastAsia="zh-CN"/>
        </w:rPr>
        <w:t>核心设备主要包括：送水泵、送水电机、超滤膜膜堆、投加数字泵等。</w:t>
      </w:r>
    </w:p>
    <w:p w14:paraId="7991063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参数建模和模型编辑模块</w:t>
      </w:r>
    </w:p>
    <w:p w14:paraId="01CECB8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参数建模：允许用户通过调整一系列预定义的参数来创建和修改几何形状或系统，模型的关键特征由数值参数控制，这些参数可以是尺寸、角度、位置、颜色、材质属性等。用户可以通过修改这些参数来快速迭代设计，而无需从头开始重建模型。</w:t>
      </w:r>
    </w:p>
    <w:p w14:paraId="4EEFC61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模型编辑：支持在保持模型整体结构不变的情况下，对模型的某个特定区域或部分进行修改、细化或创建新的几何细节。可以单独编辑或替换模型的组件，如水网局部改造，更换水泵等样式调整，而不影响整个模型。</w:t>
      </w:r>
    </w:p>
    <w:p w14:paraId="71879A63">
      <w:pPr>
        <w:keepNext/>
        <w:keepLines/>
        <w:numPr>
          <w:ilvl w:val="3"/>
          <w:numId w:val="1"/>
        </w:numPr>
        <w:spacing w:line="360" w:lineRule="auto"/>
        <w:ind w:left="1284" w:leftChars="200" w:hanging="864"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三维可视化平台</w:t>
      </w:r>
    </w:p>
    <w:p w14:paraId="0D1377B9">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通用底座功能</w:t>
      </w:r>
    </w:p>
    <w:p w14:paraId="778E278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融合各类设备动静态信息，形成线上虚拟水厂，为整个数字孪生提供展示背景地图。在地图上，按不同要求叠加不同数据集、AI算法、云平台服务等，形成数字孪生的各项功能。</w:t>
      </w:r>
    </w:p>
    <w:p w14:paraId="379F9CF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对全厂设备按工艺段进行分组，对接设备</w:t>
      </w:r>
      <w:r>
        <w:rPr>
          <w:rFonts w:ascii="Times New Roman" w:hAnsi="Times New Roman" w:eastAsia="宋体" w:cs="Times New Roman"/>
          <w:color w:val="auto"/>
          <w:kern w:val="0"/>
          <w:sz w:val="24"/>
          <w:highlight w:val="none"/>
          <w:lang w:eastAsia="zh-CN"/>
        </w:rPr>
        <w:t>智慧管理模块，</w:t>
      </w:r>
      <w:r>
        <w:rPr>
          <w:rFonts w:hint="eastAsia" w:ascii="Times New Roman" w:hAnsi="Times New Roman" w:eastAsia="宋体" w:cs="Times New Roman"/>
          <w:color w:val="auto"/>
          <w:kern w:val="0"/>
          <w:sz w:val="24"/>
          <w:highlight w:val="none"/>
          <w:lang w:eastAsia="zh-CN"/>
        </w:rPr>
        <w:t>在</w:t>
      </w:r>
      <w:r>
        <w:rPr>
          <w:rFonts w:ascii="Times New Roman" w:hAnsi="Times New Roman" w:eastAsia="宋体" w:cs="Times New Roman"/>
          <w:color w:val="auto"/>
          <w:kern w:val="0"/>
          <w:sz w:val="24"/>
          <w:highlight w:val="none"/>
          <w:lang w:eastAsia="zh-CN"/>
        </w:rPr>
        <w:t>数字孪生场景中</w:t>
      </w:r>
      <w:r>
        <w:rPr>
          <w:rFonts w:hint="eastAsia" w:ascii="Times New Roman" w:hAnsi="Times New Roman" w:eastAsia="宋体" w:cs="Times New Roman"/>
          <w:color w:val="auto"/>
          <w:kern w:val="0"/>
          <w:sz w:val="24"/>
          <w:highlight w:val="none"/>
          <w:lang w:eastAsia="zh-CN"/>
        </w:rPr>
        <w:t>实现设备快速查找和定位、故障设备的真实位置标记，通过</w:t>
      </w:r>
      <w:r>
        <w:rPr>
          <w:rFonts w:ascii="Times New Roman" w:hAnsi="Times New Roman" w:eastAsia="宋体" w:cs="Times New Roman"/>
          <w:color w:val="auto"/>
          <w:kern w:val="0"/>
          <w:sz w:val="24"/>
          <w:highlight w:val="none"/>
          <w:lang w:eastAsia="zh-CN"/>
        </w:rPr>
        <w:t>数据驱动</w:t>
      </w:r>
      <w:r>
        <w:rPr>
          <w:rFonts w:hint="eastAsia" w:ascii="Times New Roman" w:hAnsi="Times New Roman" w:eastAsia="宋体" w:cs="Times New Roman"/>
          <w:color w:val="auto"/>
          <w:kern w:val="0"/>
          <w:sz w:val="24"/>
          <w:highlight w:val="none"/>
          <w:lang w:eastAsia="zh-CN"/>
        </w:rPr>
        <w:t>为设备全生命周期管理提供指导。</w:t>
      </w:r>
    </w:p>
    <w:p w14:paraId="524F9E2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可以展示设施内设备列表，查看设备台账信息、设备一生、实时运行数据、告警信息等。对接各类告警信息，以菜单形式显示所有告警列表，并在三维中显示告警标识点击告警列表单条告警，视角跳转到对应位置。</w:t>
      </w:r>
    </w:p>
    <w:p w14:paraId="4F6837C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平台以三维形式完整直观展现隐蔽工程中的水线、泥线、气线等路由排布，连通关系，可以进行相应管线的显隐控制、检修井显示及具体工艺段管线的材质、尺寸、流经区域等信息的查询、展示功能。</w:t>
      </w:r>
    </w:p>
    <w:p w14:paraId="6425E8B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底座功能须包含并不限于以下功能。</w:t>
      </w:r>
    </w:p>
    <w:p w14:paraId="0EADA4F4">
      <w:pPr>
        <w:widowControl/>
        <w:numPr>
          <w:ilvl w:val="0"/>
          <w:numId w:val="25"/>
        </w:numPr>
        <w:spacing w:line="360" w:lineRule="auto"/>
        <w:ind w:left="425" w:hanging="425"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场景切换</w:t>
      </w:r>
    </w:p>
    <w:p w14:paraId="299CBB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能提供二维、三维、工艺流程图等不同展示底板的切换。</w:t>
      </w:r>
    </w:p>
    <w:p w14:paraId="3E347E37">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ascii="Times New Roman" w:hAnsi="Times New Roman" w:eastAsia="宋体" w:cs="Times New Roman"/>
          <w:color w:val="auto"/>
          <w:kern w:val="0"/>
          <w:sz w:val="24"/>
          <w:highlight w:val="none"/>
          <w:lang w:val="zh-CN" w:eastAsia="zh-CN"/>
        </w:rPr>
        <w:t>第一人称漫游</w:t>
      </w:r>
    </w:p>
    <w:p w14:paraId="6A5CD020">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系统拥有逼真的场景自动化渲染能力，支持以第一人称视角在高度还原的模型中漫游，实现在线巡检的效果。</w:t>
      </w:r>
    </w:p>
    <w:p w14:paraId="07D5355B">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ascii="Times New Roman" w:hAnsi="Times New Roman" w:eastAsia="宋体" w:cs="Times New Roman"/>
          <w:color w:val="auto"/>
          <w:kern w:val="0"/>
          <w:sz w:val="24"/>
          <w:highlight w:val="none"/>
          <w:lang w:val="zh-CN" w:eastAsia="zh-CN"/>
        </w:rPr>
        <w:t>巡游路线规划</w:t>
      </w:r>
    </w:p>
    <w:p w14:paraId="4585E7BF">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支持在模型中通过视点动画的方式预设巡游路线，支持用户随时根据预设的巡游路线进行线上巡游，支持在巡游过程中查看各设备运行状态、报警详情等关键信息。</w:t>
      </w:r>
    </w:p>
    <w:p w14:paraId="1E427FA2">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ascii="Times New Roman" w:hAnsi="Times New Roman" w:eastAsia="宋体" w:cs="Times New Roman"/>
          <w:color w:val="auto"/>
          <w:kern w:val="0"/>
          <w:sz w:val="24"/>
          <w:highlight w:val="none"/>
          <w:lang w:val="zh-CN" w:eastAsia="zh-CN"/>
        </w:rPr>
        <w:t>随机巡游路线</w:t>
      </w:r>
    </w:p>
    <w:p w14:paraId="47735BFA">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支持在模型中根据预先预设的视点进行随机巡游，可快速定位至想要查看的位置，支持查看监控视频、报警详情、设备状态等关键信息。</w:t>
      </w:r>
    </w:p>
    <w:p w14:paraId="7CADFC8C">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ascii="Times New Roman" w:hAnsi="Times New Roman" w:eastAsia="宋体" w:cs="Times New Roman"/>
          <w:color w:val="auto"/>
          <w:kern w:val="0"/>
          <w:sz w:val="24"/>
          <w:highlight w:val="none"/>
          <w:lang w:val="zh-CN" w:eastAsia="zh-CN"/>
        </w:rPr>
        <w:t>地下管线显示</w:t>
      </w:r>
    </w:p>
    <w:p w14:paraId="18849CD2">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通过三维模型，分层展示出整个厂区的所有相关管道，生产</w:t>
      </w:r>
      <w:r>
        <w:rPr>
          <w:rFonts w:hint="eastAsia" w:ascii="宋体" w:hAnsi="宋体" w:eastAsia="宋体" w:cs="宋体"/>
          <w:color w:val="auto"/>
          <w:kern w:val="0"/>
          <w:sz w:val="24"/>
          <w:highlight w:val="none"/>
          <w:lang w:eastAsia="zh-CN"/>
        </w:rPr>
        <w:t>工艺</w:t>
      </w:r>
      <w:r>
        <w:rPr>
          <w:rFonts w:ascii="宋体" w:hAnsi="宋体" w:eastAsia="宋体" w:cs="宋体"/>
          <w:color w:val="auto"/>
          <w:kern w:val="0"/>
          <w:sz w:val="24"/>
          <w:highlight w:val="none"/>
          <w:lang w:eastAsia="zh-CN"/>
        </w:rPr>
        <w:t>管线，自用水管，雨</w:t>
      </w:r>
      <w:r>
        <w:rPr>
          <w:rFonts w:hint="eastAsia" w:ascii="宋体" w:hAnsi="宋体" w:eastAsia="宋体" w:cs="宋体"/>
          <w:color w:val="auto"/>
          <w:kern w:val="0"/>
          <w:sz w:val="24"/>
          <w:highlight w:val="none"/>
          <w:lang w:eastAsia="zh-CN"/>
        </w:rPr>
        <w:t>、</w:t>
      </w:r>
      <w:r>
        <w:rPr>
          <w:rFonts w:ascii="宋体" w:hAnsi="宋体" w:eastAsia="宋体" w:cs="宋体"/>
          <w:color w:val="auto"/>
          <w:kern w:val="0"/>
          <w:sz w:val="24"/>
          <w:highlight w:val="none"/>
          <w:lang w:eastAsia="zh-CN"/>
        </w:rPr>
        <w:t>污水管，排泥管，回用管和电力布置管线等，可定位每一根管线及管件。</w:t>
      </w:r>
    </w:p>
    <w:p w14:paraId="47405EAC">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val="zh-CN" w:eastAsia="zh-CN"/>
        </w:rPr>
        <w:t>天气系统</w:t>
      </w:r>
    </w:p>
    <w:p w14:paraId="07302E6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接入气象数据，实现厂区内二十四小时光照条件变化，实现厂区昼夜轮换效果，还有阴天、晴天、雨天的三级天气变化。</w:t>
      </w:r>
    </w:p>
    <w:p w14:paraId="0D88E8A3">
      <w:pPr>
        <w:pStyle w:val="35"/>
        <w:widowControl/>
        <w:numPr>
          <w:ilvl w:val="0"/>
          <w:numId w:val="25"/>
        </w:numPr>
        <w:spacing w:line="360" w:lineRule="auto"/>
        <w:ind w:firstLineChars="0"/>
        <w:rPr>
          <w:rFonts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val="zh-CN" w:eastAsia="zh-CN"/>
        </w:rPr>
        <w:t>数据驱动</w:t>
      </w:r>
    </w:p>
    <w:p w14:paraId="31C6332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平台支持动态数据与三维模型进行绑定和映射，以动态数据驱动三维模型的动态变换，包含平移、旋转、高亮、材质特效等动态特性，实现数字孪生场景状态与物理实体状态实时同步。支持集成设备启停状态、水位、流量流速、闸门开度等动态监测数据，以数据驱动方式实现设备启停状态、水厂内外各处水位高程、管道流速流态、闸门开度的状态孪生。</w:t>
      </w:r>
    </w:p>
    <w:p w14:paraId="6284B047">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生产展示</w:t>
      </w:r>
    </w:p>
    <w:p w14:paraId="4DBC0AC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融合水厂数字孪生平台三维场景，全景多维地展示生产、人员和设备情况，不能参与设备控制，展示内容须参考文件其他章节的相关描述。</w:t>
      </w:r>
    </w:p>
    <w:p w14:paraId="18026AFA">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总体情况</w:t>
      </w:r>
    </w:p>
    <w:p w14:paraId="7ADF03C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融合水厂数字孪生平台三维场景，接入水厂生产监控管理模块数据，结合图表和数字孪生场景，融合展示水厂总体运行态势，实现水厂运行态势实时数据“一张图”展示，包含运行安全、经营指标、视频监控、安防告警等。</w:t>
      </w:r>
    </w:p>
    <w:p w14:paraId="7956863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1、供水情况展现。用图表方式实时查看今日供水和累计供水情况。</w:t>
      </w:r>
    </w:p>
    <w:p w14:paraId="0860D92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2、水质指标展现。实时查看进出/出水水质指标参数（NTU、pH、余氯、氨氮等）和各指标标准值。</w:t>
      </w:r>
    </w:p>
    <w:p w14:paraId="36F73A73">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3、成本展现</w:t>
      </w:r>
    </w:p>
    <w:p w14:paraId="51A8407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a.</w:t>
      </w:r>
      <w:r>
        <w:rPr>
          <w:rFonts w:hint="eastAsia" w:ascii="Times New Roman" w:hAnsi="Times New Roman" w:eastAsia="宋体" w:cs="Times New Roman"/>
          <w:color w:val="auto"/>
          <w:kern w:val="0"/>
          <w:sz w:val="24"/>
          <w:highlight w:val="none"/>
          <w:lang w:eastAsia="zh-CN"/>
        </w:rPr>
        <w:t>电耗指标：以图表形式展现本月累计电耗和各类设施实时电耗数据；</w:t>
      </w:r>
    </w:p>
    <w:p w14:paraId="232C0C3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b.</w:t>
      </w:r>
      <w:r>
        <w:rPr>
          <w:rFonts w:hint="eastAsia" w:ascii="Times New Roman" w:hAnsi="Times New Roman" w:eastAsia="宋体" w:cs="Times New Roman"/>
          <w:color w:val="auto"/>
          <w:kern w:val="0"/>
          <w:sz w:val="24"/>
          <w:highlight w:val="none"/>
          <w:lang w:eastAsia="zh-CN"/>
        </w:rPr>
        <w:t>药耗指标：以图表形式展现本月累计药耗和各类药品实时药耗数据。</w:t>
      </w:r>
    </w:p>
    <w:p w14:paraId="2E6FDD73">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4、泵组指标展现。展现二级泵房实时出水流量/压力和清水池实时液位。</w:t>
      </w:r>
    </w:p>
    <w:p w14:paraId="1BA8CE82">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5、工单信息</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展示当前全厂执行中的工单数量和工单列表。</w:t>
      </w:r>
    </w:p>
    <w:p w14:paraId="071165D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6、视频监控。重点点位监控视频轮播，支持点击摄像头点位跳转到实际监控画面。</w:t>
      </w:r>
    </w:p>
    <w:p w14:paraId="20A6F17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7、数据看板。根据实际需求，针对单体设施/设备，定制数据看板（例如：综合药剂间-加矾）。</w:t>
      </w:r>
    </w:p>
    <w:p w14:paraId="66846D45">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运行监测</w:t>
      </w:r>
    </w:p>
    <w:p w14:paraId="5F47DC2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对接水厂生产运行监控管理模块，在</w:t>
      </w:r>
      <w:r>
        <w:rPr>
          <w:rFonts w:ascii="Times New Roman" w:hAnsi="Times New Roman" w:eastAsia="宋体" w:cs="Times New Roman"/>
          <w:color w:val="auto"/>
          <w:kern w:val="0"/>
          <w:sz w:val="24"/>
          <w:highlight w:val="none"/>
          <w:lang w:eastAsia="zh-CN"/>
        </w:rPr>
        <w:t>水厂总体场景和各处理单元场景中</w:t>
      </w:r>
      <w:r>
        <w:rPr>
          <w:rFonts w:hint="eastAsia" w:ascii="Times New Roman" w:hAnsi="Times New Roman" w:eastAsia="宋体" w:cs="Times New Roman"/>
          <w:color w:val="auto"/>
          <w:kern w:val="0"/>
          <w:sz w:val="24"/>
          <w:highlight w:val="none"/>
          <w:lang w:eastAsia="zh-CN"/>
        </w:rPr>
        <w:t>以</w:t>
      </w:r>
      <w:r>
        <w:rPr>
          <w:rFonts w:ascii="Times New Roman" w:hAnsi="Times New Roman" w:eastAsia="宋体" w:cs="Times New Roman"/>
          <w:color w:val="auto"/>
          <w:kern w:val="0"/>
          <w:sz w:val="24"/>
          <w:highlight w:val="none"/>
          <w:lang w:eastAsia="zh-CN"/>
        </w:rPr>
        <w:t>功能面板</w:t>
      </w:r>
      <w:r>
        <w:rPr>
          <w:rFonts w:hint="eastAsia" w:ascii="Times New Roman" w:hAnsi="Times New Roman" w:eastAsia="宋体" w:cs="Times New Roman"/>
          <w:color w:val="auto"/>
          <w:kern w:val="0"/>
          <w:sz w:val="24"/>
          <w:highlight w:val="none"/>
          <w:lang w:eastAsia="zh-CN"/>
        </w:rPr>
        <w:t>组件</w:t>
      </w:r>
      <w:r>
        <w:rPr>
          <w:rFonts w:ascii="Times New Roman" w:hAnsi="Times New Roman" w:eastAsia="宋体" w:cs="Times New Roman"/>
          <w:color w:val="auto"/>
          <w:kern w:val="0"/>
          <w:sz w:val="24"/>
          <w:highlight w:val="none"/>
          <w:lang w:eastAsia="zh-CN"/>
        </w:rPr>
        <w:t>的形式</w:t>
      </w:r>
      <w:r>
        <w:rPr>
          <w:rFonts w:hint="eastAsia" w:ascii="Times New Roman" w:hAnsi="Times New Roman" w:eastAsia="宋体" w:cs="Times New Roman"/>
          <w:color w:val="auto"/>
          <w:kern w:val="0"/>
          <w:sz w:val="24"/>
          <w:highlight w:val="none"/>
          <w:lang w:eastAsia="zh-CN"/>
        </w:rPr>
        <w:t>展示</w:t>
      </w:r>
      <w:r>
        <w:rPr>
          <w:rFonts w:ascii="Times New Roman" w:hAnsi="Times New Roman" w:eastAsia="宋体" w:cs="Times New Roman"/>
          <w:color w:val="auto"/>
          <w:kern w:val="0"/>
          <w:sz w:val="24"/>
          <w:highlight w:val="none"/>
          <w:lang w:eastAsia="zh-CN"/>
        </w:rPr>
        <w:t>以下</w:t>
      </w:r>
      <w:r>
        <w:rPr>
          <w:rFonts w:hint="eastAsia" w:ascii="Times New Roman" w:hAnsi="Times New Roman" w:eastAsia="宋体" w:cs="Times New Roman"/>
          <w:color w:val="auto"/>
          <w:kern w:val="0"/>
          <w:sz w:val="24"/>
          <w:highlight w:val="none"/>
          <w:lang w:eastAsia="zh-CN"/>
        </w:rPr>
        <w:t>信息</w:t>
      </w:r>
      <w:r>
        <w:rPr>
          <w:rFonts w:ascii="Times New Roman" w:hAnsi="Times New Roman" w:eastAsia="宋体" w:cs="Times New Roman"/>
          <w:color w:val="auto"/>
          <w:kern w:val="0"/>
          <w:sz w:val="24"/>
          <w:highlight w:val="none"/>
          <w:lang w:eastAsia="zh-CN"/>
        </w:rPr>
        <w:t>：</w:t>
      </w:r>
    </w:p>
    <w:p w14:paraId="0F6E2C4A">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1、运行指标管理</w:t>
      </w:r>
    </w:p>
    <w:p w14:paraId="3BA005C7">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2、水厂设备实时状态</w:t>
      </w:r>
    </w:p>
    <w:p w14:paraId="7B22060E">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3、设备运行情况统计</w:t>
      </w:r>
    </w:p>
    <w:p w14:paraId="2B072DE2">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4、能耗</w:t>
      </w:r>
      <w:r>
        <w:rPr>
          <w:rFonts w:ascii="Times New Roman" w:hAnsi="Times New Roman" w:eastAsia="宋体" w:cs="Times New Roman"/>
          <w:color w:val="auto"/>
          <w:kern w:val="0"/>
          <w:sz w:val="24"/>
          <w:highlight w:val="none"/>
          <w:lang w:eastAsia="zh-CN"/>
        </w:rPr>
        <w:t>、药耗及</w:t>
      </w:r>
      <w:r>
        <w:rPr>
          <w:rFonts w:hint="eastAsia" w:ascii="Times New Roman" w:hAnsi="Times New Roman" w:eastAsia="宋体" w:cs="Times New Roman"/>
          <w:color w:val="auto"/>
          <w:kern w:val="0"/>
          <w:sz w:val="24"/>
          <w:highlight w:val="none"/>
          <w:lang w:eastAsia="zh-CN"/>
        </w:rPr>
        <w:t>碳排放</w:t>
      </w:r>
      <w:r>
        <w:rPr>
          <w:rFonts w:ascii="Times New Roman" w:hAnsi="Times New Roman" w:eastAsia="宋体" w:cs="Times New Roman"/>
          <w:color w:val="auto"/>
          <w:kern w:val="0"/>
          <w:sz w:val="24"/>
          <w:highlight w:val="none"/>
          <w:lang w:eastAsia="zh-CN"/>
        </w:rPr>
        <w:t>管理</w:t>
      </w:r>
    </w:p>
    <w:p w14:paraId="1441CFC5">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5、视频实时监控</w:t>
      </w:r>
    </w:p>
    <w:p w14:paraId="367D2CD0">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6、水厂智能告警管理</w:t>
      </w:r>
    </w:p>
    <w:p w14:paraId="7D820CA6">
      <w:pPr>
        <w:widowControl/>
        <w:spacing w:line="360" w:lineRule="auto"/>
        <w:ind w:left="48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7、场景多维度展示（剖切）</w:t>
      </w:r>
    </w:p>
    <w:p w14:paraId="3AD31502">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智能告警</w:t>
      </w:r>
    </w:p>
    <w:p w14:paraId="675172F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数字孪生系统可通过智能预警报警体系提供的API接口获取水厂实时告警和预警信息，当收到告警或预警信号时，可在数字孪生场景内为用户快速定位故障设备及设备部件，并展示故障详情。</w:t>
      </w:r>
    </w:p>
    <w:p w14:paraId="71E7346F">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虚拟巡检</w:t>
      </w:r>
    </w:p>
    <w:p w14:paraId="5D642D8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对接</w:t>
      </w:r>
      <w:r>
        <w:rPr>
          <w:rFonts w:ascii="Times New Roman" w:hAnsi="Times New Roman" w:eastAsia="宋体" w:cs="Times New Roman"/>
          <w:color w:val="auto"/>
          <w:kern w:val="0"/>
          <w:sz w:val="24"/>
          <w:highlight w:val="none"/>
          <w:lang w:eastAsia="zh-CN"/>
        </w:rPr>
        <w:t>生产</w:t>
      </w:r>
      <w:r>
        <w:rPr>
          <w:rFonts w:hint="eastAsia" w:ascii="Times New Roman" w:hAnsi="Times New Roman" w:eastAsia="宋体" w:cs="Times New Roman"/>
          <w:color w:val="auto"/>
          <w:kern w:val="0"/>
          <w:sz w:val="24"/>
          <w:highlight w:val="none"/>
          <w:lang w:eastAsia="zh-CN"/>
        </w:rPr>
        <w:t>运营</w:t>
      </w:r>
      <w:r>
        <w:rPr>
          <w:rFonts w:ascii="Times New Roman" w:hAnsi="Times New Roman" w:eastAsia="宋体" w:cs="Times New Roman"/>
          <w:color w:val="auto"/>
          <w:kern w:val="0"/>
          <w:sz w:val="24"/>
          <w:highlight w:val="none"/>
          <w:lang w:eastAsia="zh-CN"/>
        </w:rPr>
        <w:t>管理中的巡检管理模块，</w:t>
      </w:r>
      <w:r>
        <w:rPr>
          <w:rFonts w:hint="eastAsia" w:ascii="Times New Roman" w:hAnsi="Times New Roman" w:eastAsia="宋体" w:cs="Times New Roman"/>
          <w:color w:val="auto"/>
          <w:kern w:val="0"/>
          <w:sz w:val="24"/>
          <w:highlight w:val="none"/>
          <w:lang w:eastAsia="zh-CN"/>
        </w:rPr>
        <w:t>通过整合数字</w:t>
      </w:r>
      <w:r>
        <w:rPr>
          <w:rFonts w:ascii="Times New Roman" w:hAnsi="Times New Roman" w:eastAsia="宋体" w:cs="Times New Roman"/>
          <w:color w:val="auto"/>
          <w:kern w:val="0"/>
          <w:sz w:val="24"/>
          <w:highlight w:val="none"/>
          <w:lang w:eastAsia="zh-CN"/>
        </w:rPr>
        <w:t>孪生场景和各类巡检信息</w:t>
      </w:r>
      <w:r>
        <w:rPr>
          <w:rFonts w:hint="eastAsia" w:ascii="Times New Roman" w:hAnsi="Times New Roman" w:eastAsia="宋体" w:cs="Times New Roman"/>
          <w:color w:val="auto"/>
          <w:kern w:val="0"/>
          <w:sz w:val="24"/>
          <w:highlight w:val="none"/>
          <w:lang w:eastAsia="zh-CN"/>
        </w:rPr>
        <w:t>，实现在场景中的虚拟</w:t>
      </w:r>
      <w:r>
        <w:rPr>
          <w:rFonts w:ascii="Times New Roman" w:hAnsi="Times New Roman" w:eastAsia="宋体" w:cs="Times New Roman"/>
          <w:color w:val="auto"/>
          <w:kern w:val="0"/>
          <w:sz w:val="24"/>
          <w:highlight w:val="none"/>
          <w:lang w:eastAsia="zh-CN"/>
        </w:rPr>
        <w:t>巡检</w:t>
      </w:r>
      <w:r>
        <w:rPr>
          <w:rFonts w:hint="eastAsia" w:ascii="Times New Roman" w:hAnsi="Times New Roman" w:eastAsia="宋体" w:cs="Times New Roman"/>
          <w:color w:val="auto"/>
          <w:kern w:val="0"/>
          <w:sz w:val="24"/>
          <w:highlight w:val="none"/>
          <w:lang w:eastAsia="zh-CN"/>
        </w:rPr>
        <w:t>。可以以第一人称视角/自由视角/虚拟机器人在虚拟空间内手动或</w:t>
      </w:r>
      <w:r>
        <w:rPr>
          <w:rFonts w:ascii="Times New Roman" w:hAnsi="Times New Roman" w:eastAsia="宋体" w:cs="Times New Roman"/>
          <w:color w:val="auto"/>
          <w:kern w:val="0"/>
          <w:sz w:val="24"/>
          <w:highlight w:val="none"/>
          <w:lang w:eastAsia="zh-CN"/>
        </w:rPr>
        <w:t>按设定条件自动</w:t>
      </w:r>
      <w:r>
        <w:rPr>
          <w:rFonts w:hint="eastAsia" w:ascii="Times New Roman" w:hAnsi="Times New Roman" w:eastAsia="宋体" w:cs="Times New Roman"/>
          <w:color w:val="auto"/>
          <w:kern w:val="0"/>
          <w:sz w:val="24"/>
          <w:highlight w:val="none"/>
          <w:lang w:eastAsia="zh-CN"/>
        </w:rPr>
        <w:t>漫游、浏览厂区建筑及设备，可</w:t>
      </w:r>
      <w:r>
        <w:rPr>
          <w:rFonts w:ascii="Times New Roman" w:hAnsi="Times New Roman" w:eastAsia="宋体" w:cs="Times New Roman"/>
          <w:color w:val="auto"/>
          <w:kern w:val="0"/>
          <w:sz w:val="24"/>
          <w:highlight w:val="none"/>
          <w:lang w:eastAsia="zh-CN"/>
        </w:rPr>
        <w:t>即时</w:t>
      </w:r>
      <w:r>
        <w:rPr>
          <w:rFonts w:hint="eastAsia" w:ascii="Times New Roman" w:hAnsi="Times New Roman" w:eastAsia="宋体" w:cs="Times New Roman"/>
          <w:color w:val="auto"/>
          <w:kern w:val="0"/>
          <w:sz w:val="24"/>
          <w:highlight w:val="none"/>
          <w:lang w:eastAsia="zh-CN"/>
        </w:rPr>
        <w:t>调出设备运行和台账信息、摄像头画面等。</w:t>
      </w:r>
    </w:p>
    <w:p w14:paraId="59F7B59E">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多维场景巡游</w:t>
      </w:r>
    </w:p>
    <w:p w14:paraId="4088F33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支持使用者在项目</w:t>
      </w:r>
      <w:r>
        <w:rPr>
          <w:rFonts w:ascii="Times New Roman" w:hAnsi="Times New Roman" w:eastAsia="宋体" w:cs="Times New Roman"/>
          <w:color w:val="auto"/>
          <w:kern w:val="0"/>
          <w:sz w:val="24"/>
          <w:highlight w:val="none"/>
          <w:lang w:eastAsia="zh-CN"/>
        </w:rPr>
        <w:t>多维</w:t>
      </w:r>
      <w:r>
        <w:rPr>
          <w:rFonts w:hint="eastAsia" w:ascii="Times New Roman" w:hAnsi="Times New Roman" w:eastAsia="宋体" w:cs="Times New Roman"/>
          <w:color w:val="auto"/>
          <w:kern w:val="0"/>
          <w:sz w:val="24"/>
          <w:highlight w:val="none"/>
          <w:lang w:eastAsia="zh-CN"/>
        </w:rPr>
        <w:t>场景中进行灵活的交互式操作，支持第一人称与第三人称的切换，可身临其境的观察水处理设备的运行情况与数据。</w:t>
      </w:r>
    </w:p>
    <w:p w14:paraId="001F38B9">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zh-CN" w:bidi="ar-SA"/>
        </w:rPr>
        <w:t>模型交互</w:t>
      </w:r>
    </w:p>
    <w:p w14:paraId="254BA52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在场景中叠加主要</w:t>
      </w:r>
      <w:r>
        <w:rPr>
          <w:rFonts w:ascii="Times New Roman" w:hAnsi="Times New Roman" w:eastAsia="宋体" w:cs="Times New Roman"/>
          <w:color w:val="auto"/>
          <w:kern w:val="0"/>
          <w:sz w:val="24"/>
          <w:highlight w:val="none"/>
          <w:lang w:eastAsia="zh-CN"/>
        </w:rPr>
        <w:t>机电设备</w:t>
      </w:r>
      <w:r>
        <w:rPr>
          <w:rFonts w:hint="eastAsia" w:ascii="Times New Roman" w:hAnsi="Times New Roman" w:eastAsia="宋体" w:cs="Times New Roman"/>
          <w:color w:val="auto"/>
          <w:kern w:val="0"/>
          <w:sz w:val="24"/>
          <w:highlight w:val="none"/>
          <w:lang w:eastAsia="zh-CN"/>
        </w:rPr>
        <w:t>、管线三维模型，将虚拟对象与实际环境相结合，以展示设备、管线或其他物体的详细信息。用户可以通过设备观察和操控这些虚拟模型，以获得更直观的理解和操作体验。</w:t>
      </w:r>
    </w:p>
    <w:p w14:paraId="2B1D7C83">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高亮标识</w:t>
      </w:r>
    </w:p>
    <w:p w14:paraId="6765F2A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支持在主要</w:t>
      </w:r>
      <w:r>
        <w:rPr>
          <w:rFonts w:ascii="Times New Roman" w:hAnsi="Times New Roman" w:eastAsia="宋体" w:cs="Times New Roman"/>
          <w:color w:val="auto"/>
          <w:kern w:val="0"/>
          <w:sz w:val="24"/>
          <w:highlight w:val="none"/>
          <w:lang w:eastAsia="zh-CN"/>
        </w:rPr>
        <w:t>机电设备</w:t>
      </w:r>
      <w:r>
        <w:rPr>
          <w:rFonts w:hint="eastAsia" w:ascii="Times New Roman" w:hAnsi="Times New Roman" w:eastAsia="宋体" w:cs="Times New Roman"/>
          <w:color w:val="auto"/>
          <w:kern w:val="0"/>
          <w:sz w:val="24"/>
          <w:highlight w:val="none"/>
          <w:lang w:eastAsia="zh-CN"/>
        </w:rPr>
        <w:t>、管线场景中放置高亮标记，支持标示设备或设备部件，突出显示特定的区域或对象。这可以帮助用户快速定位或识别关键点，例如故障设备、管道连接点等。</w:t>
      </w:r>
    </w:p>
    <w:p w14:paraId="3E8B797A">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数据显示</w:t>
      </w:r>
    </w:p>
    <w:p w14:paraId="0232DEF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将相关数据数据叠加在虚拟场景中，提供即时的状态和指标，帮助用户了解设备运行情况，例如温度、压力、电流等，以及预警信息和异常事件；</w:t>
      </w:r>
    </w:p>
    <w:p w14:paraId="39803D7D">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趋势分析</w:t>
      </w:r>
    </w:p>
    <w:p w14:paraId="62A8871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使用图标和图表的形式将数据可视化展示。可以根据数据类型和需求选择合适的图标和图表类型，如柱状图、折线图、饼图等，以直观地表达数据的变化和趋势。</w:t>
      </w:r>
    </w:p>
    <w:p w14:paraId="118FD71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生产情况回放</w:t>
      </w:r>
    </w:p>
    <w:p w14:paraId="72FA014C">
      <w:pPr>
        <w:widowControl/>
        <w:spacing w:line="360" w:lineRule="auto"/>
        <w:ind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    加载历史数据集，按事件轴回放生产过程的主要情况。要求参考“生产展示”章节。</w:t>
      </w:r>
    </w:p>
    <w:p w14:paraId="6D6F3639">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智能生产分析</w:t>
      </w:r>
    </w:p>
    <w:p w14:paraId="4C2AA2B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融合广州</w:t>
      </w:r>
      <w:r>
        <w:rPr>
          <w:rFonts w:ascii="Times New Roman" w:hAnsi="Times New Roman" w:eastAsia="宋体" w:cs="Times New Roman"/>
          <w:color w:val="auto"/>
          <w:kern w:val="0"/>
          <w:sz w:val="24"/>
          <w:highlight w:val="none"/>
          <w:lang w:eastAsia="zh-CN"/>
        </w:rPr>
        <w:t>自来水公司</w:t>
      </w:r>
      <w:r>
        <w:rPr>
          <w:rFonts w:hint="eastAsia" w:ascii="Times New Roman" w:hAnsi="Times New Roman" w:eastAsia="宋体" w:cs="Times New Roman"/>
          <w:color w:val="auto"/>
          <w:kern w:val="0"/>
          <w:sz w:val="24"/>
          <w:highlight w:val="none"/>
          <w:lang w:eastAsia="zh-CN"/>
        </w:rPr>
        <w:t>智慧供水云平台上已有或本项目开发的智慧算法模型、服务，加载不同数据，使用数字孪生一体化平台，进行操作、模拟和展示，</w:t>
      </w:r>
      <w:r>
        <w:rPr>
          <w:rFonts w:ascii="Times New Roman" w:hAnsi="Times New Roman" w:eastAsia="宋体" w:cs="Times New Roman"/>
          <w:color w:val="auto"/>
          <w:kern w:val="0"/>
          <w:sz w:val="24"/>
          <w:highlight w:val="none"/>
          <w:lang w:eastAsia="zh-CN"/>
        </w:rPr>
        <w:t>辅助</w:t>
      </w:r>
      <w:r>
        <w:rPr>
          <w:rFonts w:hint="eastAsia" w:ascii="Times New Roman" w:hAnsi="Times New Roman" w:eastAsia="宋体" w:cs="Times New Roman"/>
          <w:color w:val="auto"/>
          <w:kern w:val="0"/>
          <w:sz w:val="24"/>
          <w:highlight w:val="none"/>
          <w:lang w:eastAsia="zh-CN"/>
        </w:rPr>
        <w:t>进行</w:t>
      </w:r>
      <w:r>
        <w:rPr>
          <w:rFonts w:ascii="Times New Roman" w:hAnsi="Times New Roman" w:eastAsia="宋体" w:cs="Times New Roman"/>
          <w:color w:val="auto"/>
          <w:kern w:val="0"/>
          <w:sz w:val="24"/>
          <w:highlight w:val="none"/>
          <w:lang w:eastAsia="zh-CN"/>
        </w:rPr>
        <w:t>工艺</w:t>
      </w:r>
      <w:r>
        <w:rPr>
          <w:rFonts w:hint="eastAsia" w:ascii="Times New Roman" w:hAnsi="Times New Roman" w:eastAsia="宋体" w:cs="Times New Roman"/>
          <w:color w:val="auto"/>
          <w:kern w:val="0"/>
          <w:sz w:val="24"/>
          <w:highlight w:val="none"/>
          <w:lang w:eastAsia="zh-CN"/>
        </w:rPr>
        <w:t>仿真</w:t>
      </w:r>
      <w:r>
        <w:rPr>
          <w:rFonts w:ascii="Times New Roman" w:hAnsi="Times New Roman" w:eastAsia="宋体" w:cs="Times New Roman"/>
          <w:color w:val="auto"/>
          <w:kern w:val="0"/>
          <w:sz w:val="24"/>
          <w:highlight w:val="none"/>
          <w:lang w:eastAsia="zh-CN"/>
        </w:rPr>
        <w:t>模拟</w:t>
      </w:r>
      <w:r>
        <w:rPr>
          <w:rFonts w:hint="eastAsia" w:ascii="Times New Roman" w:hAnsi="Times New Roman" w:eastAsia="宋体" w:cs="Times New Roman"/>
          <w:color w:val="auto"/>
          <w:kern w:val="0"/>
          <w:sz w:val="24"/>
          <w:highlight w:val="none"/>
          <w:lang w:eastAsia="zh-CN"/>
        </w:rPr>
        <w:t>及</w:t>
      </w:r>
      <w:r>
        <w:rPr>
          <w:rFonts w:ascii="Times New Roman" w:hAnsi="Times New Roman" w:eastAsia="宋体" w:cs="Times New Roman"/>
          <w:color w:val="auto"/>
          <w:kern w:val="0"/>
          <w:sz w:val="24"/>
          <w:highlight w:val="none"/>
          <w:lang w:eastAsia="zh-CN"/>
        </w:rPr>
        <w:t>运行调度</w:t>
      </w:r>
      <w:r>
        <w:rPr>
          <w:rFonts w:hint="eastAsia" w:ascii="Times New Roman" w:hAnsi="Times New Roman" w:eastAsia="宋体" w:cs="Times New Roman"/>
          <w:color w:val="auto"/>
          <w:kern w:val="0"/>
          <w:sz w:val="24"/>
          <w:highlight w:val="none"/>
          <w:lang w:eastAsia="zh-CN"/>
        </w:rPr>
        <w:t>，为水厂</w:t>
      </w:r>
      <w:r>
        <w:rPr>
          <w:rFonts w:ascii="Times New Roman" w:hAnsi="Times New Roman" w:eastAsia="宋体" w:cs="Times New Roman"/>
          <w:color w:val="auto"/>
          <w:kern w:val="0"/>
          <w:sz w:val="24"/>
          <w:highlight w:val="none"/>
          <w:lang w:eastAsia="zh-CN"/>
        </w:rPr>
        <w:t>安全稳定运行</w:t>
      </w:r>
      <w:r>
        <w:rPr>
          <w:rFonts w:hint="eastAsia" w:ascii="Times New Roman" w:hAnsi="Times New Roman" w:eastAsia="宋体" w:cs="Times New Roman"/>
          <w:color w:val="auto"/>
          <w:kern w:val="0"/>
          <w:sz w:val="24"/>
          <w:highlight w:val="none"/>
          <w:lang w:eastAsia="zh-CN"/>
        </w:rPr>
        <w:t>提出优化建议或异常告警。可参考“水厂仿真和预测”章节及其他相关内容。</w:t>
      </w:r>
    </w:p>
    <w:p w14:paraId="602940DA">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虚拟水厂推演</w:t>
      </w:r>
    </w:p>
    <w:p w14:paraId="56151BD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数字孪生一体化平台，将水厂数字孪生场景内将机理模型各项参数与各类设施设备、环境结合，用不同的交互方式，进行仿真模拟并对工艺流程进行推演和展示。可参考“水厂仿真和预测”章节及其他相关内容。</w:t>
      </w:r>
    </w:p>
    <w:p w14:paraId="5E37984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培训参观展示</w:t>
      </w:r>
    </w:p>
    <w:p w14:paraId="62E7A80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利用数字孪生一体化平台，根据水厂工艺制定流程动画，</w:t>
      </w:r>
      <w:r>
        <w:rPr>
          <w:rFonts w:ascii="Segoe UI" w:hAnsi="Segoe UI" w:eastAsia="宋体" w:cs="Segoe UI"/>
          <w:color w:val="auto"/>
          <w:kern w:val="0"/>
          <w:sz w:val="23"/>
          <w:szCs w:val="23"/>
          <w:highlight w:val="none"/>
          <w:shd w:val="clear" w:color="auto" w:fill="FFFFFF"/>
          <w:lang w:eastAsia="zh-CN"/>
        </w:rPr>
        <w:t>提供一个高度可视化的界面，</w:t>
      </w:r>
      <w:r>
        <w:rPr>
          <w:rFonts w:hint="eastAsia" w:ascii="Times New Roman" w:hAnsi="Times New Roman" w:eastAsia="宋体" w:cs="Times New Roman"/>
          <w:color w:val="auto"/>
          <w:kern w:val="0"/>
          <w:sz w:val="24"/>
          <w:highlight w:val="none"/>
          <w:lang w:eastAsia="zh-CN"/>
        </w:rPr>
        <w:t>展示各工艺段的构筑物结构、水流方向、设备设施布局、水处理流程步骤、设备运作原理等。以明晰、易理解的方式为使用者模拟、剖析水厂全流程工艺，辅助运行人员了解现场运行情况和优化生产调度；能对仿真设备进行虚拟操作，模块能开展相关的工艺流程推演，展示水厂相应场景中设备、设施、环境的展示。能支撑水厂内部培训及外部宣传业务的开展。</w:t>
      </w:r>
    </w:p>
    <w:p w14:paraId="60365D8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培训内容主要包括：</w:t>
      </w:r>
    </w:p>
    <w:p w14:paraId="542D579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1、设备操作维护模拟</w:t>
      </w:r>
    </w:p>
    <w:p w14:paraId="5F195D40">
      <w:pPr>
        <w:widowControl/>
        <w:spacing w:line="360" w:lineRule="auto"/>
        <w:ind w:firstLine="48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模拟核心设备的拆卸和装配工艺流程，设备的整个拆卸流程与现实一致，帮助用户理解设备的结构和工作原理。用户可以通过手动操作来拆分和组装设备，当顺序发生错误或者操作动作错误时，故障输出逻辑与现实一致，提高用户的实践能力和理解深度。</w:t>
      </w:r>
    </w:p>
    <w:p w14:paraId="264505D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主要内容包括：送水泵房泵组、通用阀门、投加系统的设备管线</w:t>
      </w:r>
    </w:p>
    <w:p w14:paraId="141AE3FD">
      <w:pPr>
        <w:widowControl/>
        <w:spacing w:line="360" w:lineRule="auto"/>
        <w:ind w:left="420" w:leftChars="200" w:firstLine="0" w:firstLineChars="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w:t>
      </w:r>
      <w:r>
        <w:rPr>
          <w:rFonts w:ascii="Times New Roman" w:hAnsi="Times New Roman" w:eastAsia="宋体" w:cs="Times New Roman"/>
          <w:color w:val="auto"/>
          <w:kern w:val="0"/>
          <w:sz w:val="24"/>
          <w:highlight w:val="none"/>
          <w:lang w:eastAsia="zh-CN"/>
        </w:rPr>
        <w:t>逃生路线</w:t>
      </w:r>
      <w:r>
        <w:rPr>
          <w:rFonts w:hint="eastAsia" w:ascii="Times New Roman" w:hAnsi="Times New Roman" w:eastAsia="宋体" w:cs="Times New Roman"/>
          <w:color w:val="auto"/>
          <w:kern w:val="0"/>
          <w:sz w:val="24"/>
          <w:highlight w:val="none"/>
          <w:lang w:eastAsia="zh-CN"/>
        </w:rPr>
        <w:t>演练</w:t>
      </w:r>
    </w:p>
    <w:p w14:paraId="5352040C">
      <w:pPr>
        <w:widowControl/>
        <w:spacing w:line="360" w:lineRule="auto"/>
        <w:ind w:firstLine="480" w:firstLineChars="200"/>
        <w:rPr>
          <w:rFonts w:hint="eastAsia" w:ascii="宋体" w:hAnsi="宋体" w:eastAsia="宋体" w:cs="宋体"/>
          <w:color w:val="auto"/>
          <w:kern w:val="0"/>
          <w:sz w:val="24"/>
          <w:highlight w:val="none"/>
          <w:lang w:eastAsia="zh-CN"/>
        </w:rPr>
      </w:pPr>
      <w:r>
        <w:rPr>
          <w:rFonts w:ascii="Times New Roman" w:hAnsi="Times New Roman" w:eastAsia="宋体" w:cs="Times New Roman"/>
          <w:color w:val="auto"/>
          <w:kern w:val="0"/>
          <w:sz w:val="24"/>
          <w:highlight w:val="none"/>
          <w:lang w:eastAsia="zh-CN"/>
        </w:rPr>
        <w:t>支持在逼真的场景模型中预设逃生路线，使员工在使用模型时可清晰的知道逃生路线位置，从而提高员工应对突发情况的能力</w:t>
      </w:r>
      <w:r>
        <w:rPr>
          <w:rFonts w:hint="eastAsia" w:ascii="Times New Roman" w:hAnsi="Times New Roman" w:eastAsia="宋体" w:cs="Times New Roman"/>
          <w:color w:val="auto"/>
          <w:kern w:val="0"/>
          <w:sz w:val="24"/>
          <w:highlight w:val="none"/>
          <w:lang w:eastAsia="zh-CN"/>
        </w:rPr>
        <w:t>。</w:t>
      </w:r>
    </w:p>
    <w:p w14:paraId="3C004BAF">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远程支持</w:t>
      </w:r>
    </w:p>
    <w:p w14:paraId="2D068C5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结合智慧水厂现场应用，通过实时语音和视频，专家可以直观地了解现场情况，并提供准确的指导。专家可以在远程指导时，直接在现场人员相关移动端、智能终端等设备的视图中添加标注、箭头、文本注释等，明确指出需要注意的地方或操作步骤，提高沟通效率。支持文档、图片、视频等文件的实时共享和协作编辑，使专家能够迅速发送相关图纸、手册、案例等资料给现场人员，辅助其快速解决问题。自动记录远程指导过程中的音视频、标注、注释等数据，用于后续的分析和评估。</w:t>
      </w:r>
    </w:p>
    <w:p w14:paraId="023FE038">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智能安防</w:t>
      </w:r>
    </w:p>
    <w:p w14:paraId="24702D06">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利用数字孪生底座，围绕防恐安保这个主题，融合云平台的相关数据和服务，真实展现高仿真环境下，将事件发生详细情况、人员分布情况、报警处置过程、现场视频、工单处理等情况，用迅速、直观、形象的方式进行展示。</w:t>
      </w:r>
    </w:p>
    <w:p w14:paraId="20DB2377">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功能主要包括：</w:t>
      </w:r>
    </w:p>
    <w:tbl>
      <w:tblPr>
        <w:tblStyle w:val="20"/>
        <w:tblW w:w="0" w:type="auto"/>
        <w:tblInd w:w="-114" w:type="dxa"/>
        <w:tblLayout w:type="fixed"/>
        <w:tblCellMar>
          <w:top w:w="0" w:type="dxa"/>
          <w:left w:w="108" w:type="dxa"/>
          <w:bottom w:w="0" w:type="dxa"/>
          <w:right w:w="108" w:type="dxa"/>
        </w:tblCellMar>
      </w:tblPr>
      <w:tblGrid>
        <w:gridCol w:w="770"/>
        <w:gridCol w:w="1190"/>
        <w:gridCol w:w="1316"/>
        <w:gridCol w:w="4834"/>
      </w:tblGrid>
      <w:tr w14:paraId="6A15B683">
        <w:tblPrEx>
          <w:tblCellMar>
            <w:top w:w="0" w:type="dxa"/>
            <w:left w:w="108" w:type="dxa"/>
            <w:bottom w:w="0" w:type="dxa"/>
            <w:right w:w="108" w:type="dxa"/>
          </w:tblCellMar>
        </w:tblPrEx>
        <w:trPr>
          <w:trHeight w:val="285"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7FD0A750">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序号</w:t>
            </w:r>
          </w:p>
        </w:tc>
        <w:tc>
          <w:tcPr>
            <w:tcW w:w="1190" w:type="dxa"/>
            <w:tcBorders>
              <w:top w:val="single" w:color="auto" w:sz="4" w:space="0"/>
              <w:left w:val="nil"/>
              <w:bottom w:val="single" w:color="auto" w:sz="4" w:space="0"/>
              <w:right w:val="single" w:color="auto" w:sz="4" w:space="0"/>
            </w:tcBorders>
            <w:noWrap/>
            <w:vAlign w:val="center"/>
          </w:tcPr>
          <w:p w14:paraId="2881378E">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功能</w:t>
            </w:r>
          </w:p>
        </w:tc>
        <w:tc>
          <w:tcPr>
            <w:tcW w:w="1316" w:type="dxa"/>
            <w:tcBorders>
              <w:top w:val="single" w:color="auto" w:sz="4" w:space="0"/>
              <w:left w:val="nil"/>
              <w:bottom w:val="single" w:color="auto" w:sz="4" w:space="0"/>
              <w:right w:val="single" w:color="auto" w:sz="4" w:space="0"/>
            </w:tcBorders>
            <w:noWrap/>
            <w:vAlign w:val="center"/>
          </w:tcPr>
          <w:p w14:paraId="1DE7A554">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功能细项</w:t>
            </w:r>
          </w:p>
        </w:tc>
        <w:tc>
          <w:tcPr>
            <w:tcW w:w="4834" w:type="dxa"/>
            <w:tcBorders>
              <w:top w:val="single" w:color="auto" w:sz="4" w:space="0"/>
              <w:left w:val="nil"/>
              <w:bottom w:val="single" w:color="auto" w:sz="4" w:space="0"/>
              <w:right w:val="single" w:color="auto" w:sz="4" w:space="0"/>
            </w:tcBorders>
            <w:noWrap/>
            <w:vAlign w:val="center"/>
          </w:tcPr>
          <w:p w14:paraId="23F4DDA4">
            <w:pPr>
              <w:widowControl/>
              <w:spacing w:line="360" w:lineRule="auto"/>
              <w:ind w:firstLine="440" w:firstLineChars="20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功能描述</w:t>
            </w:r>
          </w:p>
        </w:tc>
      </w:tr>
      <w:tr w14:paraId="74C040BC">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0DE160AE">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1</w:t>
            </w:r>
          </w:p>
        </w:tc>
        <w:tc>
          <w:tcPr>
            <w:tcW w:w="1190" w:type="dxa"/>
            <w:vMerge w:val="restart"/>
            <w:tcBorders>
              <w:top w:val="nil"/>
              <w:left w:val="single" w:color="auto" w:sz="4" w:space="0"/>
              <w:bottom w:val="single" w:color="auto" w:sz="4" w:space="0"/>
              <w:right w:val="single" w:color="auto" w:sz="4" w:space="0"/>
            </w:tcBorders>
            <w:noWrap w:val="0"/>
            <w:vAlign w:val="center"/>
          </w:tcPr>
          <w:p w14:paraId="6FE07318">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综合态势一张图</w:t>
            </w:r>
          </w:p>
        </w:tc>
        <w:tc>
          <w:tcPr>
            <w:tcW w:w="1316" w:type="dxa"/>
            <w:tcBorders>
              <w:top w:val="nil"/>
              <w:left w:val="nil"/>
              <w:bottom w:val="single" w:color="auto" w:sz="4" w:space="0"/>
              <w:right w:val="single" w:color="auto" w:sz="4" w:space="0"/>
            </w:tcBorders>
            <w:noWrap/>
            <w:vAlign w:val="center"/>
          </w:tcPr>
          <w:p w14:paraId="2C9B4CDC">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综合态势</w:t>
            </w:r>
          </w:p>
        </w:tc>
        <w:tc>
          <w:tcPr>
            <w:tcW w:w="4834" w:type="dxa"/>
            <w:tcBorders>
              <w:top w:val="nil"/>
              <w:left w:val="nil"/>
              <w:bottom w:val="single" w:color="auto" w:sz="4" w:space="0"/>
              <w:right w:val="single" w:color="auto" w:sz="4" w:space="0"/>
            </w:tcBorders>
            <w:noWrap w:val="0"/>
            <w:vAlign w:val="center"/>
          </w:tcPr>
          <w:p w14:paraId="10A1DB90">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汇集视频、门禁、报警等数据，以建筑体征模型为基础，构建智慧水厂体征指数，形成运行评估体系。</w:t>
            </w:r>
          </w:p>
        </w:tc>
      </w:tr>
      <w:tr w14:paraId="4CBB2E96">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60F4B64A">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2</w:t>
            </w:r>
          </w:p>
        </w:tc>
        <w:tc>
          <w:tcPr>
            <w:tcW w:w="1190" w:type="dxa"/>
            <w:vMerge w:val="continue"/>
            <w:tcBorders>
              <w:top w:val="nil"/>
              <w:left w:val="single" w:color="auto" w:sz="4" w:space="0"/>
              <w:bottom w:val="single" w:color="auto" w:sz="4" w:space="0"/>
              <w:right w:val="single" w:color="auto" w:sz="4" w:space="0"/>
            </w:tcBorders>
            <w:noWrap w:val="0"/>
            <w:vAlign w:val="center"/>
          </w:tcPr>
          <w:p w14:paraId="049911E4">
            <w:pPr>
              <w:widowControl/>
              <w:spacing w:line="360" w:lineRule="auto"/>
              <w:ind w:firstLine="440" w:firstLineChars="200"/>
              <w:jc w:val="center"/>
              <w:rPr>
                <w:rFonts w:hint="eastAsia" w:ascii="宋体" w:hAnsi="宋体" w:eastAsia="宋体" w:cs="宋体"/>
                <w:color w:val="auto"/>
                <w:kern w:val="0"/>
                <w:sz w:val="22"/>
                <w:szCs w:val="22"/>
                <w:highlight w:val="none"/>
                <w:lang w:eastAsia="zh-CN"/>
              </w:rPr>
            </w:pPr>
          </w:p>
        </w:tc>
        <w:tc>
          <w:tcPr>
            <w:tcW w:w="1316" w:type="dxa"/>
            <w:tcBorders>
              <w:top w:val="nil"/>
              <w:left w:val="nil"/>
              <w:bottom w:val="single" w:color="auto" w:sz="4" w:space="0"/>
              <w:right w:val="single" w:color="auto" w:sz="4" w:space="0"/>
            </w:tcBorders>
            <w:noWrap/>
            <w:vAlign w:val="center"/>
          </w:tcPr>
          <w:p w14:paraId="2EE86C19">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区域态势</w:t>
            </w:r>
          </w:p>
        </w:tc>
        <w:tc>
          <w:tcPr>
            <w:tcW w:w="4834" w:type="dxa"/>
            <w:tcBorders>
              <w:top w:val="nil"/>
              <w:left w:val="nil"/>
              <w:bottom w:val="single" w:color="auto" w:sz="4" w:space="0"/>
              <w:right w:val="single" w:color="auto" w:sz="4" w:space="0"/>
            </w:tcBorders>
            <w:noWrap w:val="0"/>
            <w:vAlign w:val="center"/>
          </w:tcPr>
          <w:p w14:paraId="18E52CDF">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支持对重点区域的进出人员、车辆、重要设施状态等的运行情况进行集中呈现，及时防止异常事件发生。</w:t>
            </w:r>
          </w:p>
        </w:tc>
      </w:tr>
      <w:tr w14:paraId="65AC31BE">
        <w:tblPrEx>
          <w:tblCellMar>
            <w:top w:w="0" w:type="dxa"/>
            <w:left w:w="108" w:type="dxa"/>
            <w:bottom w:w="0" w:type="dxa"/>
            <w:right w:w="108" w:type="dxa"/>
          </w:tblCellMar>
        </w:tblPrEx>
        <w:trPr>
          <w:trHeight w:val="57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5BD8E99E">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3</w:t>
            </w:r>
          </w:p>
        </w:tc>
        <w:tc>
          <w:tcPr>
            <w:tcW w:w="1190" w:type="dxa"/>
            <w:vMerge w:val="continue"/>
            <w:tcBorders>
              <w:top w:val="single" w:color="auto" w:sz="4" w:space="0"/>
              <w:left w:val="single" w:color="auto" w:sz="4" w:space="0"/>
              <w:bottom w:val="single" w:color="auto" w:sz="4" w:space="0"/>
              <w:right w:val="single" w:color="auto" w:sz="4" w:space="0"/>
            </w:tcBorders>
            <w:noWrap w:val="0"/>
            <w:vAlign w:val="center"/>
          </w:tcPr>
          <w:p w14:paraId="6BB75F88">
            <w:pPr>
              <w:widowControl/>
              <w:spacing w:line="360" w:lineRule="auto"/>
              <w:ind w:firstLine="440" w:firstLineChars="200"/>
              <w:jc w:val="center"/>
              <w:rPr>
                <w:rFonts w:hint="eastAsia" w:ascii="宋体" w:hAnsi="宋体" w:eastAsia="宋体" w:cs="宋体"/>
                <w:color w:val="auto"/>
                <w:kern w:val="0"/>
                <w:sz w:val="22"/>
                <w:szCs w:val="22"/>
                <w:highlight w:val="none"/>
                <w:lang w:eastAsia="zh-CN"/>
              </w:rPr>
            </w:pPr>
          </w:p>
        </w:tc>
        <w:tc>
          <w:tcPr>
            <w:tcW w:w="1316" w:type="dxa"/>
            <w:tcBorders>
              <w:top w:val="single" w:color="auto" w:sz="4" w:space="0"/>
              <w:left w:val="single" w:color="auto" w:sz="4" w:space="0"/>
              <w:bottom w:val="single" w:color="auto" w:sz="4" w:space="0"/>
              <w:right w:val="single" w:color="auto" w:sz="4" w:space="0"/>
            </w:tcBorders>
            <w:noWrap/>
            <w:vAlign w:val="center"/>
          </w:tcPr>
          <w:p w14:paraId="7F569917">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安全态势</w:t>
            </w:r>
          </w:p>
        </w:tc>
        <w:tc>
          <w:tcPr>
            <w:tcW w:w="4834" w:type="dxa"/>
            <w:tcBorders>
              <w:top w:val="single" w:color="auto" w:sz="4" w:space="0"/>
              <w:left w:val="single" w:color="auto" w:sz="4" w:space="0"/>
              <w:bottom w:val="single" w:color="auto" w:sz="4" w:space="0"/>
              <w:right w:val="single" w:color="auto" w:sz="4" w:space="0"/>
            </w:tcBorders>
            <w:noWrap w:val="0"/>
            <w:vAlign w:val="center"/>
          </w:tcPr>
          <w:p w14:paraId="3CB2872A">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将人员、车辆等厂区内重要信息，通过态势感知分析模块进行数据分析和统计，然后将生成的统计多维统计图表进行可视化大屏分区域展示。</w:t>
            </w:r>
          </w:p>
        </w:tc>
      </w:tr>
      <w:tr w14:paraId="646D6B1B">
        <w:tblPrEx>
          <w:tblCellMar>
            <w:top w:w="0" w:type="dxa"/>
            <w:left w:w="108" w:type="dxa"/>
            <w:bottom w:w="0" w:type="dxa"/>
            <w:right w:w="108" w:type="dxa"/>
          </w:tblCellMar>
        </w:tblPrEx>
        <w:trPr>
          <w:trHeight w:val="114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5AE272AA">
            <w:pPr>
              <w:widowControl/>
              <w:spacing w:line="360" w:lineRule="auto"/>
              <w:ind w:firstLine="0" w:firstLine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4</w:t>
            </w:r>
          </w:p>
        </w:tc>
        <w:tc>
          <w:tcPr>
            <w:tcW w:w="1190" w:type="dxa"/>
            <w:vMerge w:val="restart"/>
            <w:tcBorders>
              <w:top w:val="single" w:color="auto" w:sz="4" w:space="0"/>
              <w:left w:val="single" w:color="auto" w:sz="4" w:space="0"/>
              <w:bottom w:val="single" w:color="auto" w:sz="4" w:space="0"/>
              <w:right w:val="single" w:color="auto" w:sz="4" w:space="0"/>
            </w:tcBorders>
            <w:noWrap w:val="0"/>
            <w:vAlign w:val="center"/>
          </w:tcPr>
          <w:p w14:paraId="4F5F9DC7">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立体防控</w:t>
            </w:r>
          </w:p>
        </w:tc>
        <w:tc>
          <w:tcPr>
            <w:tcW w:w="1316" w:type="dxa"/>
            <w:tcBorders>
              <w:top w:val="single" w:color="auto" w:sz="4" w:space="0"/>
              <w:left w:val="nil"/>
              <w:bottom w:val="single" w:color="auto" w:sz="4" w:space="0"/>
              <w:right w:val="single" w:color="auto" w:sz="4" w:space="0"/>
            </w:tcBorders>
            <w:noWrap/>
            <w:vAlign w:val="center"/>
          </w:tcPr>
          <w:p w14:paraId="5CB44143">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AR实景</w:t>
            </w:r>
          </w:p>
        </w:tc>
        <w:tc>
          <w:tcPr>
            <w:tcW w:w="4834" w:type="dxa"/>
            <w:tcBorders>
              <w:top w:val="single" w:color="auto" w:sz="4" w:space="0"/>
              <w:left w:val="nil"/>
              <w:bottom w:val="single" w:color="auto" w:sz="4" w:space="0"/>
              <w:right w:val="single" w:color="auto" w:sz="4" w:space="0"/>
            </w:tcBorders>
            <w:noWrap w:val="0"/>
            <w:vAlign w:val="center"/>
          </w:tcPr>
          <w:p w14:paraId="09592B12">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基于视频GIS技术，结合电子地图、多层次视频联动、虚拟增强、空间位置转换等技术，建立地理信息与实时视频画面的自动关联，建立摄像机点位之间的视觉逻辑关系，实现人、车、物的布控信息预警与视频的联动，提供基于实时视频的直观作战指挥、重大事件安全保障等功能。</w:t>
            </w:r>
          </w:p>
        </w:tc>
      </w:tr>
      <w:tr w14:paraId="158F73F4">
        <w:tblPrEx>
          <w:tblCellMar>
            <w:top w:w="0" w:type="dxa"/>
            <w:left w:w="108" w:type="dxa"/>
            <w:bottom w:w="0" w:type="dxa"/>
            <w:right w:w="108" w:type="dxa"/>
          </w:tblCellMar>
        </w:tblPrEx>
        <w:trPr>
          <w:trHeight w:val="285" w:hRule="atLeast"/>
        </w:trPr>
        <w:tc>
          <w:tcPr>
            <w:tcW w:w="770" w:type="dxa"/>
            <w:tcBorders>
              <w:top w:val="nil"/>
              <w:left w:val="single" w:color="auto" w:sz="4" w:space="0"/>
              <w:bottom w:val="single" w:color="auto" w:sz="4" w:space="0"/>
              <w:right w:val="single" w:color="auto" w:sz="4" w:space="0"/>
            </w:tcBorders>
            <w:noWrap/>
            <w:vAlign w:val="center"/>
          </w:tcPr>
          <w:p w14:paraId="3A479AFF">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5</w:t>
            </w:r>
          </w:p>
        </w:tc>
        <w:tc>
          <w:tcPr>
            <w:tcW w:w="1190" w:type="dxa"/>
            <w:vMerge w:val="continue"/>
            <w:tcBorders>
              <w:top w:val="nil"/>
              <w:left w:val="single" w:color="auto" w:sz="4" w:space="0"/>
              <w:bottom w:val="single" w:color="auto" w:sz="4" w:space="0"/>
              <w:right w:val="single" w:color="auto" w:sz="4" w:space="0"/>
            </w:tcBorders>
            <w:noWrap w:val="0"/>
            <w:vAlign w:val="center"/>
          </w:tcPr>
          <w:p w14:paraId="7ED7DA8F">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0"/>
            <w:vAlign w:val="center"/>
          </w:tcPr>
          <w:p w14:paraId="38AE9D0B">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线路巡逻</w:t>
            </w:r>
          </w:p>
        </w:tc>
        <w:tc>
          <w:tcPr>
            <w:tcW w:w="4834" w:type="dxa"/>
            <w:tcBorders>
              <w:top w:val="nil"/>
              <w:left w:val="nil"/>
              <w:bottom w:val="single" w:color="auto" w:sz="4" w:space="0"/>
              <w:right w:val="single" w:color="auto" w:sz="4" w:space="0"/>
            </w:tcBorders>
            <w:noWrap w:val="0"/>
            <w:vAlign w:val="center"/>
          </w:tcPr>
          <w:p w14:paraId="2C78DE55">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将智能设备轨迹、监控巡逻状况进行展现。</w:t>
            </w:r>
          </w:p>
        </w:tc>
      </w:tr>
      <w:tr w14:paraId="68ABF5A4">
        <w:tblPrEx>
          <w:tblCellMar>
            <w:top w:w="0" w:type="dxa"/>
            <w:left w:w="108" w:type="dxa"/>
            <w:bottom w:w="0" w:type="dxa"/>
            <w:right w:w="108" w:type="dxa"/>
          </w:tblCellMar>
        </w:tblPrEx>
        <w:trPr>
          <w:trHeight w:val="285" w:hRule="atLeast"/>
        </w:trPr>
        <w:tc>
          <w:tcPr>
            <w:tcW w:w="770" w:type="dxa"/>
            <w:tcBorders>
              <w:top w:val="nil"/>
              <w:left w:val="single" w:color="auto" w:sz="4" w:space="0"/>
              <w:bottom w:val="single" w:color="auto" w:sz="4" w:space="0"/>
              <w:right w:val="single" w:color="auto" w:sz="4" w:space="0"/>
            </w:tcBorders>
            <w:noWrap/>
            <w:vAlign w:val="center"/>
          </w:tcPr>
          <w:p w14:paraId="65CACA35">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6</w:t>
            </w:r>
          </w:p>
        </w:tc>
        <w:tc>
          <w:tcPr>
            <w:tcW w:w="1190" w:type="dxa"/>
            <w:vMerge w:val="continue"/>
            <w:tcBorders>
              <w:top w:val="nil"/>
              <w:left w:val="single" w:color="auto" w:sz="4" w:space="0"/>
              <w:bottom w:val="single" w:color="auto" w:sz="4" w:space="0"/>
              <w:right w:val="single" w:color="auto" w:sz="4" w:space="0"/>
            </w:tcBorders>
            <w:noWrap w:val="0"/>
            <w:vAlign w:val="center"/>
          </w:tcPr>
          <w:p w14:paraId="48E37F91">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0"/>
            <w:vAlign w:val="center"/>
          </w:tcPr>
          <w:p w14:paraId="18C803EB">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区域联动</w:t>
            </w:r>
          </w:p>
        </w:tc>
        <w:tc>
          <w:tcPr>
            <w:tcW w:w="4834" w:type="dxa"/>
            <w:tcBorders>
              <w:top w:val="nil"/>
              <w:left w:val="nil"/>
              <w:bottom w:val="single" w:color="auto" w:sz="4" w:space="0"/>
              <w:right w:val="single" w:color="auto" w:sz="4" w:space="0"/>
            </w:tcBorders>
            <w:noWrap w:val="0"/>
            <w:vAlign w:val="center"/>
          </w:tcPr>
          <w:p w14:paraId="5A4B1209">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基于低点监控实时位置，实现实景地图、视频快速联动、地图全局调度等。</w:t>
            </w:r>
          </w:p>
        </w:tc>
      </w:tr>
      <w:tr w14:paraId="54DFE329">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257340BC">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7</w:t>
            </w:r>
          </w:p>
        </w:tc>
        <w:tc>
          <w:tcPr>
            <w:tcW w:w="1190" w:type="dxa"/>
            <w:vMerge w:val="continue"/>
            <w:tcBorders>
              <w:top w:val="nil"/>
              <w:left w:val="single" w:color="auto" w:sz="4" w:space="0"/>
              <w:bottom w:val="single" w:color="auto" w:sz="4" w:space="0"/>
              <w:right w:val="single" w:color="auto" w:sz="4" w:space="0"/>
            </w:tcBorders>
            <w:noWrap w:val="0"/>
            <w:vAlign w:val="center"/>
          </w:tcPr>
          <w:p w14:paraId="71A6321B">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0"/>
            <w:vAlign w:val="center"/>
          </w:tcPr>
          <w:p w14:paraId="4C673330">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高低联动</w:t>
            </w:r>
          </w:p>
        </w:tc>
        <w:tc>
          <w:tcPr>
            <w:tcW w:w="4834" w:type="dxa"/>
            <w:tcBorders>
              <w:top w:val="nil"/>
              <w:left w:val="nil"/>
              <w:bottom w:val="single" w:color="auto" w:sz="4" w:space="0"/>
              <w:right w:val="single" w:color="auto" w:sz="4" w:space="0"/>
            </w:tcBorders>
            <w:noWrap w:val="0"/>
            <w:vAlign w:val="center"/>
          </w:tcPr>
          <w:p w14:paraId="0CAF2421">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利用厂区高点监控，可实现于低点监控、消防监测、无人机等之间实现可视化同步显示。</w:t>
            </w:r>
          </w:p>
        </w:tc>
      </w:tr>
      <w:tr w14:paraId="27E06989">
        <w:tblPrEx>
          <w:tblCellMar>
            <w:top w:w="0" w:type="dxa"/>
            <w:left w:w="108" w:type="dxa"/>
            <w:bottom w:w="0" w:type="dxa"/>
            <w:right w:w="108" w:type="dxa"/>
          </w:tblCellMar>
        </w:tblPrEx>
        <w:trPr>
          <w:trHeight w:val="1425" w:hRule="atLeast"/>
        </w:trPr>
        <w:tc>
          <w:tcPr>
            <w:tcW w:w="770" w:type="dxa"/>
            <w:tcBorders>
              <w:top w:val="nil"/>
              <w:left w:val="single" w:color="auto" w:sz="4" w:space="0"/>
              <w:bottom w:val="single" w:color="auto" w:sz="4" w:space="0"/>
              <w:right w:val="single" w:color="auto" w:sz="4" w:space="0"/>
            </w:tcBorders>
            <w:noWrap/>
            <w:vAlign w:val="center"/>
          </w:tcPr>
          <w:p w14:paraId="4132A5E3">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8</w:t>
            </w:r>
          </w:p>
        </w:tc>
        <w:tc>
          <w:tcPr>
            <w:tcW w:w="1190" w:type="dxa"/>
            <w:vMerge w:val="restart"/>
            <w:tcBorders>
              <w:top w:val="nil"/>
              <w:left w:val="single" w:color="auto" w:sz="4" w:space="0"/>
              <w:bottom w:val="single" w:color="auto" w:sz="4" w:space="0"/>
              <w:right w:val="single" w:color="auto" w:sz="4" w:space="0"/>
            </w:tcBorders>
            <w:noWrap w:val="0"/>
            <w:vAlign w:val="center"/>
          </w:tcPr>
          <w:p w14:paraId="30BE9B15">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智能探测</w:t>
            </w:r>
          </w:p>
        </w:tc>
        <w:tc>
          <w:tcPr>
            <w:tcW w:w="1316" w:type="dxa"/>
            <w:tcBorders>
              <w:top w:val="nil"/>
              <w:left w:val="nil"/>
              <w:bottom w:val="single" w:color="auto" w:sz="4" w:space="0"/>
              <w:right w:val="single" w:color="auto" w:sz="4" w:space="0"/>
            </w:tcBorders>
            <w:noWrap/>
            <w:vAlign w:val="center"/>
          </w:tcPr>
          <w:p w14:paraId="0DBE1AA8">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人员监测</w:t>
            </w:r>
          </w:p>
        </w:tc>
        <w:tc>
          <w:tcPr>
            <w:tcW w:w="4834" w:type="dxa"/>
            <w:tcBorders>
              <w:top w:val="nil"/>
              <w:left w:val="nil"/>
              <w:bottom w:val="single" w:color="auto" w:sz="4" w:space="0"/>
              <w:right w:val="single" w:color="auto" w:sz="4" w:space="0"/>
            </w:tcBorders>
            <w:noWrap w:val="0"/>
            <w:vAlign w:val="center"/>
          </w:tcPr>
          <w:p w14:paraId="05283C3C">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支持对进出园区、通道、楼宇、重要区域的人员管理，实现人员的信息提取、侦别、比对、研判、预警、轨迹研判和处置等。</w:t>
            </w:r>
          </w:p>
          <w:p w14:paraId="3F0CB77B">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系统可将闯入、黑名单对比中、异常行为等告警事件实时推送到系统平台，并启动自动/人工处置流程。</w:t>
            </w:r>
          </w:p>
        </w:tc>
      </w:tr>
      <w:tr w14:paraId="39397DF9">
        <w:tblPrEx>
          <w:tblCellMar>
            <w:top w:w="0" w:type="dxa"/>
            <w:left w:w="108" w:type="dxa"/>
            <w:bottom w:w="0" w:type="dxa"/>
            <w:right w:w="108" w:type="dxa"/>
          </w:tblCellMar>
        </w:tblPrEx>
        <w:trPr>
          <w:trHeight w:val="285" w:hRule="atLeast"/>
        </w:trPr>
        <w:tc>
          <w:tcPr>
            <w:tcW w:w="770" w:type="dxa"/>
            <w:tcBorders>
              <w:top w:val="nil"/>
              <w:left w:val="single" w:color="auto" w:sz="4" w:space="0"/>
              <w:bottom w:val="single" w:color="auto" w:sz="4" w:space="0"/>
              <w:right w:val="single" w:color="auto" w:sz="4" w:space="0"/>
            </w:tcBorders>
            <w:noWrap/>
            <w:vAlign w:val="center"/>
          </w:tcPr>
          <w:p w14:paraId="06A08B16">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9</w:t>
            </w:r>
          </w:p>
        </w:tc>
        <w:tc>
          <w:tcPr>
            <w:tcW w:w="1190" w:type="dxa"/>
            <w:vMerge w:val="continue"/>
            <w:tcBorders>
              <w:top w:val="nil"/>
              <w:left w:val="single" w:color="auto" w:sz="4" w:space="0"/>
              <w:bottom w:val="single" w:color="auto" w:sz="4" w:space="0"/>
              <w:right w:val="single" w:color="auto" w:sz="4" w:space="0"/>
            </w:tcBorders>
            <w:noWrap w:val="0"/>
            <w:vAlign w:val="center"/>
          </w:tcPr>
          <w:p w14:paraId="350E40D1">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ign w:val="center"/>
          </w:tcPr>
          <w:p w14:paraId="4FF6E455">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车辆监测</w:t>
            </w:r>
          </w:p>
        </w:tc>
        <w:tc>
          <w:tcPr>
            <w:tcW w:w="4834" w:type="dxa"/>
            <w:tcBorders>
              <w:top w:val="nil"/>
              <w:left w:val="nil"/>
              <w:bottom w:val="single" w:color="auto" w:sz="4" w:space="0"/>
              <w:right w:val="single" w:color="auto" w:sz="4" w:space="0"/>
            </w:tcBorders>
            <w:noWrap w:val="0"/>
            <w:vAlign w:val="center"/>
          </w:tcPr>
          <w:p w14:paraId="3800B55B">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持车辆信息、进出厂区、行为轨迹、异常报警、黑名单管理、数据统计等。</w:t>
            </w:r>
          </w:p>
        </w:tc>
      </w:tr>
      <w:tr w14:paraId="32116B47">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1ADF2DD7">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10</w:t>
            </w:r>
          </w:p>
        </w:tc>
        <w:tc>
          <w:tcPr>
            <w:tcW w:w="1190" w:type="dxa"/>
            <w:vMerge w:val="continue"/>
            <w:tcBorders>
              <w:top w:val="nil"/>
              <w:left w:val="single" w:color="auto" w:sz="4" w:space="0"/>
              <w:bottom w:val="single" w:color="auto" w:sz="4" w:space="0"/>
              <w:right w:val="single" w:color="auto" w:sz="4" w:space="0"/>
            </w:tcBorders>
            <w:noWrap w:val="0"/>
            <w:vAlign w:val="center"/>
          </w:tcPr>
          <w:p w14:paraId="0F5E6E21">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0"/>
            <w:vAlign w:val="center"/>
          </w:tcPr>
          <w:p w14:paraId="22135017">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高危监测</w:t>
            </w:r>
          </w:p>
        </w:tc>
        <w:tc>
          <w:tcPr>
            <w:tcW w:w="4834" w:type="dxa"/>
            <w:tcBorders>
              <w:top w:val="nil"/>
              <w:left w:val="nil"/>
              <w:bottom w:val="single" w:color="auto" w:sz="4" w:space="0"/>
              <w:right w:val="single" w:color="auto" w:sz="4" w:space="0"/>
            </w:tcBorders>
            <w:noWrap w:val="0"/>
            <w:vAlign w:val="center"/>
          </w:tcPr>
          <w:p w14:paraId="6CE6DE97">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支持水池区域人员进入的视频自动识别、车辆经过高压危险区域的自动识别等功能。</w:t>
            </w:r>
          </w:p>
        </w:tc>
      </w:tr>
      <w:tr w14:paraId="7A4793C8">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6C654C66">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11</w:t>
            </w:r>
          </w:p>
        </w:tc>
        <w:tc>
          <w:tcPr>
            <w:tcW w:w="1190" w:type="dxa"/>
            <w:vMerge w:val="restart"/>
            <w:tcBorders>
              <w:top w:val="nil"/>
              <w:left w:val="single" w:color="auto" w:sz="4" w:space="0"/>
              <w:bottom w:val="single" w:color="auto" w:sz="4" w:space="0"/>
              <w:right w:val="single" w:color="auto" w:sz="4" w:space="0"/>
            </w:tcBorders>
            <w:noWrap/>
            <w:vAlign w:val="center"/>
          </w:tcPr>
          <w:p w14:paraId="79283973">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动态调度</w:t>
            </w:r>
          </w:p>
        </w:tc>
        <w:tc>
          <w:tcPr>
            <w:tcW w:w="1316" w:type="dxa"/>
            <w:tcBorders>
              <w:top w:val="nil"/>
              <w:left w:val="nil"/>
              <w:bottom w:val="single" w:color="auto" w:sz="4" w:space="0"/>
              <w:right w:val="single" w:color="auto" w:sz="4" w:space="0"/>
            </w:tcBorders>
            <w:noWrap/>
            <w:vAlign w:val="center"/>
          </w:tcPr>
          <w:p w14:paraId="6C712EBB">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资源管理</w:t>
            </w:r>
          </w:p>
        </w:tc>
        <w:tc>
          <w:tcPr>
            <w:tcW w:w="4834" w:type="dxa"/>
            <w:tcBorders>
              <w:top w:val="nil"/>
              <w:left w:val="nil"/>
              <w:bottom w:val="single" w:color="auto" w:sz="4" w:space="0"/>
              <w:right w:val="single" w:color="auto" w:sz="4" w:space="0"/>
            </w:tcBorders>
            <w:noWrap w:val="0"/>
            <w:vAlign w:val="center"/>
          </w:tcPr>
          <w:p w14:paraId="41D2E4AA">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支持执法记录仪、无人机、无人车等活动单元以可视化方式展示，当发生异常情况时，可根据实际发生位置，就近派发人员进行处置。</w:t>
            </w:r>
          </w:p>
        </w:tc>
      </w:tr>
      <w:tr w14:paraId="5CB809E3">
        <w:tblPrEx>
          <w:tblCellMar>
            <w:top w:w="0" w:type="dxa"/>
            <w:left w:w="108" w:type="dxa"/>
            <w:bottom w:w="0" w:type="dxa"/>
            <w:right w:w="108" w:type="dxa"/>
          </w:tblCellMar>
        </w:tblPrEx>
        <w:trPr>
          <w:trHeight w:val="855"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35B913B1">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12</w:t>
            </w:r>
          </w:p>
        </w:tc>
        <w:tc>
          <w:tcPr>
            <w:tcW w:w="1190" w:type="dxa"/>
            <w:vMerge w:val="continue"/>
            <w:tcBorders>
              <w:top w:val="single" w:color="auto" w:sz="4" w:space="0"/>
              <w:left w:val="single" w:color="auto" w:sz="4" w:space="0"/>
              <w:bottom w:val="single" w:color="auto" w:sz="4" w:space="0"/>
              <w:right w:val="single" w:color="auto" w:sz="4" w:space="0"/>
            </w:tcBorders>
            <w:noWrap w:val="0"/>
            <w:vAlign w:val="center"/>
          </w:tcPr>
          <w:p w14:paraId="769F7CE3">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single" w:color="auto" w:sz="4" w:space="0"/>
              <w:left w:val="single" w:color="auto" w:sz="4" w:space="0"/>
              <w:bottom w:val="single" w:color="auto" w:sz="4" w:space="0"/>
              <w:right w:val="single" w:color="auto" w:sz="4" w:space="0"/>
            </w:tcBorders>
            <w:noWrap/>
            <w:vAlign w:val="center"/>
          </w:tcPr>
          <w:p w14:paraId="11FEFB33">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实时调度</w:t>
            </w:r>
          </w:p>
        </w:tc>
        <w:tc>
          <w:tcPr>
            <w:tcW w:w="4834" w:type="dxa"/>
            <w:tcBorders>
              <w:top w:val="single" w:color="auto" w:sz="4" w:space="0"/>
              <w:left w:val="single" w:color="auto" w:sz="4" w:space="0"/>
              <w:bottom w:val="single" w:color="auto" w:sz="4" w:space="0"/>
              <w:right w:val="single" w:color="auto" w:sz="4" w:space="0"/>
            </w:tcBorders>
            <w:noWrap w:val="0"/>
            <w:vAlign w:val="center"/>
          </w:tcPr>
          <w:p w14:paraId="0D130508">
            <w:pPr>
              <w:widowControl/>
              <w:spacing w:line="360" w:lineRule="auto"/>
              <w:ind w:firstLine="0" w:firstLineChars="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通过实时调度，能够分配实时智能分析的摄像头。然后，采用地图框选的方式选择需要加入实时分析的摄像头，也可预设摄像头组，实现快速切入。最后，点击调度，实现智能分析算力的再分配。</w:t>
            </w:r>
          </w:p>
        </w:tc>
      </w:tr>
      <w:tr w14:paraId="622EEEB0">
        <w:tblPrEx>
          <w:tblCellMar>
            <w:top w:w="0" w:type="dxa"/>
            <w:left w:w="108" w:type="dxa"/>
            <w:bottom w:w="0" w:type="dxa"/>
            <w:right w:w="108" w:type="dxa"/>
          </w:tblCellMar>
        </w:tblPrEx>
        <w:trPr>
          <w:trHeight w:val="855"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6CF8CFF1">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13</w:t>
            </w:r>
          </w:p>
        </w:tc>
        <w:tc>
          <w:tcPr>
            <w:tcW w:w="1190" w:type="dxa"/>
            <w:vMerge w:val="continue"/>
            <w:tcBorders>
              <w:top w:val="single" w:color="auto" w:sz="4" w:space="0"/>
              <w:left w:val="single" w:color="auto" w:sz="4" w:space="0"/>
              <w:bottom w:val="single" w:color="auto" w:sz="4" w:space="0"/>
              <w:right w:val="single" w:color="auto" w:sz="4" w:space="0"/>
            </w:tcBorders>
            <w:noWrap w:val="0"/>
            <w:vAlign w:val="center"/>
          </w:tcPr>
          <w:p w14:paraId="1A56FCDB">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single" w:color="auto" w:sz="4" w:space="0"/>
              <w:left w:val="nil"/>
              <w:bottom w:val="single" w:color="auto" w:sz="4" w:space="0"/>
              <w:right w:val="single" w:color="auto" w:sz="4" w:space="0"/>
            </w:tcBorders>
            <w:noWrap/>
            <w:vAlign w:val="center"/>
          </w:tcPr>
          <w:p w14:paraId="5758230F">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任务派发</w:t>
            </w:r>
          </w:p>
        </w:tc>
        <w:tc>
          <w:tcPr>
            <w:tcW w:w="4834" w:type="dxa"/>
            <w:tcBorders>
              <w:top w:val="single" w:color="auto" w:sz="4" w:space="0"/>
              <w:left w:val="nil"/>
              <w:bottom w:val="single" w:color="auto" w:sz="4" w:space="0"/>
              <w:right w:val="single" w:color="auto" w:sz="4" w:space="0"/>
            </w:tcBorders>
            <w:noWrap w:val="0"/>
            <w:vAlign w:val="center"/>
          </w:tcPr>
          <w:p w14:paraId="112CD456">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支持不同任务的派发机制，包括实时、定时、指定团组、抄送人员等；</w:t>
            </w:r>
          </w:p>
          <w:p w14:paraId="5C51E65A">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事件信息中的特征关联到具体事件分类、通过事件分类关联到事件的权责单位、通过事件信息中位置信息关联到具体部门或个人。</w:t>
            </w:r>
          </w:p>
        </w:tc>
      </w:tr>
      <w:tr w14:paraId="30763522">
        <w:tblPrEx>
          <w:tblCellMar>
            <w:top w:w="0" w:type="dxa"/>
            <w:left w:w="108" w:type="dxa"/>
            <w:bottom w:w="0" w:type="dxa"/>
            <w:right w:w="108" w:type="dxa"/>
          </w:tblCellMar>
        </w:tblPrEx>
        <w:trPr>
          <w:trHeight w:val="1140" w:hRule="atLeast"/>
        </w:trPr>
        <w:tc>
          <w:tcPr>
            <w:tcW w:w="770" w:type="dxa"/>
            <w:tcBorders>
              <w:top w:val="nil"/>
              <w:left w:val="single" w:color="auto" w:sz="4" w:space="0"/>
              <w:bottom w:val="single" w:color="auto" w:sz="4" w:space="0"/>
              <w:right w:val="single" w:color="auto" w:sz="4" w:space="0"/>
            </w:tcBorders>
            <w:noWrap/>
            <w:vAlign w:val="center"/>
          </w:tcPr>
          <w:p w14:paraId="0360ECFB">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14</w:t>
            </w:r>
          </w:p>
        </w:tc>
        <w:tc>
          <w:tcPr>
            <w:tcW w:w="1190" w:type="dxa"/>
            <w:vMerge w:val="restart"/>
            <w:tcBorders>
              <w:top w:val="nil"/>
              <w:left w:val="single" w:color="auto" w:sz="4" w:space="0"/>
              <w:bottom w:val="single" w:color="auto" w:sz="4" w:space="0"/>
              <w:right w:val="single" w:color="auto" w:sz="4" w:space="0"/>
            </w:tcBorders>
            <w:noWrap w:val="0"/>
            <w:vAlign w:val="center"/>
          </w:tcPr>
          <w:p w14:paraId="161A098D">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智能搜索</w:t>
            </w:r>
          </w:p>
        </w:tc>
        <w:tc>
          <w:tcPr>
            <w:tcW w:w="1316" w:type="dxa"/>
            <w:tcBorders>
              <w:top w:val="nil"/>
              <w:left w:val="nil"/>
              <w:bottom w:val="single" w:color="auto" w:sz="4" w:space="0"/>
              <w:right w:val="single" w:color="auto" w:sz="4" w:space="0"/>
            </w:tcBorders>
            <w:noWrap/>
            <w:vAlign w:val="center"/>
          </w:tcPr>
          <w:p w14:paraId="7CFCF12C">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图搜搜人</w:t>
            </w:r>
          </w:p>
        </w:tc>
        <w:tc>
          <w:tcPr>
            <w:tcW w:w="4834" w:type="dxa"/>
            <w:tcBorders>
              <w:top w:val="nil"/>
              <w:left w:val="nil"/>
              <w:bottom w:val="single" w:color="auto" w:sz="4" w:space="0"/>
              <w:right w:val="single" w:color="auto" w:sz="4" w:space="0"/>
            </w:tcBorders>
            <w:noWrap w:val="0"/>
            <w:vAlign w:val="center"/>
          </w:tcPr>
          <w:p w14:paraId="50BB2D45">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跳转进入平台工作页面，图像研判模块中，包括四类搜索对象的图片搜索，人脸、人体、机动车、非机动车。我们以图搜人体为例，介绍智能检索的核心功能。选择相应的时间范围，选择粒度可以精确到分钟。</w:t>
            </w:r>
          </w:p>
        </w:tc>
      </w:tr>
      <w:tr w14:paraId="0ACA5F18">
        <w:tblPrEx>
          <w:tblCellMar>
            <w:top w:w="0" w:type="dxa"/>
            <w:left w:w="108" w:type="dxa"/>
            <w:bottom w:w="0" w:type="dxa"/>
            <w:right w:w="108" w:type="dxa"/>
          </w:tblCellMar>
        </w:tblPrEx>
        <w:trPr>
          <w:trHeight w:val="855" w:hRule="atLeast"/>
        </w:trPr>
        <w:tc>
          <w:tcPr>
            <w:tcW w:w="770" w:type="dxa"/>
            <w:tcBorders>
              <w:top w:val="nil"/>
              <w:left w:val="single" w:color="auto" w:sz="4" w:space="0"/>
              <w:bottom w:val="single" w:color="auto" w:sz="4" w:space="0"/>
              <w:right w:val="single" w:color="auto" w:sz="4" w:space="0"/>
            </w:tcBorders>
            <w:noWrap/>
            <w:vAlign w:val="center"/>
          </w:tcPr>
          <w:p w14:paraId="732DA4DA">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15</w:t>
            </w:r>
          </w:p>
        </w:tc>
        <w:tc>
          <w:tcPr>
            <w:tcW w:w="1190" w:type="dxa"/>
            <w:vMerge w:val="continue"/>
            <w:tcBorders>
              <w:top w:val="nil"/>
              <w:left w:val="single" w:color="auto" w:sz="4" w:space="0"/>
              <w:bottom w:val="single" w:color="auto" w:sz="4" w:space="0"/>
              <w:right w:val="single" w:color="auto" w:sz="4" w:space="0"/>
            </w:tcBorders>
            <w:noWrap w:val="0"/>
            <w:vAlign w:val="center"/>
          </w:tcPr>
          <w:p w14:paraId="0692486A">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ign w:val="center"/>
          </w:tcPr>
          <w:p w14:paraId="353CED20">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属性搜索</w:t>
            </w:r>
          </w:p>
        </w:tc>
        <w:tc>
          <w:tcPr>
            <w:tcW w:w="4834" w:type="dxa"/>
            <w:tcBorders>
              <w:top w:val="nil"/>
              <w:left w:val="nil"/>
              <w:bottom w:val="single" w:color="auto" w:sz="4" w:space="0"/>
              <w:right w:val="single" w:color="auto" w:sz="4" w:space="0"/>
            </w:tcBorders>
            <w:noWrap w:val="0"/>
            <w:vAlign w:val="center"/>
          </w:tcPr>
          <w:p w14:paraId="70CCDD6E">
            <w:pPr>
              <w:widowControl/>
              <w:spacing w:line="360" w:lineRule="auto"/>
              <w:ind w:firstLine="0" w:firstLineChars="0"/>
              <w:jc w:val="left"/>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zh-CN"/>
              </w:rPr>
              <w:t>跳转进入平台工作界面，支持按照人体、人脸、机动车、非机动车的告警事件类型进行筛选，支持选择筛选的时间范围，颗粒度可以精度到分钟，支持根据不同组织、不同点位进行筛选。</w:t>
            </w:r>
          </w:p>
        </w:tc>
      </w:tr>
      <w:tr w14:paraId="073AFE7E">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6D1016A5">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16</w:t>
            </w:r>
          </w:p>
        </w:tc>
        <w:tc>
          <w:tcPr>
            <w:tcW w:w="1190" w:type="dxa"/>
            <w:vMerge w:val="continue"/>
            <w:tcBorders>
              <w:top w:val="nil"/>
              <w:left w:val="single" w:color="auto" w:sz="4" w:space="0"/>
              <w:bottom w:val="single" w:color="auto" w:sz="4" w:space="0"/>
              <w:right w:val="single" w:color="auto" w:sz="4" w:space="0"/>
            </w:tcBorders>
            <w:noWrap w:val="0"/>
            <w:vAlign w:val="center"/>
          </w:tcPr>
          <w:p w14:paraId="5294C4BA">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ign w:val="center"/>
          </w:tcPr>
          <w:p w14:paraId="5D7BADBC">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轨迹研判</w:t>
            </w:r>
          </w:p>
        </w:tc>
        <w:tc>
          <w:tcPr>
            <w:tcW w:w="4834" w:type="dxa"/>
            <w:tcBorders>
              <w:top w:val="nil"/>
              <w:left w:val="nil"/>
              <w:bottom w:val="single" w:color="auto" w:sz="4" w:space="0"/>
              <w:right w:val="single" w:color="auto" w:sz="4" w:space="0"/>
            </w:tcBorders>
            <w:noWrap w:val="0"/>
            <w:vAlign w:val="center"/>
          </w:tcPr>
          <w:p w14:paraId="055DCD27">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支持输入人体图片，支持选择筛选的时间范围，颗粒度可以精度到分钟，对历史出现的轨迹进行还原。</w:t>
            </w:r>
          </w:p>
        </w:tc>
      </w:tr>
      <w:tr w14:paraId="56FDFBB2">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6CC952C7">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17</w:t>
            </w:r>
          </w:p>
        </w:tc>
        <w:tc>
          <w:tcPr>
            <w:tcW w:w="1190" w:type="dxa"/>
            <w:vMerge w:val="restart"/>
            <w:tcBorders>
              <w:top w:val="nil"/>
              <w:left w:val="single" w:color="auto" w:sz="4" w:space="0"/>
              <w:bottom w:val="single" w:color="auto" w:sz="4" w:space="0"/>
              <w:right w:val="single" w:color="auto" w:sz="4" w:space="0"/>
            </w:tcBorders>
            <w:noWrap/>
            <w:vAlign w:val="center"/>
          </w:tcPr>
          <w:p w14:paraId="16B4A88E">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分析研判</w:t>
            </w:r>
          </w:p>
        </w:tc>
        <w:tc>
          <w:tcPr>
            <w:tcW w:w="1316" w:type="dxa"/>
            <w:tcBorders>
              <w:top w:val="nil"/>
              <w:left w:val="nil"/>
              <w:bottom w:val="single" w:color="auto" w:sz="4" w:space="0"/>
              <w:right w:val="single" w:color="auto" w:sz="4" w:space="0"/>
            </w:tcBorders>
            <w:noWrap/>
            <w:vAlign w:val="center"/>
          </w:tcPr>
          <w:p w14:paraId="358B35FE">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频繁出没</w:t>
            </w:r>
          </w:p>
        </w:tc>
        <w:tc>
          <w:tcPr>
            <w:tcW w:w="4834" w:type="dxa"/>
            <w:tcBorders>
              <w:top w:val="nil"/>
              <w:left w:val="nil"/>
              <w:bottom w:val="single" w:color="auto" w:sz="4" w:space="0"/>
              <w:right w:val="single" w:color="auto" w:sz="4" w:space="0"/>
            </w:tcBorders>
            <w:noWrap w:val="0"/>
            <w:vAlign w:val="center"/>
          </w:tcPr>
          <w:p w14:paraId="410F3CBA">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分析在某段时间、指定地点范围内频繁出没的人员。同时，系统提供对检索结果按时间、地点、时间段等多维度的筛选，帮助民警快速发现有价值的信息。</w:t>
            </w:r>
          </w:p>
        </w:tc>
      </w:tr>
      <w:tr w14:paraId="27B79442">
        <w:tblPrEx>
          <w:tblCellMar>
            <w:top w:w="0" w:type="dxa"/>
            <w:left w:w="108" w:type="dxa"/>
            <w:bottom w:w="0" w:type="dxa"/>
            <w:right w:w="108" w:type="dxa"/>
          </w:tblCellMar>
        </w:tblPrEx>
        <w:trPr>
          <w:trHeight w:val="570" w:hRule="atLeast"/>
        </w:trPr>
        <w:tc>
          <w:tcPr>
            <w:tcW w:w="770" w:type="dxa"/>
            <w:tcBorders>
              <w:top w:val="nil"/>
              <w:left w:val="single" w:color="auto" w:sz="4" w:space="0"/>
              <w:bottom w:val="single" w:color="auto" w:sz="4" w:space="0"/>
              <w:right w:val="single" w:color="auto" w:sz="4" w:space="0"/>
            </w:tcBorders>
            <w:noWrap/>
            <w:vAlign w:val="center"/>
          </w:tcPr>
          <w:p w14:paraId="48A7DA47">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18</w:t>
            </w:r>
          </w:p>
        </w:tc>
        <w:tc>
          <w:tcPr>
            <w:tcW w:w="1190" w:type="dxa"/>
            <w:vMerge w:val="continue"/>
            <w:tcBorders>
              <w:top w:val="nil"/>
              <w:left w:val="single" w:color="auto" w:sz="4" w:space="0"/>
              <w:bottom w:val="single" w:color="auto" w:sz="4" w:space="0"/>
              <w:right w:val="single" w:color="auto" w:sz="4" w:space="0"/>
            </w:tcBorders>
            <w:noWrap w:val="0"/>
            <w:vAlign w:val="center"/>
          </w:tcPr>
          <w:p w14:paraId="685D1DBA">
            <w:pPr>
              <w:widowControl/>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16" w:type="dxa"/>
            <w:tcBorders>
              <w:top w:val="nil"/>
              <w:left w:val="nil"/>
              <w:bottom w:val="single" w:color="auto" w:sz="4" w:space="0"/>
              <w:right w:val="single" w:color="auto" w:sz="4" w:space="0"/>
            </w:tcBorders>
            <w:noWrap/>
            <w:vAlign w:val="center"/>
          </w:tcPr>
          <w:p w14:paraId="708F0403">
            <w:pPr>
              <w:widowControl/>
              <w:spacing w:line="360" w:lineRule="auto"/>
              <w:ind w:firstLine="0" w:firstLineChars="0"/>
              <w:jc w:val="center"/>
              <w:rPr>
                <w:rFonts w:hint="eastAsia" w:ascii="宋体" w:hAnsi="宋体" w:eastAsia="宋体" w:cs="宋体"/>
                <w:color w:val="auto"/>
                <w:kern w:val="0"/>
                <w:sz w:val="22"/>
                <w:szCs w:val="22"/>
                <w:highlight w:val="none"/>
                <w:lang w:eastAsia="en-US"/>
              </w:rPr>
            </w:pPr>
            <w:r>
              <w:rPr>
                <w:rFonts w:hint="eastAsia" w:ascii="宋体" w:hAnsi="宋体" w:eastAsia="宋体" w:cs="宋体"/>
                <w:color w:val="auto"/>
                <w:kern w:val="0"/>
                <w:sz w:val="22"/>
                <w:szCs w:val="22"/>
                <w:highlight w:val="none"/>
                <w:lang w:eastAsia="en-US"/>
              </w:rPr>
              <w:t>时空碰撞</w:t>
            </w:r>
          </w:p>
        </w:tc>
        <w:tc>
          <w:tcPr>
            <w:tcW w:w="4834" w:type="dxa"/>
            <w:tcBorders>
              <w:top w:val="nil"/>
              <w:left w:val="nil"/>
              <w:bottom w:val="single" w:color="auto" w:sz="4" w:space="0"/>
              <w:right w:val="single" w:color="auto" w:sz="4" w:space="0"/>
            </w:tcBorders>
            <w:noWrap w:val="0"/>
            <w:vAlign w:val="center"/>
          </w:tcPr>
          <w:p w14:paraId="2248F719">
            <w:pPr>
              <w:widowControl/>
              <w:spacing w:line="360" w:lineRule="auto"/>
              <w:ind w:firstLine="0" w:firstLine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通过时空碰撞，可分析制定时间内，一些区域出现，另一些区域未出现的人员，并提供各个区域的出现次数，帮助用户快速锁定连环作案等场景的嫌疑人。</w:t>
            </w:r>
          </w:p>
        </w:tc>
      </w:tr>
    </w:tbl>
    <w:p w14:paraId="3B084D55">
      <w:pPr>
        <w:widowControl/>
        <w:spacing w:line="360" w:lineRule="auto"/>
        <w:ind w:firstLine="480" w:firstLineChars="200"/>
        <w:rPr>
          <w:rFonts w:hint="eastAsia" w:ascii="宋体" w:hAnsi="宋体" w:eastAsia="宋体" w:cs="Times New Roman"/>
          <w:color w:val="auto"/>
          <w:kern w:val="0"/>
          <w:sz w:val="24"/>
          <w:szCs w:val="24"/>
          <w:highlight w:val="none"/>
          <w:lang w:eastAsia="zh-CN"/>
        </w:rPr>
      </w:pPr>
    </w:p>
    <w:p w14:paraId="2CC7F40A">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权限管理</w:t>
      </w:r>
    </w:p>
    <w:p w14:paraId="66E5A48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支持系统管理员根据管理的需要，对整个系统功能模块进行基本的管理、配置和控制，也可同时保证数据的安全性及灵活性。系统权限管理功能包括：</w:t>
      </w:r>
    </w:p>
    <w:p w14:paraId="7AC31BE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1、支持用户身份验证；</w:t>
      </w:r>
    </w:p>
    <w:p w14:paraId="326C4A3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2、系统可根据用户输入的用户信息，对用户的身份进行验证，只有系统设置此用户并且此用户拥有登录的权限，才可以登录系统； </w:t>
      </w:r>
    </w:p>
    <w:p w14:paraId="6ABD7A1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3、支持为每个角色配置可使用的功能，以及每个功能的操作权限； </w:t>
      </w:r>
    </w:p>
    <w:p w14:paraId="550F643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4、支持设置每个角色的可用菜单以及菜单的操作权限，再将角色授权给用户；</w:t>
      </w:r>
    </w:p>
    <w:p w14:paraId="004D790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5、支持精确控制用户可访问的模块、功能甚至细到每个按钮的使用； </w:t>
      </w:r>
    </w:p>
    <w:p w14:paraId="6E97369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6、支持用户自定义权限范围； </w:t>
      </w:r>
    </w:p>
    <w:p w14:paraId="448DCB5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7、支持系统对数据权限的控制； </w:t>
      </w:r>
    </w:p>
    <w:p w14:paraId="0C06ADC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8、支持不同组织的角色所能看到的数据不一样。</w:t>
      </w:r>
    </w:p>
    <w:p w14:paraId="7AB1AF21">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安全管理配置</w:t>
      </w:r>
    </w:p>
    <w:p w14:paraId="635D0F73">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主要功能包括以下内容：</w:t>
      </w:r>
    </w:p>
    <w:p w14:paraId="55F9159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1、阈值管理</w:t>
      </w:r>
    </w:p>
    <w:p w14:paraId="23F0524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2、系统设置</w:t>
      </w:r>
    </w:p>
    <w:p w14:paraId="52B7D97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3、图层配置</w:t>
      </w:r>
    </w:p>
    <w:p w14:paraId="7E9DB8A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4、交互设置</w:t>
      </w:r>
    </w:p>
    <w:p w14:paraId="78018A75">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5、渲染资源管理</w:t>
      </w:r>
    </w:p>
    <w:p w14:paraId="32C648D4">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6、标签样式管理</w:t>
      </w:r>
    </w:p>
    <w:p w14:paraId="28EE5B0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highlight w:val="none"/>
          <w:lang w:eastAsia="zh-CN"/>
        </w:rPr>
        <w:t>7、可视化组件管理</w:t>
      </w:r>
    </w:p>
    <w:p w14:paraId="53EADEB0">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524" w:name="_Toc21694"/>
      <w:bookmarkStart w:id="1525" w:name="_Toc21809"/>
      <w:bookmarkStart w:id="1526" w:name="_Toc29844"/>
      <w:bookmarkStart w:id="1527" w:name="_Toc5367"/>
      <w:r>
        <w:rPr>
          <w:rFonts w:hint="eastAsia" w:ascii="Times New Roman" w:hAnsi="Times New Roman" w:eastAsia="黑体" w:cs="Times New Roman"/>
          <w:b/>
          <w:color w:val="auto"/>
          <w:sz w:val="30"/>
          <w:highlight w:val="none"/>
          <w:lang w:val="en-US" w:eastAsia="zh-CN" w:bidi="ar-SA"/>
        </w:rPr>
        <w:t xml:space="preserve"> </w:t>
      </w:r>
      <w:bookmarkStart w:id="1528" w:name="_Toc400128527"/>
      <w:bookmarkStart w:id="1529" w:name="_Toc189235571"/>
      <w:bookmarkStart w:id="1530" w:name="_Toc7494"/>
      <w:bookmarkStart w:id="1531" w:name="_Toc19636"/>
      <w:bookmarkStart w:id="1532" w:name="_Toc1383"/>
      <w:bookmarkStart w:id="1533" w:name="_Toc2002039348"/>
      <w:bookmarkStart w:id="1534" w:name="_Toc32313"/>
      <w:bookmarkStart w:id="1535" w:name="_Toc193093645"/>
      <w:bookmarkStart w:id="1536" w:name="_Toc396518474"/>
      <w:r>
        <w:rPr>
          <w:rFonts w:hint="eastAsia" w:ascii="Times New Roman" w:hAnsi="Times New Roman" w:eastAsia="黑体" w:cs="Times New Roman"/>
          <w:b/>
          <w:color w:val="auto"/>
          <w:sz w:val="30"/>
          <w:highlight w:val="none"/>
          <w:lang w:val="en-US" w:eastAsia="zh-CN" w:bidi="ar-SA"/>
        </w:rPr>
        <w:t>视频智能平台</w:t>
      </w:r>
      <w:bookmarkEnd w:id="1528"/>
      <w:bookmarkEnd w:id="1529"/>
      <w:bookmarkEnd w:id="1530"/>
      <w:bookmarkEnd w:id="1531"/>
      <w:bookmarkEnd w:id="1532"/>
      <w:bookmarkEnd w:id="1533"/>
      <w:bookmarkEnd w:id="1534"/>
      <w:bookmarkEnd w:id="1535"/>
      <w:bookmarkEnd w:id="1536"/>
    </w:p>
    <w:p w14:paraId="7A3E212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基于</w:t>
      </w:r>
      <w:r>
        <w:rPr>
          <w:rFonts w:hint="eastAsia" w:ascii="Times New Roman" w:hAnsi="Times New Roman" w:eastAsia="宋体" w:cs="Times New Roman"/>
          <w:color w:val="auto"/>
          <w:kern w:val="0"/>
          <w:sz w:val="24"/>
          <w:highlight w:val="none"/>
          <w:lang w:eastAsia="zh-CN"/>
        </w:rPr>
        <w:t>AI大模型平台和云平台其他工具资源，</w:t>
      </w:r>
      <w:r>
        <w:rPr>
          <w:rFonts w:ascii="Times New Roman" w:hAnsi="Times New Roman" w:eastAsia="宋体" w:cs="Times New Roman"/>
          <w:color w:val="auto"/>
          <w:kern w:val="0"/>
          <w:sz w:val="24"/>
          <w:highlight w:val="none"/>
          <w:lang w:eastAsia="zh-CN"/>
        </w:rPr>
        <w:t>针对</w:t>
      </w:r>
      <w:r>
        <w:rPr>
          <w:rFonts w:hint="eastAsia" w:ascii="Times New Roman" w:hAnsi="Times New Roman" w:eastAsia="宋体" w:cs="Times New Roman"/>
          <w:color w:val="auto"/>
          <w:kern w:val="0"/>
          <w:sz w:val="24"/>
          <w:highlight w:val="none"/>
          <w:lang w:eastAsia="zh-CN"/>
        </w:rPr>
        <w:t>水厂过程中的“人工视觉”方面的广泛应用，封装一个专门用于处理通用视频图像识别和处理的视频智能平台。并以此作为生产线，低成本快速地形成不同场景的视觉应用。</w:t>
      </w:r>
    </w:p>
    <w:p w14:paraId="3660794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视频智能平台</w:t>
      </w:r>
      <w:r>
        <w:rPr>
          <w:rFonts w:ascii="Times New Roman" w:hAnsi="Times New Roman" w:eastAsia="宋体" w:cs="Times New Roman"/>
          <w:color w:val="auto"/>
          <w:kern w:val="0"/>
          <w:sz w:val="24"/>
          <w:highlight w:val="none"/>
          <w:lang w:eastAsia="zh-CN"/>
        </w:rPr>
        <w:t>支持系统配置，进行用户权限的统一管理</w:t>
      </w:r>
      <w:r>
        <w:rPr>
          <w:rFonts w:hint="eastAsia" w:ascii="Times New Roman" w:hAnsi="Times New Roman" w:eastAsia="宋体" w:cs="Times New Roman"/>
          <w:color w:val="auto"/>
          <w:kern w:val="0"/>
          <w:sz w:val="24"/>
          <w:highlight w:val="none"/>
          <w:lang w:eastAsia="zh-CN"/>
        </w:rPr>
        <w:t>，能进行</w:t>
      </w:r>
      <w:r>
        <w:rPr>
          <w:rFonts w:ascii="Times New Roman" w:hAnsi="Times New Roman" w:eastAsia="宋体" w:cs="Times New Roman"/>
          <w:color w:val="auto"/>
          <w:kern w:val="0"/>
          <w:sz w:val="24"/>
          <w:highlight w:val="none"/>
          <w:lang w:eastAsia="zh-CN"/>
        </w:rPr>
        <w:t>设备管理、技能管理、模型管理。内置多种通用算法并支持场景化算法的扩展。具备预警数据的通知、查看、分析、处置能力，实现视频分析结果的全链路闭环管理。基于预警数据进行多维度的统计分析和可视化展示。</w:t>
      </w:r>
    </w:p>
    <w:p w14:paraId="089FF04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视频智能</w:t>
      </w:r>
      <w:r>
        <w:rPr>
          <w:rFonts w:ascii="Times New Roman" w:hAnsi="Times New Roman" w:eastAsia="宋体" w:cs="Times New Roman"/>
          <w:color w:val="auto"/>
          <w:kern w:val="0"/>
          <w:sz w:val="24"/>
          <w:highlight w:val="none"/>
          <w:lang w:eastAsia="zh-CN"/>
        </w:rPr>
        <w:t>平台</w:t>
      </w:r>
      <w:r>
        <w:rPr>
          <w:rFonts w:hint="eastAsia" w:ascii="Times New Roman" w:hAnsi="Times New Roman" w:eastAsia="宋体" w:cs="Times New Roman"/>
          <w:color w:val="auto"/>
          <w:kern w:val="0"/>
          <w:sz w:val="24"/>
          <w:highlight w:val="none"/>
          <w:lang w:eastAsia="zh-CN"/>
        </w:rPr>
        <w:t>能</w:t>
      </w:r>
      <w:r>
        <w:rPr>
          <w:rFonts w:ascii="Times New Roman" w:hAnsi="Times New Roman" w:eastAsia="宋体" w:cs="Times New Roman"/>
          <w:color w:val="auto"/>
          <w:kern w:val="0"/>
          <w:sz w:val="24"/>
          <w:highlight w:val="none"/>
          <w:lang w:eastAsia="zh-CN"/>
        </w:rPr>
        <w:t>纳管平台</w:t>
      </w:r>
      <w:r>
        <w:rPr>
          <w:rFonts w:hint="eastAsia" w:ascii="Times New Roman" w:hAnsi="Times New Roman" w:eastAsia="宋体" w:cs="Times New Roman"/>
          <w:color w:val="auto"/>
          <w:kern w:val="0"/>
          <w:sz w:val="24"/>
          <w:highlight w:val="none"/>
          <w:lang w:eastAsia="zh-CN"/>
        </w:rPr>
        <w:t>内</w:t>
      </w:r>
      <w:r>
        <w:rPr>
          <w:rFonts w:ascii="Times New Roman" w:hAnsi="Times New Roman" w:eastAsia="宋体" w:cs="Times New Roman"/>
          <w:color w:val="auto"/>
          <w:kern w:val="0"/>
          <w:sz w:val="24"/>
          <w:highlight w:val="none"/>
          <w:lang w:eastAsia="zh-CN"/>
        </w:rPr>
        <w:t>模型，可通过可视化画布模式实现AI技能的零代码编排，支持多种方式对技能进行编排和组合，让用户可以自由搭配和组合不同的技能，实现更加复杂和高效的业务处理，灵活适应业务需求</w:t>
      </w:r>
      <w:r>
        <w:rPr>
          <w:rFonts w:hint="eastAsia" w:ascii="Times New Roman" w:hAnsi="Times New Roman" w:eastAsia="宋体" w:cs="Times New Roman"/>
          <w:color w:val="auto"/>
          <w:kern w:val="0"/>
          <w:sz w:val="24"/>
          <w:highlight w:val="none"/>
          <w:lang w:eastAsia="zh-CN"/>
        </w:rPr>
        <w:t>。</w:t>
      </w:r>
    </w:p>
    <w:p w14:paraId="21FC50F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根据不同场景需求，视频智能平台能将相关功能发布到边缘一体机，实现管理需求。</w:t>
      </w:r>
    </w:p>
    <w:p w14:paraId="417CA53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视频智能平台支持多模态大模型和视觉模型，支持视频摄像机接入后通过AI模型MoE级联推理的方式实现视觉任务的分析。</w:t>
      </w:r>
    </w:p>
    <w:p w14:paraId="28D7F68B">
      <w:pPr>
        <w:widowControl/>
        <w:numPr>
          <w:ilvl w:val="0"/>
          <w:numId w:val="26"/>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需支持多模态大模型私有化部署，基于自然语言能够处理统一的多视觉任务，接受图像和自然语言作为输入，将对齐的视觉和文本特征输入到大语言模型中，进行自回归输出；</w:t>
      </w:r>
    </w:p>
    <w:p w14:paraId="108C9171">
      <w:pPr>
        <w:widowControl/>
        <w:numPr>
          <w:ilvl w:val="0"/>
          <w:numId w:val="26"/>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支持提供判别式视觉大模型，参数量不小于3亿，采用 Transformer结构，检测预先训练过的人体目标；</w:t>
      </w:r>
    </w:p>
    <w:p w14:paraId="1610F486">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需支持配置大模型智能过滤任务，基于应用场景设计多模态大模型的提示词，发布为多模态大模型算法技能，配置智能过滤任务，针对视觉模型产生的预警进行二次分析，提高视觉模型的分析准确率和业务应用效率（提供功能截图证明）；</w:t>
      </w:r>
    </w:p>
    <w:p w14:paraId="24D249BD">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需支持多模态大模型和视觉模型混合的算法编排能力，通过AI模型有序组合实现复杂技能，需支持在视频分析场景实现大模型对视觉模型目标进行分类或大模型对环境进行判断，支持在图片处理场景实现视觉模型和大模型执行不同的识别任务，并对其结果进行联合判断，例如大模型识别环境，视觉模型判断具体目标；</w:t>
      </w:r>
    </w:p>
    <w:p w14:paraId="24EA3BF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支持模型AI算法技能可视化编排能力，实现模型节点和处理节点的零代码编排，灵活适应业务需求；同时支持AI算法技能全流程管理，支持算法技能导入、算法技能上线、算法技能下发到设备等（提供功能截图证明）；</w:t>
      </w:r>
    </w:p>
    <w:p w14:paraId="277C32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支持基于多模态大模型进行技能快速生成，支持通过描述创建多模态技能，快速实现复杂场景识别，对视觉场景进行快速分类。支持多模态大模型将图片作为输入，通过特征对齐功能将图像特征和文本特征对齐，将对其之后的特征信息结合自然语言输入到LLM中，由LLM输出结果（提供功能截图证明）；</w:t>
      </w:r>
    </w:p>
    <w:p w14:paraId="2D2F440E">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val="en-AU" w:eastAsia="zh-Hans"/>
        </w:rPr>
      </w:pPr>
      <w:r>
        <w:rPr>
          <w:rFonts w:hint="eastAsia" w:ascii="Times New Roman" w:hAnsi="Times New Roman" w:eastAsia="宋体" w:cs="Times New Roman"/>
          <w:color w:val="auto"/>
          <w:kern w:val="0"/>
          <w:sz w:val="24"/>
          <w:highlight w:val="none"/>
          <w:lang w:eastAsia="zh-CN"/>
        </w:rPr>
        <w:t>（7）支持对技能预警等级、技能启用状态、合并规则进行设置。根据不同设备、不同技能可以灵活配置通知规则，支持将预警推送推至第三方平台。支持配置预警存储规则（提供功能截图证明）；</w:t>
      </w:r>
    </w:p>
    <w:p w14:paraId="7B8CD6D9">
      <w:pPr>
        <w:widowControl/>
        <w:numPr>
          <w:ilvl w:val="0"/>
          <w:numId w:val="27"/>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支持构建与实际组织架构相同的组织树，帮助企业管理者更好地进行账号的统一管理和权限分配；</w:t>
      </w:r>
    </w:p>
    <w:p w14:paraId="258E29F9">
      <w:pPr>
        <w:widowControl/>
        <w:numPr>
          <w:ilvl w:val="0"/>
          <w:numId w:val="27"/>
        </w:numPr>
        <w:spacing w:line="360" w:lineRule="auto"/>
        <w:ind w:firstLine="480" w:firstLineChars="200"/>
        <w:rPr>
          <w:rFonts w:ascii="Times New Roman" w:hAnsi="Times New Roman" w:eastAsia="宋体" w:cs="Times New Roman"/>
          <w:color w:val="auto"/>
          <w:kern w:val="0"/>
          <w:sz w:val="24"/>
          <w:highlight w:val="none"/>
          <w:lang w:val="en-AU" w:eastAsia="zh-Hans"/>
        </w:rPr>
      </w:pPr>
      <w:r>
        <w:rPr>
          <w:rFonts w:hint="eastAsia" w:ascii="Times New Roman" w:hAnsi="Times New Roman" w:eastAsia="宋体" w:cs="Times New Roman"/>
          <w:color w:val="auto"/>
          <w:kern w:val="0"/>
          <w:sz w:val="24"/>
          <w:highlight w:val="none"/>
          <w:lang w:eastAsia="zh-CN"/>
        </w:rPr>
        <w:t>支持推理模型转换功能，适配不同硬件设备，支持将推理模型转换为与硬件兼容的模型结构，预测推理模型服务部署，适用于软硬一体机、嵌入式终端和开放式工控机，不同类型终端的预测推理模型由云端统一管控；</w:t>
      </w:r>
    </w:p>
    <w:p w14:paraId="7AFB6A4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10）支持场景理解能力，能够全面地分析和解释图像中的复杂场景，支持通过骨干网络提取的高质量视觉特征以及多层感知器（MLP）进行特征融合和映射，支持从图像中提取多层次的视觉特征，包括颜色、纹理、形状等细节信息，支持将视觉特征与文本特征进行融合，形成统一的多模态特征表示，支持将融合后的特征输入到LLM解码器中，模型能够生成对场景；</w:t>
      </w:r>
    </w:p>
    <w:p w14:paraId="3614E61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11）支持强大的问题归因能力，能够理解复杂问题并提供相关的解释和解决方案，支持通过对输入问题进行分析，模型能够识别问题的关键要素和相关上下文信息；支持将问题文本特征与图像特征进行关联，找出可能导致问题的图像元素或情景；支持根据关联特征生成合理的解释和解决方案，回答如“为什么发生这种情况？”之类的问题；</w:t>
      </w:r>
    </w:p>
    <w:p w14:paraId="6F895E5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（12）支持目标检测能力，能够准确识别和定位图像中的目标对象，能够准确识别图像中的多个目标对象；</w:t>
      </w:r>
    </w:p>
    <w:p w14:paraId="2235A119">
      <w:pPr>
        <w:widowControl/>
        <w:spacing w:line="360" w:lineRule="auto"/>
        <w:ind w:firstLine="480" w:firstLineChars="200"/>
        <w:rPr>
          <w:rFonts w:ascii="Times New Roman" w:hAnsi="Times New Roman" w:eastAsia="宋体" w:cs="Times New Roman"/>
          <w:color w:val="auto"/>
          <w:kern w:val="0"/>
          <w:sz w:val="24"/>
          <w:highlight w:val="none"/>
          <w:lang w:val="en-AU" w:eastAsia="zh-CN"/>
        </w:rPr>
      </w:pPr>
      <w:r>
        <w:rPr>
          <w:rFonts w:hint="eastAsia" w:ascii="Times New Roman" w:hAnsi="Times New Roman" w:eastAsia="宋体" w:cs="Times New Roman"/>
          <w:color w:val="auto"/>
          <w:kern w:val="0"/>
          <w:sz w:val="24"/>
          <w:highlight w:val="none"/>
          <w:lang w:eastAsia="zh-CN"/>
        </w:rPr>
        <w:t>（13）支持针对摄像头设备进行AI技能的灵活配置，可根据场景需求自定义设置AI技能的运行时间段、抽帧频率和电子围栏，支持24小时运行技能，电子围栏支持矩形、多边形、拌线（提供功能截图证明）；</w:t>
      </w:r>
    </w:p>
    <w:p w14:paraId="0FED59DA">
      <w:pPr>
        <w:widowControl/>
        <w:spacing w:line="360" w:lineRule="auto"/>
        <w:ind w:firstLine="0" w:firstLineChars="0"/>
        <w:rPr>
          <w:rFonts w:ascii="Times New Roman" w:hAnsi="Times New Roman" w:eastAsia="宋体" w:cs="Times New Roman"/>
          <w:color w:val="auto"/>
          <w:kern w:val="0"/>
          <w:sz w:val="24"/>
          <w:highlight w:val="none"/>
          <w:lang w:eastAsia="zh-CN"/>
        </w:rPr>
      </w:pPr>
    </w:p>
    <w:p w14:paraId="7DC642F2">
      <w:pPr>
        <w:pStyle w:val="2"/>
        <w:rPr>
          <w:rFonts w:ascii="Times New Roman" w:hAnsi="Times New Roman" w:eastAsia="宋体" w:cs="Times New Roman"/>
          <w:color w:val="auto"/>
          <w:kern w:val="0"/>
          <w:sz w:val="24"/>
          <w:highlight w:val="none"/>
          <w:lang w:eastAsia="zh-CN"/>
        </w:rPr>
      </w:pPr>
    </w:p>
    <w:p w14:paraId="5CC4F6FF">
      <w:pPr>
        <w:pStyle w:val="5"/>
        <w:rPr>
          <w:rFonts w:ascii="Times New Roman" w:hAnsi="Times New Roman" w:eastAsia="宋体" w:cs="Times New Roman"/>
          <w:color w:val="auto"/>
          <w:kern w:val="0"/>
          <w:sz w:val="24"/>
          <w:highlight w:val="none"/>
          <w:lang w:eastAsia="zh-CN"/>
        </w:rPr>
      </w:pPr>
    </w:p>
    <w:p w14:paraId="07350FED">
      <w:pPr>
        <w:pStyle w:val="7"/>
        <w:rPr>
          <w:color w:val="auto"/>
          <w:highlight w:val="none"/>
          <w:lang w:eastAsia="zh-CN"/>
        </w:rPr>
      </w:pPr>
    </w:p>
    <w:tbl>
      <w:tblPr>
        <w:tblStyle w:val="20"/>
        <w:tblW w:w="0" w:type="auto"/>
        <w:tblInd w:w="0" w:type="dxa"/>
        <w:tblLayout w:type="fixed"/>
        <w:tblCellMar>
          <w:top w:w="0" w:type="dxa"/>
          <w:left w:w="108" w:type="dxa"/>
          <w:bottom w:w="0" w:type="dxa"/>
          <w:right w:w="108" w:type="dxa"/>
        </w:tblCellMar>
      </w:tblPr>
      <w:tblGrid>
        <w:gridCol w:w="504"/>
        <w:gridCol w:w="1228"/>
        <w:gridCol w:w="5425"/>
        <w:gridCol w:w="1319"/>
      </w:tblGrid>
      <w:tr w14:paraId="20F428C9">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B5C130E">
            <w:pPr>
              <w:widowControl/>
              <w:spacing w:line="240" w:lineRule="auto"/>
              <w:ind w:firstLine="0" w:firstLineChars="0"/>
              <w:jc w:val="center"/>
              <w:textAlignment w:val="center"/>
              <w:rPr>
                <w:rFonts w:hint="eastAsia" w:ascii="宋体" w:hAnsi="宋体" w:eastAsia="宋体" w:cs="宋体"/>
                <w:b/>
                <w:bCs/>
                <w:color w:val="auto"/>
                <w:kern w:val="0"/>
                <w:sz w:val="21"/>
                <w:szCs w:val="21"/>
                <w:highlight w:val="none"/>
                <w:lang w:eastAsia="en-US"/>
              </w:rPr>
            </w:pPr>
            <w:r>
              <w:rPr>
                <w:rFonts w:hint="eastAsia" w:ascii="宋体" w:hAnsi="宋体" w:eastAsia="宋体" w:cs="宋体"/>
                <w:b/>
                <w:bCs/>
                <w:color w:val="auto"/>
                <w:kern w:val="0"/>
                <w:sz w:val="21"/>
                <w:szCs w:val="21"/>
                <w:highlight w:val="none"/>
                <w:lang w:eastAsia="en-US" w:bidi="ar"/>
              </w:rPr>
              <w:t>序号</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305D7079">
            <w:pPr>
              <w:widowControl/>
              <w:spacing w:line="240" w:lineRule="auto"/>
              <w:ind w:firstLine="0" w:firstLineChars="0"/>
              <w:jc w:val="center"/>
              <w:textAlignment w:val="center"/>
              <w:rPr>
                <w:rFonts w:hint="eastAsia" w:ascii="宋体" w:hAnsi="宋体" w:eastAsia="宋体" w:cs="宋体"/>
                <w:b/>
                <w:bCs/>
                <w:color w:val="auto"/>
                <w:kern w:val="0"/>
                <w:sz w:val="21"/>
                <w:szCs w:val="21"/>
                <w:highlight w:val="none"/>
                <w:lang w:eastAsia="en-US"/>
              </w:rPr>
            </w:pPr>
            <w:r>
              <w:rPr>
                <w:rFonts w:hint="eastAsia" w:ascii="宋体" w:hAnsi="宋体" w:eastAsia="宋体" w:cs="宋体"/>
                <w:b/>
                <w:bCs/>
                <w:color w:val="auto"/>
                <w:kern w:val="0"/>
                <w:sz w:val="21"/>
                <w:szCs w:val="21"/>
                <w:highlight w:val="none"/>
                <w:lang w:eastAsia="en-US" w:bidi="ar"/>
              </w:rPr>
              <w:t>算法名称</w:t>
            </w:r>
          </w:p>
        </w:tc>
        <w:tc>
          <w:tcPr>
            <w:tcW w:w="5425" w:type="dxa"/>
            <w:tcBorders>
              <w:top w:val="single" w:color="000000" w:sz="4" w:space="0"/>
              <w:left w:val="single" w:color="000000" w:sz="4" w:space="0"/>
              <w:bottom w:val="single" w:color="000000" w:sz="4" w:space="0"/>
              <w:right w:val="single" w:color="000000" w:sz="4" w:space="0"/>
            </w:tcBorders>
            <w:noWrap/>
            <w:vAlign w:val="center"/>
          </w:tcPr>
          <w:p w14:paraId="0FDFEA4D">
            <w:pPr>
              <w:widowControl/>
              <w:spacing w:line="240" w:lineRule="auto"/>
              <w:ind w:firstLine="0" w:firstLineChars="0"/>
              <w:jc w:val="center"/>
              <w:textAlignment w:val="center"/>
              <w:rPr>
                <w:rFonts w:hint="eastAsia" w:ascii="宋体" w:hAnsi="宋体" w:eastAsia="宋体" w:cs="宋体"/>
                <w:b/>
                <w:bCs/>
                <w:color w:val="auto"/>
                <w:kern w:val="0"/>
                <w:sz w:val="21"/>
                <w:szCs w:val="21"/>
                <w:highlight w:val="none"/>
                <w:lang w:eastAsia="en-US"/>
              </w:rPr>
            </w:pPr>
            <w:r>
              <w:rPr>
                <w:rFonts w:hint="eastAsia" w:ascii="宋体" w:hAnsi="宋体" w:eastAsia="宋体" w:cs="宋体"/>
                <w:b/>
                <w:bCs/>
                <w:color w:val="auto"/>
                <w:kern w:val="0"/>
                <w:sz w:val="21"/>
                <w:szCs w:val="21"/>
                <w:highlight w:val="none"/>
                <w:lang w:eastAsia="en-US" w:bidi="ar"/>
              </w:rPr>
              <w:t>场景描述</w:t>
            </w:r>
          </w:p>
        </w:tc>
        <w:tc>
          <w:tcPr>
            <w:tcW w:w="1319" w:type="dxa"/>
            <w:tcBorders>
              <w:top w:val="single" w:color="000000" w:sz="4" w:space="0"/>
              <w:left w:val="single" w:color="000000" w:sz="4" w:space="0"/>
              <w:bottom w:val="single" w:color="000000" w:sz="4" w:space="0"/>
              <w:right w:val="single" w:color="000000" w:sz="4" w:space="0"/>
            </w:tcBorders>
            <w:noWrap/>
            <w:vAlign w:val="center"/>
          </w:tcPr>
          <w:p w14:paraId="719EF79E">
            <w:pPr>
              <w:widowControl/>
              <w:spacing w:line="240" w:lineRule="auto"/>
              <w:ind w:firstLine="0" w:firstLineChars="0"/>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eastAsia="zh-CN" w:bidi="ar"/>
              </w:rPr>
              <w:t>备注</w:t>
            </w:r>
          </w:p>
        </w:tc>
      </w:tr>
      <w:tr w14:paraId="6F390682">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4955CA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4942E01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物品遗留检测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357BAE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检测场景内目标区域是否存在遗留物（静止），最小识别遗留物目标分辨率为100*100像素，检测精度&gt;90%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21516C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505930A">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B00571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C5001C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小动物检测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104BCA1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识别场景内是否有小动物闯入（主要是老鼠和猫）</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C98636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528FFF4">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841397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46B60D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水体颜色异常识别</w:t>
            </w:r>
          </w:p>
        </w:tc>
        <w:tc>
          <w:tcPr>
            <w:tcW w:w="5425" w:type="dxa"/>
            <w:tcBorders>
              <w:top w:val="single" w:color="000000" w:sz="4" w:space="0"/>
              <w:left w:val="single" w:color="000000" w:sz="4" w:space="0"/>
              <w:bottom w:val="single" w:color="000000" w:sz="4" w:space="0"/>
              <w:right w:val="single" w:color="000000" w:sz="4" w:space="0"/>
            </w:tcBorders>
            <w:noWrap/>
            <w:vAlign w:val="center"/>
          </w:tcPr>
          <w:p w14:paraId="6EC6E03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通过识别池体目标区域水体颜色类别，判断水源颜色的突发极端变化</w:t>
            </w:r>
          </w:p>
        </w:tc>
        <w:tc>
          <w:tcPr>
            <w:tcW w:w="1319" w:type="dxa"/>
            <w:tcBorders>
              <w:top w:val="single" w:color="000000" w:sz="4" w:space="0"/>
              <w:left w:val="single" w:color="000000" w:sz="4" w:space="0"/>
              <w:bottom w:val="single" w:color="000000" w:sz="4" w:space="0"/>
              <w:right w:val="single" w:color="000000" w:sz="4" w:space="0"/>
            </w:tcBorders>
            <w:noWrap/>
            <w:vAlign w:val="center"/>
          </w:tcPr>
          <w:p w14:paraId="40DB4E6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CFEA773">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95BBD0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973183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池面漂浮物识别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133C4A3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识别池体目标区域液面是否有异常漂浮物</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4C2F8E7">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D2BA715">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930707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193863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溢池识别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EE7CD2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识别池体是否存在水位过高导致溢池的情况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182B2E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B98FBB1">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7BFBAA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FD0026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物品缺失检测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07F730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识别出场景内目标区域物品缺失情况，最小识别缺失物目标分辨率为100*100像素，检测精度&gt;90%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86A9E5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94356A4">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93E83D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A68E52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挂网分析</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BBE5DC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识别出其挂网物件存在长期挂网无法被清理或物件过大存在损害设备的风险</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2B335F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65E8CB3">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5DF78D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F87BDC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投加管道泄漏识别模型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2BD70D8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识别固定摄像头视野下投加管道是否有泄露情况，最小识别泄露水渍区域目标分辨率为100*100像素，最小识别泄露位置区域目标分辨率为50*100像素，检测精度&gt;90%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7440FC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0A03375">
        <w:tblPrEx>
          <w:tblCellMar>
            <w:top w:w="0" w:type="dxa"/>
            <w:left w:w="108" w:type="dxa"/>
            <w:bottom w:w="0" w:type="dxa"/>
            <w:right w:w="108" w:type="dxa"/>
          </w:tblCellMar>
        </w:tblPrEx>
        <w:trPr>
          <w:trHeight w:val="997"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5E5CE12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4F9D6F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储液池泄漏识别模型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44A36C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识别固定摄像头视野下储液池是否有泄露情况，最小识别泄露水渍区域目标分辨率为100*100像素，最小识别泄露位置区域目标分辨率为50*100像素，检测精度&gt;90%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191C917">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11DF8CF">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1FBE05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A89E30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储液罐泄漏识别模型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A8F458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识别固定摄像头视野下储液罐是否有泄露情况，最小识别泄露水渍区域目标分辨率为100*100像素，最小识别泄露位置区域目标分辨率为50*100像素，检测精度&gt;90%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E27313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557D35E">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CFC50E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F6331A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区域入侵识别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7C8D1C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识别场景内目标区域是否有人员入侵情况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C08B09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8EA3D8A">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F3B6968">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379369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人员检测及分析</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0746FF9">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检测分析场景目标区域内人员数量和停留时间</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0266F8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CCADAB6">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9BFE89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3B47FE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火点检测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5ADAA2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识别场景主要区域里是否存在火点情况，最小识别火苗目标分辨率为50*100像素，检测精度&gt;90%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F7B99B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0FF5A94">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626DE7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D5B3AB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烟雾检测</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4A051F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识别场景主要区域里是否存在烟雾情况，最小识别烟雾框像素不小于150*150，检测精度&gt;90%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01C01E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1DDF502">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2034D0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544A13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地面积水识别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29639DB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识别场景目标区域里是否存在积水情况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A9FF70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3473A61">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962FA2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BFA0424">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未佩戴安全帽</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4AB129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识别作业现场人员未按规定佩戴安全帽情况，支持红色、蓝色、黄色、白色颜色的安全帽，减少作业人员头部伤害事故发生的可能性，提高工作场所的安全性和稳定性。</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9BF789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46B2445">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290807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4BC188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室外打电话/玩手机</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D57662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识别人员违规接打电话、玩手机的行为，支持生产现场、作业现场、加油站、燃气场站等易燃易爆区域场景使用，避免火灾、爆炸事故的发生，提高企业安全性。</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34E7C3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F7DB80B">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7BBDCC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46F2ADB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吸烟识别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30CA3D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识别人员违规吸烟行为，实现小目标识别，预防因火星导致的火灾、爆炸事故的发生，提高企业安全性。</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B7491B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102E1169">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1A08F19">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19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E182C5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人员倒地</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2D6C9AB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识别人员异常倒地，及时发现人员的身体状况异常，极大保障人身安全。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8BA1D1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AA10D95">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CA0116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AC86C9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人员聚集</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175E1B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识别监控区域内多人聚集的行为，避免聚众斗殴、踩踏等事故的发生，防止安全事故的发生。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1E0496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998C071">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148277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E1252B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翻越围栏</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00D268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识别人员违规翻越围栏情况，及时发现员工危险行为，防止意外事故的发生，提高企业周界防护效果。</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D3C48E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EEB639A">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0F21CF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2FC9AE4">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违规闯入</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40837E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识别危险区域内人员违规闯入行为，支持对人在区域内行为的跟踪，实现较小人体精准识别，支持被遮挡人体的较好识别，避免人员误闯入导致的人身伤害，保障人身安全。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04A8D8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5061884">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5E8C745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36576F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人员离岗</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9251C2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识别工作区域内人员是否在岗，避免人员离岗导致的安全隐患，7*24小时保障企业安全运行。</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E69BAE9">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21B0EFB">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31F832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37039D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未穿着工作服</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28E4E3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识别作业人员未按规定穿工服情况，支持红色、灰色、黑色、棕色、黄黑色、白色的工服识别，减少工作人员接触有害物质、危险机械等带来的风险。</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41A904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0125F6E">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90FA88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9FC206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人员睡岗</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143C2FA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识别工作人员的睡岗情况，支持靠椅后仰睡觉、趴桌子睡觉、躺着睡觉三种姿势的睡岗行为识别，避免工作人员因睡岗行为导致的工作失误和事故发生。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63BB79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DD8AC73">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C3A28F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3B6907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登高未佩戴安全带</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1810882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识别作业人员是否按照规定佩戴安全带情况，支持出舱作业、高处作业、有限空间作业等场景的安全带佩戴行为识别，减少坠落伤害事故的发生率。</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64C698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051B32C">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8E04D6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C3B8C5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未穿着反光衣</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4640CC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识别人员未按照规定穿反光衣，避免不安全事故发生。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537ACD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A6E8A91">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5E3083C4">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50ECCF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人员异常停留</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E75C93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识别人员在危险区域异常停留情况，停留时间超过指定时间及时发出报警，保障人身安全。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BFC7AD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13CD209B">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35DC11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29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3D5E21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安全带识别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96DF38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识别作业人员是否按照规定佩戴安全带情况，减少坠落伤害事故的发生率</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881154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4EA3609">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E8DAF1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7C9D4A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操作手机识别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B1A2C8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识别人员在特定区域违规操作手机行为，支持生产现场、作业现场、加油站、燃气场站等易燃易爆区域的操作手机行为识别，避免因火花导致的火灾、爆炸事故的发生，提高企业安全性。</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30CC0F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16358AC">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3801B7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4434724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人员违规攀爬</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B1B2EB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识别人员是否存在违规攀爬围栏等行为，预防因攀爬引起的坠落等不安全行为发生。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F92C91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93FA40A">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124821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3C484F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车辆占用消防通道</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3631A7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识别消防通道被车辆占用情况，可区别人员导致的误报，以防事故发生时影响疏散和救援工作</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E8E5EB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DEF5D81">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F35A20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3F7E08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车型识别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2C7BFC7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识别拖车、货车、轿车、巡逻车、叉车、吊车车型。</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57236A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07DE36C">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B00C27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DFDD26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车辆计数</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083A16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识别摄像机画面内的车辆，对同一画面内车辆的数量进行统计，超过阈值时告警</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84FBD6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7F92BBE">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5D5FD0B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3C79E0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车辆越界</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0A013C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识别车辆进入禁停区情况，预防车辆进入危险区域导致的车辆和人身伤害，保障车辆安全运行。</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322528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7460916">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5E163BE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FA9642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车辆违停</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E01754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识别车辆违规停车情况，保障人员人身安全和财产安全。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1A8EC47">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174987BF">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942637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A56ABA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非机动车闯入</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072AB1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识别非机动车违规闯入危险区域，支持自行车、电动车/摩托车、三轮车的识别，助力提升安全管理效能。</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3578787">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B7E03AB">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0C8657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601D99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人员超限</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CE8C7F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统计监控区域内人员数量，实现人数超限的及时预警，避免工作区域内人数过多导致的人员相撞、跌倒、火灾等事故发生。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472637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188A99C">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4EC7C94">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39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D7AAE8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未穿救生衣</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9DC1A0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识别人员穿着救生衣情况，预防未穿救生衣时发生人员溺水伤亡事故。</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254D59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00DD300">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37B9F7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C85655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未佩戴防护面罩</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7E223F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识别在高危场景下佩戴防护面罩情况，有效防止因未佩戴防护面罩或佩戴不当导致眼部受到化学品、有毒气体、烟雾和高温等伤害，提升个体防护能力。</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547C95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E145D46">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76E674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763C4F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未戴手套</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B38D63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识别在作业过程中未佩戴手套情况，防止因未戴手套导致烫伤、烧伤等伤害。</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0EC62A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73FEDBD5">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E422CE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F4DE3A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表计读数</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A372D8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支持指针表、数字表、液位表的表计读数，防止数值过高或过低时造成安全生产事故。</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75F4F5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9753D49">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13BD10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064D0C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柜门开合状态</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FBB757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识别柜门开关状态，预防柜门未关闭或关闭不到位引起的电气触电事故，保障人身安全。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DDE64E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D350F14">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F384F50">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099DC3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钓鱼</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8D159E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识别河道或水库附近人员钓鱼的情况，防止因河流水位和水流的变化对钓鱼者造成安全威胁，防止磕绊摔倒导致的人员溺水伤亡。</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DC18AC4">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3C0A0A0">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E4ECE39">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63EBF6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游泳</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DACBD5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识别河道或水库人员违规游泳情况，预防人员溺水，保障人身安全。</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2AFB12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C193180">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E71A21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C01183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黑臭水体</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94CFBA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通过识别水体的颜色突变辨别水体恶臭情况，支持发黄、发绿、发红等异常颜色对水体水质引起的变化，防止水体恶臭、破坏生态环境。</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707FA4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72B88A4">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058F528">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E10E2F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河道口偷排</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715E3D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识别河道口偷排垃圾情况，防止破坏水体、破坏生态环境。</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452806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0401AFD">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B49609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76C8DE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未配备灭火器</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E8E978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识别生产现场灭火器情况，避免在事故发生时因灭火器缺失无法及时扑灭初期火灾，使得火灾蔓延速度加快，增加人员伤亡的风险。</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A15733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10677EB">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E9991C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49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33F5937">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隧道涵洞积水</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DF83E9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识别隧道涵洞等低洼积水点的积水情况，及时发现积水情况减少内涝灾害情况的发生。</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3CD0F6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D3B7ADF">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D11CDD4">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429E21B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地面异物</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39B2A2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识别地面存在异物情况，支持水瓶、塑料袋、纸张等异物识别，保障现场环境整洁，协助6S管理。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63185B3">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FFBF88C">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84D5CF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65F508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集水井大量漂浮杂物识别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788809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集水井是全厂第一道工序，同时接收污泥处理回流水，在水中含有大量漂浮物，在这些漂浮物中有些是体积较大且数量较多，会对格栅产生较大影响，识别水面有漂浮物的情况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DC2430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280E7D29">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61C54C3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6556F7C">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泡沫过量识别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49AB709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污泥老化解体等问题，附着于气泡上，导致气泡的破裂时间延长，从而在水面形成大量的泡沫，聚而不破，识别水面有大量泡沫的情况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EE00FD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A62AAC1">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E566FB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896DAE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沉淀池水面油污识别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F1AA55F">
            <w:pPr>
              <w:widowControl/>
              <w:spacing w:line="240" w:lineRule="auto"/>
              <w:ind w:firstLine="0" w:firstLineChars="0"/>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机泵在运行过程中发生漏油事件，并会带入到处理后的污水，在水面形成一层油层，导致净化水被二次污染，通过智能视频采集实现对机泵运行状态水面有油层的智慧识别</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BEA999A">
            <w:pPr>
              <w:widowControl/>
              <w:spacing w:line="240" w:lineRule="auto"/>
              <w:ind w:firstLine="0" w:firstLineChars="0"/>
              <w:textAlignment w:val="center"/>
              <w:rPr>
                <w:rFonts w:hint="eastAsia" w:ascii="宋体" w:hAnsi="宋体" w:eastAsia="宋体" w:cs="宋体"/>
                <w:color w:val="auto"/>
                <w:kern w:val="0"/>
                <w:sz w:val="21"/>
                <w:szCs w:val="21"/>
                <w:highlight w:val="none"/>
                <w:lang w:eastAsia="zh-CN" w:bidi="ar"/>
              </w:rPr>
            </w:pPr>
          </w:p>
        </w:tc>
      </w:tr>
      <w:tr w14:paraId="18B9B338">
        <w:tblPrEx>
          <w:tblCellMar>
            <w:top w:w="0" w:type="dxa"/>
            <w:left w:w="108" w:type="dxa"/>
            <w:bottom w:w="0" w:type="dxa"/>
            <w:right w:w="108" w:type="dxa"/>
          </w:tblCellMar>
        </w:tblPrEx>
        <w:trPr>
          <w:trHeight w:val="9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235791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CE9106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泵漏水识别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446EB4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泵在运行时间较长的情况下，由于振动等原因，一些部件发生松动，导致泵体中的液体发生泄露，在地面形成一滩水，识别水泵跑冒滴漏的情况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841EA7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8D8A1DD">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1D1F4EC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4775014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泵漏油识别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F51DF0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长时间运行，泵油封的O型圈磨损等问题导致漏油，漏油基本在泵体表面形成黑色的油液，识别泵漏油的情况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7337E3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1938BB94">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D5690F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2386A1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加药间</w:t>
            </w:r>
            <w:r>
              <w:rPr>
                <w:rFonts w:hint="eastAsia" w:ascii="宋体" w:hAnsi="宋体" w:eastAsia="宋体" w:cs="宋体"/>
                <w:color w:val="auto"/>
                <w:kern w:val="0"/>
                <w:sz w:val="21"/>
                <w:szCs w:val="21"/>
                <w:highlight w:val="none"/>
                <w:lang w:eastAsia="zh-CN" w:bidi="ar"/>
              </w:rPr>
              <w:t>投矾</w:t>
            </w:r>
            <w:r>
              <w:rPr>
                <w:rFonts w:hint="eastAsia" w:ascii="宋体" w:hAnsi="宋体" w:eastAsia="宋体" w:cs="宋体"/>
                <w:color w:val="auto"/>
                <w:kern w:val="0"/>
                <w:sz w:val="21"/>
                <w:szCs w:val="21"/>
                <w:highlight w:val="none"/>
                <w:lang w:eastAsia="en-US" w:bidi="ar"/>
              </w:rPr>
              <w:t>漏药识别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166399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加药间管道或泵松动导致絮凝剂泄露，在地面形成药剂残留，识别地面黄色药剂的情况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39F96A6">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97EB741">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B279CC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18A4B6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加药间活性炭漏药识别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B63FF8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加药间管道或泵松动导致活性炭泄露，在地面形成药剂残留，识别地面黑色药剂的情况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C55932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54EFA75D">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F19530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04A88B5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加药间次氯酸钠漏药识别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47EECA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加药间管道或泵松动导致次氯酸钠泄露，在地面形成药剂残留，识别地面淡黄色药剂的情况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329805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3EA8D17E">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51A8F3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59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062752E">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死鱼识别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1ACC8F9">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识别死鱼的情况，看鱼的生死判断水质毒性</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5FE8FD9">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92DCF49">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8561BD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60</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957E122">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车辆司机下车行为识别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23ABFB49">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识别特定场合时车辆司机是否下车</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0B0E12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2EE5580">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4D7EB6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61</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E213B2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卸料平台禁区闯入识别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F030DB0">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识别卸料大厅禁区是否有人闯入</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645F7A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F1668A8">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388C7C1">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62</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854762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人车位置关系识别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5FD20617">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识别车辆卸料、行驶过程中人员和车辆位置关系，将超过安全距离时提前预警</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89904EE">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626BF4BA">
        <w:tblPrEx>
          <w:tblCellMar>
            <w:top w:w="0" w:type="dxa"/>
            <w:left w:w="108" w:type="dxa"/>
            <w:bottom w:w="0" w:type="dxa"/>
            <w:right w:w="108" w:type="dxa"/>
          </w:tblCellMar>
        </w:tblPrEx>
        <w:trPr>
          <w:trHeight w:val="620"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AE33B1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63</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7033E0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zh-CN" w:bidi="ar"/>
              </w:rPr>
              <w:t>前池</w:t>
            </w:r>
            <w:r>
              <w:rPr>
                <w:rFonts w:hint="eastAsia" w:ascii="宋体" w:hAnsi="宋体" w:eastAsia="宋体" w:cs="宋体"/>
                <w:color w:val="auto"/>
                <w:kern w:val="0"/>
                <w:sz w:val="21"/>
                <w:szCs w:val="21"/>
                <w:highlight w:val="none"/>
                <w:lang w:eastAsia="en-US" w:bidi="ar"/>
              </w:rPr>
              <w:t>颜色识别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7EB438F1">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前池是全厂第一道工序，识别异常颜色情况，降低水质事故发生的概率</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7DFA71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474CF8FA">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7F985C48">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64</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6B00D3C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断流识别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1715863A">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识别断流情况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B2A241E">
            <w:pPr>
              <w:widowControl/>
              <w:spacing w:line="240" w:lineRule="auto"/>
              <w:ind w:firstLine="0" w:firstLineChars="0"/>
              <w:jc w:val="left"/>
              <w:textAlignment w:val="center"/>
              <w:rPr>
                <w:rFonts w:hint="eastAsia" w:ascii="宋体" w:hAnsi="宋体" w:eastAsia="宋体" w:cs="宋体"/>
                <w:strike/>
                <w:color w:val="auto"/>
                <w:kern w:val="0"/>
                <w:sz w:val="21"/>
                <w:szCs w:val="21"/>
                <w:highlight w:val="none"/>
                <w:lang w:eastAsia="en-US" w:bidi="ar"/>
              </w:rPr>
            </w:pPr>
          </w:p>
        </w:tc>
      </w:tr>
      <w:tr w14:paraId="5AF1DCD0">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05F30A93">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65</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998B0B6">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滤池</w:t>
            </w:r>
            <w:r>
              <w:rPr>
                <w:rFonts w:hint="eastAsia" w:ascii="宋体" w:hAnsi="宋体" w:eastAsia="宋体" w:cs="宋体"/>
                <w:color w:val="auto"/>
                <w:kern w:val="0"/>
                <w:sz w:val="21"/>
                <w:szCs w:val="21"/>
                <w:highlight w:val="none"/>
                <w:lang w:eastAsia="zh-CN" w:bidi="ar"/>
              </w:rPr>
              <w:t>管</w:t>
            </w:r>
            <w:r>
              <w:rPr>
                <w:rFonts w:hint="eastAsia" w:ascii="宋体" w:hAnsi="宋体" w:eastAsia="宋体" w:cs="宋体"/>
                <w:color w:val="auto"/>
                <w:kern w:val="0"/>
                <w:sz w:val="21"/>
                <w:szCs w:val="21"/>
                <w:highlight w:val="none"/>
                <w:lang w:eastAsia="en-US" w:bidi="ar"/>
              </w:rPr>
              <w:t>廊溢流识别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46E5955">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识别滤池管廊溢流情况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B84354F">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1BC85D86">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0FCD7D9">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66</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8C5709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zh-CN" w:bidi="ar"/>
              </w:rPr>
              <w:t>平流沉淀</w:t>
            </w:r>
            <w:r>
              <w:rPr>
                <w:rFonts w:hint="eastAsia" w:ascii="宋体" w:hAnsi="宋体" w:eastAsia="宋体" w:cs="宋体"/>
                <w:color w:val="auto"/>
                <w:kern w:val="0"/>
                <w:sz w:val="21"/>
                <w:szCs w:val="21"/>
                <w:highlight w:val="none"/>
                <w:lang w:eastAsia="en-US" w:bidi="ar"/>
              </w:rPr>
              <w:t>池溢流识别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3730773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bidi="ar"/>
              </w:rPr>
              <w:t>识别平流沉淀池溢流情况</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AC8059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zh-CN" w:bidi="ar"/>
              </w:rPr>
            </w:pPr>
          </w:p>
        </w:tc>
      </w:tr>
      <w:tr w14:paraId="0BF40D95">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4EEBA6C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67</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1A649D15">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zh-CN" w:bidi="ar"/>
              </w:rPr>
              <w:t>水</w:t>
            </w:r>
            <w:r>
              <w:rPr>
                <w:rFonts w:hint="eastAsia" w:ascii="宋体" w:hAnsi="宋体" w:eastAsia="宋体" w:cs="宋体"/>
                <w:color w:val="auto"/>
                <w:kern w:val="0"/>
                <w:sz w:val="21"/>
                <w:szCs w:val="21"/>
                <w:highlight w:val="none"/>
                <w:lang w:eastAsia="en-US" w:bidi="ar"/>
              </w:rPr>
              <w:t>表读数识别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5847CA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识别水表读数</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DE4E6B2">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bidi="ar"/>
              </w:rPr>
            </w:pPr>
          </w:p>
        </w:tc>
      </w:tr>
      <w:tr w14:paraId="17DF559A">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2C50F97A">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68</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386808B">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井盖识别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0A7D060B">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识别井盖是否移位</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2B722ED">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bidi="ar"/>
              </w:rPr>
            </w:pPr>
          </w:p>
        </w:tc>
      </w:tr>
      <w:tr w14:paraId="5AD30A35">
        <w:tblPrEx>
          <w:tblCellMar>
            <w:top w:w="0" w:type="dxa"/>
            <w:left w:w="108" w:type="dxa"/>
            <w:bottom w:w="0" w:type="dxa"/>
            <w:right w:w="108" w:type="dxa"/>
          </w:tblCellMar>
        </w:tblPrEx>
        <w:trPr>
          <w:trHeight w:val="336" w:hRule="atLeast"/>
        </w:trPr>
        <w:tc>
          <w:tcPr>
            <w:tcW w:w="504" w:type="dxa"/>
            <w:tcBorders>
              <w:top w:val="single" w:color="000000" w:sz="4" w:space="0"/>
              <w:left w:val="single" w:color="000000" w:sz="4" w:space="0"/>
              <w:bottom w:val="single" w:color="000000" w:sz="4" w:space="0"/>
              <w:right w:val="single" w:color="000000" w:sz="4" w:space="0"/>
            </w:tcBorders>
            <w:noWrap/>
            <w:vAlign w:val="center"/>
          </w:tcPr>
          <w:p w14:paraId="3D074EDF">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69</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2F6E07D">
            <w:pPr>
              <w:widowControl/>
              <w:spacing w:line="240" w:lineRule="auto"/>
              <w:ind w:firstLine="0" w:firstLineChars="0"/>
              <w:jc w:val="center"/>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关灯识别</w:t>
            </w:r>
          </w:p>
        </w:tc>
        <w:tc>
          <w:tcPr>
            <w:tcW w:w="5425" w:type="dxa"/>
            <w:tcBorders>
              <w:top w:val="single" w:color="000000" w:sz="4" w:space="0"/>
              <w:left w:val="single" w:color="000000" w:sz="4" w:space="0"/>
              <w:bottom w:val="single" w:color="000000" w:sz="4" w:space="0"/>
              <w:right w:val="single" w:color="000000" w:sz="4" w:space="0"/>
            </w:tcBorders>
            <w:noWrap w:val="0"/>
            <w:vAlign w:val="center"/>
          </w:tcPr>
          <w:p w14:paraId="674B792C">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rPr>
            </w:pPr>
            <w:r>
              <w:rPr>
                <w:rFonts w:hint="eastAsia" w:ascii="宋体" w:hAnsi="宋体" w:eastAsia="宋体" w:cs="宋体"/>
                <w:color w:val="auto"/>
                <w:kern w:val="0"/>
                <w:sz w:val="21"/>
                <w:szCs w:val="21"/>
                <w:highlight w:val="none"/>
                <w:lang w:eastAsia="en-US" w:bidi="ar"/>
              </w:rPr>
              <w:t>识别灯光是否关闭</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D29DF18">
            <w:pPr>
              <w:widowControl/>
              <w:spacing w:line="240" w:lineRule="auto"/>
              <w:ind w:firstLine="0" w:firstLineChars="0"/>
              <w:jc w:val="left"/>
              <w:textAlignment w:val="center"/>
              <w:rPr>
                <w:rFonts w:hint="eastAsia" w:ascii="宋体" w:hAnsi="宋体" w:eastAsia="宋体" w:cs="宋体"/>
                <w:color w:val="auto"/>
                <w:kern w:val="0"/>
                <w:sz w:val="21"/>
                <w:szCs w:val="21"/>
                <w:highlight w:val="none"/>
                <w:lang w:eastAsia="en-US" w:bidi="ar"/>
              </w:rPr>
            </w:pPr>
          </w:p>
        </w:tc>
      </w:tr>
    </w:tbl>
    <w:p w14:paraId="6AEE0F2F">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537" w:name="_Toc644235877"/>
      <w:bookmarkStart w:id="1538" w:name="_Toc1501540640"/>
      <w:bookmarkStart w:id="1539" w:name="_Toc21108"/>
      <w:bookmarkStart w:id="1540" w:name="_Toc58960590"/>
      <w:bookmarkStart w:id="1541" w:name="_Toc30090"/>
      <w:bookmarkStart w:id="1542" w:name="_Toc8536"/>
      <w:bookmarkStart w:id="1543" w:name="_Toc27914"/>
      <w:bookmarkStart w:id="1544" w:name="_Toc1188854532"/>
      <w:bookmarkStart w:id="1545" w:name="_Toc193093646"/>
      <w:r>
        <w:rPr>
          <w:rFonts w:hint="eastAsia" w:ascii="Times New Roman" w:hAnsi="Times New Roman" w:eastAsia="黑体" w:cs="Times New Roman"/>
          <w:b/>
          <w:color w:val="auto"/>
          <w:sz w:val="30"/>
          <w:highlight w:val="none"/>
          <w:lang w:val="en-US" w:eastAsia="zh-CN" w:bidi="ar-SA"/>
        </w:rPr>
        <w:t>安全生产系统</w:t>
      </w:r>
      <w:bookmarkEnd w:id="1537"/>
      <w:bookmarkEnd w:id="1538"/>
      <w:bookmarkEnd w:id="1539"/>
      <w:bookmarkEnd w:id="1540"/>
      <w:bookmarkEnd w:id="1541"/>
      <w:bookmarkEnd w:id="1542"/>
      <w:bookmarkEnd w:id="1543"/>
      <w:bookmarkEnd w:id="1544"/>
      <w:bookmarkEnd w:id="1545"/>
    </w:p>
    <w:p w14:paraId="5D07D2C8">
      <w:pPr>
        <w:widowControl/>
        <w:spacing w:line="360" w:lineRule="auto"/>
        <w:ind w:firstLine="480" w:firstLineChars="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引入先进的视觉 AI 算法技术，构建一套全面且高效的安全生产行为监督系统。该系统需借助视频智能平台，针对企业生产过程中的多个关键安全生产维度，进行深度功能配置与灵活组合，精准识别生产过程中人的不安全行为、物的不安全状态以及环境的不安全因素，并确保实现分析结果的闭环管理，以提升企业安全生产水平，降低安全事故风险。</w:t>
      </w:r>
    </w:p>
    <w:p w14:paraId="6DAAE258">
      <w:pPr>
        <w:widowControl/>
        <w:spacing w:line="360" w:lineRule="auto"/>
        <w:ind w:firstLine="480" w:firstLineChars="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系统需支持以下功能：</w:t>
      </w:r>
    </w:p>
    <w:p w14:paraId="49CB2D08">
      <w:pPr>
        <w:widowControl/>
        <w:numPr>
          <w:ilvl w:val="0"/>
          <w:numId w:val="28"/>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行为识别功能</w:t>
      </w:r>
    </w:p>
    <w:p w14:paraId="79A20167">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系统必须具备强大的行为识别能力，能够精准识别但不限于以下关键行为：</w:t>
      </w:r>
    </w:p>
    <w:p w14:paraId="72AECB3F">
      <w:pPr>
        <w:widowControl/>
        <w:numPr>
          <w:ilvl w:val="0"/>
          <w:numId w:val="23"/>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人员防护装备佩戴识别：准确识别人员是否正确佩戴安全帽、安全带等关键防护装备。</w:t>
      </w:r>
    </w:p>
    <w:p w14:paraId="7E985440">
      <w:pPr>
        <w:widowControl/>
        <w:numPr>
          <w:ilvl w:val="0"/>
          <w:numId w:val="23"/>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危险行为识别：及时检测到人员抽烟、人员倒地、人员聚集、区域闯入等危险行为。</w:t>
      </w:r>
    </w:p>
    <w:p w14:paraId="35BE9588">
      <w:pPr>
        <w:widowControl/>
        <w:numPr>
          <w:ilvl w:val="0"/>
          <w:numId w:val="23"/>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物体及场景识别：有效识别明火、烟雾、车辆违停等情况。</w:t>
      </w:r>
    </w:p>
    <w:p w14:paraId="34005E0B">
      <w:pPr>
        <w:widowControl/>
        <w:numPr>
          <w:ilvl w:val="0"/>
          <w:numId w:val="23"/>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状态与因素识别功能：除行为识别外，系统还应具备对物的不安全状态和环境的不安全因素的识别能力。例如未配备灭火器等物的不安全状态。</w:t>
      </w:r>
    </w:p>
    <w:p w14:paraId="66C6ABB4">
      <w:pPr>
        <w:widowControl/>
        <w:numPr>
          <w:ilvl w:val="0"/>
          <w:numId w:val="28"/>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安全隐患事件分析</w:t>
      </w:r>
    </w:p>
    <w:p w14:paraId="30EA984D">
      <w:pPr>
        <w:widowControl/>
        <w:numPr>
          <w:ilvl w:val="0"/>
          <w:numId w:val="0"/>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系统对识别出的安全隐患进行分析，</w:t>
      </w:r>
      <w:r>
        <w:rPr>
          <w:rFonts w:hint="eastAsia" w:ascii="Times New Roman" w:hAnsi="Times New Roman" w:eastAsia="宋体" w:cs="Times New Roman"/>
          <w:color w:val="auto"/>
          <w:kern w:val="0"/>
          <w:sz w:val="24"/>
          <w:highlight w:val="none"/>
          <w:lang w:val="en-US" w:eastAsia="zh-CN"/>
        </w:rPr>
        <w:t>如位置、频率、持续时间等，</w:t>
      </w:r>
      <w:r>
        <w:rPr>
          <w:rFonts w:hint="eastAsia" w:ascii="Times New Roman" w:hAnsi="Times New Roman" w:eastAsia="宋体" w:cs="Times New Roman"/>
          <w:color w:val="auto"/>
          <w:kern w:val="0"/>
          <w:sz w:val="24"/>
          <w:highlight w:val="none"/>
          <w:lang w:eastAsia="zh-CN"/>
        </w:rPr>
        <w:t>判断其风险等级和可能造成的后果。</w:t>
      </w:r>
    </w:p>
    <w:p w14:paraId="7FB850BC">
      <w:pPr>
        <w:widowControl/>
        <w:numPr>
          <w:ilvl w:val="0"/>
          <w:numId w:val="28"/>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闭环管理</w:t>
      </w:r>
    </w:p>
    <w:p w14:paraId="3CA2962F">
      <w:pPr>
        <w:widowControl/>
        <w:numPr>
          <w:ilvl w:val="0"/>
          <w:numId w:val="0"/>
        </w:numPr>
        <w:spacing w:line="360" w:lineRule="auto"/>
        <w:ind w:left="0" w:lef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将本安全生产行为监督系统对接至企业原有业务系统，将分析结果反馈给相关人员或部门，以便采取相应的措施进行整改和预防。同时，记录整改情况，形成闭环管理的“反馈”环节，确保安全隐患得到有效的解决。</w:t>
      </w:r>
    </w:p>
    <w:p w14:paraId="69B364FC">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546" w:name="_Toc960674863"/>
      <w:bookmarkStart w:id="1547" w:name="_Toc890267636"/>
      <w:bookmarkStart w:id="1548" w:name="_Toc1313200583"/>
      <w:bookmarkStart w:id="1549" w:name="_Toc1783"/>
      <w:bookmarkStart w:id="1550" w:name="_Toc28265"/>
      <w:bookmarkStart w:id="1551" w:name="_Toc3402"/>
      <w:bookmarkStart w:id="1552" w:name="_Toc193093647"/>
      <w:bookmarkStart w:id="1553" w:name="_Toc59836565"/>
      <w:bookmarkStart w:id="1554" w:name="_Toc20024"/>
      <w:r>
        <w:rPr>
          <w:rFonts w:hint="eastAsia" w:ascii="Times New Roman" w:hAnsi="Times New Roman" w:eastAsia="黑体" w:cs="Times New Roman"/>
          <w:b/>
          <w:color w:val="auto"/>
          <w:sz w:val="30"/>
          <w:highlight w:val="none"/>
          <w:lang w:val="en-US" w:eastAsia="zh-CN" w:bidi="ar-SA"/>
        </w:rPr>
        <w:t>大模型智慧决策</w:t>
      </w:r>
      <w:bookmarkEnd w:id="1524"/>
      <w:bookmarkEnd w:id="1525"/>
      <w:bookmarkEnd w:id="1526"/>
      <w:bookmarkEnd w:id="1527"/>
      <w:bookmarkEnd w:id="1546"/>
      <w:bookmarkEnd w:id="1547"/>
      <w:bookmarkEnd w:id="1548"/>
      <w:bookmarkEnd w:id="1549"/>
      <w:bookmarkEnd w:id="1550"/>
      <w:bookmarkEnd w:id="1551"/>
      <w:bookmarkEnd w:id="1552"/>
      <w:bookmarkEnd w:id="1553"/>
      <w:bookmarkEnd w:id="1554"/>
    </w:p>
    <w:p w14:paraId="61998762">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前期公司供水营运管理的需求，采用云平台技术架构构建了公司的各项业务模块，形成了覆盖全公司各主要链条的业务功能。其囊括了各种业务办理流程、海量的业务数据、各种多维分析结果等丰富的成果，提升了公司管理水平，但对于善用数据、会用系统、全面掌握生产经营，需要构建新的应用范式。</w:t>
      </w:r>
    </w:p>
    <w:p w14:paraId="31F9506D">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基于大模型的利用AI开发平台的大模型作为中央处理器，凭借其卓越的自然语言处理能力，精准地识别用户的意图，并根据不同的任务需求进行智能拆解，灵活地调用各种专业化的内容，并生成答案，实现业务闭环；利用大模型应用开发平台作为操作系统，对公司已有的数据、知识、业务应用、专业模型等进行语义化、向量化处理，转化为能够被大模型调用的资产，支持解决复杂场景的业务诉求。</w:t>
      </w:r>
    </w:p>
    <w:p w14:paraId="0D5D6C00">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水厂大模型能力构建</w:t>
      </w:r>
    </w:p>
    <w:p w14:paraId="2073051A">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针对水厂生产场景下，需要开展行业内部知识整理，形成行业内部的知识，行业内部的行业术语、行业标准、政策法规、行业“习惯用语”等知识内容，利用大模型对知识的学习理解能力，实现对知识的学习与理解，并对知识进行切片，通过向量学习等方法，实现行业知识的学习，构建基于大模型的行业知识助手能力。另外针对本次构建的广州自来水以及北部水厂，将整理的广州自来水水厂生产以及北部水厂生产所形成的管理制度、规范、内控标准、生产调度模式、各工艺单元机理参数、作业流程、生产经验总结、应急管理内容等知识，利用大模型能力实现对知识的理解与生产，实现基于大模型的整体水厂的专有知识能力，构建水厂的大模型基础能力。</w:t>
      </w:r>
    </w:p>
    <w:p w14:paraId="2AFDD852">
      <w:pPr>
        <w:keepNext/>
        <w:keepLines/>
        <w:numPr>
          <w:ilvl w:val="3"/>
          <w:numId w:val="1"/>
        </w:numPr>
        <w:spacing w:line="360" w:lineRule="auto"/>
        <w:ind w:left="1282" w:leftChars="200" w:hanging="862" w:firstLineChars="0"/>
        <w:jc w:val="both"/>
        <w:outlineLvl w:val="3"/>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生产管家</w:t>
      </w:r>
    </w:p>
    <w:p w14:paraId="2DDF979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szCs w:val="24"/>
          <w:highlight w:val="none"/>
          <w:lang w:eastAsia="zh-CN"/>
        </w:rPr>
        <w:t>打造生产管家超级助理，嵌入现有或规划建设的业务系统，提升整个系统的智慧化程度和使用的便捷程度，生产管家可实现设备检维修知识查询、工艺优化调度分析、经营数据分析、水厂宣教、水厂智能巡检等。</w:t>
      </w:r>
    </w:p>
    <w:p w14:paraId="4208B532">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功能描述</w:t>
      </w:r>
    </w:p>
    <w:p w14:paraId="2BA59043">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运用大模型意图理解、任务拆解以及灵活的组件调用的能力，高效满足使用者的个性化需求，真正实现“机器为人所用，助力智慧决策”。基于水厂大模型能力模型，针对水厂生产构建生产管家，管家实现为生产调度运营人员提供整体的生产管理与运营能力支持。生产管家可以实现收集、处理和分析水厂生产过程中的各类数据，同时结合上述训练的大模型能力，实现对于水厂生产以及行业信息的理解，及时了解水厂生产的各类实时运行状态，对于突发的应急事件，可以实现快速响应突发情况，确保水厂生产过程的高效和稳定。并通过自然语言对话交互的方式，使得生产调度人员轻松掌握生产经营的全貌。</w:t>
      </w:r>
    </w:p>
    <w:p w14:paraId="03C53450">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应用构建</w:t>
      </w:r>
    </w:p>
    <w:p w14:paraId="5C78BBE1">
      <w:pPr>
        <w:widowControl/>
        <w:numPr>
          <w:ilvl w:val="0"/>
          <w:numId w:val="0"/>
        </w:num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（1）知识整理构建私域知识</w:t>
      </w:r>
    </w:p>
    <w:p w14:paraId="22F3E9EC">
      <w:pPr>
        <w:widowControl/>
        <w:spacing w:line="360" w:lineRule="auto"/>
        <w:ind w:firstLine="42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通过运用大模型应用平台的数据管理工具，实现行业、水厂生产的各类知识的导入，并运用平台的大模型实现知识的理解形成各类知识切片，运用平台的知识管理、文档解析与管理、数据分析与标注工具，开展切片知识的优化与整理，通过Prompt工具，思维链、LLM的模型库的运用，实现私域知识构建，满足知识问答与搜索增强（RAG）的各类场景应用。</w:t>
      </w:r>
    </w:p>
    <w:p w14:paraId="5327EE27">
      <w:pPr>
        <w:widowControl/>
        <w:numPr>
          <w:ilvl w:val="0"/>
          <w:numId w:val="0"/>
        </w:numPr>
        <w:spacing w:line="360" w:lineRule="auto"/>
        <w:ind w:left="420"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（2）各类通用能力的构建</w:t>
      </w:r>
    </w:p>
    <w:p w14:paraId="732E1828">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运用大模型平台的各类服务管理、思维链等组件，开展大模型与其他模型调用的集成，可通过系统平台调用上一章构建的各类生产模型组件，实现按照机理与场景下AI模型的推理运用与理解。</w:t>
      </w:r>
    </w:p>
    <w:p w14:paraId="460DF7B0">
      <w:pPr>
        <w:widowControl/>
        <w:numPr>
          <w:ilvl w:val="0"/>
          <w:numId w:val="0"/>
        </w:numPr>
        <w:spacing w:line="360" w:lineRule="auto"/>
        <w:ind w:left="420"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（3）各类数据能力的集成</w:t>
      </w:r>
    </w:p>
    <w:p w14:paraId="3B9698E2">
      <w:pPr>
        <w:widowControl/>
        <w:spacing w:line="360" w:lineRule="auto"/>
        <w:ind w:firstLine="42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 xml:space="preserve"> 运用大模型平台的数据管理的各项能力，实现在推理过程中对各类数据的集成与接入，实现大模型定期获知事件感知的能力，推动对模型的运用与推理，获知应急情况，及时响应应急。通过人机交互的方式，可以实现生产管家对于运营情况的感知。</w:t>
      </w:r>
    </w:p>
    <w:p w14:paraId="388D2BE0">
      <w:pPr>
        <w:widowControl/>
        <w:numPr>
          <w:ilvl w:val="0"/>
          <w:numId w:val="0"/>
        </w:numPr>
        <w:spacing w:line="360" w:lineRule="auto"/>
        <w:ind w:left="420"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（4）构建智能体实现应用</w:t>
      </w:r>
    </w:p>
    <w:p w14:paraId="2274A71E">
      <w:pPr>
        <w:widowControl/>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运用大模型平台的应用代理（agent）的能力，构建基于模型、问答、数据、模型能力为基础的智能体，通过智能体实现对于信息的展示、应急的提醒，知识的问答，数据的应用。可在平台应用集市上发现相关应用，并可调用其他的应用，实现多能力集成与展现。</w:t>
      </w:r>
    </w:p>
    <w:p w14:paraId="592A941D">
      <w:pPr>
        <w:keepNext/>
        <w:keepLines/>
        <w:numPr>
          <w:ilvl w:val="4"/>
          <w:numId w:val="1"/>
        </w:numPr>
        <w:spacing w:line="360" w:lineRule="auto"/>
        <w:ind w:left="1429" w:leftChars="200" w:hanging="1009" w:firstLineChars="0"/>
        <w:jc w:val="both"/>
        <w:outlineLvl w:val="4"/>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使用场景</w:t>
      </w:r>
    </w:p>
    <w:p w14:paraId="4C5762BF">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设备检维修助手</w:t>
      </w:r>
    </w:p>
    <w:p w14:paraId="1DCA97E9">
      <w:pPr>
        <w:widowControl/>
        <w:spacing w:line="360" w:lineRule="auto"/>
        <w:ind w:firstLine="480" w:firstLineChars="0"/>
        <w:rPr>
          <w:rFonts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目前自来水厂整体面临着处理工艺知识复杂、政策规范冗长，且老师傅的经验难以有效共享，且在设备突发状况时，运营人员面临快速定位问题并给出有效解决方案的难题。为提升水厂设备检维修人员故障快速响应能力，现需建设关于设备检维修助手大模型智能体。</w:t>
      </w:r>
    </w:p>
    <w:p w14:paraId="4D74CBA1">
      <w:pPr>
        <w:widowControl/>
        <w:spacing w:line="360" w:lineRule="auto"/>
        <w:ind w:firstLine="480" w:firstLineChars="0"/>
        <w:rPr>
          <w:rFonts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设备检维修助手的整体目标是借助大模型知识总结、智能问答能力，结合北部水厂大量历史资料，基于大模型应用开发平台进行文档数字化，构建不同主题知识库，搭建设备检维修智能体，实现运营人员快速了解设备信息、操作方法、维护要求的目的，同时，在设备故障时，能够快速定位文档、分析故障原因并提供解决方案。</w:t>
      </w:r>
    </w:p>
    <w:p w14:paraId="66FF647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设备检维修助手核心包含数据治理、知识库构建和智能问答功能。</w:t>
      </w:r>
    </w:p>
    <w:p w14:paraId="27646D9F">
      <w:pPr>
        <w:widowControl/>
        <w:numPr>
          <w:ilvl w:val="0"/>
          <w:numId w:val="29"/>
        </w:numPr>
        <w:spacing w:line="360" w:lineRule="auto"/>
        <w:ind w:firstLine="482" w:firstLineChars="200"/>
        <w:rPr>
          <w:rFonts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数据治理</w:t>
      </w:r>
    </w:p>
    <w:p w14:paraId="234CDA41">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基于水厂内部的各类知识问答，构建有效、一致、完整的知识集合。</w:t>
      </w:r>
    </w:p>
    <w:p w14:paraId="3FA1D41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通过去除数据中的无关信息、重复项和错误数据，确保数据的准确性和有效性。</w:t>
      </w:r>
    </w:p>
    <w:p w14:paraId="70ADEF0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通过对数据进行统一的大小写处理、删除无关符号、纠正拼写错误等，提高数据的一致性。</w:t>
      </w:r>
    </w:p>
    <w:p w14:paraId="4C5B6E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通过收集与设备检维修相关的各种数据，包括设备类数据（如设备说明书、操作规程等）、行业规则类数据（如法律法规、标准规范等）以及应急预案等，保障数据的全面性。</w:t>
      </w:r>
    </w:p>
    <w:p w14:paraId="1B4760E6">
      <w:pPr>
        <w:widowControl/>
        <w:numPr>
          <w:ilvl w:val="0"/>
          <w:numId w:val="29"/>
        </w:numPr>
        <w:spacing w:line="360" w:lineRule="auto"/>
        <w:ind w:firstLine="482" w:firstLineChars="200"/>
        <w:rPr>
          <w:rFonts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知识库构建</w:t>
      </w:r>
    </w:p>
    <w:p w14:paraId="75E678E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1）数据整合</w:t>
      </w:r>
    </w:p>
    <w:p w14:paraId="594A8F7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全面收集并整合北部水厂各类设备类数据，包括但不限于设备说明书、设备操作规程、设备点检规程、安全操作规程、例保规程等。</w:t>
      </w:r>
    </w:p>
    <w:p w14:paraId="54B2514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系统梳理行业规则类数据，涵盖法律法规、规章制度、国家标准、行业标准、企业标准、技术规范等。</w:t>
      </w:r>
    </w:p>
    <w:p w14:paraId="2A9CB69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完整纳入各类应急预案，如水源地水质、供水水质、水厂设备故障、防汛防雷防台风、供水故障等应急预案。</w:t>
      </w:r>
    </w:p>
    <w:p w14:paraId="7A8D079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2）主题知识库构建</w:t>
      </w:r>
    </w:p>
    <w:p w14:paraId="29F327D5">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根据文档内容和业务逻辑，构建不同的主题知识库，如设备知识库、行业规则知识库、应急预案知识库等，方便智能体按主题进行检索增强。</w:t>
      </w:r>
    </w:p>
    <w:p w14:paraId="194E22C4">
      <w:pPr>
        <w:widowControl/>
        <w:numPr>
          <w:ilvl w:val="0"/>
          <w:numId w:val="29"/>
        </w:numPr>
        <w:spacing w:line="360" w:lineRule="auto"/>
        <w:ind w:firstLine="482" w:firstLineChars="200"/>
        <w:rPr>
          <w:rFonts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eastAsia="zh-CN"/>
        </w:rPr>
        <w:t>智能问答功能</w:t>
      </w:r>
    </w:p>
    <w:p w14:paraId="5D40C30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1）自然语言交互，支持运营人员以自然语言方式提出问题，系统能够理解问题的意图，并从知识库中检索相关信息进行回答。</w:t>
      </w:r>
    </w:p>
    <w:p w14:paraId="6F5C5F0C">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2）快速定位与解答，例如，当运营人员询问设备基本信息、操作方法和维护要求时，系统能够迅速从设备知识库中提取准确信息并展示。</w:t>
      </w:r>
    </w:p>
    <w:p w14:paraId="6298E92A">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工艺优化调度助手</w:t>
      </w:r>
    </w:p>
    <w:p w14:paraId="0B9EDA58">
      <w:pPr>
        <w:widowControl/>
        <w:spacing w:line="360" w:lineRule="auto"/>
        <w:ind w:firstLine="480" w:firstLineChars="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北部水厂日常生产涉及众多工艺参数，需依据进水工况、设备运行工况等多种因素不断调整优化，以保障水质达标的同时降低水处理成本。通过对投矾系统、次氯酸钠投加系统、进水泵站系统、变配电系统等多个工艺段规划建设智慧控制算法，打造符合智能工厂建设要求的工艺优化调度助手，以提升自来水处理设施使用效率，降低制水成本。</w:t>
      </w:r>
    </w:p>
    <w:p w14:paraId="78646CCB">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工艺优化调度助手利用大模型、</w:t>
      </w:r>
      <w:r>
        <w:rPr>
          <w:rFonts w:hint="eastAsia" w:ascii="Times New Roman" w:hAnsi="Times New Roman" w:eastAsia="宋体" w:cs="Times New Roman"/>
          <w:color w:val="auto"/>
          <w:kern w:val="0"/>
          <w:sz w:val="24"/>
          <w:highlight w:val="none"/>
          <w:lang w:val="en-US" w:eastAsia="zh-CN"/>
        </w:rPr>
        <w:t>工艺模型</w:t>
      </w:r>
      <w:r>
        <w:rPr>
          <w:rFonts w:hint="eastAsia" w:ascii="Times New Roman" w:hAnsi="Times New Roman" w:eastAsia="宋体" w:cs="Times New Roman"/>
          <w:color w:val="auto"/>
          <w:kern w:val="0"/>
          <w:sz w:val="24"/>
          <w:highlight w:val="none"/>
          <w:lang w:eastAsia="zh-CN"/>
        </w:rPr>
        <w:t>协同的机制，结合大模型的任务规划、意图理解和工具调用能力与</w:t>
      </w:r>
      <w:r>
        <w:rPr>
          <w:rFonts w:hint="eastAsia" w:ascii="Times New Roman" w:hAnsi="Times New Roman" w:eastAsia="宋体" w:cs="Times New Roman"/>
          <w:color w:val="auto"/>
          <w:kern w:val="0"/>
          <w:sz w:val="24"/>
          <w:highlight w:val="none"/>
          <w:lang w:val="en-US" w:eastAsia="zh-CN"/>
        </w:rPr>
        <w:t>工艺</w:t>
      </w:r>
      <w:r>
        <w:rPr>
          <w:rFonts w:hint="eastAsia" w:ascii="Times New Roman" w:hAnsi="Times New Roman" w:eastAsia="宋体" w:cs="Times New Roman"/>
          <w:color w:val="auto"/>
          <w:kern w:val="0"/>
          <w:sz w:val="24"/>
          <w:highlight w:val="none"/>
          <w:lang w:eastAsia="zh-CN"/>
        </w:rPr>
        <w:t>模型的模拟仿真、工艺优化算法，给出符合实际情况的工艺优化决策建议，能够有效指导自来水厂的生产运行，达到提高水质达标率和降低制水成本的目的。</w:t>
      </w:r>
    </w:p>
    <w:p w14:paraId="7C8C437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主要系统功能如下：</w:t>
      </w:r>
    </w:p>
    <w:p w14:paraId="6747BAB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1）不同工况模拟仿真</w:t>
      </w:r>
    </w:p>
    <w:p w14:paraId="7C40829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用户可基于工艺优化调度助手完成不同工况的模拟仿真，如不同进水流量、不同进水水质或者不同运行工况等条件下的自来水厂运行参数模拟。</w:t>
      </w:r>
    </w:p>
    <w:p w14:paraId="6FE0D31C">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系统能够准确识别用户设置的工况条件，进行任务拆解，调用相应的精确模型和专业知识库，给出符合实际情况的工艺优化决策建议。</w:t>
      </w:r>
    </w:p>
    <w:p w14:paraId="2BC51BC3">
      <w:pPr>
        <w:widowControl/>
        <w:numPr>
          <w:ilvl w:val="0"/>
          <w:numId w:val="0"/>
        </w:numPr>
        <w:spacing w:line="360" w:lineRule="auto"/>
        <w:ind w:firstLine="480" w:firstLineChars="200"/>
        <w:jc w:val="both"/>
        <w:rPr>
          <w:rFonts w:ascii="Times New Roman" w:hAnsi="Times New Roman" w:eastAsia="宋体" w:cs="Times New Roman"/>
          <w:b/>
          <w:color w:val="auto"/>
          <w:kern w:val="0"/>
          <w:sz w:val="24"/>
          <w:highlight w:val="none"/>
          <w:lang w:eastAsia="zh-CN"/>
        </w:rPr>
      </w:pPr>
      <w:r>
        <w:rPr>
          <w:rFonts w:ascii="Times New Roman" w:hAnsi="Times New Roman" w:eastAsia="宋体" w:cs="Times New Roman"/>
          <w:color w:val="auto"/>
          <w:kern w:val="0"/>
          <w:sz w:val="24"/>
          <w:highlight w:val="none"/>
          <w:lang w:eastAsia="zh-CN"/>
        </w:rPr>
        <w:t>2</w:t>
      </w:r>
      <w:r>
        <w:rPr>
          <w:rFonts w:hint="eastAsia" w:ascii="Times New Roman" w:hAnsi="Times New Roman" w:eastAsia="宋体" w:cs="Times New Roman"/>
          <w:color w:val="auto"/>
          <w:kern w:val="0"/>
          <w:sz w:val="24"/>
          <w:highlight w:val="none"/>
          <w:lang w:eastAsia="zh-CN"/>
        </w:rPr>
        <w:t>）大模型</w:t>
      </w:r>
      <w:r>
        <w:rPr>
          <w:rFonts w:hint="eastAsia" w:ascii="Times New Roman" w:hAnsi="Times New Roman" w:eastAsia="宋体" w:cs="Times New Roman"/>
          <w:color w:val="auto"/>
          <w:kern w:val="0"/>
          <w:sz w:val="24"/>
          <w:highlight w:val="none"/>
          <w:lang w:val="en-US" w:eastAsia="zh-CN"/>
        </w:rPr>
        <w:t>与工艺模型</w:t>
      </w:r>
      <w:r>
        <w:rPr>
          <w:rFonts w:hint="eastAsia" w:ascii="Times New Roman" w:hAnsi="Times New Roman" w:eastAsia="宋体" w:cs="Times New Roman"/>
          <w:color w:val="auto"/>
          <w:kern w:val="0"/>
          <w:sz w:val="24"/>
          <w:highlight w:val="none"/>
          <w:lang w:eastAsia="zh-CN"/>
        </w:rPr>
        <w:t>协同</w:t>
      </w:r>
    </w:p>
    <w:p w14:paraId="4951D2D9">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支持用户通过自然语言交互的方式，快速、准确地调取专业模型。系统应具备强大的自然语言理解能力，能够识别用户意图，将用户的自然语言描述转化为对相应模型的调用请求。</w:t>
      </w:r>
    </w:p>
    <w:p w14:paraId="0A06B5FF">
      <w:pPr>
        <w:widowControl/>
        <w:numPr>
          <w:ilvl w:val="0"/>
          <w:numId w:val="0"/>
        </w:numPr>
        <w:spacing w:before="0" w:after="0" w:line="360" w:lineRule="auto"/>
        <w:ind w:firstLine="480" w:firstLineChars="200"/>
        <w:jc w:val="both"/>
        <w:rPr>
          <w:rFonts w:ascii="Times New Roman" w:hAnsi="Times New Roman" w:eastAsia="宋体" w:cs="Times New Roman"/>
          <w:b/>
          <w:color w:val="auto"/>
          <w:kern w:val="0"/>
          <w:sz w:val="24"/>
          <w:highlight w:val="none"/>
          <w:lang w:eastAsia="zh-CN"/>
        </w:rPr>
      </w:pPr>
      <w:r>
        <w:rPr>
          <w:rFonts w:ascii="Times New Roman" w:hAnsi="Times New Roman" w:eastAsia="宋体" w:cs="Times New Roman"/>
          <w:color w:val="auto"/>
          <w:kern w:val="0"/>
          <w:sz w:val="24"/>
          <w:highlight w:val="none"/>
          <w:lang w:eastAsia="zh-CN"/>
        </w:rPr>
        <w:t>3</w:t>
      </w:r>
      <w:r>
        <w:rPr>
          <w:rFonts w:hint="eastAsia" w:ascii="Times New Roman" w:hAnsi="Times New Roman" w:eastAsia="宋体" w:cs="Times New Roman"/>
          <w:color w:val="auto"/>
          <w:kern w:val="0"/>
          <w:sz w:val="24"/>
          <w:highlight w:val="none"/>
          <w:lang w:eastAsia="zh-CN"/>
        </w:rPr>
        <w:t>）模拟结果剖析与决策支持</w:t>
      </w:r>
    </w:p>
    <w:p w14:paraId="3B0EF7DC">
      <w:pPr>
        <w:widowControl/>
        <w:spacing w:before="0" w:after="0" w:line="360" w:lineRule="auto"/>
        <w:ind w:firstLine="480" w:firstLineChars="200"/>
        <w:jc w:val="both"/>
        <w:rPr>
          <w:rFonts w:ascii="Times New Roman" w:hAnsi="Times New Roman" w:eastAsia="宋体" w:cs="Times New Roman"/>
          <w:b/>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基于大模型的数据分析能力，对模拟结果进行多维度剖析，如水质指标变化趋势、设备运行效率分析、成本构成分析等。</w:t>
      </w:r>
    </w:p>
    <w:p w14:paraId="4F8E2287">
      <w:pPr>
        <w:widowControl/>
        <w:spacing w:before="0" w:after="0" w:line="360" w:lineRule="auto"/>
        <w:ind w:firstLine="480" w:firstLineChars="200"/>
        <w:jc w:val="both"/>
        <w:rPr>
          <w:rFonts w:ascii="Times New Roman" w:hAnsi="Times New Roman" w:eastAsia="宋体" w:cs="Times New Roman"/>
          <w:b/>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辅助运营人员选择最佳的工艺运行方案，根据模拟结果和分析，提供详细的工艺优化决策建议，包括参数调整建议、设备运行策略建议等。</w:t>
      </w:r>
    </w:p>
    <w:p w14:paraId="23E160CA">
      <w:pPr>
        <w:widowControl/>
        <w:numPr>
          <w:ilvl w:val="0"/>
          <w:numId w:val="0"/>
        </w:numPr>
        <w:spacing w:before="0" w:after="0" w:line="360" w:lineRule="auto"/>
        <w:ind w:firstLine="480" w:firstLineChars="200"/>
        <w:jc w:val="both"/>
        <w:rPr>
          <w:rFonts w:ascii="Times New Roman" w:hAnsi="Times New Roman" w:eastAsia="宋体" w:cs="Times New Roman"/>
          <w:b/>
          <w:color w:val="auto"/>
          <w:kern w:val="0"/>
          <w:sz w:val="24"/>
          <w:highlight w:val="none"/>
          <w:lang w:eastAsia="zh-CN"/>
        </w:rPr>
      </w:pPr>
      <w:r>
        <w:rPr>
          <w:rFonts w:ascii="Times New Roman" w:hAnsi="Times New Roman" w:eastAsia="宋体" w:cs="Times New Roman"/>
          <w:color w:val="auto"/>
          <w:kern w:val="0"/>
          <w:sz w:val="24"/>
          <w:highlight w:val="none"/>
          <w:lang w:eastAsia="zh-CN"/>
        </w:rPr>
        <w:t>4</w:t>
      </w:r>
      <w:r>
        <w:rPr>
          <w:rFonts w:hint="eastAsia" w:ascii="Times New Roman" w:hAnsi="Times New Roman" w:eastAsia="宋体" w:cs="Times New Roman"/>
          <w:color w:val="auto"/>
          <w:kern w:val="0"/>
          <w:sz w:val="24"/>
          <w:highlight w:val="none"/>
          <w:lang w:eastAsia="zh-CN"/>
        </w:rPr>
        <w:t>）自然语言交互</w:t>
      </w:r>
    </w:p>
    <w:p w14:paraId="609CE4E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系统应具备强大的自然语言理解能力，能够识别用户意图，将用户的自然语言描述转化为对相应</w:t>
      </w:r>
      <w:r>
        <w:rPr>
          <w:rFonts w:hint="eastAsia" w:ascii="Times New Roman" w:hAnsi="Times New Roman" w:eastAsia="宋体" w:cs="Times New Roman"/>
          <w:color w:val="auto"/>
          <w:kern w:val="0"/>
          <w:sz w:val="24"/>
          <w:highlight w:val="none"/>
          <w:lang w:val="en-US" w:eastAsia="zh-CN"/>
        </w:rPr>
        <w:t>工艺</w:t>
      </w:r>
      <w:r>
        <w:rPr>
          <w:rFonts w:hint="eastAsia" w:ascii="Times New Roman" w:hAnsi="Times New Roman" w:eastAsia="宋体" w:cs="Times New Roman"/>
          <w:color w:val="auto"/>
          <w:kern w:val="0"/>
          <w:sz w:val="24"/>
          <w:highlight w:val="none"/>
          <w:lang w:eastAsia="zh-CN"/>
        </w:rPr>
        <w:t>模型的调用请求。</w:t>
      </w:r>
    </w:p>
    <w:p w14:paraId="74872EA7">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水厂经营数据分析助手</w:t>
      </w:r>
    </w:p>
    <w:p w14:paraId="62A751B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随着水厂运营管理的精细化要求不断提高，传统数据查询和分析方式已难以满足快速、灵活、全面获取水厂经营信息的要求。为打破传统数据分析报表的局限性，提升水厂运营决策的科学性和效率，现需建设水厂经营数据分析助手。</w:t>
      </w:r>
    </w:p>
    <w:p w14:paraId="3318822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大模型强大的任务规划、数据分析以及工具调用等能力，通过自然语言交互的方式，跨系统调用多维数据，对水厂经营数据进行分析，快速了解北部水厂整体运行状况，识别潜在问题，并基于大模型给出改进建议，辅助管理者深入了解经营状况，提升水厂运营管理水平。</w:t>
      </w:r>
    </w:p>
    <w:p w14:paraId="3F363614">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功能需求：</w:t>
      </w:r>
    </w:p>
    <w:p w14:paraId="4396447F">
      <w:pPr>
        <w:widowControl/>
        <w:numPr>
          <w:ilvl w:val="0"/>
          <w:numId w:val="0"/>
        </w:numPr>
        <w:spacing w:line="360" w:lineRule="auto"/>
        <w:ind w:firstLine="480" w:firstLineChars="200"/>
        <w:rPr>
          <w:rFonts w:ascii="Times New Roman" w:hAnsi="Times New Roman" w:eastAsia="宋体" w:cs="Times New Roman"/>
          <w:b w:val="0"/>
          <w:bCs w:val="0"/>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w:t>
      </w:r>
      <w:r>
        <w:rPr>
          <w:rFonts w:hint="eastAsia" w:ascii="Times New Roman" w:hAnsi="Times New Roman" w:eastAsia="宋体" w:cs="Times New Roman"/>
          <w:b w:val="0"/>
          <w:bCs w:val="0"/>
          <w:color w:val="auto"/>
          <w:kern w:val="0"/>
          <w:sz w:val="24"/>
          <w:highlight w:val="none"/>
          <w:lang w:eastAsia="zh-CN"/>
        </w:rPr>
        <w:t>多系统数据集成</w:t>
      </w:r>
    </w:p>
    <w:p w14:paraId="377F6A38">
      <w:pPr>
        <w:widowControl/>
        <w:numPr>
          <w:ilvl w:val="0"/>
          <w:numId w:val="0"/>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支持与北部水厂现有的各类业务系统（如生产监控系统、水质监测系统、水量监控系统、药剂管理系统等）进行对接，实现数据的跨系统调用。</w:t>
      </w:r>
    </w:p>
    <w:p w14:paraId="12DC4599">
      <w:pPr>
        <w:widowControl/>
        <w:numPr>
          <w:ilvl w:val="0"/>
          <w:numId w:val="0"/>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具备数据接口适配能力，能够兼容不同系统的数据格式和通信协议，确保数据的准确、及时获取。</w:t>
      </w:r>
    </w:p>
    <w:p w14:paraId="7A6024B0">
      <w:pPr>
        <w:widowControl/>
        <w:numPr>
          <w:ilvl w:val="0"/>
          <w:numId w:val="0"/>
        </w:numPr>
        <w:spacing w:line="360" w:lineRule="auto"/>
        <w:ind w:firstLine="480" w:firstLineChars="200"/>
        <w:rPr>
          <w:rFonts w:ascii="Times New Roman" w:hAnsi="Times New Roman" w:eastAsia="宋体" w:cs="Times New Roman"/>
          <w:b w:val="0"/>
          <w:bCs w:val="0"/>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w:t>
      </w:r>
      <w:r>
        <w:rPr>
          <w:rFonts w:hint="eastAsia" w:ascii="Times New Roman" w:hAnsi="Times New Roman" w:eastAsia="宋体" w:cs="Times New Roman"/>
          <w:b w:val="0"/>
          <w:bCs w:val="0"/>
          <w:color w:val="auto"/>
          <w:kern w:val="0"/>
          <w:sz w:val="24"/>
          <w:highlight w:val="none"/>
          <w:lang w:eastAsia="zh-CN"/>
        </w:rPr>
        <w:t>智能交互体验</w:t>
      </w:r>
    </w:p>
    <w:p w14:paraId="1668B337">
      <w:pPr>
        <w:widowControl/>
        <w:numPr>
          <w:ilvl w:val="0"/>
          <w:numId w:val="0"/>
        </w:numPr>
        <w:tabs>
          <w:tab w:val="left" w:pos="840"/>
        </w:tabs>
        <w:spacing w:line="360" w:lineRule="auto"/>
        <w:ind w:left="0" w:firstLine="480" w:firstLineChars="200"/>
        <w:rPr>
          <w:rFonts w:ascii="Times New Roman" w:hAnsi="Times New Roman" w:eastAsia="宋体" w:cs="Times New Roman"/>
          <w:b/>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提供更加智能、便捷的人机交互方式，用户无需掌握复杂的数据查询语句和操作技能，通过自然语言即可轻松获取所需信息。</w:t>
      </w:r>
    </w:p>
    <w:p w14:paraId="0C0BFD1D">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安全性需求：</w:t>
      </w:r>
    </w:p>
    <w:p w14:paraId="6C377E08">
      <w:pPr>
        <w:widowControl/>
        <w:numPr>
          <w:ilvl w:val="0"/>
          <w:numId w:val="0"/>
        </w:numPr>
        <w:spacing w:line="360" w:lineRule="auto"/>
        <w:ind w:left="0"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（1）对水厂经营数据进行严格的加密处理，确保数据在传输和存储过程中的安全性。</w:t>
      </w:r>
    </w:p>
    <w:p w14:paraId="45EDB31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（2）实施数据访问控制，根据用户角色和权限设置不同的数据访问级别，防止数据泄露和非法访问。</w:t>
      </w:r>
    </w:p>
    <w:p w14:paraId="202D619D">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工作报告生成助手</w:t>
      </w:r>
    </w:p>
    <w:p w14:paraId="013A075B">
      <w:pPr>
        <w:wordWrap w:val="0"/>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hint="eastAsia" w:ascii="Times New Roman" w:hAnsi="Times New Roman" w:eastAsia="宋体" w:cs="Times New Roman"/>
          <w:color w:val="auto"/>
          <w:sz w:val="24"/>
          <w:highlight w:val="none"/>
          <w:lang w:val="en-US" w:eastAsia="zh-CN" w:bidi="ar-SA"/>
        </w:rPr>
        <w:t>工作报告写作助手可以为用户编写</w:t>
      </w:r>
      <w:r>
        <w:rPr>
          <w:rFonts w:ascii="Times New Roman" w:hAnsi="Times New Roman" w:eastAsia="宋体" w:cs="Times New Roman"/>
          <w:color w:val="auto"/>
          <w:sz w:val="24"/>
          <w:highlight w:val="none"/>
          <w:lang w:val="en-US" w:eastAsia="zh-CN" w:bidi="ar-SA"/>
        </w:rPr>
        <w:t>巡检</w:t>
      </w:r>
      <w:r>
        <w:rPr>
          <w:rFonts w:hint="eastAsia" w:ascii="Times New Roman" w:hAnsi="Times New Roman" w:eastAsia="宋体" w:cs="Times New Roman"/>
          <w:color w:val="auto"/>
          <w:sz w:val="24"/>
          <w:highlight w:val="none"/>
          <w:lang w:val="en-US" w:eastAsia="zh-CN" w:bidi="ar-SA"/>
        </w:rPr>
        <w:t>报告</w:t>
      </w:r>
      <w:r>
        <w:rPr>
          <w:rFonts w:ascii="Times New Roman" w:hAnsi="Times New Roman" w:eastAsia="宋体" w:cs="Times New Roman"/>
          <w:color w:val="auto"/>
          <w:sz w:val="24"/>
          <w:highlight w:val="none"/>
          <w:lang w:val="en-US" w:eastAsia="zh-CN" w:bidi="ar-SA"/>
        </w:rPr>
        <w:t>、维修</w:t>
      </w:r>
      <w:r>
        <w:rPr>
          <w:rFonts w:hint="eastAsia" w:ascii="Times New Roman" w:hAnsi="Times New Roman" w:eastAsia="宋体" w:cs="Times New Roman"/>
          <w:color w:val="auto"/>
          <w:sz w:val="24"/>
          <w:highlight w:val="none"/>
          <w:lang w:val="en-US" w:eastAsia="zh-CN" w:bidi="ar-SA"/>
        </w:rPr>
        <w:t>报告、工作总结、应急预案</w:t>
      </w:r>
      <w:r>
        <w:rPr>
          <w:rFonts w:ascii="Times New Roman" w:hAnsi="Times New Roman" w:eastAsia="宋体" w:cs="Times New Roman"/>
          <w:color w:val="auto"/>
          <w:sz w:val="24"/>
          <w:highlight w:val="none"/>
          <w:lang w:val="en-US" w:eastAsia="zh-CN" w:bidi="ar-SA"/>
        </w:rPr>
        <w:t>等</w:t>
      </w:r>
      <w:r>
        <w:rPr>
          <w:rFonts w:hint="eastAsia" w:ascii="Times New Roman" w:hAnsi="Times New Roman" w:eastAsia="宋体" w:cs="Times New Roman"/>
          <w:color w:val="auto"/>
          <w:sz w:val="24"/>
          <w:highlight w:val="none"/>
          <w:lang w:val="en-US" w:eastAsia="zh-CN" w:bidi="ar-SA"/>
        </w:rPr>
        <w:t>文档提供智能化支持，根据用户输入的主题和内容，提供方案模版以及改写建议，支持对内容进行润色，满足用户在不同工作场景下对文档类型的需求，提高文档编写的针对性和效率。</w:t>
      </w:r>
    </w:p>
    <w:p w14:paraId="7342BF5A">
      <w:pPr>
        <w:wordWrap w:val="0"/>
        <w:spacing w:line="360" w:lineRule="auto"/>
        <w:ind w:firstLine="480" w:firstLineChars="200"/>
        <w:jc w:val="both"/>
        <w:rPr>
          <w:rFonts w:ascii="Times New Roman" w:hAnsi="Times New Roman" w:eastAsia="宋体" w:cs="Times New Roman"/>
          <w:color w:val="auto"/>
          <w:sz w:val="24"/>
          <w:highlight w:val="none"/>
          <w:lang w:val="en-US" w:eastAsia="zh-CN" w:bidi="ar-SA"/>
        </w:rPr>
      </w:pPr>
      <w:r>
        <w:rPr>
          <w:rFonts w:hint="eastAsia" w:ascii="Times New Roman" w:hAnsi="Times New Roman" w:eastAsia="宋体" w:cs="Times New Roman"/>
          <w:color w:val="auto"/>
          <w:sz w:val="24"/>
          <w:highlight w:val="none"/>
          <w:lang w:val="en-US" w:eastAsia="zh-CN" w:bidi="ar-SA"/>
        </w:rPr>
        <w:t>支持根据业务文档生成模版并更新至文档模板库，以适应更多工作场景。</w:t>
      </w:r>
    </w:p>
    <w:p w14:paraId="204B0B0A">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按照业务需求，如巡检报告、工作周报/月报、水厂应急预案等，动态生成文档框架内容，支持用户进一步自定义修改，可以借助AI工具进行报告润色，或通过写作助手交互式查询更多背景资料，分钟级完成公文、办公文档的写作。</w:t>
      </w:r>
    </w:p>
    <w:p w14:paraId="2D9E5BA6">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功能需求：具备根据业务场景需求（如巡检报告、周期性工作汇报【周报/月报】、水厂应急响应预案等）等报告的自动化生成。文档模板库包含巡检/维修/总结/预案等标准模板；支持多模态输出，支持文本+表格等的复合文档生成；支持针对内容润色与风格优化，比如术语替换、句式调整等。</w:t>
      </w:r>
    </w:p>
    <w:p w14:paraId="375AEDEA">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内容质量要求：需保障生成的报告逻辑结构完整、关键领域术语准确、段落衔接自然等。</w:t>
      </w:r>
    </w:p>
    <w:p w14:paraId="32E9C3C4">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扩展性要求：支持基于业务文档的结构化解析与模式提取，动态生成标准化文档模板，并实现模板库的实时更新与知识迭代，从而增强系统对业务场景的泛化适配能力；支持OA、ERP等办公系统通过Restful 等接口进行对接。</w:t>
      </w:r>
    </w:p>
    <w:p w14:paraId="74FDA285">
      <w:pPr>
        <w:keepNext/>
        <w:keepLines/>
        <w:numPr>
          <w:ilvl w:val="5"/>
          <w:numId w:val="1"/>
        </w:numPr>
        <w:spacing w:line="360" w:lineRule="auto"/>
        <w:ind w:left="420" w:leftChars="200" w:firstLine="200" w:firstLineChars="0"/>
        <w:jc w:val="both"/>
        <w:outlineLvl w:val="5"/>
        <w:rPr>
          <w:rFonts w:ascii="Arial" w:hAnsi="Arial" w:eastAsia="黑体" w:cs="Times New Roman"/>
          <w:b/>
          <w:color w:val="auto"/>
          <w:sz w:val="28"/>
          <w:highlight w:val="none"/>
          <w:lang w:val="en-US" w:eastAsia="zh-CN" w:bidi="ar-SA"/>
        </w:rPr>
      </w:pPr>
      <w:r>
        <w:rPr>
          <w:rFonts w:hint="eastAsia" w:ascii="Arial" w:hAnsi="Arial" w:eastAsia="黑体" w:cs="Times New Roman"/>
          <w:b/>
          <w:color w:val="auto"/>
          <w:sz w:val="28"/>
          <w:highlight w:val="none"/>
          <w:lang w:val="en-US" w:eastAsia="zh-CN" w:bidi="ar-SA"/>
        </w:rPr>
        <w:t xml:space="preserve"> </w:t>
      </w:r>
      <w:r>
        <w:rPr>
          <w:rFonts w:hint="eastAsia" w:ascii="Arial" w:hAnsi="Arial" w:eastAsia="黑体" w:cs="Times New Roman"/>
          <w:b/>
          <w:color w:val="auto"/>
          <w:sz w:val="28"/>
          <w:highlight w:val="none"/>
          <w:lang w:val="en-US" w:eastAsia="en-US" w:bidi="ar-SA"/>
        </w:rPr>
        <w:t>讲解机器人</w:t>
      </w:r>
      <w:r>
        <w:rPr>
          <w:rFonts w:hint="eastAsia" w:ascii="Arial" w:hAnsi="Arial" w:eastAsia="黑体" w:cs="Times New Roman"/>
          <w:b/>
          <w:color w:val="auto"/>
          <w:sz w:val="28"/>
          <w:highlight w:val="none"/>
          <w:lang w:val="en-US" w:eastAsia="zh-CN" w:bidi="ar-SA"/>
        </w:rPr>
        <w:t>（数字人）</w:t>
      </w:r>
    </w:p>
    <w:p w14:paraId="38464D1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自来水厂作为城市基础设施的重要组成部分，不仅承担着为市民提供安全、清洁饮用水的重任，还肩负着普及水资源保护知识、提升公众节水意识的社会责任。</w:t>
      </w:r>
    </w:p>
    <w:p w14:paraId="2225B1C4">
      <w:pPr>
        <w:widowControl/>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利用大模型强大的语言理解、记忆、逻辑、生成能力，结合北部水厂项目建设、水厂工艺、水厂新闻等知识，打造水厂讲解机器人，无论是关于水厂运行的专业问题，还是节水知识的普及，水厂讲解机器人都能以自然流畅的语言与用户进行对话，提供准确的信息和知识。水厂讲解机器人不仅可以满足水厂自身宣传的需要，更是为了履行其作为公共服务设施的社会责任，推动水资源保护、节水意识提升、水文化传承与科普教育。</w:t>
      </w:r>
    </w:p>
    <w:p w14:paraId="43D369E8">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主要功能如下：</w:t>
      </w:r>
    </w:p>
    <w:p w14:paraId="093E62AD">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1）数据清洗与收集</w:t>
      </w:r>
    </w:p>
    <w:p w14:paraId="54201255">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水厂的基础数据：设计文件、工艺流程、建设内容、设备原理、水厂的最新</w:t>
      </w:r>
      <w:r>
        <w:rPr>
          <w:rFonts w:ascii="Times New Roman" w:hAnsi="Times New Roman" w:eastAsia="宋体" w:cs="Times New Roman"/>
          <w:color w:val="auto"/>
          <w:kern w:val="0"/>
          <w:sz w:val="24"/>
          <w:highlight w:val="none"/>
          <w:lang w:eastAsia="zh-CN"/>
        </w:rPr>
        <w:t>动态、技术创新、环保成就和社会贡献</w:t>
      </w:r>
      <w:r>
        <w:rPr>
          <w:rFonts w:hint="eastAsia" w:ascii="Times New Roman" w:hAnsi="Times New Roman" w:eastAsia="宋体" w:cs="Times New Roman"/>
          <w:color w:val="auto"/>
          <w:kern w:val="0"/>
          <w:sz w:val="24"/>
          <w:highlight w:val="none"/>
          <w:lang w:eastAsia="zh-CN"/>
        </w:rPr>
        <w:t>等。</w:t>
      </w:r>
    </w:p>
    <w:p w14:paraId="20CC98E7">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水厂的宣传材料：视频、图片等。</w:t>
      </w:r>
    </w:p>
    <w:p w14:paraId="7A2C6B98">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行业通用数据：节水知识、水质安全、水资源保护等相关素材。</w:t>
      </w:r>
    </w:p>
    <w:p w14:paraId="3D1FB79E">
      <w:pPr>
        <w:widowControl/>
        <w:numPr>
          <w:ilvl w:val="0"/>
          <w:numId w:val="30"/>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智能问答</w:t>
      </w:r>
    </w:p>
    <w:p w14:paraId="6A6F0637">
      <w:pPr>
        <w:widowControl/>
        <w:numPr>
          <w:ilvl w:val="0"/>
          <w:numId w:val="0"/>
        </w:numPr>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基于大模型技术，构建能够理解自然语言、具备记忆与逻辑分析能力的问答系统，能够准确回答关于水厂运行、工艺流程、设备原理、最新动态、技术创新、环保成就及社会贡献等方面的专业问题。</w:t>
      </w:r>
    </w:p>
    <w:p w14:paraId="50DA64F9">
      <w:pPr>
        <w:widowControl/>
        <w:numPr>
          <w:ilvl w:val="0"/>
          <w:numId w:val="30"/>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节水知识普及</w:t>
      </w:r>
    </w:p>
    <w:p w14:paraId="3D830B3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整合行业通用数据和北部水厂专有知识，如节水技巧、水质安全知识、水资源保护法规等，通过互动对话形式，向公众普及节水意识和环保理念。</w:t>
      </w:r>
    </w:p>
    <w:p w14:paraId="7C710A09">
      <w:pPr>
        <w:widowControl/>
        <w:numPr>
          <w:ilvl w:val="0"/>
          <w:numId w:val="30"/>
        </w:num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多媒体展示</w:t>
      </w:r>
    </w:p>
    <w:p w14:paraId="13576297">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支持与数字人或数字孪生系统集成，支持视频、图片等多媒体材料的播放，结合大模型生成的讲解内容，生动展示水厂风貌、水处理过程、环保成果等，增强宣教效果。</w:t>
      </w:r>
    </w:p>
    <w:p w14:paraId="4EBF6F09">
      <w:pPr>
        <w:ind w:firstLine="480"/>
        <w:rPr>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E4079F5">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1555" w:name="_Toc1209589603"/>
      <w:bookmarkStart w:id="1556" w:name="_Toc23271"/>
      <w:bookmarkStart w:id="1557" w:name="_Toc1272758262"/>
      <w:bookmarkStart w:id="1558" w:name="_Toc10622"/>
      <w:bookmarkStart w:id="1559" w:name="_Toc1280364295"/>
      <w:bookmarkStart w:id="1560" w:name="_Toc11021"/>
      <w:bookmarkStart w:id="1561" w:name="_Toc650801159"/>
      <w:bookmarkStart w:id="1562" w:name="_Toc193093648"/>
      <w:bookmarkStart w:id="1563" w:name="_Toc8954"/>
      <w:bookmarkStart w:id="1564" w:name="_Toc27484"/>
      <w:bookmarkStart w:id="1565" w:name="_Toc22937"/>
      <w:bookmarkStart w:id="1566" w:name="_Toc15513"/>
      <w:bookmarkStart w:id="1567" w:name="_Toc11829"/>
      <w:bookmarkStart w:id="1568" w:name="_Toc4142"/>
      <w:bookmarkStart w:id="1569" w:name="_Toc12312"/>
      <w:r>
        <w:rPr>
          <w:rFonts w:hint="eastAsia" w:ascii="Arial" w:hAnsi="Arial" w:eastAsia="黑体" w:cs="Times New Roman"/>
          <w:b/>
          <w:caps/>
          <w:color w:val="auto"/>
          <w:sz w:val="32"/>
          <w:szCs w:val="28"/>
          <w:highlight w:val="none"/>
          <w:lang w:val="en-US" w:eastAsia="zh-CN" w:bidi="ar-SA"/>
        </w:rPr>
        <w:t>主要软件采购清单</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tbl>
      <w:tblPr>
        <w:tblStyle w:val="20"/>
        <w:tblW w:w="0" w:type="auto"/>
        <w:tblInd w:w="0" w:type="dxa"/>
        <w:tblLayout w:type="fixed"/>
        <w:tblCellMar>
          <w:top w:w="0" w:type="dxa"/>
          <w:left w:w="108" w:type="dxa"/>
          <w:bottom w:w="0" w:type="dxa"/>
          <w:right w:w="108" w:type="dxa"/>
        </w:tblCellMar>
      </w:tblPr>
      <w:tblGrid>
        <w:gridCol w:w="1012"/>
        <w:gridCol w:w="2509"/>
        <w:gridCol w:w="8697"/>
        <w:gridCol w:w="1052"/>
        <w:gridCol w:w="904"/>
      </w:tblGrid>
      <w:tr w14:paraId="107340DC">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605CFC52">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b/>
                <w:bCs/>
                <w:color w:val="auto"/>
                <w:kern w:val="0"/>
                <w:sz w:val="28"/>
                <w:szCs w:val="28"/>
                <w:highlight w:val="none"/>
                <w:lang w:val="en-US" w:eastAsia="zh-CN"/>
              </w:rPr>
              <w:t>一</w:t>
            </w:r>
            <w:r>
              <w:rPr>
                <w:rFonts w:hint="eastAsia" w:ascii="Times New Roman" w:hAnsi="Times New Roman" w:eastAsia="宋体" w:cs="Times New Roman"/>
                <w:b/>
                <w:bCs/>
                <w:color w:val="auto"/>
                <w:kern w:val="0"/>
                <w:sz w:val="28"/>
                <w:szCs w:val="28"/>
                <w:highlight w:val="none"/>
                <w:lang w:eastAsia="zh-CN"/>
              </w:rPr>
              <w:t>、AI大模型平台</w:t>
            </w:r>
          </w:p>
        </w:tc>
      </w:tr>
      <w:tr w14:paraId="44E5336A">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B82CDDB">
            <w:pPr>
              <w:widowControl/>
              <w:spacing w:line="360" w:lineRule="auto"/>
              <w:ind w:firstLine="0" w:firstLineChars="0"/>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序号</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1FCA699C">
            <w:pPr>
              <w:widowControl/>
              <w:spacing w:line="360" w:lineRule="auto"/>
              <w:ind w:firstLine="420" w:firstLineChars="200"/>
              <w:jc w:val="center"/>
              <w:rPr>
                <w:rFonts w:hint="eastAsia" w:ascii="宋体" w:hAnsi="宋体" w:eastAsia="宋体" w:cs="宋体"/>
                <w:color w:val="auto"/>
                <w:kern w:val="0"/>
                <w:sz w:val="22"/>
                <w:szCs w:val="22"/>
                <w:highlight w:val="none"/>
                <w:lang w:eastAsia="zh-CN" w:bidi="ar"/>
              </w:rPr>
            </w:pPr>
            <w:r>
              <w:rPr>
                <w:rFonts w:hint="eastAsia" w:ascii="Times New Roman" w:hAnsi="Calibri" w:eastAsia="宋体" w:cs="Times New Roman"/>
                <w:color w:val="auto"/>
                <w:kern w:val="2"/>
                <w:sz w:val="21"/>
                <w:szCs w:val="24"/>
                <w:highlight w:val="none"/>
                <w:lang w:eastAsia="zh-CN"/>
              </w:rPr>
              <w:t>名称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0244EDDA">
            <w:pPr>
              <w:widowControl/>
              <w:spacing w:line="360" w:lineRule="auto"/>
              <w:ind w:firstLine="420" w:firstLineChars="200"/>
              <w:jc w:val="center"/>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功能需求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10ED014">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数量</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B062B83">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单位</w:t>
            </w:r>
          </w:p>
        </w:tc>
      </w:tr>
      <w:tr w14:paraId="07B31151">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0ECC02F8">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03ED2D96">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rPr>
              <w:t>AI大模型平台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3D059A8A">
            <w:pPr>
              <w:widowControl/>
              <w:spacing w:line="360" w:lineRule="auto"/>
              <w:ind w:firstLine="0" w:firstLineChars="0"/>
              <w:jc w:val="lef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整体平台支持AI模型的开发与应用，平台整体支持数据管理、模型管理、应用管理、测试管理、接口管理、各类参数的无代码配置，实现整体开发流程的规整。</w:t>
            </w:r>
          </w:p>
          <w:p w14:paraId="267F311F">
            <w:pPr>
              <w:widowControl/>
              <w:spacing w:line="360" w:lineRule="auto"/>
              <w:ind w:firstLine="0" w:firstLineChars="0"/>
              <w:jc w:val="lef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私有化部署AI大模型平台，支持国内国外主流开源大模型以及厂商私有大模型的部署与开发，包括不限于</w:t>
            </w:r>
            <w:r>
              <w:rPr>
                <w:rFonts w:hint="eastAsia" w:ascii="宋体" w:hAnsi="宋体" w:eastAsia="宋体" w:cs="宋体"/>
                <w:color w:val="auto"/>
                <w:kern w:val="0"/>
                <w:sz w:val="22"/>
                <w:szCs w:val="22"/>
                <w:highlight w:val="none"/>
                <w:lang w:val="en-US" w:eastAsia="zh-CN" w:bidi="ar"/>
              </w:rPr>
              <w:t>Deepseek、</w:t>
            </w:r>
            <w:r>
              <w:rPr>
                <w:rFonts w:hint="eastAsia" w:ascii="宋体" w:hAnsi="宋体" w:eastAsia="宋体" w:cs="宋体"/>
                <w:color w:val="auto"/>
                <w:kern w:val="0"/>
                <w:sz w:val="22"/>
                <w:szCs w:val="22"/>
                <w:highlight w:val="none"/>
                <w:lang w:eastAsia="zh-CN" w:bidi="ar"/>
              </w:rPr>
              <w:t>ChatGLM、Bloomz、Llama、Qwen、Baichuan等生成式AI模型（最新版）的部署、模型的开发、模型的管理、模型训练、模型服务、模型开发以及数据集的管理，通知需要适配异构算力。</w:t>
            </w:r>
          </w:p>
          <w:p w14:paraId="6144A998">
            <w:pPr>
              <w:widowControl/>
              <w:spacing w:line="360" w:lineRule="auto"/>
              <w:ind w:firstLine="0" w:firstLineChars="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AI模型开发部分，提供完整的模型开发平台。提供完整的数据标注的功能，支持特征工程开发，满足整个开发流程的管理，支持常规的AI算法模型的调优，满足各类应用场景。支持TensorFlow、pyTorch、PaddlePaddle等主流开发框架。</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FB64DDE">
            <w:pPr>
              <w:widowControl/>
              <w:spacing w:line="360" w:lineRule="auto"/>
              <w:ind w:firstLine="0" w:firstLineChars="0"/>
              <w:jc w:val="center"/>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10D1814">
            <w:pPr>
              <w:widowControl/>
              <w:spacing w:line="360" w:lineRule="auto"/>
              <w:ind w:firstLine="0" w:firstLineChars="0"/>
              <w:jc w:val="center"/>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套</w:t>
            </w:r>
          </w:p>
        </w:tc>
      </w:tr>
      <w:tr w14:paraId="338592AC">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153A7AB">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b/>
                <w:bCs/>
                <w:color w:val="auto"/>
                <w:kern w:val="0"/>
                <w:sz w:val="28"/>
                <w:szCs w:val="28"/>
                <w:highlight w:val="none"/>
                <w:lang w:val="en-US" w:eastAsia="zh-CN"/>
              </w:rPr>
              <w:t>二</w:t>
            </w:r>
            <w:r>
              <w:rPr>
                <w:rFonts w:hint="eastAsia" w:ascii="Times New Roman" w:hAnsi="Times New Roman" w:eastAsia="宋体" w:cs="Times New Roman"/>
                <w:b/>
                <w:bCs/>
                <w:color w:val="auto"/>
                <w:kern w:val="0"/>
                <w:sz w:val="28"/>
                <w:szCs w:val="28"/>
                <w:highlight w:val="none"/>
                <w:lang w:eastAsia="zh-CN"/>
              </w:rPr>
              <w:t>、智慧生产控制模块</w:t>
            </w:r>
          </w:p>
        </w:tc>
      </w:tr>
      <w:tr w14:paraId="79366ADD">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C062D6D">
            <w:pPr>
              <w:widowControl/>
              <w:spacing w:line="360" w:lineRule="auto"/>
              <w:ind w:firstLine="0" w:firstLineChars="0"/>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序号</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C0618A5">
            <w:pPr>
              <w:widowControl/>
              <w:spacing w:line="360" w:lineRule="auto"/>
              <w:ind w:firstLine="420" w:firstLineChars="200"/>
              <w:jc w:val="center"/>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名称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835DCB5">
            <w:pPr>
              <w:widowControl/>
              <w:spacing w:line="360" w:lineRule="auto"/>
              <w:ind w:firstLine="420" w:firstLineChars="200"/>
              <w:jc w:val="center"/>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功能需求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419C2904">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数量</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5B680D26">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单位</w:t>
            </w:r>
          </w:p>
        </w:tc>
      </w:tr>
      <w:tr w14:paraId="5F669ABF">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0C54EEF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A284F3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一期原水配水系统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95F086F">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57CE5CBE">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335B4365">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对单台提升泵组实现各类运行模式切换、一步化开/停机、基于不同目标参数的精准控制等功能；对多台提升泵组，根据提升泵站智能搭配优化模型和提升泵站自动平滑切换模型的计算结果实现对提升泵站内的泵组智能联调联控功能。</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2A6ED6B5">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228E4D1">
            <w:pPr>
              <w:widowControl w:val="0"/>
              <w:spacing w:before="120" w:after="120" w:line="360" w:lineRule="auto"/>
              <w:ind w:left="0" w:leftChars="0" w:firstLine="0" w:firstLineChars="0"/>
              <w:jc w:val="center"/>
              <w:rPr>
                <w:rFonts w:ascii="Calibri" w:hAnsi="Calibri" w:eastAsia="宋体" w:cs="Times New Roman"/>
                <w:color w:val="auto"/>
                <w:kern w:val="2"/>
                <w:sz w:val="21"/>
                <w:szCs w:val="24"/>
                <w:highlight w:val="none"/>
                <w:lang w:val="en-US" w:eastAsia="zh-CN" w:bidi="ar"/>
              </w:rPr>
            </w:pPr>
            <w:r>
              <w:rPr>
                <w:rFonts w:hint="eastAsia" w:ascii="宋体" w:hAnsi="宋体" w:eastAsia="宋体" w:cs="宋体"/>
                <w:color w:val="auto"/>
                <w:kern w:val="0"/>
                <w:sz w:val="22"/>
                <w:szCs w:val="22"/>
                <w:highlight w:val="none"/>
                <w:lang w:val="en-US" w:eastAsia="zh-CN" w:bidi="ar"/>
              </w:rPr>
              <w:t>宗</w:t>
            </w:r>
          </w:p>
        </w:tc>
      </w:tr>
      <w:tr w14:paraId="4E38ACB4">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673C3DB3">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73D6ACA8">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二期原水配水系统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0D0B6F4">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19C020BD">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65B75A3E">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3.根据控制指令对工艺系统配套阀门进行自动调节，以满足生产需求。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292BD8DF">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3E1681B">
            <w:pPr>
              <w:widowControl w:val="0"/>
              <w:spacing w:before="120" w:after="120" w:line="360" w:lineRule="auto"/>
              <w:ind w:left="0" w:leftChars="0" w:firstLine="0" w:firstLineChars="0"/>
              <w:jc w:val="center"/>
              <w:rPr>
                <w:rFonts w:ascii="Calibri" w:hAnsi="Calibri" w:eastAsia="宋体" w:cs="Times New Roman"/>
                <w:color w:val="auto"/>
                <w:kern w:val="2"/>
                <w:sz w:val="21"/>
                <w:szCs w:val="24"/>
                <w:highlight w:val="none"/>
                <w:lang w:val="en-US" w:eastAsia="zh-CN" w:bidi="ar"/>
              </w:rPr>
            </w:pPr>
            <w:r>
              <w:rPr>
                <w:rFonts w:hint="eastAsia" w:ascii="宋体" w:hAnsi="宋体" w:eastAsia="宋体" w:cs="宋体"/>
                <w:color w:val="auto"/>
                <w:kern w:val="0"/>
                <w:sz w:val="22"/>
                <w:szCs w:val="22"/>
                <w:highlight w:val="none"/>
                <w:lang w:val="en-US" w:eastAsia="zh-CN" w:bidi="ar"/>
              </w:rPr>
              <w:t>宗</w:t>
            </w:r>
          </w:p>
        </w:tc>
      </w:tr>
      <w:tr w14:paraId="43A204BF">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3C7DF1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3</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6802C8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投矾系统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90699C3">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4B572E54">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365558BD">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3.结合各类分析评估结果，分别对矾液池和投加泵实现不同的功能，实现混凝剂加药的精细化和稳定出水水质；根据设定参数，对投加泵实现各类控制模式切换、投加模式切换等功能。</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38F84390">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4AFD157">
            <w:pPr>
              <w:widowControl w:val="0"/>
              <w:spacing w:before="120" w:after="120" w:line="360" w:lineRule="auto"/>
              <w:ind w:left="0" w:leftChars="0" w:firstLine="0" w:firstLineChars="0"/>
              <w:jc w:val="center"/>
              <w:rPr>
                <w:rFonts w:ascii="Calibri" w:hAnsi="Calibri" w:eastAsia="宋体" w:cs="Times New Roman"/>
                <w:color w:val="auto"/>
                <w:kern w:val="2"/>
                <w:sz w:val="21"/>
                <w:szCs w:val="24"/>
                <w:highlight w:val="none"/>
                <w:lang w:val="en-US" w:eastAsia="zh-CN" w:bidi="ar"/>
              </w:rPr>
            </w:pPr>
            <w:r>
              <w:rPr>
                <w:rFonts w:hint="eastAsia" w:ascii="宋体" w:hAnsi="宋体" w:eastAsia="宋体" w:cs="宋体"/>
                <w:color w:val="auto"/>
                <w:kern w:val="0"/>
                <w:sz w:val="22"/>
                <w:szCs w:val="22"/>
                <w:highlight w:val="none"/>
                <w:lang w:val="en-US" w:eastAsia="zh-CN" w:bidi="ar"/>
              </w:rPr>
              <w:t>宗</w:t>
            </w:r>
          </w:p>
        </w:tc>
      </w:tr>
      <w:tr w14:paraId="69A7762C">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31FEBB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4</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B4E22ED">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次氯酸钠投加系统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0E19CD49">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69BC90A3">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2744B438">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利用现场PLC提供的投加泵运行控制、运行模式切换、初步异常判定等预设好的标准数据接口，结合各类分析评估结果，分别对次氯酸钠储液罐和投加泵实现不同的功能，保障出厂水水质稳定，同时最大限度降低次氯酸钠投加量；根据设定参数，对投加泵实现各类控制模式切换、投加模式切换等功能。</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84EE74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0154788">
            <w:pPr>
              <w:widowControl w:val="0"/>
              <w:spacing w:before="120" w:after="120" w:line="360" w:lineRule="auto"/>
              <w:ind w:left="0" w:leftChars="0" w:firstLine="0" w:firstLineChars="0"/>
              <w:jc w:val="center"/>
              <w:rPr>
                <w:rFonts w:ascii="Calibri" w:hAnsi="Calibri" w:eastAsia="宋体" w:cs="Times New Roman"/>
                <w:color w:val="auto"/>
                <w:kern w:val="2"/>
                <w:sz w:val="21"/>
                <w:szCs w:val="24"/>
                <w:highlight w:val="none"/>
                <w:lang w:val="en-US" w:eastAsia="zh-CN" w:bidi="ar"/>
              </w:rPr>
            </w:pPr>
            <w:r>
              <w:rPr>
                <w:rFonts w:hint="eastAsia" w:ascii="宋体" w:hAnsi="宋体" w:eastAsia="宋体" w:cs="宋体"/>
                <w:color w:val="auto"/>
                <w:kern w:val="0"/>
                <w:sz w:val="22"/>
                <w:szCs w:val="22"/>
                <w:highlight w:val="none"/>
                <w:lang w:val="en-US" w:eastAsia="zh-CN" w:bidi="ar"/>
              </w:rPr>
              <w:t>宗</w:t>
            </w:r>
          </w:p>
        </w:tc>
      </w:tr>
      <w:tr w14:paraId="02EF4992">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793A84E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5</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9F25DE8">
            <w:pPr>
              <w:widowControl/>
              <w:spacing w:line="360" w:lineRule="auto"/>
              <w:ind w:firstLine="440" w:firstLineChars="20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絮凝沉淀池系统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5956EEF0">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3786805B">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53AC205D">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3.利用现场PLC提供的排泥车一步化运行控制、排泥车运行状态切换、初步异常判定等预设好的标准数据接口，结合各类分析评估结果，实现沉淀池自动排泥周期和强度优化的功能，保证</w:t>
            </w:r>
            <w:r>
              <w:rPr>
                <w:rFonts w:hint="eastAsia" w:ascii="宋体" w:hAnsi="宋体" w:eastAsia="宋体" w:cs="宋体"/>
                <w:color w:val="auto"/>
                <w:kern w:val="0"/>
                <w:sz w:val="22"/>
                <w:szCs w:val="22"/>
                <w:highlight w:val="none"/>
                <w:lang w:val="en-US" w:eastAsia="zh-CN" w:bidi="ar"/>
              </w:rPr>
              <w:t>排泥、污泥处理全流程处置</w:t>
            </w:r>
            <w:r>
              <w:rPr>
                <w:rFonts w:hint="eastAsia" w:ascii="宋体" w:hAnsi="宋体" w:eastAsia="宋体" w:cs="宋体"/>
                <w:color w:val="auto"/>
                <w:kern w:val="0"/>
                <w:sz w:val="22"/>
                <w:szCs w:val="22"/>
                <w:highlight w:val="none"/>
                <w:lang w:eastAsia="zh-CN" w:bidi="ar"/>
              </w:rPr>
              <w:t>科学合理运营和待滤水水质安全可靠。</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051D4B2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36399DB8">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2EF16A16">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C214047">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6</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F673FA6">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砂滤池系统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17B1707E">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5009842E">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79F60838">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根据设定参数，对单个滤池实现各类运行模式切换、自动滤水恒液位控制、洗池需求提出等功能；基于单格砂滤池健康度评估、砂滤池组保障度评估、配水量分析、水质评估预测等模型分析结果，对滤池组进行联调联控，自主分配滤池产能、协调洗池队列、切换反冲洗触发条件、智能调节反冲洗强度和时长、调配反冲洗设备、高效运行空压机系统等。</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39680540">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5DF8752">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46F46EC6">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394288E9">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7</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15683333">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超滤膜系统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5FCFD6C5">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00B8EE5A">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01384AB">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19881DC">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706BC41F">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4790F90">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8</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05BDB932">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清水池系统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64CEB44">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2838AD8B">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469E9468">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3.根据控制指令对工艺系统配套阀门进行自动调节，以满足生产需求。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76FCF132">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DA2BD8B">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17454AE0">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43253DAC">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9</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CE2D97B">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送水泵站系统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DA3214B">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38E53BFD">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p w14:paraId="556818A6">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3.综合各类分析结果，对单台送水泵组实现各类运行模式切换、一步化开/停机、基于不同目标参数的精准控制等功能；对多台送水泵组，根据送水泵站智能搭配优化模型和送水泵站自动平滑切换模型的计算结果实现对送水泵站内的泵组智能联调联控功能。</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319DBA8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8B983FD">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51FDCDB3">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20F4D72">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r>
              <w:rPr>
                <w:rFonts w:hint="eastAsia" w:ascii="宋体" w:hAnsi="宋体" w:eastAsia="宋体" w:cs="宋体"/>
                <w:color w:val="auto"/>
                <w:kern w:val="0"/>
                <w:sz w:val="22"/>
                <w:szCs w:val="22"/>
                <w:highlight w:val="none"/>
                <w:lang w:val="en-US" w:eastAsia="zh-CN" w:bidi="ar"/>
              </w:rPr>
              <w:t>0</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A9D38A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污泥处理系统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3F218E19">
            <w:pPr>
              <w:widowControl/>
              <w:spacing w:line="360" w:lineRule="auto"/>
              <w:ind w:firstLine="0" w:firstLineChars="0"/>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1.建立数据模型，建立相应的数据仓库和专家库，数据初始化。利用先进、成熟的模型算法优化水处理过程，并为现场提供各类数据限值计算、异常诊断、产能评估和高级控制等功能；</w:t>
            </w:r>
          </w:p>
          <w:p w14:paraId="2B73BF2B">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2.对整个工艺段的全过程综合管控，包括环境因素、人员因素、设备状态等作出综合判断.</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7092E00F">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492247C">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22D97D81">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AA4044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r>
              <w:rPr>
                <w:rFonts w:hint="eastAsia" w:ascii="宋体" w:hAnsi="宋体" w:eastAsia="宋体" w:cs="宋体"/>
                <w:color w:val="auto"/>
                <w:kern w:val="0"/>
                <w:sz w:val="22"/>
                <w:szCs w:val="22"/>
                <w:highlight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285D0A2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水厂工艺智慧联动系统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41C052B7">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利用AI平台，按上述智慧水厂要求，研究先进、成熟的AI大模型算法，满足智慧水厂控制管理要求，以水厂历史运行工艺数据、设备数据等为底层驱动，结合各工艺系统产能分析评估结果，采用流体力学、机器学习、规则学习等建立各类算法模型，实时对调度水量和水质情况进行预测分析，实现供水-制水-原水之间的水量平衡调度，同时制定每个环节的水质评估目标，通过水量和水质目标对关键工艺系统进行建模与调参优化，为厂区生产工艺各流程控制决策提供科学依据，系统具备功能包括：原水输送时滞分析、多厂共源配水量预测分析、供水量分析、水厂产线生产能力与负荷评估模型、配水分析算法模型、产线水量分配模型、水质评估预测模型</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系统要求实现不限于以下指标和目标：</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1.程控率≥98%；</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2.程控连续运转率≥98%；</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3.针对出厂管调度压力指令事件进行生产线优化运行的仿真计算。计算结果包括总制水量、各产线的分配流量、各产线及各工艺段水量连接关系表达等；</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4.当厂区出现生产性试验和各类突发应急事件时，可采用人工干预机制，手动设定包括但不仅限于供水量、各工艺段配水量、产线配水量和各工艺是否启用等，模型可根据人工自定义参数，重新推演出计算结果，并由人工决策是否执行；</w:t>
            </w:r>
            <w:r>
              <w:rPr>
                <w:rFonts w:hint="eastAsia" w:ascii="宋体" w:hAnsi="宋体" w:eastAsia="宋体" w:cs="宋体"/>
                <w:color w:val="auto"/>
                <w:kern w:val="0"/>
                <w:sz w:val="22"/>
                <w:szCs w:val="22"/>
                <w:highlight w:val="none"/>
                <w:lang w:eastAsia="zh-CN" w:bidi="ar"/>
              </w:rPr>
              <w:br w:type="textWrapping"/>
            </w:r>
            <w:r>
              <w:rPr>
                <w:rFonts w:hint="eastAsia" w:ascii="宋体" w:hAnsi="宋体" w:eastAsia="宋体" w:cs="宋体"/>
                <w:color w:val="auto"/>
                <w:kern w:val="0"/>
                <w:sz w:val="22"/>
                <w:szCs w:val="22"/>
                <w:highlight w:val="none"/>
                <w:lang w:eastAsia="zh-CN" w:bidi="ar"/>
              </w:rPr>
              <w:t>5.延时回滞保护机制：针对水量的变化特性，采取相应策略对其变化周期和范围进行智能自主识别，避免当水量发生短时间阶跃跳变或测量正常误差等情况时，导致不必要的水量计算结果频繁调整，保证各工艺段生产稳定性。</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7C758FB6">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D1B467D">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0871400E">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075F941">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r>
              <w:rPr>
                <w:rFonts w:hint="eastAsia" w:ascii="宋体" w:hAnsi="宋体" w:eastAsia="宋体" w:cs="宋体"/>
                <w:color w:val="auto"/>
                <w:kern w:val="0"/>
                <w:sz w:val="22"/>
                <w:szCs w:val="22"/>
                <w:highlight w:val="none"/>
                <w:lang w:val="en-US" w:eastAsia="zh-CN" w:bidi="ar"/>
              </w:rPr>
              <w:t>2</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A9A8EC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生产交互控制系统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274097A5">
            <w:pPr>
              <w:widowControl/>
              <w:spacing w:line="360" w:lineRule="auto"/>
              <w:ind w:firstLine="0" w:firstLineChars="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该系统是智慧水厂控制系统的主要人机交互界面，实现（全厂各工艺）参数设置、数据展示和设备控制功能，实现厂级统一监控。支持实时运行画面显示、数据在线分析、事件管理、日志功能、场景化运行功能、后台管理和维护、用户权限设置、系统数据备份、视频实时和回放查看、管理驾驶舱页面等功能。</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2DBBEB1D">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540C69E">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0E367770">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702A130F">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b/>
                <w:bCs/>
                <w:color w:val="auto"/>
                <w:kern w:val="0"/>
                <w:sz w:val="28"/>
                <w:szCs w:val="28"/>
                <w:highlight w:val="none"/>
                <w:lang w:val="en-US" w:eastAsia="zh-CN"/>
              </w:rPr>
              <w:t>三</w:t>
            </w:r>
            <w:r>
              <w:rPr>
                <w:rFonts w:hint="eastAsia" w:ascii="Times New Roman" w:hAnsi="Times New Roman" w:eastAsia="宋体" w:cs="Times New Roman"/>
                <w:b/>
                <w:bCs/>
                <w:color w:val="auto"/>
                <w:kern w:val="0"/>
                <w:sz w:val="28"/>
                <w:szCs w:val="28"/>
                <w:highlight w:val="none"/>
                <w:lang w:eastAsia="zh-CN"/>
              </w:rPr>
              <w:t>、智慧运营模块</w:t>
            </w:r>
          </w:p>
        </w:tc>
      </w:tr>
      <w:tr w14:paraId="52DD7189">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6170D96">
            <w:pPr>
              <w:widowControl/>
              <w:spacing w:line="360" w:lineRule="auto"/>
              <w:ind w:firstLine="0" w:firstLineChars="0"/>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序号</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F2FA62D">
            <w:pPr>
              <w:widowControl/>
              <w:spacing w:line="360" w:lineRule="auto"/>
              <w:ind w:firstLine="420" w:firstLineChars="200"/>
              <w:jc w:val="center"/>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名称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5A3F06B8">
            <w:pPr>
              <w:widowControl/>
              <w:spacing w:line="360" w:lineRule="auto"/>
              <w:ind w:firstLine="420" w:firstLineChars="200"/>
              <w:jc w:val="center"/>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功能需求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246969D7">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数量</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487007D">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单位</w:t>
            </w:r>
          </w:p>
        </w:tc>
      </w:tr>
      <w:tr w14:paraId="1182019A">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61F620F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8216F8C">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生产运行监控管理</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340FE40E">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Times New Roman"/>
                <w:color w:val="auto"/>
                <w:kern w:val="2"/>
                <w:sz w:val="21"/>
                <w:szCs w:val="24"/>
                <w:highlight w:val="none"/>
                <w:lang w:eastAsia="zh-CN" w:bidi="ar"/>
              </w:rPr>
              <w:t>生产运行监控服务实现对水厂数据进行远程集中化的水厂运行综合管理。各级管理人员可通过系统能够及时、准确、全面、直观的了解和掌握生产状况。包括数据分析（kpi&gt;50项）、运行监控、视频监控、事件报警和处置、报表系统、交接班管理。</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7033F85C">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B87A4E2">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6492677D">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34BBC1C0">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76B4CFA2">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综合运营管理服务</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4147E983">
            <w:pPr>
              <w:widowControl/>
              <w:spacing w:line="360" w:lineRule="auto"/>
              <w:ind w:firstLine="0" w:firstLineChars="0"/>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Times New Roman"/>
                <w:color w:val="auto"/>
                <w:kern w:val="2"/>
                <w:sz w:val="21"/>
                <w:szCs w:val="24"/>
                <w:highlight w:val="none"/>
                <w:lang w:eastAsia="zh-CN" w:bidi="ar"/>
              </w:rPr>
              <w:t>根据要求对现有流程内容包括但不限于人力</w:t>
            </w:r>
            <w:r>
              <w:rPr>
                <w:rFonts w:hint="eastAsia" w:ascii="宋体" w:hAnsi="宋体" w:eastAsia="宋体" w:cs="Times New Roman"/>
                <w:color w:val="auto"/>
                <w:kern w:val="2"/>
                <w:sz w:val="21"/>
                <w:szCs w:val="24"/>
                <w:highlight w:val="none"/>
                <w:lang w:val="en-US" w:eastAsia="zh-CN" w:bidi="ar"/>
              </w:rPr>
              <w:t>综合</w:t>
            </w:r>
            <w:r>
              <w:rPr>
                <w:rFonts w:hint="eastAsia" w:ascii="宋体" w:hAnsi="宋体" w:eastAsia="宋体" w:cs="Times New Roman"/>
                <w:color w:val="auto"/>
                <w:kern w:val="2"/>
                <w:sz w:val="21"/>
                <w:szCs w:val="24"/>
                <w:highlight w:val="none"/>
                <w:lang w:eastAsia="zh-CN" w:bidi="ar"/>
              </w:rPr>
              <w:t>管理、财务经营管理、</w:t>
            </w:r>
            <w:r>
              <w:rPr>
                <w:rFonts w:hint="eastAsia" w:ascii="宋体" w:hAnsi="宋体" w:eastAsia="宋体" w:cs="Times New Roman"/>
                <w:color w:val="auto"/>
                <w:kern w:val="2"/>
                <w:sz w:val="21"/>
                <w:szCs w:val="24"/>
                <w:highlight w:val="none"/>
                <w:lang w:val="en-US" w:eastAsia="zh-CN" w:bidi="ar"/>
              </w:rPr>
              <w:t>生产计划管理、水厂</w:t>
            </w:r>
            <w:r>
              <w:rPr>
                <w:rFonts w:hint="eastAsia" w:ascii="宋体" w:hAnsi="宋体" w:eastAsia="宋体" w:cs="Times New Roman"/>
                <w:color w:val="auto"/>
                <w:kern w:val="2"/>
                <w:sz w:val="21"/>
                <w:szCs w:val="24"/>
                <w:highlight w:val="none"/>
                <w:lang w:eastAsia="zh-CN" w:bidi="ar"/>
              </w:rPr>
              <w:t>安全管理等方面的管理内容，进行流程间调用、串并联等编排，形成权限配置、联查、督办、提醒、预警等功能，并能分类进行统计分析。</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54CE9136">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C11207E">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6A1664ED">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F0920FD">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3</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042C5BAB">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设备智慧管理服务</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43D4A2AB">
            <w:pPr>
              <w:widowControl/>
              <w:spacing w:line="360" w:lineRule="auto"/>
              <w:ind w:firstLine="0" w:firstLineChars="0"/>
              <w:jc w:val="left"/>
              <w:textAlignment w:val="center"/>
              <w:rPr>
                <w:rFonts w:hint="eastAsia" w:ascii="宋体" w:hAnsi="宋体" w:eastAsia="宋体" w:cs="Times New Roman"/>
                <w:color w:val="auto"/>
                <w:kern w:val="2"/>
                <w:sz w:val="21"/>
                <w:szCs w:val="24"/>
                <w:highlight w:val="none"/>
                <w:lang w:eastAsia="zh-CN" w:bidi="ar"/>
              </w:rPr>
            </w:pPr>
            <w:r>
              <w:rPr>
                <w:rFonts w:hint="eastAsia" w:ascii="宋体" w:hAnsi="宋体" w:eastAsia="宋体" w:cs="Times New Roman"/>
                <w:color w:val="auto"/>
                <w:kern w:val="2"/>
                <w:sz w:val="21"/>
                <w:szCs w:val="24"/>
                <w:highlight w:val="none"/>
                <w:lang w:eastAsia="zh-CN" w:bidi="ar"/>
              </w:rPr>
              <w:t>升级迭代智慧云平台中设备全生命周期管理体系与水厂设备管理有关联的部分，包括：智慧设备管理前端展示、设备基本信息管理、工单管理、设备管理内容、移动端应用(设备LBS场景应用、设备管理功能移动办理)等功能模块。</w:t>
            </w:r>
          </w:p>
          <w:p w14:paraId="439FC829">
            <w:pPr>
              <w:widowControl/>
              <w:spacing w:line="360" w:lineRule="auto"/>
              <w:ind w:firstLine="0" w:firstLineChars="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Times New Roman"/>
                <w:color w:val="auto"/>
                <w:kern w:val="2"/>
                <w:sz w:val="21"/>
                <w:szCs w:val="24"/>
                <w:highlight w:val="none"/>
                <w:lang w:val="en-US" w:eastAsia="zh-CN" w:bidi="ar"/>
              </w:rPr>
              <w:t>设备智慧管理</w:t>
            </w:r>
            <w:r>
              <w:rPr>
                <w:rFonts w:hint="eastAsia" w:ascii="宋体" w:hAnsi="宋体" w:eastAsia="宋体" w:cs="Times New Roman"/>
                <w:color w:val="auto"/>
                <w:kern w:val="2"/>
                <w:sz w:val="21"/>
                <w:szCs w:val="24"/>
                <w:highlight w:val="none"/>
                <w:lang w:eastAsia="zh-CN" w:bidi="ar"/>
              </w:rPr>
              <w:t>数据</w:t>
            </w:r>
            <w:r>
              <w:rPr>
                <w:rFonts w:hint="eastAsia" w:ascii="宋体" w:hAnsi="宋体" w:eastAsia="宋体" w:cs="Times New Roman"/>
                <w:color w:val="auto"/>
                <w:kern w:val="2"/>
                <w:sz w:val="21"/>
                <w:szCs w:val="24"/>
                <w:highlight w:val="none"/>
                <w:lang w:val="en-US" w:eastAsia="zh-CN" w:bidi="ar"/>
              </w:rPr>
              <w:t>应</w:t>
            </w:r>
            <w:r>
              <w:rPr>
                <w:rFonts w:hint="eastAsia" w:ascii="宋体" w:hAnsi="宋体" w:eastAsia="宋体" w:cs="Times New Roman"/>
                <w:color w:val="auto"/>
                <w:kern w:val="2"/>
                <w:sz w:val="21"/>
                <w:szCs w:val="24"/>
                <w:highlight w:val="none"/>
                <w:lang w:eastAsia="zh-CN" w:bidi="ar"/>
              </w:rPr>
              <w:t>与</w:t>
            </w:r>
            <w:r>
              <w:rPr>
                <w:rFonts w:hint="eastAsia" w:ascii="宋体" w:hAnsi="宋体" w:eastAsia="宋体" w:cs="Times New Roman"/>
                <w:color w:val="auto"/>
                <w:kern w:val="2"/>
                <w:sz w:val="21"/>
                <w:szCs w:val="24"/>
                <w:highlight w:val="none"/>
                <w:lang w:val="en-US" w:eastAsia="zh-CN" w:bidi="ar"/>
              </w:rPr>
              <w:t>现有公司云平台相关域（如固定资产等）、</w:t>
            </w:r>
            <w:r>
              <w:rPr>
                <w:rFonts w:hint="eastAsia" w:ascii="宋体" w:hAnsi="宋体" w:eastAsia="宋体" w:cs="Times New Roman"/>
                <w:color w:val="auto"/>
                <w:kern w:val="2"/>
                <w:sz w:val="21"/>
                <w:szCs w:val="24"/>
                <w:highlight w:val="none"/>
                <w:lang w:eastAsia="zh-CN" w:bidi="ar"/>
              </w:rPr>
              <w:t>智能巡检</w:t>
            </w:r>
            <w:r>
              <w:rPr>
                <w:rFonts w:hint="eastAsia" w:ascii="宋体" w:hAnsi="宋体" w:eastAsia="宋体" w:cs="Times New Roman"/>
                <w:color w:val="auto"/>
                <w:kern w:val="2"/>
                <w:sz w:val="21"/>
                <w:szCs w:val="24"/>
                <w:highlight w:val="none"/>
                <w:lang w:val="en-US" w:eastAsia="zh-CN" w:bidi="ar"/>
              </w:rPr>
              <w:t>模块</w:t>
            </w:r>
            <w:r>
              <w:rPr>
                <w:rFonts w:hint="eastAsia" w:ascii="宋体" w:hAnsi="宋体" w:eastAsia="宋体" w:cs="Times New Roman"/>
                <w:color w:val="auto"/>
                <w:kern w:val="2"/>
                <w:sz w:val="21"/>
                <w:szCs w:val="24"/>
                <w:highlight w:val="none"/>
                <w:lang w:eastAsia="zh-CN" w:bidi="ar"/>
              </w:rPr>
              <w:t>进行数据融合和共享，实现对</w:t>
            </w:r>
            <w:r>
              <w:rPr>
                <w:rFonts w:hint="eastAsia" w:ascii="宋体" w:hAnsi="宋体" w:eastAsia="宋体" w:cs="Times New Roman"/>
                <w:color w:val="auto"/>
                <w:kern w:val="2"/>
                <w:sz w:val="21"/>
                <w:szCs w:val="24"/>
                <w:highlight w:val="none"/>
                <w:lang w:val="en-US" w:eastAsia="zh-CN" w:bidi="ar"/>
              </w:rPr>
              <w:t>设备</w:t>
            </w:r>
            <w:r>
              <w:rPr>
                <w:rFonts w:hint="eastAsia" w:ascii="宋体" w:hAnsi="宋体" w:eastAsia="宋体" w:cs="Times New Roman"/>
                <w:color w:val="auto"/>
                <w:kern w:val="2"/>
                <w:sz w:val="21"/>
                <w:szCs w:val="24"/>
                <w:highlight w:val="none"/>
                <w:lang w:eastAsia="zh-CN" w:bidi="ar"/>
              </w:rPr>
              <w:t>资产的全方位管理。例如，将资产的采购成本、折旧情况等数据与智能巡检中的</w:t>
            </w:r>
            <w:r>
              <w:rPr>
                <w:rFonts w:hint="eastAsia" w:ascii="宋体" w:hAnsi="宋体" w:eastAsia="宋体" w:cs="Times New Roman"/>
                <w:color w:val="auto"/>
                <w:kern w:val="2"/>
                <w:sz w:val="21"/>
                <w:szCs w:val="24"/>
                <w:highlight w:val="none"/>
                <w:lang w:val="en-US" w:eastAsia="zh-CN" w:bidi="ar"/>
              </w:rPr>
              <w:t>巡检记录、运行分析</w:t>
            </w:r>
            <w:r>
              <w:rPr>
                <w:rFonts w:hint="eastAsia" w:ascii="宋体" w:hAnsi="宋体" w:eastAsia="宋体" w:cs="Times New Roman"/>
                <w:color w:val="auto"/>
                <w:kern w:val="2"/>
                <w:sz w:val="21"/>
                <w:szCs w:val="24"/>
                <w:highlight w:val="none"/>
                <w:lang w:eastAsia="zh-CN" w:bidi="ar"/>
              </w:rPr>
              <w:t>数据相结合，可以全面评估资产的经济效益和运行效率，为</w:t>
            </w:r>
            <w:r>
              <w:rPr>
                <w:rFonts w:hint="eastAsia" w:ascii="宋体" w:hAnsi="宋体" w:eastAsia="宋体" w:cs="Times New Roman"/>
                <w:color w:val="auto"/>
                <w:kern w:val="2"/>
                <w:sz w:val="21"/>
                <w:szCs w:val="24"/>
                <w:highlight w:val="none"/>
                <w:lang w:val="en-US" w:eastAsia="zh-CN" w:bidi="ar"/>
              </w:rPr>
              <w:t>水厂</w:t>
            </w:r>
            <w:r>
              <w:rPr>
                <w:rFonts w:hint="eastAsia" w:ascii="宋体" w:hAnsi="宋体" w:eastAsia="宋体" w:cs="Times New Roman"/>
                <w:color w:val="auto"/>
                <w:kern w:val="2"/>
                <w:sz w:val="21"/>
                <w:szCs w:val="24"/>
                <w:highlight w:val="none"/>
                <w:lang w:eastAsia="zh-CN" w:bidi="ar"/>
              </w:rPr>
              <w:t>的</w:t>
            </w:r>
            <w:r>
              <w:rPr>
                <w:rFonts w:hint="eastAsia" w:ascii="宋体" w:hAnsi="宋体" w:eastAsia="宋体" w:cs="Times New Roman"/>
                <w:color w:val="auto"/>
                <w:kern w:val="2"/>
                <w:sz w:val="21"/>
                <w:szCs w:val="24"/>
                <w:highlight w:val="none"/>
                <w:lang w:val="en-US" w:eastAsia="zh-CN" w:bidi="ar"/>
              </w:rPr>
              <w:t>设备</w:t>
            </w:r>
            <w:r>
              <w:rPr>
                <w:rFonts w:hint="eastAsia" w:ascii="宋体" w:hAnsi="宋体" w:eastAsia="宋体" w:cs="Times New Roman"/>
                <w:color w:val="auto"/>
                <w:kern w:val="2"/>
                <w:sz w:val="21"/>
                <w:szCs w:val="24"/>
                <w:highlight w:val="none"/>
                <w:lang w:eastAsia="zh-CN" w:bidi="ar"/>
              </w:rPr>
              <w:t>资产管理提供更全面、准确的信息支持。</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08CF7A27">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B95807D">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387D39B6">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D00190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4</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3B63F67">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智能巡检管理</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8E5019D">
            <w:pPr>
              <w:widowControl/>
              <w:spacing w:line="360" w:lineRule="auto"/>
              <w:ind w:firstLine="0" w:firstLineChars="0"/>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设置机器巡检系统，智慧水厂通过现场感知监测点和高清视频监控设备、智能巡检设备等技术进行机器巡检，</w:t>
            </w:r>
            <w:r>
              <w:rPr>
                <w:rFonts w:hint="eastAsia" w:ascii="宋体" w:hAnsi="宋体" w:eastAsia="宋体" w:cs="宋体"/>
                <w:color w:val="auto"/>
                <w:kern w:val="0"/>
                <w:sz w:val="21"/>
                <w:szCs w:val="21"/>
                <w:highlight w:val="none"/>
                <w:lang w:val="en-US" w:eastAsia="zh-CN" w:bidi="ar"/>
              </w:rPr>
              <w:t>机器巡检管理功能</w:t>
            </w:r>
            <w:r>
              <w:rPr>
                <w:rFonts w:hint="eastAsia" w:ascii="宋体" w:hAnsi="宋体" w:eastAsia="宋体" w:cs="宋体"/>
                <w:color w:val="auto"/>
                <w:kern w:val="0"/>
                <w:sz w:val="21"/>
                <w:szCs w:val="21"/>
                <w:highlight w:val="none"/>
                <w:lang w:eastAsia="zh-CN" w:bidi="ar"/>
              </w:rPr>
              <w:t>包括但不仅限于巡检计划管理、巡检任务管理、任务执行流转、巡检记录统计分析等。</w:t>
            </w:r>
          </w:p>
          <w:p w14:paraId="40A9E4B6">
            <w:pPr>
              <w:widowControl/>
              <w:spacing w:line="360" w:lineRule="auto"/>
              <w:ind w:firstLine="0" w:firstLineChars="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1"/>
                <w:szCs w:val="21"/>
                <w:highlight w:val="none"/>
                <w:lang w:eastAsia="zh-CN" w:bidi="ar"/>
              </w:rPr>
              <w:t>保留必要的人工巡检，升级迭代智慧云平台中设备全生命周期管理体系与人工巡检有关联的部分，</w:t>
            </w:r>
            <w:r>
              <w:rPr>
                <w:rFonts w:hint="eastAsia" w:ascii="宋体" w:hAnsi="宋体" w:eastAsia="宋体" w:cs="宋体"/>
                <w:color w:val="auto"/>
                <w:kern w:val="0"/>
                <w:sz w:val="21"/>
                <w:szCs w:val="21"/>
                <w:highlight w:val="none"/>
                <w:lang w:val="en-US" w:eastAsia="zh-CN" w:bidi="ar"/>
              </w:rPr>
              <w:t>人工</w:t>
            </w:r>
            <w:r>
              <w:rPr>
                <w:rFonts w:hint="eastAsia" w:ascii="宋体" w:hAnsi="宋体" w:eastAsia="宋体" w:cs="宋体"/>
                <w:color w:val="auto"/>
                <w:kern w:val="0"/>
                <w:sz w:val="21"/>
                <w:szCs w:val="21"/>
                <w:highlight w:val="none"/>
                <w:lang w:eastAsia="zh-CN" w:bidi="ar"/>
              </w:rPr>
              <w:t>巡检管理功能包括巡检计划制定、巡检工单、巡检记录分析统计、移动端应用(设备LBS场景应用、设备管理功能移动办理)等功能模块。</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3EF3125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377DB051">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34762A8B">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3DD23F66">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5</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7A85DC09">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val="en-US" w:eastAsia="zh-CN" w:bidi="ar"/>
              </w:rPr>
              <w:t>化验室</w:t>
            </w:r>
            <w:r>
              <w:rPr>
                <w:rFonts w:hint="eastAsia" w:ascii="宋体" w:hAnsi="宋体" w:eastAsia="宋体" w:cs="宋体"/>
                <w:color w:val="auto"/>
                <w:kern w:val="0"/>
                <w:sz w:val="21"/>
                <w:szCs w:val="21"/>
                <w:highlight w:val="none"/>
                <w:lang w:eastAsia="zh-CN" w:bidi="ar"/>
              </w:rPr>
              <w:t>管理</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8F9AA46">
            <w:pPr>
              <w:widowControl/>
              <w:spacing w:line="360" w:lineRule="auto"/>
              <w:ind w:firstLine="420" w:firstLineChars="200"/>
              <w:jc w:val="left"/>
              <w:textAlignment w:val="center"/>
              <w:rPr>
                <w:rFonts w:hint="eastAsia" w:ascii="宋体" w:hAnsi="宋体" w:eastAsia="宋体" w:cs="宋体"/>
                <w:color w:val="auto"/>
                <w:kern w:val="0"/>
                <w:sz w:val="24"/>
                <w:szCs w:val="21"/>
                <w:highlight w:val="none"/>
                <w:lang w:eastAsia="zh-CN" w:bidi="ar"/>
              </w:rPr>
            </w:pPr>
            <w:r>
              <w:rPr>
                <w:rFonts w:hint="eastAsia" w:ascii="Times New Roman" w:hAnsi="Times New Roman" w:eastAsia="宋体" w:cs="Times New Roman"/>
                <w:color w:val="auto"/>
                <w:kern w:val="0"/>
                <w:sz w:val="21"/>
                <w:szCs w:val="24"/>
                <w:highlight w:val="none"/>
                <w:lang w:eastAsia="zh-CN" w:bidi="ar"/>
              </w:rPr>
              <w:t>根据每个工艺段的工艺参数和水质指标控制标准，以水质化验数据为基础，结合相关现行水质规范标准和公司水质监测体系，建立</w:t>
            </w:r>
            <w:r>
              <w:rPr>
                <w:rFonts w:hint="eastAsia" w:ascii="Times New Roman" w:hAnsi="Times New Roman" w:eastAsia="宋体" w:cs="Times New Roman"/>
                <w:color w:val="auto"/>
                <w:kern w:val="0"/>
                <w:sz w:val="21"/>
                <w:szCs w:val="24"/>
                <w:highlight w:val="none"/>
                <w:lang w:val="en-US" w:eastAsia="zh-CN" w:bidi="ar"/>
              </w:rPr>
              <w:t>化验室</w:t>
            </w:r>
            <w:r>
              <w:rPr>
                <w:rFonts w:hint="eastAsia" w:ascii="Times New Roman" w:hAnsi="Times New Roman" w:eastAsia="宋体" w:cs="Times New Roman"/>
                <w:color w:val="auto"/>
                <w:kern w:val="0"/>
                <w:sz w:val="21"/>
                <w:szCs w:val="24"/>
                <w:highlight w:val="none"/>
                <w:lang w:eastAsia="zh-CN" w:bidi="ar"/>
              </w:rPr>
              <w:t>管理模块，将各工艺段水质数据转换为自动化和数字</w:t>
            </w:r>
            <w:r>
              <w:rPr>
                <w:rFonts w:hint="eastAsia" w:ascii="宋体" w:hAnsi="宋体" w:eastAsia="宋体" w:cs="宋体"/>
                <w:color w:val="auto"/>
                <w:kern w:val="0"/>
                <w:sz w:val="21"/>
                <w:szCs w:val="21"/>
                <w:highlight w:val="none"/>
                <w:lang w:eastAsia="zh-CN" w:bidi="ar"/>
              </w:rPr>
              <w:t>化的处理，以此提高厂区水质管理水平和指导工艺生产。</w:t>
            </w:r>
          </w:p>
          <w:p w14:paraId="27F0ACD8">
            <w:pPr>
              <w:widowControl/>
              <w:spacing w:line="360" w:lineRule="auto"/>
              <w:ind w:firstLine="420" w:firstLineChars="200"/>
              <w:jc w:val="left"/>
              <w:textAlignment w:val="center"/>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0"/>
                <w:sz w:val="21"/>
                <w:szCs w:val="24"/>
                <w:highlight w:val="none"/>
                <w:lang w:val="en-US" w:eastAsia="zh-CN" w:bidi="ar"/>
              </w:rPr>
              <w:t>化验检测管理主要包括：</w:t>
            </w:r>
            <w:r>
              <w:rPr>
                <w:rFonts w:hint="eastAsia" w:ascii="Times New Roman" w:hAnsi="Times New Roman" w:eastAsia="宋体" w:cs="Times New Roman"/>
                <w:color w:val="auto"/>
                <w:kern w:val="0"/>
                <w:sz w:val="21"/>
                <w:szCs w:val="24"/>
                <w:highlight w:val="none"/>
                <w:lang w:eastAsia="zh-CN" w:bidi="ar"/>
              </w:rPr>
              <w:t>化验计划管理、</w:t>
            </w:r>
            <w:r>
              <w:rPr>
                <w:rFonts w:hint="eastAsia" w:ascii="Times New Roman" w:hAnsi="Times New Roman" w:eastAsia="宋体" w:cs="Times New Roman"/>
                <w:color w:val="auto"/>
                <w:kern w:val="0"/>
                <w:sz w:val="21"/>
                <w:szCs w:val="24"/>
                <w:highlight w:val="none"/>
                <w:lang w:val="en-US" w:eastAsia="zh-CN" w:bidi="ar"/>
              </w:rPr>
              <w:t>化验信息管理、</w:t>
            </w:r>
            <w:r>
              <w:rPr>
                <w:rFonts w:hint="eastAsia" w:ascii="Times New Roman" w:hAnsi="Times New Roman" w:eastAsia="宋体" w:cs="Times New Roman"/>
                <w:color w:val="auto"/>
                <w:kern w:val="0"/>
                <w:sz w:val="21"/>
                <w:szCs w:val="24"/>
                <w:highlight w:val="none"/>
                <w:lang w:eastAsia="zh-CN" w:bidi="ar"/>
              </w:rPr>
              <w:t>化验耗材管理、化验设备管理</w:t>
            </w:r>
            <w:r>
              <w:rPr>
                <w:rFonts w:hint="eastAsia" w:ascii="Times New Roman" w:hAnsi="Times New Roman" w:eastAsia="宋体" w:cs="Times New Roman"/>
                <w:color w:val="auto"/>
                <w:kern w:val="0"/>
                <w:sz w:val="21"/>
                <w:szCs w:val="24"/>
                <w:highlight w:val="none"/>
                <w:lang w:val="en-US" w:eastAsia="zh-CN" w:bidi="ar"/>
              </w:rPr>
              <w:t>等；水质管理主要包括</w:t>
            </w:r>
            <w:r>
              <w:rPr>
                <w:rFonts w:hint="eastAsia" w:ascii="Times New Roman" w:hAnsi="Times New Roman" w:eastAsia="宋体" w:cs="Times New Roman"/>
                <w:color w:val="auto"/>
                <w:kern w:val="0"/>
                <w:sz w:val="21"/>
                <w:szCs w:val="24"/>
                <w:highlight w:val="none"/>
                <w:lang w:eastAsia="zh-CN" w:bidi="ar"/>
              </w:rPr>
              <w:t>包括在线水质仪表设备台账管理、净水构筑物管理、水质监测任务跟踪、在线仪表和人工水质检验数据浏览查询、水质化验报表等。</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63B0DB84">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9FA0FA5">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48DC8BE0">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9C17B97">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6</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6312720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应急事件管理服务</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93DB914">
            <w:pPr>
              <w:widowControl/>
              <w:spacing w:line="360" w:lineRule="auto"/>
              <w:ind w:firstLine="420" w:firstLineChars="20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1"/>
                <w:szCs w:val="21"/>
                <w:highlight w:val="none"/>
                <w:lang w:eastAsia="zh-CN" w:bidi="ar"/>
              </w:rPr>
              <w:t>智慧水厂的应急事件管理应针对厂内危化品泄露、进水水质严重异常、重大设备故障、电气安全事故、自然灾害、公共卫生事件等六类常见应急事件，涵盖从事件预警、发生、响应到恢复的全流程，确保对各类突发情况的高效应对。</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50D7AD28">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D5E8812">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77B06400">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2AF0D0F">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7</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117B63CB">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水厂仿真和预测分析软件</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2D924F5B">
            <w:pPr>
              <w:widowControl/>
              <w:spacing w:line="360" w:lineRule="auto"/>
              <w:ind w:firstLine="420" w:firstLineChars="20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1"/>
                <w:szCs w:val="21"/>
                <w:highlight w:val="none"/>
                <w:lang w:eastAsia="zh-CN" w:bidi="ar"/>
              </w:rPr>
              <w:t>提供水仿真和预测分析工具，系统须具备供水设施建模，水力、水质、水锤等模型应用等运用，为供水系统的实际运行提供辅助决策支持，功能包括：</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1、具有流量分配模块、水力分析模块和水质分析模块等建模基本能力。</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2、能提供管道关键性模块、阀门关键性模块、水龄模拟模块、水源追踪、实时控制模块、管道重新等模型应用功能。</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3、能链接Arcgis Pro模块。</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4、具备辅助建模工具。</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5、能自定义功能。</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6、能进行多方案管理。</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7、能提供对外的输出/输出接口。</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系统支持异构系统进行部署，支持虚拟化资源或作容器化部署。</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1、主要包括利用北部水厂数据模型，以及数据管理工具，完成数据快照、数据加载、数据回放、数据交换、数据共享等目标。</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2、建立北部水厂水力仿真模型，按照北部水厂数字模型，记录和存储历史数据，通过数据仓库进行加工，建立多维多层模型，每一时刻的多维信息都会自动留存快照，能存储仿真预测数据，形成对应预案数据集。在此基础上形成：生产回放、生产预测、虚拟生产、应急指挥预演等模式。</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3、仿真和预测的主要功能和运算以服务形成提供对外服务，软件服务须按照智慧云平台的规范，功能性服务可嵌入到第三方软件中，第三方软件可以利用服务接口，完成不同数据集加载，仿真结果获取等操作。</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093A5C5E">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26F9C78">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49ECA6E0">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F5169CF">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8</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36763A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碳管理主题分析服务</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37A63B3F">
            <w:pPr>
              <w:widowControl/>
              <w:spacing w:line="360" w:lineRule="auto"/>
              <w:ind w:firstLine="0" w:firstLineChars="0"/>
              <w:jc w:val="left"/>
              <w:textAlignment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1"/>
                <w:szCs w:val="21"/>
                <w:highlight w:val="none"/>
                <w:lang w:eastAsia="zh-CN" w:bidi="ar"/>
              </w:rPr>
              <w:t>包含了碳排放、碳减排、碳足迹、碳管理以及重点设备管理等。实时反映整体工艺和重点设备的运行状态、表征碳排放和碳减排水平以及梳理碳排放足迹。</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功能包括：</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1、识别碳排放源，梳理碳排放清单，应覆盖全流程主要类别的碳排放点位，确定自控数据采集范围、频率和操作逻辑。</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2、碳素实时量化核算</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搭载碳核算和评估算法，根据碳排放/碳减排的类别和特征，按照核算标准结合自控数据范围分类差异化核算，根据水厂工艺特征引入评估水平、转化系数和修正因子等进行率定和校核，进一步提高核算体系的准确度和可靠性。</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3、碳管理管理</w:t>
            </w:r>
            <w:r>
              <w:rPr>
                <w:rFonts w:hint="eastAsia" w:ascii="宋体" w:hAnsi="宋体" w:eastAsia="宋体" w:cs="宋体"/>
                <w:color w:val="auto"/>
                <w:kern w:val="0"/>
                <w:sz w:val="21"/>
                <w:szCs w:val="21"/>
                <w:highlight w:val="none"/>
                <w:lang w:eastAsia="zh-CN" w:bidi="ar"/>
              </w:rPr>
              <w:br w:type="textWrapping"/>
            </w:r>
            <w:r>
              <w:rPr>
                <w:rFonts w:hint="eastAsia" w:ascii="宋体" w:hAnsi="宋体" w:eastAsia="宋体" w:cs="宋体"/>
                <w:color w:val="auto"/>
                <w:kern w:val="0"/>
                <w:sz w:val="21"/>
                <w:szCs w:val="21"/>
                <w:highlight w:val="none"/>
                <w:lang w:eastAsia="zh-CN" w:bidi="ar"/>
              </w:rPr>
              <w:t>提供各项碳排放和碳减排的管理模块，对特征和量级分类识别管理；提供排放评估服务，可实时评估排放水平、重点排放单元等。</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67D8D72C">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31FD2BB3">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644932BB">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42FBECB2">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9</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5AFB31D">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1"/>
                <w:szCs w:val="21"/>
                <w:highlight w:val="none"/>
                <w:lang w:eastAsia="zh-CN" w:bidi="ar"/>
              </w:rPr>
              <w:t>成本管理主题分析服务</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DEEB298">
            <w:pPr>
              <w:widowControl/>
              <w:spacing w:line="360" w:lineRule="auto"/>
              <w:ind w:firstLine="0" w:firstLineChars="0"/>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调用智慧供水云平台数据，展示水厂整体和详细的成本/能耗情况，同时可下串到各具体工艺单元的运行参数情况，实现对水厂综合运营成本/能耗的多维度统计分析，实现成本可视化、管理精细化，可以直观的查看整体的生产经营数据，了解水厂的真实情况，进一步的实现节能降耗的目标。</w:t>
            </w:r>
          </w:p>
          <w:p w14:paraId="27E6BAFC">
            <w:pPr>
              <w:widowControl/>
              <w:spacing w:line="360" w:lineRule="auto"/>
              <w:ind w:firstLine="0" w:firstLineChars="0"/>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对生产全流程水成本、电成本、药成本实时数据统计分析，提供各个维度的关键成本展示、能耗趋势、成本趋势同环比分析图、千方水单耗分析、千方水成本分析等，展示水厂整体能效情况，实现节能减排、安全用电、科学用药的目的，评估各工艺单元智能控制质量，为决策者提供优化方案的依据，从而调整采取更有效的生产成本控制措施。</w:t>
            </w:r>
          </w:p>
          <w:p w14:paraId="2273692F">
            <w:pPr>
              <w:widowControl/>
              <w:spacing w:line="360" w:lineRule="auto"/>
              <w:ind w:firstLine="0" w:firstLineChars="0"/>
              <w:jc w:val="left"/>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以水厂维度，提供水厂成本/能耗详细数据展示，最小颗粒度到天，可查看/对比每日、每月、每年的详细数据和汇总数据（仅限成本）。</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21C4643D">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38BE7206">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723DCDCA">
        <w:tblPrEx>
          <w:tblCellMar>
            <w:top w:w="0" w:type="dxa"/>
            <w:left w:w="108" w:type="dxa"/>
            <w:bottom w:w="0" w:type="dxa"/>
            <w:right w:w="108" w:type="dxa"/>
          </w:tblCellMar>
        </w:tblPrEx>
        <w:trPr>
          <w:trHeight w:val="660" w:hRule="atLeast"/>
        </w:trPr>
        <w:tc>
          <w:tcPr>
            <w:tcW w:w="14174" w:type="dxa"/>
            <w:gridSpan w:val="5"/>
            <w:tcBorders>
              <w:top w:val="single" w:color="000000" w:sz="4" w:space="0"/>
              <w:left w:val="single" w:color="000000" w:sz="4" w:space="0"/>
              <w:bottom w:val="single" w:color="000000" w:sz="4" w:space="0"/>
              <w:right w:val="single" w:color="000000" w:sz="4" w:space="0"/>
            </w:tcBorders>
            <w:noWrap w:val="0"/>
            <w:vAlign w:val="center"/>
          </w:tcPr>
          <w:p w14:paraId="3CBE54AD">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b/>
                <w:bCs/>
                <w:color w:val="auto"/>
                <w:kern w:val="0"/>
                <w:sz w:val="28"/>
                <w:szCs w:val="28"/>
                <w:highlight w:val="none"/>
                <w:lang w:val="en-US" w:eastAsia="zh-CN"/>
              </w:rPr>
              <w:t>四</w:t>
            </w:r>
            <w:r>
              <w:rPr>
                <w:rFonts w:hint="eastAsia" w:ascii="Times New Roman" w:hAnsi="Times New Roman" w:eastAsia="宋体" w:cs="Times New Roman"/>
                <w:b/>
                <w:bCs/>
                <w:color w:val="auto"/>
                <w:kern w:val="0"/>
                <w:sz w:val="28"/>
                <w:szCs w:val="28"/>
                <w:highlight w:val="none"/>
                <w:lang w:eastAsia="zh-CN"/>
              </w:rPr>
              <w:t>、智慧决策模块</w:t>
            </w:r>
          </w:p>
        </w:tc>
      </w:tr>
      <w:tr w14:paraId="761DA50A">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E1D5AAD">
            <w:pPr>
              <w:widowControl/>
              <w:spacing w:line="360" w:lineRule="auto"/>
              <w:ind w:firstLine="0" w:firstLineChars="0"/>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序号</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137C6713">
            <w:pPr>
              <w:widowControl/>
              <w:spacing w:line="360" w:lineRule="auto"/>
              <w:ind w:firstLine="420" w:firstLineChars="200"/>
              <w:jc w:val="center"/>
              <w:rPr>
                <w:rFonts w:hint="eastAsia" w:ascii="宋体" w:hAnsi="宋体" w:eastAsia="宋体" w:cs="宋体"/>
                <w:color w:val="auto"/>
                <w:kern w:val="0"/>
                <w:sz w:val="22"/>
                <w:szCs w:val="22"/>
                <w:highlight w:val="none"/>
                <w:lang w:eastAsia="zh-CN" w:bidi="ar"/>
              </w:rPr>
            </w:pPr>
            <w:r>
              <w:rPr>
                <w:rFonts w:hint="eastAsia" w:ascii="Times New Roman" w:hAnsi="Times New Roman" w:eastAsia="宋体" w:cs="Times New Roman"/>
                <w:color w:val="auto"/>
                <w:kern w:val="2"/>
                <w:sz w:val="21"/>
                <w:szCs w:val="24"/>
                <w:highlight w:val="none"/>
                <w:lang w:eastAsia="zh-CN" w:bidi="ar"/>
              </w:rPr>
              <w:t>名称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6D8612B0">
            <w:pPr>
              <w:widowControl/>
              <w:spacing w:line="360" w:lineRule="auto"/>
              <w:ind w:firstLine="420" w:firstLineChars="200"/>
              <w:jc w:val="center"/>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功能需求</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72B0C990">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数量</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A923520">
            <w:pPr>
              <w:widowControl/>
              <w:spacing w:line="360" w:lineRule="auto"/>
              <w:ind w:firstLine="0" w:firstLineChars="0"/>
              <w:rPr>
                <w:rFonts w:ascii="Calibri" w:hAnsi="Calibri" w:eastAsia="宋体" w:cs="Times New Roman"/>
                <w:color w:val="auto"/>
                <w:kern w:val="2"/>
                <w:sz w:val="21"/>
                <w:szCs w:val="24"/>
                <w:highlight w:val="none"/>
                <w:lang w:eastAsia="zh-CN" w:bidi="ar"/>
              </w:rPr>
            </w:pPr>
            <w:r>
              <w:rPr>
                <w:rFonts w:hint="eastAsia" w:ascii="Times New Roman" w:hAnsi="Times New Roman" w:eastAsia="宋体" w:cs="Times New Roman"/>
                <w:color w:val="auto"/>
                <w:kern w:val="2"/>
                <w:sz w:val="21"/>
                <w:szCs w:val="24"/>
                <w:highlight w:val="none"/>
                <w:lang w:eastAsia="zh-CN" w:bidi="ar"/>
              </w:rPr>
              <w:t>单位</w:t>
            </w:r>
          </w:p>
        </w:tc>
      </w:tr>
      <w:tr w14:paraId="7AF74E1F">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05DFF97">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0C46C785">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数字孪生模块</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4CC5BE70">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数字孪生模块采用相同的数据模型、多层数据仓库等数据源，可以调用不同图形服务引擎，切换工艺流程图/二维平面/三维等空间展示模式，通过加载不同数据源，编排功能服务等方式，形成生产展示、沙盘推演、培训模式、参观展示、智慧安防等不同场景应用，支撑北部水厂数据的多维全景式数据展示，服务于智慧水厂全面管理。</w:t>
            </w:r>
          </w:p>
          <w:p w14:paraId="682FB771">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1.中标人须提供数字孪生引擎，与其他智慧供水云平台资源，共同构成智慧供水数字一体化平台，数字孪生一体化平台包括空间数据管理中心、场景编辑平台、数字孪生引擎、三维可视化平台。数字孪生引擎应基于行业主流的编码器和网络协议实现云渲染推流，通过容器化管理的方式，对通用的算力集群资源进行动态分配和动态扩容；通过云渲染引擎服务的方式，对外提供多用户/多镜头的场景访问；通过API的方式，对云渲染引擎的光照系统、粒子系统、仿真模拟、天气系统、漫游导航、数学计算库，机理仿真等若干模块进行功能调用与二次开发；通过建立浏览器之间点对点的连接，实现视频流、音频流或者其他任意数据的传输。能支持DEM、TIFF等主流DEM数据格式，0SGB、0BJ、FBX、STL、3DS等主流倾斜摄影数据格式，PCD、PLY、TXT、LAS、STL等主流激光点云数据格式，DWG、DXF、DWF、DGN、PLN、RVT、STEP等主流BIM数据格式。</w:t>
            </w:r>
          </w:p>
          <w:p w14:paraId="1CB63E3D">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2.构建北部水厂虚拟水厂三维模型场景，总建构筑物面积17000平方米,业主提供BIM，按要求，形成精确三维模型，支持将设备的内部结构进行拆分与组装；并将场景API封装;补充并完善BIM模型，要求不低于LOD400的精细度要求，并关联BIM模型空间关系、设备信息、实时数据。</w:t>
            </w:r>
          </w:p>
          <w:p w14:paraId="6C827B8C">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3.孪生数据服务建立独立统一的空间、数据模型服务，支撑多源数据整合，能提供多维多时空尺度数据汇聚、清洗、转换、共享展示、计算、更新等服务能力，构筑多类型多层次数据仓库；实现数据清洗、标准化治理、数据服务、应用服务，支持GIS、公用地图、AR等图形类服务的无缝连接。形成三维北部水厂孪生底座，供其他应用调用服务。按照数字孪生体要素，结合北部水厂数据模型，构建出与现实世界同步的数据描述。支持模型与数据中台或者物联网平台数据绑定；并且可以实时地更改模型绑定的数据或属性。</w:t>
            </w:r>
          </w:p>
          <w:p w14:paraId="03DCC0DC">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4.封装数字孪生所需要的业务，组成智慧水厂数字孪生一体化平台，可以提供三维模型开发、空间分析、拓扑处理、网络分析等功能服务，支持多种数据源混合叠加综合展示，满足三维模型的渲染呈现；支持三维模型与BIM无缝切换、二三维联动展示，支持后台水务数据与前端展示界面联动。包括通用底座功能、生产展示、生产回放、智能生产分析、虚拟水厂生产推演、培训参观展示、远程支持等内容。</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6BB5E9C6">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1A161B7">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7950AB10">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3CB5F56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2</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6CF9E0B">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ascii="宋体" w:hAnsi="宋体" w:eastAsia="宋体" w:cs="宋体"/>
                <w:color w:val="auto"/>
                <w:kern w:val="0"/>
                <w:sz w:val="22"/>
                <w:szCs w:val="22"/>
                <w:highlight w:val="none"/>
                <w:lang w:eastAsia="zh-CN" w:bidi="ar"/>
              </w:rPr>
              <w:t>视频智能平台</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9FD2EE9">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default" w:ascii="Calibri" w:hAnsi="Calibri" w:eastAsia="宋体" w:cs="Times New Roman"/>
                <w:color w:val="auto"/>
                <w:kern w:val="2"/>
                <w:sz w:val="21"/>
                <w:szCs w:val="24"/>
                <w:highlight w:val="none"/>
                <w:lang w:val="en-US" w:eastAsia="zh-CN" w:bidi="ar"/>
              </w:rPr>
              <w:t>视频智能平台</w:t>
            </w:r>
            <w:r>
              <w:rPr>
                <w:rFonts w:hint="default" w:ascii="Calibri" w:hAnsi="Calibri" w:eastAsia="宋体" w:cs="Times New Roman"/>
                <w:color w:val="auto"/>
                <w:kern w:val="2"/>
                <w:sz w:val="21"/>
                <w:szCs w:val="24"/>
                <w:highlight w:val="none"/>
                <w:lang w:eastAsia="zh-CN" w:bidi="ar"/>
              </w:rPr>
              <w:t>能</w:t>
            </w:r>
            <w:r>
              <w:rPr>
                <w:rFonts w:ascii="Calibri" w:hAnsi="Calibri" w:eastAsia="宋体" w:cs="Times New Roman"/>
                <w:color w:val="auto"/>
                <w:kern w:val="2"/>
                <w:sz w:val="21"/>
                <w:szCs w:val="24"/>
                <w:highlight w:val="none"/>
                <w:lang w:eastAsia="zh-CN" w:bidi="ar"/>
              </w:rPr>
              <w:t>纳管</w:t>
            </w:r>
            <w:r>
              <w:rPr>
                <w:rFonts w:hint="default" w:ascii="Calibri" w:hAnsi="Calibri" w:eastAsia="宋体" w:cs="Times New Roman"/>
                <w:color w:val="auto"/>
                <w:kern w:val="2"/>
                <w:sz w:val="21"/>
                <w:szCs w:val="24"/>
                <w:highlight w:val="none"/>
                <w:lang w:val="en-US" w:eastAsia="zh-CN" w:bidi="ar"/>
              </w:rPr>
              <w:t>多模态大模型和工艺视觉模型</w:t>
            </w:r>
            <w:r>
              <w:rPr>
                <w:rFonts w:hint="default" w:ascii="Calibri" w:hAnsi="Calibri" w:eastAsia="宋体" w:cs="Times New Roman"/>
                <w:color w:val="auto"/>
                <w:kern w:val="2"/>
                <w:sz w:val="21"/>
                <w:szCs w:val="24"/>
                <w:highlight w:val="none"/>
                <w:lang w:eastAsia="zh-CN" w:bidi="ar"/>
              </w:rPr>
              <w:t>，</w:t>
            </w:r>
            <w:r>
              <w:rPr>
                <w:rFonts w:ascii="Calibri" w:hAnsi="Calibri" w:eastAsia="宋体" w:cs="Times New Roman"/>
                <w:color w:val="auto"/>
                <w:kern w:val="2"/>
                <w:sz w:val="21"/>
                <w:szCs w:val="24"/>
                <w:highlight w:val="none"/>
                <w:lang w:eastAsia="zh-CN" w:bidi="ar"/>
              </w:rPr>
              <w:t>可通过可视化画布模式实现AI技能的零代码编排，支持多种方式对技能进行编排和组合，让用户可以自由搭配和组合不同的技能，</w:t>
            </w:r>
            <w:r>
              <w:rPr>
                <w:rFonts w:hint="eastAsia" w:ascii="Calibri" w:hAnsi="Calibri" w:eastAsia="宋体" w:cs="Times New Roman"/>
                <w:color w:val="auto"/>
                <w:kern w:val="2"/>
                <w:sz w:val="21"/>
                <w:szCs w:val="24"/>
                <w:highlight w:val="none"/>
                <w:lang w:val="en-US" w:eastAsia="zh-CN" w:bidi="ar"/>
              </w:rPr>
              <w:t>集中算法管理为用户提供服务，</w:t>
            </w:r>
            <w:r>
              <w:rPr>
                <w:rFonts w:ascii="Calibri" w:hAnsi="Calibri" w:eastAsia="宋体" w:cs="Times New Roman"/>
                <w:color w:val="auto"/>
                <w:kern w:val="2"/>
                <w:sz w:val="21"/>
                <w:szCs w:val="24"/>
                <w:highlight w:val="none"/>
                <w:lang w:eastAsia="zh-CN" w:bidi="ar"/>
              </w:rPr>
              <w:t>实现更加复杂和高效的业务处理，灵活适应业务需求</w:t>
            </w:r>
            <w:r>
              <w:rPr>
                <w:rFonts w:hint="default" w:ascii="Calibri" w:hAnsi="Calibri" w:eastAsia="宋体" w:cs="Times New Roman"/>
                <w:color w:val="auto"/>
                <w:kern w:val="2"/>
                <w:sz w:val="21"/>
                <w:szCs w:val="24"/>
                <w:highlight w:val="none"/>
                <w:lang w:eastAsia="zh-CN" w:bidi="ar"/>
              </w:rPr>
              <w:t>。</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D4753B6">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D7D4A63">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4F9E7BE2">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4773083C">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3</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60F464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ascii="宋体" w:hAnsi="宋体" w:eastAsia="宋体" w:cs="宋体"/>
                <w:color w:val="auto"/>
                <w:kern w:val="0"/>
                <w:sz w:val="22"/>
                <w:szCs w:val="22"/>
                <w:highlight w:val="none"/>
                <w:lang w:eastAsia="zh-CN" w:bidi="ar"/>
              </w:rPr>
              <w:t>安全生产系统</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167CC2E4">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引入先进的视觉 AI 算法技术，构建一套全面且高效的安全生产行为监督系统。借助视频智能平台，针对企业生产过程中的多个关键安全生产维度，进行深度功能配置与灵活组合，精准识别生产过程中人的不安全行为、物的不安全状态以及环境的不安全因素，并确保实现分析结果的闭环管理，以提升企业安全生产水平，降低安全事故风险。</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37C88D9">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3A67F5E">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3D2D5FC3">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146D0977">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4</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57AB4887">
            <w:pPr>
              <w:widowControl/>
              <w:spacing w:line="360" w:lineRule="auto"/>
              <w:ind w:firstLine="0" w:firstLineChars="0"/>
              <w:jc w:val="center"/>
              <w:textAlignment w:val="center"/>
              <w:rPr>
                <w:rFonts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智能安防</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0F48344F">
            <w:pPr>
              <w:widowControl/>
              <w:spacing w:line="360" w:lineRule="auto"/>
              <w:ind w:firstLine="420" w:firstLineChars="200"/>
              <w:rPr>
                <w:rFonts w:hint="eastAsia"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利用数字孪生底座，围绕防恐安保这个主题，融合云平台的相关数据和服务，真实展现高仿真环境下，将事件发生详细情况、人员分布情况、报警处置过程、现场视频、工单处理等情况，用迅速、直观、形象的方式进行展示。</w:t>
            </w:r>
          </w:p>
          <w:p w14:paraId="32EEA3CD">
            <w:pPr>
              <w:widowControl/>
              <w:spacing w:line="360" w:lineRule="auto"/>
              <w:ind w:firstLine="420" w:firstLineChars="20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功能主要包括：综合态势一张图、立体防控、智能探测、动态调度、智能搜索、分析研判等。</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4FA23DF7">
            <w:pPr>
              <w:widowControl/>
              <w:spacing w:line="360" w:lineRule="auto"/>
              <w:ind w:firstLine="0" w:firstLineChars="0"/>
              <w:jc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29BDAF2">
            <w:pPr>
              <w:widowControl/>
              <w:spacing w:line="360" w:lineRule="auto"/>
              <w:ind w:firstLine="0" w:firstLineChars="0"/>
              <w:jc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1C19E30D">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3797681">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5</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2EE0FB9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ascii="宋体" w:hAnsi="宋体" w:eastAsia="宋体" w:cs="宋体"/>
                <w:color w:val="auto"/>
                <w:kern w:val="0"/>
                <w:sz w:val="22"/>
                <w:szCs w:val="22"/>
                <w:highlight w:val="none"/>
                <w:lang w:eastAsia="zh-CN" w:bidi="ar"/>
              </w:rPr>
              <w:t>大模型智能运营数据分析助手</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4FE33A2D">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ascii="Calibri" w:hAnsi="Calibri" w:eastAsia="宋体" w:cs="Times New Roman"/>
                <w:color w:val="auto"/>
                <w:kern w:val="2"/>
                <w:sz w:val="21"/>
                <w:szCs w:val="24"/>
                <w:highlight w:val="none"/>
                <w:lang w:eastAsia="zh-CN" w:bidi="ar"/>
              </w:rPr>
              <w:t>通过自然语言对话式交互，大模型识别出准确意图，可以调用云平台服务对应的数据、报表、主题看板、或对应的算法推理等，快速展现结果。</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1D041C8F">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DB755A0">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021EB3F4">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2E2920EE">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6</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4B2AA63C">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ascii="宋体" w:hAnsi="宋体" w:eastAsia="宋体" w:cs="宋体"/>
                <w:color w:val="auto"/>
                <w:kern w:val="0"/>
                <w:sz w:val="22"/>
                <w:szCs w:val="22"/>
                <w:highlight w:val="none"/>
                <w:lang w:eastAsia="zh-CN" w:bidi="ar"/>
              </w:rPr>
              <w:t>大模型工艺优化调度助手</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1899CF11">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ascii="Calibri" w:hAnsi="Calibri" w:eastAsia="宋体" w:cs="Times New Roman"/>
                <w:color w:val="auto"/>
                <w:kern w:val="2"/>
                <w:sz w:val="21"/>
                <w:szCs w:val="24"/>
                <w:highlight w:val="none"/>
                <w:lang w:eastAsia="zh-CN" w:bidi="ar"/>
              </w:rPr>
              <w:t>使用大模型识别使用人的操作意图，调用智慧水厂系统功能，缩短操作时间，减少培训学习成本。</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6E04D8C1">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368AF4D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489DE492">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56ED4FEA">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7</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11A8EF11">
            <w:pPr>
              <w:widowControl/>
              <w:spacing w:line="360" w:lineRule="auto"/>
              <w:ind w:firstLine="0" w:firstLineChars="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大模型</w:t>
            </w:r>
            <w:r>
              <w:rPr>
                <w:rFonts w:ascii="宋体" w:hAnsi="宋体" w:eastAsia="宋体" w:cs="宋体"/>
                <w:color w:val="auto"/>
                <w:kern w:val="0"/>
                <w:sz w:val="22"/>
                <w:szCs w:val="22"/>
                <w:highlight w:val="none"/>
                <w:lang w:eastAsia="zh-CN" w:bidi="ar"/>
              </w:rPr>
              <w:t>设备助手</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73C82A52">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ascii="Calibri" w:hAnsi="Calibri" w:eastAsia="宋体" w:cs="Times New Roman"/>
                <w:color w:val="auto"/>
                <w:kern w:val="2"/>
                <w:sz w:val="21"/>
                <w:szCs w:val="24"/>
                <w:highlight w:val="none"/>
                <w:lang w:eastAsia="zh-CN" w:bidi="ar"/>
              </w:rPr>
              <w:t>借助大模型知识总结、智能问答的能力，结合公司大量的设备操作规程、设备点检规程、安全操作规程、例保规程以及应急预案等，基于大模型开发平台进行文档向量化，经过主题化分类后，帮助提升设备故障的快速响应能力和生产应急处理能力。</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6AC8D86C">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0B4932A">
            <w:pPr>
              <w:widowControl/>
              <w:spacing w:line="360" w:lineRule="auto"/>
              <w:ind w:firstLine="0" w:firstLineChars="0"/>
              <w:jc w:val="center"/>
              <w:rPr>
                <w:rFonts w:ascii="Calibri" w:hAnsi="Calibri" w:eastAsia="宋体" w:cs="Times New Roman"/>
                <w:color w:val="auto"/>
                <w:kern w:val="2"/>
                <w:sz w:val="21"/>
                <w:szCs w:val="24"/>
                <w:highlight w:val="none"/>
                <w:lang w:eastAsia="zh-CN" w:bidi="ar"/>
              </w:rPr>
            </w:pPr>
            <w:r>
              <w:rPr>
                <w:rFonts w:hint="eastAsia" w:ascii="宋体" w:hAnsi="宋体" w:eastAsia="宋体" w:cs="宋体"/>
                <w:color w:val="auto"/>
                <w:kern w:val="0"/>
                <w:sz w:val="22"/>
                <w:szCs w:val="22"/>
                <w:highlight w:val="none"/>
                <w:lang w:eastAsia="zh-CN" w:bidi="ar"/>
              </w:rPr>
              <w:t>宗</w:t>
            </w:r>
          </w:p>
        </w:tc>
      </w:tr>
      <w:tr w14:paraId="19526464">
        <w:tblPrEx>
          <w:tblCellMar>
            <w:top w:w="0" w:type="dxa"/>
            <w:left w:w="108" w:type="dxa"/>
            <w:bottom w:w="0" w:type="dxa"/>
            <w:right w:w="108" w:type="dxa"/>
          </w:tblCellMar>
        </w:tblPrEx>
        <w:trPr>
          <w:trHeight w:val="660" w:hRule="atLeast"/>
        </w:trPr>
        <w:tc>
          <w:tcPr>
            <w:tcW w:w="1012" w:type="dxa"/>
            <w:tcBorders>
              <w:top w:val="single" w:color="000000" w:sz="4" w:space="0"/>
              <w:left w:val="single" w:color="000000" w:sz="4" w:space="0"/>
              <w:bottom w:val="single" w:color="000000" w:sz="4" w:space="0"/>
              <w:right w:val="single" w:color="000000" w:sz="4" w:space="0"/>
            </w:tcBorders>
            <w:noWrap w:val="0"/>
            <w:vAlign w:val="center"/>
          </w:tcPr>
          <w:p w14:paraId="3400A724">
            <w:pPr>
              <w:widowControl/>
              <w:spacing w:line="360" w:lineRule="auto"/>
              <w:ind w:firstLine="0" w:firstLineChars="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8</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14:paraId="316A01D6">
            <w:pPr>
              <w:widowControl/>
              <w:spacing w:line="360" w:lineRule="auto"/>
              <w:ind w:firstLine="0" w:firstLineChars="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讲解机器人</w:t>
            </w:r>
          </w:p>
        </w:tc>
        <w:tc>
          <w:tcPr>
            <w:tcW w:w="8697" w:type="dxa"/>
            <w:tcBorders>
              <w:top w:val="single" w:color="000000" w:sz="4" w:space="0"/>
              <w:left w:val="single" w:color="000000" w:sz="4" w:space="0"/>
              <w:bottom w:val="single" w:color="000000" w:sz="4" w:space="0"/>
              <w:right w:val="single" w:color="000000" w:sz="4" w:space="0"/>
            </w:tcBorders>
            <w:noWrap w:val="0"/>
            <w:vAlign w:val="center"/>
          </w:tcPr>
          <w:p w14:paraId="331C65EB">
            <w:pPr>
              <w:widowControl/>
              <w:spacing w:line="360" w:lineRule="auto"/>
              <w:ind w:firstLine="0" w:firstLineChars="0"/>
              <w:jc w:val="left"/>
              <w:rPr>
                <w:rFonts w:ascii="Calibri" w:hAnsi="Calibri" w:eastAsia="宋体" w:cs="Times New Roman"/>
                <w:color w:val="auto"/>
                <w:kern w:val="2"/>
                <w:sz w:val="21"/>
                <w:szCs w:val="24"/>
                <w:highlight w:val="none"/>
                <w:lang w:eastAsia="zh-CN" w:bidi="ar"/>
              </w:rPr>
            </w:pPr>
            <w:r>
              <w:rPr>
                <w:rFonts w:hint="eastAsia" w:ascii="Calibri" w:hAnsi="Calibri" w:eastAsia="宋体" w:cs="Times New Roman"/>
                <w:color w:val="auto"/>
                <w:kern w:val="2"/>
                <w:sz w:val="21"/>
                <w:szCs w:val="24"/>
                <w:highlight w:val="none"/>
                <w:lang w:eastAsia="zh-CN" w:bidi="ar"/>
              </w:rPr>
              <w:t>结合北部水厂水厂工艺、水厂新闻等知识，打造水厂讲解机器人，以自然流畅的语言与用户进行对话，</w:t>
            </w:r>
            <w:r>
              <w:rPr>
                <w:rFonts w:hint="eastAsia" w:ascii="Calibri" w:hAnsi="Calibri" w:eastAsia="宋体" w:cs="Times New Roman"/>
                <w:color w:val="auto"/>
                <w:kern w:val="2"/>
                <w:sz w:val="21"/>
                <w:szCs w:val="24"/>
                <w:highlight w:val="none"/>
                <w:lang w:val="en-US" w:eastAsia="zh-CN" w:bidi="ar"/>
              </w:rPr>
              <w:t>针对</w:t>
            </w:r>
            <w:r>
              <w:rPr>
                <w:rFonts w:hint="eastAsia" w:ascii="Calibri" w:hAnsi="Calibri" w:eastAsia="宋体" w:cs="Times New Roman"/>
                <w:color w:val="auto"/>
                <w:kern w:val="2"/>
                <w:sz w:val="21"/>
                <w:szCs w:val="24"/>
                <w:highlight w:val="none"/>
                <w:lang w:eastAsia="zh-CN" w:bidi="ar"/>
              </w:rPr>
              <w:t>水厂运行专业问题</w:t>
            </w:r>
            <w:r>
              <w:rPr>
                <w:rFonts w:hint="eastAsia" w:ascii="Calibri" w:hAnsi="Calibri" w:eastAsia="宋体" w:cs="Times New Roman"/>
                <w:color w:val="auto"/>
                <w:kern w:val="2"/>
                <w:sz w:val="21"/>
                <w:szCs w:val="24"/>
                <w:highlight w:val="none"/>
                <w:lang w:val="en-US" w:eastAsia="zh-CN" w:bidi="ar"/>
              </w:rPr>
              <w:t>和</w:t>
            </w:r>
            <w:r>
              <w:rPr>
                <w:rFonts w:hint="eastAsia" w:ascii="Calibri" w:hAnsi="Calibri" w:eastAsia="宋体" w:cs="Times New Roman"/>
                <w:color w:val="auto"/>
                <w:kern w:val="2"/>
                <w:sz w:val="21"/>
                <w:szCs w:val="24"/>
                <w:highlight w:val="none"/>
                <w:lang w:eastAsia="zh-CN" w:bidi="ar"/>
              </w:rPr>
              <w:t>节水知识普及</w:t>
            </w:r>
            <w:r>
              <w:rPr>
                <w:rFonts w:hint="eastAsia" w:ascii="Calibri" w:hAnsi="Calibri" w:eastAsia="宋体" w:cs="Times New Roman"/>
                <w:color w:val="auto"/>
                <w:kern w:val="2"/>
                <w:sz w:val="21"/>
                <w:szCs w:val="24"/>
                <w:highlight w:val="none"/>
                <w:lang w:val="en-US" w:eastAsia="zh-CN" w:bidi="ar"/>
              </w:rPr>
              <w:t>等领域问题，</w:t>
            </w:r>
            <w:r>
              <w:rPr>
                <w:rFonts w:hint="eastAsia" w:ascii="Calibri" w:hAnsi="Calibri" w:eastAsia="宋体" w:cs="Times New Roman"/>
                <w:color w:val="auto"/>
                <w:kern w:val="2"/>
                <w:sz w:val="21"/>
                <w:szCs w:val="24"/>
                <w:highlight w:val="none"/>
                <w:lang w:eastAsia="zh-CN" w:bidi="ar"/>
              </w:rPr>
              <w:t>提供准确的信息和知识，推动水资源保护、节水意识提升、水文化传承与科普教育。</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14:paraId="59D0920E">
            <w:pPr>
              <w:widowControl/>
              <w:spacing w:line="360" w:lineRule="auto"/>
              <w:ind w:firstLine="0" w:firstLineChars="0"/>
              <w:jc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42058CF">
            <w:pPr>
              <w:widowControl/>
              <w:spacing w:line="360" w:lineRule="auto"/>
              <w:ind w:firstLine="0" w:firstLineChars="0"/>
              <w:jc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eastAsia="zh-CN" w:bidi="ar"/>
              </w:rPr>
              <w:t>宗</w:t>
            </w:r>
          </w:p>
        </w:tc>
      </w:tr>
    </w:tbl>
    <w:p w14:paraId="1474B21B">
      <w:pPr>
        <w:ind w:left="0" w:firstLine="0" w:firstLineChars="0"/>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5F514C8B">
      <w:pPr>
        <w:keepNext/>
        <w:numPr>
          <w:ilvl w:val="0"/>
          <w:numId w:val="1"/>
        </w:numPr>
        <w:spacing w:before="120" w:after="120" w:line="360" w:lineRule="auto"/>
        <w:ind w:firstLine="200" w:firstLineChars="0"/>
        <w:jc w:val="center"/>
        <w:outlineLvl w:val="0"/>
        <w:rPr>
          <w:rFonts w:ascii="Arial" w:hAnsi="Arial" w:eastAsia="黑体" w:cs="Times New Roman"/>
          <w:b/>
          <w:caps/>
          <w:color w:val="auto"/>
          <w:sz w:val="32"/>
          <w:szCs w:val="28"/>
          <w:highlight w:val="none"/>
          <w:lang w:val="en-US" w:eastAsia="zh-CN" w:bidi="ar-SA"/>
        </w:rPr>
      </w:pPr>
      <w:bookmarkStart w:id="1570" w:name="_Toc20598"/>
      <w:bookmarkStart w:id="1571" w:name="_Toc1492255119"/>
      <w:bookmarkStart w:id="1572" w:name="_Toc296"/>
      <w:bookmarkStart w:id="1573" w:name="_Toc9956"/>
      <w:bookmarkStart w:id="1574" w:name="_Toc26929"/>
      <w:bookmarkStart w:id="1575" w:name="_Toc25743"/>
      <w:bookmarkStart w:id="1576" w:name="_Toc8517"/>
      <w:bookmarkStart w:id="1577" w:name="_Toc1296563125"/>
      <w:bookmarkStart w:id="1578" w:name="_Toc3445"/>
      <w:bookmarkStart w:id="1579" w:name="_Toc163501667"/>
      <w:bookmarkStart w:id="1580" w:name="_Toc15989"/>
      <w:bookmarkStart w:id="1581" w:name="_Toc27673"/>
      <w:bookmarkStart w:id="1582" w:name="_Toc193093649"/>
      <w:bookmarkStart w:id="1583" w:name="_Toc880865142"/>
      <w:bookmarkStart w:id="1584" w:name="_Toc11524"/>
      <w:r>
        <w:rPr>
          <w:rFonts w:hint="eastAsia" w:ascii="Arial" w:hAnsi="Arial" w:eastAsia="黑体" w:cs="Times New Roman"/>
          <w:b/>
          <w:caps/>
          <w:color w:val="auto"/>
          <w:sz w:val="32"/>
          <w:szCs w:val="28"/>
          <w:highlight w:val="none"/>
          <w:lang w:val="en-US" w:eastAsia="zh-CN" w:bidi="ar-SA"/>
        </w:rPr>
        <w:t>服务要求</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5D571AC4">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585" w:name="_Toc22788"/>
      <w:bookmarkStart w:id="1586" w:name="_Toc11135"/>
      <w:bookmarkStart w:id="1587" w:name="_Toc8831"/>
      <w:bookmarkStart w:id="1588" w:name="_Toc5482"/>
      <w:bookmarkStart w:id="1589" w:name="_Toc26830"/>
      <w:bookmarkStart w:id="1590" w:name="_Toc16028"/>
      <w:r>
        <w:rPr>
          <w:rFonts w:hint="eastAsia" w:ascii="Arial" w:hAnsi="Arial" w:eastAsia="黑体" w:cs="Times New Roman"/>
          <w:b/>
          <w:color w:val="auto"/>
          <w:sz w:val="32"/>
          <w:highlight w:val="none"/>
          <w:lang w:val="en-US" w:eastAsia="zh-CN" w:bidi="ar-SA"/>
        </w:rPr>
        <w:t xml:space="preserve"> </w:t>
      </w:r>
      <w:bookmarkStart w:id="1591" w:name="_Toc819875766"/>
      <w:bookmarkStart w:id="1592" w:name="_Toc30252"/>
      <w:bookmarkStart w:id="1593" w:name="_Toc5493"/>
      <w:bookmarkStart w:id="1594" w:name="_Toc2095662823"/>
      <w:bookmarkStart w:id="1595" w:name="_Toc1340932756"/>
      <w:bookmarkStart w:id="1596" w:name="_Toc31641"/>
      <w:bookmarkStart w:id="1597" w:name="_Toc28234"/>
      <w:bookmarkStart w:id="1598" w:name="_Toc193093650"/>
      <w:bookmarkStart w:id="1599" w:name="_Toc10903"/>
      <w:r>
        <w:rPr>
          <w:rFonts w:hint="eastAsia" w:ascii="Arial" w:hAnsi="Arial" w:eastAsia="黑体" w:cs="Times New Roman"/>
          <w:b/>
          <w:color w:val="auto"/>
          <w:sz w:val="32"/>
          <w:highlight w:val="none"/>
          <w:lang w:val="en-US" w:eastAsia="zh-CN" w:bidi="ar-SA"/>
        </w:rPr>
        <w:t>项目建设管理要求</w:t>
      </w:r>
      <w:bookmarkEnd w:id="1591"/>
      <w:bookmarkEnd w:id="1592"/>
      <w:bookmarkEnd w:id="1593"/>
      <w:bookmarkEnd w:id="1594"/>
      <w:bookmarkEnd w:id="1595"/>
      <w:bookmarkEnd w:id="1596"/>
      <w:bookmarkEnd w:id="1597"/>
      <w:bookmarkEnd w:id="1598"/>
      <w:bookmarkEnd w:id="1599"/>
      <w:r>
        <w:rPr>
          <w:rFonts w:hint="eastAsia" w:ascii="Arial" w:hAnsi="Arial" w:eastAsia="黑体" w:cs="Times New Roman"/>
          <w:b/>
          <w:color w:val="auto"/>
          <w:sz w:val="32"/>
          <w:highlight w:val="none"/>
          <w:lang w:val="en-US" w:eastAsia="zh-CN" w:bidi="ar-SA"/>
        </w:rPr>
        <w:t xml:space="preserve"> </w:t>
      </w:r>
    </w:p>
    <w:p w14:paraId="1B836CB5">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00" w:name="_Toc23775"/>
      <w:bookmarkStart w:id="1601" w:name="_Toc925771714"/>
      <w:bookmarkStart w:id="1602" w:name="_Toc30839"/>
      <w:bookmarkStart w:id="1603" w:name="_Toc1363438474"/>
      <w:bookmarkStart w:id="1604" w:name="_Toc1396920010"/>
      <w:bookmarkStart w:id="1605" w:name="_Toc15271"/>
      <w:bookmarkStart w:id="1606" w:name="_Toc193093651"/>
      <w:r>
        <w:rPr>
          <w:rFonts w:hint="eastAsia" w:ascii="Times New Roman" w:hAnsi="Times New Roman" w:eastAsia="黑体" w:cs="Times New Roman"/>
          <w:b/>
          <w:color w:val="auto"/>
          <w:sz w:val="30"/>
          <w:highlight w:val="none"/>
          <w:lang w:val="en-US" w:eastAsia="zh-CN" w:bidi="ar-SA"/>
        </w:rPr>
        <w:t>项目范围管理</w:t>
      </w:r>
      <w:bookmarkEnd w:id="1600"/>
      <w:bookmarkEnd w:id="1601"/>
      <w:bookmarkEnd w:id="1602"/>
      <w:bookmarkEnd w:id="1603"/>
      <w:bookmarkEnd w:id="1604"/>
      <w:bookmarkEnd w:id="1605"/>
      <w:bookmarkEnd w:id="1606"/>
    </w:p>
    <w:p w14:paraId="6418B9B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投标人制订工作范围必须依据招标人需求、技术要求、《智慧水厂评价标准》、《信息安全技术网络安全等级保护基本要求》、合同等相关文件要求，</w:t>
      </w:r>
      <w:r>
        <w:rPr>
          <w:rFonts w:hint="eastAsia" w:ascii="Times New Roman" w:hAnsi="Times New Roman" w:eastAsia="宋体" w:cs="Times New Roman"/>
          <w:color w:val="auto"/>
          <w:kern w:val="0"/>
          <w:sz w:val="24"/>
          <w:highlight w:val="none"/>
          <w:lang w:val="en-US" w:eastAsia="zh-CN"/>
        </w:rPr>
        <w:t>结合硬件部署情况，</w:t>
      </w:r>
      <w:r>
        <w:rPr>
          <w:rFonts w:hint="eastAsia" w:ascii="Times New Roman" w:hAnsi="Times New Roman" w:eastAsia="宋体" w:cs="Times New Roman"/>
          <w:color w:val="auto"/>
          <w:kern w:val="0"/>
          <w:sz w:val="24"/>
          <w:highlight w:val="none"/>
          <w:lang w:eastAsia="zh-CN"/>
        </w:rPr>
        <w:t>完成</w:t>
      </w:r>
      <w:r>
        <w:rPr>
          <w:rFonts w:ascii="Times New Roman" w:hAnsi="Times New Roman" w:eastAsia="宋体" w:cs="Times New Roman"/>
          <w:color w:val="auto"/>
          <w:kern w:val="0"/>
          <w:sz w:val="24"/>
          <w:highlight w:val="none"/>
          <w:lang w:eastAsia="zh-CN"/>
        </w:rPr>
        <w:t>软件</w:t>
      </w:r>
      <w:r>
        <w:rPr>
          <w:rFonts w:hint="eastAsia" w:ascii="Times New Roman" w:hAnsi="Times New Roman" w:eastAsia="宋体" w:cs="Times New Roman"/>
          <w:color w:val="auto"/>
          <w:kern w:val="0"/>
          <w:sz w:val="24"/>
          <w:highlight w:val="none"/>
          <w:lang w:val="en-US" w:eastAsia="zh-CN"/>
        </w:rPr>
        <w:t>开发</w:t>
      </w:r>
      <w:r>
        <w:rPr>
          <w:rFonts w:ascii="Times New Roman" w:hAnsi="Times New Roman" w:eastAsia="宋体" w:cs="Times New Roman"/>
          <w:color w:val="auto"/>
          <w:kern w:val="0"/>
          <w:sz w:val="24"/>
          <w:highlight w:val="none"/>
          <w:lang w:eastAsia="zh-CN"/>
        </w:rPr>
        <w:t>工作</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lang w:eastAsia="zh-CN"/>
        </w:rPr>
        <w:t>负责</w:t>
      </w:r>
      <w:r>
        <w:rPr>
          <w:rFonts w:hint="eastAsia" w:ascii="Times New Roman" w:hAnsi="Times New Roman" w:eastAsia="宋体" w:cs="Times New Roman"/>
          <w:color w:val="auto"/>
          <w:kern w:val="0"/>
          <w:sz w:val="24"/>
          <w:highlight w:val="none"/>
          <w:lang w:eastAsia="zh-CN"/>
        </w:rPr>
        <w:t>完成本项目相关功能的实现</w:t>
      </w:r>
      <w:r>
        <w:rPr>
          <w:rFonts w:ascii="Times New Roman" w:hAnsi="Times New Roman" w:eastAsia="宋体" w:cs="Times New Roman"/>
          <w:color w:val="auto"/>
          <w:kern w:val="0"/>
          <w:sz w:val="24"/>
          <w:highlight w:val="none"/>
          <w:lang w:eastAsia="zh-CN"/>
        </w:rPr>
        <w:t>。</w:t>
      </w:r>
    </w:p>
    <w:p w14:paraId="1A07F210">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07" w:name="_Toc27381"/>
      <w:bookmarkStart w:id="1608" w:name="_Toc193093652"/>
      <w:bookmarkStart w:id="1609" w:name="_Toc11845"/>
      <w:bookmarkStart w:id="1610" w:name="_Toc1659919028"/>
      <w:bookmarkStart w:id="1611" w:name="_Toc1743379066"/>
      <w:bookmarkStart w:id="1612" w:name="_Toc926174683"/>
      <w:bookmarkStart w:id="1613" w:name="_Toc27008"/>
      <w:r>
        <w:rPr>
          <w:rFonts w:hint="eastAsia" w:ascii="Times New Roman" w:hAnsi="Times New Roman" w:eastAsia="黑体" w:cs="Times New Roman"/>
          <w:b/>
          <w:color w:val="auto"/>
          <w:sz w:val="30"/>
          <w:highlight w:val="none"/>
          <w:lang w:val="en-US" w:eastAsia="zh-CN" w:bidi="ar-SA"/>
        </w:rPr>
        <w:t>组织架构保障</w:t>
      </w:r>
      <w:bookmarkEnd w:id="1607"/>
      <w:bookmarkEnd w:id="1608"/>
      <w:bookmarkEnd w:id="1609"/>
      <w:bookmarkEnd w:id="1610"/>
      <w:bookmarkEnd w:id="1611"/>
      <w:bookmarkEnd w:id="1612"/>
      <w:bookmarkEnd w:id="1613"/>
    </w:p>
    <w:p w14:paraId="2080421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中标人应建立包括项目经理、项目技术总监、模块负责人、实施小组等在内的项目实施组织，模块负责人及实施小组依据项目实施情况进行合理划分，开展项目的计划、组织、管理和控制等各项工作的统筹,并进行人财物资源的调配，确保快速有效地沟通和解决问题，并根据对项目需求的理解，提出详细、切实可行的项目实施计划及方案。</w:t>
      </w:r>
    </w:p>
    <w:p w14:paraId="14BED078">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中标人应按照项目的技术和业务特点，选择相关项目经验丰富、具备较强沟通能力和执行力的项目经理、项目技术总监和模块负责人。中标人应保证项目组成员相对稳定，职责明确，具备承担工作应有的素质。</w:t>
      </w:r>
    </w:p>
    <w:p w14:paraId="59032306">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项目的联合管理团队由招标人和中标人相关人员组成项目实施小组，负责联合制定项目的实施方案以及统筹、协调具体的项目实施工作。中标人应保持密切沟通，确保项目按照合同进度实施。</w:t>
      </w:r>
    </w:p>
    <w:p w14:paraId="7A81ADA8">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14" w:name="_Toc1256423725"/>
      <w:bookmarkStart w:id="1615" w:name="_Toc21963"/>
      <w:bookmarkStart w:id="1616" w:name="_Toc28559"/>
      <w:bookmarkStart w:id="1617" w:name="_Toc299045419"/>
      <w:bookmarkStart w:id="1618" w:name="_Toc705082594"/>
      <w:bookmarkStart w:id="1619" w:name="_Toc193093653"/>
      <w:bookmarkStart w:id="1620" w:name="_Toc28321"/>
      <w:r>
        <w:rPr>
          <w:rFonts w:hint="eastAsia" w:ascii="Times New Roman" w:hAnsi="Times New Roman" w:eastAsia="黑体" w:cs="Times New Roman"/>
          <w:b/>
          <w:color w:val="auto"/>
          <w:sz w:val="30"/>
          <w:highlight w:val="none"/>
          <w:lang w:val="en-US" w:eastAsia="zh-CN" w:bidi="ar-SA"/>
        </w:rPr>
        <w:t>项目人员要求</w:t>
      </w:r>
      <w:bookmarkEnd w:id="1614"/>
      <w:bookmarkEnd w:id="1615"/>
      <w:bookmarkEnd w:id="1616"/>
      <w:bookmarkEnd w:id="1617"/>
      <w:bookmarkEnd w:id="1618"/>
      <w:bookmarkEnd w:id="1619"/>
      <w:bookmarkEnd w:id="1620"/>
    </w:p>
    <w:p w14:paraId="3CE52692">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人员稳定性要求</w:t>
      </w:r>
    </w:p>
    <w:p w14:paraId="558EA014">
      <w:pPr>
        <w:widowControl/>
        <w:tabs>
          <w:tab w:val="left" w:pos="420"/>
        </w:tabs>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中</w:t>
      </w:r>
      <w:r>
        <w:rPr>
          <w:rFonts w:ascii="宋体" w:hAnsi="宋体" w:eastAsia="宋体" w:cs="宋体"/>
          <w:color w:val="auto"/>
          <w:kern w:val="0"/>
          <w:sz w:val="24"/>
          <w:highlight w:val="none"/>
          <w:lang w:eastAsia="zh-CN"/>
        </w:rPr>
        <w:t>标人应保证项目实施团队的主要人员稳定，未经招标单位同意不得私自更换项目经理、项目技术总监、模块负责人。</w:t>
      </w:r>
    </w:p>
    <w:p w14:paraId="5F6CDC95">
      <w:pPr>
        <w:widowControl/>
        <w:tabs>
          <w:tab w:val="left" w:pos="420"/>
        </w:tabs>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中</w:t>
      </w:r>
      <w:r>
        <w:rPr>
          <w:rFonts w:ascii="宋体" w:hAnsi="宋体" w:eastAsia="宋体" w:cs="宋体"/>
          <w:color w:val="auto"/>
          <w:kern w:val="0"/>
          <w:sz w:val="24"/>
          <w:highlight w:val="none"/>
          <w:lang w:eastAsia="zh-CN"/>
        </w:rPr>
        <w:t>标人认为需要更换</w:t>
      </w:r>
      <w:r>
        <w:rPr>
          <w:rFonts w:hint="eastAsia" w:ascii="宋体" w:hAnsi="宋体" w:eastAsia="宋体" w:cs="宋体"/>
          <w:color w:val="auto"/>
          <w:kern w:val="0"/>
          <w:sz w:val="24"/>
          <w:highlight w:val="none"/>
          <w:lang w:eastAsia="zh-CN"/>
        </w:rPr>
        <w:t>中</w:t>
      </w:r>
      <w:r>
        <w:rPr>
          <w:rFonts w:ascii="宋体" w:hAnsi="宋体" w:eastAsia="宋体" w:cs="宋体"/>
          <w:color w:val="auto"/>
          <w:kern w:val="0"/>
          <w:sz w:val="24"/>
          <w:highlight w:val="none"/>
          <w:lang w:eastAsia="zh-CN"/>
        </w:rPr>
        <w:t>标人项目经理、项目技术总监、模块负责人时，均应提早</w:t>
      </w:r>
      <w:r>
        <w:rPr>
          <w:rFonts w:hint="eastAsia" w:ascii="宋体" w:hAnsi="宋体" w:eastAsia="宋体" w:cs="宋体"/>
          <w:color w:val="auto"/>
          <w:kern w:val="0"/>
          <w:sz w:val="24"/>
          <w:highlight w:val="none"/>
          <w:lang w:eastAsia="zh-CN"/>
        </w:rPr>
        <w:t>一个月</w:t>
      </w:r>
      <w:r>
        <w:rPr>
          <w:rFonts w:ascii="宋体" w:hAnsi="宋体" w:eastAsia="宋体" w:cs="宋体"/>
          <w:color w:val="auto"/>
          <w:kern w:val="0"/>
          <w:sz w:val="24"/>
          <w:highlight w:val="none"/>
          <w:lang w:eastAsia="zh-CN"/>
        </w:rPr>
        <w:t>向对方申明原因，</w:t>
      </w:r>
      <w:r>
        <w:rPr>
          <w:rFonts w:hint="eastAsia" w:ascii="宋体" w:hAnsi="宋体" w:eastAsia="宋体" w:cs="宋体"/>
          <w:color w:val="auto"/>
          <w:kern w:val="0"/>
          <w:sz w:val="24"/>
          <w:highlight w:val="none"/>
          <w:lang w:eastAsia="zh-CN"/>
        </w:rPr>
        <w:t>中</w:t>
      </w:r>
      <w:r>
        <w:rPr>
          <w:rFonts w:ascii="宋体" w:hAnsi="宋体" w:eastAsia="宋体" w:cs="宋体"/>
          <w:color w:val="auto"/>
          <w:kern w:val="0"/>
          <w:sz w:val="24"/>
          <w:highlight w:val="none"/>
          <w:lang w:eastAsia="zh-CN"/>
        </w:rPr>
        <w:t>标人应在同时提出新的符合合同要求的项目经理、各模块负责人，经招标人同意并办理交接手续后方可更换。</w:t>
      </w:r>
    </w:p>
    <w:p w14:paraId="3A9029D9">
      <w:pPr>
        <w:widowControl/>
        <w:tabs>
          <w:tab w:val="left" w:pos="420"/>
        </w:tabs>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项目经理、技术负责人及各模块负责人的替换人员须在资历、项目领域经验上需等于或优于被替换人员。</w:t>
      </w:r>
    </w:p>
    <w:p w14:paraId="350E5D51">
      <w:pPr>
        <w:widowControl/>
        <w:tabs>
          <w:tab w:val="left" w:pos="420"/>
        </w:tabs>
        <w:spacing w:line="360" w:lineRule="auto"/>
        <w:ind w:firstLine="480" w:firstLineChars="200"/>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lang w:eastAsia="zh-CN"/>
        </w:rPr>
        <w:t>如果招标人认为</w:t>
      </w:r>
      <w:r>
        <w:rPr>
          <w:rFonts w:hint="eastAsia" w:ascii="宋体" w:hAnsi="宋体" w:eastAsia="宋体" w:cs="宋体"/>
          <w:color w:val="auto"/>
          <w:kern w:val="0"/>
          <w:sz w:val="24"/>
          <w:highlight w:val="none"/>
          <w:lang w:eastAsia="zh-CN"/>
        </w:rPr>
        <w:t>中标人</w:t>
      </w:r>
      <w:r>
        <w:rPr>
          <w:rFonts w:ascii="宋体" w:hAnsi="宋体" w:eastAsia="宋体" w:cs="宋体"/>
          <w:color w:val="auto"/>
          <w:kern w:val="0"/>
          <w:sz w:val="24"/>
          <w:highlight w:val="none"/>
          <w:lang w:eastAsia="zh-CN"/>
        </w:rPr>
        <w:t>派出的项目人员不能胜任或者不适合本项目，可随时要求</w:t>
      </w:r>
      <w:r>
        <w:rPr>
          <w:rFonts w:hint="eastAsia" w:ascii="宋体" w:hAnsi="宋体" w:eastAsia="宋体" w:cs="宋体"/>
          <w:color w:val="auto"/>
          <w:kern w:val="0"/>
          <w:sz w:val="24"/>
          <w:highlight w:val="none"/>
          <w:lang w:eastAsia="zh-CN"/>
        </w:rPr>
        <w:t>中标人</w:t>
      </w:r>
      <w:r>
        <w:rPr>
          <w:rFonts w:ascii="宋体" w:hAnsi="宋体" w:eastAsia="宋体" w:cs="宋体"/>
          <w:color w:val="auto"/>
          <w:kern w:val="0"/>
          <w:sz w:val="24"/>
          <w:highlight w:val="none"/>
          <w:lang w:eastAsia="zh-CN"/>
        </w:rPr>
        <w:t>进行更换，</w:t>
      </w:r>
      <w:r>
        <w:rPr>
          <w:rFonts w:hint="eastAsia" w:ascii="宋体" w:hAnsi="宋体" w:eastAsia="宋体" w:cs="宋体"/>
          <w:color w:val="auto"/>
          <w:kern w:val="0"/>
          <w:sz w:val="24"/>
          <w:highlight w:val="none"/>
          <w:lang w:eastAsia="zh-CN"/>
        </w:rPr>
        <w:t>中标人</w:t>
      </w:r>
      <w:r>
        <w:rPr>
          <w:rFonts w:ascii="宋体" w:hAnsi="宋体" w:eastAsia="宋体" w:cs="宋体"/>
          <w:color w:val="auto"/>
          <w:kern w:val="0"/>
          <w:sz w:val="24"/>
          <w:highlight w:val="none"/>
          <w:lang w:eastAsia="zh-CN"/>
        </w:rPr>
        <w:t>须根据招标人要求时间内指派合适的替换人员。</w:t>
      </w:r>
    </w:p>
    <w:p w14:paraId="0AA8172C">
      <w:pPr>
        <w:keepNext/>
        <w:keepLines/>
        <w:numPr>
          <w:ilvl w:val="3"/>
          <w:numId w:val="1"/>
        </w:numPr>
        <w:spacing w:line="360" w:lineRule="auto"/>
        <w:ind w:left="1282" w:leftChars="200" w:hanging="862" w:firstLineChars="0"/>
        <w:jc w:val="both"/>
        <w:outlineLvl w:val="3"/>
        <w:rPr>
          <w:rFonts w:ascii="Times New Roman" w:hAnsi="Times New Roman" w:eastAsia="黑体" w:cs="Times New Roman"/>
          <w:b/>
          <w:color w:val="auto"/>
          <w:sz w:val="28"/>
          <w:highlight w:val="none"/>
          <w:lang w:val="en-US" w:eastAsia="zh-CN" w:bidi="ar-SA"/>
        </w:rPr>
      </w:pPr>
      <w:r>
        <w:rPr>
          <w:rFonts w:hint="eastAsia" w:ascii="Times New Roman" w:hAnsi="Times New Roman" w:eastAsia="黑体" w:cs="Times New Roman"/>
          <w:b/>
          <w:color w:val="auto"/>
          <w:sz w:val="28"/>
          <w:highlight w:val="none"/>
          <w:lang w:val="en-US" w:eastAsia="zh-CN" w:bidi="ar-SA"/>
        </w:rPr>
        <w:t xml:space="preserve"> 人员组织与工作经验要求</w:t>
      </w:r>
    </w:p>
    <w:p w14:paraId="285EC1D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中标人需根据项目整体实施进度，明确项目实施的组织架构及人员配备方案，标识项目团队核心成员，并提供参与该项目人员的履历。</w:t>
      </w:r>
    </w:p>
    <w:p w14:paraId="51E136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w:t>
      </w:r>
      <w:r>
        <w:rPr>
          <w:rFonts w:ascii="Times New Roman" w:hAnsi="Times New Roman" w:eastAsia="宋体" w:cs="Times New Roman"/>
          <w:color w:val="auto"/>
          <w:kern w:val="0"/>
          <w:sz w:val="24"/>
          <w:highlight w:val="none"/>
          <w:lang w:eastAsia="zh-CN"/>
        </w:rPr>
        <w:t>为使</w:t>
      </w:r>
      <w:r>
        <w:rPr>
          <w:rFonts w:hint="eastAsia" w:ascii="Times New Roman" w:hAnsi="Times New Roman" w:eastAsia="宋体" w:cs="Times New Roman"/>
          <w:color w:val="auto"/>
          <w:kern w:val="0"/>
          <w:sz w:val="24"/>
          <w:highlight w:val="none"/>
          <w:lang w:eastAsia="zh-CN"/>
        </w:rPr>
        <w:t>项目按质、按量、按时及有序实施，在项目实施期间，中标人需要进行现场开发，项目经理</w:t>
      </w:r>
      <w:r>
        <w:rPr>
          <w:rFonts w:hint="eastAsia" w:ascii="Times New Roman" w:hAnsi="Times New Roman" w:eastAsia="宋体" w:cs="Times New Roman"/>
          <w:color w:val="auto"/>
          <w:kern w:val="0"/>
          <w:sz w:val="24"/>
          <w:highlight w:val="none"/>
          <w:lang w:val="en-US" w:eastAsia="zh-CN"/>
        </w:rPr>
        <w:t>和</w:t>
      </w:r>
      <w:r>
        <w:rPr>
          <w:rFonts w:hint="eastAsia" w:ascii="Times New Roman" w:hAnsi="Times New Roman" w:eastAsia="宋体" w:cs="Times New Roman"/>
          <w:color w:val="auto"/>
          <w:kern w:val="0"/>
          <w:sz w:val="24"/>
          <w:highlight w:val="none"/>
          <w:lang w:eastAsia="zh-CN"/>
        </w:rPr>
        <w:t>项目技术总监</w:t>
      </w:r>
      <w:r>
        <w:rPr>
          <w:rFonts w:hint="eastAsia" w:ascii="Times New Roman" w:hAnsi="Times New Roman" w:eastAsia="宋体" w:cs="Times New Roman"/>
          <w:color w:val="auto"/>
          <w:kern w:val="0"/>
          <w:sz w:val="24"/>
          <w:highlight w:val="none"/>
          <w:lang w:val="en-US" w:eastAsia="zh-CN"/>
        </w:rPr>
        <w:t>应在</w:t>
      </w:r>
      <w:r>
        <w:rPr>
          <w:rFonts w:hint="eastAsia" w:ascii="Times New Roman" w:hAnsi="Times New Roman" w:eastAsia="宋体" w:cs="Times New Roman"/>
          <w:color w:val="auto"/>
          <w:kern w:val="0"/>
          <w:sz w:val="24"/>
          <w:highlight w:val="none"/>
          <w:lang w:eastAsia="zh-CN"/>
        </w:rPr>
        <w:t>现场</w:t>
      </w:r>
      <w:r>
        <w:rPr>
          <w:rFonts w:hint="eastAsia" w:ascii="Times New Roman" w:hAnsi="Times New Roman" w:eastAsia="宋体" w:cs="Times New Roman"/>
          <w:color w:val="auto"/>
          <w:kern w:val="0"/>
          <w:sz w:val="24"/>
          <w:highlight w:val="none"/>
          <w:lang w:val="en-US" w:eastAsia="zh-CN"/>
        </w:rPr>
        <w:t>开展工作</w:t>
      </w:r>
      <w:r>
        <w:rPr>
          <w:rFonts w:hint="eastAsia" w:ascii="Times New Roman" w:hAnsi="Times New Roman" w:eastAsia="宋体" w:cs="Times New Roman"/>
          <w:color w:val="auto"/>
          <w:kern w:val="0"/>
          <w:sz w:val="24"/>
          <w:highlight w:val="none"/>
          <w:lang w:eastAsia="zh-CN"/>
        </w:rPr>
        <w:t>，各模块负责人</w:t>
      </w:r>
      <w:r>
        <w:rPr>
          <w:rFonts w:hint="eastAsia" w:ascii="Times New Roman" w:hAnsi="Times New Roman" w:eastAsia="宋体" w:cs="Times New Roman"/>
          <w:color w:val="auto"/>
          <w:kern w:val="0"/>
          <w:sz w:val="24"/>
          <w:highlight w:val="none"/>
          <w:lang w:val="en-US" w:eastAsia="zh-CN"/>
        </w:rPr>
        <w:t>按需到场</w:t>
      </w:r>
      <w:r>
        <w:rPr>
          <w:rFonts w:hint="eastAsia" w:ascii="Times New Roman" w:hAnsi="Times New Roman" w:eastAsia="宋体" w:cs="Times New Roman"/>
          <w:color w:val="auto"/>
          <w:kern w:val="0"/>
          <w:sz w:val="24"/>
          <w:highlight w:val="none"/>
          <w:lang w:eastAsia="zh-CN"/>
        </w:rPr>
        <w:t>工作，项目经理、项目技术总监和各模块负责人不得兼任。</w:t>
      </w:r>
    </w:p>
    <w:p w14:paraId="00E2B1D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）中标人拟投入的项目团队应当具有与招标项目相适应的专业力量，如人员数量、专业分布、最高学历、工作年限、技术职务、技术职称、工作资历、类似项目业绩等。</w:t>
      </w:r>
    </w:p>
    <w:p w14:paraId="53956682">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项目经理应具有4年以上信息化建设经验，具有PMP或IPMP证书。</w:t>
      </w:r>
    </w:p>
    <w:p w14:paraId="3BBEF07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项目技术总监应具备4年以上信息化建设经验，</w:t>
      </w:r>
      <w:r>
        <w:rPr>
          <w:rFonts w:hint="eastAsia" w:ascii="Times New Roman" w:hAnsi="Times New Roman" w:eastAsia="宋体" w:cs="Times New Roman"/>
          <w:color w:val="auto"/>
          <w:kern w:val="0"/>
          <w:sz w:val="24"/>
          <w:highlight w:val="none"/>
          <w:lang w:val="en-US" w:eastAsia="zh-CN"/>
        </w:rPr>
        <w:t>中</w:t>
      </w:r>
      <w:r>
        <w:rPr>
          <w:rFonts w:hint="eastAsia" w:ascii="Times New Roman" w:hAnsi="Times New Roman" w:eastAsia="宋体" w:cs="Times New Roman"/>
          <w:color w:val="auto"/>
          <w:kern w:val="0"/>
          <w:sz w:val="24"/>
          <w:highlight w:val="none"/>
          <w:lang w:eastAsia="zh-CN"/>
        </w:rPr>
        <w:t>级资格的《计算机技术与软件专业资格（水平）证书》证书（信息系统集成项目管理/软件设计师</w:t>
      </w:r>
      <w:r>
        <w:rPr>
          <w:rFonts w:hint="eastAsia" w:ascii="Times New Roman" w:hAnsi="Times New Roman" w:eastAsia="宋体" w:cs="Times New Roman"/>
          <w:color w:val="auto"/>
          <w:kern w:val="0"/>
          <w:sz w:val="24"/>
          <w:highlight w:val="none"/>
          <w:lang w:val="en-US" w:eastAsia="zh-CN"/>
        </w:rPr>
        <w:t>等</w:t>
      </w:r>
      <w:r>
        <w:rPr>
          <w:rFonts w:hint="eastAsia" w:ascii="Times New Roman" w:hAnsi="Times New Roman" w:eastAsia="宋体" w:cs="Times New Roman"/>
          <w:color w:val="auto"/>
          <w:kern w:val="0"/>
          <w:sz w:val="24"/>
          <w:highlight w:val="none"/>
          <w:lang w:eastAsia="zh-CN"/>
        </w:rPr>
        <w:t>）。</w:t>
      </w:r>
    </w:p>
    <w:p w14:paraId="542F2FC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合理安排模块负责人不少于3人，</w:t>
      </w:r>
      <w:r>
        <w:rPr>
          <w:rFonts w:hint="eastAsia" w:ascii="Times New Roman" w:hAnsi="Times New Roman" w:eastAsia="宋体" w:cs="Times New Roman"/>
          <w:color w:val="auto"/>
          <w:kern w:val="0"/>
          <w:sz w:val="24"/>
          <w:highlight w:val="none"/>
          <w:lang w:eastAsia="zh-CN"/>
        </w:rPr>
        <w:t>中标人整个项目团队应不少于20人，包含硕士以上人员不少于4人，研究方向在大数据、人工智能、软件工程</w:t>
      </w:r>
      <w:r>
        <w:rPr>
          <w:rFonts w:hint="eastAsia" w:ascii="Times New Roman" w:hAnsi="Times New Roman" w:eastAsia="宋体" w:cs="Times New Roman"/>
          <w:color w:val="auto"/>
          <w:kern w:val="0"/>
          <w:sz w:val="24"/>
          <w:highlight w:val="none"/>
          <w:lang w:val="en-US" w:eastAsia="zh-CN"/>
        </w:rPr>
        <w:t>等</w:t>
      </w:r>
      <w:r>
        <w:rPr>
          <w:rFonts w:hint="eastAsia" w:ascii="Times New Roman" w:hAnsi="Times New Roman" w:eastAsia="宋体" w:cs="Times New Roman"/>
          <w:color w:val="auto"/>
          <w:kern w:val="0"/>
          <w:sz w:val="24"/>
          <w:highlight w:val="none"/>
          <w:lang w:eastAsia="zh-CN"/>
        </w:rPr>
        <w:t>方面，需提供简历和成果介绍。</w:t>
      </w:r>
    </w:p>
    <w:p w14:paraId="39F6CCD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4</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应提供项目团队组织方式及其人员构成，对参加本项目的团队成员在本项目中投入工作天数的测算及在本项目中所承担的具体角色和任务的说明。</w:t>
      </w:r>
    </w:p>
    <w:p w14:paraId="285F370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5</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投标人</w:t>
      </w:r>
      <w:r>
        <w:rPr>
          <w:rFonts w:ascii="Times New Roman" w:hAnsi="Times New Roman" w:eastAsia="宋体" w:cs="Times New Roman"/>
          <w:color w:val="auto"/>
          <w:kern w:val="0"/>
          <w:sz w:val="24"/>
          <w:highlight w:val="none"/>
          <w:lang w:eastAsia="zh-CN"/>
        </w:rPr>
        <w:t>应在投标文件中需详细列出参与本项目的技术人员的姓名、专业工龄、</w:t>
      </w:r>
      <w:r>
        <w:rPr>
          <w:rFonts w:hint="eastAsia" w:ascii="Times New Roman" w:hAnsi="Times New Roman" w:eastAsia="宋体" w:cs="Times New Roman"/>
          <w:color w:val="auto"/>
          <w:kern w:val="0"/>
          <w:sz w:val="24"/>
          <w:highlight w:val="none"/>
          <w:lang w:eastAsia="zh-CN"/>
        </w:rPr>
        <w:t>最高学历、</w:t>
      </w:r>
      <w:r>
        <w:rPr>
          <w:rFonts w:ascii="Times New Roman" w:hAnsi="Times New Roman" w:eastAsia="宋体" w:cs="Times New Roman"/>
          <w:color w:val="auto"/>
          <w:kern w:val="0"/>
          <w:sz w:val="24"/>
          <w:highlight w:val="none"/>
          <w:lang w:eastAsia="zh-CN"/>
        </w:rPr>
        <w:t>职务、职称、相关经验等</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lang w:eastAsia="zh-CN"/>
        </w:rPr>
        <w:t>满足招标人在本项目中对项目人员的资质要求、项目经验丰富而且可以信赖的人员来完成项目和提供服务</w:t>
      </w:r>
      <w:r>
        <w:rPr>
          <w:rFonts w:hint="eastAsia" w:ascii="Times New Roman" w:hAnsi="Times New Roman" w:eastAsia="宋体" w:cs="Times New Roman"/>
          <w:color w:val="auto"/>
          <w:kern w:val="0"/>
          <w:sz w:val="24"/>
          <w:highlight w:val="none"/>
          <w:lang w:eastAsia="zh-CN"/>
        </w:rPr>
        <w:t>。</w:t>
      </w:r>
    </w:p>
    <w:p w14:paraId="67CC3FE6">
      <w:pPr>
        <w:keepNext/>
        <w:keepLines/>
        <w:numPr>
          <w:ilvl w:val="1"/>
          <w:numId w:val="1"/>
        </w:numPr>
        <w:tabs>
          <w:tab w:val="left" w:pos="567"/>
          <w:tab w:val="left" w:pos="718"/>
          <w:tab w:val="clear" w:pos="420"/>
        </w:tabs>
        <w:spacing w:line="360" w:lineRule="auto"/>
        <w:ind w:firstLine="200" w:firstLineChars="0"/>
        <w:jc w:val="both"/>
        <w:outlineLvl w:val="1"/>
        <w:rPr>
          <w:rFonts w:ascii="Arial" w:hAnsi="Arial" w:eastAsia="黑体" w:cs="Times New Roman"/>
          <w:b/>
          <w:color w:val="auto"/>
          <w:sz w:val="32"/>
          <w:highlight w:val="none"/>
          <w:lang w:val="en-US" w:eastAsia="en-US" w:bidi="ar-SA"/>
        </w:rPr>
      </w:pPr>
      <w:r>
        <w:rPr>
          <w:rFonts w:hint="eastAsia" w:ascii="Arial" w:hAnsi="Arial" w:eastAsia="黑体" w:cs="Times New Roman"/>
          <w:b/>
          <w:color w:val="auto"/>
          <w:sz w:val="32"/>
          <w:highlight w:val="none"/>
          <w:lang w:val="en-US" w:eastAsia="zh-CN" w:bidi="ar-SA"/>
        </w:rPr>
        <w:t xml:space="preserve"> </w:t>
      </w:r>
      <w:bookmarkStart w:id="1621" w:name="_Toc9350"/>
      <w:bookmarkStart w:id="1622" w:name="_Toc1187"/>
      <w:bookmarkStart w:id="1623" w:name="_Toc506845124"/>
      <w:bookmarkStart w:id="1624" w:name="_Toc508393212"/>
      <w:bookmarkStart w:id="1625" w:name="_Toc22180"/>
      <w:bookmarkStart w:id="1626" w:name="_Toc193093654"/>
      <w:bookmarkStart w:id="1627" w:name="_Toc18773"/>
      <w:bookmarkStart w:id="1628" w:name="_Toc944623153"/>
      <w:r>
        <w:rPr>
          <w:rFonts w:hint="eastAsia" w:ascii="Arial" w:hAnsi="Arial" w:eastAsia="黑体" w:cs="Times New Roman"/>
          <w:b/>
          <w:color w:val="auto"/>
          <w:sz w:val="32"/>
          <w:highlight w:val="none"/>
          <w:lang w:val="en-US" w:eastAsia="en-US" w:bidi="ar-SA"/>
        </w:rPr>
        <w:t>项目进度要求</w:t>
      </w:r>
      <w:bookmarkEnd w:id="1621"/>
      <w:bookmarkEnd w:id="1622"/>
      <w:bookmarkEnd w:id="1623"/>
      <w:bookmarkEnd w:id="1624"/>
      <w:bookmarkEnd w:id="1625"/>
      <w:bookmarkEnd w:id="1626"/>
      <w:bookmarkEnd w:id="1627"/>
      <w:bookmarkEnd w:id="1628"/>
    </w:p>
    <w:p w14:paraId="2672BDB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1、工期总体要求：</w:t>
      </w:r>
    </w:p>
    <w:p w14:paraId="39B9403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eastAsia="zh-CN"/>
        </w:rPr>
        <w:t>）在项目</w:t>
      </w:r>
      <w:r>
        <w:rPr>
          <w:rFonts w:hint="eastAsia" w:ascii="Times New Roman" w:hAnsi="Times New Roman" w:eastAsia="宋体" w:cs="Times New Roman"/>
          <w:color w:val="auto"/>
          <w:kern w:val="0"/>
          <w:sz w:val="24"/>
          <w:highlight w:val="none"/>
          <w:lang w:val="en-US" w:eastAsia="zh-CN"/>
        </w:rPr>
        <w:t>所需</w:t>
      </w:r>
      <w:r>
        <w:rPr>
          <w:rFonts w:hint="eastAsia" w:ascii="Times New Roman" w:hAnsi="Times New Roman" w:eastAsia="宋体" w:cs="Times New Roman"/>
          <w:color w:val="auto"/>
          <w:kern w:val="0"/>
          <w:sz w:val="24"/>
          <w:highlight w:val="none"/>
          <w:lang w:eastAsia="zh-CN"/>
        </w:rPr>
        <w:t>硬件部署完成后</w:t>
      </w:r>
      <w:r>
        <w:rPr>
          <w:rFonts w:hint="eastAsia" w:ascii="Times New Roman" w:hAnsi="Times New Roman" w:eastAsia="宋体" w:cs="Times New Roman"/>
          <w:color w:val="auto"/>
          <w:kern w:val="0"/>
          <w:sz w:val="24"/>
          <w:highlight w:val="none"/>
          <w:lang w:val="en-US" w:eastAsia="zh-CN"/>
        </w:rPr>
        <w:t>30</w:t>
      </w:r>
      <w:r>
        <w:rPr>
          <w:rFonts w:hint="eastAsia" w:ascii="Times New Roman" w:hAnsi="Times New Roman" w:eastAsia="宋体" w:cs="Times New Roman"/>
          <w:color w:val="auto"/>
          <w:kern w:val="0"/>
          <w:sz w:val="24"/>
          <w:highlight w:val="none"/>
          <w:lang w:eastAsia="zh-CN"/>
        </w:rPr>
        <w:t>个日历天内必须完成AI大模型平台的部署。</w:t>
      </w:r>
    </w:p>
    <w:p w14:paraId="0CB34A78">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自合同签订生效之日起270个日历天内必须基于北部水厂一期（已投运）完成智慧控制及智慧运营模块的开发并开展试运行；在北部水厂二期（一阶段）主体工程(含工艺设备安装)完工并试运行正常90个日历天之日后，可开展智慧控制及智慧运营模块部署及试运行。基于北部水厂一期（已投运）和二期（一阶段）的模块试运行时间均超过90个日历天后无重大缺陷可申请分项验收。</w:t>
      </w:r>
    </w:p>
    <w:p w14:paraId="7E35971A">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eastAsia="zh-CN"/>
        </w:rPr>
        <w:t>）自合同签订生效之日起450个日历天内完成智慧决策模块的开发、部署并开展试运行工作。</w:t>
      </w:r>
    </w:p>
    <w:p w14:paraId="51911FC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eastAsia="zh-CN"/>
        </w:rPr>
        <w:t>）自合同签订生效之日起730个日历天内完成项目的开发并达到招标人项目需求。</w:t>
      </w:r>
    </w:p>
    <w:p w14:paraId="3751AF9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2、本招标项目中技术要求部分仅为用户方初步的最低需求，在确定中标人后，中标人必须在合同签订生效之日起60个日历天内完成详细的需求分析调研工作，通过评审的需求分析报告作为本项目的实施依据</w:t>
      </w:r>
      <w:r>
        <w:rPr>
          <w:rFonts w:ascii="Times New Roman" w:hAnsi="Times New Roman" w:eastAsia="宋体" w:cs="Times New Roman"/>
          <w:color w:val="auto"/>
          <w:kern w:val="0"/>
          <w:sz w:val="24"/>
          <w:highlight w:val="none"/>
          <w:lang w:eastAsia="zh-CN"/>
        </w:rPr>
        <w:t>，保障前期需求分析工作的到位。</w:t>
      </w:r>
    </w:p>
    <w:p w14:paraId="687665F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 xml:space="preserve">3、具体模块建设工期要求：在不改变总工期要求的前提下，招标人可根据实际需求要求对系统中局部模块进行先行开发、测试、初步验收及试运行。 </w:t>
      </w:r>
    </w:p>
    <w:p w14:paraId="7BA3CF4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w:t>
      </w:r>
      <w:r>
        <w:rPr>
          <w:rFonts w:ascii="Times New Roman" w:hAnsi="Times New Roman" w:eastAsia="宋体" w:cs="Times New Roman"/>
          <w:color w:val="auto"/>
          <w:kern w:val="0"/>
          <w:sz w:val="24"/>
          <w:highlight w:val="none"/>
          <w:lang w:eastAsia="zh-CN"/>
        </w:rPr>
        <w:t>合同生效后</w:t>
      </w:r>
      <w:r>
        <w:rPr>
          <w:rFonts w:hint="eastAsia" w:ascii="Times New Roman" w:hAnsi="Times New Roman" w:eastAsia="宋体" w:cs="Times New Roman"/>
          <w:color w:val="auto"/>
          <w:kern w:val="0"/>
          <w:sz w:val="24"/>
          <w:highlight w:val="none"/>
          <w:lang w:eastAsia="zh-CN"/>
        </w:rPr>
        <w:t>两</w:t>
      </w:r>
      <w:r>
        <w:rPr>
          <w:rFonts w:ascii="Times New Roman" w:hAnsi="Times New Roman" w:eastAsia="宋体" w:cs="Times New Roman"/>
          <w:color w:val="auto"/>
          <w:kern w:val="0"/>
          <w:sz w:val="24"/>
          <w:highlight w:val="none"/>
          <w:lang w:eastAsia="zh-CN"/>
        </w:rPr>
        <w:t>周内，</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必须依据本</w:t>
      </w:r>
      <w:r>
        <w:rPr>
          <w:rFonts w:hint="eastAsia" w:ascii="Times New Roman" w:hAnsi="Times New Roman" w:eastAsia="宋体" w:cs="Times New Roman"/>
          <w:color w:val="auto"/>
          <w:kern w:val="0"/>
          <w:sz w:val="24"/>
          <w:highlight w:val="none"/>
          <w:lang w:eastAsia="zh-CN"/>
        </w:rPr>
        <w:t>招标人要求</w:t>
      </w:r>
      <w:r>
        <w:rPr>
          <w:rFonts w:ascii="Times New Roman" w:hAnsi="Times New Roman" w:eastAsia="宋体" w:cs="Times New Roman"/>
          <w:color w:val="auto"/>
          <w:kern w:val="0"/>
          <w:sz w:val="24"/>
          <w:highlight w:val="none"/>
          <w:lang w:eastAsia="zh-CN"/>
        </w:rPr>
        <w:t>编制项目工作详细计划(以下简称项目计划)，经审核通过后，作为项目进度控制标准予以执行。</w:t>
      </w:r>
    </w:p>
    <w:p w14:paraId="58BBAEA8">
      <w:pPr>
        <w:spacing w:after="120" w:line="360" w:lineRule="auto"/>
        <w:ind w:firstLine="480" w:firstLineChars="200"/>
        <w:jc w:val="both"/>
        <w:rPr>
          <w:rFonts w:ascii="Calibri" w:hAnsi="Calibri" w:eastAsia="宋体" w:cs="Times New Roman"/>
          <w:color w:val="auto"/>
          <w:sz w:val="24"/>
          <w:highlight w:val="none"/>
          <w:lang w:val="en-US" w:eastAsia="zh-CN" w:bidi="ar-SA"/>
        </w:rPr>
      </w:pPr>
      <w:r>
        <w:rPr>
          <w:rFonts w:hint="eastAsia" w:ascii="Calibri" w:hAnsi="Calibri" w:eastAsia="宋体" w:cs="Times New Roman"/>
          <w:color w:val="auto"/>
          <w:sz w:val="24"/>
          <w:highlight w:val="none"/>
          <w:lang w:val="en-US" w:eastAsia="zh-CN" w:bidi="ar-SA"/>
        </w:rPr>
        <w:t>5、</w:t>
      </w:r>
      <w:r>
        <w:rPr>
          <w:rFonts w:ascii="Calibri" w:hAnsi="Calibri" w:eastAsia="宋体" w:cs="Times New Roman"/>
          <w:color w:val="auto"/>
          <w:sz w:val="24"/>
          <w:highlight w:val="none"/>
          <w:lang w:val="en-US" w:eastAsia="zh-CN" w:bidi="ar-SA"/>
        </w:rPr>
        <w:t>项目实施过程中，</w:t>
      </w:r>
      <w:r>
        <w:rPr>
          <w:rFonts w:hint="eastAsia" w:ascii="Calibri" w:hAnsi="Calibri" w:eastAsia="宋体" w:cs="Times New Roman"/>
          <w:color w:val="auto"/>
          <w:sz w:val="24"/>
          <w:highlight w:val="none"/>
          <w:lang w:val="en-US" w:eastAsia="zh-CN" w:bidi="ar-SA"/>
        </w:rPr>
        <w:t>中标人</w:t>
      </w:r>
      <w:r>
        <w:rPr>
          <w:rFonts w:ascii="Calibri" w:hAnsi="Calibri" w:eastAsia="宋体" w:cs="Times New Roman"/>
          <w:color w:val="auto"/>
          <w:sz w:val="24"/>
          <w:highlight w:val="none"/>
          <w:lang w:val="en-US" w:eastAsia="zh-CN" w:bidi="ar-SA"/>
        </w:rPr>
        <w:t>应在每月的第五个工作日前向</w:t>
      </w:r>
      <w:r>
        <w:rPr>
          <w:rFonts w:hint="eastAsia" w:ascii="Calibri" w:hAnsi="Calibri" w:eastAsia="宋体" w:cs="Times New Roman"/>
          <w:color w:val="auto"/>
          <w:sz w:val="24"/>
          <w:highlight w:val="none"/>
          <w:lang w:val="en-US" w:eastAsia="zh-CN" w:bidi="ar-SA"/>
        </w:rPr>
        <w:t>招标人</w:t>
      </w:r>
      <w:r>
        <w:rPr>
          <w:rFonts w:ascii="Calibri" w:hAnsi="Calibri" w:eastAsia="宋体" w:cs="Times New Roman"/>
          <w:color w:val="auto"/>
          <w:sz w:val="24"/>
          <w:highlight w:val="none"/>
          <w:lang w:val="en-US" w:eastAsia="zh-CN" w:bidi="ar-SA"/>
        </w:rPr>
        <w:t>提交月工作报告</w:t>
      </w:r>
      <w:r>
        <w:rPr>
          <w:rFonts w:hint="eastAsia" w:ascii="Calibri" w:hAnsi="Calibri" w:eastAsia="宋体" w:cs="Times New Roman"/>
          <w:color w:val="auto"/>
          <w:sz w:val="24"/>
          <w:highlight w:val="none"/>
          <w:lang w:val="en-US" w:eastAsia="zh-CN" w:bidi="ar-SA"/>
        </w:rPr>
        <w:t>，</w:t>
      </w:r>
      <w:r>
        <w:rPr>
          <w:rFonts w:ascii="Calibri" w:hAnsi="Calibri" w:eastAsia="宋体" w:cs="Times New Roman"/>
          <w:color w:val="auto"/>
          <w:sz w:val="24"/>
          <w:highlight w:val="none"/>
          <w:lang w:val="en-US" w:eastAsia="zh-CN" w:bidi="ar-SA"/>
        </w:rPr>
        <w:t>每周一向</w:t>
      </w:r>
      <w:r>
        <w:rPr>
          <w:rFonts w:hint="eastAsia" w:ascii="Calibri" w:hAnsi="Calibri" w:eastAsia="宋体" w:cs="Times New Roman"/>
          <w:color w:val="auto"/>
          <w:sz w:val="24"/>
          <w:highlight w:val="none"/>
          <w:lang w:val="en-US" w:eastAsia="zh-CN" w:bidi="ar-SA"/>
        </w:rPr>
        <w:t>招标人</w:t>
      </w:r>
      <w:r>
        <w:rPr>
          <w:rFonts w:ascii="Calibri" w:hAnsi="Calibri" w:eastAsia="宋体" w:cs="Times New Roman"/>
          <w:color w:val="auto"/>
          <w:sz w:val="24"/>
          <w:highlight w:val="none"/>
          <w:lang w:val="en-US" w:eastAsia="zh-CN" w:bidi="ar-SA"/>
        </w:rPr>
        <w:t>提交周工作报告。工作报告里须说明项目计划的执行情况，以及下一个时间段的工作计划内容,并应针对项目的实际进展情况提出相关合理化建议。</w:t>
      </w:r>
    </w:p>
    <w:p w14:paraId="6A34FCEC">
      <w:pPr>
        <w:keepLines/>
        <w:widowControl w:val="0"/>
        <w:numPr>
          <w:ilvl w:val="0"/>
          <w:numId w:val="0"/>
        </w:numPr>
        <w:tabs>
          <w:tab w:val="left" w:pos="576"/>
          <w:tab w:val="left" w:pos="600"/>
          <w:tab w:val="left" w:pos="720"/>
          <w:tab w:val="left" w:pos="2705"/>
        </w:tabs>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w:t>
      </w:r>
      <w:r>
        <w:rPr>
          <w:rFonts w:ascii="Times New Roman" w:hAnsi="Times New Roman" w:eastAsia="宋体" w:cs="Times New Roman"/>
          <w:color w:val="auto"/>
          <w:kern w:val="0"/>
          <w:sz w:val="24"/>
          <w:highlight w:val="none"/>
          <w:lang w:eastAsia="zh-CN"/>
        </w:rPr>
        <w:t>由于任何一方的原因需调整项目进度计划须得到另一方的确认，并及时调整项目实施安排，调整后的项目计划须由双方确认。</w:t>
      </w:r>
    </w:p>
    <w:p w14:paraId="4BFBCD6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7、中标人</w:t>
      </w:r>
      <w:r>
        <w:rPr>
          <w:rFonts w:ascii="Times New Roman" w:hAnsi="Times New Roman" w:eastAsia="宋体" w:cs="Times New Roman"/>
          <w:color w:val="auto"/>
          <w:kern w:val="0"/>
          <w:sz w:val="24"/>
          <w:highlight w:val="none"/>
          <w:lang w:eastAsia="zh-CN"/>
        </w:rPr>
        <w:t>应按项目技术要求中</w:t>
      </w:r>
      <w:r>
        <w:rPr>
          <w:rFonts w:hint="eastAsia" w:ascii="Times New Roman" w:hAnsi="Times New Roman" w:eastAsia="宋体" w:cs="Times New Roman"/>
          <w:color w:val="auto"/>
          <w:kern w:val="0"/>
          <w:sz w:val="24"/>
          <w:highlight w:val="none"/>
          <w:lang w:eastAsia="zh-CN"/>
        </w:rPr>
        <w:t>AI大模型平台、智慧生产控制</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智慧运营和智慧决策</w:t>
      </w:r>
      <w:r>
        <w:rPr>
          <w:rFonts w:ascii="Times New Roman" w:hAnsi="Times New Roman" w:eastAsia="宋体" w:cs="Times New Roman"/>
          <w:color w:val="auto"/>
          <w:kern w:val="0"/>
          <w:sz w:val="24"/>
          <w:highlight w:val="none"/>
          <w:lang w:eastAsia="zh-CN"/>
        </w:rPr>
        <w:t>等相关内容及要求实施，并协助</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完善相关</w:t>
      </w:r>
      <w:r>
        <w:rPr>
          <w:rFonts w:hint="eastAsia" w:ascii="Times New Roman" w:hAnsi="Times New Roman" w:eastAsia="宋体" w:cs="Times New Roman"/>
          <w:color w:val="auto"/>
          <w:kern w:val="0"/>
          <w:sz w:val="24"/>
          <w:highlight w:val="none"/>
          <w:lang w:eastAsia="zh-CN"/>
        </w:rPr>
        <w:t>北部水厂智慧化建设内容</w:t>
      </w:r>
      <w:r>
        <w:rPr>
          <w:rFonts w:ascii="Times New Roman" w:hAnsi="Times New Roman" w:eastAsia="宋体" w:cs="Times New Roman"/>
          <w:color w:val="auto"/>
          <w:kern w:val="0"/>
          <w:sz w:val="24"/>
          <w:highlight w:val="none"/>
          <w:lang w:eastAsia="zh-CN"/>
        </w:rPr>
        <w:t>。</w:t>
      </w:r>
    </w:p>
    <w:p w14:paraId="72D8130C">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629" w:name="_Toc531115787"/>
      <w:bookmarkStart w:id="1630" w:name="_Toc9646"/>
      <w:bookmarkStart w:id="1631" w:name="_Toc505272504"/>
      <w:bookmarkStart w:id="1632" w:name="_Toc531688712"/>
      <w:bookmarkStart w:id="1633" w:name="_Toc511830909"/>
      <w:bookmarkStart w:id="1634" w:name="_Toc5174"/>
      <w:r>
        <w:rPr>
          <w:rFonts w:hint="eastAsia" w:ascii="Arial" w:hAnsi="Arial" w:eastAsia="黑体" w:cs="Times New Roman"/>
          <w:b/>
          <w:color w:val="auto"/>
          <w:sz w:val="32"/>
          <w:highlight w:val="none"/>
          <w:lang w:val="en-US" w:eastAsia="zh-CN" w:bidi="ar-SA"/>
        </w:rPr>
        <w:t xml:space="preserve"> </w:t>
      </w:r>
      <w:bookmarkStart w:id="1635" w:name="_Toc193093655"/>
      <w:bookmarkStart w:id="1636" w:name="_Toc30801"/>
      <w:bookmarkStart w:id="1637" w:name="_Toc2082213847"/>
      <w:bookmarkStart w:id="1638" w:name="_Toc1625855066"/>
      <w:bookmarkStart w:id="1639" w:name="_Toc3865"/>
      <w:bookmarkStart w:id="1640" w:name="_Toc1874766318"/>
      <w:bookmarkStart w:id="1641" w:name="_Toc18435"/>
      <w:r>
        <w:rPr>
          <w:rFonts w:hint="eastAsia" w:ascii="Arial" w:hAnsi="Arial" w:eastAsia="黑体" w:cs="Times New Roman"/>
          <w:b/>
          <w:color w:val="auto"/>
          <w:sz w:val="32"/>
          <w:highlight w:val="none"/>
          <w:lang w:val="en-US" w:eastAsia="zh-CN" w:bidi="ar-SA"/>
        </w:rPr>
        <w:t>项目验收要求</w:t>
      </w:r>
      <w:bookmarkEnd w:id="1635"/>
      <w:bookmarkEnd w:id="1636"/>
      <w:bookmarkEnd w:id="1637"/>
      <w:bookmarkEnd w:id="1638"/>
      <w:bookmarkEnd w:id="1639"/>
      <w:bookmarkEnd w:id="1640"/>
      <w:bookmarkEnd w:id="1641"/>
    </w:p>
    <w:p w14:paraId="6ED08A0E">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42" w:name="_Toc374615017"/>
      <w:bookmarkStart w:id="1643" w:name="_Toc14551"/>
      <w:bookmarkStart w:id="1644" w:name="_Toc193093656"/>
      <w:bookmarkStart w:id="1645" w:name="_Toc1164169834"/>
      <w:bookmarkStart w:id="1646" w:name="_Toc19794"/>
      <w:bookmarkStart w:id="1647" w:name="_Toc1317437842"/>
      <w:bookmarkStart w:id="1648" w:name="_Toc20528"/>
      <w:r>
        <w:rPr>
          <w:rFonts w:hint="eastAsia" w:ascii="Times New Roman" w:hAnsi="Times New Roman" w:eastAsia="黑体" w:cs="Times New Roman"/>
          <w:b/>
          <w:color w:val="auto"/>
          <w:sz w:val="30"/>
          <w:highlight w:val="none"/>
          <w:lang w:val="en-US" w:eastAsia="zh-CN" w:bidi="ar-SA"/>
        </w:rPr>
        <w:t>验收总体要求</w:t>
      </w:r>
      <w:bookmarkEnd w:id="1642"/>
      <w:bookmarkEnd w:id="1643"/>
      <w:bookmarkEnd w:id="1644"/>
      <w:bookmarkEnd w:id="1645"/>
      <w:bookmarkEnd w:id="1646"/>
      <w:bookmarkEnd w:id="1647"/>
      <w:bookmarkEnd w:id="1648"/>
    </w:p>
    <w:p w14:paraId="4DBD1157">
      <w:pPr>
        <w:widowControl/>
        <w:spacing w:line="460" w:lineRule="exact"/>
        <w:ind w:firstLine="480" w:firstLineChars="200"/>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本项目采用分项验收的方法。中标人要保证项目始终在实施双方意见一致的前提下进行。在整个项目实施期间，可建立阶段成果的验收节点。这些验收点通常是</w:t>
      </w:r>
      <w:r>
        <w:rPr>
          <w:rFonts w:hint="eastAsia" w:ascii="仿宋" w:hAnsi="仿宋" w:eastAsia="宋体" w:cs="仿宋"/>
          <w:bCs/>
          <w:color w:val="auto"/>
          <w:kern w:val="0"/>
          <w:sz w:val="24"/>
          <w:highlight w:val="none"/>
          <w:lang w:eastAsia="zh-CN"/>
        </w:rPr>
        <w:t>项目实施的各个里程碑和实施阶段的完成点。</w:t>
      </w:r>
    </w:p>
    <w:p w14:paraId="5F43FB2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49" w:name="_Toc1880021362"/>
      <w:bookmarkStart w:id="1650" w:name="_Toc20787"/>
      <w:bookmarkStart w:id="1651" w:name="_Toc9177"/>
      <w:bookmarkStart w:id="1652" w:name="_Toc193093657"/>
      <w:bookmarkStart w:id="1653" w:name="_Toc22970"/>
      <w:bookmarkStart w:id="1654" w:name="_Toc1621409924"/>
      <w:bookmarkStart w:id="1655" w:name="_Toc478892221"/>
      <w:r>
        <w:rPr>
          <w:rFonts w:hint="eastAsia" w:ascii="Times New Roman" w:hAnsi="Times New Roman" w:eastAsia="黑体" w:cs="Times New Roman"/>
          <w:b/>
          <w:color w:val="auto"/>
          <w:sz w:val="30"/>
          <w:highlight w:val="none"/>
          <w:lang w:val="en-US" w:eastAsia="zh-CN" w:bidi="ar-SA"/>
        </w:rPr>
        <w:t>验收阶段</w:t>
      </w:r>
      <w:bookmarkEnd w:id="1649"/>
      <w:bookmarkEnd w:id="1650"/>
      <w:bookmarkEnd w:id="1651"/>
      <w:bookmarkEnd w:id="1652"/>
      <w:bookmarkEnd w:id="1653"/>
      <w:bookmarkEnd w:id="1654"/>
      <w:bookmarkEnd w:id="1655"/>
    </w:p>
    <w:p w14:paraId="1A236811">
      <w:pPr>
        <w:widowControl/>
        <w:spacing w:line="460" w:lineRule="exact"/>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本项目验收阶段至少包括：分项验收、项目竣工验收。</w:t>
      </w:r>
    </w:p>
    <w:p w14:paraId="7DF855E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656" w:name="_Toc1616595885"/>
      <w:bookmarkStart w:id="1657" w:name="_Toc13451"/>
      <w:bookmarkStart w:id="1658" w:name="_Toc2120333038"/>
      <w:bookmarkStart w:id="1659" w:name="_Toc29212"/>
      <w:bookmarkStart w:id="1660" w:name="_Toc193093658"/>
      <w:bookmarkStart w:id="1661" w:name="_Toc2965"/>
      <w:bookmarkStart w:id="1662" w:name="_Toc1592132823"/>
      <w:r>
        <w:rPr>
          <w:rFonts w:hint="eastAsia" w:ascii="Times New Roman" w:hAnsi="Times New Roman" w:eastAsia="黑体" w:cs="Times New Roman"/>
          <w:b/>
          <w:color w:val="auto"/>
          <w:sz w:val="30"/>
          <w:highlight w:val="none"/>
          <w:lang w:val="en-US" w:eastAsia="zh-CN" w:bidi="ar-SA"/>
        </w:rPr>
        <w:t>验收准备</w:t>
      </w:r>
      <w:bookmarkEnd w:id="1656"/>
      <w:bookmarkEnd w:id="1657"/>
      <w:bookmarkEnd w:id="1658"/>
      <w:bookmarkEnd w:id="1659"/>
      <w:bookmarkEnd w:id="1660"/>
      <w:bookmarkEnd w:id="1661"/>
      <w:bookmarkEnd w:id="1662"/>
    </w:p>
    <w:p w14:paraId="1BCCF2DD">
      <w:pPr>
        <w:widowControl/>
        <w:spacing w:line="460" w:lineRule="exact"/>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招标人负责组织验收工作,成立验收小组，主要由招标人、中标人等组成，中标人应组建由技术人员构成的测试小组，并在验收小组指导监督下开展工作。验收小组提出的验收测试要求及质量保证要求，中标人应积极响应，并会同招标方共同确定各阶段验收的条件、需验收的内容、验收通过的标准以及需要提交的资料清单等。</w:t>
      </w:r>
    </w:p>
    <w:p w14:paraId="5BB5BE13">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r>
        <w:rPr>
          <w:rFonts w:hint="eastAsia" w:ascii="Times New Roman" w:hAnsi="Times New Roman" w:eastAsia="黑体" w:cs="Times New Roman"/>
          <w:b/>
          <w:color w:val="auto"/>
          <w:sz w:val="30"/>
          <w:highlight w:val="none"/>
          <w:lang w:val="en-US" w:eastAsia="zh-CN" w:bidi="ar-SA"/>
        </w:rPr>
        <w:t xml:space="preserve"> </w:t>
      </w:r>
      <w:bookmarkStart w:id="1663" w:name="_Toc1330114541"/>
      <w:bookmarkStart w:id="1664" w:name="_Toc3741"/>
      <w:bookmarkStart w:id="1665" w:name="_Toc1093731348"/>
      <w:bookmarkStart w:id="1666" w:name="_Toc163937351"/>
      <w:bookmarkStart w:id="1667" w:name="_Toc193093659"/>
      <w:bookmarkStart w:id="1668" w:name="_Toc30632"/>
      <w:bookmarkStart w:id="1669" w:name="_Toc32365"/>
      <w:r>
        <w:rPr>
          <w:rFonts w:hint="eastAsia" w:ascii="Times New Roman" w:hAnsi="Times New Roman" w:eastAsia="黑体" w:cs="Times New Roman"/>
          <w:b/>
          <w:color w:val="auto"/>
          <w:sz w:val="30"/>
          <w:highlight w:val="none"/>
          <w:lang w:val="en-US" w:eastAsia="en-US" w:bidi="ar-SA"/>
        </w:rPr>
        <w:t>验收流程</w:t>
      </w:r>
      <w:bookmarkEnd w:id="1663"/>
      <w:bookmarkEnd w:id="1664"/>
      <w:bookmarkEnd w:id="1665"/>
      <w:bookmarkEnd w:id="1666"/>
      <w:bookmarkEnd w:id="1667"/>
      <w:bookmarkEnd w:id="1668"/>
      <w:bookmarkEnd w:id="1669"/>
    </w:p>
    <w:p w14:paraId="4EA8729C">
      <w:pPr>
        <w:widowControl/>
        <w:numPr>
          <w:ilvl w:val="0"/>
          <w:numId w:val="31"/>
        </w:numPr>
        <w:spacing w:after="160" w:line="360" w:lineRule="auto"/>
        <w:ind w:firstLine="482" w:firstLineChars="0"/>
        <w:jc w:val="left"/>
        <w:rPr>
          <w:rFonts w:hint="eastAsia" w:ascii="仿宋" w:hAnsi="仿宋" w:eastAsia="宋体" w:cs="仿宋"/>
          <w:color w:val="auto"/>
          <w:kern w:val="0"/>
          <w:sz w:val="24"/>
          <w:szCs w:val="24"/>
          <w:highlight w:val="none"/>
          <w:lang w:eastAsia="zh-CN"/>
        </w:rPr>
      </w:pPr>
      <w:r>
        <w:rPr>
          <w:rFonts w:hint="eastAsia" w:ascii="仿宋" w:hAnsi="仿宋" w:eastAsia="宋体" w:cs="仿宋"/>
          <w:b/>
          <w:color w:val="auto"/>
          <w:kern w:val="0"/>
          <w:sz w:val="24"/>
          <w:szCs w:val="24"/>
          <w:highlight w:val="none"/>
          <w:lang w:eastAsia="zh-CN"/>
        </w:rPr>
        <w:t>分项验收：</w:t>
      </w:r>
      <w:r>
        <w:rPr>
          <w:rFonts w:hint="eastAsia" w:ascii="仿宋" w:hAnsi="仿宋" w:eastAsia="宋体" w:cs="仿宋"/>
          <w:color w:val="auto"/>
          <w:kern w:val="0"/>
          <w:sz w:val="24"/>
          <w:szCs w:val="24"/>
          <w:highlight w:val="none"/>
          <w:lang w:eastAsia="zh-CN"/>
        </w:rPr>
        <w:t>项目模块试运行</w:t>
      </w:r>
      <w:r>
        <w:rPr>
          <w:rFonts w:hint="eastAsia" w:ascii="宋体" w:hAnsi="宋体" w:eastAsia="宋体" w:cs="宋体"/>
          <w:color w:val="auto"/>
          <w:kern w:val="0"/>
          <w:sz w:val="24"/>
          <w:szCs w:val="21"/>
          <w:highlight w:val="none"/>
          <w:lang w:eastAsia="zh-CN"/>
        </w:rPr>
        <w:t>超过90个日历天后且无重大缺陷可申请进行分项验收。中标人</w:t>
      </w:r>
      <w:r>
        <w:rPr>
          <w:rFonts w:hint="eastAsia" w:ascii="仿宋" w:hAnsi="仿宋" w:eastAsia="宋体" w:cs="仿宋"/>
          <w:color w:val="auto"/>
          <w:kern w:val="0"/>
          <w:sz w:val="24"/>
          <w:szCs w:val="24"/>
          <w:highlight w:val="none"/>
          <w:lang w:eastAsia="zh-CN"/>
        </w:rPr>
        <w:t>根据验收办法规定的验收的条件、验收的内容、验收通过的标准以及需要提交的资料清单等要求完成相关内容、交付相关成果并完成自验收后，向招标人书面提出验收申请，招标人组织对交付成果进行初步验收，并将验收结果反馈书面意见给中标人，由中标人修改完善交付成果直至验收合格，确认交付成果，验收结束应给予中标人书面验收同意意见。</w:t>
      </w:r>
    </w:p>
    <w:p w14:paraId="21884EB9">
      <w:pPr>
        <w:widowControl/>
        <w:numPr>
          <w:ilvl w:val="0"/>
          <w:numId w:val="31"/>
        </w:numPr>
        <w:spacing w:after="160" w:line="360" w:lineRule="auto"/>
        <w:ind w:firstLine="482" w:firstLineChars="0"/>
        <w:jc w:val="left"/>
        <w:rPr>
          <w:rFonts w:hint="eastAsia" w:ascii="仿宋" w:hAnsi="仿宋" w:eastAsia="宋体" w:cs="仿宋"/>
          <w:color w:val="auto"/>
          <w:kern w:val="0"/>
          <w:sz w:val="24"/>
          <w:szCs w:val="24"/>
          <w:highlight w:val="none"/>
          <w:lang w:eastAsia="zh-CN"/>
        </w:rPr>
      </w:pPr>
      <w:r>
        <w:rPr>
          <w:rFonts w:hint="eastAsia" w:ascii="仿宋" w:hAnsi="仿宋" w:eastAsia="宋体" w:cs="仿宋"/>
          <w:b/>
          <w:color w:val="auto"/>
          <w:kern w:val="0"/>
          <w:sz w:val="24"/>
          <w:szCs w:val="24"/>
          <w:highlight w:val="none"/>
          <w:lang w:eastAsia="zh-CN"/>
        </w:rPr>
        <w:t>项目竣工验收：</w:t>
      </w:r>
      <w:r>
        <w:rPr>
          <w:rFonts w:hint="eastAsia" w:ascii="仿宋" w:hAnsi="仿宋" w:eastAsia="宋体" w:cs="仿宋"/>
          <w:bCs/>
          <w:color w:val="auto"/>
          <w:kern w:val="0"/>
          <w:sz w:val="24"/>
          <w:szCs w:val="24"/>
          <w:highlight w:val="none"/>
          <w:lang w:eastAsia="zh-CN"/>
        </w:rPr>
        <w:t>项目系统所有模块均完成分项验收且运行180个日历天后，具备项目竣工验收条件时，由中标人完成项目竣工自验收，并编写项目竣工自验收报告，向</w:t>
      </w:r>
      <w:r>
        <w:rPr>
          <w:rFonts w:hint="eastAsia" w:ascii="仿宋" w:hAnsi="仿宋" w:eastAsia="宋体" w:cs="仿宋"/>
          <w:color w:val="auto"/>
          <w:kern w:val="0"/>
          <w:sz w:val="24"/>
          <w:szCs w:val="24"/>
          <w:highlight w:val="none"/>
          <w:lang w:eastAsia="zh-CN"/>
        </w:rPr>
        <w:t>招标人书面提出验收申请（附自验收报告和项目交付成果签字版），经招标人同意后组织相关用户等，召开项目竣工验收评审会，评审会出具书面验收意见，经中标人根据验收意见逐条修改完善系统或文档，直至全部满足验收通过要求。</w:t>
      </w:r>
    </w:p>
    <w:p w14:paraId="0CA79743">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r>
        <w:rPr>
          <w:rFonts w:hint="eastAsia" w:ascii="Times New Roman" w:hAnsi="Times New Roman" w:eastAsia="黑体" w:cs="Times New Roman"/>
          <w:b/>
          <w:color w:val="auto"/>
          <w:sz w:val="30"/>
          <w:highlight w:val="none"/>
          <w:lang w:val="en-US" w:eastAsia="zh-CN" w:bidi="ar-SA"/>
        </w:rPr>
        <w:t xml:space="preserve"> </w:t>
      </w:r>
      <w:bookmarkStart w:id="1670" w:name="_Toc2030231163"/>
      <w:bookmarkStart w:id="1671" w:name="_Toc8767"/>
      <w:bookmarkStart w:id="1672" w:name="_Toc6518"/>
      <w:bookmarkStart w:id="1673" w:name="_Toc29152"/>
      <w:bookmarkStart w:id="1674" w:name="_Toc193093660"/>
      <w:bookmarkStart w:id="1675" w:name="_Toc2077808964"/>
      <w:bookmarkStart w:id="1676" w:name="_Toc73539156"/>
      <w:r>
        <w:rPr>
          <w:rFonts w:hint="eastAsia" w:ascii="Times New Roman" w:hAnsi="Times New Roman" w:eastAsia="黑体" w:cs="Times New Roman"/>
          <w:b/>
          <w:color w:val="auto"/>
          <w:sz w:val="30"/>
          <w:highlight w:val="none"/>
          <w:lang w:val="en-US" w:eastAsia="en-US" w:bidi="ar-SA"/>
        </w:rPr>
        <w:t>验收资料要求</w:t>
      </w:r>
      <w:bookmarkEnd w:id="1670"/>
      <w:bookmarkEnd w:id="1671"/>
      <w:bookmarkEnd w:id="1672"/>
      <w:bookmarkEnd w:id="1673"/>
      <w:bookmarkEnd w:id="1674"/>
      <w:bookmarkEnd w:id="1675"/>
      <w:bookmarkEnd w:id="1676"/>
    </w:p>
    <w:p w14:paraId="39A6F470">
      <w:pPr>
        <w:widowControl/>
        <w:spacing w:line="360" w:lineRule="auto"/>
        <w:ind w:firstLine="480"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验收资料包括但不限于需求分析报告、软件系统设计说明、测试文档、培训方案等本项目实施过程中形成的重要文件，详见相关章节要求。</w:t>
      </w:r>
    </w:p>
    <w:p w14:paraId="161B7ABE">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r>
        <w:rPr>
          <w:rFonts w:hint="eastAsia" w:ascii="Times New Roman" w:hAnsi="Times New Roman" w:eastAsia="黑体" w:cs="Times New Roman"/>
          <w:b/>
          <w:color w:val="auto"/>
          <w:sz w:val="30"/>
          <w:highlight w:val="none"/>
          <w:lang w:val="en-US" w:eastAsia="zh-CN" w:bidi="ar-SA"/>
        </w:rPr>
        <w:t xml:space="preserve"> </w:t>
      </w:r>
      <w:bookmarkStart w:id="1677" w:name="_Toc193093661"/>
      <w:bookmarkStart w:id="1678" w:name="_Toc8441"/>
      <w:bookmarkStart w:id="1679" w:name="_Toc28376"/>
      <w:bookmarkStart w:id="1680" w:name="_Toc727489358"/>
      <w:bookmarkStart w:id="1681" w:name="_Toc15823"/>
      <w:bookmarkStart w:id="1682" w:name="_Toc1169497867"/>
      <w:bookmarkStart w:id="1683" w:name="_Toc1503674081"/>
      <w:r>
        <w:rPr>
          <w:rFonts w:hint="eastAsia" w:ascii="Times New Roman" w:hAnsi="Times New Roman" w:eastAsia="黑体" w:cs="Times New Roman"/>
          <w:b/>
          <w:color w:val="auto"/>
          <w:sz w:val="30"/>
          <w:highlight w:val="none"/>
          <w:lang w:val="en-US" w:eastAsia="en-US" w:bidi="ar-SA"/>
        </w:rPr>
        <w:t>验收要求</w:t>
      </w:r>
      <w:bookmarkEnd w:id="1677"/>
      <w:bookmarkEnd w:id="1678"/>
      <w:bookmarkEnd w:id="1679"/>
      <w:bookmarkEnd w:id="1680"/>
      <w:bookmarkEnd w:id="1681"/>
      <w:bookmarkEnd w:id="1682"/>
      <w:bookmarkEnd w:id="1683"/>
    </w:p>
    <w:p w14:paraId="44B71B0A">
      <w:pPr>
        <w:widowControl/>
        <w:numPr>
          <w:ilvl w:val="0"/>
          <w:numId w:val="31"/>
        </w:numPr>
        <w:spacing w:after="160" w:line="360" w:lineRule="auto"/>
        <w:ind w:firstLine="482" w:firstLineChars="0"/>
        <w:jc w:val="left"/>
        <w:rPr>
          <w:rFonts w:hint="eastAsia" w:ascii="仿宋" w:hAnsi="仿宋" w:eastAsia="宋体" w:cs="仿宋"/>
          <w:b/>
          <w:color w:val="auto"/>
          <w:kern w:val="0"/>
          <w:sz w:val="24"/>
          <w:szCs w:val="24"/>
          <w:highlight w:val="none"/>
          <w:lang w:eastAsia="en-US"/>
        </w:rPr>
      </w:pPr>
      <w:r>
        <w:rPr>
          <w:rFonts w:hint="eastAsia" w:ascii="仿宋" w:hAnsi="仿宋" w:eastAsia="宋体" w:cs="仿宋"/>
          <w:b/>
          <w:color w:val="auto"/>
          <w:kern w:val="0"/>
          <w:sz w:val="24"/>
          <w:szCs w:val="24"/>
          <w:highlight w:val="none"/>
          <w:lang w:eastAsia="zh-CN"/>
        </w:rPr>
        <w:t>分项验收</w:t>
      </w:r>
    </w:p>
    <w:p w14:paraId="48CE74FC">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相关模块功能上线运行90个日历天以上，相关功能符合项目要求，运行稳定。</w:t>
      </w:r>
    </w:p>
    <w:p w14:paraId="0D0CA2F7">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相关模块已通过功能、性能、安全测试。</w:t>
      </w:r>
    </w:p>
    <w:p w14:paraId="42E55F01">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项目已遵照培训计划完成相关培训。</w:t>
      </w:r>
    </w:p>
    <w:p w14:paraId="7F72C378">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相关报告已经经过招标人审核。</w:t>
      </w:r>
    </w:p>
    <w:p w14:paraId="345F4773">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所提交的文档资料齐全、正确。</w:t>
      </w:r>
    </w:p>
    <w:p w14:paraId="0B335AF4">
      <w:pPr>
        <w:widowControl/>
        <w:numPr>
          <w:ilvl w:val="0"/>
          <w:numId w:val="32"/>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所涉及的二次开发源代码已经提交。</w:t>
      </w:r>
    </w:p>
    <w:p w14:paraId="087EB5EC">
      <w:pPr>
        <w:widowControl/>
        <w:numPr>
          <w:ilvl w:val="0"/>
          <w:numId w:val="31"/>
        </w:numPr>
        <w:spacing w:after="160" w:line="360" w:lineRule="auto"/>
        <w:ind w:firstLine="482" w:firstLineChars="0"/>
        <w:jc w:val="left"/>
        <w:rPr>
          <w:rFonts w:hint="eastAsia" w:ascii="仿宋" w:hAnsi="仿宋" w:eastAsia="宋体" w:cs="仿宋"/>
          <w:b/>
          <w:color w:val="auto"/>
          <w:kern w:val="0"/>
          <w:sz w:val="24"/>
          <w:szCs w:val="24"/>
          <w:highlight w:val="none"/>
          <w:lang w:eastAsia="en-US"/>
        </w:rPr>
      </w:pPr>
      <w:r>
        <w:rPr>
          <w:rFonts w:hint="eastAsia" w:ascii="仿宋" w:hAnsi="仿宋" w:eastAsia="宋体" w:cs="仿宋"/>
          <w:b/>
          <w:color w:val="auto"/>
          <w:kern w:val="0"/>
          <w:sz w:val="24"/>
          <w:szCs w:val="24"/>
          <w:highlight w:val="none"/>
          <w:lang w:eastAsia="en-US"/>
        </w:rPr>
        <w:t>项目竣工验收</w:t>
      </w:r>
    </w:p>
    <w:p w14:paraId="50FF48AE">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bCs/>
          <w:color w:val="auto"/>
          <w:kern w:val="0"/>
          <w:sz w:val="24"/>
          <w:szCs w:val="24"/>
          <w:highlight w:val="none"/>
          <w:lang w:eastAsia="zh-CN"/>
        </w:rPr>
        <w:t>项目系统所有模块均完成分项验收且运行180个日历天后</w:t>
      </w:r>
      <w:r>
        <w:rPr>
          <w:rFonts w:hint="eastAsia" w:ascii="宋体" w:hAnsi="宋体" w:eastAsia="宋体" w:cs="宋体"/>
          <w:color w:val="auto"/>
          <w:kern w:val="0"/>
          <w:sz w:val="24"/>
          <w:highlight w:val="none"/>
          <w:lang w:eastAsia="zh-CN"/>
        </w:rPr>
        <w:t>，总体功能符合项目要求，运行稳定。</w:t>
      </w:r>
    </w:p>
    <w:p w14:paraId="2B753D73">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项目已遵照培训计划完成所有培训。</w:t>
      </w:r>
    </w:p>
    <w:p w14:paraId="3A3BDB34">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所提交的文档资料齐全、正确。</w:t>
      </w:r>
    </w:p>
    <w:p w14:paraId="74A14924">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相关报告已经经过招标人审核。</w:t>
      </w:r>
    </w:p>
    <w:p w14:paraId="0926CDC6">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整体上线试运行期间遗留问题已解决。</w:t>
      </w:r>
    </w:p>
    <w:p w14:paraId="6BF6FE79">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项目整体上线试运行符合要求。</w:t>
      </w:r>
    </w:p>
    <w:p w14:paraId="1AD87D11">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详细的试运行记录符合要求。</w:t>
      </w:r>
    </w:p>
    <w:p w14:paraId="1DAB6849">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en-US"/>
        </w:rPr>
        <w:t>完成运维移交。</w:t>
      </w:r>
    </w:p>
    <w:p w14:paraId="43024328">
      <w:pPr>
        <w:widowControl/>
        <w:numPr>
          <w:ilvl w:val="0"/>
          <w:numId w:val="33"/>
        </w:numPr>
        <w:spacing w:line="360" w:lineRule="auto"/>
        <w:ind w:left="905" w:firstLine="200" w:firstLineChars="0"/>
        <w:rPr>
          <w:rFonts w:hint="eastAsia" w:ascii="宋体" w:hAnsi="宋体" w:eastAsia="宋体" w:cs="宋体"/>
          <w:color w:val="auto"/>
          <w:kern w:val="0"/>
          <w:sz w:val="24"/>
          <w:highlight w:val="none"/>
          <w:lang w:eastAsia="en-US"/>
        </w:rPr>
      </w:pPr>
      <w:r>
        <w:rPr>
          <w:rFonts w:hint="eastAsia" w:ascii="宋体" w:hAnsi="宋体" w:eastAsia="宋体" w:cs="宋体"/>
          <w:color w:val="auto"/>
          <w:kern w:val="0"/>
          <w:sz w:val="24"/>
          <w:highlight w:val="none"/>
          <w:lang w:eastAsia="en-US"/>
        </w:rPr>
        <w:t>系统功能</w:t>
      </w:r>
      <w:r>
        <w:rPr>
          <w:rFonts w:hint="eastAsia" w:ascii="宋体" w:hAnsi="宋体" w:eastAsia="宋体" w:cs="宋体"/>
          <w:color w:val="auto"/>
          <w:kern w:val="0"/>
          <w:sz w:val="24"/>
          <w:highlight w:val="none"/>
          <w:lang w:eastAsia="zh-CN"/>
        </w:rPr>
        <w:t>达到招标要求</w:t>
      </w:r>
      <w:r>
        <w:rPr>
          <w:rFonts w:hint="eastAsia" w:ascii="宋体" w:hAnsi="宋体" w:eastAsia="宋体" w:cs="宋体"/>
          <w:color w:val="auto"/>
          <w:kern w:val="0"/>
          <w:sz w:val="24"/>
          <w:highlight w:val="none"/>
          <w:lang w:eastAsia="en-US"/>
        </w:rPr>
        <w:t>。</w:t>
      </w:r>
    </w:p>
    <w:p w14:paraId="4FE293F4">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en-US" w:bidi="ar-SA"/>
        </w:rPr>
      </w:pPr>
      <w:r>
        <w:rPr>
          <w:rFonts w:hint="eastAsia" w:ascii="Times New Roman" w:hAnsi="Times New Roman" w:eastAsia="黑体" w:cs="Times New Roman"/>
          <w:b/>
          <w:color w:val="auto"/>
          <w:sz w:val="30"/>
          <w:highlight w:val="none"/>
          <w:lang w:val="en-US" w:eastAsia="zh-CN" w:bidi="ar-SA"/>
        </w:rPr>
        <w:t xml:space="preserve"> </w:t>
      </w:r>
      <w:bookmarkStart w:id="1684" w:name="_Toc193093662"/>
      <w:bookmarkStart w:id="1685" w:name="_Toc662721471"/>
      <w:bookmarkStart w:id="1686" w:name="_Toc1289237535"/>
      <w:bookmarkStart w:id="1687" w:name="_Toc6534"/>
      <w:bookmarkStart w:id="1688" w:name="_Toc1980313325"/>
      <w:bookmarkStart w:id="1689" w:name="_Toc22696"/>
      <w:bookmarkStart w:id="1690" w:name="_Toc30856"/>
      <w:r>
        <w:rPr>
          <w:rFonts w:hint="eastAsia" w:ascii="Times New Roman" w:hAnsi="Times New Roman" w:eastAsia="黑体" w:cs="Times New Roman"/>
          <w:b/>
          <w:color w:val="auto"/>
          <w:sz w:val="30"/>
          <w:highlight w:val="none"/>
          <w:lang w:val="en-US" w:eastAsia="en-US" w:bidi="ar-SA"/>
        </w:rPr>
        <w:t>验收的补充说明</w:t>
      </w:r>
      <w:bookmarkEnd w:id="1684"/>
      <w:bookmarkEnd w:id="1685"/>
      <w:bookmarkEnd w:id="1686"/>
      <w:bookmarkEnd w:id="1687"/>
      <w:bookmarkEnd w:id="1688"/>
      <w:bookmarkEnd w:id="1689"/>
      <w:bookmarkEnd w:id="1690"/>
    </w:p>
    <w:p w14:paraId="5D7B8E5B">
      <w:pPr>
        <w:widowControl/>
        <w:spacing w:line="360" w:lineRule="auto"/>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项目采用分项验收、项目竣工验收。</w:t>
      </w:r>
    </w:p>
    <w:p w14:paraId="5EC40205">
      <w:pPr>
        <w:widowControl/>
        <w:spacing w:line="360" w:lineRule="auto"/>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分项验收以</w:t>
      </w:r>
      <w:r>
        <w:rPr>
          <w:rFonts w:hint="eastAsia" w:ascii="仿宋" w:hAnsi="仿宋" w:eastAsia="宋体" w:cs="仿宋"/>
          <w:color w:val="auto"/>
          <w:kern w:val="0"/>
          <w:sz w:val="24"/>
          <w:szCs w:val="24"/>
          <w:highlight w:val="none"/>
          <w:lang w:val="en-US" w:eastAsia="zh-CN"/>
        </w:rPr>
        <w:t>软件</w:t>
      </w:r>
      <w:r>
        <w:rPr>
          <w:rFonts w:hint="eastAsia" w:ascii="仿宋" w:hAnsi="仿宋" w:eastAsia="宋体" w:cs="仿宋"/>
          <w:color w:val="auto"/>
          <w:kern w:val="0"/>
          <w:sz w:val="24"/>
          <w:szCs w:val="24"/>
          <w:highlight w:val="none"/>
          <w:lang w:eastAsia="zh-CN"/>
        </w:rPr>
        <w:t>清单的“一级功能模块”作为划分依据。</w:t>
      </w:r>
    </w:p>
    <w:p w14:paraId="6FD56635">
      <w:pPr>
        <w:widowControl/>
        <w:spacing w:line="360" w:lineRule="auto"/>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针对于分项验收、项目竣工验收评审中的整改意见，中标人应在双方商定的时间内排除故障或处理问题，如超过整改时限，则视为中标人违约，除非此超时是由于招标人造成的，中标人须按照本合同违约条款承担相应责任。</w:t>
      </w:r>
    </w:p>
    <w:p w14:paraId="10A741A4">
      <w:pPr>
        <w:widowControl/>
        <w:spacing w:line="360" w:lineRule="auto"/>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仿宋"/>
          <w:color w:val="auto"/>
          <w:kern w:val="0"/>
          <w:sz w:val="24"/>
          <w:szCs w:val="24"/>
          <w:highlight w:val="none"/>
          <w:lang w:eastAsia="zh-CN"/>
        </w:rPr>
        <w:t>中标人提出验收申请后，招标人会在中标人提出验收申请后以书面或邮件的方式告知中标人验收的后续安排。</w:t>
      </w:r>
    </w:p>
    <w:p w14:paraId="3EC2717D">
      <w:pPr>
        <w:widowControl/>
        <w:spacing w:line="360" w:lineRule="auto"/>
        <w:ind w:firstLine="480" w:firstLineChars="200"/>
        <w:rPr>
          <w:rFonts w:hint="eastAsia" w:ascii="仿宋" w:hAnsi="仿宋" w:eastAsia="宋体" w:cs="仿宋"/>
          <w:color w:val="auto"/>
          <w:kern w:val="0"/>
          <w:sz w:val="24"/>
          <w:szCs w:val="24"/>
          <w:highlight w:val="none"/>
          <w:lang w:eastAsia="zh-CN"/>
        </w:rPr>
      </w:pPr>
      <w:r>
        <w:rPr>
          <w:rFonts w:hint="eastAsia" w:ascii="仿宋" w:hAnsi="仿宋" w:eastAsia="宋体" w:cs="Arial"/>
          <w:color w:val="auto"/>
          <w:kern w:val="0"/>
          <w:sz w:val="24"/>
          <w:highlight w:val="none"/>
          <w:lang w:eastAsia="zh-CN"/>
        </w:rPr>
        <w:t>项目建设过程中，</w:t>
      </w:r>
      <w:r>
        <w:rPr>
          <w:rFonts w:hint="eastAsia" w:ascii="仿宋" w:hAnsi="仿宋" w:eastAsia="宋体" w:cs="仿宋"/>
          <w:color w:val="auto"/>
          <w:kern w:val="0"/>
          <w:sz w:val="24"/>
          <w:szCs w:val="24"/>
          <w:highlight w:val="none"/>
          <w:lang w:eastAsia="zh-CN"/>
        </w:rPr>
        <w:t>中标人需按照招标人所提出的信息安全缺陷进行整改，以达到等保测评的要求，中标人未采取有效措施进行整改，招标人有权不予以验收。</w:t>
      </w:r>
    </w:p>
    <w:p w14:paraId="5153F91B">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Arial" w:hAnsi="Arial" w:eastAsia="黑体" w:cs="Times New Roman"/>
          <w:b/>
          <w:color w:val="auto"/>
          <w:sz w:val="30"/>
          <w:highlight w:val="none"/>
          <w:lang w:val="en-US" w:eastAsia="zh-CN" w:bidi="ar-SA"/>
        </w:rPr>
      </w:pPr>
      <w:r>
        <w:rPr>
          <w:rFonts w:hint="eastAsia" w:ascii="Arial" w:hAnsi="Arial" w:eastAsia="黑体" w:cs="Times New Roman"/>
          <w:b/>
          <w:color w:val="auto"/>
          <w:sz w:val="30"/>
          <w:highlight w:val="none"/>
          <w:lang w:val="en-US" w:eastAsia="zh-CN" w:bidi="ar-SA"/>
        </w:rPr>
        <w:t xml:space="preserve"> </w:t>
      </w:r>
      <w:bookmarkStart w:id="1691" w:name="_Toc105252515"/>
      <w:bookmarkStart w:id="1692" w:name="_Toc13119"/>
      <w:bookmarkStart w:id="1693" w:name="_Toc1424492069"/>
      <w:bookmarkStart w:id="1694" w:name="_Toc1509569755"/>
      <w:bookmarkStart w:id="1695" w:name="_Toc193093663"/>
      <w:bookmarkStart w:id="1696" w:name="_Toc16604"/>
      <w:bookmarkStart w:id="1697" w:name="_Toc32707"/>
      <w:r>
        <w:rPr>
          <w:rFonts w:hint="eastAsia" w:ascii="Arial" w:hAnsi="Arial" w:eastAsia="黑体" w:cs="Times New Roman"/>
          <w:b/>
          <w:color w:val="auto"/>
          <w:sz w:val="30"/>
          <w:highlight w:val="none"/>
          <w:lang w:val="en-US" w:eastAsia="zh-CN" w:bidi="ar-SA"/>
        </w:rPr>
        <w:t>验收表格</w:t>
      </w:r>
      <w:bookmarkEnd w:id="1691"/>
      <w:bookmarkEnd w:id="1692"/>
      <w:bookmarkEnd w:id="1693"/>
      <w:bookmarkEnd w:id="1694"/>
      <w:bookmarkEnd w:id="1695"/>
      <w:bookmarkEnd w:id="1696"/>
      <w:bookmarkEnd w:id="1697"/>
    </w:p>
    <w:tbl>
      <w:tblPr>
        <w:tblStyle w:val="20"/>
        <w:tblpPr w:leftFromText="180" w:rightFromText="180" w:vertAnchor="page" w:horzAnchor="page" w:tblpX="1604" w:tblpY="8734"/>
        <w:tblOverlap w:val="never"/>
        <w:tblW w:w="0" w:type="auto"/>
        <w:tblInd w:w="0" w:type="dxa"/>
        <w:tblLayout w:type="fixed"/>
        <w:tblCellMar>
          <w:top w:w="0" w:type="dxa"/>
          <w:left w:w="0" w:type="dxa"/>
          <w:bottom w:w="0" w:type="dxa"/>
          <w:right w:w="0" w:type="dxa"/>
        </w:tblCellMar>
      </w:tblPr>
      <w:tblGrid>
        <w:gridCol w:w="1022"/>
        <w:gridCol w:w="5794"/>
        <w:gridCol w:w="1294"/>
      </w:tblGrid>
      <w:tr w14:paraId="68A6FA87">
        <w:tblPrEx>
          <w:tblCellMar>
            <w:top w:w="0" w:type="dxa"/>
            <w:left w:w="0" w:type="dxa"/>
            <w:bottom w:w="0" w:type="dxa"/>
            <w:right w:w="0" w:type="dxa"/>
          </w:tblCellMar>
        </w:tblPrEx>
        <w:trPr>
          <w:trHeight w:val="490" w:hRule="atLeast"/>
        </w:trPr>
        <w:tc>
          <w:tcPr>
            <w:tcW w:w="8110" w:type="dxa"/>
            <w:gridSpan w:val="3"/>
            <w:tcBorders>
              <w:top w:val="nil"/>
              <w:left w:val="nil"/>
              <w:bottom w:val="nil"/>
              <w:right w:val="nil"/>
            </w:tcBorders>
            <w:noWrap w:val="0"/>
            <w:tcMar>
              <w:top w:w="12" w:type="dxa"/>
              <w:left w:w="12" w:type="dxa"/>
              <w:right w:w="12" w:type="dxa"/>
            </w:tcMar>
            <w:vAlign w:val="center"/>
          </w:tcPr>
          <w:p w14:paraId="51F11BD2">
            <w:pPr>
              <w:widowControl/>
              <w:spacing w:line="360" w:lineRule="auto"/>
              <w:ind w:firstLine="800" w:firstLineChars="200"/>
              <w:jc w:val="center"/>
              <w:textAlignment w:val="center"/>
              <w:rPr>
                <w:rFonts w:hint="eastAsia" w:ascii="仿宋_GB2312" w:hAnsi="仿宋_GB2312" w:eastAsia="仿宋_GB2312" w:cs="仿宋_GB2312"/>
                <w:color w:val="auto"/>
                <w:kern w:val="0"/>
                <w:sz w:val="40"/>
                <w:szCs w:val="40"/>
                <w:highlight w:val="none"/>
                <w:lang w:eastAsia="zh-CN"/>
              </w:rPr>
            </w:pPr>
            <w:r>
              <w:rPr>
                <w:rFonts w:hint="eastAsia" w:ascii="仿宋_GB2312" w:hAnsi="仿宋_GB2312" w:eastAsia="仿宋_GB2312" w:cs="仿宋_GB2312"/>
                <w:color w:val="auto"/>
                <w:kern w:val="0"/>
                <w:sz w:val="40"/>
                <w:szCs w:val="40"/>
                <w:highlight w:val="none"/>
                <w:lang w:eastAsia="zh-CN" w:bidi="ar"/>
              </w:rPr>
              <w:t>分项验收表格（功能模块）</w:t>
            </w:r>
          </w:p>
        </w:tc>
      </w:tr>
      <w:tr w14:paraId="470FC004">
        <w:tblPrEx>
          <w:tblCellMar>
            <w:top w:w="0" w:type="dxa"/>
            <w:left w:w="0" w:type="dxa"/>
            <w:bottom w:w="0" w:type="dxa"/>
            <w:right w:w="0" w:type="dxa"/>
          </w:tblCellMar>
        </w:tblPrEx>
        <w:trPr>
          <w:trHeight w:val="436" w:hRule="atLeast"/>
        </w:trPr>
        <w:tc>
          <w:tcPr>
            <w:tcW w:w="1022" w:type="dxa"/>
            <w:tcBorders>
              <w:top w:val="nil"/>
              <w:left w:val="nil"/>
              <w:bottom w:val="nil"/>
              <w:right w:val="nil"/>
            </w:tcBorders>
            <w:noWrap w:val="0"/>
            <w:tcMar>
              <w:top w:w="12" w:type="dxa"/>
              <w:left w:w="12" w:type="dxa"/>
              <w:right w:w="12" w:type="dxa"/>
            </w:tcMar>
            <w:vAlign w:val="center"/>
          </w:tcPr>
          <w:p w14:paraId="0DCE5322">
            <w:pPr>
              <w:widowControl/>
              <w:spacing w:line="360" w:lineRule="auto"/>
              <w:ind w:firstLine="0" w:firstLineChars="0"/>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rPr>
              <w:t>模块名称：</w:t>
            </w:r>
          </w:p>
        </w:tc>
        <w:tc>
          <w:tcPr>
            <w:tcW w:w="5794" w:type="dxa"/>
            <w:tcBorders>
              <w:top w:val="nil"/>
              <w:left w:val="nil"/>
              <w:bottom w:val="nil"/>
              <w:right w:val="nil"/>
            </w:tcBorders>
            <w:noWrap w:val="0"/>
            <w:tcMar>
              <w:top w:w="12" w:type="dxa"/>
              <w:left w:w="12" w:type="dxa"/>
              <w:right w:w="12" w:type="dxa"/>
            </w:tcMar>
            <w:vAlign w:val="center"/>
          </w:tcPr>
          <w:p w14:paraId="1A9B9803">
            <w:pPr>
              <w:widowControl/>
              <w:spacing w:line="360" w:lineRule="auto"/>
              <w:ind w:firstLine="440" w:firstLineChars="200"/>
              <w:jc w:val="left"/>
              <w:rPr>
                <w:rFonts w:hint="eastAsia" w:ascii="仿宋_GB2312" w:hAnsi="仿宋_GB2312" w:eastAsia="仿宋_GB2312" w:cs="仿宋_GB2312"/>
                <w:color w:val="auto"/>
                <w:kern w:val="0"/>
                <w:sz w:val="22"/>
                <w:szCs w:val="22"/>
                <w:highlight w:val="none"/>
                <w:lang w:eastAsia="en-US"/>
              </w:rPr>
            </w:pPr>
          </w:p>
        </w:tc>
        <w:tc>
          <w:tcPr>
            <w:tcW w:w="1294" w:type="dxa"/>
            <w:tcBorders>
              <w:top w:val="nil"/>
              <w:left w:val="nil"/>
              <w:bottom w:val="nil"/>
              <w:right w:val="nil"/>
            </w:tcBorders>
            <w:noWrap w:val="0"/>
            <w:tcMar>
              <w:top w:w="12" w:type="dxa"/>
              <w:left w:w="12" w:type="dxa"/>
              <w:right w:w="12" w:type="dxa"/>
            </w:tcMar>
            <w:vAlign w:val="center"/>
          </w:tcPr>
          <w:p w14:paraId="7B1F1552">
            <w:pPr>
              <w:widowControl/>
              <w:spacing w:line="360" w:lineRule="auto"/>
              <w:ind w:firstLine="440" w:firstLineChars="200"/>
              <w:rPr>
                <w:rFonts w:hint="eastAsia" w:ascii="仿宋_GB2312" w:hAnsi="仿宋_GB2312" w:eastAsia="仿宋_GB2312" w:cs="仿宋_GB2312"/>
                <w:color w:val="auto"/>
                <w:kern w:val="0"/>
                <w:sz w:val="22"/>
                <w:szCs w:val="22"/>
                <w:highlight w:val="none"/>
                <w:lang w:eastAsia="en-US"/>
              </w:rPr>
            </w:pPr>
          </w:p>
        </w:tc>
      </w:tr>
      <w:tr w14:paraId="1B10836C">
        <w:tblPrEx>
          <w:tblCellMar>
            <w:top w:w="0" w:type="dxa"/>
            <w:left w:w="0" w:type="dxa"/>
            <w:bottom w:w="0" w:type="dxa"/>
            <w:right w:w="0" w:type="dxa"/>
          </w:tblCellMar>
        </w:tblPrEx>
        <w:trPr>
          <w:trHeight w:val="457"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C99BD8">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序号</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0CA4CC">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验收要求</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C40738">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验收结果</w:t>
            </w:r>
          </w:p>
        </w:tc>
      </w:tr>
      <w:tr w14:paraId="292549D4">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2690A6">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en-US"/>
              </w:rPr>
            </w:pPr>
            <w:r>
              <w:rPr>
                <w:rFonts w:hint="eastAsia" w:ascii="仿宋_GB2312" w:hAnsi="仿宋_GB2312" w:eastAsia="仿宋_GB2312" w:cs="仿宋_GB2312"/>
                <w:color w:val="auto"/>
                <w:kern w:val="0"/>
                <w:sz w:val="24"/>
                <w:szCs w:val="24"/>
                <w:highlight w:val="none"/>
                <w:lang w:eastAsia="zh-CN" w:bidi="ar"/>
              </w:rPr>
              <w:t>1</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2C9F04">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bidi="ar"/>
              </w:rPr>
              <w:t>功能模块已经完成需求调研</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9F99C8">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48377F70">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92FD0AA">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2</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561869">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功能模块按照约定进度计划实施</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86203F">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620EA19C">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E5AF52">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3</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7D5BD7">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相关模块功能全部按照《需求分析报告》的要求实施</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03338F">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07085319">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0285DC">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4</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9D0636">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功能模块内的相关功能与业主的需求一致</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801554">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4E7EEBFB">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8214F5">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5</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F723B9">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已经通过各项测试</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0EF288">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en-US"/>
              </w:rPr>
            </w:pPr>
          </w:p>
        </w:tc>
      </w:tr>
      <w:tr w14:paraId="4E381C7A">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6B54A1">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6</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78B4D0">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相关功能模块上线试运行期间，系统运行平稳没有出现系统崩溃、数据丢失、数据毁坏故障</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761E77">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1D6B833E">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561203">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7</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94C989C">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非维护期间，功能达到项目要求</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372CF2">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4C0FF1FA">
        <w:tblPrEx>
          <w:tblCellMar>
            <w:top w:w="0" w:type="dxa"/>
            <w:left w:w="0" w:type="dxa"/>
            <w:bottom w:w="0" w:type="dxa"/>
            <w:right w:w="0" w:type="dxa"/>
          </w:tblCellMar>
        </w:tblPrEx>
        <w:trPr>
          <w:trHeight w:val="90"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321EA3">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8</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04BC6A">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相关技术资料齐全、完整，并已经转交业主</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543F86">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1E017164">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9A96C2">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9</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FF0608">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所涉及的二次开发源代码已经提交</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A1DFA3B">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6A36BB03">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E3731E">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10</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791B07">
            <w:pPr>
              <w:widowControl/>
              <w:spacing w:line="360" w:lineRule="auto"/>
              <w:ind w:firstLine="0" w:firstLineChars="0"/>
              <w:jc w:val="left"/>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项目已遵照培训计划完成相关培训</w:t>
            </w: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0C157C">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rPr>
            </w:pPr>
          </w:p>
        </w:tc>
      </w:tr>
      <w:tr w14:paraId="2A7E8B7D">
        <w:tblPrEx>
          <w:tblCellMar>
            <w:top w:w="0" w:type="dxa"/>
            <w:left w:w="0" w:type="dxa"/>
            <w:bottom w:w="0" w:type="dxa"/>
            <w:right w:w="0" w:type="dxa"/>
          </w:tblCellMar>
        </w:tblPrEx>
        <w:trPr>
          <w:trHeight w:val="23" w:hRule="atLeast"/>
        </w:trPr>
        <w:tc>
          <w:tcPr>
            <w:tcW w:w="10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C1D41A">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w:t>
            </w:r>
          </w:p>
        </w:tc>
        <w:tc>
          <w:tcPr>
            <w:tcW w:w="57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5E7196">
            <w:pPr>
              <w:widowControl/>
              <w:spacing w:line="360" w:lineRule="auto"/>
              <w:ind w:firstLine="480" w:firstLineChars="200"/>
              <w:jc w:val="left"/>
              <w:textAlignment w:val="center"/>
              <w:rPr>
                <w:rFonts w:hint="eastAsia" w:ascii="仿宋_GB2312" w:hAnsi="仿宋_GB2312" w:eastAsia="仿宋_GB2312" w:cs="仿宋_GB2312"/>
                <w:color w:val="auto"/>
                <w:kern w:val="0"/>
                <w:sz w:val="24"/>
                <w:szCs w:val="24"/>
                <w:highlight w:val="none"/>
                <w:lang w:eastAsia="zh-CN" w:bidi="ar"/>
              </w:rPr>
            </w:pPr>
          </w:p>
        </w:tc>
        <w:tc>
          <w:tcPr>
            <w:tcW w:w="129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C9B9CA">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en-US"/>
              </w:rPr>
            </w:pPr>
          </w:p>
        </w:tc>
      </w:tr>
      <w:tr w14:paraId="28079191">
        <w:tblPrEx>
          <w:tblCellMar>
            <w:top w:w="0" w:type="dxa"/>
            <w:left w:w="0" w:type="dxa"/>
            <w:bottom w:w="0" w:type="dxa"/>
            <w:right w:w="0" w:type="dxa"/>
          </w:tblCellMar>
        </w:tblPrEx>
        <w:trPr>
          <w:trHeight w:val="478" w:hRule="atLeast"/>
        </w:trPr>
        <w:tc>
          <w:tcPr>
            <w:tcW w:w="8110" w:type="dxa"/>
            <w:gridSpan w:val="3"/>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17355BC2">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en-US"/>
              </w:rPr>
            </w:pPr>
            <w:r>
              <w:rPr>
                <w:rFonts w:hint="eastAsia" w:ascii="仿宋_GB2312" w:hAnsi="仿宋_GB2312" w:eastAsia="仿宋_GB2312" w:cs="仿宋_GB2312"/>
                <w:color w:val="auto"/>
                <w:kern w:val="0"/>
                <w:sz w:val="24"/>
                <w:szCs w:val="24"/>
                <w:highlight w:val="none"/>
                <w:lang w:eastAsia="zh-CN" w:bidi="ar"/>
              </w:rPr>
              <w:t>验收结论</w:t>
            </w:r>
          </w:p>
        </w:tc>
      </w:tr>
      <w:tr w14:paraId="57CDB286">
        <w:tblPrEx>
          <w:tblCellMar>
            <w:top w:w="0" w:type="dxa"/>
            <w:left w:w="0" w:type="dxa"/>
            <w:bottom w:w="0" w:type="dxa"/>
            <w:right w:w="0" w:type="dxa"/>
          </w:tblCellMar>
        </w:tblPrEx>
        <w:trPr>
          <w:trHeight w:val="174" w:hRule="atLeast"/>
        </w:trPr>
        <w:tc>
          <w:tcPr>
            <w:tcW w:w="8110" w:type="dxa"/>
            <w:gridSpan w:val="3"/>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B973957">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196F1EF5">
        <w:tblPrEx>
          <w:tblCellMar>
            <w:top w:w="0" w:type="dxa"/>
            <w:left w:w="0" w:type="dxa"/>
            <w:bottom w:w="0" w:type="dxa"/>
            <w:right w:w="0" w:type="dxa"/>
          </w:tblCellMar>
        </w:tblPrEx>
        <w:trPr>
          <w:trHeight w:val="478" w:hRule="atLeast"/>
        </w:trPr>
        <w:tc>
          <w:tcPr>
            <w:tcW w:w="8110" w:type="dxa"/>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69BE2D6">
            <w:pPr>
              <w:widowControl/>
              <w:spacing w:line="360" w:lineRule="auto"/>
              <w:ind w:firstLine="480" w:firstLineChars="200"/>
              <w:jc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24"/>
                <w:szCs w:val="24"/>
                <w:highlight w:val="none"/>
                <w:lang w:eastAsia="zh-CN" w:bidi="ar"/>
              </w:rPr>
              <w:t>参与验收人员</w:t>
            </w:r>
          </w:p>
        </w:tc>
      </w:tr>
      <w:tr w14:paraId="0E8F8E82">
        <w:tblPrEx>
          <w:tblCellMar>
            <w:top w:w="0" w:type="dxa"/>
            <w:left w:w="0" w:type="dxa"/>
            <w:bottom w:w="0" w:type="dxa"/>
            <w:right w:w="0" w:type="dxa"/>
          </w:tblCellMar>
        </w:tblPrEx>
        <w:trPr>
          <w:trHeight w:val="468" w:hRule="atLeast"/>
        </w:trPr>
        <w:tc>
          <w:tcPr>
            <w:tcW w:w="1022"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D6BEE3F">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业主单位</w:t>
            </w:r>
          </w:p>
        </w:tc>
        <w:tc>
          <w:tcPr>
            <w:tcW w:w="7088"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263D467">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6C82CBBD">
        <w:tblPrEx>
          <w:tblCellMar>
            <w:top w:w="0" w:type="dxa"/>
            <w:left w:w="0" w:type="dxa"/>
            <w:bottom w:w="0" w:type="dxa"/>
            <w:right w:w="0" w:type="dxa"/>
          </w:tblCellMar>
        </w:tblPrEx>
        <w:trPr>
          <w:trHeight w:val="653" w:hRule="atLeast"/>
        </w:trPr>
        <w:tc>
          <w:tcPr>
            <w:tcW w:w="1022"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3B7981B">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实施单位</w:t>
            </w:r>
          </w:p>
        </w:tc>
        <w:tc>
          <w:tcPr>
            <w:tcW w:w="7088"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F60FF1B">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2EDC70A1">
        <w:tblPrEx>
          <w:tblCellMar>
            <w:top w:w="0" w:type="dxa"/>
            <w:left w:w="0" w:type="dxa"/>
            <w:bottom w:w="0" w:type="dxa"/>
            <w:right w:w="0" w:type="dxa"/>
          </w:tblCellMar>
        </w:tblPrEx>
        <w:trPr>
          <w:trHeight w:val="653" w:hRule="atLeast"/>
        </w:trPr>
        <w:tc>
          <w:tcPr>
            <w:tcW w:w="1022"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78E7A08">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w:t>
            </w:r>
          </w:p>
        </w:tc>
        <w:tc>
          <w:tcPr>
            <w:tcW w:w="7088"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7B70994">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41243816">
        <w:tblPrEx>
          <w:tblCellMar>
            <w:top w:w="0" w:type="dxa"/>
            <w:left w:w="0" w:type="dxa"/>
            <w:bottom w:w="0" w:type="dxa"/>
            <w:right w:w="0" w:type="dxa"/>
          </w:tblCellMar>
        </w:tblPrEx>
        <w:trPr>
          <w:trHeight w:val="327" w:hRule="atLeast"/>
        </w:trPr>
        <w:tc>
          <w:tcPr>
            <w:tcW w:w="8110" w:type="dxa"/>
            <w:gridSpan w:val="3"/>
            <w:tcBorders>
              <w:top w:val="single" w:color="auto" w:sz="4" w:space="0"/>
              <w:left w:val="nil"/>
              <w:bottom w:val="nil"/>
              <w:right w:val="nil"/>
            </w:tcBorders>
            <w:noWrap w:val="0"/>
            <w:tcMar>
              <w:top w:w="12" w:type="dxa"/>
              <w:left w:w="12" w:type="dxa"/>
              <w:right w:w="12" w:type="dxa"/>
            </w:tcMar>
            <w:vAlign w:val="center"/>
          </w:tcPr>
          <w:p w14:paraId="67F5C306">
            <w:pPr>
              <w:widowControl/>
              <w:spacing w:line="360" w:lineRule="auto"/>
              <w:ind w:firstLine="440" w:firstLineChars="200"/>
              <w:jc w:val="left"/>
              <w:textAlignment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bidi="ar"/>
              </w:rPr>
              <w:t>注：验收资料依据技术文件中“验收资料要求”执行，验收要求依据技术文件中的“验收要求”执行</w:t>
            </w:r>
          </w:p>
        </w:tc>
      </w:tr>
    </w:tbl>
    <w:p w14:paraId="6A08030B">
      <w:pPr>
        <w:widowControl/>
        <w:spacing w:line="360" w:lineRule="auto"/>
        <w:ind w:firstLine="0" w:firstLineChars="0"/>
        <w:rPr>
          <w:rFonts w:ascii="Times New Roman" w:hAnsi="Times New Roman" w:eastAsia="宋体" w:cs="Times New Roman"/>
          <w:color w:val="auto"/>
          <w:kern w:val="0"/>
          <w:sz w:val="24"/>
          <w:highlight w:val="none"/>
          <w:lang w:eastAsia="zh-CN"/>
        </w:rPr>
      </w:pPr>
    </w:p>
    <w:tbl>
      <w:tblPr>
        <w:tblStyle w:val="20"/>
        <w:tblW w:w="0" w:type="auto"/>
        <w:tblInd w:w="-194" w:type="dxa"/>
        <w:tblLayout w:type="fixed"/>
        <w:tblCellMar>
          <w:top w:w="0" w:type="dxa"/>
          <w:left w:w="0" w:type="dxa"/>
          <w:bottom w:w="0" w:type="dxa"/>
          <w:right w:w="0" w:type="dxa"/>
        </w:tblCellMar>
      </w:tblPr>
      <w:tblGrid>
        <w:gridCol w:w="1018"/>
        <w:gridCol w:w="5775"/>
        <w:gridCol w:w="1318"/>
      </w:tblGrid>
      <w:tr w14:paraId="54A54BC5">
        <w:tblPrEx>
          <w:tblCellMar>
            <w:top w:w="0" w:type="dxa"/>
            <w:left w:w="0" w:type="dxa"/>
            <w:bottom w:w="0" w:type="dxa"/>
            <w:right w:w="0" w:type="dxa"/>
          </w:tblCellMar>
        </w:tblPrEx>
        <w:trPr>
          <w:trHeight w:val="369" w:hRule="atLeast"/>
        </w:trPr>
        <w:tc>
          <w:tcPr>
            <w:tcW w:w="8111" w:type="dxa"/>
            <w:gridSpan w:val="3"/>
            <w:tcBorders>
              <w:top w:val="nil"/>
              <w:left w:val="nil"/>
              <w:bottom w:val="nil"/>
              <w:right w:val="nil"/>
            </w:tcBorders>
            <w:noWrap w:val="0"/>
            <w:tcMar>
              <w:top w:w="12" w:type="dxa"/>
              <w:left w:w="12" w:type="dxa"/>
              <w:right w:w="12" w:type="dxa"/>
            </w:tcMar>
            <w:vAlign w:val="center"/>
          </w:tcPr>
          <w:p w14:paraId="4BD8427C">
            <w:pPr>
              <w:widowControl/>
              <w:spacing w:line="360" w:lineRule="auto"/>
              <w:ind w:firstLine="0" w:firstLineChars="0"/>
              <w:jc w:val="center"/>
              <w:textAlignment w:val="center"/>
              <w:rPr>
                <w:rFonts w:hint="eastAsia" w:ascii="仿宋_GB2312" w:hAnsi="仿宋_GB2312" w:eastAsia="仿宋_GB2312" w:cs="仿宋_GB2312"/>
                <w:color w:val="auto"/>
                <w:kern w:val="0"/>
                <w:sz w:val="40"/>
                <w:szCs w:val="40"/>
                <w:highlight w:val="none"/>
                <w:lang w:eastAsia="en-US"/>
              </w:rPr>
            </w:pPr>
            <w:r>
              <w:rPr>
                <w:rFonts w:hint="eastAsia" w:ascii="仿宋" w:hAnsi="仿宋" w:eastAsia="仿宋" w:cs="仿宋"/>
                <w:color w:val="auto"/>
                <w:kern w:val="0"/>
                <w:sz w:val="40"/>
                <w:szCs w:val="40"/>
                <w:highlight w:val="none"/>
                <w:lang w:eastAsia="zh-CN" w:bidi="ar"/>
              </w:rPr>
              <w:t>竣工验收表格</w:t>
            </w:r>
          </w:p>
        </w:tc>
      </w:tr>
      <w:tr w14:paraId="78E06405">
        <w:tblPrEx>
          <w:tblCellMar>
            <w:top w:w="0" w:type="dxa"/>
            <w:left w:w="0" w:type="dxa"/>
            <w:bottom w:w="0" w:type="dxa"/>
            <w:right w:w="0" w:type="dxa"/>
          </w:tblCellMar>
        </w:tblPrEx>
        <w:trPr>
          <w:trHeight w:val="568"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232DBA">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序号</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3444C7">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验收要求</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CAFFE6">
            <w:pPr>
              <w:widowControl/>
              <w:spacing w:line="360" w:lineRule="auto"/>
              <w:ind w:firstLine="0" w:firstLineChars="0"/>
              <w:jc w:val="center"/>
              <w:textAlignment w:val="center"/>
              <w:rPr>
                <w:rFonts w:hint="eastAsia" w:ascii="仿宋_GB2312" w:hAnsi="仿宋_GB2312" w:eastAsia="仿宋_GB2312" w:cs="仿宋_GB2312"/>
                <w:b/>
                <w:color w:val="auto"/>
                <w:kern w:val="0"/>
                <w:sz w:val="24"/>
                <w:szCs w:val="24"/>
                <w:highlight w:val="none"/>
                <w:lang w:eastAsia="zh-CN" w:bidi="ar"/>
              </w:rPr>
            </w:pPr>
            <w:r>
              <w:rPr>
                <w:rFonts w:hint="eastAsia" w:ascii="仿宋_GB2312" w:hAnsi="仿宋_GB2312" w:eastAsia="仿宋_GB2312" w:cs="仿宋_GB2312"/>
                <w:b/>
                <w:color w:val="auto"/>
                <w:kern w:val="0"/>
                <w:sz w:val="24"/>
                <w:szCs w:val="24"/>
                <w:highlight w:val="none"/>
                <w:lang w:eastAsia="zh-CN" w:bidi="ar"/>
              </w:rPr>
              <w:t>验收结果</w:t>
            </w:r>
          </w:p>
        </w:tc>
      </w:tr>
      <w:tr w14:paraId="13CA31C7">
        <w:tblPrEx>
          <w:tblCellMar>
            <w:top w:w="0" w:type="dxa"/>
            <w:left w:w="0" w:type="dxa"/>
            <w:bottom w:w="0" w:type="dxa"/>
            <w:right w:w="0" w:type="dxa"/>
          </w:tblCellMar>
        </w:tblPrEx>
        <w:trPr>
          <w:trHeight w:val="202"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9CCD0F">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1</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B2BA48">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按照约定进度计划实施</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6B1821">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79173A3B">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1DD68E">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2</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2F4BE9">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系统整体已经通过各项测试</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2DE439">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69A6F1F0">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041713">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3</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90E8050">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相关功能模块上线试运行期间，系统运行平稳没有出现系统崩溃、数据丢失、数据毁坏故障</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D80975">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5FB3196F">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476E5E">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4</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5C5617">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非维护期间，各功能模块功能达到要求</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F84E9F">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1CFF2EE2">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F2DC1FC">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5</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18BF67">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相关技术资料齐全、完整，并已经转交业主</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8E713B">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0FCCE438">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FB69CD">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6</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A8CCFB1">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分项验收均符合要求</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EA644A">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68DF096E">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F7EB2E">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7</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B47845">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系统易用性符合要求</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460035">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636EDA2F">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41D742">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8</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1D0980">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系统标准化符合要求</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F686C2">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5E522AEF">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CE73E6">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9</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C029301">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项目已遵照培训计划完成相关培训</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3E5376">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06F8150B">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EF7528">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10</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950A4C">
            <w:pPr>
              <w:widowControl/>
              <w:spacing w:line="360" w:lineRule="auto"/>
              <w:ind w:firstLine="0" w:firstLineChars="0"/>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完成运维移交</w:t>
            </w: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F1E603">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5C735783">
        <w:tblPrEx>
          <w:tblCellMar>
            <w:top w:w="0" w:type="dxa"/>
            <w:left w:w="0" w:type="dxa"/>
            <w:bottom w:w="0" w:type="dxa"/>
            <w:right w:w="0" w:type="dxa"/>
          </w:tblCellMar>
        </w:tblPrEx>
        <w:trPr>
          <w:trHeight w:val="23" w:hRule="atLeast"/>
        </w:trPr>
        <w:tc>
          <w:tcPr>
            <w:tcW w:w="10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82AE84">
            <w:pPr>
              <w:widowControl/>
              <w:spacing w:line="360" w:lineRule="auto"/>
              <w:ind w:firstLine="0" w:firstLineChars="0"/>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w:t>
            </w:r>
          </w:p>
        </w:tc>
        <w:tc>
          <w:tcPr>
            <w:tcW w:w="57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F6735F">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c>
          <w:tcPr>
            <w:tcW w:w="13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C569AC">
            <w:pPr>
              <w:widowControl/>
              <w:spacing w:line="360" w:lineRule="auto"/>
              <w:ind w:firstLine="480" w:firstLineChars="200"/>
              <w:jc w:val="center"/>
              <w:textAlignment w:val="center"/>
              <w:rPr>
                <w:rFonts w:hint="eastAsia" w:ascii="仿宋_GB2312" w:hAnsi="仿宋_GB2312" w:eastAsia="仿宋_GB2312" w:cs="仿宋_GB2312"/>
                <w:color w:val="auto"/>
                <w:kern w:val="0"/>
                <w:sz w:val="24"/>
                <w:szCs w:val="24"/>
                <w:highlight w:val="none"/>
                <w:lang w:eastAsia="zh-CN" w:bidi="ar"/>
              </w:rPr>
            </w:pPr>
          </w:p>
        </w:tc>
      </w:tr>
      <w:tr w14:paraId="6D60EDDF">
        <w:tblPrEx>
          <w:tblCellMar>
            <w:top w:w="0" w:type="dxa"/>
            <w:left w:w="0" w:type="dxa"/>
            <w:bottom w:w="0" w:type="dxa"/>
            <w:right w:w="0" w:type="dxa"/>
          </w:tblCellMar>
        </w:tblPrEx>
        <w:trPr>
          <w:trHeight w:val="347" w:hRule="atLeast"/>
        </w:trPr>
        <w:tc>
          <w:tcPr>
            <w:tcW w:w="8111" w:type="dxa"/>
            <w:gridSpan w:val="3"/>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AF04DE7">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en-US"/>
              </w:rPr>
            </w:pPr>
            <w:r>
              <w:rPr>
                <w:rFonts w:hint="eastAsia" w:ascii="仿宋_GB2312" w:hAnsi="仿宋_GB2312" w:eastAsia="仿宋_GB2312" w:cs="仿宋_GB2312"/>
                <w:color w:val="auto"/>
                <w:kern w:val="0"/>
                <w:sz w:val="24"/>
                <w:szCs w:val="24"/>
                <w:highlight w:val="none"/>
                <w:lang w:eastAsia="zh-CN" w:bidi="ar"/>
              </w:rPr>
              <w:t>验收结论</w:t>
            </w:r>
          </w:p>
        </w:tc>
      </w:tr>
      <w:tr w14:paraId="601D9B32">
        <w:tblPrEx>
          <w:tblCellMar>
            <w:top w:w="0" w:type="dxa"/>
            <w:left w:w="0" w:type="dxa"/>
            <w:bottom w:w="0" w:type="dxa"/>
            <w:right w:w="0" w:type="dxa"/>
          </w:tblCellMar>
        </w:tblPrEx>
        <w:trPr>
          <w:trHeight w:val="1099" w:hRule="atLeast"/>
        </w:trPr>
        <w:tc>
          <w:tcPr>
            <w:tcW w:w="8111" w:type="dxa"/>
            <w:gridSpan w:val="3"/>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817A32E">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en-US"/>
              </w:rPr>
            </w:pPr>
          </w:p>
        </w:tc>
      </w:tr>
      <w:tr w14:paraId="1A5F40A1">
        <w:tblPrEx>
          <w:tblCellMar>
            <w:top w:w="0" w:type="dxa"/>
            <w:left w:w="0" w:type="dxa"/>
            <w:bottom w:w="0" w:type="dxa"/>
            <w:right w:w="0" w:type="dxa"/>
          </w:tblCellMar>
        </w:tblPrEx>
        <w:trPr>
          <w:trHeight w:val="410" w:hRule="atLeast"/>
        </w:trPr>
        <w:tc>
          <w:tcPr>
            <w:tcW w:w="8111" w:type="dxa"/>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39F95F1">
            <w:pPr>
              <w:widowControl/>
              <w:spacing w:line="360" w:lineRule="auto"/>
              <w:ind w:firstLine="480" w:firstLineChars="200"/>
              <w:jc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24"/>
                <w:szCs w:val="24"/>
                <w:highlight w:val="none"/>
                <w:lang w:eastAsia="zh-CN" w:bidi="ar"/>
              </w:rPr>
              <w:t>参与验收人员</w:t>
            </w:r>
          </w:p>
        </w:tc>
      </w:tr>
      <w:tr w14:paraId="44E2C657">
        <w:tblPrEx>
          <w:tblCellMar>
            <w:top w:w="0" w:type="dxa"/>
            <w:left w:w="0" w:type="dxa"/>
            <w:bottom w:w="0" w:type="dxa"/>
            <w:right w:w="0" w:type="dxa"/>
          </w:tblCellMar>
        </w:tblPrEx>
        <w:trPr>
          <w:trHeight w:val="653" w:hRule="atLeast"/>
        </w:trPr>
        <w:tc>
          <w:tcPr>
            <w:tcW w:w="1018"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97514CA">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业主单位</w:t>
            </w:r>
          </w:p>
        </w:tc>
        <w:tc>
          <w:tcPr>
            <w:tcW w:w="7093"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6CC882C">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45BBCC55">
        <w:tblPrEx>
          <w:tblCellMar>
            <w:top w:w="0" w:type="dxa"/>
            <w:left w:w="0" w:type="dxa"/>
            <w:bottom w:w="0" w:type="dxa"/>
            <w:right w:w="0" w:type="dxa"/>
          </w:tblCellMar>
        </w:tblPrEx>
        <w:trPr>
          <w:trHeight w:val="653" w:hRule="atLeast"/>
        </w:trPr>
        <w:tc>
          <w:tcPr>
            <w:tcW w:w="1018"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0B3F81E">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实施单位</w:t>
            </w:r>
          </w:p>
        </w:tc>
        <w:tc>
          <w:tcPr>
            <w:tcW w:w="7093"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1DEE485">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69D9445A">
        <w:tblPrEx>
          <w:tblCellMar>
            <w:top w:w="0" w:type="dxa"/>
            <w:left w:w="0" w:type="dxa"/>
            <w:bottom w:w="0" w:type="dxa"/>
            <w:right w:w="0" w:type="dxa"/>
          </w:tblCellMar>
        </w:tblPrEx>
        <w:trPr>
          <w:trHeight w:val="653" w:hRule="atLeast"/>
        </w:trPr>
        <w:tc>
          <w:tcPr>
            <w:tcW w:w="1018"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26271C1">
            <w:pPr>
              <w:widowControl/>
              <w:spacing w:line="360" w:lineRule="auto"/>
              <w:ind w:firstLine="0" w:firstLineChars="0"/>
              <w:jc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color w:val="auto"/>
                <w:kern w:val="0"/>
                <w:sz w:val="24"/>
                <w:szCs w:val="24"/>
                <w:highlight w:val="none"/>
                <w:lang w:eastAsia="zh-CN" w:bidi="ar"/>
              </w:rPr>
              <w:t>...</w:t>
            </w:r>
          </w:p>
        </w:tc>
        <w:tc>
          <w:tcPr>
            <w:tcW w:w="7093" w:type="dxa"/>
            <w:gridSpan w:val="2"/>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BD3F0C4">
            <w:pPr>
              <w:widowControl/>
              <w:spacing w:line="360" w:lineRule="auto"/>
              <w:ind w:firstLine="480" w:firstLineChars="200"/>
              <w:jc w:val="center"/>
              <w:rPr>
                <w:rFonts w:hint="eastAsia" w:ascii="仿宋_GB2312" w:hAnsi="仿宋_GB2312" w:eastAsia="仿宋_GB2312" w:cs="仿宋_GB2312"/>
                <w:color w:val="auto"/>
                <w:kern w:val="0"/>
                <w:sz w:val="24"/>
                <w:szCs w:val="24"/>
                <w:highlight w:val="none"/>
                <w:lang w:eastAsia="zh-CN" w:bidi="ar"/>
              </w:rPr>
            </w:pPr>
          </w:p>
        </w:tc>
      </w:tr>
      <w:tr w14:paraId="3992CDB7">
        <w:tblPrEx>
          <w:tblCellMar>
            <w:top w:w="0" w:type="dxa"/>
            <w:left w:w="0" w:type="dxa"/>
            <w:bottom w:w="0" w:type="dxa"/>
            <w:right w:w="0" w:type="dxa"/>
          </w:tblCellMar>
        </w:tblPrEx>
        <w:trPr>
          <w:trHeight w:val="327" w:hRule="atLeast"/>
        </w:trPr>
        <w:tc>
          <w:tcPr>
            <w:tcW w:w="8111" w:type="dxa"/>
            <w:gridSpan w:val="3"/>
            <w:tcBorders>
              <w:top w:val="single" w:color="auto" w:sz="4" w:space="0"/>
              <w:left w:val="nil"/>
              <w:bottom w:val="nil"/>
              <w:right w:val="nil"/>
            </w:tcBorders>
            <w:noWrap w:val="0"/>
            <w:tcMar>
              <w:top w:w="12" w:type="dxa"/>
              <w:left w:w="12" w:type="dxa"/>
              <w:right w:w="12" w:type="dxa"/>
            </w:tcMar>
            <w:vAlign w:val="center"/>
          </w:tcPr>
          <w:p w14:paraId="39FF1BA5">
            <w:pPr>
              <w:widowControl/>
              <w:spacing w:line="360" w:lineRule="auto"/>
              <w:ind w:firstLine="440" w:firstLineChars="200"/>
              <w:jc w:val="left"/>
              <w:textAlignment w:val="center"/>
              <w:rPr>
                <w:rFonts w:hint="eastAsia" w:ascii="仿宋_GB2312" w:hAnsi="仿宋_GB2312" w:eastAsia="仿宋_GB2312" w:cs="仿宋_GB2312"/>
                <w:color w:val="auto"/>
                <w:kern w:val="0"/>
                <w:sz w:val="22"/>
                <w:szCs w:val="22"/>
                <w:highlight w:val="none"/>
                <w:lang w:eastAsia="zh-CN"/>
              </w:rPr>
            </w:pPr>
            <w:r>
              <w:rPr>
                <w:rFonts w:hint="eastAsia" w:ascii="仿宋_GB2312" w:hAnsi="仿宋_GB2312" w:eastAsia="仿宋_GB2312" w:cs="仿宋_GB2312"/>
                <w:color w:val="auto"/>
                <w:kern w:val="0"/>
                <w:sz w:val="22"/>
                <w:szCs w:val="22"/>
                <w:highlight w:val="none"/>
                <w:lang w:eastAsia="zh-CN" w:bidi="ar"/>
              </w:rPr>
              <w:t>注：验收资料依据技术文件中“验收资料要求”执行，验收要求依据技术文件中的“验收要求”执行</w:t>
            </w:r>
          </w:p>
        </w:tc>
      </w:tr>
    </w:tbl>
    <w:p w14:paraId="3B73FEBA">
      <w:pPr>
        <w:widowControl/>
        <w:spacing w:line="360" w:lineRule="auto"/>
        <w:ind w:firstLine="0" w:firstLineChars="0"/>
        <w:rPr>
          <w:rFonts w:ascii="Times New Roman" w:hAnsi="Times New Roman" w:eastAsia="宋体" w:cs="Times New Roman"/>
          <w:color w:val="auto"/>
          <w:kern w:val="0"/>
          <w:sz w:val="24"/>
          <w:highlight w:val="none"/>
          <w:lang w:eastAsia="zh-CN"/>
        </w:rPr>
      </w:pPr>
    </w:p>
    <w:p w14:paraId="22E59E33">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698" w:name="_Toc193093664"/>
      <w:bookmarkStart w:id="1699" w:name="_Toc30669"/>
      <w:bookmarkStart w:id="1700" w:name="_Toc1599978124"/>
      <w:bookmarkStart w:id="1701" w:name="_Toc967066627"/>
      <w:bookmarkStart w:id="1702" w:name="_Toc1290506927"/>
      <w:bookmarkStart w:id="1703" w:name="_Toc30517"/>
      <w:bookmarkStart w:id="1704" w:name="_Toc32754"/>
      <w:r>
        <w:rPr>
          <w:rFonts w:hint="eastAsia" w:ascii="Arial" w:hAnsi="Arial" w:eastAsia="黑体" w:cs="Times New Roman"/>
          <w:b/>
          <w:color w:val="auto"/>
          <w:sz w:val="32"/>
          <w:highlight w:val="none"/>
          <w:lang w:val="en-US" w:eastAsia="zh-CN" w:bidi="ar-SA"/>
        </w:rPr>
        <w:t>项目过程管理</w:t>
      </w:r>
      <w:bookmarkEnd w:id="1629"/>
      <w:bookmarkEnd w:id="1630"/>
      <w:bookmarkEnd w:id="1631"/>
      <w:bookmarkEnd w:id="1632"/>
      <w:bookmarkEnd w:id="1633"/>
      <w:bookmarkEnd w:id="1634"/>
      <w:bookmarkEnd w:id="1698"/>
      <w:bookmarkEnd w:id="1699"/>
      <w:bookmarkEnd w:id="1700"/>
      <w:bookmarkEnd w:id="1701"/>
      <w:bookmarkEnd w:id="1702"/>
      <w:bookmarkEnd w:id="1703"/>
      <w:bookmarkEnd w:id="1704"/>
    </w:p>
    <w:p w14:paraId="7981885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在项目实施过程中，由招标人为中标人提供办公场地集中办公。中标人自用计算机、打印机、业务功能测试设备、纸张、桌椅等所需要设施物品，由中标人自行解决</w:t>
      </w:r>
      <w:bookmarkStart w:id="1705" w:name="_Toc511830915"/>
      <w:bookmarkEnd w:id="1705"/>
      <w:bookmarkStart w:id="1706" w:name="_Toc511830914"/>
      <w:bookmarkEnd w:id="1706"/>
      <w:bookmarkStart w:id="1707" w:name="_Toc511744107"/>
      <w:bookmarkEnd w:id="1707"/>
      <w:bookmarkStart w:id="1708" w:name="_Toc511744112"/>
      <w:bookmarkEnd w:id="1708"/>
      <w:bookmarkStart w:id="1709" w:name="_Toc511830910"/>
      <w:bookmarkEnd w:id="1709"/>
      <w:bookmarkStart w:id="1710" w:name="_Toc511744475"/>
      <w:bookmarkEnd w:id="1710"/>
      <w:bookmarkStart w:id="1711" w:name="_Toc511830449"/>
      <w:bookmarkEnd w:id="1711"/>
      <w:bookmarkStart w:id="1712" w:name="_Toc511829548"/>
      <w:bookmarkEnd w:id="1712"/>
      <w:bookmarkStart w:id="1713" w:name="_Toc511829989"/>
      <w:bookmarkEnd w:id="1713"/>
      <w:bookmarkStart w:id="1714" w:name="_Toc511830453"/>
      <w:bookmarkEnd w:id="1714"/>
      <w:bookmarkStart w:id="1715" w:name="_Toc511829987"/>
      <w:bookmarkEnd w:id="1715"/>
      <w:bookmarkStart w:id="1716" w:name="_Toc511830448"/>
      <w:bookmarkEnd w:id="1716"/>
      <w:bookmarkStart w:id="1717" w:name="_Toc511744108"/>
      <w:bookmarkEnd w:id="1717"/>
      <w:bookmarkStart w:id="1718" w:name="_Toc513190200"/>
      <w:bookmarkEnd w:id="1718"/>
      <w:bookmarkStart w:id="1719" w:name="_Toc511829546"/>
      <w:bookmarkEnd w:id="1719"/>
      <w:bookmarkStart w:id="1720" w:name="_Toc511744110"/>
      <w:bookmarkEnd w:id="1720"/>
      <w:bookmarkStart w:id="1721" w:name="_Toc513103307"/>
      <w:bookmarkEnd w:id="1721"/>
      <w:bookmarkStart w:id="1722" w:name="_Toc511829545"/>
      <w:bookmarkEnd w:id="1722"/>
      <w:bookmarkStart w:id="1723" w:name="_Toc511830913"/>
      <w:bookmarkEnd w:id="1723"/>
      <w:bookmarkStart w:id="1724" w:name="_Toc511830451"/>
      <w:bookmarkEnd w:id="1724"/>
      <w:bookmarkStart w:id="1725" w:name="_Toc511744113"/>
      <w:bookmarkEnd w:id="1725"/>
      <w:bookmarkStart w:id="1726" w:name="_Toc511744109"/>
      <w:bookmarkEnd w:id="1726"/>
      <w:bookmarkStart w:id="1727" w:name="_Toc511830454"/>
      <w:bookmarkEnd w:id="1727"/>
      <w:bookmarkStart w:id="1728" w:name="_Toc511830916"/>
      <w:bookmarkEnd w:id="1728"/>
      <w:bookmarkStart w:id="1729" w:name="_Toc511829992"/>
      <w:bookmarkEnd w:id="1729"/>
      <w:bookmarkStart w:id="1730" w:name="_Toc511829990"/>
      <w:bookmarkEnd w:id="1730"/>
      <w:bookmarkStart w:id="1731" w:name="_Toc511744477"/>
      <w:bookmarkEnd w:id="1731"/>
      <w:bookmarkStart w:id="1732" w:name="_Toc511830912"/>
      <w:bookmarkEnd w:id="1732"/>
      <w:bookmarkStart w:id="1733" w:name="_Toc511744476"/>
      <w:bookmarkEnd w:id="1733"/>
      <w:bookmarkStart w:id="1734" w:name="_Toc511830911"/>
      <w:bookmarkEnd w:id="1734"/>
      <w:bookmarkStart w:id="1735" w:name="_Toc513020219"/>
      <w:bookmarkEnd w:id="1735"/>
      <w:bookmarkStart w:id="1736" w:name="_Toc511744478"/>
      <w:bookmarkEnd w:id="1736"/>
      <w:bookmarkStart w:id="1737" w:name="_Toc511829544"/>
      <w:bookmarkEnd w:id="1737"/>
      <w:bookmarkStart w:id="1738" w:name="_Toc511829986"/>
      <w:bookmarkEnd w:id="1738"/>
      <w:bookmarkStart w:id="1739" w:name="_Toc511829547"/>
      <w:bookmarkEnd w:id="1739"/>
      <w:bookmarkStart w:id="1740" w:name="_Toc531115788"/>
      <w:bookmarkEnd w:id="1740"/>
      <w:bookmarkStart w:id="1741" w:name="_Toc511829988"/>
      <w:bookmarkEnd w:id="1741"/>
      <w:bookmarkStart w:id="1742" w:name="_Toc511744474"/>
      <w:bookmarkEnd w:id="1742"/>
      <w:bookmarkStart w:id="1743" w:name="_Toc511744472"/>
      <w:bookmarkEnd w:id="1743"/>
      <w:bookmarkStart w:id="1744" w:name="_Toc513019962"/>
      <w:bookmarkEnd w:id="1744"/>
      <w:bookmarkStart w:id="1745" w:name="_Toc511744111"/>
      <w:bookmarkEnd w:id="1745"/>
      <w:bookmarkStart w:id="1746" w:name="_Toc511830450"/>
      <w:bookmarkEnd w:id="1746"/>
      <w:bookmarkStart w:id="1747" w:name="_Toc511744473"/>
      <w:bookmarkEnd w:id="1747"/>
      <w:bookmarkStart w:id="1748" w:name="_Toc511829991"/>
      <w:bookmarkEnd w:id="1748"/>
      <w:bookmarkStart w:id="1749" w:name="_Toc511829543"/>
      <w:bookmarkEnd w:id="1749"/>
      <w:bookmarkStart w:id="1750" w:name="_Toc511829549"/>
      <w:bookmarkEnd w:id="1750"/>
      <w:bookmarkStart w:id="1751" w:name="_Toc511830452"/>
      <w:bookmarkEnd w:id="1751"/>
      <w:r>
        <w:rPr>
          <w:rFonts w:hint="eastAsia" w:ascii="Times New Roman" w:hAnsi="Times New Roman" w:eastAsia="宋体" w:cs="Times New Roman"/>
          <w:color w:val="auto"/>
          <w:kern w:val="0"/>
          <w:sz w:val="24"/>
          <w:highlight w:val="none"/>
          <w:lang w:eastAsia="zh-CN"/>
        </w:rPr>
        <w:t>，所需费用包含在项目费用中。</w:t>
      </w:r>
    </w:p>
    <w:p w14:paraId="61978D35">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752" w:name="_Toc531688713"/>
      <w:bookmarkStart w:id="1753" w:name="_Toc15470"/>
      <w:r>
        <w:rPr>
          <w:rFonts w:hint="eastAsia" w:ascii="Times New Roman" w:hAnsi="Times New Roman" w:eastAsia="黑体" w:cs="Times New Roman"/>
          <w:b/>
          <w:color w:val="auto"/>
          <w:sz w:val="30"/>
          <w:highlight w:val="none"/>
          <w:lang w:val="en-US" w:eastAsia="zh-CN" w:bidi="ar-SA"/>
        </w:rPr>
        <w:t xml:space="preserve"> </w:t>
      </w:r>
      <w:bookmarkStart w:id="1754" w:name="_Toc42102334"/>
      <w:bookmarkStart w:id="1755" w:name="_Toc2112571036"/>
      <w:bookmarkStart w:id="1756" w:name="_Toc7327"/>
      <w:bookmarkStart w:id="1757" w:name="_Toc47"/>
      <w:bookmarkStart w:id="1758" w:name="_Toc193093665"/>
      <w:bookmarkStart w:id="1759" w:name="_Toc1332559493"/>
      <w:r>
        <w:rPr>
          <w:rFonts w:hint="eastAsia" w:ascii="Times New Roman" w:hAnsi="Times New Roman" w:eastAsia="黑体" w:cs="Times New Roman"/>
          <w:b/>
          <w:color w:val="auto"/>
          <w:sz w:val="30"/>
          <w:highlight w:val="none"/>
          <w:lang w:val="en-US" w:eastAsia="zh-CN" w:bidi="ar-SA"/>
        </w:rPr>
        <w:t>项目实施要求</w:t>
      </w:r>
      <w:bookmarkEnd w:id="1752"/>
      <w:bookmarkEnd w:id="1753"/>
      <w:bookmarkEnd w:id="1754"/>
      <w:bookmarkEnd w:id="1755"/>
      <w:bookmarkEnd w:id="1756"/>
      <w:bookmarkEnd w:id="1757"/>
      <w:bookmarkEnd w:id="1758"/>
      <w:bookmarkEnd w:id="1759"/>
    </w:p>
    <w:p w14:paraId="413F827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应按照</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所制定的项目总体实施计划的统一部署，制定出详细的实施方案，并严格按照实施方案按时按质按量完成实施工作。</w:t>
      </w:r>
    </w:p>
    <w:p w14:paraId="4622BC76">
      <w:pPr>
        <w:widowControl/>
        <w:spacing w:line="360" w:lineRule="auto"/>
        <w:ind w:left="-2" w:firstLine="480" w:firstLineChars="200"/>
        <w:rPr>
          <w:rFonts w:hint="eastAsia" w:ascii="宋体" w:hAnsi="宋体" w:eastAsia="宋体" w:cs="宋体"/>
          <w:color w:val="auto"/>
          <w:kern w:val="0"/>
          <w:sz w:val="24"/>
          <w:szCs w:val="21"/>
          <w:highlight w:val="none"/>
          <w:lang w:eastAsia="zh-CN"/>
        </w:rPr>
      </w:pPr>
      <w:r>
        <w:rPr>
          <w:rFonts w:hint="eastAsia" w:ascii="Times New Roman" w:hAnsi="Times New Roman" w:eastAsia="宋体" w:cs="Times New Roman"/>
          <w:color w:val="auto"/>
          <w:kern w:val="0"/>
          <w:sz w:val="24"/>
          <w:highlight w:val="none"/>
          <w:lang w:eastAsia="zh-CN"/>
        </w:rPr>
        <w:t>项目开展前期，</w:t>
      </w:r>
      <w:r>
        <w:rPr>
          <w:rFonts w:hint="eastAsia" w:ascii="宋体" w:hAnsi="宋体" w:eastAsia="宋体" w:cs="宋体"/>
          <w:color w:val="auto"/>
          <w:kern w:val="0"/>
          <w:sz w:val="24"/>
          <w:szCs w:val="21"/>
          <w:highlight w:val="none"/>
          <w:lang w:eastAsia="zh-CN"/>
        </w:rPr>
        <w:t>中标人应针对本项目做出深化技术实施方案书，提供采购需求响应、《智慧水厂评价标准》指标响应和详细的系统技术实施方案，并根据实际情况、建设原则和规范标准等要求，针对</w:t>
      </w:r>
      <w:r>
        <w:rPr>
          <w:rFonts w:hint="eastAsia" w:ascii="宋体" w:hAnsi="宋体" w:eastAsia="宋体" w:cs="宋体"/>
          <w:color w:val="auto"/>
          <w:kern w:val="0"/>
          <w:sz w:val="24"/>
          <w:szCs w:val="21"/>
          <w:highlight w:val="none"/>
          <w:lang w:val="en-US" w:eastAsia="zh-CN"/>
        </w:rPr>
        <w:t>开发</w:t>
      </w:r>
      <w:r>
        <w:rPr>
          <w:rFonts w:hint="eastAsia" w:ascii="宋体" w:hAnsi="宋体" w:eastAsia="宋体" w:cs="宋体"/>
          <w:color w:val="auto"/>
          <w:kern w:val="0"/>
          <w:sz w:val="24"/>
          <w:szCs w:val="21"/>
          <w:highlight w:val="none"/>
          <w:lang w:eastAsia="zh-CN"/>
        </w:rPr>
        <w:t>实施、系统整体架构、关键技术、关键点解决方面做出详细论述，以及应用系统功能、界面设计等方面，包括</w:t>
      </w:r>
      <w:r>
        <w:rPr>
          <w:rFonts w:hint="eastAsia" w:ascii="宋体" w:hAnsi="宋体" w:eastAsia="宋体" w:cs="宋体"/>
          <w:color w:val="auto"/>
          <w:kern w:val="0"/>
          <w:sz w:val="24"/>
          <w:szCs w:val="21"/>
          <w:highlight w:val="none"/>
          <w:lang w:val="en-US" w:eastAsia="zh-CN"/>
        </w:rPr>
        <w:t>项目</w:t>
      </w:r>
      <w:r>
        <w:rPr>
          <w:rFonts w:hint="eastAsia" w:ascii="宋体" w:hAnsi="宋体" w:eastAsia="宋体" w:cs="宋体"/>
          <w:color w:val="auto"/>
          <w:kern w:val="0"/>
          <w:sz w:val="24"/>
          <w:szCs w:val="21"/>
          <w:highlight w:val="none"/>
          <w:lang w:eastAsia="zh-CN"/>
        </w:rPr>
        <w:t>实施、系统实施计划、管理、测试、验收、培训、维护、售后服务等形成详细的实施方案。</w:t>
      </w:r>
    </w:p>
    <w:p w14:paraId="7AC42243">
      <w:pPr>
        <w:widowControl/>
        <w:spacing w:line="360" w:lineRule="auto"/>
        <w:ind w:left="-2"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项目</w:t>
      </w:r>
      <w:r>
        <w:rPr>
          <w:rFonts w:hint="eastAsia" w:ascii="Times New Roman" w:hAnsi="Times New Roman" w:eastAsia="宋体" w:cs="Times New Roman"/>
          <w:color w:val="auto"/>
          <w:kern w:val="0"/>
          <w:sz w:val="24"/>
          <w:highlight w:val="none"/>
          <w:lang w:eastAsia="zh-CN"/>
        </w:rPr>
        <w:t>前期工作完成后</w:t>
      </w:r>
      <w:r>
        <w:rPr>
          <w:rFonts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要严格按照国家和地方以及</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的各项要求以及项目实施规范开展工作，进行严格的过程控制，形成规范的实施文档。</w:t>
      </w:r>
    </w:p>
    <w:p w14:paraId="4B74E2B3">
      <w:pPr>
        <w:widowControl/>
        <w:spacing w:line="360" w:lineRule="auto"/>
        <w:ind w:left="-2"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项目实施过程中应严格遵循</w:t>
      </w:r>
      <w:r>
        <w:rPr>
          <w:rFonts w:hint="eastAsia" w:ascii="Times New Roman" w:hAnsi="Times New Roman" w:eastAsia="宋体" w:cs="Times New Roman"/>
          <w:color w:val="auto"/>
          <w:kern w:val="0"/>
          <w:sz w:val="24"/>
          <w:highlight w:val="none"/>
          <w:lang w:eastAsia="zh-CN"/>
        </w:rPr>
        <w:t>《信息安全技术网络安全等级保护基本要求》、《信息安全技术网络存储安全技术要求》</w:t>
      </w:r>
      <w:r>
        <w:rPr>
          <w:rFonts w:hint="eastAsia" w:ascii="Times New Roman" w:hAnsi="Times New Roman" w:eastAsia="宋体" w:cs="Times New Roman"/>
          <w:color w:val="auto"/>
          <w:kern w:val="0"/>
          <w:sz w:val="24"/>
          <w:highlight w:val="none"/>
          <w:lang w:val="en-US" w:eastAsia="zh-CN"/>
        </w:rPr>
        <w:t>等相关规范标准要求</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采用最小权限、纵深防御等软件安全设计开发原则，贯穿于系统开发的整个生命周期，识别和评估系统面临安全风险，在设计、编码、上线前测试、试运行、正式投运等各个阶段，重点关注审查系统漏洞、代码、配置等内容，防止外部恶意入侵和数据污染。</w:t>
      </w:r>
    </w:p>
    <w:p w14:paraId="5BE9107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须严格按照项目里程碑开展工作，</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将根据里程碑和里程碑产出物审查</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工作。</w:t>
      </w:r>
    </w:p>
    <w:p w14:paraId="613AFF5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若由于</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自身原因导致项目进度滞后于项目里程碑计划，</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可根据合同要求追究</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责任。</w:t>
      </w:r>
    </w:p>
    <w:p w14:paraId="3255AD1B">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760" w:name="_Toc6624"/>
      <w:bookmarkStart w:id="1761" w:name="_Toc531688714"/>
      <w:bookmarkStart w:id="1762" w:name="_Toc511830918"/>
      <w:bookmarkStart w:id="1763" w:name="_Toc531115791"/>
      <w:r>
        <w:rPr>
          <w:rFonts w:hint="eastAsia" w:ascii="Times New Roman" w:hAnsi="Times New Roman" w:eastAsia="黑体" w:cs="Times New Roman"/>
          <w:b/>
          <w:color w:val="auto"/>
          <w:sz w:val="30"/>
          <w:highlight w:val="none"/>
          <w:lang w:val="en-US" w:eastAsia="zh-CN" w:bidi="ar-SA"/>
        </w:rPr>
        <w:t xml:space="preserve"> </w:t>
      </w:r>
      <w:bookmarkStart w:id="1764" w:name="_Toc1634266201"/>
      <w:bookmarkStart w:id="1765" w:name="_Toc1091807675"/>
      <w:bookmarkStart w:id="1766" w:name="_Toc193093666"/>
      <w:bookmarkStart w:id="1767" w:name="_Toc10863"/>
      <w:bookmarkStart w:id="1768" w:name="_Toc27727"/>
      <w:bookmarkStart w:id="1769" w:name="_Toc220444288"/>
      <w:bookmarkStart w:id="1770" w:name="_Toc2168"/>
      <w:r>
        <w:rPr>
          <w:rFonts w:hint="eastAsia" w:ascii="Times New Roman" w:hAnsi="Times New Roman" w:eastAsia="黑体" w:cs="Times New Roman"/>
          <w:b/>
          <w:color w:val="auto"/>
          <w:sz w:val="30"/>
          <w:highlight w:val="none"/>
          <w:lang w:val="en-US" w:eastAsia="zh-CN" w:bidi="ar-SA"/>
        </w:rPr>
        <w:t>项目联络会</w:t>
      </w:r>
      <w:bookmarkEnd w:id="1760"/>
      <w:bookmarkEnd w:id="1761"/>
      <w:bookmarkEnd w:id="1762"/>
      <w:bookmarkEnd w:id="1763"/>
      <w:bookmarkEnd w:id="1764"/>
      <w:bookmarkEnd w:id="1765"/>
      <w:bookmarkEnd w:id="1766"/>
      <w:bookmarkEnd w:id="1767"/>
      <w:bookmarkEnd w:id="1768"/>
      <w:bookmarkEnd w:id="1769"/>
      <w:bookmarkEnd w:id="1770"/>
    </w:p>
    <w:p w14:paraId="623A2413">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为审查和确认本项目的实施方案具体详细内容，便于合同按期执行，在实施过程中根据需要，每两周召开至少1</w:t>
      </w:r>
      <w:r>
        <w:rPr>
          <w:rFonts w:ascii="Times New Roman" w:hAnsi="Times New Roman" w:eastAsia="宋体" w:cs="Times New Roman"/>
          <w:color w:val="auto"/>
          <w:kern w:val="0"/>
          <w:sz w:val="24"/>
          <w:highlight w:val="none"/>
          <w:lang w:eastAsia="zh-CN"/>
        </w:rPr>
        <w:t>次</w:t>
      </w:r>
      <w:r>
        <w:rPr>
          <w:rFonts w:hint="eastAsia" w:ascii="Times New Roman" w:hAnsi="Times New Roman" w:eastAsia="宋体" w:cs="Times New Roman"/>
          <w:color w:val="auto"/>
          <w:kern w:val="0"/>
          <w:sz w:val="24"/>
          <w:highlight w:val="none"/>
          <w:lang w:eastAsia="zh-CN"/>
        </w:rPr>
        <w:t>项目</w:t>
      </w:r>
      <w:r>
        <w:rPr>
          <w:rFonts w:ascii="Times New Roman" w:hAnsi="Times New Roman" w:eastAsia="宋体" w:cs="Times New Roman"/>
          <w:color w:val="auto"/>
          <w:kern w:val="0"/>
          <w:sz w:val="24"/>
          <w:highlight w:val="none"/>
          <w:lang w:eastAsia="zh-CN"/>
        </w:rPr>
        <w:t>联络会进行设计确认，会议具体时间及地点由双方协商确定。</w:t>
      </w:r>
    </w:p>
    <w:p w14:paraId="12CEBB2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技术联络会确认的内容必须包含但不限于如下：</w:t>
      </w:r>
    </w:p>
    <w:p w14:paraId="620E1C6A">
      <w:pPr>
        <w:widowControl/>
        <w:numPr>
          <w:ilvl w:val="0"/>
          <w:numId w:val="34"/>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确认项目实施工作内容及进度计划。</w:t>
      </w:r>
    </w:p>
    <w:p w14:paraId="4AEDC7E6">
      <w:pPr>
        <w:widowControl/>
        <w:numPr>
          <w:ilvl w:val="0"/>
          <w:numId w:val="34"/>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讨论项目整体技术方案和关键问题解决方案。</w:t>
      </w:r>
    </w:p>
    <w:p w14:paraId="44EC2755">
      <w:pPr>
        <w:widowControl/>
        <w:numPr>
          <w:ilvl w:val="0"/>
          <w:numId w:val="34"/>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项目实施过程中需要中标人提供的成果资料内容及要求。</w:t>
      </w:r>
    </w:p>
    <w:p w14:paraId="4B01F971">
      <w:pPr>
        <w:widowControl/>
        <w:numPr>
          <w:ilvl w:val="0"/>
          <w:numId w:val="34"/>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项目试运行和上线运行相关方案的讨论和确定。</w:t>
      </w:r>
    </w:p>
    <w:p w14:paraId="7E3DF804">
      <w:pPr>
        <w:widowControl/>
        <w:numPr>
          <w:ilvl w:val="0"/>
          <w:numId w:val="34"/>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项目验收所需的测试报告、验收细则、规范以及验收流程等。</w:t>
      </w:r>
    </w:p>
    <w:p w14:paraId="0F83FD1A">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771" w:name="_Toc531688715"/>
      <w:bookmarkStart w:id="1772" w:name="_Toc25703"/>
      <w:bookmarkStart w:id="1773" w:name="_Toc511830919"/>
      <w:bookmarkStart w:id="1774" w:name="_Toc531115792"/>
      <w:r>
        <w:rPr>
          <w:rFonts w:hint="eastAsia" w:ascii="Times New Roman" w:hAnsi="Times New Roman" w:eastAsia="黑体" w:cs="Times New Roman"/>
          <w:b/>
          <w:color w:val="auto"/>
          <w:sz w:val="30"/>
          <w:highlight w:val="none"/>
          <w:lang w:val="en-US" w:eastAsia="zh-CN" w:bidi="ar-SA"/>
        </w:rPr>
        <w:t xml:space="preserve"> </w:t>
      </w:r>
      <w:bookmarkStart w:id="1775" w:name="_Toc1911313757"/>
      <w:bookmarkStart w:id="1776" w:name="_Toc27704"/>
      <w:bookmarkStart w:id="1777" w:name="_Toc193093667"/>
      <w:bookmarkStart w:id="1778" w:name="_Toc20745"/>
      <w:bookmarkStart w:id="1779" w:name="_Toc29311"/>
      <w:bookmarkStart w:id="1780" w:name="_Toc597857341"/>
      <w:bookmarkStart w:id="1781" w:name="_Toc796195077"/>
      <w:r>
        <w:rPr>
          <w:rFonts w:hint="eastAsia" w:ascii="Times New Roman" w:hAnsi="Times New Roman" w:eastAsia="黑体" w:cs="Times New Roman"/>
          <w:b/>
          <w:color w:val="auto"/>
          <w:sz w:val="30"/>
          <w:highlight w:val="none"/>
          <w:lang w:val="en-US" w:eastAsia="zh-CN" w:bidi="ar-SA"/>
        </w:rPr>
        <w:t>测试要求</w:t>
      </w:r>
      <w:bookmarkEnd w:id="1771"/>
      <w:bookmarkEnd w:id="1772"/>
      <w:bookmarkEnd w:id="1773"/>
      <w:bookmarkEnd w:id="1774"/>
      <w:bookmarkEnd w:id="1775"/>
      <w:bookmarkEnd w:id="1776"/>
      <w:bookmarkEnd w:id="1777"/>
      <w:bookmarkEnd w:id="1778"/>
      <w:bookmarkEnd w:id="1779"/>
      <w:bookmarkEnd w:id="1780"/>
      <w:bookmarkEnd w:id="1781"/>
    </w:p>
    <w:p w14:paraId="087EB951">
      <w:pPr>
        <w:widowControl/>
        <w:spacing w:line="360" w:lineRule="auto"/>
        <w:ind w:firstLine="480" w:firstLineChars="200"/>
        <w:rPr>
          <w:rFonts w:ascii="Times New Roman" w:hAnsi="Times New Roman" w:eastAsia="宋体" w:cs="Times New Roman"/>
          <w:color w:val="auto"/>
          <w:kern w:val="0"/>
          <w:sz w:val="24"/>
          <w:highlight w:val="none"/>
          <w:lang w:eastAsia="en-US"/>
        </w:rPr>
      </w:pPr>
      <w:r>
        <w:rPr>
          <w:rFonts w:hint="eastAsia" w:ascii="Times New Roman" w:hAnsi="Times New Roman" w:eastAsia="宋体" w:cs="Times New Roman"/>
          <w:color w:val="auto"/>
          <w:kern w:val="0"/>
          <w:sz w:val="24"/>
          <w:highlight w:val="none"/>
          <w:lang w:eastAsia="zh-CN"/>
        </w:rPr>
        <w:t>中标人负责全部硬件以及应用软件的开发、安装、调试及正式运行前的测试，项目测试前，中标人必须提供系统详细测试方案，明确参加测试人员及组织分工，经招标人同意后方可进行测试。</w:t>
      </w:r>
      <w:r>
        <w:rPr>
          <w:rFonts w:hint="eastAsia" w:ascii="Times New Roman" w:hAnsi="Times New Roman" w:eastAsia="宋体" w:cs="Times New Roman"/>
          <w:color w:val="auto"/>
          <w:kern w:val="0"/>
          <w:sz w:val="24"/>
          <w:highlight w:val="none"/>
          <w:lang w:eastAsia="en-US"/>
        </w:rPr>
        <w:t>测试必须包含下列测试内容：</w:t>
      </w:r>
    </w:p>
    <w:p w14:paraId="0659FDDE">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en-US"/>
        </w:rPr>
      </w:pPr>
      <w:r>
        <w:rPr>
          <w:rFonts w:hint="eastAsia" w:ascii="仿宋" w:hAnsi="仿宋" w:eastAsia="宋体" w:cs="仿宋"/>
          <w:color w:val="auto"/>
          <w:kern w:val="0"/>
          <w:sz w:val="24"/>
          <w:highlight w:val="none"/>
          <w:lang w:eastAsia="en-US"/>
        </w:rPr>
        <w:t>测试方案；</w:t>
      </w:r>
    </w:p>
    <w:p w14:paraId="51333D9B">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参加测试人员及组织分工；</w:t>
      </w:r>
    </w:p>
    <w:p w14:paraId="046BC5FB">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各个实施阶段测试方法和测试内容；</w:t>
      </w:r>
    </w:p>
    <w:p w14:paraId="105FE95A">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en-US"/>
        </w:rPr>
      </w:pPr>
      <w:r>
        <w:rPr>
          <w:rFonts w:hint="eastAsia" w:ascii="仿宋" w:hAnsi="仿宋" w:eastAsia="宋体" w:cs="仿宋"/>
          <w:color w:val="auto"/>
          <w:kern w:val="0"/>
          <w:sz w:val="24"/>
          <w:highlight w:val="none"/>
          <w:lang w:eastAsia="en-US"/>
        </w:rPr>
        <w:t>测试步骤及日程；</w:t>
      </w:r>
    </w:p>
    <w:p w14:paraId="3363A7B0">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en-US"/>
        </w:rPr>
      </w:pPr>
      <w:r>
        <w:rPr>
          <w:rFonts w:hint="eastAsia" w:ascii="仿宋" w:hAnsi="仿宋" w:eastAsia="宋体" w:cs="仿宋"/>
          <w:color w:val="auto"/>
          <w:kern w:val="0"/>
          <w:sz w:val="24"/>
          <w:highlight w:val="none"/>
          <w:lang w:eastAsia="en-US"/>
        </w:rPr>
        <w:t>测试工具；</w:t>
      </w:r>
    </w:p>
    <w:p w14:paraId="1B535A2F">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en-US"/>
        </w:rPr>
      </w:pPr>
      <w:r>
        <w:rPr>
          <w:rFonts w:hint="eastAsia" w:ascii="仿宋" w:hAnsi="仿宋" w:eastAsia="宋体" w:cs="仿宋"/>
          <w:color w:val="auto"/>
          <w:kern w:val="0"/>
          <w:sz w:val="24"/>
          <w:highlight w:val="none"/>
          <w:lang w:eastAsia="en-US"/>
        </w:rPr>
        <w:t>测试数据；</w:t>
      </w:r>
    </w:p>
    <w:p w14:paraId="7CE754FC">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en-US"/>
        </w:rPr>
      </w:pPr>
      <w:r>
        <w:rPr>
          <w:rFonts w:hint="eastAsia" w:ascii="仿宋" w:hAnsi="仿宋" w:eastAsia="宋体" w:cs="仿宋"/>
          <w:color w:val="auto"/>
          <w:kern w:val="0"/>
          <w:sz w:val="24"/>
          <w:highlight w:val="none"/>
          <w:lang w:eastAsia="en-US"/>
        </w:rPr>
        <w:t>测试结果形式及文档；</w:t>
      </w:r>
    </w:p>
    <w:p w14:paraId="411844BF">
      <w:pPr>
        <w:widowControl/>
        <w:numPr>
          <w:ilvl w:val="0"/>
          <w:numId w:val="35"/>
        </w:numPr>
        <w:spacing w:line="360" w:lineRule="auto"/>
        <w:ind w:left="905" w:hanging="425" w:firstLineChars="0"/>
        <w:jc w:val="left"/>
        <w:rPr>
          <w:rFonts w:hint="eastAsia" w:ascii="仿宋" w:hAnsi="仿宋" w:eastAsia="宋体" w:cs="仿宋"/>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与测试相关的必要文档。</w:t>
      </w:r>
    </w:p>
    <w:p w14:paraId="32E1A0F6">
      <w:pPr>
        <w:keepNext/>
        <w:keepLines/>
        <w:numPr>
          <w:ilvl w:val="2"/>
          <w:numId w:val="1"/>
        </w:numPr>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bookmarkStart w:id="1782" w:name="_Toc27901"/>
      <w:bookmarkStart w:id="1783" w:name="_Toc15358"/>
      <w:r>
        <w:rPr>
          <w:rFonts w:hint="eastAsia" w:ascii="Times New Roman" w:hAnsi="Times New Roman" w:eastAsia="黑体" w:cs="Times New Roman"/>
          <w:b/>
          <w:color w:val="auto"/>
          <w:sz w:val="30"/>
          <w:highlight w:val="none"/>
          <w:lang w:val="en-US" w:eastAsia="zh-CN" w:bidi="ar-SA"/>
        </w:rPr>
        <w:t xml:space="preserve"> </w:t>
      </w:r>
      <w:bookmarkStart w:id="1784" w:name="_Toc680054682"/>
      <w:bookmarkStart w:id="1785" w:name="_Toc13881"/>
      <w:bookmarkStart w:id="1786" w:name="_Toc193093668"/>
      <w:bookmarkStart w:id="1787" w:name="_Toc1389922073"/>
      <w:bookmarkStart w:id="1788" w:name="_Toc20110"/>
      <w:bookmarkStart w:id="1789" w:name="_Toc112345874"/>
      <w:bookmarkStart w:id="1790" w:name="_Toc16174"/>
      <w:r>
        <w:rPr>
          <w:rFonts w:hint="eastAsia" w:ascii="Times New Roman" w:hAnsi="Times New Roman" w:eastAsia="黑体" w:cs="Times New Roman"/>
          <w:b/>
          <w:color w:val="auto"/>
          <w:sz w:val="30"/>
          <w:highlight w:val="none"/>
          <w:lang w:val="en-US" w:eastAsia="zh-CN" w:bidi="ar-SA"/>
        </w:rPr>
        <w:t>项目变更管理</w:t>
      </w:r>
      <w:bookmarkEnd w:id="1782"/>
      <w:bookmarkEnd w:id="1783"/>
      <w:bookmarkEnd w:id="1784"/>
      <w:bookmarkEnd w:id="1785"/>
      <w:bookmarkEnd w:id="1786"/>
      <w:bookmarkEnd w:id="1787"/>
      <w:bookmarkEnd w:id="1788"/>
      <w:bookmarkEnd w:id="1789"/>
      <w:bookmarkEnd w:id="1790"/>
    </w:p>
    <w:p w14:paraId="74CB8A9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为确保项目能够满足招标人需求变化，当项目实施过程中需要调整项目内容、进度等，需经采购人与中标人双方共同确认，同时做好项目文档变更。</w:t>
      </w:r>
    </w:p>
    <w:p w14:paraId="560BCF9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在发生变更的情况下，</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书面说明变更的原因、应对措施预测结果，管理并处理变更，使项目满足合同要求。</w:t>
      </w:r>
    </w:p>
    <w:p w14:paraId="5E7165F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应及时把所有的变更体现在有关的文档上，记录变更的原因、内容、影响、处理过程、处理结果、日期等，并书面备案。</w:t>
      </w:r>
    </w:p>
    <w:p w14:paraId="1AC1B61D">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变更管理的任务包括但不限于：分析变更请求、确认是否变更、记录变更信息、管理并控制变更的全过程。</w:t>
      </w:r>
    </w:p>
    <w:p w14:paraId="16E520BB">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ascii="Times New Roman" w:hAnsi="Times New Roman" w:eastAsia="宋体" w:cs="Times New Roman"/>
          <w:color w:val="auto"/>
          <w:kern w:val="0"/>
          <w:sz w:val="24"/>
          <w:highlight w:val="none"/>
          <w:lang w:eastAsia="zh-CN"/>
        </w:rPr>
        <w:t>没有</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的书面确认，</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不得作任何变更。</w:t>
      </w:r>
    </w:p>
    <w:p w14:paraId="69FF8FFD">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bookmarkStart w:id="1791" w:name="_Toc531688718"/>
      <w:bookmarkStart w:id="1792" w:name="_Toc7628"/>
      <w:bookmarkStart w:id="1793" w:name="_Toc17181"/>
      <w:bookmarkStart w:id="1794" w:name="_Toc531115795"/>
      <w:bookmarkStart w:id="1795" w:name="_Toc511830922"/>
      <w:r>
        <w:rPr>
          <w:rFonts w:hint="eastAsia" w:ascii="Arial" w:hAnsi="Arial" w:eastAsia="黑体" w:cs="Times New Roman"/>
          <w:b/>
          <w:color w:val="auto"/>
          <w:sz w:val="32"/>
          <w:highlight w:val="none"/>
          <w:lang w:val="en-US" w:eastAsia="zh-CN" w:bidi="ar-SA"/>
        </w:rPr>
        <w:t xml:space="preserve"> </w:t>
      </w:r>
      <w:bookmarkStart w:id="1796" w:name="_Toc558978605"/>
      <w:bookmarkStart w:id="1797" w:name="_Toc7605"/>
      <w:bookmarkStart w:id="1798" w:name="_Toc22379"/>
      <w:bookmarkStart w:id="1799" w:name="_Toc93168845"/>
      <w:bookmarkStart w:id="1800" w:name="_Toc771071040"/>
      <w:bookmarkStart w:id="1801" w:name="_Toc1610"/>
      <w:bookmarkStart w:id="1802" w:name="_Toc193093669"/>
      <w:r>
        <w:rPr>
          <w:rFonts w:hint="eastAsia" w:ascii="Arial" w:hAnsi="Arial" w:eastAsia="黑体" w:cs="Times New Roman"/>
          <w:b/>
          <w:color w:val="auto"/>
          <w:sz w:val="32"/>
          <w:highlight w:val="none"/>
          <w:lang w:val="en-US" w:eastAsia="zh-CN" w:bidi="ar-SA"/>
        </w:rPr>
        <w:t>项目质量管理</w:t>
      </w:r>
      <w:bookmarkEnd w:id="1791"/>
      <w:bookmarkEnd w:id="1792"/>
      <w:bookmarkEnd w:id="1793"/>
      <w:bookmarkEnd w:id="1794"/>
      <w:bookmarkEnd w:id="1795"/>
      <w:bookmarkEnd w:id="1796"/>
      <w:bookmarkEnd w:id="1797"/>
      <w:bookmarkEnd w:id="1798"/>
      <w:bookmarkEnd w:id="1799"/>
      <w:bookmarkEnd w:id="1800"/>
      <w:bookmarkEnd w:id="1801"/>
      <w:bookmarkEnd w:id="1802"/>
    </w:p>
    <w:p w14:paraId="220BAE71">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应建立严格的质量保证体系，制定项目实施质量控制方案和实施措施，并督促落实各环节质量控制内容和目标；保证项目实施与验收各个阶段工作满足</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对质量的要求。</w:t>
      </w:r>
    </w:p>
    <w:p w14:paraId="7657EEE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应根据整个系统开发、现场部署的工作计划，对阶段性工作成果进行审查和测试，并向</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提交里程碑式工作成果。通过保证各阶段性成果的质量，最终保证整个项目实施的质量。</w:t>
      </w:r>
    </w:p>
    <w:p w14:paraId="04F3D47E">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应确保把相关的技术技能和知识技能有效地传递给</w:t>
      </w:r>
      <w:r>
        <w:rPr>
          <w:rFonts w:hint="eastAsia" w:ascii="Times New Roman" w:hAnsi="Times New Roman" w:eastAsia="宋体" w:cs="Times New Roman"/>
          <w:color w:val="auto"/>
          <w:kern w:val="0"/>
          <w:sz w:val="24"/>
          <w:highlight w:val="none"/>
          <w:lang w:eastAsia="zh-CN"/>
        </w:rPr>
        <w:t>招标人</w:t>
      </w:r>
      <w:r>
        <w:rPr>
          <w:rFonts w:ascii="Times New Roman" w:hAnsi="Times New Roman" w:eastAsia="宋体" w:cs="Times New Roman"/>
          <w:color w:val="auto"/>
          <w:kern w:val="0"/>
          <w:sz w:val="24"/>
          <w:highlight w:val="none"/>
          <w:lang w:eastAsia="zh-CN"/>
        </w:rPr>
        <w:t>。</w:t>
      </w:r>
    </w:p>
    <w:p w14:paraId="42B4091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应保证</w:t>
      </w:r>
      <w:r>
        <w:rPr>
          <w:rFonts w:hint="eastAsia" w:ascii="Times New Roman" w:hAnsi="Times New Roman" w:eastAsia="宋体" w:cs="Times New Roman"/>
          <w:color w:val="auto"/>
          <w:kern w:val="0"/>
          <w:sz w:val="24"/>
          <w:highlight w:val="none"/>
          <w:lang w:val="en-US" w:eastAsia="zh-CN"/>
        </w:rPr>
        <w:t>提供的软件</w:t>
      </w:r>
      <w:r>
        <w:rPr>
          <w:rFonts w:ascii="Times New Roman" w:hAnsi="Times New Roman" w:eastAsia="宋体" w:cs="Times New Roman"/>
          <w:color w:val="auto"/>
          <w:kern w:val="0"/>
          <w:sz w:val="24"/>
          <w:highlight w:val="none"/>
          <w:lang w:eastAsia="zh-CN"/>
        </w:rPr>
        <w:t>完全符合本技术要求的规定。</w:t>
      </w:r>
      <w:r>
        <w:rPr>
          <w:rFonts w:hint="eastAsia" w:ascii="Times New Roman" w:hAnsi="Times New Roman" w:eastAsia="宋体" w:cs="Times New Roman"/>
          <w:color w:val="auto"/>
          <w:kern w:val="0"/>
          <w:sz w:val="24"/>
          <w:highlight w:val="none"/>
          <w:lang w:eastAsia="zh-CN"/>
        </w:rPr>
        <w:t>中标人</w:t>
      </w:r>
      <w:r>
        <w:rPr>
          <w:rFonts w:ascii="Times New Roman" w:hAnsi="Times New Roman" w:eastAsia="宋体" w:cs="Times New Roman"/>
          <w:color w:val="auto"/>
          <w:kern w:val="0"/>
          <w:sz w:val="24"/>
          <w:highlight w:val="none"/>
          <w:lang w:eastAsia="zh-CN"/>
        </w:rPr>
        <w:t>应保证其在正常使用条件下，具有满意的性能。</w:t>
      </w:r>
    </w:p>
    <w:p w14:paraId="16CC5884">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本项目所有软件平台、设备、源代码开发成果应永久授权，项目验收前应相应升级至最新版本。</w:t>
      </w:r>
    </w:p>
    <w:p w14:paraId="675D7D79">
      <w:pPr>
        <w:keepNext/>
        <w:keepLines/>
        <w:numPr>
          <w:ilvl w:val="1"/>
          <w:numId w:val="1"/>
        </w:numPr>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803" w:name="_Toc193093671"/>
      <w:bookmarkStart w:id="1804" w:name="_Toc1572"/>
      <w:bookmarkStart w:id="1805" w:name="_Toc8779"/>
      <w:bookmarkStart w:id="1806" w:name="_Toc373199252"/>
      <w:bookmarkStart w:id="1807" w:name="_Toc1474643282"/>
      <w:bookmarkStart w:id="1808" w:name="_Toc1659942257"/>
      <w:bookmarkStart w:id="1809" w:name="_Toc17932"/>
      <w:r>
        <w:rPr>
          <w:rFonts w:ascii="Arial" w:hAnsi="Arial" w:eastAsia="黑体" w:cs="Times New Roman"/>
          <w:b/>
          <w:color w:val="auto"/>
          <w:sz w:val="32"/>
          <w:highlight w:val="none"/>
          <w:lang w:val="en-US" w:eastAsia="zh-CN" w:bidi="ar-SA"/>
        </w:rPr>
        <w:t>技术文档要求</w:t>
      </w:r>
      <w:bookmarkEnd w:id="1803"/>
      <w:bookmarkEnd w:id="1804"/>
      <w:bookmarkEnd w:id="1805"/>
      <w:bookmarkEnd w:id="1806"/>
      <w:bookmarkEnd w:id="1807"/>
      <w:bookmarkEnd w:id="1808"/>
      <w:bookmarkEnd w:id="1809"/>
      <w:r>
        <w:rPr>
          <w:rFonts w:ascii="Arial" w:hAnsi="Arial" w:eastAsia="黑体" w:cs="Times New Roman"/>
          <w:b/>
          <w:color w:val="auto"/>
          <w:sz w:val="32"/>
          <w:highlight w:val="none"/>
          <w:lang w:val="en-US" w:eastAsia="zh-CN" w:bidi="ar-SA"/>
        </w:rPr>
        <w:t xml:space="preserve"> </w:t>
      </w:r>
    </w:p>
    <w:p w14:paraId="1DB38CE6">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1、中标人提交的技术文档必须符合相关的软件文档编写规范，所有</w:t>
      </w:r>
      <w:r>
        <w:rPr>
          <w:rFonts w:hint="eastAsia" w:ascii="Times New Roman" w:hAnsi="Times New Roman" w:eastAsia="宋体" w:cs="Times New Roman"/>
          <w:color w:val="auto"/>
          <w:kern w:val="0"/>
          <w:sz w:val="24"/>
          <w:highlight w:val="none"/>
          <w:lang w:val="en-US" w:eastAsia="zh-CN"/>
        </w:rPr>
        <w:t>定制</w:t>
      </w:r>
      <w:r>
        <w:rPr>
          <w:rFonts w:hint="eastAsia" w:ascii="Times New Roman" w:hAnsi="Times New Roman" w:eastAsia="宋体" w:cs="Times New Roman"/>
          <w:color w:val="auto"/>
          <w:kern w:val="0"/>
          <w:sz w:val="24"/>
          <w:highlight w:val="none"/>
          <w:lang w:eastAsia="zh-CN"/>
        </w:rPr>
        <w:t>开发的应用软件除提交安装版外，还必须提交完整的相关设计文档及源代码程序，并由招标人确认。</w:t>
      </w:r>
    </w:p>
    <w:p w14:paraId="10E9F27C">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eastAsia="zh-CN"/>
        </w:rPr>
        <w:t>、中标人在</w:t>
      </w:r>
      <w:r>
        <w:rPr>
          <w:rFonts w:hint="eastAsia" w:ascii="Times New Roman" w:hAnsi="Times New Roman" w:eastAsia="宋体" w:cs="Times New Roman"/>
          <w:color w:val="auto"/>
          <w:kern w:val="0"/>
          <w:sz w:val="24"/>
          <w:highlight w:val="none"/>
          <w:lang w:val="en-US" w:eastAsia="zh-CN"/>
        </w:rPr>
        <w:t>定制</w:t>
      </w:r>
      <w:r>
        <w:rPr>
          <w:rFonts w:hint="eastAsia" w:ascii="Times New Roman" w:hAnsi="Times New Roman" w:eastAsia="宋体" w:cs="Times New Roman"/>
          <w:color w:val="auto"/>
          <w:kern w:val="0"/>
          <w:sz w:val="24"/>
          <w:highlight w:val="none"/>
          <w:lang w:eastAsia="zh-CN"/>
        </w:rPr>
        <w:t>软件开发完成后应提供的文档至少包括以下内容：</w:t>
      </w:r>
    </w:p>
    <w:p w14:paraId="41278A5E">
      <w:pPr>
        <w:widowControl/>
        <w:spacing w:line="360" w:lineRule="auto"/>
        <w:ind w:firstLine="420"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（1）《流程清单》；</w:t>
      </w:r>
    </w:p>
    <w:p w14:paraId="2EA48BA7">
      <w:pPr>
        <w:widowControl/>
        <w:spacing w:line="360" w:lineRule="auto"/>
        <w:ind w:firstLine="420" w:firstLineChars="0"/>
        <w:jc w:val="left"/>
        <w:rPr>
          <w:rFonts w:hint="eastAsia" w:ascii="仿宋" w:hAnsi="仿宋" w:eastAsia="宋体" w:cs="仿宋"/>
          <w:color w:val="auto"/>
          <w:kern w:val="0"/>
          <w:sz w:val="24"/>
          <w:highlight w:val="none"/>
          <w:lang w:eastAsia="zh-CN"/>
        </w:rPr>
      </w:pPr>
      <w:r>
        <w:rPr>
          <w:rFonts w:hint="eastAsia" w:ascii="仿宋" w:hAnsi="仿宋" w:eastAsia="宋体" w:cs="仿宋"/>
          <w:color w:val="auto"/>
          <w:kern w:val="0"/>
          <w:sz w:val="24"/>
          <w:highlight w:val="none"/>
          <w:lang w:eastAsia="zh-CN"/>
        </w:rPr>
        <w:t>（2）《流程说明文档》；</w:t>
      </w:r>
    </w:p>
    <w:p w14:paraId="79B7731B">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（3）《</w:t>
      </w:r>
      <w:r>
        <w:rPr>
          <w:rFonts w:hint="eastAsia" w:ascii="仿宋" w:hAnsi="仿宋" w:eastAsia="宋体" w:cs="仿宋"/>
          <w:color w:val="auto"/>
          <w:kern w:val="0"/>
          <w:sz w:val="24"/>
          <w:highlight w:val="none"/>
          <w:lang w:eastAsia="zh-CN"/>
        </w:rPr>
        <w:t>需求分析报告</w:t>
      </w:r>
      <w:r>
        <w:rPr>
          <w:rFonts w:hint="eastAsia" w:ascii="仿宋" w:hAnsi="仿宋" w:eastAsia="宋体" w:cs="仿宋"/>
          <w:color w:val="auto"/>
          <w:kern w:val="0"/>
          <w:sz w:val="24"/>
          <w:szCs w:val="32"/>
          <w:highlight w:val="none"/>
          <w:lang w:eastAsia="zh-CN"/>
        </w:rPr>
        <w:t>》；</w:t>
      </w:r>
    </w:p>
    <w:p w14:paraId="3DF298FA">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（3）《系统设计说明书（含系统架构、数据流图）》；</w:t>
      </w:r>
    </w:p>
    <w:p w14:paraId="2E4DD9C3">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（4）《测试报告》；</w:t>
      </w:r>
    </w:p>
    <w:p w14:paraId="7BAE568A">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highlight w:val="none"/>
          <w:lang w:eastAsia="zh-CN"/>
        </w:rPr>
        <w:t>（5）《功能模块的开发源代码》；</w:t>
      </w:r>
    </w:p>
    <w:p w14:paraId="53AC03DA">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（6）《软件培训资料》（含系统演示光盘）；</w:t>
      </w:r>
    </w:p>
    <w:p w14:paraId="370119A9">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（7）《数据库设计方案（含数据实体模型、数据字典等）》；</w:t>
      </w:r>
    </w:p>
    <w:p w14:paraId="2DCB5595">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（8）《数据库安装手册》；</w:t>
      </w:r>
    </w:p>
    <w:p w14:paraId="7DDC03A2">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（9）《程序安装维护手册》；</w:t>
      </w:r>
    </w:p>
    <w:p w14:paraId="117B8F35">
      <w:pPr>
        <w:widowControl/>
        <w:spacing w:line="360" w:lineRule="auto"/>
        <w:ind w:firstLine="420" w:firstLineChars="0"/>
        <w:jc w:val="left"/>
        <w:rPr>
          <w:rFonts w:hint="eastAsia" w:ascii="仿宋" w:hAnsi="仿宋" w:eastAsia="宋体" w:cs="仿宋"/>
          <w:color w:val="auto"/>
          <w:kern w:val="0"/>
          <w:sz w:val="24"/>
          <w:szCs w:val="32"/>
          <w:highlight w:val="none"/>
          <w:lang w:eastAsia="zh-CN"/>
        </w:rPr>
      </w:pPr>
      <w:r>
        <w:rPr>
          <w:rFonts w:hint="eastAsia" w:ascii="仿宋" w:hAnsi="仿宋" w:eastAsia="宋体" w:cs="仿宋"/>
          <w:color w:val="auto"/>
          <w:kern w:val="0"/>
          <w:sz w:val="24"/>
          <w:szCs w:val="32"/>
          <w:highlight w:val="none"/>
          <w:lang w:eastAsia="zh-CN"/>
        </w:rPr>
        <w:t>（10）《软件使用操作手册》；</w:t>
      </w:r>
    </w:p>
    <w:p w14:paraId="32979FD3">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仿宋" w:hAnsi="仿宋" w:eastAsia="宋体" w:cs="仿宋"/>
          <w:color w:val="auto"/>
          <w:kern w:val="0"/>
          <w:sz w:val="24"/>
          <w:highlight w:val="none"/>
          <w:lang w:eastAsia="zh-CN"/>
        </w:rPr>
        <w:t>（11）《角色权限清单》</w:t>
      </w:r>
      <w:r>
        <w:rPr>
          <w:rFonts w:hint="eastAsia" w:ascii="Times New Roman" w:hAnsi="Times New Roman" w:eastAsia="宋体" w:cs="Times New Roman"/>
          <w:color w:val="auto"/>
          <w:kern w:val="0"/>
          <w:sz w:val="24"/>
          <w:highlight w:val="none"/>
          <w:lang w:eastAsia="zh-CN"/>
        </w:rPr>
        <w:t>；</w:t>
      </w:r>
    </w:p>
    <w:p w14:paraId="51637DEF">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仿宋" w:hAnsi="仿宋" w:eastAsia="宋体" w:cs="仿宋"/>
          <w:color w:val="auto"/>
          <w:kern w:val="0"/>
          <w:sz w:val="24"/>
          <w:highlight w:val="none"/>
          <w:lang w:eastAsia="zh-CN"/>
        </w:rPr>
        <w:t>（12）</w:t>
      </w:r>
      <w:r>
        <w:rPr>
          <w:rFonts w:hint="eastAsia" w:ascii="Times New Roman" w:hAnsi="Times New Roman" w:eastAsia="宋体" w:cs="Times New Roman"/>
          <w:color w:val="auto"/>
          <w:kern w:val="0"/>
          <w:sz w:val="24"/>
          <w:highlight w:val="none"/>
          <w:lang w:eastAsia="zh-CN"/>
        </w:rPr>
        <w:t>《服务器资源清单》；</w:t>
      </w:r>
    </w:p>
    <w:p w14:paraId="5E64E7C4">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仿宋" w:hAnsi="仿宋" w:eastAsia="宋体" w:cs="仿宋"/>
          <w:color w:val="auto"/>
          <w:kern w:val="0"/>
          <w:sz w:val="24"/>
          <w:highlight w:val="none"/>
          <w:lang w:eastAsia="zh-CN"/>
        </w:rPr>
        <w:t>（13）</w:t>
      </w:r>
      <w:r>
        <w:rPr>
          <w:rFonts w:hint="eastAsia" w:ascii="Times New Roman" w:hAnsi="Times New Roman" w:eastAsia="宋体" w:cs="Times New Roman"/>
          <w:color w:val="auto"/>
          <w:kern w:val="0"/>
          <w:sz w:val="24"/>
          <w:highlight w:val="none"/>
          <w:lang w:eastAsia="zh-CN"/>
        </w:rPr>
        <w:t>《系统接口说明书》；</w:t>
      </w:r>
    </w:p>
    <w:p w14:paraId="5B20B76B">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（14）《系统试运行报告》；</w:t>
      </w:r>
    </w:p>
    <w:p w14:paraId="3B64234C">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（15）《系统备份和恢复方案》；</w:t>
      </w:r>
    </w:p>
    <w:p w14:paraId="736424E6">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（16） 与项目有关的其它文档等。</w:t>
      </w:r>
    </w:p>
    <w:p w14:paraId="0E6853E9">
      <w:pPr>
        <w:keepNext/>
        <w:keepLines/>
        <w:numPr>
          <w:ilvl w:val="1"/>
          <w:numId w:val="1"/>
        </w:numPr>
        <w:tabs>
          <w:tab w:val="left" w:pos="576"/>
          <w:tab w:val="left" w:pos="720"/>
          <w:tab w:val="left" w:pos="2705"/>
          <w:tab w:val="clear" w:pos="420"/>
        </w:tabs>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810" w:name="_Toc15531"/>
      <w:bookmarkStart w:id="1811" w:name="_Toc1233"/>
      <w:bookmarkStart w:id="1812" w:name="_Toc20445"/>
      <w:bookmarkStart w:id="1813" w:name="_Toc193093672"/>
      <w:bookmarkStart w:id="1814" w:name="_Toc689455222"/>
      <w:bookmarkStart w:id="1815" w:name="_Toc220870547"/>
      <w:bookmarkStart w:id="1816" w:name="_Toc1707579124"/>
      <w:r>
        <w:rPr>
          <w:rFonts w:hint="eastAsia" w:ascii="Arial" w:hAnsi="Arial" w:eastAsia="黑体" w:cs="Times New Roman"/>
          <w:b/>
          <w:color w:val="auto"/>
          <w:sz w:val="32"/>
          <w:highlight w:val="none"/>
          <w:lang w:val="en-US" w:eastAsia="zh-CN" w:bidi="ar-SA"/>
        </w:rPr>
        <w:t>项目</w:t>
      </w:r>
      <w:r>
        <w:rPr>
          <w:rFonts w:ascii="Arial" w:hAnsi="Arial" w:eastAsia="黑体" w:cs="Times New Roman"/>
          <w:b/>
          <w:color w:val="auto"/>
          <w:sz w:val="32"/>
          <w:highlight w:val="none"/>
          <w:lang w:val="en-US" w:eastAsia="zh-CN" w:bidi="ar-SA"/>
        </w:rPr>
        <w:t>培训</w:t>
      </w:r>
      <w:r>
        <w:rPr>
          <w:rFonts w:hint="eastAsia" w:ascii="Arial" w:hAnsi="Arial" w:eastAsia="黑体" w:cs="Times New Roman"/>
          <w:b/>
          <w:color w:val="auto"/>
          <w:sz w:val="32"/>
          <w:highlight w:val="none"/>
          <w:lang w:val="en-US" w:eastAsia="zh-CN" w:bidi="ar-SA"/>
        </w:rPr>
        <w:t>要求</w:t>
      </w:r>
      <w:bookmarkEnd w:id="1810"/>
      <w:bookmarkEnd w:id="1811"/>
      <w:bookmarkEnd w:id="1812"/>
      <w:bookmarkEnd w:id="1813"/>
      <w:bookmarkEnd w:id="1814"/>
      <w:bookmarkEnd w:id="1815"/>
      <w:bookmarkEnd w:id="1816"/>
      <w:r>
        <w:rPr>
          <w:rFonts w:ascii="Arial" w:hAnsi="Arial" w:eastAsia="黑体" w:cs="Times New Roman"/>
          <w:b/>
          <w:color w:val="auto"/>
          <w:sz w:val="32"/>
          <w:highlight w:val="none"/>
          <w:lang w:val="en-US" w:eastAsia="zh-CN" w:bidi="ar-SA"/>
        </w:rPr>
        <w:t xml:space="preserve"> </w:t>
      </w:r>
    </w:p>
    <w:p w14:paraId="67990410">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中标人应对招标人的相关人员开展全面、完整的培训，满足招标人完整</w:t>
      </w:r>
      <w:r>
        <w:rPr>
          <w:rFonts w:hint="eastAsia" w:ascii="Times New Roman" w:hAnsi="Times New Roman" w:eastAsia="宋体" w:cs="Times New Roman"/>
          <w:color w:val="auto"/>
          <w:kern w:val="0"/>
          <w:sz w:val="24"/>
          <w:highlight w:val="none"/>
          <w:lang w:val="en-US" w:eastAsia="zh-CN"/>
        </w:rPr>
        <w:t>了解</w:t>
      </w:r>
      <w:r>
        <w:rPr>
          <w:rFonts w:hint="eastAsia" w:ascii="Times New Roman" w:hAnsi="Times New Roman" w:eastAsia="宋体" w:cs="Times New Roman"/>
          <w:color w:val="auto"/>
          <w:kern w:val="0"/>
          <w:sz w:val="24"/>
          <w:highlight w:val="none"/>
          <w:lang w:eastAsia="zh-CN"/>
        </w:rPr>
        <w:t>整个平台内容的要求，实现整体的技术转移。培训费用由中标人承担，该费用已包含在合同价中。</w:t>
      </w:r>
    </w:p>
    <w:p w14:paraId="0225485C">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817" w:name="_Toc30101"/>
      <w:bookmarkStart w:id="1818" w:name="_Toc4056"/>
      <w:bookmarkStart w:id="1819" w:name="_Toc1319541413"/>
      <w:bookmarkStart w:id="1820" w:name="_Toc310878560"/>
      <w:bookmarkStart w:id="1821" w:name="_Toc1999640589"/>
      <w:bookmarkStart w:id="1822" w:name="_Toc193093673"/>
      <w:bookmarkStart w:id="1823" w:name="_Toc9328"/>
      <w:r>
        <w:rPr>
          <w:rFonts w:hint="eastAsia" w:ascii="Times New Roman" w:hAnsi="Times New Roman" w:eastAsia="黑体" w:cs="Times New Roman"/>
          <w:b/>
          <w:color w:val="auto"/>
          <w:sz w:val="30"/>
          <w:highlight w:val="none"/>
          <w:lang w:val="en-US" w:eastAsia="zh-CN" w:bidi="ar-SA"/>
        </w:rPr>
        <w:t>培训方案</w:t>
      </w:r>
      <w:bookmarkEnd w:id="1817"/>
      <w:bookmarkEnd w:id="1818"/>
      <w:bookmarkEnd w:id="1819"/>
      <w:bookmarkEnd w:id="1820"/>
      <w:bookmarkEnd w:id="1821"/>
      <w:bookmarkEnd w:id="1822"/>
      <w:bookmarkEnd w:id="1823"/>
      <w:r>
        <w:rPr>
          <w:rFonts w:hint="eastAsia" w:ascii="Times New Roman" w:hAnsi="Times New Roman" w:eastAsia="黑体" w:cs="Times New Roman"/>
          <w:b/>
          <w:color w:val="auto"/>
          <w:sz w:val="30"/>
          <w:highlight w:val="none"/>
          <w:lang w:val="en-US" w:eastAsia="zh-CN" w:bidi="ar-SA"/>
        </w:rPr>
        <w:t xml:space="preserve"> </w:t>
      </w:r>
    </w:p>
    <w:p w14:paraId="58927211">
      <w:pPr>
        <w:widowControl/>
        <w:spacing w:line="360" w:lineRule="auto"/>
        <w:ind w:firstLine="480" w:firstLineChars="20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kern w:val="0"/>
          <w:sz w:val="24"/>
          <w:szCs w:val="21"/>
          <w:highlight w:val="none"/>
          <w:lang w:eastAsia="zh-CN"/>
        </w:rPr>
        <w:t>中标人应提供详细的培训计划，其目的是通过培训，让培训人员</w:t>
      </w:r>
      <w:r>
        <w:rPr>
          <w:rFonts w:hint="eastAsia" w:ascii="宋体" w:hAnsi="宋体" w:eastAsia="宋体" w:cs="宋体"/>
          <w:color w:val="auto"/>
          <w:kern w:val="0"/>
          <w:sz w:val="24"/>
          <w:szCs w:val="21"/>
          <w:highlight w:val="none"/>
          <w:lang w:val="en-US" w:eastAsia="zh-CN"/>
        </w:rPr>
        <w:t>熟悉</w:t>
      </w:r>
      <w:r>
        <w:rPr>
          <w:rFonts w:hint="eastAsia" w:ascii="宋体" w:hAnsi="宋体" w:eastAsia="宋体" w:cs="宋体"/>
          <w:color w:val="auto"/>
          <w:kern w:val="0"/>
          <w:sz w:val="24"/>
          <w:szCs w:val="21"/>
          <w:highlight w:val="none"/>
          <w:lang w:eastAsia="zh-CN"/>
        </w:rPr>
        <w:t xml:space="preserve">操作、维护、更新系统、二次开发应用的方法。 </w:t>
      </w:r>
    </w:p>
    <w:p w14:paraId="0588ACA4">
      <w:pPr>
        <w:widowControl/>
        <w:spacing w:line="360" w:lineRule="auto"/>
        <w:ind w:firstLine="480" w:firstLineChars="20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kern w:val="0"/>
          <w:sz w:val="24"/>
          <w:szCs w:val="21"/>
          <w:highlight w:val="none"/>
          <w:lang w:eastAsia="zh-CN"/>
        </w:rPr>
        <w:t xml:space="preserve">培训方案的内容主要包括：培训计划书、主体课程、培训教材、培训方式、培训讲师、培训周期、评估办法、保证措施等。 </w:t>
      </w:r>
    </w:p>
    <w:p w14:paraId="0E5FF8F5">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824" w:name="_Toc1987787420"/>
      <w:bookmarkStart w:id="1825" w:name="_Toc108244769"/>
      <w:bookmarkStart w:id="1826" w:name="_Toc19840"/>
      <w:bookmarkStart w:id="1827" w:name="_Toc193093674"/>
      <w:bookmarkStart w:id="1828" w:name="_Toc21121"/>
      <w:bookmarkStart w:id="1829" w:name="_Toc24262"/>
      <w:bookmarkStart w:id="1830" w:name="_Toc468905722"/>
      <w:r>
        <w:rPr>
          <w:rFonts w:hint="eastAsia" w:ascii="Times New Roman" w:hAnsi="Times New Roman" w:eastAsia="黑体" w:cs="Times New Roman"/>
          <w:b/>
          <w:color w:val="auto"/>
          <w:sz w:val="30"/>
          <w:highlight w:val="none"/>
          <w:lang w:val="en-US" w:eastAsia="zh-CN" w:bidi="ar-SA"/>
        </w:rPr>
        <w:t>培训内容</w:t>
      </w:r>
      <w:bookmarkEnd w:id="1824"/>
      <w:bookmarkEnd w:id="1825"/>
      <w:bookmarkEnd w:id="1826"/>
      <w:bookmarkEnd w:id="1827"/>
      <w:bookmarkEnd w:id="1828"/>
      <w:bookmarkEnd w:id="1829"/>
      <w:bookmarkEnd w:id="1830"/>
    </w:p>
    <w:p w14:paraId="75F2DE02">
      <w:pPr>
        <w:widowControl/>
        <w:spacing w:line="360" w:lineRule="auto"/>
        <w:ind w:firstLine="480" w:firstLineChars="20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系统操作人员的培训至少 2 批次，包括软件操作培训，使用户了解</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系统基本组成及原理，熟练操作步骤。主要培训系统的使用操作人员，人员数据由招标人根据实际情况决定。</w:t>
      </w:r>
    </w:p>
    <w:p w14:paraId="21E9716A">
      <w:pPr>
        <w:widowControl/>
        <w:spacing w:line="360" w:lineRule="auto"/>
        <w:ind w:firstLine="420" w:firstLineChars="0"/>
        <w:jc w:val="left"/>
        <w:rPr>
          <w:rFonts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系统维护人员的培训至少 2 批次，熟悉整个系统软硬件结构、系统的配置、系统基本组成及原理、系统的操作与运行管理、系统的安装、检测、维护、排除故障的基本技术、系统日常维护的各种技术，包括</w:t>
      </w:r>
      <w:r>
        <w:rPr>
          <w:rFonts w:hint="eastAsia" w:ascii="Times New Roman" w:hAnsi="Times New Roman" w:eastAsia="宋体" w:cs="Times New Roman"/>
          <w:color w:val="auto"/>
          <w:kern w:val="0"/>
          <w:sz w:val="24"/>
          <w:highlight w:val="none"/>
          <w:lang w:val="en-US" w:eastAsia="zh-CN"/>
        </w:rPr>
        <w:t>软件</w:t>
      </w:r>
      <w:r>
        <w:rPr>
          <w:rFonts w:hint="eastAsia" w:ascii="Times New Roman" w:hAnsi="Times New Roman" w:eastAsia="宋体" w:cs="Times New Roman"/>
          <w:color w:val="auto"/>
          <w:kern w:val="0"/>
          <w:sz w:val="24"/>
          <w:highlight w:val="none"/>
          <w:lang w:eastAsia="zh-CN"/>
        </w:rPr>
        <w:t>系统的特性、结构、维护和维修要求等，以及信息化应用平台的管理和维护、硬件管理和维护、网络管理和维护以及安全管理等。</w:t>
      </w:r>
    </w:p>
    <w:p w14:paraId="6AC5175C">
      <w:pPr>
        <w:widowControl/>
        <w:spacing w:line="360" w:lineRule="auto"/>
        <w:ind w:firstLine="480" w:firstLineChars="200"/>
        <w:rPr>
          <w:rFonts w:hint="eastAsia" w:ascii="宋体" w:hAnsi="宋体" w:eastAsia="宋体" w:cs="宋体"/>
          <w:color w:val="auto"/>
          <w:kern w:val="0"/>
          <w:sz w:val="24"/>
          <w:szCs w:val="24"/>
          <w:highlight w:val="none"/>
          <w:lang w:eastAsia="zh-CN" w:bidi="ar"/>
        </w:rPr>
      </w:pPr>
      <w:r>
        <w:rPr>
          <w:rFonts w:hint="eastAsia" w:ascii="Times New Roman" w:hAnsi="Times New Roman" w:eastAsia="宋体" w:cs="Times New Roman"/>
          <w:color w:val="auto"/>
          <w:kern w:val="0"/>
          <w:sz w:val="24"/>
          <w:highlight w:val="none"/>
          <w:lang w:eastAsia="zh-CN"/>
        </w:rPr>
        <w:t>系统高级技术人员的培训至少 2 批次，通过各种培训方式，使技术人员</w:t>
      </w:r>
      <w:r>
        <w:rPr>
          <w:rFonts w:hint="eastAsia" w:ascii="Times New Roman" w:hAnsi="Times New Roman" w:eastAsia="宋体" w:cs="Times New Roman"/>
          <w:color w:val="auto"/>
          <w:kern w:val="0"/>
          <w:sz w:val="24"/>
          <w:highlight w:val="none"/>
          <w:lang w:val="en-US" w:eastAsia="zh-CN"/>
        </w:rPr>
        <w:t>熟悉</w:t>
      </w:r>
      <w:r>
        <w:rPr>
          <w:rFonts w:hint="eastAsia" w:ascii="Times New Roman" w:hAnsi="Times New Roman" w:eastAsia="宋体" w:cs="Times New Roman"/>
          <w:color w:val="auto"/>
          <w:kern w:val="0"/>
          <w:sz w:val="24"/>
          <w:highlight w:val="none"/>
          <w:lang w:eastAsia="zh-CN"/>
        </w:rPr>
        <w:t>本项目涉及的数据库、中间件、数据工具等技术，针对本项目定制部分产生的源代码、数字字典等进行培训，</w:t>
      </w:r>
      <w:r>
        <w:rPr>
          <w:rFonts w:hint="eastAsia" w:ascii="Times New Roman" w:hAnsi="Times New Roman" w:eastAsia="宋体" w:cs="Times New Roman"/>
          <w:color w:val="auto"/>
          <w:kern w:val="0"/>
          <w:sz w:val="24"/>
          <w:highlight w:val="none"/>
          <w:lang w:val="en-US" w:eastAsia="zh-CN"/>
        </w:rPr>
        <w:t>了解</w:t>
      </w:r>
      <w:r>
        <w:rPr>
          <w:rFonts w:hint="eastAsia" w:ascii="Times New Roman" w:hAnsi="Times New Roman" w:eastAsia="宋体" w:cs="Times New Roman"/>
          <w:color w:val="auto"/>
          <w:kern w:val="0"/>
          <w:sz w:val="24"/>
          <w:highlight w:val="none"/>
          <w:lang w:eastAsia="zh-CN"/>
        </w:rPr>
        <w:t>系统提供的二次开发及系统允许的功能性调整和维护能力，能够在系统开发过程中进行技术决策参与开发，在系统实施过程中能够参与项目管理和系统搭建，在系统维护过程中能够自行维护。</w:t>
      </w:r>
      <w:r>
        <w:rPr>
          <w:rFonts w:hint="eastAsia" w:ascii="宋体" w:hAnsi="宋体" w:eastAsia="宋体" w:cs="宋体"/>
          <w:color w:val="auto"/>
          <w:kern w:val="0"/>
          <w:sz w:val="24"/>
          <w:szCs w:val="24"/>
          <w:highlight w:val="none"/>
          <w:lang w:eastAsia="zh-CN" w:bidi="ar"/>
        </w:rPr>
        <w:t xml:space="preserve"> </w:t>
      </w:r>
    </w:p>
    <w:p w14:paraId="0773C089">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831" w:name="_Toc1780968811"/>
      <w:bookmarkStart w:id="1832" w:name="_Toc21676"/>
      <w:bookmarkStart w:id="1833" w:name="_Toc193093675"/>
      <w:bookmarkStart w:id="1834" w:name="_Toc16866"/>
      <w:bookmarkStart w:id="1835" w:name="_Toc351183574"/>
      <w:bookmarkStart w:id="1836" w:name="_Toc340071561"/>
      <w:bookmarkStart w:id="1837" w:name="_Toc26794"/>
      <w:r>
        <w:rPr>
          <w:rFonts w:hint="eastAsia" w:ascii="Times New Roman" w:hAnsi="Times New Roman" w:eastAsia="黑体" w:cs="Times New Roman"/>
          <w:b/>
          <w:color w:val="auto"/>
          <w:sz w:val="30"/>
          <w:highlight w:val="none"/>
          <w:lang w:val="en-US" w:eastAsia="zh-CN" w:bidi="ar-SA"/>
        </w:rPr>
        <w:t>现场培训</w:t>
      </w:r>
      <w:bookmarkEnd w:id="1831"/>
      <w:bookmarkEnd w:id="1832"/>
      <w:bookmarkEnd w:id="1833"/>
      <w:bookmarkEnd w:id="1834"/>
      <w:bookmarkEnd w:id="1835"/>
      <w:bookmarkEnd w:id="1836"/>
      <w:bookmarkEnd w:id="1837"/>
    </w:p>
    <w:p w14:paraId="7B409791">
      <w:pPr>
        <w:widowControl/>
        <w:spacing w:line="360" w:lineRule="auto"/>
        <w:ind w:firstLine="480" w:firstLineChars="200"/>
        <w:jc w:val="left"/>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通过在使用现场集中讲解与操作，受训人员对系统基本原理、技术特性、操作规范、运行规程、管理维护等方面获得全面了解。</w:t>
      </w:r>
    </w:p>
    <w:p w14:paraId="17735FA9">
      <w:pPr>
        <w:keepNext/>
        <w:keepLines/>
        <w:numPr>
          <w:ilvl w:val="2"/>
          <w:numId w:val="1"/>
        </w:numPr>
        <w:tabs>
          <w:tab w:val="left" w:pos="284"/>
          <w:tab w:val="left" w:pos="709"/>
          <w:tab w:val="left" w:pos="851"/>
          <w:tab w:val="left" w:pos="993"/>
          <w:tab w:val="clear" w:pos="420"/>
        </w:tabs>
        <w:spacing w:line="360" w:lineRule="auto"/>
        <w:ind w:left="720" w:firstLine="200" w:firstLineChars="0"/>
        <w:jc w:val="both"/>
        <w:outlineLvl w:val="2"/>
        <w:rPr>
          <w:rFonts w:ascii="Times New Roman" w:hAnsi="Times New Roman" w:eastAsia="黑体" w:cs="Times New Roman"/>
          <w:b/>
          <w:color w:val="auto"/>
          <w:sz w:val="30"/>
          <w:highlight w:val="none"/>
          <w:lang w:val="en-US" w:eastAsia="zh-CN" w:bidi="ar-SA"/>
        </w:rPr>
      </w:pPr>
      <w:r>
        <w:rPr>
          <w:rFonts w:hint="eastAsia" w:ascii="Times New Roman" w:hAnsi="Times New Roman" w:eastAsia="黑体" w:cs="Times New Roman"/>
          <w:b/>
          <w:color w:val="auto"/>
          <w:sz w:val="30"/>
          <w:highlight w:val="none"/>
          <w:lang w:val="en-US" w:eastAsia="zh-CN" w:bidi="ar-SA"/>
        </w:rPr>
        <w:t xml:space="preserve"> </w:t>
      </w:r>
      <w:bookmarkStart w:id="1838" w:name="_Toc21190"/>
      <w:bookmarkStart w:id="1839" w:name="_Toc18931"/>
      <w:bookmarkStart w:id="1840" w:name="_Toc193093676"/>
      <w:bookmarkStart w:id="1841" w:name="_Toc1057266262"/>
      <w:bookmarkStart w:id="1842" w:name="_Toc1115734591"/>
      <w:bookmarkStart w:id="1843" w:name="_Toc1128741060"/>
      <w:bookmarkStart w:id="1844" w:name="_Toc5101"/>
      <w:r>
        <w:rPr>
          <w:rFonts w:hint="eastAsia" w:ascii="Times New Roman" w:hAnsi="Times New Roman" w:eastAsia="黑体" w:cs="Times New Roman"/>
          <w:b/>
          <w:color w:val="auto"/>
          <w:sz w:val="30"/>
          <w:highlight w:val="none"/>
          <w:lang w:val="en-US" w:eastAsia="zh-CN" w:bidi="ar-SA"/>
        </w:rPr>
        <w:t>集中培训</w:t>
      </w:r>
      <w:bookmarkEnd w:id="1838"/>
      <w:bookmarkEnd w:id="1839"/>
      <w:bookmarkEnd w:id="1840"/>
      <w:bookmarkEnd w:id="1841"/>
      <w:bookmarkEnd w:id="1842"/>
      <w:bookmarkEnd w:id="1843"/>
      <w:bookmarkEnd w:id="1844"/>
    </w:p>
    <w:p w14:paraId="648FA61B">
      <w:pPr>
        <w:widowControl/>
        <w:spacing w:line="360" w:lineRule="auto"/>
        <w:ind w:firstLine="480" w:firstLineChars="200"/>
        <w:jc w:val="left"/>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 xml:space="preserve">在招标人认可培训方案后，由中标人组织进行集中培训。 </w:t>
      </w:r>
    </w:p>
    <w:p w14:paraId="78684169">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eastAsia="宋体" w:cs="宋体"/>
          <w:color w:val="auto"/>
          <w:kern w:val="0"/>
          <w:sz w:val="24"/>
          <w:szCs w:val="24"/>
          <w:highlight w:val="none"/>
          <w:lang w:eastAsia="zh-CN" w:bidi="ar"/>
        </w:rPr>
        <w:t>应预先制定周密的培训计划，列出详细课程安排及拟投入的教师资质，配备足量的合格培训教材与教师讲义(采用中文或经双方商定的其它语言编写)，培训形式与培训质量应获得招标人认可。</w:t>
      </w:r>
    </w:p>
    <w:p w14:paraId="68895E24">
      <w:pPr>
        <w:keepNext/>
        <w:keepLines/>
        <w:numPr>
          <w:ilvl w:val="1"/>
          <w:numId w:val="1"/>
        </w:numPr>
        <w:tabs>
          <w:tab w:val="left" w:pos="576"/>
          <w:tab w:val="left" w:pos="720"/>
          <w:tab w:val="left" w:pos="2705"/>
          <w:tab w:val="clear" w:pos="420"/>
        </w:tabs>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845" w:name="_Toc2027941469"/>
      <w:bookmarkStart w:id="1846" w:name="_Toc1194370156"/>
      <w:bookmarkStart w:id="1847" w:name="_Toc9812"/>
      <w:bookmarkStart w:id="1848" w:name="_Toc193093677"/>
      <w:bookmarkStart w:id="1849" w:name="_Toc13452"/>
      <w:bookmarkStart w:id="1850" w:name="_Toc22604"/>
      <w:bookmarkStart w:id="1851" w:name="_Toc324065333"/>
      <w:r>
        <w:rPr>
          <w:rFonts w:hint="eastAsia" w:ascii="Arial" w:hAnsi="Arial" w:eastAsia="黑体" w:cs="Times New Roman"/>
          <w:b/>
          <w:color w:val="auto"/>
          <w:sz w:val="32"/>
          <w:highlight w:val="none"/>
          <w:lang w:val="en-US" w:eastAsia="zh-CN" w:bidi="ar-SA"/>
        </w:rPr>
        <w:t>项目</w:t>
      </w:r>
      <w:r>
        <w:rPr>
          <w:rFonts w:ascii="Arial" w:hAnsi="Arial" w:eastAsia="黑体" w:cs="Times New Roman"/>
          <w:b/>
          <w:color w:val="auto"/>
          <w:sz w:val="32"/>
          <w:highlight w:val="none"/>
          <w:lang w:val="en-US" w:eastAsia="zh-CN" w:bidi="ar-SA"/>
        </w:rPr>
        <w:t>知识产权归属</w:t>
      </w:r>
      <w:bookmarkEnd w:id="1845"/>
      <w:bookmarkEnd w:id="1846"/>
      <w:bookmarkEnd w:id="1847"/>
      <w:bookmarkEnd w:id="1848"/>
      <w:bookmarkEnd w:id="1849"/>
      <w:bookmarkEnd w:id="1850"/>
      <w:bookmarkEnd w:id="1851"/>
    </w:p>
    <w:p w14:paraId="7EBF645B">
      <w:pPr>
        <w:widowControl/>
        <w:numPr>
          <w:ilvl w:val="0"/>
          <w:numId w:val="36"/>
        </w:num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中标人根据本合同专门为招标人定制开发产生的技术服务成果（不包含中标人背景知识产权），双方共同拥有知识产权，本项目应产生不少于</w:t>
      </w:r>
      <w:r>
        <w:rPr>
          <w:rFonts w:hint="eastAsia" w:ascii="宋体" w:hAnsi="宋体" w:cs="宋体"/>
          <w:color w:val="auto"/>
          <w:kern w:val="0"/>
          <w:sz w:val="24"/>
          <w:highlight w:val="none"/>
          <w:lang w:val="en-US" w:eastAsia="zh-CN"/>
        </w:rPr>
        <w:t>15</w:t>
      </w:r>
      <w:r>
        <w:rPr>
          <w:rFonts w:hint="eastAsia" w:ascii="宋体" w:hAnsi="宋体" w:eastAsia="宋体" w:cs="宋体"/>
          <w:color w:val="auto"/>
          <w:kern w:val="0"/>
          <w:sz w:val="24"/>
          <w:highlight w:val="none"/>
          <w:lang w:eastAsia="zh-CN"/>
        </w:rPr>
        <w:t>项软件著作权、3项专利、2篇标准、3篇论文等成果申报。中标人应配合招标人完成本项目相关的专著、软件著作权、论文、专利、标准、科技奖等成果申报。</w:t>
      </w:r>
    </w:p>
    <w:p w14:paraId="7689488D">
      <w:pPr>
        <w:numPr>
          <w:ilvl w:val="0"/>
          <w:numId w:val="36"/>
        </w:numPr>
        <w:spacing w:line="360" w:lineRule="auto"/>
        <w:ind w:firstLine="480" w:firstLineChars="200"/>
        <w:jc w:val="left"/>
        <w:rPr>
          <w:rFonts w:hint="eastAsia" w:ascii="宋体" w:hAnsi="宋体" w:eastAsia="宋体" w:cs="宋体"/>
          <w:color w:val="auto"/>
          <w:sz w:val="24"/>
          <w:highlight w:val="none"/>
          <w:lang w:val="en-US" w:eastAsia="zh-CN" w:bidi="ar-SA"/>
        </w:rPr>
      </w:pPr>
      <w:r>
        <w:rPr>
          <w:rFonts w:hint="eastAsia" w:ascii="宋体" w:hAnsi="宋体" w:eastAsia="宋体" w:cs="宋体"/>
          <w:color w:val="auto"/>
          <w:sz w:val="24"/>
          <w:highlight w:val="none"/>
          <w:lang w:val="en-US" w:eastAsia="zh-CN" w:bidi="ar-SA"/>
        </w:rPr>
        <w:t>中标人的背景知识产权是指本协议生效之前就已经存在的知识产权或由中标人或其关联公司在独立于本项目之外创造的知识产权，仍归中标人所有，但须永久授权招标人在招标人公司范围内使用，无须支付</w:t>
      </w:r>
      <w:r>
        <w:rPr>
          <w:rFonts w:hint="eastAsia" w:ascii="宋体" w:hAnsi="宋体" w:eastAsia="宋体" w:cs="Arial"/>
          <w:color w:val="auto"/>
          <w:sz w:val="24"/>
          <w:highlight w:val="none"/>
          <w:lang w:val="en-US" w:eastAsia="zh-CN" w:bidi="ar-SA"/>
        </w:rPr>
        <w:t>约定之外的任何费用</w:t>
      </w:r>
      <w:r>
        <w:rPr>
          <w:rFonts w:hint="eastAsia" w:ascii="宋体" w:hAnsi="宋体" w:eastAsia="宋体" w:cs="宋体"/>
          <w:color w:val="auto"/>
          <w:sz w:val="24"/>
          <w:highlight w:val="none"/>
          <w:lang w:val="en-US" w:eastAsia="zh-CN" w:bidi="ar-SA"/>
        </w:rPr>
        <w:t>。</w:t>
      </w:r>
    </w:p>
    <w:p w14:paraId="3A1E1FC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3、中标人保证对所提供的软件或技术享有合法的权利，没有侵犯任何第三方的权利。如因前述原因导致招标人被第三方主张权利的，中标人应无条件配合处理，并承担最终的后果。</w:t>
      </w:r>
    </w:p>
    <w:p w14:paraId="4698D75D">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4、中标人应与招标人签订关于本项目的保密协议。</w:t>
      </w:r>
    </w:p>
    <w:p w14:paraId="5E3D6CCF">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5、中标人应提供给招标人本项目产生的源代码、数字字典等并提供相关培训。</w:t>
      </w:r>
    </w:p>
    <w:p w14:paraId="045BBEBE">
      <w:pPr>
        <w:keepNext/>
        <w:keepLines/>
        <w:numPr>
          <w:ilvl w:val="1"/>
          <w:numId w:val="1"/>
        </w:numPr>
        <w:tabs>
          <w:tab w:val="left" w:pos="576"/>
          <w:tab w:val="left" w:pos="720"/>
          <w:tab w:val="left" w:pos="2705"/>
          <w:tab w:val="clear" w:pos="420"/>
        </w:tabs>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852" w:name="_Toc3558"/>
      <w:bookmarkStart w:id="1853" w:name="_Toc899307946"/>
      <w:bookmarkStart w:id="1854" w:name="_Toc1249563383"/>
      <w:bookmarkStart w:id="1855" w:name="_Toc17279"/>
      <w:bookmarkStart w:id="1856" w:name="_Toc193093678"/>
      <w:bookmarkStart w:id="1857" w:name="_Toc18585"/>
      <w:bookmarkStart w:id="1858" w:name="_Toc547522939"/>
      <w:r>
        <w:rPr>
          <w:rFonts w:hint="eastAsia" w:ascii="Arial" w:hAnsi="Arial" w:eastAsia="黑体" w:cs="Times New Roman"/>
          <w:b/>
          <w:color w:val="auto"/>
          <w:sz w:val="32"/>
          <w:highlight w:val="none"/>
          <w:lang w:val="en-US" w:eastAsia="zh-CN" w:bidi="ar-SA"/>
        </w:rPr>
        <w:t>项目其他要求</w:t>
      </w:r>
      <w:bookmarkEnd w:id="1852"/>
      <w:bookmarkEnd w:id="1853"/>
      <w:bookmarkEnd w:id="1854"/>
      <w:bookmarkEnd w:id="1855"/>
      <w:bookmarkEnd w:id="1856"/>
      <w:bookmarkEnd w:id="1857"/>
      <w:bookmarkEnd w:id="1858"/>
    </w:p>
    <w:p w14:paraId="3551837D">
      <w:pPr>
        <w:widowControl/>
        <w:spacing w:line="360" w:lineRule="auto"/>
        <w:ind w:firstLine="480" w:firstLineChars="20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kern w:val="0"/>
          <w:sz w:val="24"/>
          <w:szCs w:val="21"/>
          <w:highlight w:val="none"/>
          <w:lang w:val="en-US" w:eastAsia="zh-CN"/>
        </w:rPr>
        <w:t>1</w:t>
      </w:r>
      <w:r>
        <w:rPr>
          <w:rFonts w:hint="eastAsia" w:ascii="宋体" w:hAnsi="宋体" w:eastAsia="宋体" w:cs="宋体"/>
          <w:color w:val="auto"/>
          <w:kern w:val="0"/>
          <w:sz w:val="24"/>
          <w:szCs w:val="21"/>
          <w:highlight w:val="none"/>
          <w:lang w:eastAsia="zh-CN"/>
        </w:rPr>
        <w:t xml:space="preserve">、中标人应充分考虑满足投标项目的建设要求，提出完整的项目管理、项目实施、项目验收、售后服务方案。 </w:t>
      </w:r>
    </w:p>
    <w:p w14:paraId="0EA5079D">
      <w:pPr>
        <w:widowControl/>
        <w:spacing w:line="360" w:lineRule="auto"/>
        <w:ind w:firstLine="420" w:firstLineChars="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kern w:val="0"/>
          <w:sz w:val="24"/>
          <w:szCs w:val="21"/>
          <w:highlight w:val="none"/>
          <w:lang w:val="en-US" w:eastAsia="zh-CN"/>
        </w:rPr>
        <w:t>2</w:t>
      </w:r>
      <w:r>
        <w:rPr>
          <w:rFonts w:hint="eastAsia" w:ascii="宋体" w:hAnsi="宋体" w:eastAsia="宋体" w:cs="宋体"/>
          <w:color w:val="auto"/>
          <w:kern w:val="0"/>
          <w:sz w:val="24"/>
          <w:szCs w:val="21"/>
          <w:highlight w:val="none"/>
          <w:lang w:eastAsia="zh-CN"/>
        </w:rPr>
        <w:t>、若本招标文件所列需求出现不合理或不完整时，中标人有责任和义务在深化实施方案阶段提出补充修改方案。如果在系统建设过程中，由于中标人没预知该风险而造成系统无法满足建设内容要求的，中标人应承担由此产生的一切费用及其损失。</w:t>
      </w:r>
    </w:p>
    <w:p w14:paraId="22588736">
      <w:pPr>
        <w:keepNext/>
        <w:keepLines/>
        <w:numPr>
          <w:ilvl w:val="1"/>
          <w:numId w:val="1"/>
        </w:numPr>
        <w:tabs>
          <w:tab w:val="left" w:pos="576"/>
          <w:tab w:val="left" w:pos="720"/>
          <w:tab w:val="left" w:pos="2705"/>
          <w:tab w:val="clear" w:pos="420"/>
        </w:tabs>
        <w:spacing w:line="360" w:lineRule="auto"/>
        <w:ind w:firstLine="200" w:firstLineChars="0"/>
        <w:jc w:val="both"/>
        <w:outlineLvl w:val="1"/>
        <w:rPr>
          <w:rFonts w:ascii="Arial" w:hAnsi="Arial" w:eastAsia="黑体" w:cs="Times New Roman"/>
          <w:b/>
          <w:color w:val="auto"/>
          <w:sz w:val="32"/>
          <w:highlight w:val="none"/>
          <w:lang w:val="en-US" w:eastAsia="zh-CN" w:bidi="ar-SA"/>
        </w:rPr>
      </w:pPr>
      <w:r>
        <w:rPr>
          <w:rFonts w:hint="eastAsia" w:ascii="Arial" w:hAnsi="Arial" w:eastAsia="黑体" w:cs="Times New Roman"/>
          <w:b/>
          <w:color w:val="auto"/>
          <w:sz w:val="32"/>
          <w:highlight w:val="none"/>
          <w:lang w:val="en-US" w:eastAsia="zh-CN" w:bidi="ar-SA"/>
        </w:rPr>
        <w:t xml:space="preserve"> </w:t>
      </w:r>
      <w:bookmarkStart w:id="1859" w:name="_Toc193093679"/>
      <w:bookmarkStart w:id="1860" w:name="_Toc1169194068"/>
      <w:bookmarkStart w:id="1861" w:name="_Toc21315"/>
      <w:bookmarkStart w:id="1862" w:name="_Toc23780"/>
      <w:bookmarkStart w:id="1863" w:name="_Toc678740836"/>
      <w:bookmarkStart w:id="1864" w:name="_Toc250608378"/>
      <w:bookmarkStart w:id="1865" w:name="_Toc4547"/>
      <w:r>
        <w:rPr>
          <w:rFonts w:ascii="Arial" w:hAnsi="Arial" w:eastAsia="黑体" w:cs="Times New Roman"/>
          <w:b/>
          <w:color w:val="auto"/>
          <w:sz w:val="32"/>
          <w:highlight w:val="none"/>
          <w:lang w:val="en-US" w:eastAsia="zh-CN" w:bidi="ar-SA"/>
        </w:rPr>
        <w:t>系统安全要求</w:t>
      </w:r>
      <w:bookmarkEnd w:id="1859"/>
      <w:bookmarkEnd w:id="1860"/>
      <w:bookmarkEnd w:id="1861"/>
      <w:bookmarkEnd w:id="1862"/>
      <w:bookmarkEnd w:id="1863"/>
      <w:bookmarkEnd w:id="1864"/>
      <w:bookmarkEnd w:id="1865"/>
    </w:p>
    <w:p w14:paraId="46880CAA">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系统开发需要遵循《信息安全技术网络安全等级保护基本要求》(三级)等技术规范，合理配置安全策略，防止外部恶意攻击和未授权访问，同时确保系统开发代码以及依赖的库没有后门和漏洞，所开发系统整体通过网络安全等级保护第三级的测评。(需要邀请第三方进行测评)</w:t>
      </w:r>
    </w:p>
    <w:p w14:paraId="2B009671">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2、中标人需要提供系统开发文档，开发文档里面要包括系统安全文件。</w:t>
      </w:r>
    </w:p>
    <w:p w14:paraId="5CBF3D99">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3、系统上线前需进行安全检测</w:t>
      </w:r>
      <w:r>
        <w:rPr>
          <w:rFonts w:hint="eastAsia" w:ascii="宋体" w:hAnsi="宋体" w:eastAsia="宋体" w:cs="宋体"/>
          <w:color w:val="auto"/>
          <w:kern w:val="0"/>
          <w:sz w:val="24"/>
          <w:highlight w:val="none"/>
          <w:lang w:val="en-US" w:eastAsia="zh-CN"/>
        </w:rPr>
        <w:t>和加固</w:t>
      </w:r>
      <w:r>
        <w:rPr>
          <w:rFonts w:hint="eastAsia" w:ascii="宋体" w:hAnsi="宋体" w:eastAsia="宋体" w:cs="宋体"/>
          <w:color w:val="auto"/>
          <w:kern w:val="0"/>
          <w:sz w:val="24"/>
          <w:highlight w:val="none"/>
          <w:lang w:eastAsia="zh-CN"/>
        </w:rPr>
        <w:t>，关闭不必要的服务和端口，</w:t>
      </w:r>
      <w:r>
        <w:rPr>
          <w:rFonts w:hint="eastAsia" w:ascii="宋体" w:hAnsi="宋体" w:eastAsia="宋体" w:cs="宋体"/>
          <w:color w:val="auto"/>
          <w:kern w:val="0"/>
          <w:sz w:val="24"/>
          <w:highlight w:val="none"/>
          <w:lang w:val="en-US" w:eastAsia="zh-CN"/>
        </w:rPr>
        <w:t>防止系统漏洞被利用，</w:t>
      </w:r>
      <w:r>
        <w:rPr>
          <w:rFonts w:hint="eastAsia" w:ascii="宋体" w:hAnsi="宋体" w:eastAsia="宋体" w:cs="宋体"/>
          <w:color w:val="auto"/>
          <w:kern w:val="0"/>
          <w:sz w:val="24"/>
          <w:highlight w:val="none"/>
          <w:lang w:eastAsia="zh-CN"/>
        </w:rPr>
        <w:t>通过检测后才能上线使用。</w:t>
      </w:r>
    </w:p>
    <w:p w14:paraId="487FC030">
      <w:pPr>
        <w:widowControl/>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4、中标人应采用测试工具和人工测试相结合的方式，</w:t>
      </w:r>
      <w:r>
        <w:rPr>
          <w:rFonts w:hint="eastAsia" w:ascii="宋体" w:hAnsi="宋体" w:eastAsia="宋体" w:cs="宋体"/>
          <w:color w:val="auto"/>
          <w:kern w:val="0"/>
          <w:sz w:val="24"/>
          <w:highlight w:val="none"/>
          <w:lang w:eastAsia="zh-CN"/>
        </w:rPr>
        <w:t>对系统进行定期扫描</w:t>
      </w:r>
      <w:r>
        <w:rPr>
          <w:rFonts w:hint="eastAsia" w:ascii="宋体" w:hAnsi="宋体" w:eastAsia="宋体" w:cs="宋体"/>
          <w:color w:val="auto"/>
          <w:kern w:val="0"/>
          <w:sz w:val="24"/>
          <w:highlight w:val="none"/>
          <w:lang w:val="en-US" w:eastAsia="zh-CN"/>
        </w:rPr>
        <w:t>并生成报告，及时制定修复计划、实施以及验证。</w:t>
      </w:r>
    </w:p>
    <w:p w14:paraId="7B55EA70">
      <w:pPr>
        <w:widowControl/>
        <w:spacing w:line="360" w:lineRule="auto"/>
        <w:ind w:firstLine="480" w:firstLineChars="200"/>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5、采用用户权限、数据加密技术等措施对敏感数据进行调用、存储和传输加密，制定，数据备份方案和恢复机制，确保在数据在安全、可靠的环境下使用，避免数据泄露和篡改。</w:t>
      </w:r>
    </w:p>
    <w:p w14:paraId="0B72FDEC">
      <w:pPr>
        <w:widowControl/>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6</w:t>
      </w:r>
      <w:r>
        <w:rPr>
          <w:rFonts w:hint="eastAsia" w:ascii="宋体" w:hAnsi="宋体" w:eastAsia="宋体" w:cs="宋体"/>
          <w:color w:val="auto"/>
          <w:kern w:val="0"/>
          <w:sz w:val="24"/>
          <w:highlight w:val="none"/>
          <w:lang w:eastAsia="zh-CN"/>
        </w:rPr>
        <w:t>、中标人需要负责</w:t>
      </w:r>
      <w:r>
        <w:rPr>
          <w:rFonts w:hint="eastAsia" w:ascii="宋体" w:hAnsi="宋体" w:eastAsia="宋体" w:cs="宋体"/>
          <w:color w:val="auto"/>
          <w:kern w:val="0"/>
          <w:sz w:val="24"/>
          <w:highlight w:val="none"/>
          <w:lang w:val="en-US" w:eastAsia="zh-CN"/>
        </w:rPr>
        <w:t>软件</w:t>
      </w:r>
      <w:r>
        <w:rPr>
          <w:rFonts w:hint="eastAsia" w:ascii="宋体" w:hAnsi="宋体" w:eastAsia="宋体" w:cs="宋体"/>
          <w:color w:val="auto"/>
          <w:kern w:val="0"/>
          <w:sz w:val="24"/>
          <w:highlight w:val="none"/>
          <w:lang w:eastAsia="zh-CN"/>
        </w:rPr>
        <w:t>系统安全整改事项，负责打补丁。</w:t>
      </w:r>
    </w:p>
    <w:p w14:paraId="44BFDE2F">
      <w:pPr>
        <w:widowControl/>
        <w:spacing w:line="360" w:lineRule="auto"/>
        <w:ind w:firstLine="480" w:firstLineChars="200"/>
        <w:rPr>
          <w:rFonts w:ascii="Times New Roman" w:hAnsi="Times New Roman" w:eastAsia="宋体" w:cs="Times New Roman"/>
          <w:color w:val="auto"/>
          <w:kern w:val="0"/>
          <w:sz w:val="24"/>
          <w:highlight w:val="none"/>
          <w:lang w:eastAsia="zh-CN"/>
        </w:rPr>
      </w:pPr>
      <w:r>
        <w:rPr>
          <w:rFonts w:hint="eastAsia" w:ascii="宋体" w:hAnsi="宋体" w:cs="宋体"/>
          <w:color w:val="auto"/>
          <w:kern w:val="0"/>
          <w:sz w:val="24"/>
          <w:highlight w:val="none"/>
          <w:lang w:val="en-US" w:eastAsia="zh-CN"/>
        </w:rPr>
        <w:t>7</w:t>
      </w:r>
      <w:r>
        <w:rPr>
          <w:rFonts w:hint="eastAsia" w:ascii="宋体" w:hAnsi="宋体" w:eastAsia="宋体" w:cs="宋体"/>
          <w:color w:val="auto"/>
          <w:kern w:val="0"/>
          <w:sz w:val="24"/>
          <w:highlight w:val="none"/>
          <w:lang w:eastAsia="zh-CN"/>
        </w:rPr>
        <w:t>、中标人需要制定系统</w:t>
      </w:r>
      <w:r>
        <w:rPr>
          <w:rFonts w:hint="eastAsia" w:ascii="宋体" w:hAnsi="宋体" w:eastAsia="宋体" w:cs="宋体"/>
          <w:color w:val="auto"/>
          <w:kern w:val="0"/>
          <w:sz w:val="24"/>
          <w:highlight w:val="none"/>
          <w:lang w:val="en-US" w:eastAsia="zh-CN"/>
        </w:rPr>
        <w:t>网络攻防演练方案及</w:t>
      </w:r>
      <w:r>
        <w:rPr>
          <w:rFonts w:hint="eastAsia" w:ascii="宋体" w:hAnsi="宋体" w:eastAsia="宋体" w:cs="宋体"/>
          <w:color w:val="auto"/>
          <w:kern w:val="0"/>
          <w:sz w:val="24"/>
          <w:highlight w:val="none"/>
          <w:lang w:eastAsia="zh-CN"/>
        </w:rPr>
        <w:t>应急处置预案，并指导招标人开展相关安全演练，</w:t>
      </w:r>
      <w:r>
        <w:rPr>
          <w:rFonts w:hint="eastAsia" w:ascii="宋体" w:hAnsi="宋体" w:eastAsia="宋体" w:cs="宋体"/>
          <w:color w:val="auto"/>
          <w:kern w:val="0"/>
          <w:sz w:val="24"/>
          <w:highlight w:val="none"/>
          <w:lang w:val="en-US" w:eastAsia="zh-CN"/>
        </w:rPr>
        <w:t>持续改进优化系统安全策略、加强系统安全培训、完善应急响应机制</w:t>
      </w:r>
      <w:r>
        <w:rPr>
          <w:rFonts w:hint="eastAsia" w:ascii="宋体" w:hAnsi="宋体" w:eastAsia="宋体" w:cs="宋体"/>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 xml:space="preserve"> </w:t>
      </w:r>
      <w:bookmarkEnd w:id="1585"/>
      <w:bookmarkEnd w:id="1586"/>
      <w:bookmarkEnd w:id="1587"/>
      <w:bookmarkEnd w:id="1588"/>
      <w:bookmarkEnd w:id="1589"/>
      <w:bookmarkEnd w:id="1590"/>
    </w:p>
    <w:bookmarkEnd w:id="183"/>
    <w:p w14:paraId="6EA0DD0D">
      <w:pPr>
        <w:widowControl/>
        <w:spacing w:line="360" w:lineRule="auto"/>
        <w:ind w:left="0" w:leftChars="0" w:firstLine="0" w:firstLineChars="0"/>
        <w:jc w:val="both"/>
        <w:rPr>
          <w:rFonts w:hint="eastAsia" w:ascii="宋体" w:hAnsi="宋体" w:cs="Times New Roman"/>
          <w:b/>
          <w:color w:val="auto"/>
          <w:kern w:val="0"/>
          <w:sz w:val="32"/>
          <w:highlight w:val="none"/>
          <w:lang w:eastAsia="zh-CN"/>
        </w:rPr>
      </w:pPr>
    </w:p>
    <w:p w14:paraId="7FB01720">
      <w:pPr>
        <w:pStyle w:val="2"/>
        <w:rPr>
          <w:rFonts w:hint="eastAsia" w:ascii="宋体" w:hAnsi="宋体" w:cs="Times New Roman"/>
          <w:b/>
          <w:color w:val="auto"/>
          <w:kern w:val="0"/>
          <w:sz w:val="32"/>
          <w:highlight w:val="none"/>
          <w:lang w:eastAsia="zh-CN"/>
        </w:rPr>
      </w:pPr>
    </w:p>
    <w:p w14:paraId="79A60D2C">
      <w:pPr>
        <w:pStyle w:val="5"/>
        <w:rPr>
          <w:rFonts w:hint="eastAsia" w:ascii="宋体" w:hAnsi="宋体" w:cs="Times New Roman"/>
          <w:b/>
          <w:color w:val="auto"/>
          <w:kern w:val="0"/>
          <w:sz w:val="32"/>
          <w:highlight w:val="none"/>
          <w:lang w:eastAsia="zh-CN"/>
        </w:rPr>
      </w:pPr>
    </w:p>
    <w:p w14:paraId="2F057AF1">
      <w:pPr>
        <w:pStyle w:val="7"/>
        <w:rPr>
          <w:rFonts w:hint="eastAsia" w:ascii="宋体" w:hAnsi="宋体" w:cs="Times New Roman"/>
          <w:b/>
          <w:color w:val="auto"/>
          <w:kern w:val="0"/>
          <w:sz w:val="32"/>
          <w:highlight w:val="none"/>
          <w:lang w:eastAsia="zh-CN"/>
        </w:rPr>
      </w:pPr>
    </w:p>
    <w:p w14:paraId="6ACFC212">
      <w:pPr>
        <w:rPr>
          <w:rFonts w:hint="eastAsia" w:ascii="宋体" w:hAnsi="宋体" w:cs="Times New Roman"/>
          <w:b/>
          <w:color w:val="auto"/>
          <w:kern w:val="0"/>
          <w:sz w:val="32"/>
          <w:highlight w:val="none"/>
          <w:lang w:eastAsia="zh-CN"/>
        </w:rPr>
      </w:pPr>
    </w:p>
    <w:p w14:paraId="4B3D7E60">
      <w:pPr>
        <w:pStyle w:val="2"/>
        <w:rPr>
          <w:rFonts w:hint="eastAsia" w:ascii="宋体" w:hAnsi="宋体" w:cs="Times New Roman"/>
          <w:b/>
          <w:color w:val="auto"/>
          <w:kern w:val="0"/>
          <w:sz w:val="32"/>
          <w:highlight w:val="none"/>
          <w:lang w:eastAsia="zh-CN"/>
        </w:rPr>
      </w:pPr>
    </w:p>
    <w:p w14:paraId="18C24348">
      <w:pPr>
        <w:pStyle w:val="5"/>
        <w:rPr>
          <w:rFonts w:hint="eastAsia" w:ascii="宋体" w:hAnsi="宋体" w:cs="Times New Roman"/>
          <w:b/>
          <w:color w:val="auto"/>
          <w:kern w:val="0"/>
          <w:sz w:val="32"/>
          <w:highlight w:val="none"/>
          <w:lang w:eastAsia="zh-CN"/>
        </w:rPr>
      </w:pPr>
    </w:p>
    <w:p w14:paraId="0CFEECCF">
      <w:pPr>
        <w:pStyle w:val="7"/>
        <w:rPr>
          <w:rFonts w:hint="eastAsia" w:ascii="宋体" w:hAnsi="宋体" w:cs="Times New Roman"/>
          <w:b/>
          <w:color w:val="auto"/>
          <w:kern w:val="0"/>
          <w:sz w:val="32"/>
          <w:highlight w:val="none"/>
          <w:lang w:eastAsia="zh-CN"/>
        </w:rPr>
      </w:pPr>
    </w:p>
    <w:p w14:paraId="71BB987F">
      <w:pPr>
        <w:rPr>
          <w:rFonts w:hint="eastAsia" w:ascii="宋体" w:hAnsi="宋体" w:cs="Times New Roman"/>
          <w:b/>
          <w:color w:val="auto"/>
          <w:kern w:val="0"/>
          <w:sz w:val="32"/>
          <w:highlight w:val="none"/>
          <w:lang w:eastAsia="zh-CN"/>
        </w:rPr>
      </w:pPr>
    </w:p>
    <w:p w14:paraId="728577C8">
      <w:pPr>
        <w:pStyle w:val="2"/>
        <w:rPr>
          <w:rFonts w:hint="eastAsia" w:ascii="宋体" w:hAnsi="宋体" w:cs="Times New Roman"/>
          <w:b/>
          <w:color w:val="auto"/>
          <w:kern w:val="0"/>
          <w:sz w:val="32"/>
          <w:highlight w:val="none"/>
          <w:lang w:eastAsia="zh-CN"/>
        </w:rPr>
      </w:pPr>
    </w:p>
    <w:p w14:paraId="522BE854">
      <w:pPr>
        <w:pStyle w:val="5"/>
        <w:rPr>
          <w:rFonts w:hint="eastAsia" w:ascii="宋体" w:hAnsi="宋体" w:cs="Times New Roman"/>
          <w:b/>
          <w:color w:val="auto"/>
          <w:kern w:val="0"/>
          <w:sz w:val="32"/>
          <w:highlight w:val="none"/>
          <w:lang w:eastAsia="zh-CN"/>
        </w:rPr>
      </w:pPr>
    </w:p>
    <w:p w14:paraId="511F4D7B">
      <w:pPr>
        <w:pStyle w:val="7"/>
        <w:rPr>
          <w:rFonts w:hint="eastAsia"/>
          <w:color w:val="auto"/>
          <w:highlight w:val="none"/>
          <w:lang w:eastAsia="zh-CN"/>
        </w:rPr>
      </w:pPr>
    </w:p>
    <w:p w14:paraId="7759CD84">
      <w:pPr>
        <w:shd w:val="clear" w:color="auto" w:fill="auto"/>
        <w:tabs>
          <w:tab w:val="left" w:pos="720"/>
        </w:tabs>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最高投标限价公布函</w:t>
      </w:r>
    </w:p>
    <w:p w14:paraId="533DF5D6">
      <w:pPr>
        <w:pStyle w:val="5"/>
        <w:shd w:val="clear" w:color="auto" w:fill="auto"/>
        <w:spacing w:line="360" w:lineRule="auto"/>
        <w:rPr>
          <w:rFonts w:hint="eastAsia" w:ascii="宋体" w:hAnsi="宋体" w:eastAsia="宋体" w:cs="宋体"/>
          <w:b/>
          <w:bCs/>
          <w:color w:val="auto"/>
          <w:kern w:val="2"/>
          <w:sz w:val="28"/>
          <w:szCs w:val="28"/>
          <w:highlight w:val="none"/>
          <w:lang w:val="en-US" w:eastAsia="zh-CN" w:bidi="ar-SA"/>
        </w:rPr>
      </w:pPr>
    </w:p>
    <w:p w14:paraId="4921AA39">
      <w:pPr>
        <w:pStyle w:val="5"/>
        <w:shd w:val="clear" w:color="auto" w:fill="auto"/>
        <w:spacing w:line="360" w:lineRule="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一、最高投标限价</w:t>
      </w:r>
    </w:p>
    <w:p w14:paraId="7E6E72D2">
      <w:pPr>
        <w:keepNext w:val="0"/>
        <w:keepLines w:val="0"/>
        <w:pageBreakBefore w:val="0"/>
        <w:widowControl w:val="0"/>
        <w:shd w:val="clear" w:color="auto" w:fill="auto"/>
        <w:tabs>
          <w:tab w:val="left" w:pos="720"/>
        </w:tabs>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1、本项目各标段投标总报价的最高投标限价：</w:t>
      </w:r>
    </w:p>
    <w:p w14:paraId="1D7DD50D">
      <w:pPr>
        <w:keepNext w:val="0"/>
        <w:keepLines w:val="0"/>
        <w:pageBreakBefore w:val="0"/>
        <w:widowControl w:val="0"/>
        <w:numPr>
          <w:ilvl w:val="0"/>
          <w:numId w:val="37"/>
        </w:numPr>
        <w:shd w:val="clear" w:color="auto" w:fill="auto"/>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投标总报价的最高投标限价为：￥</w:t>
      </w:r>
      <w:bookmarkStart w:id="1866" w:name="OLE_LINK4"/>
      <w:r>
        <w:rPr>
          <w:rFonts w:hint="default" w:ascii="宋体" w:hAnsi="宋体" w:cs="宋体"/>
          <w:color w:val="auto"/>
          <w:sz w:val="28"/>
          <w:szCs w:val="28"/>
          <w:highlight w:val="none"/>
          <w:u w:val="none"/>
        </w:rPr>
        <w:t>28974700.00</w:t>
      </w:r>
      <w:bookmarkEnd w:id="1866"/>
      <w:r>
        <w:rPr>
          <w:rFonts w:hint="eastAsia" w:ascii="宋体" w:hAnsi="宋体" w:cs="宋体"/>
          <w:b w:val="0"/>
          <w:bCs w:val="0"/>
          <w:color w:val="auto"/>
          <w:kern w:val="2"/>
          <w:sz w:val="28"/>
          <w:szCs w:val="28"/>
          <w:highlight w:val="none"/>
          <w:u w:val="none"/>
          <w:lang w:val="en-US" w:eastAsia="zh-CN" w:bidi="ar-SA"/>
        </w:rPr>
        <w:t>元</w:t>
      </w:r>
      <w:r>
        <w:rPr>
          <w:rFonts w:hint="eastAsia" w:ascii="宋体" w:hAnsi="宋体" w:eastAsia="宋体" w:cs="宋体"/>
          <w:b w:val="0"/>
          <w:bCs w:val="0"/>
          <w:color w:val="auto"/>
          <w:kern w:val="2"/>
          <w:sz w:val="28"/>
          <w:szCs w:val="28"/>
          <w:highlight w:val="none"/>
          <w:u w:val="none"/>
          <w:lang w:val="en-US" w:eastAsia="zh-CN" w:bidi="ar-SA"/>
        </w:rPr>
        <w:t>，综合单价限价</w:t>
      </w:r>
      <w:r>
        <w:rPr>
          <w:rFonts w:hint="eastAsia" w:ascii="宋体" w:hAnsi="宋体" w:cs="宋体"/>
          <w:b w:val="0"/>
          <w:bCs w:val="0"/>
          <w:color w:val="auto"/>
          <w:kern w:val="2"/>
          <w:sz w:val="28"/>
          <w:szCs w:val="28"/>
          <w:highlight w:val="none"/>
          <w:u w:val="none"/>
          <w:lang w:val="en-US" w:eastAsia="zh-CN" w:bidi="ar-SA"/>
        </w:rPr>
        <w:t>详见下表</w:t>
      </w:r>
      <w:r>
        <w:rPr>
          <w:rFonts w:hint="eastAsia" w:ascii="宋体" w:hAnsi="宋体" w:eastAsia="宋体" w:cs="宋体"/>
          <w:b w:val="0"/>
          <w:bCs w:val="0"/>
          <w:color w:val="auto"/>
          <w:sz w:val="28"/>
          <w:szCs w:val="28"/>
          <w:highlight w:val="none"/>
          <w:lang w:eastAsia="zh-CN"/>
        </w:rPr>
        <w:t>。</w:t>
      </w:r>
    </w:p>
    <w:p w14:paraId="26EB1BDC">
      <w:pPr>
        <w:keepNext w:val="0"/>
        <w:keepLines w:val="0"/>
        <w:pageBreakBefore w:val="0"/>
        <w:widowControl w:val="0"/>
        <w:shd w:val="clear" w:color="auto" w:fill="auto"/>
        <w:tabs>
          <w:tab w:val="left" w:pos="720"/>
        </w:tabs>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2、投标人的投标总报价超出（即大于）本项目的最高限价的、综合单价超出（即大于）综合单价最高限价</w:t>
      </w:r>
      <w:r>
        <w:rPr>
          <w:rFonts w:hint="eastAsia" w:ascii="宋体" w:hAnsi="宋体" w:cs="宋体"/>
          <w:b w:val="0"/>
          <w:bCs w:val="0"/>
          <w:color w:val="auto"/>
          <w:kern w:val="2"/>
          <w:sz w:val="28"/>
          <w:szCs w:val="28"/>
          <w:highlight w:val="none"/>
          <w:u w:val="none"/>
          <w:lang w:val="en-US" w:eastAsia="zh-CN" w:bidi="ar-SA"/>
        </w:rPr>
        <w:t>的，</w:t>
      </w:r>
      <w:r>
        <w:rPr>
          <w:rFonts w:hint="eastAsia" w:ascii="宋体" w:hAnsi="宋体" w:eastAsia="宋体" w:cs="宋体"/>
          <w:b w:val="0"/>
          <w:bCs w:val="0"/>
          <w:color w:val="auto"/>
          <w:kern w:val="2"/>
          <w:sz w:val="28"/>
          <w:szCs w:val="28"/>
          <w:highlight w:val="none"/>
          <w:u w:val="none"/>
          <w:lang w:val="en-US" w:eastAsia="zh-CN" w:bidi="ar-SA"/>
        </w:rPr>
        <w:t>其投标将会被拒绝。</w:t>
      </w:r>
    </w:p>
    <w:tbl>
      <w:tblPr>
        <w:tblStyle w:val="20"/>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7"/>
        <w:gridCol w:w="2136"/>
        <w:gridCol w:w="3327"/>
        <w:gridCol w:w="538"/>
        <w:gridCol w:w="538"/>
        <w:gridCol w:w="1864"/>
      </w:tblGrid>
      <w:tr w14:paraId="5EDCC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56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54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02E3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功能名称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C5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02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00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综合单价</w:t>
            </w:r>
          </w:p>
        </w:tc>
      </w:tr>
      <w:tr w14:paraId="36ED6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52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4D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一、AI大模型平台</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A5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AI大模型平台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78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41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88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6124700.00 </w:t>
            </w:r>
          </w:p>
        </w:tc>
      </w:tr>
      <w:tr w14:paraId="72B98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6F1A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52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6124700.00 </w:t>
            </w:r>
          </w:p>
        </w:tc>
      </w:tr>
      <w:tr w14:paraId="3A9CF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98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1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55A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二、智慧生产控制模块</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18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一期原水配水系统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A6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07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D3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250000.00 </w:t>
            </w:r>
          </w:p>
        </w:tc>
      </w:tr>
      <w:tr w14:paraId="2754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96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C2F3E">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35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二期原水配水系统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97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D8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70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250000.00 </w:t>
            </w:r>
          </w:p>
        </w:tc>
      </w:tr>
      <w:tr w14:paraId="6BE1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04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E91A9">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3B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投矾系统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76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FB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60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 </w:t>
            </w:r>
          </w:p>
        </w:tc>
      </w:tr>
      <w:tr w14:paraId="1A9A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0F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F2E5D">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FA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次氯酸钠投加系统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7D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32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B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 </w:t>
            </w:r>
          </w:p>
        </w:tc>
      </w:tr>
      <w:tr w14:paraId="4B26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03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C0C32">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2A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絮凝沉淀池系统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8C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95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6D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350000.00 </w:t>
            </w:r>
          </w:p>
        </w:tc>
      </w:tr>
      <w:tr w14:paraId="2959B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13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7B29B">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40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砂滤池系统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32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45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37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500000.00 </w:t>
            </w:r>
          </w:p>
        </w:tc>
      </w:tr>
      <w:tr w14:paraId="0CDB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32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3A3AA">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1E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超滤膜系统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5F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31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E5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250000.00 </w:t>
            </w:r>
          </w:p>
        </w:tc>
      </w:tr>
      <w:tr w14:paraId="67EA3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2E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8798">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17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清水池系统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FF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83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83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250000.00 </w:t>
            </w:r>
          </w:p>
        </w:tc>
      </w:tr>
      <w:tr w14:paraId="1C9DA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7F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6AAB">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2C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送水泵站系统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9D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4A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2C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600000.00 </w:t>
            </w:r>
          </w:p>
        </w:tc>
      </w:tr>
      <w:tr w14:paraId="1AC21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3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EAE41">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D3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污泥处理系统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4E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7B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93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 </w:t>
            </w:r>
          </w:p>
        </w:tc>
      </w:tr>
      <w:tr w14:paraId="7D53F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30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E8080">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D8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水厂工艺智慧联动系统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FA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27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BC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2500000.00 </w:t>
            </w:r>
          </w:p>
        </w:tc>
      </w:tr>
      <w:tr w14:paraId="4487F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D0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0D27C">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AB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生产交互控制系统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AF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54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68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1000000.00 </w:t>
            </w:r>
          </w:p>
        </w:tc>
      </w:tr>
      <w:tr w14:paraId="1D8B5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2CD574">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61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6850000.00 </w:t>
            </w:r>
          </w:p>
        </w:tc>
      </w:tr>
      <w:tr w14:paraId="5CFF0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28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7A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三、智慧运营模块</w:t>
            </w: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AA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生产运行监控管理</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B7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D1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7C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1000000.00 </w:t>
            </w:r>
          </w:p>
        </w:tc>
      </w:tr>
      <w:tr w14:paraId="74D1F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EE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59F97">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AC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综合运营管理服务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9E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B9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6B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950000.00 </w:t>
            </w:r>
          </w:p>
        </w:tc>
      </w:tr>
      <w:tr w14:paraId="1280E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EF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A084">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22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设备智慧管理服务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5F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D2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0D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450000.00 </w:t>
            </w:r>
          </w:p>
        </w:tc>
      </w:tr>
      <w:tr w14:paraId="73E9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C4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9073">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BE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智能巡检管理</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BB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FB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6A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 </w:t>
            </w:r>
          </w:p>
        </w:tc>
      </w:tr>
      <w:tr w14:paraId="51C36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E9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F57C">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E8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化验室管理</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52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5C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AB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550000.00 </w:t>
            </w:r>
          </w:p>
        </w:tc>
      </w:tr>
      <w:tr w14:paraId="1E72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B6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A734">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83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应急事件管理服务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32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C9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97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400000.00 </w:t>
            </w:r>
          </w:p>
        </w:tc>
      </w:tr>
      <w:tr w14:paraId="70CC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24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0046">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C6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水厂仿真和预测分析软件</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3C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CA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B5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1300000.00 </w:t>
            </w:r>
          </w:p>
        </w:tc>
      </w:tr>
      <w:tr w14:paraId="13BC0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4F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719A">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46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碳管理主题分析服务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05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93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79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 </w:t>
            </w:r>
          </w:p>
        </w:tc>
      </w:tr>
      <w:tr w14:paraId="1D673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B3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AE2E">
            <w:pPr>
              <w:jc w:val="center"/>
              <w:rPr>
                <w:rFonts w:hint="eastAsia" w:ascii="宋体" w:hAnsi="宋体" w:eastAsia="宋体" w:cs="宋体"/>
                <w:i w:val="0"/>
                <w:iCs w:val="0"/>
                <w:color w:val="auto"/>
                <w:sz w:val="24"/>
                <w:szCs w:val="24"/>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B6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成本管理主题分析服务</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84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65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39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350000.00 </w:t>
            </w:r>
          </w:p>
        </w:tc>
      </w:tr>
      <w:tr w14:paraId="6129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0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D9A5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69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5600000.00 </w:t>
            </w:r>
          </w:p>
        </w:tc>
      </w:tr>
      <w:tr w14:paraId="7B82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auto" w:sz="4" w:space="0"/>
              <w:left w:val="single" w:color="auto" w:sz="4" w:space="0"/>
              <w:bottom w:val="single" w:color="auto" w:sz="4" w:space="0"/>
              <w:right w:val="single" w:color="000000" w:sz="4" w:space="0"/>
            </w:tcBorders>
            <w:shd w:val="clear" w:color="auto" w:fill="auto"/>
            <w:vAlign w:val="center"/>
          </w:tcPr>
          <w:p w14:paraId="5E0325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0" w:type="auto"/>
            <w:vMerge w:val="restart"/>
            <w:tcBorders>
              <w:top w:val="single" w:color="auto" w:sz="4" w:space="0"/>
              <w:left w:val="nil"/>
              <w:bottom w:val="single" w:color="auto" w:sz="4" w:space="0"/>
              <w:right w:val="nil"/>
            </w:tcBorders>
            <w:shd w:val="clear" w:color="auto" w:fill="auto"/>
            <w:noWrap/>
            <w:vAlign w:val="center"/>
          </w:tcPr>
          <w:p w14:paraId="4DBE2A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四、智慧决策模块</w:t>
            </w:r>
          </w:p>
        </w:tc>
        <w:tc>
          <w:tcPr>
            <w:tcW w:w="3327" w:type="dxa"/>
            <w:tcBorders>
              <w:top w:val="single" w:color="auto" w:sz="4" w:space="0"/>
              <w:left w:val="single" w:color="000000" w:sz="4" w:space="0"/>
              <w:bottom w:val="single" w:color="auto" w:sz="4" w:space="0"/>
              <w:right w:val="single" w:color="auto" w:sz="4" w:space="0"/>
            </w:tcBorders>
            <w:shd w:val="clear" w:color="auto" w:fill="auto"/>
            <w:vAlign w:val="center"/>
          </w:tcPr>
          <w:p w14:paraId="6FC150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数字孪生模块</w:t>
            </w:r>
          </w:p>
        </w:tc>
        <w:tc>
          <w:tcPr>
            <w:tcW w:w="538" w:type="dxa"/>
            <w:tcBorders>
              <w:top w:val="single" w:color="000000" w:sz="4" w:space="0"/>
              <w:left w:val="single" w:color="auto" w:sz="4" w:space="0"/>
              <w:bottom w:val="single" w:color="000000" w:sz="4" w:space="0"/>
              <w:right w:val="single" w:color="000000" w:sz="4" w:space="0"/>
            </w:tcBorders>
            <w:shd w:val="clear" w:color="auto" w:fill="auto"/>
            <w:vAlign w:val="center"/>
          </w:tcPr>
          <w:p w14:paraId="72A788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E3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4A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3600000.00 </w:t>
            </w:r>
          </w:p>
        </w:tc>
      </w:tr>
      <w:tr w14:paraId="3F273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auto" w:sz="4" w:space="0"/>
              <w:left w:val="single" w:color="000000" w:sz="4" w:space="0"/>
              <w:bottom w:val="single" w:color="000000" w:sz="4" w:space="0"/>
              <w:right w:val="single" w:color="000000" w:sz="4" w:space="0"/>
            </w:tcBorders>
            <w:shd w:val="clear" w:color="auto" w:fill="auto"/>
            <w:vAlign w:val="center"/>
          </w:tcPr>
          <w:p w14:paraId="6DB2FA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0" w:type="auto"/>
            <w:vMerge w:val="continue"/>
            <w:tcBorders>
              <w:top w:val="single" w:color="auto" w:sz="4" w:space="0"/>
              <w:left w:val="nil"/>
              <w:bottom w:val="nil"/>
              <w:right w:val="nil"/>
            </w:tcBorders>
            <w:shd w:val="clear" w:color="auto" w:fill="auto"/>
            <w:noWrap/>
            <w:vAlign w:val="center"/>
          </w:tcPr>
          <w:p w14:paraId="5403E0BA">
            <w:pPr>
              <w:jc w:val="center"/>
              <w:rPr>
                <w:rFonts w:hint="eastAsia" w:ascii="宋体" w:hAnsi="宋体" w:eastAsia="宋体" w:cs="宋体"/>
                <w:i w:val="0"/>
                <w:iCs w:val="0"/>
                <w:color w:val="auto"/>
                <w:sz w:val="22"/>
                <w:szCs w:val="22"/>
                <w:highlight w:val="none"/>
                <w:u w:val="none"/>
              </w:rPr>
            </w:pPr>
          </w:p>
        </w:tc>
        <w:tc>
          <w:tcPr>
            <w:tcW w:w="3327" w:type="dxa"/>
            <w:tcBorders>
              <w:top w:val="single" w:color="auto" w:sz="4" w:space="0"/>
              <w:left w:val="single" w:color="000000" w:sz="4" w:space="0"/>
              <w:bottom w:val="single" w:color="000000" w:sz="4" w:space="0"/>
              <w:right w:val="single" w:color="000000" w:sz="4" w:space="0"/>
            </w:tcBorders>
            <w:shd w:val="clear" w:color="auto" w:fill="auto"/>
            <w:vAlign w:val="center"/>
          </w:tcPr>
          <w:p w14:paraId="4318D9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视频智能平台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40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6C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C4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3000000.00 </w:t>
            </w:r>
          </w:p>
        </w:tc>
      </w:tr>
      <w:tr w14:paraId="1F9CA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75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0" w:type="auto"/>
            <w:vMerge w:val="continue"/>
            <w:tcBorders>
              <w:top w:val="nil"/>
              <w:left w:val="nil"/>
              <w:bottom w:val="nil"/>
              <w:right w:val="nil"/>
            </w:tcBorders>
            <w:shd w:val="clear" w:color="auto" w:fill="auto"/>
            <w:noWrap/>
            <w:vAlign w:val="center"/>
          </w:tcPr>
          <w:p w14:paraId="0A0912FA">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8B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安全生产系统</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DD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BF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B6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500000.00 </w:t>
            </w:r>
          </w:p>
        </w:tc>
      </w:tr>
      <w:tr w14:paraId="73516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F8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0" w:type="auto"/>
            <w:vMerge w:val="continue"/>
            <w:tcBorders>
              <w:top w:val="nil"/>
              <w:left w:val="nil"/>
              <w:bottom w:val="nil"/>
              <w:right w:val="nil"/>
            </w:tcBorders>
            <w:shd w:val="clear" w:color="auto" w:fill="auto"/>
            <w:noWrap/>
            <w:vAlign w:val="center"/>
          </w:tcPr>
          <w:p w14:paraId="75B853C7">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A5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智能安防</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A6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51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44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500000.00 </w:t>
            </w:r>
          </w:p>
        </w:tc>
      </w:tr>
      <w:tr w14:paraId="45D0B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DB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0" w:type="auto"/>
            <w:vMerge w:val="continue"/>
            <w:tcBorders>
              <w:top w:val="nil"/>
              <w:left w:val="nil"/>
              <w:bottom w:val="nil"/>
              <w:right w:val="nil"/>
            </w:tcBorders>
            <w:shd w:val="clear" w:color="auto" w:fill="auto"/>
            <w:noWrap/>
            <w:vAlign w:val="center"/>
          </w:tcPr>
          <w:p w14:paraId="1AEA57ED">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4A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大模型智能运营数据分析助手</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0D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D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73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950000.00 </w:t>
            </w:r>
          </w:p>
        </w:tc>
      </w:tr>
      <w:tr w14:paraId="54C0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57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0" w:type="auto"/>
            <w:vMerge w:val="continue"/>
            <w:tcBorders>
              <w:top w:val="nil"/>
              <w:left w:val="nil"/>
              <w:bottom w:val="nil"/>
              <w:right w:val="nil"/>
            </w:tcBorders>
            <w:shd w:val="clear" w:color="auto" w:fill="auto"/>
            <w:noWrap/>
            <w:vAlign w:val="center"/>
          </w:tcPr>
          <w:p w14:paraId="5BB2C81B">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60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大模型工艺优化调度助手</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CA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F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98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750000.00 </w:t>
            </w:r>
          </w:p>
        </w:tc>
      </w:tr>
      <w:tr w14:paraId="1057A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3D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0" w:type="auto"/>
            <w:vMerge w:val="continue"/>
            <w:tcBorders>
              <w:top w:val="nil"/>
              <w:left w:val="nil"/>
              <w:bottom w:val="nil"/>
              <w:right w:val="nil"/>
            </w:tcBorders>
            <w:shd w:val="clear" w:color="auto" w:fill="auto"/>
            <w:noWrap/>
            <w:vAlign w:val="center"/>
          </w:tcPr>
          <w:p w14:paraId="20E01B02">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B8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大模型设备助手</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96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B3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DD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650000.00 </w:t>
            </w:r>
          </w:p>
        </w:tc>
      </w:tr>
      <w:tr w14:paraId="35E8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0C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0" w:type="auto"/>
            <w:vMerge w:val="continue"/>
            <w:tcBorders>
              <w:top w:val="nil"/>
              <w:left w:val="nil"/>
              <w:bottom w:val="nil"/>
              <w:right w:val="nil"/>
            </w:tcBorders>
            <w:shd w:val="clear" w:color="auto" w:fill="auto"/>
            <w:noWrap/>
            <w:vAlign w:val="center"/>
          </w:tcPr>
          <w:p w14:paraId="0264F30F">
            <w:pPr>
              <w:jc w:val="center"/>
              <w:rPr>
                <w:rFonts w:hint="eastAsia" w:ascii="宋体" w:hAnsi="宋体" w:eastAsia="宋体" w:cs="宋体"/>
                <w:i w:val="0"/>
                <w:iCs w:val="0"/>
                <w:color w:val="auto"/>
                <w:sz w:val="22"/>
                <w:szCs w:val="22"/>
                <w:highlight w:val="none"/>
                <w:u w:val="none"/>
              </w:rPr>
            </w:pPr>
          </w:p>
        </w:tc>
        <w:tc>
          <w:tcPr>
            <w:tcW w:w="3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0E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讲解机器人</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A2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57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宗</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BC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450000.00 </w:t>
            </w:r>
          </w:p>
        </w:tc>
      </w:tr>
      <w:tr w14:paraId="0C32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B97B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AA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10400000.00 </w:t>
            </w:r>
          </w:p>
        </w:tc>
      </w:tr>
    </w:tbl>
    <w:p w14:paraId="39C578B9">
      <w:pPr>
        <w:widowControl/>
        <w:shd w:val="clear" w:color="auto" w:fill="auto"/>
        <w:spacing w:line="360" w:lineRule="auto"/>
        <w:rPr>
          <w:color w:val="auto"/>
          <w:highlight w:val="none"/>
        </w:rPr>
      </w:pPr>
    </w:p>
    <w:p w14:paraId="608C1779">
      <w:pPr>
        <w:pStyle w:val="2"/>
        <w:ind w:left="0" w:leftChars="0" w:firstLine="0" w:firstLineChars="0"/>
        <w:rPr>
          <w:rFonts w:hint="eastAsia" w:ascii="宋体" w:hAnsi="宋体" w:eastAsia="宋体" w:cs="宋体"/>
          <w:b/>
          <w:bCs/>
          <w:color w:val="auto"/>
          <w:sz w:val="24"/>
          <w:szCs w:val="24"/>
          <w:highlight w:val="none"/>
          <w:lang w:val="en-US" w:eastAsia="zh-CN"/>
        </w:rPr>
      </w:pPr>
    </w:p>
    <w:p w14:paraId="51D3705F">
      <w:pPr>
        <w:rPr>
          <w:color w:val="auto"/>
          <w:highlight w:val="none"/>
        </w:rPr>
      </w:pPr>
    </w:p>
    <w:p w14:paraId="17707A26">
      <w:pPr>
        <w:rPr>
          <w:color w:val="auto"/>
          <w:highlight w:val="none"/>
        </w:rPr>
      </w:pPr>
    </w:p>
    <w:p w14:paraId="3A39A179">
      <w:pPr>
        <w:rPr>
          <w:color w:val="auto"/>
          <w:highlight w:val="none"/>
        </w:rPr>
      </w:pPr>
    </w:p>
    <w:p w14:paraId="0A82DA71"/>
    <w:sectPr>
      <w:headerReference r:id="rId15" w:type="default"/>
      <w:footerReference r:id="rId16" w:type="default"/>
      <w:pgSz w:w="11906" w:h="16838"/>
      <w:pgMar w:top="1701" w:right="1701" w:bottom="1417" w:left="1701" w:header="851" w:footer="85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roman"/>
    <w:pitch w:val="default"/>
    <w:sig w:usb0="E4002EFF" w:usb1="C000247B" w:usb2="00000009" w:usb3="00000000" w:csb0="200001FF" w:csb1="00000000"/>
  </w:font>
  <w:font w:name="Wingdings 2">
    <w:altName w:val="Wingdings"/>
    <w:panose1 w:val="05020102010507070707"/>
    <w:charset w:val="02"/>
    <w:family w:val="auto"/>
    <w:pitch w:val="default"/>
    <w:sig w:usb0="00000000" w:usb1="00000000" w:usb2="00000000" w:usb3="00000000" w:csb0="80000000"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ingFang SC">
    <w:altName w:val="宋体"/>
    <w:panose1 w:val="020B0400000000000000"/>
    <w:charset w:val="86"/>
    <w:family w:val="auto"/>
    <w:pitch w:val="default"/>
    <w:sig w:usb0="00000000" w:usb1="00000000" w:usb2="00000017" w:usb3="00000000" w:csb0="00040001" w:csb1="00000000"/>
  </w:font>
  <w:font w:name="Segoe UI">
    <w:panose1 w:val="020B0502040204020203"/>
    <w:charset w:val="00"/>
    <w:family w:val="swiss"/>
    <w:pitch w:val="default"/>
    <w:sig w:usb0="E4002EFF" w:usb1="C000E47F" w:usb2="00000009" w:usb3="00000000" w:csb0="200001F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8284E">
    <w:pPr>
      <w:pStyle w:val="13"/>
      <w:tabs>
        <w:tab w:val="center" w:pos="4649"/>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516DC2C6">
                          <w:pPr>
                            <w:pStyle w:val="13"/>
                          </w:pP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&#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5X5J0AAAAAMBAAAPAAAAAAAAAAEAIAAAACIAAABk&#10;cnMvZG93bnJldi54bWxQSwECFAAUAAAACACHTuJA/lKNxNUBAACkAwAADgAAAAAAAAABACAAAAAf&#10;AQAAZHJzL2Uyb0RvYy54bWxQSwUGAAAAAAYABgBZAQAAZgUAAAAA&#10;">
              <v:fill on="f" focussize="0,0"/>
              <v:stroke on="f"/>
              <v:imagedata o:title=""/>
              <o:lock v:ext="edit" aspectratio="f"/>
              <v:textbox inset="0mm,0mm,0mm,0mm" style="mso-fit-shape-to-text:t;">
                <w:txbxContent>
                  <w:p w14:paraId="516DC2C6">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E3592">
    <w:pPr>
      <w:pStyle w:val="13"/>
      <w:tabs>
        <w:tab w:val="center" w:pos="4649"/>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39283">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9339283">
                    <w:pPr>
                      <w:pStyle w:val="13"/>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14:paraId="154BDB18">
                          <w:pPr>
                            <w:pStyle w:val="13"/>
                          </w:pP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745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5X5J0AAAAAMBAAAPAAAAAAAAAAEAIAAAACIAAABk&#10;cnMvZG93bnJldi54bWxQSwECFAAUAAAACACHTuJArv05BNUBAACiAwAADgAAAAAAAAABACAAAAAf&#10;AQAAZHJzL2Uyb0RvYy54bWxQSwUGAAAAAAYABgBZAQAAZgUAAAAA&#10;">
              <v:fill on="f" focussize="0,0"/>
              <v:stroke on="f"/>
              <v:imagedata o:title=""/>
              <o:lock v:ext="edit" aspectratio="f"/>
              <v:textbox inset="0mm,0mm,0mm,0mm" style="mso-fit-shape-to-text:t;">
                <w:txbxContent>
                  <w:p w14:paraId="154BDB18">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0027C">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84C4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F284C4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5641">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BC3E880">
                          <w:pPr>
                            <w:pStyle w:val="13"/>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ABBVnwKAgAAFAQAAA4AAAAAAAAAAQAgAAAAHgEAAGRy&#10;cy9lMm9Eb2MueG1sUEsFBgAAAAAGAAYAWQEAAJoFAAAAAA==&#10;">
              <v:fill on="f" focussize="0,0"/>
              <v:stroke on="f"/>
              <v:imagedata o:title=""/>
              <o:lock v:ext="edit" aspectratio="f"/>
              <v:textbox inset="0mm,0mm,0mm,0mm" style="mso-fit-shape-to-text:t;">
                <w:txbxContent>
                  <w:p w14:paraId="4BC3E880">
                    <w:pPr>
                      <w:pStyle w:val="13"/>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6B89512A">
                          <w:pPr>
                            <w:pStyle w:val="13"/>
                          </w:pPr>
                        </w:p>
                        <w:p w14:paraId="102E2669"/>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JEiC5CAIAABQEAAAOAAAAAAAAAAEAIAAAAB4BAABkcnMv&#10;ZTJvRG9jLnhtbFBLBQYAAAAABgAGAFkBAACYBQAAAAA=&#10;">
              <v:fill on="f" focussize="0,0"/>
              <v:stroke on="f"/>
              <v:imagedata o:title=""/>
              <o:lock v:ext="edit" aspectratio="f"/>
              <v:textbox inset="0mm,0mm,0mm,0mm" style="mso-fit-shape-to-text:t;">
                <w:txbxContent>
                  <w:p w14:paraId="6B89512A">
                    <w:pPr>
                      <w:pStyle w:val="13"/>
                    </w:pPr>
                  </w:p>
                  <w:p w14:paraId="102E2669"/>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F6FD8">
    <w:pPr>
      <w:pStyle w:val="13"/>
      <w:jc w:val="left"/>
      <w:rPr>
        <w:rFonts w:ascii="华文行楷" w:eastAsia="华文行楷"/>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4B824">
                          <w:pPr>
                            <w:pStyle w:val="1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614B824">
                    <w:pPr>
                      <w:pStyle w:val="13"/>
                    </w:pPr>
                    <w:r>
                      <w:fldChar w:fldCharType="begin"/>
                    </w:r>
                    <w:r>
                      <w:instrText xml:space="preserve"> PAGE  \* MERGEFORMAT </w:instrText>
                    </w:r>
                    <w:r>
                      <w:fldChar w:fldCharType="separate"/>
                    </w:r>
                    <w:r>
                      <w:t>25</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CD320">
                          <w:pPr>
                            <w:pStyle w:val="13"/>
                            <w:jc w:val="left"/>
                          </w:pPr>
                        </w:p>
                        <w:p w14:paraId="6915ADB9"/>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8CD320">
                    <w:pPr>
                      <w:pStyle w:val="13"/>
                      <w:jc w:val="left"/>
                    </w:pPr>
                  </w:p>
                  <w:p w14:paraId="6915ADB9"/>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AEA58">
    <w:pPr>
      <w:pStyle w:val="1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7290E9E">
                          <w:pPr>
                            <w:pStyle w:val="13"/>
                          </w:pPr>
                          <w:r>
                            <w:fldChar w:fldCharType="begin"/>
                          </w:r>
                          <w:r>
                            <w:instrText xml:space="preserve"> PAGE  \* MERGEFORMAT </w:instrText>
                          </w:r>
                          <w:r>
                            <w:fldChar w:fldCharType="separate"/>
                          </w:r>
                          <w:r>
                            <w:t>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DzxWF8CAIAABIEAAAOAAAAAAAAAAEAIAAAAB4BAABkcnMv&#10;ZTJvRG9jLnhtbFBLBQYAAAAABgAGAFkBAACYBQAAAAA=&#10;">
              <v:fill on="f" focussize="0,0"/>
              <v:stroke on="f"/>
              <v:imagedata o:title=""/>
              <o:lock v:ext="edit" aspectratio="f"/>
              <v:textbox inset="0mm,0mm,0mm,0mm" style="mso-fit-shape-to-text:t;">
                <w:txbxContent>
                  <w:p w14:paraId="57290E9E">
                    <w:pPr>
                      <w:pStyle w:val="13"/>
                    </w:pPr>
                    <w:r>
                      <w:fldChar w:fldCharType="begin"/>
                    </w:r>
                    <w:r>
                      <w:instrText xml:space="preserve"> PAGE  \* MERGEFORMAT </w:instrText>
                    </w:r>
                    <w:r>
                      <w:fldChar w:fldCharType="separate"/>
                    </w:r>
                    <w:r>
                      <w:t>0</w:t>
                    </w:r>
                    <w:r>
                      <w:fldChar w:fldCharType="end"/>
                    </w:r>
                  </w:p>
                </w:txbxContent>
              </v:textbox>
            </v:shape>
          </w:pict>
        </mc:Fallback>
      </mc:AlternateContent>
    </w:r>
  </w:p>
  <w:p w14:paraId="34E6F0D5">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13D90">
    <w:pPr>
      <w:snapToGrid w:val="0"/>
      <w:spacing w:line="360" w:lineRule="auto"/>
      <w:ind w:firstLine="360" w:firstLineChars="200"/>
      <w:jc w:val="left"/>
      <w:rPr>
        <w:rFonts w:ascii="Times New Roman" w:hAnsi="Times New Roman" w:eastAsia="宋体" w:cs="Times New Roman"/>
        <w:sz w:val="18"/>
        <w:szCs w:val="18"/>
        <w:lang w:val="en-US" w:eastAsia="en-US" w:bidi="ar-SA"/>
      </w:rPr>
    </w:pPr>
    <w:r>
      <w:rPr>
        <w:rFonts w:ascii="Times New Roman" w:hAnsi="Times New Roman" w:eastAsia="宋体" w:cs="Times New Roman"/>
        <w:sz w:val="18"/>
        <w:szCs w:val="18"/>
        <w:lang w:val="en-US" w:eastAsia="en-US" w:bidi="ar-S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E0E1976">
                          <w:pPr>
                            <w:snapToGrid w:val="0"/>
                            <w:spacing w:line="360" w:lineRule="auto"/>
                            <w:ind w:firstLine="360" w:firstLineChars="200"/>
                            <w:jc w:val="left"/>
                            <w:rPr>
                              <w:rFonts w:ascii="Times New Roman" w:hAnsi="Times New Roman" w:eastAsia="宋体" w:cs="Times New Roman"/>
                              <w:sz w:val="18"/>
                              <w:szCs w:val="18"/>
                              <w:lang w:val="en-US" w:eastAsia="en-US" w:bidi="ar-SA"/>
                            </w:rPr>
                          </w:pPr>
                          <w:r>
                            <w:rPr>
                              <w:rFonts w:ascii="Times New Roman" w:hAnsi="Times New Roman" w:eastAsia="宋体" w:cs="Times New Roman"/>
                              <w:sz w:val="18"/>
                              <w:szCs w:val="18"/>
                              <w:lang w:val="en-US" w:eastAsia="en-US" w:bidi="ar-SA"/>
                            </w:rPr>
                            <w:fldChar w:fldCharType="begin"/>
                          </w:r>
                          <w:r>
                            <w:rPr>
                              <w:rFonts w:ascii="Times New Roman" w:hAnsi="Times New Roman" w:eastAsia="宋体" w:cs="Times New Roman"/>
                              <w:sz w:val="18"/>
                              <w:szCs w:val="18"/>
                              <w:lang w:val="en-US" w:eastAsia="en-US" w:bidi="ar-SA"/>
                            </w:rPr>
                            <w:instrText xml:space="preserve"> PAGE  \* MERGEFORMAT </w:instrText>
                          </w:r>
                          <w:r>
                            <w:rPr>
                              <w:rFonts w:ascii="Times New Roman" w:hAnsi="Times New Roman" w:eastAsia="宋体" w:cs="Times New Roman"/>
                              <w:sz w:val="18"/>
                              <w:szCs w:val="18"/>
                              <w:lang w:val="en-US" w:eastAsia="en-US" w:bidi="ar-SA"/>
                            </w:rPr>
                            <w:fldChar w:fldCharType="separate"/>
                          </w:r>
                          <w:r>
                            <w:rPr>
                              <w:rFonts w:ascii="Times New Roman" w:hAnsi="Times New Roman" w:eastAsia="宋体" w:cs="Times New Roman"/>
                              <w:sz w:val="18"/>
                              <w:szCs w:val="18"/>
                              <w:lang w:val="en-US" w:eastAsia="en-US" w:bidi="ar-SA"/>
                            </w:rPr>
                            <w:t>1</w:t>
                          </w:r>
                          <w:r>
                            <w:rPr>
                              <w:rFonts w:ascii="Times New Roman" w:hAnsi="Times New Roman" w:eastAsia="宋体" w:cs="Times New Roman"/>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TSWQzAgAAZQ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fU6KZQsdP37+d&#10;fvw6/fxKcAeBWutniHuwiAzdW9NhbIZ7j8vIu6ucir9gROCHvMeLvKILhMdH08l0msPF4RsOwM8e&#10;n1vnwzthFIlGQR36l2Rlh40PfegQErNps26kTD2UmrQFvXr9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oTSWQzAgAAZQQAAA4AAAAAAAAAAQAgAAAAHwEAAGRycy9lMm9Eb2MueG1sUEsF&#10;BgAAAAAGAAYAWQEAAMQFAAAAAA==&#10;">
              <v:fill on="f" focussize="0,0"/>
              <v:stroke on="f" weight="0.5pt"/>
              <v:imagedata o:title=""/>
              <o:lock v:ext="edit" aspectratio="f"/>
              <v:textbox inset="0mm,0mm,0mm,0mm" style="mso-fit-shape-to-text:t;">
                <w:txbxContent>
                  <w:p w14:paraId="2E0E1976">
                    <w:pPr>
                      <w:snapToGrid w:val="0"/>
                      <w:spacing w:line="360" w:lineRule="auto"/>
                      <w:ind w:firstLine="360" w:firstLineChars="200"/>
                      <w:jc w:val="left"/>
                      <w:rPr>
                        <w:rFonts w:ascii="Times New Roman" w:hAnsi="Times New Roman" w:eastAsia="宋体" w:cs="Times New Roman"/>
                        <w:sz w:val="18"/>
                        <w:szCs w:val="18"/>
                        <w:lang w:val="en-US" w:eastAsia="en-US" w:bidi="ar-SA"/>
                      </w:rPr>
                    </w:pPr>
                    <w:r>
                      <w:rPr>
                        <w:rFonts w:ascii="Times New Roman" w:hAnsi="Times New Roman" w:eastAsia="宋体" w:cs="Times New Roman"/>
                        <w:sz w:val="18"/>
                        <w:szCs w:val="18"/>
                        <w:lang w:val="en-US" w:eastAsia="en-US" w:bidi="ar-SA"/>
                      </w:rPr>
                      <w:fldChar w:fldCharType="begin"/>
                    </w:r>
                    <w:r>
                      <w:rPr>
                        <w:rFonts w:ascii="Times New Roman" w:hAnsi="Times New Roman" w:eastAsia="宋体" w:cs="Times New Roman"/>
                        <w:sz w:val="18"/>
                        <w:szCs w:val="18"/>
                        <w:lang w:val="en-US" w:eastAsia="en-US" w:bidi="ar-SA"/>
                      </w:rPr>
                      <w:instrText xml:space="preserve"> PAGE  \* MERGEFORMAT </w:instrText>
                    </w:r>
                    <w:r>
                      <w:rPr>
                        <w:rFonts w:ascii="Times New Roman" w:hAnsi="Times New Roman" w:eastAsia="宋体" w:cs="Times New Roman"/>
                        <w:sz w:val="18"/>
                        <w:szCs w:val="18"/>
                        <w:lang w:val="en-US" w:eastAsia="en-US" w:bidi="ar-SA"/>
                      </w:rPr>
                      <w:fldChar w:fldCharType="separate"/>
                    </w:r>
                    <w:r>
                      <w:rPr>
                        <w:rFonts w:ascii="Times New Roman" w:hAnsi="Times New Roman" w:eastAsia="宋体" w:cs="Times New Roman"/>
                        <w:sz w:val="18"/>
                        <w:szCs w:val="18"/>
                        <w:lang w:val="en-US" w:eastAsia="en-US" w:bidi="ar-SA"/>
                      </w:rPr>
                      <w:t>1</w:t>
                    </w:r>
                    <w:r>
                      <w:rPr>
                        <w:rFonts w:ascii="Times New Roman" w:hAnsi="Times New Roman" w:eastAsia="宋体" w:cs="Times New Roman"/>
                        <w:sz w:val="18"/>
                        <w:szCs w:val="18"/>
                        <w:lang w:val="en-US" w:eastAsia="en-US" w:bidi="ar-SA"/>
                      </w:rPr>
                      <w:fldChar w:fldCharType="end"/>
                    </w:r>
                  </w:p>
                </w:txbxContent>
              </v:textbox>
            </v:shape>
          </w:pict>
        </mc:Fallback>
      </mc:AlternateContent>
    </w:r>
    <w:r>
      <w:rPr>
        <w:rFonts w:ascii="Times New Roman" w:hAnsi="Times New Roman" w:eastAsia="宋体" w:cs="Times New Roman"/>
        <w:sz w:val="18"/>
        <w:szCs w:val="18"/>
        <w:lang w:val="en-US" w:eastAsia="en-US"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12935A">
                          <w:pPr>
                            <w:snapToGrid w:val="0"/>
                            <w:spacing w:line="360" w:lineRule="auto"/>
                            <w:ind w:firstLine="360" w:firstLineChars="200"/>
                            <w:jc w:val="left"/>
                            <w:rPr>
                              <w:rFonts w:ascii="Times New Roman" w:hAnsi="Times New Roman" w:eastAsia="宋体" w:cs="Times New Roman"/>
                              <w:sz w:val="18"/>
                              <w:szCs w:val="18"/>
                              <w:lang w:val="en-US" w:eastAsia="en-US"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nxzkyAgAAZ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mfHOTICAABlBAAADgAAAAAAAAABACAAAAAfAQAAZHJzL2Uyb0RvYy54bWxQSwUG&#10;AAAAAAYABgBZAQAAwwUAAAAA&#10;">
              <v:fill on="f" focussize="0,0"/>
              <v:stroke on="f" weight="0.5pt"/>
              <v:imagedata o:title=""/>
              <o:lock v:ext="edit" aspectratio="f"/>
              <v:textbox inset="0mm,0mm,0mm,0mm" style="mso-fit-shape-to-text:t;">
                <w:txbxContent>
                  <w:p w14:paraId="6912935A">
                    <w:pPr>
                      <w:snapToGrid w:val="0"/>
                      <w:spacing w:line="360" w:lineRule="auto"/>
                      <w:ind w:firstLine="360" w:firstLineChars="200"/>
                      <w:jc w:val="left"/>
                      <w:rPr>
                        <w:rFonts w:ascii="Times New Roman" w:hAnsi="Times New Roman" w:eastAsia="宋体" w:cs="Times New Roman"/>
                        <w:sz w:val="18"/>
                        <w:szCs w:val="18"/>
                        <w:lang w:val="en-US" w:eastAsia="en-US" w:bidi="ar-SA"/>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CF441">
    <w:pPr>
      <w:pStyle w:val="13"/>
      <w:ind w:firstLine="3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2BD071">
                          <w:pPr>
                            <w:pStyle w:val="13"/>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OrUy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9w6tTICAABlBAAADgAAAAAAAAABACAAAAAfAQAAZHJzL2Uyb0RvYy54bWxQSwUG&#10;AAAAAAYABgBZAQAAwwUAAAAA&#10;">
              <v:fill on="f" focussize="0,0"/>
              <v:stroke on="f" weight="0.5pt"/>
              <v:imagedata o:title=""/>
              <o:lock v:ext="edit" aspectratio="f"/>
              <v:textbox inset="0mm,0mm,0mm,0mm" style="mso-fit-shape-to-text:t;">
                <w:txbxContent>
                  <w:p w14:paraId="5E2BD071">
                    <w:pPr>
                      <w:pStyle w:val="13"/>
                      <w:ind w:firstLine="36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32D15C">
                          <w:pPr>
                            <w:pStyle w:val="13"/>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m/Zs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Hm/ZszAgAAZQQAAA4AAAAAAAAAAQAgAAAAHwEAAGRycy9lMm9Eb2MueG1sUEsF&#10;BgAAAAAGAAYAWQEAAMQFAAAAAA==&#10;">
              <v:fill on="f" focussize="0,0"/>
              <v:stroke on="f" weight="0.5pt"/>
              <v:imagedata o:title=""/>
              <o:lock v:ext="edit" aspectratio="f"/>
              <v:textbox inset="0mm,0mm,0mm,0mm" style="mso-fit-shape-to-text:t;">
                <w:txbxContent>
                  <w:p w14:paraId="5532D15C">
                    <w:pPr>
                      <w:pStyle w:val="13"/>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9ADB">
    <w:pPr>
      <w:pStyle w:val="14"/>
      <w:pBdr>
        <w:bottom w:val="none" w:color="auto" w:sz="0" w:space="0"/>
      </w:pBdr>
      <w:tabs>
        <w:tab w:val="left" w:pos="4200"/>
        <w:tab w:val="left" w:pos="4620"/>
        <w:tab w:val="left" w:pos="5040"/>
        <w:tab w:val="clear" w:pos="8306"/>
      </w:tabs>
      <w:jc w:val="lef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FC59">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67977">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F6EAC">
    <w:pPr>
      <w:pStyle w:val="1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793B9">
    <w:pPr>
      <w:pBdr>
        <w:bottom w:val="none" w:color="auto" w:sz="0" w:space="1"/>
      </w:pBdr>
      <w:snapToGrid w:val="0"/>
      <w:spacing w:line="240" w:lineRule="auto"/>
      <w:ind w:firstLine="0" w:firstLineChars="0"/>
      <w:jc w:val="center"/>
      <w:rPr>
        <w:rFonts w:ascii="Times New Roman" w:hAnsi="Times New Roman" w:eastAsia="宋体" w:cs="Times New Roman"/>
        <w:sz w:val="18"/>
        <w:szCs w:val="18"/>
        <w:lang w:val="en-US" w:eastAsia="en-US"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023FC">
    <w:pPr>
      <w:pStyle w:val="14"/>
      <w:pBdr>
        <w:bottom w:val="none" w:color="auto" w:sz="0" w:space="1"/>
      </w:pBdr>
      <w:spacing w:line="240" w:lineRule="auto"/>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FB0A4"/>
    <w:multiLevelType w:val="singleLevel"/>
    <w:tmpl w:val="9FFFB0A4"/>
    <w:lvl w:ilvl="0" w:tentative="0">
      <w:start w:val="1"/>
      <w:numFmt w:val="bullet"/>
      <w:lvlText w:val=""/>
      <w:lvlJc w:val="left"/>
      <w:pPr>
        <w:ind w:left="420" w:hanging="420"/>
      </w:pPr>
      <w:rPr>
        <w:rFonts w:hint="default" w:ascii="Wingdings" w:hAnsi="Wingdings"/>
      </w:rPr>
    </w:lvl>
  </w:abstractNum>
  <w:abstractNum w:abstractNumId="1">
    <w:nsid w:val="A15B243A"/>
    <w:multiLevelType w:val="singleLevel"/>
    <w:tmpl w:val="A15B243A"/>
    <w:lvl w:ilvl="0" w:tentative="0">
      <w:start w:val="1"/>
      <w:numFmt w:val="decimal"/>
      <w:suff w:val="nothing"/>
      <w:lvlText w:val="%1、"/>
      <w:lvlJc w:val="left"/>
    </w:lvl>
  </w:abstractNum>
  <w:abstractNum w:abstractNumId="2">
    <w:nsid w:val="B02965F6"/>
    <w:multiLevelType w:val="singleLevel"/>
    <w:tmpl w:val="B02965F6"/>
    <w:lvl w:ilvl="0" w:tentative="0">
      <w:start w:val="1"/>
      <w:numFmt w:val="chineseCounting"/>
      <w:suff w:val="nothing"/>
      <w:lvlText w:val="（%1）"/>
      <w:lvlJc w:val="left"/>
      <w:pPr>
        <w:ind w:left="0" w:firstLine="420"/>
      </w:pPr>
      <w:rPr>
        <w:rFonts w:hint="eastAsia"/>
      </w:rPr>
    </w:lvl>
  </w:abstractNum>
  <w:abstractNum w:abstractNumId="3">
    <w:nsid w:val="BBF78E27"/>
    <w:multiLevelType w:val="singleLevel"/>
    <w:tmpl w:val="BBF78E27"/>
    <w:lvl w:ilvl="0" w:tentative="0">
      <w:start w:val="1"/>
      <w:numFmt w:val="decimal"/>
      <w:suff w:val="nothing"/>
      <w:lvlText w:val="（%1）"/>
      <w:lvlJc w:val="left"/>
    </w:lvl>
  </w:abstractNum>
  <w:abstractNum w:abstractNumId="4">
    <w:nsid w:val="BF73BCCB"/>
    <w:multiLevelType w:val="singleLevel"/>
    <w:tmpl w:val="BF73BCCB"/>
    <w:lvl w:ilvl="0" w:tentative="0">
      <w:start w:val="1"/>
      <w:numFmt w:val="bullet"/>
      <w:lvlText w:val=""/>
      <w:lvlJc w:val="left"/>
      <w:pPr>
        <w:ind w:left="420" w:hanging="420"/>
      </w:pPr>
      <w:rPr>
        <w:rFonts w:hint="default" w:ascii="Wingdings" w:hAnsi="Wingdings"/>
      </w:rPr>
    </w:lvl>
  </w:abstractNum>
  <w:abstractNum w:abstractNumId="5">
    <w:nsid w:val="C0FDD79D"/>
    <w:multiLevelType w:val="singleLevel"/>
    <w:tmpl w:val="C0FDD79D"/>
    <w:lvl w:ilvl="0" w:tentative="0">
      <w:start w:val="1"/>
      <w:numFmt w:val="decimal"/>
      <w:lvlText w:val="(%1)"/>
      <w:lvlJc w:val="left"/>
      <w:pPr>
        <w:ind w:left="905" w:hanging="425"/>
      </w:pPr>
      <w:rPr>
        <w:rFonts w:hint="default"/>
      </w:rPr>
    </w:lvl>
  </w:abstractNum>
  <w:abstractNum w:abstractNumId="6">
    <w:nsid w:val="CE9497D7"/>
    <w:multiLevelType w:val="singleLevel"/>
    <w:tmpl w:val="CE9497D7"/>
    <w:lvl w:ilvl="0" w:tentative="0">
      <w:start w:val="1"/>
      <w:numFmt w:val="decimal"/>
      <w:lvlText w:val="%1)"/>
      <w:lvlJc w:val="left"/>
      <w:pPr>
        <w:ind w:left="425" w:hanging="425"/>
      </w:pPr>
      <w:rPr>
        <w:rFonts w:hint="default"/>
      </w:rPr>
    </w:lvl>
  </w:abstractNum>
  <w:abstractNum w:abstractNumId="7">
    <w:nsid w:val="D824A416"/>
    <w:multiLevelType w:val="singleLevel"/>
    <w:tmpl w:val="D824A416"/>
    <w:lvl w:ilvl="0" w:tentative="0">
      <w:start w:val="2"/>
      <w:numFmt w:val="chineseCounting"/>
      <w:suff w:val="nothing"/>
      <w:lvlText w:val="（%1）"/>
      <w:lvlJc w:val="left"/>
      <w:rPr>
        <w:rFonts w:hint="eastAsia"/>
      </w:rPr>
    </w:lvl>
  </w:abstractNum>
  <w:abstractNum w:abstractNumId="8">
    <w:nsid w:val="D9DD2686"/>
    <w:multiLevelType w:val="singleLevel"/>
    <w:tmpl w:val="D9DD2686"/>
    <w:lvl w:ilvl="0" w:tentative="0">
      <w:start w:val="8"/>
      <w:numFmt w:val="decimal"/>
      <w:suff w:val="nothing"/>
      <w:lvlText w:val="（%1）"/>
      <w:lvlJc w:val="left"/>
    </w:lvl>
  </w:abstractNum>
  <w:abstractNum w:abstractNumId="9">
    <w:nsid w:val="DAA1268B"/>
    <w:multiLevelType w:val="singleLevel"/>
    <w:tmpl w:val="DAA1268B"/>
    <w:lvl w:ilvl="0" w:tentative="0">
      <w:start w:val="1"/>
      <w:numFmt w:val="decimal"/>
      <w:suff w:val="nothing"/>
      <w:lvlText w:val="%1、"/>
      <w:lvlJc w:val="left"/>
    </w:lvl>
  </w:abstractNum>
  <w:abstractNum w:abstractNumId="10">
    <w:nsid w:val="DBDE0AEE"/>
    <w:multiLevelType w:val="singleLevel"/>
    <w:tmpl w:val="DBDE0AEE"/>
    <w:lvl w:ilvl="0" w:tentative="0">
      <w:start w:val="1"/>
      <w:numFmt w:val="decimal"/>
      <w:suff w:val="nothing"/>
      <w:lvlText w:val="（%1）"/>
      <w:lvlJc w:val="left"/>
    </w:lvl>
  </w:abstractNum>
  <w:abstractNum w:abstractNumId="11">
    <w:nsid w:val="E58EF610"/>
    <w:multiLevelType w:val="singleLevel"/>
    <w:tmpl w:val="E58EF610"/>
    <w:lvl w:ilvl="0" w:tentative="0">
      <w:start w:val="1"/>
      <w:numFmt w:val="decimal"/>
      <w:suff w:val="nothing"/>
      <w:lvlText w:val="（%1）"/>
      <w:lvlJc w:val="left"/>
    </w:lvl>
  </w:abstractNum>
  <w:abstractNum w:abstractNumId="12">
    <w:nsid w:val="E593300B"/>
    <w:multiLevelType w:val="singleLevel"/>
    <w:tmpl w:val="E593300B"/>
    <w:lvl w:ilvl="0" w:tentative="0">
      <w:start w:val="1"/>
      <w:numFmt w:val="decimal"/>
      <w:suff w:val="space"/>
      <w:lvlText w:val="%1."/>
      <w:lvlJc w:val="left"/>
    </w:lvl>
  </w:abstractNum>
  <w:abstractNum w:abstractNumId="13">
    <w:nsid w:val="FAA821FA"/>
    <w:multiLevelType w:val="singleLevel"/>
    <w:tmpl w:val="FAA821FA"/>
    <w:lvl w:ilvl="0" w:tentative="0">
      <w:start w:val="1"/>
      <w:numFmt w:val="decimal"/>
      <w:lvlText w:val="(%1)"/>
      <w:lvlJc w:val="left"/>
      <w:pPr>
        <w:ind w:left="905" w:hanging="425"/>
      </w:pPr>
      <w:rPr>
        <w:rFonts w:hint="default"/>
      </w:rPr>
    </w:lvl>
  </w:abstractNum>
  <w:abstractNum w:abstractNumId="14">
    <w:nsid w:val="FC121053"/>
    <w:multiLevelType w:val="singleLevel"/>
    <w:tmpl w:val="FC121053"/>
    <w:lvl w:ilvl="0" w:tentative="0">
      <w:start w:val="1"/>
      <w:numFmt w:val="decimal"/>
      <w:suff w:val="nothing"/>
      <w:lvlText w:val="（%1）"/>
      <w:lvlJc w:val="left"/>
    </w:lvl>
  </w:abstractNum>
  <w:abstractNum w:abstractNumId="15">
    <w:nsid w:val="FEFA56A2"/>
    <w:multiLevelType w:val="singleLevel"/>
    <w:tmpl w:val="FEFA56A2"/>
    <w:lvl w:ilvl="0" w:tentative="0">
      <w:start w:val="2"/>
      <w:numFmt w:val="decimal"/>
      <w:suff w:val="nothing"/>
      <w:lvlText w:val="%1）"/>
      <w:lvlJc w:val="left"/>
    </w:lvl>
  </w:abstractNum>
  <w:abstractNum w:abstractNumId="16">
    <w:nsid w:val="FF8C2769"/>
    <w:multiLevelType w:val="singleLevel"/>
    <w:tmpl w:val="FF8C2769"/>
    <w:lvl w:ilvl="0" w:tentative="0">
      <w:start w:val="2"/>
      <w:numFmt w:val="decimal"/>
      <w:suff w:val="nothing"/>
      <w:lvlText w:val="%1、"/>
      <w:lvlJc w:val="left"/>
    </w:lvl>
  </w:abstractNum>
  <w:abstractNum w:abstractNumId="17">
    <w:nsid w:val="009E5F1A"/>
    <w:multiLevelType w:val="singleLevel"/>
    <w:tmpl w:val="009E5F1A"/>
    <w:lvl w:ilvl="0" w:tentative="0">
      <w:start w:val="1"/>
      <w:numFmt w:val="decimal"/>
      <w:lvlText w:val="%1."/>
      <w:lvlJc w:val="left"/>
      <w:pPr>
        <w:tabs>
          <w:tab w:val="left" w:pos="420"/>
        </w:tabs>
        <w:ind w:left="420" w:hanging="285"/>
      </w:pPr>
      <w:rPr>
        <w:rFonts w:hint="default"/>
      </w:rPr>
    </w:lvl>
  </w:abstractNum>
  <w:abstractNum w:abstractNumId="18">
    <w:nsid w:val="02AC45DB"/>
    <w:multiLevelType w:val="singleLevel"/>
    <w:tmpl w:val="02AC45DB"/>
    <w:lvl w:ilvl="0" w:tentative="0">
      <w:start w:val="1"/>
      <w:numFmt w:val="decimal"/>
      <w:suff w:val="space"/>
      <w:lvlText w:val="%1."/>
      <w:lvlJc w:val="left"/>
      <w:pPr>
        <w:ind w:left="480" w:firstLine="0"/>
      </w:pPr>
    </w:lvl>
  </w:abstractNum>
  <w:abstractNum w:abstractNumId="19">
    <w:nsid w:val="041D0DB0"/>
    <w:multiLevelType w:val="singleLevel"/>
    <w:tmpl w:val="041D0DB0"/>
    <w:lvl w:ilvl="0" w:tentative="0">
      <w:start w:val="1"/>
      <w:numFmt w:val="chineseCounting"/>
      <w:suff w:val="nothing"/>
      <w:lvlText w:val="%1、"/>
      <w:lvlJc w:val="left"/>
      <w:rPr>
        <w:rFonts w:hint="eastAsia"/>
      </w:rPr>
    </w:lvl>
  </w:abstractNum>
  <w:abstractNum w:abstractNumId="20">
    <w:nsid w:val="17610B98"/>
    <w:multiLevelType w:val="multilevel"/>
    <w:tmpl w:val="17610B98"/>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21">
    <w:nsid w:val="181E5DEE"/>
    <w:multiLevelType w:val="multilevel"/>
    <w:tmpl w:val="181E5DEE"/>
    <w:lvl w:ilvl="0" w:tentative="0">
      <w:start w:val="1"/>
      <w:numFmt w:val="decimal"/>
      <w:lvlText w:val="（%1）"/>
      <w:lvlJc w:val="left"/>
      <w:pPr>
        <w:tabs>
          <w:tab w:val="left" w:pos="1140"/>
        </w:tabs>
        <w:ind w:left="1140" w:hanging="420"/>
      </w:pPr>
      <w:rPr>
        <w:rFonts w:hint="eastAsia"/>
        <w:lang w:val="en-US"/>
      </w:rPr>
    </w:lvl>
    <w:lvl w:ilvl="1" w:tentative="0">
      <w:start w:val="0"/>
      <w:numFmt w:val="none"/>
      <w:lvlText w:val=""/>
      <w:lvlJc w:val="left"/>
      <w:pPr>
        <w:tabs>
          <w:tab w:val="left" w:pos="0"/>
        </w:tabs>
        <w:ind w:left="-360" w:firstLine="0"/>
      </w:pPr>
      <w:rPr>
        <w:rFonts w:hint="eastAsia"/>
      </w:rPr>
    </w:lvl>
    <w:lvl w:ilvl="2" w:tentative="0">
      <w:start w:val="0"/>
      <w:numFmt w:val="none"/>
      <w:lvlText w:val=""/>
      <w:lvlJc w:val="left"/>
      <w:pPr>
        <w:tabs>
          <w:tab w:val="left" w:pos="0"/>
        </w:tabs>
        <w:ind w:left="-360" w:firstLine="0"/>
      </w:pPr>
      <w:rPr>
        <w:rFonts w:hint="eastAsia"/>
      </w:rPr>
    </w:lvl>
    <w:lvl w:ilvl="3" w:tentative="0">
      <w:start w:val="0"/>
      <w:numFmt w:val="none"/>
      <w:lvlText w:val=""/>
      <w:lvlJc w:val="left"/>
      <w:pPr>
        <w:tabs>
          <w:tab w:val="left" w:pos="0"/>
        </w:tabs>
        <w:ind w:left="-360" w:firstLine="0"/>
      </w:pPr>
      <w:rPr>
        <w:rFonts w:hint="eastAsia"/>
      </w:rPr>
    </w:lvl>
    <w:lvl w:ilvl="4" w:tentative="0">
      <w:start w:val="0"/>
      <w:numFmt w:val="none"/>
      <w:lvlText w:val=""/>
      <w:lvlJc w:val="left"/>
      <w:pPr>
        <w:tabs>
          <w:tab w:val="left" w:pos="0"/>
        </w:tabs>
        <w:ind w:left="-360" w:firstLine="0"/>
      </w:pPr>
      <w:rPr>
        <w:rFonts w:hint="eastAsia"/>
      </w:rPr>
    </w:lvl>
    <w:lvl w:ilvl="5" w:tentative="0">
      <w:start w:val="0"/>
      <w:numFmt w:val="none"/>
      <w:lvlText w:val=""/>
      <w:lvlJc w:val="left"/>
      <w:pPr>
        <w:tabs>
          <w:tab w:val="left" w:pos="0"/>
        </w:tabs>
        <w:ind w:left="-360" w:firstLine="0"/>
      </w:pPr>
      <w:rPr>
        <w:rFonts w:hint="eastAsia"/>
      </w:rPr>
    </w:lvl>
    <w:lvl w:ilvl="6" w:tentative="0">
      <w:start w:val="0"/>
      <w:numFmt w:val="none"/>
      <w:lvlText w:val=""/>
      <w:lvlJc w:val="left"/>
      <w:pPr>
        <w:tabs>
          <w:tab w:val="left" w:pos="0"/>
        </w:tabs>
        <w:ind w:left="-360" w:firstLine="0"/>
      </w:pPr>
      <w:rPr>
        <w:rFonts w:hint="eastAsia"/>
      </w:rPr>
    </w:lvl>
    <w:lvl w:ilvl="7" w:tentative="0">
      <w:start w:val="0"/>
      <w:numFmt w:val="none"/>
      <w:lvlText w:val=""/>
      <w:lvlJc w:val="left"/>
      <w:pPr>
        <w:tabs>
          <w:tab w:val="left" w:pos="0"/>
        </w:tabs>
        <w:ind w:left="-360" w:firstLine="0"/>
      </w:pPr>
      <w:rPr>
        <w:rFonts w:hint="eastAsia"/>
      </w:rPr>
    </w:lvl>
    <w:lvl w:ilvl="8" w:tentative="0">
      <w:start w:val="0"/>
      <w:numFmt w:val="none"/>
      <w:lvlText w:val=""/>
      <w:lvlJc w:val="left"/>
      <w:pPr>
        <w:tabs>
          <w:tab w:val="left" w:pos="0"/>
        </w:tabs>
        <w:ind w:left="-360" w:firstLine="0"/>
      </w:pPr>
      <w:rPr>
        <w:rFonts w:hint="eastAsia"/>
      </w:rPr>
    </w:lvl>
  </w:abstractNum>
  <w:abstractNum w:abstractNumId="22">
    <w:nsid w:val="18B8E1F7"/>
    <w:multiLevelType w:val="singleLevel"/>
    <w:tmpl w:val="18B8E1F7"/>
    <w:lvl w:ilvl="0" w:tentative="0">
      <w:start w:val="1"/>
      <w:numFmt w:val="decimal"/>
      <w:suff w:val="nothing"/>
      <w:lvlText w:val="（%1）"/>
      <w:lvlJc w:val="left"/>
    </w:lvl>
  </w:abstractNum>
  <w:abstractNum w:abstractNumId="23">
    <w:nsid w:val="1E1566E5"/>
    <w:multiLevelType w:val="singleLevel"/>
    <w:tmpl w:val="1E1566E5"/>
    <w:lvl w:ilvl="0" w:tentative="0">
      <w:start w:val="2"/>
      <w:numFmt w:val="chineseCounting"/>
      <w:suff w:val="nothing"/>
      <w:lvlText w:val="%1、"/>
      <w:lvlJc w:val="left"/>
      <w:rPr>
        <w:rFonts w:hint="eastAsia"/>
      </w:rPr>
    </w:lvl>
  </w:abstractNum>
  <w:abstractNum w:abstractNumId="24">
    <w:nsid w:val="25F313C2"/>
    <w:multiLevelType w:val="singleLevel"/>
    <w:tmpl w:val="25F313C2"/>
    <w:lvl w:ilvl="0" w:tentative="0">
      <w:start w:val="1"/>
      <w:numFmt w:val="decimal"/>
      <w:suff w:val="nothing"/>
      <w:lvlText w:val="%1、"/>
      <w:lvlJc w:val="left"/>
    </w:lvl>
  </w:abstractNum>
  <w:abstractNum w:abstractNumId="25">
    <w:nsid w:val="4D127B90"/>
    <w:multiLevelType w:val="multilevel"/>
    <w:tmpl w:val="4D127B90"/>
    <w:lvl w:ilvl="0" w:tentative="0">
      <w:start w:val="1"/>
      <w:numFmt w:val="decimal"/>
      <w:lvlText w:val="（%1）"/>
      <w:lvlJc w:val="left"/>
      <w:pPr>
        <w:tabs>
          <w:tab w:val="left" w:pos="857"/>
        </w:tabs>
        <w:ind w:left="1141" w:hanging="574"/>
      </w:pPr>
      <w:rPr>
        <w:rFonts w:hint="eastAsia"/>
      </w:rPr>
    </w:lvl>
    <w:lvl w:ilvl="1" w:tentative="0">
      <w:start w:val="1"/>
      <w:numFmt w:val="lowerLetter"/>
      <w:lvlText w:val="%2."/>
      <w:lvlJc w:val="left"/>
      <w:pPr>
        <w:tabs>
          <w:tab w:val="left" w:pos="927"/>
        </w:tabs>
        <w:ind w:left="927" w:hanging="360"/>
      </w:pPr>
      <w:rPr>
        <w:rFonts w:hint="eastAsia"/>
      </w:rPr>
    </w:lvl>
    <w:lvl w:ilvl="2" w:tentative="0">
      <w:start w:val="1"/>
      <w:numFmt w:val="lowerRoman"/>
      <w:lvlText w:val="%3."/>
      <w:lvlJc w:val="right"/>
      <w:pPr>
        <w:tabs>
          <w:tab w:val="left" w:pos="1407"/>
        </w:tabs>
        <w:ind w:left="1407" w:hanging="420"/>
      </w:pPr>
      <w:rPr>
        <w:rFonts w:hint="eastAsia"/>
      </w:rPr>
    </w:lvl>
    <w:lvl w:ilvl="3" w:tentative="0">
      <w:start w:val="1"/>
      <w:numFmt w:val="decimal"/>
      <w:lvlText w:val="%4."/>
      <w:lvlJc w:val="left"/>
      <w:pPr>
        <w:tabs>
          <w:tab w:val="left" w:pos="1827"/>
        </w:tabs>
        <w:ind w:left="1827" w:hanging="420"/>
      </w:pPr>
      <w:rPr>
        <w:rFonts w:hint="eastAsia"/>
      </w:rPr>
    </w:lvl>
    <w:lvl w:ilvl="4" w:tentative="0">
      <w:start w:val="1"/>
      <w:numFmt w:val="lowerLetter"/>
      <w:lvlText w:val="%5)"/>
      <w:lvlJc w:val="left"/>
      <w:pPr>
        <w:tabs>
          <w:tab w:val="left" w:pos="2247"/>
        </w:tabs>
        <w:ind w:left="2247" w:hanging="420"/>
      </w:pPr>
      <w:rPr>
        <w:rFonts w:hint="eastAsia"/>
      </w:rPr>
    </w:lvl>
    <w:lvl w:ilvl="5" w:tentative="0">
      <w:start w:val="1"/>
      <w:numFmt w:val="lowerRoman"/>
      <w:lvlText w:val="%6."/>
      <w:lvlJc w:val="right"/>
      <w:pPr>
        <w:tabs>
          <w:tab w:val="left" w:pos="2667"/>
        </w:tabs>
        <w:ind w:left="2667" w:hanging="420"/>
      </w:pPr>
      <w:rPr>
        <w:rFonts w:hint="eastAsia"/>
      </w:rPr>
    </w:lvl>
    <w:lvl w:ilvl="6" w:tentative="0">
      <w:start w:val="1"/>
      <w:numFmt w:val="decimal"/>
      <w:lvlText w:val="%7."/>
      <w:lvlJc w:val="left"/>
      <w:pPr>
        <w:tabs>
          <w:tab w:val="left" w:pos="3087"/>
        </w:tabs>
        <w:ind w:left="3087" w:hanging="420"/>
      </w:pPr>
      <w:rPr>
        <w:rFonts w:hint="eastAsia"/>
      </w:rPr>
    </w:lvl>
    <w:lvl w:ilvl="7" w:tentative="0">
      <w:start w:val="1"/>
      <w:numFmt w:val="lowerLetter"/>
      <w:lvlText w:val="%8)"/>
      <w:lvlJc w:val="left"/>
      <w:pPr>
        <w:tabs>
          <w:tab w:val="left" w:pos="3507"/>
        </w:tabs>
        <w:ind w:left="3507" w:hanging="420"/>
      </w:pPr>
      <w:rPr>
        <w:rFonts w:hint="eastAsia"/>
      </w:rPr>
    </w:lvl>
    <w:lvl w:ilvl="8" w:tentative="0">
      <w:start w:val="1"/>
      <w:numFmt w:val="lowerRoman"/>
      <w:lvlText w:val="%9."/>
      <w:lvlJc w:val="right"/>
      <w:pPr>
        <w:tabs>
          <w:tab w:val="left" w:pos="3927"/>
        </w:tabs>
        <w:ind w:left="3927" w:hanging="420"/>
      </w:pPr>
      <w:rPr>
        <w:rFonts w:hint="eastAsia"/>
      </w:rPr>
    </w:lvl>
  </w:abstractNum>
  <w:abstractNum w:abstractNumId="26">
    <w:nsid w:val="52382540"/>
    <w:multiLevelType w:val="singleLevel"/>
    <w:tmpl w:val="52382540"/>
    <w:lvl w:ilvl="0" w:tentative="0">
      <w:start w:val="1"/>
      <w:numFmt w:val="bullet"/>
      <w:lvlText w:val=""/>
      <w:lvlJc w:val="left"/>
      <w:pPr>
        <w:ind w:left="420" w:hanging="420"/>
      </w:pPr>
      <w:rPr>
        <w:rFonts w:hint="default" w:ascii="Wingdings" w:hAnsi="Wingdings"/>
      </w:rPr>
    </w:lvl>
  </w:abstractNum>
  <w:abstractNum w:abstractNumId="27">
    <w:nsid w:val="5725EDBF"/>
    <w:multiLevelType w:val="singleLevel"/>
    <w:tmpl w:val="5725EDBF"/>
    <w:lvl w:ilvl="0" w:tentative="0">
      <w:start w:val="1"/>
      <w:numFmt w:val="decimal"/>
      <w:suff w:val="nothing"/>
      <w:lvlText w:val="%1、"/>
      <w:lvlJc w:val="left"/>
    </w:lvl>
  </w:abstractNum>
  <w:abstractNum w:abstractNumId="28">
    <w:nsid w:val="674F11E8"/>
    <w:multiLevelType w:val="singleLevel"/>
    <w:tmpl w:val="674F11E8"/>
    <w:lvl w:ilvl="0" w:tentative="0">
      <w:start w:val="1"/>
      <w:numFmt w:val="decimal"/>
      <w:lvlText w:val="(%1)"/>
      <w:lvlJc w:val="left"/>
      <w:pPr>
        <w:ind w:left="370" w:hanging="425"/>
      </w:pPr>
      <w:rPr>
        <w:rFonts w:hint="default"/>
      </w:rPr>
    </w:lvl>
  </w:abstractNum>
  <w:abstractNum w:abstractNumId="29">
    <w:nsid w:val="6F965A73"/>
    <w:multiLevelType w:val="singleLevel"/>
    <w:tmpl w:val="6F965A73"/>
    <w:lvl w:ilvl="0" w:tentative="0">
      <w:start w:val="1"/>
      <w:numFmt w:val="decimal"/>
      <w:suff w:val="nothing"/>
      <w:lvlText w:val="%1、"/>
      <w:lvlJc w:val="left"/>
    </w:lvl>
  </w:abstractNum>
  <w:abstractNum w:abstractNumId="30">
    <w:nsid w:val="723A5B5A"/>
    <w:multiLevelType w:val="multilevel"/>
    <w:tmpl w:val="723A5B5A"/>
    <w:lvl w:ilvl="0" w:tentative="0">
      <w:start w:val="1"/>
      <w:numFmt w:val="bullet"/>
      <w:lvlText w:val=""/>
      <w:lvlJc w:val="left"/>
      <w:pPr>
        <w:ind w:left="-2" w:hanging="420"/>
      </w:pPr>
      <w:rPr>
        <w:rFonts w:hint="default" w:ascii="Wingdings" w:hAnsi="Wingdings"/>
      </w:rPr>
    </w:lvl>
    <w:lvl w:ilvl="1" w:tentative="0">
      <w:start w:val="1"/>
      <w:numFmt w:val="bullet"/>
      <w:lvlText w:val=""/>
      <w:lvlJc w:val="left"/>
      <w:pPr>
        <w:ind w:left="418" w:hanging="420"/>
      </w:pPr>
      <w:rPr>
        <w:rFonts w:hint="default" w:ascii="Wingdings" w:hAnsi="Wingdings"/>
      </w:rPr>
    </w:lvl>
    <w:lvl w:ilvl="2" w:tentative="0">
      <w:start w:val="1"/>
      <w:numFmt w:val="bullet"/>
      <w:lvlText w:val=""/>
      <w:lvlJc w:val="left"/>
      <w:pPr>
        <w:ind w:left="838" w:hanging="420"/>
      </w:pPr>
      <w:rPr>
        <w:rFonts w:hint="default" w:ascii="Wingdings" w:hAnsi="Wingdings"/>
      </w:rPr>
    </w:lvl>
    <w:lvl w:ilvl="3" w:tentative="0">
      <w:start w:val="1"/>
      <w:numFmt w:val="bullet"/>
      <w:lvlText w:val=""/>
      <w:lvlJc w:val="left"/>
      <w:pPr>
        <w:ind w:left="1258" w:hanging="420"/>
      </w:pPr>
      <w:rPr>
        <w:rFonts w:hint="default" w:ascii="Wingdings" w:hAnsi="Wingdings"/>
      </w:rPr>
    </w:lvl>
    <w:lvl w:ilvl="4" w:tentative="0">
      <w:start w:val="1"/>
      <w:numFmt w:val="bullet"/>
      <w:lvlText w:val=""/>
      <w:lvlJc w:val="left"/>
      <w:pPr>
        <w:ind w:left="1678" w:hanging="420"/>
      </w:pPr>
      <w:rPr>
        <w:rFonts w:hint="default" w:ascii="Wingdings" w:hAnsi="Wingdings"/>
      </w:rPr>
    </w:lvl>
    <w:lvl w:ilvl="5" w:tentative="0">
      <w:start w:val="1"/>
      <w:numFmt w:val="bullet"/>
      <w:lvlText w:val=""/>
      <w:lvlJc w:val="left"/>
      <w:pPr>
        <w:ind w:left="2098" w:hanging="420"/>
      </w:pPr>
      <w:rPr>
        <w:rFonts w:hint="default" w:ascii="Wingdings" w:hAnsi="Wingdings"/>
      </w:rPr>
    </w:lvl>
    <w:lvl w:ilvl="6" w:tentative="0">
      <w:start w:val="1"/>
      <w:numFmt w:val="bullet"/>
      <w:lvlText w:val=""/>
      <w:lvlJc w:val="left"/>
      <w:pPr>
        <w:ind w:left="2518" w:hanging="420"/>
      </w:pPr>
      <w:rPr>
        <w:rFonts w:hint="default" w:ascii="Wingdings" w:hAnsi="Wingdings"/>
      </w:rPr>
    </w:lvl>
    <w:lvl w:ilvl="7" w:tentative="0">
      <w:start w:val="1"/>
      <w:numFmt w:val="bullet"/>
      <w:lvlText w:val=""/>
      <w:lvlJc w:val="left"/>
      <w:pPr>
        <w:ind w:left="2938" w:hanging="420"/>
      </w:pPr>
      <w:rPr>
        <w:rFonts w:hint="default" w:ascii="Wingdings" w:hAnsi="Wingdings"/>
      </w:rPr>
    </w:lvl>
    <w:lvl w:ilvl="8" w:tentative="0">
      <w:start w:val="1"/>
      <w:numFmt w:val="bullet"/>
      <w:lvlText w:val=""/>
      <w:lvlJc w:val="left"/>
      <w:pPr>
        <w:ind w:left="3358" w:hanging="420"/>
      </w:pPr>
      <w:rPr>
        <w:rFonts w:hint="default" w:ascii="Wingdings" w:hAnsi="Wingdings"/>
      </w:rPr>
    </w:lvl>
  </w:abstractNum>
  <w:abstractNum w:abstractNumId="31">
    <w:nsid w:val="741C1748"/>
    <w:multiLevelType w:val="singleLevel"/>
    <w:tmpl w:val="741C1748"/>
    <w:lvl w:ilvl="0" w:tentative="0">
      <w:start w:val="2"/>
      <w:numFmt w:val="decimal"/>
      <w:suff w:val="space"/>
      <w:lvlText w:val="%1."/>
      <w:lvlJc w:val="left"/>
    </w:lvl>
  </w:abstractNum>
  <w:abstractNum w:abstractNumId="32">
    <w:nsid w:val="74BC305F"/>
    <w:multiLevelType w:val="multilevel"/>
    <w:tmpl w:val="74BC305F"/>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75E57EE"/>
    <w:multiLevelType w:val="multilevel"/>
    <w:tmpl w:val="775E57EE"/>
    <w:lvl w:ilvl="0" w:tentative="0">
      <w:start w:val="1"/>
      <w:numFmt w:val="chineseCounting"/>
      <w:suff w:val="nothing"/>
      <w:lvlText w:val="第%1章 "/>
      <w:lvlJc w:val="left"/>
      <w:pPr>
        <w:ind w:left="432" w:hanging="432"/>
      </w:pPr>
      <w:rPr>
        <w:rFonts w:hint="eastAsia"/>
      </w:rPr>
    </w:lvl>
    <w:lvl w:ilvl="1" w:tentative="0">
      <w:start w:val="1"/>
      <w:numFmt w:val="decimal"/>
      <w:isLgl/>
      <w:suff w:val="nothing"/>
      <w:lvlText w:val="%1.%2"/>
      <w:lvlJc w:val="left"/>
      <w:pPr>
        <w:tabs>
          <w:tab w:val="left" w:pos="420"/>
        </w:tabs>
        <w:ind w:left="575" w:hanging="575"/>
      </w:pPr>
      <w:rPr>
        <w:rFonts w:hint="eastAsia"/>
      </w:rPr>
    </w:lvl>
    <w:lvl w:ilvl="2" w:tentative="0">
      <w:start w:val="1"/>
      <w:numFmt w:val="decimal"/>
      <w:pStyle w:val="10"/>
      <w:isLgl/>
      <w:suff w:val="nothing"/>
      <w:lvlText w:val="%1.%2.%3"/>
      <w:lvlJc w:val="left"/>
      <w:pPr>
        <w:tabs>
          <w:tab w:val="left" w:pos="420"/>
        </w:tabs>
        <w:ind w:left="720" w:hanging="720"/>
      </w:pPr>
      <w:rPr>
        <w:rFonts w:hint="eastAsia"/>
      </w:rPr>
    </w:lvl>
    <w:lvl w:ilvl="3" w:tentative="0">
      <w:start w:val="1"/>
      <w:numFmt w:val="decimal"/>
      <w:isLgl/>
      <w:suff w:val="nothing"/>
      <w:lvlText w:val="%1.%2.%3.%4"/>
      <w:lvlJc w:val="left"/>
      <w:pPr>
        <w:tabs>
          <w:tab w:val="left" w:pos="420"/>
        </w:tabs>
        <w:ind w:left="864" w:hanging="864"/>
      </w:pPr>
      <w:rPr>
        <w:rFonts w:hint="eastAsia"/>
      </w:rPr>
    </w:lvl>
    <w:lvl w:ilvl="4" w:tentative="0">
      <w:start w:val="1"/>
      <w:numFmt w:val="decimal"/>
      <w:isLgl/>
      <w:suff w:val="nothing"/>
      <w:lvlText w:val="%1.%2.%3.%4.%5"/>
      <w:lvlJc w:val="left"/>
      <w:pPr>
        <w:tabs>
          <w:tab w:val="left" w:pos="420"/>
        </w:tabs>
        <w:ind w:left="1008" w:hanging="1008"/>
      </w:pPr>
      <w:rPr>
        <w:rFonts w:hint="eastAsia"/>
      </w:rPr>
    </w:lvl>
    <w:lvl w:ilvl="5" w:tentative="0">
      <w:start w:val="1"/>
      <w:numFmt w:val="decimal"/>
      <w:isLgl/>
      <w:suff w:val="nothing"/>
      <w:lvlText w:val="%1.%2.%3.%4.%5.%6"/>
      <w:lvlJc w:val="left"/>
      <w:pPr>
        <w:tabs>
          <w:tab w:val="left" w:pos="420"/>
        </w:tabs>
        <w:ind w:left="1151" w:hanging="1151"/>
      </w:pPr>
      <w:rPr>
        <w:rFonts w:hint="eastAsia"/>
      </w:rPr>
    </w:lvl>
    <w:lvl w:ilvl="6" w:tentative="0">
      <w:start w:val="1"/>
      <w:numFmt w:val="decimal"/>
      <w:isLgl/>
      <w:suff w:val="nothing"/>
      <w:lvlText w:val="%1.%2.%3.%4.%5.%6.%7"/>
      <w:lvlJc w:val="left"/>
      <w:pPr>
        <w:tabs>
          <w:tab w:val="left" w:pos="420"/>
        </w:tabs>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4">
    <w:nsid w:val="7B7F3CE3"/>
    <w:multiLevelType w:val="singleLevel"/>
    <w:tmpl w:val="7B7F3CE3"/>
    <w:lvl w:ilvl="0" w:tentative="0">
      <w:start w:val="1"/>
      <w:numFmt w:val="decimal"/>
      <w:suff w:val="nothing"/>
      <w:lvlText w:val="（%1）"/>
      <w:lvlJc w:val="left"/>
    </w:lvl>
  </w:abstractNum>
  <w:abstractNum w:abstractNumId="35">
    <w:nsid w:val="7E7817BD"/>
    <w:multiLevelType w:val="singleLevel"/>
    <w:tmpl w:val="7E7817BD"/>
    <w:lvl w:ilvl="0" w:tentative="0">
      <w:start w:val="1"/>
      <w:numFmt w:val="decimal"/>
      <w:lvlText w:val="(%1)"/>
      <w:lvlJc w:val="left"/>
      <w:pPr>
        <w:ind w:left="425" w:hanging="425"/>
      </w:pPr>
      <w:rPr>
        <w:rFonts w:hint="default"/>
      </w:rPr>
    </w:lvl>
  </w:abstractNum>
  <w:abstractNum w:abstractNumId="36">
    <w:nsid w:val="7FBADF02"/>
    <w:multiLevelType w:val="singleLevel"/>
    <w:tmpl w:val="7FBADF02"/>
    <w:lvl w:ilvl="0" w:tentative="0">
      <w:start w:val="1"/>
      <w:numFmt w:val="bullet"/>
      <w:lvlText w:val=""/>
      <w:lvlJc w:val="left"/>
      <w:pPr>
        <w:ind w:left="420" w:hanging="420"/>
      </w:pPr>
      <w:rPr>
        <w:rFonts w:hint="default" w:ascii="Wingdings" w:hAnsi="Wingdings"/>
      </w:rPr>
    </w:lvl>
  </w:abstractNum>
  <w:num w:numId="1">
    <w:abstractNumId w:val="33"/>
  </w:num>
  <w:num w:numId="2">
    <w:abstractNumId w:val="31"/>
  </w:num>
  <w:num w:numId="3">
    <w:abstractNumId w:val="18"/>
  </w:num>
  <w:num w:numId="4">
    <w:abstractNumId w:val="22"/>
  </w:num>
  <w:num w:numId="5">
    <w:abstractNumId w:val="25"/>
  </w:num>
  <w:num w:numId="6">
    <w:abstractNumId w:val="11"/>
  </w:num>
  <w:num w:numId="7">
    <w:abstractNumId w:val="21"/>
  </w:num>
  <w:num w:numId="8">
    <w:abstractNumId w:val="7"/>
  </w:num>
  <w:num w:numId="9">
    <w:abstractNumId w:val="2"/>
  </w:num>
  <w:num w:numId="10">
    <w:abstractNumId w:val="19"/>
  </w:num>
  <w:num w:numId="11">
    <w:abstractNumId w:val="23"/>
  </w:num>
  <w:num w:numId="12">
    <w:abstractNumId w:val="12"/>
  </w:num>
  <w:num w:numId="13">
    <w:abstractNumId w:val="3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1"/>
  </w:num>
  <w:num w:numId="18">
    <w:abstractNumId w:val="9"/>
  </w:num>
  <w:num w:numId="19">
    <w:abstractNumId w:val="29"/>
  </w:num>
  <w:num w:numId="20">
    <w:abstractNumId w:val="36"/>
  </w:num>
  <w:num w:numId="21">
    <w:abstractNumId w:val="4"/>
  </w:num>
  <w:num w:numId="22">
    <w:abstractNumId w:val="16"/>
  </w:num>
  <w:num w:numId="23">
    <w:abstractNumId w:val="0"/>
  </w:num>
  <w:num w:numId="24">
    <w:abstractNumId w:val="26"/>
  </w:num>
  <w:num w:numId="25">
    <w:abstractNumId w:val="6"/>
  </w:num>
  <w:num w:numId="26">
    <w:abstractNumId w:val="3"/>
  </w:num>
  <w:num w:numId="27">
    <w:abstractNumId w:val="8"/>
  </w:num>
  <w:num w:numId="28">
    <w:abstractNumId w:val="34"/>
  </w:num>
  <w:num w:numId="29">
    <w:abstractNumId w:val="10"/>
  </w:num>
  <w:num w:numId="30">
    <w:abstractNumId w:val="15"/>
  </w:num>
  <w:num w:numId="31">
    <w:abstractNumId w:val="30"/>
  </w:num>
  <w:num w:numId="32">
    <w:abstractNumId w:val="35"/>
  </w:num>
  <w:num w:numId="33">
    <w:abstractNumId w:val="28"/>
  </w:num>
  <w:num w:numId="34">
    <w:abstractNumId w:val="13"/>
  </w:num>
  <w:num w:numId="35">
    <w:abstractNumId w:val="5"/>
  </w:num>
  <w:num w:numId="36">
    <w:abstractNumId w:val="2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826258"/>
    <w:rsid w:val="097B2056"/>
    <w:rsid w:val="3FE82650"/>
    <w:rsid w:val="4F826258"/>
    <w:rsid w:val="76E36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8">
    <w:name w:val="heading 1"/>
    <w:basedOn w:val="1"/>
    <w:next w:val="1"/>
    <w:qFormat/>
    <w:uiPriority w:val="0"/>
    <w:pPr>
      <w:keepNext/>
      <w:keepLines/>
      <w:spacing w:before="340" w:after="330" w:line="578" w:lineRule="auto"/>
      <w:outlineLvl w:val="0"/>
    </w:pPr>
    <w:rPr>
      <w:b/>
      <w:bCs/>
      <w:kern w:val="44"/>
      <w:sz w:val="44"/>
      <w:szCs w:val="44"/>
    </w:rPr>
  </w:style>
  <w:style w:type="paragraph" w:styleId="9">
    <w:name w:val="heading 2"/>
    <w:basedOn w:val="1"/>
    <w:next w:val="1"/>
    <w:qFormat/>
    <w:uiPriority w:val="9"/>
    <w:pPr>
      <w:keepNext/>
      <w:keepLines/>
      <w:spacing w:before="260" w:after="260" w:line="416" w:lineRule="auto"/>
      <w:outlineLvl w:val="1"/>
    </w:pPr>
    <w:rPr>
      <w:rFonts w:ascii="Arial" w:hAnsi="Arial" w:eastAsia="黑体"/>
      <w:b/>
      <w:bCs/>
      <w:kern w:val="0"/>
      <w:sz w:val="32"/>
      <w:szCs w:val="32"/>
    </w:rPr>
  </w:style>
  <w:style w:type="paragraph" w:styleId="10">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outlineLvl w:val="2"/>
    </w:pPr>
    <w:rPr>
      <w:rFonts w:ascii="Times New Roman" w:hAnsi="Times New Roman" w:eastAsia="黑体"/>
      <w:b/>
      <w:sz w:val="30"/>
    </w:rPr>
  </w:style>
  <w:style w:type="character" w:default="1" w:styleId="22">
    <w:name w:val="Default Paragraph Font"/>
    <w:semiHidden/>
    <w:qFormat/>
    <w:uiPriority w:val="0"/>
  </w:style>
  <w:style w:type="table" w:default="1" w:styleId="20">
    <w:name w:val="Normal Table"/>
    <w:semiHidden/>
    <w:uiPriority w:val="0"/>
    <w:tblPr>
      <w:tblCellMar>
        <w:top w:w="0" w:type="dxa"/>
        <w:left w:w="108" w:type="dxa"/>
        <w:bottom w:w="0" w:type="dxa"/>
        <w:right w:w="108" w:type="dxa"/>
      </w:tblCellMar>
    </w:tblPr>
  </w:style>
  <w:style w:type="paragraph" w:styleId="2">
    <w:name w:val="Body Text First Indent 2"/>
    <w:basedOn w:val="3"/>
    <w:next w:val="5"/>
    <w:qFormat/>
    <w:uiPriority w:val="99"/>
    <w:pPr>
      <w:adjustRightInd w:val="0"/>
      <w:spacing w:line="360" w:lineRule="auto"/>
      <w:ind w:left="0" w:leftChars="0" w:firstLine="420"/>
      <w:textAlignment w:val="baseline"/>
    </w:pPr>
    <w:rPr>
      <w:color w:val="000000"/>
    </w:rPr>
  </w:style>
  <w:style w:type="paragraph" w:styleId="3">
    <w:name w:val="Body Text Indent"/>
    <w:basedOn w:val="1"/>
    <w:next w:val="4"/>
    <w:qFormat/>
    <w:uiPriority w:val="99"/>
    <w:pPr>
      <w:spacing w:after="120"/>
      <w:ind w:left="420" w:leftChars="200"/>
    </w:pPr>
    <w:rPr>
      <w:kern w:val="0"/>
      <w:sz w:val="20"/>
    </w:rPr>
  </w:style>
  <w:style w:type="paragraph" w:styleId="4">
    <w:name w:val="envelope return"/>
    <w:basedOn w:val="1"/>
    <w:qFormat/>
    <w:uiPriority w:val="0"/>
    <w:pPr>
      <w:snapToGrid w:val="0"/>
    </w:pPr>
    <w:rPr>
      <w:rFonts w:ascii="Arial" w:hAnsi="Arial"/>
    </w:rPr>
  </w:style>
  <w:style w:type="paragraph" w:styleId="5">
    <w:name w:val="Body Text First Indent"/>
    <w:basedOn w:val="6"/>
    <w:next w:val="7"/>
    <w:qFormat/>
    <w:uiPriority w:val="99"/>
    <w:pPr>
      <w:ind w:firstLine="420"/>
    </w:pPr>
  </w:style>
  <w:style w:type="paragraph" w:styleId="6">
    <w:name w:val="Body Text"/>
    <w:basedOn w:val="1"/>
    <w:next w:val="1"/>
    <w:qFormat/>
    <w:uiPriority w:val="99"/>
    <w:pPr>
      <w:spacing w:after="120"/>
    </w:pPr>
    <w:rPr>
      <w:kern w:val="0"/>
      <w:sz w:val="20"/>
    </w:rPr>
  </w:style>
  <w:style w:type="paragraph" w:customStyle="1" w:styleId="7">
    <w:name w:val="样式 正文首行缩进 + 宋体 小四 首行缩进:  1 字符"/>
    <w:basedOn w:val="1"/>
    <w:next w:val="1"/>
    <w:qFormat/>
    <w:uiPriority w:val="0"/>
    <w:pPr>
      <w:spacing w:after="120" w:afterLines="0" w:line="360" w:lineRule="auto"/>
      <w:ind w:firstLine="150" w:firstLineChars="150"/>
    </w:pPr>
    <w:rPr>
      <w:rFonts w:ascii="宋体" w:hAnsi="宋体"/>
      <w:sz w:val="24"/>
      <w:szCs w:val="20"/>
    </w:rPr>
  </w:style>
  <w:style w:type="paragraph" w:styleId="11">
    <w:name w:val="Normal Indent"/>
    <w:basedOn w:val="1"/>
    <w:next w:val="1"/>
    <w:qFormat/>
    <w:uiPriority w:val="0"/>
    <w:pPr>
      <w:ind w:firstLine="420" w:firstLineChars="200"/>
    </w:pPr>
    <w:rPr>
      <w:szCs w:val="24"/>
    </w:rPr>
  </w:style>
  <w:style w:type="paragraph" w:styleId="12">
    <w:name w:val="Plain Text"/>
    <w:basedOn w:val="1"/>
    <w:link w:val="36"/>
    <w:qFormat/>
    <w:uiPriority w:val="0"/>
    <w:rPr>
      <w:rFonts w:ascii="宋体" w:hAnsi="Courier New"/>
      <w:kern w:val="0"/>
      <w:sz w:val="20"/>
      <w:szCs w:val="21"/>
    </w:rPr>
  </w:style>
  <w:style w:type="paragraph" w:styleId="13">
    <w:name w:val="footer"/>
    <w:basedOn w:val="1"/>
    <w:qFormat/>
    <w:uiPriority w:val="99"/>
    <w:pPr>
      <w:tabs>
        <w:tab w:val="center" w:pos="4153"/>
        <w:tab w:val="right" w:pos="8306"/>
      </w:tabs>
      <w:snapToGrid w:val="0"/>
      <w:jc w:val="left"/>
    </w:pPr>
    <w:rPr>
      <w:kern w:val="0"/>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pPr>
      <w:tabs>
        <w:tab w:val="right" w:leader="dot" w:pos="9299"/>
      </w:tabs>
      <w:adjustRightInd w:val="0"/>
      <w:spacing w:before="120" w:after="120" w:line="312" w:lineRule="atLeast"/>
      <w:jc w:val="left"/>
    </w:pPr>
    <w:rPr>
      <w:rFonts w:eastAsia="长城仿宋"/>
      <w:b/>
      <w:caps/>
      <w:kern w:val="0"/>
      <w:sz w:val="20"/>
    </w:rPr>
  </w:style>
  <w:style w:type="paragraph" w:styleId="16">
    <w:name w:val="index heading"/>
    <w:basedOn w:val="1"/>
    <w:next w:val="17"/>
    <w:qFormat/>
    <w:uiPriority w:val="0"/>
  </w:style>
  <w:style w:type="paragraph" w:styleId="17">
    <w:name w:val="index 1"/>
    <w:basedOn w:val="1"/>
    <w:next w:val="1"/>
    <w:qFormat/>
    <w:uiPriority w:val="0"/>
    <w:rPr>
      <w:rFonts w:eastAsia="仿宋_GB2312"/>
      <w:sz w:val="28"/>
    </w:rPr>
  </w:style>
  <w:style w:type="paragraph" w:styleId="18">
    <w:name w:val="Body Text 2"/>
    <w:basedOn w:val="1"/>
    <w:qFormat/>
    <w:uiPriority w:val="0"/>
    <w:rPr>
      <w:rFonts w:ascii="宋体" w:hAnsi="宋体"/>
      <w:u w:val="single"/>
    </w:rPr>
  </w:style>
  <w:style w:type="paragraph" w:styleId="19">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qFormat/>
    <w:uiPriority w:val="99"/>
    <w:rPr>
      <w:color w:val="0000FF"/>
      <w:u w:val="single"/>
    </w:rPr>
  </w:style>
  <w:style w:type="paragraph" w:customStyle="1" w:styleId="24">
    <w:name w:val="封一"/>
    <w:basedOn w:val="1"/>
    <w:next w:val="1"/>
    <w:qFormat/>
    <w:uiPriority w:val="0"/>
    <w:pPr>
      <w:topLinePunct/>
      <w:adjustRightInd w:val="0"/>
      <w:snapToGrid w:val="0"/>
      <w:spacing w:line="360" w:lineRule="auto"/>
      <w:jc w:val="center"/>
    </w:pPr>
    <w:rPr>
      <w:rFonts w:eastAsia="黑体"/>
      <w:b/>
      <w:spacing w:val="4"/>
      <w:kern w:val="0"/>
      <w:sz w:val="84"/>
      <w:szCs w:val="84"/>
    </w:rPr>
  </w:style>
  <w:style w:type="paragraph" w:customStyle="1" w:styleId="25">
    <w:name w:val="文一"/>
    <w:basedOn w:val="1"/>
    <w:qFormat/>
    <w:uiPriority w:val="0"/>
    <w:pPr>
      <w:topLinePunct/>
      <w:adjustRightInd w:val="0"/>
      <w:snapToGrid w:val="0"/>
      <w:spacing w:line="360" w:lineRule="auto"/>
      <w:ind w:firstLine="200" w:firstLineChars="200"/>
    </w:pPr>
    <w:rPr>
      <w:rFonts w:ascii="Calibri" w:hAnsi="Calibri"/>
      <w:spacing w:val="4"/>
      <w:kern w:val="0"/>
      <w:sz w:val="24"/>
      <w:szCs w:val="24"/>
    </w:rPr>
  </w:style>
  <w:style w:type="paragraph" w:customStyle="1" w:styleId="26">
    <w:name w:val="封三"/>
    <w:basedOn w:val="25"/>
    <w:next w:val="25"/>
    <w:qFormat/>
    <w:uiPriority w:val="0"/>
    <w:pPr>
      <w:ind w:firstLine="0" w:firstLineChars="0"/>
      <w:jc w:val="center"/>
    </w:pPr>
    <w:rPr>
      <w:sz w:val="30"/>
    </w:rPr>
  </w:style>
  <w:style w:type="paragraph" w:customStyle="1" w:styleId="27">
    <w:name w:val="章节一"/>
    <w:basedOn w:val="1"/>
    <w:next w:val="1"/>
    <w:qFormat/>
    <w:uiPriority w:val="0"/>
    <w:pPr>
      <w:topLinePunct/>
      <w:adjustRightInd w:val="0"/>
      <w:snapToGrid w:val="0"/>
      <w:spacing w:beforeLines="50" w:afterLines="50"/>
      <w:jc w:val="center"/>
      <w:outlineLvl w:val="0"/>
    </w:pPr>
    <w:rPr>
      <w:rFonts w:eastAsia="黑体"/>
      <w:b/>
      <w:spacing w:val="4"/>
      <w:kern w:val="0"/>
      <w:sz w:val="36"/>
      <w:szCs w:val="36"/>
    </w:rPr>
  </w:style>
  <w:style w:type="paragraph" w:customStyle="1" w:styleId="28">
    <w:name w:val="章节二"/>
    <w:basedOn w:val="1"/>
    <w:next w:val="1"/>
    <w:qFormat/>
    <w:uiPriority w:val="0"/>
    <w:pPr>
      <w:topLinePunct/>
      <w:adjustRightInd w:val="0"/>
      <w:snapToGrid w:val="0"/>
      <w:spacing w:beforeLines="50" w:afterLines="50"/>
      <w:jc w:val="center"/>
      <w:outlineLvl w:val="1"/>
    </w:pPr>
    <w:rPr>
      <w:rFonts w:eastAsia="黑体"/>
      <w:b/>
      <w:spacing w:val="4"/>
      <w:kern w:val="0"/>
      <w:sz w:val="30"/>
      <w:szCs w:val="30"/>
    </w:rPr>
  </w:style>
  <w:style w:type="paragraph" w:customStyle="1" w:styleId="29">
    <w:name w:val="文二"/>
    <w:basedOn w:val="1"/>
    <w:qFormat/>
    <w:uiPriority w:val="0"/>
    <w:pPr>
      <w:jc w:val="left"/>
    </w:pPr>
    <w:rPr>
      <w:rFonts w:ascii="宋体" w:hAnsi="宋体"/>
      <w:szCs w:val="21"/>
    </w:rPr>
  </w:style>
  <w:style w:type="paragraph" w:customStyle="1" w:styleId="30">
    <w:name w:val="Table Paragraph"/>
    <w:basedOn w:val="1"/>
    <w:unhideWhenUsed/>
    <w:qFormat/>
    <w:uiPriority w:val="1"/>
    <w:rPr>
      <w:sz w:val="24"/>
    </w:rPr>
  </w:style>
  <w:style w:type="paragraph" w:customStyle="1" w:styleId="31">
    <w:name w:val="章节三"/>
    <w:basedOn w:val="25"/>
    <w:next w:val="25"/>
    <w:qFormat/>
    <w:uiPriority w:val="0"/>
    <w:pPr>
      <w:spacing w:beforeLines="50" w:afterLines="50" w:line="240" w:lineRule="auto"/>
      <w:ind w:firstLine="0" w:firstLineChars="0"/>
      <w:jc w:val="left"/>
      <w:outlineLvl w:val="2"/>
    </w:pPr>
    <w:rPr>
      <w:rFonts w:ascii="黑体" w:hAnsi="宋体" w:eastAsia="黑体"/>
      <w:b/>
    </w:rPr>
  </w:style>
  <w:style w:type="paragraph" w:customStyle="1" w:styleId="32">
    <w:name w:val="列出段落1"/>
    <w:basedOn w:val="1"/>
    <w:qFormat/>
    <w:uiPriority w:val="99"/>
    <w:pPr>
      <w:ind w:firstLine="420" w:firstLineChars="200"/>
    </w:pPr>
  </w:style>
  <w:style w:type="paragraph" w:customStyle="1" w:styleId="33">
    <w:name w:val="正文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4">
    <w:name w:val="樣式2"/>
    <w:basedOn w:val="1"/>
    <w:qFormat/>
    <w:uiPriority w:val="0"/>
    <w:pPr>
      <w:tabs>
        <w:tab w:val="left" w:pos="2280"/>
      </w:tabs>
      <w:ind w:left="2280" w:hanging="480"/>
    </w:pPr>
  </w:style>
  <w:style w:type="paragraph" w:customStyle="1" w:styleId="35">
    <w:name w:val="List Paragraph"/>
    <w:basedOn w:val="1"/>
    <w:qFormat/>
    <w:uiPriority w:val="34"/>
    <w:pPr>
      <w:ind w:firstLine="420" w:firstLineChars="200"/>
    </w:pPr>
  </w:style>
  <w:style w:type="character" w:customStyle="1" w:styleId="36">
    <w:name w:val="纯文本 Char"/>
    <w:link w:val="12"/>
    <w:qFormat/>
    <w:uiPriority w:val="0"/>
    <w:rPr>
      <w:rFonts w:ascii="宋体" w:hAnsi="Courier New"/>
      <w:kern w:val="0"/>
      <w:sz w:val="20"/>
      <w:szCs w:val="21"/>
    </w:rPr>
  </w:style>
  <w:style w:type="paragraph" w:customStyle="1" w:styleId="37">
    <w:name w:val="1"/>
    <w:basedOn w:val="1"/>
    <w:next w:val="12"/>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emf"/><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322</Pages>
  <Words>5807</Words>
  <Characters>6150</Characters>
  <Lines>0</Lines>
  <Paragraphs>0</Paragraphs>
  <TotalTime>14</TotalTime>
  <ScaleCrop>false</ScaleCrop>
  <LinksUpToDate>false</LinksUpToDate>
  <CharactersWithSpaces>6265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2025-04-22T11:25:00Z</dcterms:created>
  <dc:creator>4</dc:creator>
  <cp:lastModifiedBy>4</cp:lastModifiedBy>
  <dcterms:modified xsi:type="dcterms:W3CDTF">2025-04-22T12:24:34Z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1D20E66467DA45059A64E44FC22F1BC2_11</vt:lpwstr>
  </property>
  <property fmtid="{D5CDD505-2E9C-101B-9397-08002B2CF9AE}" pid="4" name="KSOTemplateDocerSaveRecord">
    <vt:lpwstr>eyJoZGlkIjoiZTg1Y2FiODY3MTY3MDM2MmMyMGQ2ZDU5YzE5NzU4ZDAiLCJ1c2VySWQiOiI3MDUyNDcxNDcifQ==</vt:lpwstr>
  </property>
</Properties>
</file>